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03A756" w14:textId="77777777" w:rsidR="003F7E12" w:rsidRPr="003F7E12" w:rsidRDefault="003F7E12" w:rsidP="003F7E12">
      <w:pPr>
        <w:tabs>
          <w:tab w:val="left" w:pos="4082"/>
        </w:tabs>
        <w:rPr>
          <w:rFonts w:eastAsiaTheme="minorEastAsia"/>
          <w:sz w:val="2"/>
          <w:szCs w:val="2"/>
          <w:rtl w:val="0"/>
          <w:lang w:val="en-GB" w:eastAsia="en-US"/>
        </w:rPr>
      </w:pPr>
    </w:p>
    <w:p w14:paraId="792A1894" w14:textId="77777777" w:rsidR="003F7E12" w:rsidRPr="003F7E12" w:rsidRDefault="003F7E12" w:rsidP="003F7E12">
      <w:pPr>
        <w:tabs>
          <w:tab w:val="left" w:pos="4082"/>
        </w:tabs>
        <w:rPr>
          <w:rFonts w:eastAsiaTheme="minorEastAsia"/>
          <w:sz w:val="2"/>
          <w:szCs w:val="2"/>
          <w:rtl w:val="0"/>
          <w:lang w:val="en-GB" w:eastAsia="en-US"/>
        </w:rPr>
      </w:pPr>
    </w:p>
    <w:p w14:paraId="12D4D44C" w14:textId="77777777" w:rsidR="003F7E12" w:rsidRPr="003F7E12" w:rsidRDefault="003F7E12" w:rsidP="003F7E12">
      <w:pPr>
        <w:tabs>
          <w:tab w:val="left" w:pos="4082"/>
        </w:tabs>
        <w:rPr>
          <w:rFonts w:eastAsiaTheme="minorEastAsia"/>
          <w:sz w:val="2"/>
          <w:szCs w:val="2"/>
          <w:rtl w:val="0"/>
          <w:lang w:val="en-GB" w:eastAsia="en-US"/>
        </w:rPr>
      </w:pPr>
    </w:p>
    <w:tbl>
      <w:tblPr>
        <w:bidiVisual/>
        <w:tblW w:w="6378" w:type="dxa"/>
        <w:tblLayout w:type="fixed"/>
        <w:tblLook w:val="0000" w:firstRow="0" w:lastRow="0" w:firstColumn="0" w:lastColumn="0" w:noHBand="0" w:noVBand="0"/>
      </w:tblPr>
      <w:tblGrid>
        <w:gridCol w:w="1559"/>
        <w:gridCol w:w="4819"/>
      </w:tblGrid>
      <w:tr w:rsidR="009D476D" w14:paraId="6D7C073E" w14:textId="77777777" w:rsidTr="009D476D">
        <w:trPr>
          <w:trHeight w:val="850"/>
        </w:trPr>
        <w:tc>
          <w:tcPr>
            <w:tcW w:w="1559" w:type="dxa"/>
          </w:tcPr>
          <w:p w14:paraId="3930D789" w14:textId="411697B1" w:rsidR="009D476D" w:rsidRPr="0012610C" w:rsidRDefault="009D476D" w:rsidP="004E3F4A">
            <w:pPr>
              <w:pStyle w:val="Normal-pool"/>
              <w:tabs>
                <w:tab w:val="clear" w:pos="624"/>
              </w:tabs>
              <w:spacing w:before="120" w:line="520" w:lineRule="exact"/>
              <w:rPr>
                <w:rFonts w:ascii="Simplified Arabic" w:hAnsi="Simplified Arabic" w:cs="Simplified Arabic"/>
                <w:sz w:val="44"/>
                <w:szCs w:val="44"/>
              </w:rPr>
            </w:pPr>
            <w:r w:rsidRPr="0012610C">
              <w:rPr>
                <w:rFonts w:ascii="Simplified Arabic" w:hAnsi="Simplified Arabic" w:cs="Simplified Arabic"/>
                <w:bCs/>
                <w:sz w:val="44"/>
                <w:szCs w:val="44"/>
              </w:rPr>
              <w:t>الأمم</w:t>
            </w:r>
            <w:r w:rsidRPr="0012610C">
              <w:rPr>
                <w:rFonts w:ascii="Simplified Arabic" w:hAnsi="Simplified Arabic" w:cs="Simplified Arabic"/>
                <w:bCs/>
                <w:sz w:val="44"/>
                <w:szCs w:val="44"/>
              </w:rPr>
              <w:br/>
              <w:t>المتحدة</w:t>
            </w:r>
          </w:p>
        </w:tc>
        <w:tc>
          <w:tcPr>
            <w:tcW w:w="4819" w:type="dxa"/>
          </w:tcPr>
          <w:p w14:paraId="21C97318" w14:textId="77777777" w:rsidR="009D476D" w:rsidRPr="00F85661" w:rsidRDefault="009D476D" w:rsidP="004E3F4A">
            <w:pPr>
              <w:pStyle w:val="AUnitedNations"/>
              <w:rPr>
                <w:b w:val="0"/>
                <w:bCs/>
                <w:rtl w:val="0"/>
              </w:rPr>
            </w:pPr>
            <w:r w:rsidRPr="007906AB">
              <w:rPr>
                <w:b w:val="0"/>
                <w:bCs/>
                <w:noProof/>
                <w:rtl w:val="0"/>
                <w:lang w:val="ar-SA"/>
              </w:rPr>
              <w:drawing>
                <wp:anchor distT="0" distB="0" distL="114300" distR="114300" simplePos="0" relativeHeight="251662336" behindDoc="0" locked="0" layoutInCell="1" allowOverlap="0" wp14:anchorId="471F9995" wp14:editId="2253B303">
                  <wp:simplePos x="0" y="0"/>
                  <wp:positionH relativeFrom="column">
                    <wp:posOffset>1856658</wp:posOffset>
                  </wp:positionH>
                  <wp:positionV relativeFrom="paragraph">
                    <wp:posOffset>88265</wp:posOffset>
                  </wp:positionV>
                  <wp:extent cx="1306195" cy="572135"/>
                  <wp:effectExtent l="0" t="0" r="8255" b="0"/>
                  <wp:wrapNone/>
                  <wp:docPr id="2" name="Picture 2" descr="A black and white logo&#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ack and white logo&#10;&#10;Description automatically generated with low confidence"/>
                          <pic:cNvPicPr/>
                        </pic:nvPicPr>
                        <pic:blipFill>
                          <a:blip r:embed="rId12">
                            <a:extLst>
                              <a:ext uri="{28A0092B-C50C-407E-A947-70E740481C1C}">
                                <a14:useLocalDpi xmlns:a14="http://schemas.microsoft.com/office/drawing/2010/main" val="0"/>
                              </a:ext>
                            </a:extLst>
                          </a:blip>
                          <a:stretch>
                            <a:fillRect/>
                          </a:stretch>
                        </pic:blipFill>
                        <pic:spPr>
                          <a:xfrm>
                            <a:off x="0" y="0"/>
                            <a:ext cx="1306195" cy="572135"/>
                          </a:xfrm>
                          <a:prstGeom prst="rect">
                            <a:avLst/>
                          </a:prstGeom>
                        </pic:spPr>
                      </pic:pic>
                    </a:graphicData>
                  </a:graphic>
                  <wp14:sizeRelH relativeFrom="margin">
                    <wp14:pctWidth>0</wp14:pctWidth>
                  </wp14:sizeRelH>
                  <wp14:sizeRelV relativeFrom="margin">
                    <wp14:pctHeight>0</wp14:pctHeight>
                  </wp14:sizeRelV>
                </wp:anchor>
              </w:drawing>
            </w:r>
          </w:p>
        </w:tc>
      </w:tr>
    </w:tbl>
    <w:p w14:paraId="4A2EC0E5" w14:textId="77777777" w:rsidR="00BE2C17" w:rsidRPr="00E46C88" w:rsidRDefault="00BE2C17" w:rsidP="00BE2C17">
      <w:pPr>
        <w:pStyle w:val="ASpacer"/>
        <w:rPr>
          <w:szCs w:val="2"/>
          <w:rtl w:val="0"/>
        </w:rPr>
      </w:pPr>
    </w:p>
    <w:tbl>
      <w:tblPr>
        <w:bidiVisual/>
        <w:tblW w:w="4955" w:type="pct"/>
        <w:tblLook w:val="0000" w:firstRow="0" w:lastRow="0" w:firstColumn="0" w:lastColumn="0" w:noHBand="0" w:noVBand="0"/>
      </w:tblPr>
      <w:tblGrid>
        <w:gridCol w:w="9412"/>
      </w:tblGrid>
      <w:tr w:rsidR="009D476D" w14:paraId="19C609C2" w14:textId="77777777" w:rsidTr="009D476D">
        <w:trPr>
          <w:trHeight w:val="340"/>
        </w:trPr>
        <w:tc>
          <w:tcPr>
            <w:tcW w:w="5000" w:type="pct"/>
            <w:vAlign w:val="bottom"/>
          </w:tcPr>
          <w:p w14:paraId="7EAAF644" w14:textId="555FFADF" w:rsidR="009D476D" w:rsidRDefault="009D476D" w:rsidP="004E3F4A">
            <w:pPr>
              <w:jc w:val="right"/>
              <w:rPr>
                <w:rtl w:val="0"/>
              </w:rPr>
            </w:pPr>
            <w:r w:rsidRPr="009D476D">
              <w:rPr>
                <w:b/>
                <w:bCs/>
                <w:rtl w:val="0"/>
              </w:rPr>
              <w:t>UNEP</w:t>
            </w:r>
            <w:r w:rsidRPr="009D476D">
              <w:rPr>
                <w:rtl w:val="0"/>
              </w:rPr>
              <w:t>/OzL.Pro.38/7</w:t>
            </w:r>
          </w:p>
        </w:tc>
      </w:tr>
    </w:tbl>
    <w:p w14:paraId="5D71113F" w14:textId="77777777" w:rsidR="00BE2C17" w:rsidRPr="00E46C88" w:rsidRDefault="00BE2C17" w:rsidP="00BE2C17">
      <w:pPr>
        <w:pStyle w:val="ASpacer"/>
        <w:rPr>
          <w:szCs w:val="2"/>
          <w:rtl w:val="0"/>
        </w:rPr>
      </w:pPr>
    </w:p>
    <w:tbl>
      <w:tblPr>
        <w:bidiVisual/>
        <w:tblW w:w="9496" w:type="dxa"/>
        <w:tblBorders>
          <w:top w:val="single" w:sz="4" w:space="0" w:color="auto"/>
          <w:bottom w:val="single" w:sz="24" w:space="0" w:color="auto"/>
        </w:tblBorders>
        <w:tblLayout w:type="fixed"/>
        <w:tblLook w:val="0000" w:firstRow="0" w:lastRow="0" w:firstColumn="0" w:lastColumn="0" w:noHBand="0" w:noVBand="0"/>
      </w:tblPr>
      <w:tblGrid>
        <w:gridCol w:w="6378"/>
        <w:gridCol w:w="3118"/>
      </w:tblGrid>
      <w:tr w:rsidR="00BE2C17" w14:paraId="4A4D16E5" w14:textId="77777777" w:rsidTr="004E3F4A">
        <w:trPr>
          <w:trHeight w:val="2693"/>
        </w:trPr>
        <w:tc>
          <w:tcPr>
            <w:tcW w:w="6378" w:type="dxa"/>
          </w:tcPr>
          <w:p w14:paraId="55AF7973" w14:textId="77777777" w:rsidR="00BE2C17" w:rsidRPr="007F05A1" w:rsidRDefault="00BE2C17" w:rsidP="004E3F4A">
            <w:pPr>
              <w:pStyle w:val="AConvName"/>
              <w:tabs>
                <w:tab w:val="left" w:pos="3151"/>
              </w:tabs>
              <w:spacing w:before="0" w:line="640" w:lineRule="exact"/>
              <w:ind w:right="3011"/>
              <w:jc w:val="lowKashida"/>
              <w:rPr>
                <w:rFonts w:ascii="Simplified Arabic" w:hAnsi="Simplified Arabic" w:cs="Simplified Arabic"/>
                <w:sz w:val="40"/>
                <w:szCs w:val="40"/>
                <w:rtl w:val="0"/>
              </w:rPr>
            </w:pPr>
            <w:r w:rsidRPr="00BE2C17">
              <w:rPr>
                <w:rFonts w:ascii="Simplified Arabic" w:eastAsia="SimSun" w:hAnsi="Simplified Arabic" w:cs="Simplified Arabic"/>
                <w:bCs/>
                <w:sz w:val="40"/>
                <w:szCs w:val="40"/>
                <w:lang w:val="en-GB" w:eastAsia="en-US"/>
              </w:rPr>
              <w:t>بروتوكو</w:t>
            </w:r>
            <w:r w:rsidRPr="00BE2C17">
              <w:rPr>
                <w:rFonts w:ascii="Simplified Arabic" w:eastAsia="SimSun" w:hAnsi="Simplified Arabic" w:cs="Simplified Arabic" w:hint="cs"/>
                <w:bCs/>
                <w:sz w:val="40"/>
                <w:szCs w:val="40"/>
                <w:lang w:val="en-GB" w:eastAsia="en-US"/>
              </w:rPr>
              <w:t>ل</w:t>
            </w:r>
            <w:r w:rsidRPr="00BE2C17">
              <w:rPr>
                <w:rFonts w:ascii="Simplified Arabic" w:eastAsia="SimSun" w:hAnsi="Simplified Arabic" w:cs="Simplified Arabic"/>
                <w:bCs/>
                <w:sz w:val="40"/>
                <w:szCs w:val="40"/>
                <w:lang w:val="en-GB" w:eastAsia="en-US"/>
              </w:rPr>
              <w:t xml:space="preserve"> مونتريال بشأن</w:t>
            </w:r>
            <w:r w:rsidRPr="00BE2C17">
              <w:rPr>
                <w:rFonts w:ascii="Simplified Arabic" w:eastAsia="SimSun" w:hAnsi="Simplified Arabic" w:cs="Simplified Arabic"/>
                <w:bCs/>
                <w:sz w:val="40"/>
                <w:szCs w:val="40"/>
                <w:lang w:val="en-GB" w:eastAsia="en-US"/>
              </w:rPr>
              <w:br/>
              <w:t>المواد المستنفدة لطبق</w:t>
            </w:r>
            <w:r w:rsidRPr="00BE2C17">
              <w:rPr>
                <w:rFonts w:ascii="Simplified Arabic" w:eastAsia="SimSun" w:hAnsi="Simplified Arabic" w:cs="Simplified Arabic" w:hint="cs"/>
                <w:bCs/>
                <w:sz w:val="40"/>
                <w:szCs w:val="40"/>
                <w:lang w:val="en-GB" w:eastAsia="en-US"/>
              </w:rPr>
              <w:t>ة</w:t>
            </w:r>
            <w:r w:rsidRPr="00BE2C17">
              <w:rPr>
                <w:rFonts w:ascii="Simplified Arabic" w:eastAsia="SimSun" w:hAnsi="Simplified Arabic" w:cs="Simplified Arabic"/>
                <w:bCs/>
                <w:sz w:val="40"/>
                <w:szCs w:val="40"/>
                <w:lang w:val="en-GB" w:eastAsia="en-US"/>
              </w:rPr>
              <w:br/>
              <w:t>الأوزون</w:t>
            </w:r>
          </w:p>
        </w:tc>
        <w:tc>
          <w:tcPr>
            <w:tcW w:w="3118" w:type="dxa"/>
          </w:tcPr>
          <w:p w14:paraId="47D30944" w14:textId="660AD53B" w:rsidR="00BE2C17" w:rsidRDefault="00BE2C17" w:rsidP="002F3F6B">
            <w:pPr>
              <w:pStyle w:val="AText"/>
              <w:tabs>
                <w:tab w:val="clear" w:pos="624"/>
                <w:tab w:val="clear" w:pos="1871"/>
                <w:tab w:val="clear" w:pos="2495"/>
                <w:tab w:val="clear" w:pos="3119"/>
                <w:tab w:val="clear" w:pos="3742"/>
                <w:tab w:val="clear" w:pos="4366"/>
                <w:tab w:val="clear" w:pos="4990"/>
                <w:tab w:val="left" w:pos="1814"/>
                <w:tab w:val="left" w:pos="2381"/>
                <w:tab w:val="left" w:pos="2948"/>
                <w:tab w:val="left" w:pos="3515"/>
                <w:tab w:val="left" w:pos="4082"/>
              </w:tabs>
              <w:bidi w:val="0"/>
              <w:adjustRightInd w:val="0"/>
              <w:snapToGrid w:val="0"/>
              <w:spacing w:before="160"/>
              <w:rPr>
                <w:rtl w:val="0"/>
                <w:lang w:val="en-US"/>
              </w:rPr>
            </w:pPr>
            <w:r>
              <w:t xml:space="preserve">Distr.: </w:t>
            </w:r>
            <w:r w:rsidRPr="002F3F6B">
              <w:rPr>
                <w:rFonts w:eastAsia="SimSun"/>
                <w:lang w:val="en-GB" w:eastAsia="en-US"/>
              </w:rPr>
              <w:t>General</w:t>
            </w:r>
            <w:r>
              <w:br/>
            </w:r>
            <w:r w:rsidR="0077536D">
              <w:rPr>
                <w:rtl w:val="0"/>
                <w:lang w:val="en-US"/>
              </w:rPr>
              <w:t>5</w:t>
            </w:r>
            <w:r w:rsidR="002F3F6B">
              <w:rPr>
                <w:rtl w:val="0"/>
                <w:lang w:val="en-US"/>
              </w:rPr>
              <w:t xml:space="preserve"> </w:t>
            </w:r>
            <w:r w:rsidR="0077536D">
              <w:rPr>
                <w:rtl w:val="0"/>
                <w:lang w:val="en-US"/>
              </w:rPr>
              <w:t>October</w:t>
            </w:r>
            <w:r>
              <w:t xml:space="preserve"> </w:t>
            </w:r>
            <w:r w:rsidR="0077536D">
              <w:rPr>
                <w:rtl w:val="0"/>
                <w:lang w:val="en-US"/>
              </w:rPr>
              <w:t xml:space="preserve"> </w:t>
            </w:r>
            <w:r>
              <w:t>2026</w:t>
            </w:r>
          </w:p>
          <w:p w14:paraId="06176367" w14:textId="07291B91" w:rsidR="00BE2C17" w:rsidRPr="009D476D" w:rsidRDefault="009D476D" w:rsidP="009D476D">
            <w:pPr>
              <w:pStyle w:val="AText"/>
              <w:tabs>
                <w:tab w:val="clear" w:pos="624"/>
                <w:tab w:val="clear" w:pos="1871"/>
                <w:tab w:val="clear" w:pos="2495"/>
                <w:tab w:val="clear" w:pos="3119"/>
                <w:tab w:val="clear" w:pos="3742"/>
                <w:tab w:val="clear" w:pos="4366"/>
                <w:tab w:val="clear" w:pos="4990"/>
                <w:tab w:val="left" w:pos="1814"/>
                <w:tab w:val="left" w:pos="2381"/>
                <w:tab w:val="left" w:pos="2948"/>
                <w:tab w:val="left" w:pos="3515"/>
                <w:tab w:val="left" w:pos="4082"/>
              </w:tabs>
              <w:bidi w:val="0"/>
              <w:adjustRightInd w:val="0"/>
              <w:snapToGrid w:val="0"/>
              <w:spacing w:before="0"/>
              <w:rPr>
                <w:rtl w:val="0"/>
                <w:lang w:val="en-US"/>
              </w:rPr>
            </w:pPr>
            <w:r>
              <w:rPr>
                <w:rtl w:val="0"/>
                <w:lang w:val="en-US"/>
              </w:rPr>
              <w:t>Arabic</w:t>
            </w:r>
            <w:r w:rsidR="00BE2C17">
              <w:br/>
              <w:t>Original: English</w:t>
            </w:r>
          </w:p>
        </w:tc>
      </w:tr>
    </w:tbl>
    <w:p w14:paraId="0A743D0A" w14:textId="77777777" w:rsidR="00BE2C17" w:rsidRPr="00E46C88" w:rsidRDefault="00BE2C17" w:rsidP="00BE2C17">
      <w:pPr>
        <w:pStyle w:val="ASpacer"/>
        <w:rPr>
          <w:szCs w:val="2"/>
          <w:rtl w:val="0"/>
        </w:rPr>
      </w:pPr>
    </w:p>
    <w:tbl>
      <w:tblPr>
        <w:bidiVisual/>
        <w:tblW w:w="15985" w:type="dxa"/>
        <w:tblLayout w:type="fixed"/>
        <w:tblCellMar>
          <w:left w:w="0" w:type="dxa"/>
          <w:right w:w="70" w:type="dxa"/>
        </w:tblCellMar>
        <w:tblLook w:val="0000" w:firstRow="0" w:lastRow="0" w:firstColumn="0" w:lastColumn="0" w:noHBand="0" w:noVBand="0"/>
      </w:tblPr>
      <w:tblGrid>
        <w:gridCol w:w="6431"/>
        <w:gridCol w:w="6431"/>
        <w:gridCol w:w="3123"/>
      </w:tblGrid>
      <w:tr w:rsidR="00AF6E29" w14:paraId="346CA5C1" w14:textId="77777777" w:rsidTr="00AF6E29">
        <w:trPr>
          <w:trHeight w:val="57"/>
        </w:trPr>
        <w:tc>
          <w:tcPr>
            <w:tcW w:w="6431" w:type="dxa"/>
          </w:tcPr>
          <w:p w14:paraId="391C38D1" w14:textId="77777777" w:rsidR="00AF6E29" w:rsidRDefault="00AF6E29" w:rsidP="00AF6E29">
            <w:pPr>
              <w:pStyle w:val="AATitle"/>
              <w:rPr>
                <w:b w:val="0"/>
                <w:bCs/>
                <w:rtl w:val="0"/>
                <w:lang w:val="en-US"/>
              </w:rPr>
            </w:pPr>
            <w:r w:rsidRPr="00AF6E29">
              <w:rPr>
                <w:b w:val="0"/>
                <w:bCs/>
              </w:rPr>
              <w:t>الاجتماع الثامن والثلاثون للأطراف في</w:t>
            </w:r>
            <w:r>
              <w:rPr>
                <w:b w:val="0"/>
                <w:bCs/>
                <w:rtl w:val="0"/>
                <w:lang w:val="en-US"/>
              </w:rPr>
              <w:t xml:space="preserve"> </w:t>
            </w:r>
            <w:r w:rsidRPr="00AF6E29">
              <w:rPr>
                <w:b w:val="0"/>
                <w:bCs/>
              </w:rPr>
              <w:t xml:space="preserve">بروتوكول </w:t>
            </w:r>
          </w:p>
          <w:p w14:paraId="223D8353" w14:textId="65A17CB2" w:rsidR="00AF6E29" w:rsidRPr="00AF6E29" w:rsidRDefault="00AF6E29" w:rsidP="00AF6E29">
            <w:pPr>
              <w:pStyle w:val="AATitle"/>
              <w:rPr>
                <w:b w:val="0"/>
                <w:bCs/>
              </w:rPr>
            </w:pPr>
            <w:r w:rsidRPr="00AF6E29">
              <w:rPr>
                <w:b w:val="0"/>
                <w:bCs/>
              </w:rPr>
              <w:t>مونتريال بشأن المواد</w:t>
            </w:r>
            <w:r>
              <w:rPr>
                <w:b w:val="0"/>
                <w:bCs/>
                <w:rtl w:val="0"/>
                <w:lang w:val="en-US"/>
              </w:rPr>
              <w:t xml:space="preserve"> </w:t>
            </w:r>
            <w:r w:rsidRPr="00AF6E29">
              <w:rPr>
                <w:b w:val="0"/>
                <w:bCs/>
              </w:rPr>
              <w:t>المستنفدة لطبقة الأوزون</w:t>
            </w:r>
          </w:p>
          <w:p w14:paraId="2CE3CBCA" w14:textId="77777777" w:rsidR="00AF6E29" w:rsidRDefault="00AF6E29" w:rsidP="00AF6E29">
            <w:pPr>
              <w:pStyle w:val="AATitle1"/>
            </w:pPr>
            <w:r>
              <w:t xml:space="preserve">كيغالي، 2–6 تشرين الثاني/نوفمبر 2026 </w:t>
            </w:r>
          </w:p>
          <w:p w14:paraId="3A0DC68C" w14:textId="77777777" w:rsidR="00AF6E29" w:rsidRDefault="00AF6E29" w:rsidP="00AF6E29">
            <w:pPr>
              <w:pStyle w:val="AATitle1"/>
            </w:pPr>
            <w:r>
              <w:t>البند 6 من جدول الأعمال المؤقت للجزء التحضيري</w:t>
            </w:r>
            <w:r>
              <w:footnoteReference w:customMarkFollows="1" w:id="2"/>
              <w:sym w:font="Symbol" w:char="F02A"/>
            </w:r>
          </w:p>
          <w:p w14:paraId="150530CB" w14:textId="3D86AB3F" w:rsidR="00AF6E29" w:rsidRPr="00535D21" w:rsidRDefault="00AF6E29" w:rsidP="00AF6E29">
            <w:pPr>
              <w:pStyle w:val="ARAATitle"/>
              <w:tabs>
                <w:tab w:val="clear" w:pos="1247"/>
                <w:tab w:val="clear" w:pos="1814"/>
                <w:tab w:val="clear" w:pos="2381"/>
                <w:tab w:val="clear" w:pos="2948"/>
                <w:tab w:val="clear" w:pos="3515"/>
                <w:tab w:val="clear" w:pos="4082"/>
              </w:tabs>
              <w:bidi/>
              <w:spacing w:line="380" w:lineRule="exact"/>
              <w:ind w:right="2685"/>
              <w:jc w:val="both"/>
              <w:rPr>
                <w:rFonts w:cs="Simplified Arabic"/>
                <w:szCs w:val="24"/>
                <w:rtl/>
              </w:rPr>
            </w:pPr>
            <w:r>
              <w:rPr>
                <w:rtl/>
              </w:rPr>
              <w:t>ضمان استدامة عمليات بروتوكول مونتريال</w:t>
            </w:r>
          </w:p>
        </w:tc>
        <w:tc>
          <w:tcPr>
            <w:tcW w:w="6431" w:type="dxa"/>
          </w:tcPr>
          <w:p w14:paraId="15BC1CF7" w14:textId="48C39ABD" w:rsidR="00AF6E29" w:rsidRPr="00271361" w:rsidRDefault="00AF6E29" w:rsidP="00AF6E29">
            <w:pPr>
              <w:pStyle w:val="ARAATitle"/>
              <w:tabs>
                <w:tab w:val="clear" w:pos="1247"/>
                <w:tab w:val="clear" w:pos="1814"/>
                <w:tab w:val="clear" w:pos="2381"/>
                <w:tab w:val="clear" w:pos="2948"/>
                <w:tab w:val="clear" w:pos="3515"/>
                <w:tab w:val="clear" w:pos="4082"/>
              </w:tabs>
              <w:bidi/>
              <w:spacing w:after="360" w:line="340" w:lineRule="exact"/>
              <w:ind w:right="3107"/>
              <w:jc w:val="lowKashida"/>
              <w:rPr>
                <w:rFonts w:cs="Simplified Arabic"/>
                <w:b w:val="0"/>
                <w:bCs w:val="0"/>
                <w:szCs w:val="24"/>
                <w:rtl/>
                <w:lang w:val="en-US"/>
              </w:rPr>
            </w:pPr>
          </w:p>
        </w:tc>
        <w:tc>
          <w:tcPr>
            <w:tcW w:w="3123" w:type="dxa"/>
          </w:tcPr>
          <w:p w14:paraId="6CAFEEE5" w14:textId="77777777" w:rsidR="00AF6E29" w:rsidRDefault="00AF6E29" w:rsidP="00AF6E29">
            <w:pPr>
              <w:jc w:val="right"/>
              <w:rPr>
                <w:rtl w:val="0"/>
              </w:rPr>
            </w:pPr>
          </w:p>
        </w:tc>
      </w:tr>
    </w:tbl>
    <w:p w14:paraId="3DDA0581" w14:textId="77777777" w:rsidR="001F056A" w:rsidRPr="00AF6E29" w:rsidRDefault="001F056A">
      <w:pPr>
        <w:pStyle w:val="ASpacer"/>
        <w:rPr>
          <w:rtl w:val="0"/>
          <w:lang w:val="en-US"/>
        </w:rPr>
      </w:pPr>
    </w:p>
    <w:p w14:paraId="5B378469" w14:textId="4724501D" w:rsidR="001F056A" w:rsidRPr="00AF6E29" w:rsidRDefault="003B6B46">
      <w:pPr>
        <w:pStyle w:val="BBTitle"/>
        <w:rPr>
          <w:rFonts w:ascii="Simplified Arabic" w:hAnsi="Simplified Arabic" w:cs="Simplified Arabic" w:hint="cs"/>
          <w:b w:val="0"/>
          <w:bCs/>
          <w:sz w:val="30"/>
          <w:szCs w:val="30"/>
        </w:rPr>
      </w:pPr>
      <w:r w:rsidRPr="00AF6E29">
        <w:rPr>
          <w:rFonts w:ascii="Simplified Arabic" w:hAnsi="Simplified Arabic" w:cs="Simplified Arabic" w:hint="cs"/>
          <w:b w:val="0"/>
          <w:bCs/>
          <w:sz w:val="30"/>
          <w:szCs w:val="30"/>
        </w:rPr>
        <w:t>ضمان استدامة عمليات بروتوكول مونتريال: تقرير تكميلي</w:t>
      </w:r>
    </w:p>
    <w:p w14:paraId="7E95241B" w14:textId="18F57C1D" w:rsidR="001F056A" w:rsidRPr="00AF6E29" w:rsidRDefault="003B6B46">
      <w:pPr>
        <w:pStyle w:val="CH1"/>
        <w:rPr>
          <w:rFonts w:ascii="Simplified Arabic" w:hAnsi="Simplified Arabic" w:cs="Simplified Arabic" w:hint="cs"/>
          <w:b w:val="0"/>
          <w:bCs/>
          <w:sz w:val="26"/>
          <w:szCs w:val="26"/>
        </w:rPr>
      </w:pPr>
      <w:r>
        <w:tab/>
      </w:r>
      <w:r w:rsidRPr="00AF6E29">
        <w:rPr>
          <w:rFonts w:ascii="Simplified Arabic" w:hAnsi="Simplified Arabic" w:cs="Simplified Arabic" w:hint="cs"/>
          <w:b w:val="0"/>
          <w:bCs/>
          <w:sz w:val="26"/>
          <w:szCs w:val="26"/>
        </w:rPr>
        <w:t>أولاً -</w:t>
      </w:r>
      <w:r w:rsidRPr="00AF6E29">
        <w:rPr>
          <w:rFonts w:ascii="Simplified Arabic" w:hAnsi="Simplified Arabic" w:cs="Simplified Arabic" w:hint="cs"/>
          <w:b w:val="0"/>
          <w:bCs/>
          <w:sz w:val="26"/>
          <w:szCs w:val="26"/>
        </w:rPr>
        <w:tab/>
        <w:t>مقدمة</w:t>
      </w:r>
    </w:p>
    <w:p w14:paraId="253D6477" w14:textId="588E12CE" w:rsidR="001F056A" w:rsidRPr="00AF6E29" w:rsidRDefault="003B6B46">
      <w:pPr>
        <w:pStyle w:val="Normalnumber"/>
        <w:tabs>
          <w:tab w:val="clear" w:pos="1247"/>
          <w:tab w:val="clear" w:pos="1814"/>
          <w:tab w:val="clear" w:pos="2381"/>
          <w:tab w:val="clear" w:pos="2948"/>
          <w:tab w:val="clear" w:pos="3515"/>
          <w:tab w:val="left" w:pos="624"/>
        </w:tabs>
        <w:rPr>
          <w:rFonts w:ascii="Simplified Arabic" w:hAnsi="Simplified Arabic" w:cs="Simplified Arabic" w:hint="cs"/>
          <w:sz w:val="24"/>
          <w:szCs w:val="24"/>
        </w:rPr>
      </w:pPr>
      <w:r w:rsidRPr="00AF6E29">
        <w:rPr>
          <w:rFonts w:ascii="Simplified Arabic" w:hAnsi="Simplified Arabic" w:cs="Simplified Arabic" w:hint="cs"/>
          <w:sz w:val="24"/>
          <w:szCs w:val="24"/>
        </w:rPr>
        <w:t>في المقرر XXXVII/7، طلب الاجتماع السابع والثلاثون للأطراف في بروتوكول مونتريال بشأن المواد المستنفدة لطبقة الأوزون إلى أمانة الأوزون إعداد تقرير، لينظر فيه الفريق العامل المفتوح العضوية للأطراف في بروتوكول مونتريال في اجتماعه الثامن والأربعين، بشأن الخيارات المتاحة لإدخال تغييرات فعّالة وكفؤة، مع تقديرات التكاليف المرتبطة بها، في مواعيد اجتماعات الأطراف واجتماعات الفريق العامل المفتوح العضوية وعلى الدعم الذي تقدّمه أمانة الأوزون لهذه الاجتماعات، وكذلك في مواعيد اجتماعات لجنة التنفيذ بموجب إجراء عدم الامتثال</w:t>
      </w:r>
      <w:r w:rsidRPr="00AF6E29">
        <w:rPr>
          <w:rFonts w:ascii="Simplified Arabic" w:hAnsi="Simplified Arabic" w:cs="Simplified Arabic" w:hint="cs"/>
          <w:sz w:val="24"/>
          <w:szCs w:val="24"/>
        </w:rPr>
        <w:t xml:space="preserve"> لبروتوكول مونتريال واجتماعات أفرقة التقييم، وفي مواعيد مقررات تجديد الموارد. وُردَ التقرير في الوثيقتين UNEP/OzL.Pro.WG.1/48/4 وUNEP/OzL.Pro.WG.1/48/4/Add.1.</w:t>
      </w:r>
    </w:p>
    <w:p w14:paraId="1442E77A" w14:textId="437D18A6" w:rsidR="001F056A" w:rsidRPr="00AF6E29" w:rsidRDefault="003B6B46">
      <w:pPr>
        <w:pStyle w:val="Normalnumber"/>
        <w:tabs>
          <w:tab w:val="clear" w:pos="1247"/>
          <w:tab w:val="clear" w:pos="1814"/>
          <w:tab w:val="clear" w:pos="2381"/>
          <w:tab w:val="clear" w:pos="2948"/>
          <w:tab w:val="clear" w:pos="3515"/>
          <w:tab w:val="left" w:pos="624"/>
        </w:tabs>
        <w:ind w:left="1247"/>
        <w:rPr>
          <w:rFonts w:ascii="Simplified Arabic" w:hAnsi="Simplified Arabic" w:cs="Simplified Arabic" w:hint="cs"/>
          <w:sz w:val="24"/>
          <w:szCs w:val="24"/>
        </w:rPr>
      </w:pPr>
      <w:r w:rsidRPr="00AF6E29">
        <w:rPr>
          <w:rFonts w:ascii="Simplified Arabic" w:hAnsi="Simplified Arabic" w:cs="Simplified Arabic" w:hint="cs"/>
          <w:sz w:val="24"/>
          <w:szCs w:val="24"/>
        </w:rPr>
        <w:t>وجرت مناقشات بشأن هذه المسألة في الجلسة العامة خلال الاجتماع الثامن والأربعين للفريق العامل المفتوح العضوية وفي فريق اتصال شارك في رئاسته أليساندرو بيرو (إيطاليا) وسيرجيو ميرينو (المكسيك). ويرد موجز للمناقشات العامة في الفقرات من 154 إلى 164 من تقرير الاجتماع (UNEP/OzL.Pro.WG.1/48/5). في فريق الاتصال، جمعت الأمانة قائمة بجميع الأسئلة التي طرحها المشاركون خلال المناقشة، وتمكنت الأطراف من تقديم أسئلة إضافية بعد الاجتماع، مع تحديد موعد نهائي في 31 آب/أغسطس 2026. وقد جُمعت جميع الأسئلة المطروحة في مذكرة معلومات</w:t>
      </w:r>
      <w:r w:rsidRPr="00AF6E29">
        <w:rPr>
          <w:rFonts w:ascii="Simplified Arabic" w:hAnsi="Simplified Arabic" w:cs="Simplified Arabic" w:hint="cs"/>
          <w:sz w:val="24"/>
          <w:szCs w:val="24"/>
        </w:rPr>
        <w:t xml:space="preserve"> أساسية، وهي متاحة على بوابة الاجتماع الثامن والثلاثين للأطراف. وعلى النحو المتفق عليه خلال الاجتماع الثامن والأربعين للفريق العامل المفتوح العضوية، أعدَّت الأمانة هذا التقرير لمعالجة تلك الأسئلة. وتُكمِل المعلومات الواردة في هذه </w:t>
      </w:r>
      <w:r w:rsidRPr="00AF6E29">
        <w:rPr>
          <w:rFonts w:ascii="Simplified Arabic" w:hAnsi="Simplified Arabic" w:cs="Simplified Arabic" w:hint="cs"/>
          <w:sz w:val="24"/>
          <w:szCs w:val="24"/>
        </w:rPr>
        <w:lastRenderedPageBreak/>
        <w:t>الوثيقة المعلومات المقدمة في التقرير المقدَّم والمناقَش في الاجتماع الثامن والأربعين للفريق العامل المفتوح العضوية.</w:t>
      </w:r>
    </w:p>
    <w:p w14:paraId="23586576" w14:textId="66301E2D" w:rsidR="001F056A" w:rsidRPr="00AF6E29" w:rsidRDefault="003B6B46">
      <w:pPr>
        <w:pStyle w:val="CH1"/>
        <w:rPr>
          <w:rFonts w:ascii="Simplified Arabic" w:hAnsi="Simplified Arabic" w:cs="Simplified Arabic" w:hint="cs"/>
          <w:b w:val="0"/>
          <w:bCs/>
          <w:sz w:val="30"/>
          <w:szCs w:val="30"/>
        </w:rPr>
      </w:pPr>
      <w:r w:rsidRPr="00AF6E29">
        <w:rPr>
          <w:rFonts w:ascii="Simplified Arabic" w:hAnsi="Simplified Arabic" w:cs="Simplified Arabic" w:hint="cs"/>
          <w:b w:val="0"/>
          <w:bCs/>
          <w:sz w:val="30"/>
          <w:szCs w:val="30"/>
        </w:rPr>
        <w:tab/>
        <w:t>ثانيًا -</w:t>
      </w:r>
      <w:r w:rsidRPr="00AF6E29">
        <w:rPr>
          <w:rFonts w:ascii="Simplified Arabic" w:hAnsi="Simplified Arabic" w:cs="Simplified Arabic" w:hint="cs"/>
          <w:b w:val="0"/>
          <w:bCs/>
          <w:sz w:val="30"/>
          <w:szCs w:val="30"/>
        </w:rPr>
        <w:tab/>
        <w:t>السيناريوهات الواردة في التقرير الذي نظر فيه الفريق العامل مفتوح العضوية</w:t>
      </w:r>
    </w:p>
    <w:p w14:paraId="20321A0A" w14:textId="5F02890D" w:rsidR="001F056A" w:rsidRPr="00AF6E29" w:rsidRDefault="003B6B46">
      <w:pPr>
        <w:pStyle w:val="CH2"/>
        <w:rPr>
          <w:rFonts w:ascii="Simplified Arabic" w:hAnsi="Simplified Arabic" w:cs="Simplified Arabic" w:hint="cs"/>
          <w:b w:val="0"/>
          <w:bCs/>
          <w:sz w:val="26"/>
          <w:szCs w:val="26"/>
        </w:rPr>
      </w:pPr>
      <w:r w:rsidRPr="00AF6E29">
        <w:rPr>
          <w:rFonts w:ascii="Simplified Arabic" w:hAnsi="Simplified Arabic" w:cs="Simplified Arabic" w:hint="cs"/>
          <w:b w:val="0"/>
          <w:bCs/>
          <w:sz w:val="26"/>
          <w:szCs w:val="26"/>
        </w:rPr>
        <w:tab/>
        <w:t>أ.</w:t>
      </w:r>
      <w:r w:rsidRPr="00AF6E29">
        <w:rPr>
          <w:rFonts w:ascii="Simplified Arabic" w:hAnsi="Simplified Arabic" w:cs="Simplified Arabic" w:hint="cs"/>
          <w:b w:val="0"/>
          <w:bCs/>
          <w:sz w:val="26"/>
          <w:szCs w:val="26"/>
        </w:rPr>
        <w:tab/>
        <w:t>استنباط السيناريوهات واختيارها</w:t>
      </w:r>
    </w:p>
    <w:p w14:paraId="029D402A" w14:textId="552F4F1C" w:rsidR="001F056A" w:rsidRPr="00AF6E29" w:rsidRDefault="003B6B46">
      <w:pPr>
        <w:pStyle w:val="Normalnumber"/>
        <w:tabs>
          <w:tab w:val="clear" w:pos="1247"/>
          <w:tab w:val="clear" w:pos="1814"/>
          <w:tab w:val="clear" w:pos="2381"/>
          <w:tab w:val="clear" w:pos="2948"/>
          <w:tab w:val="clear" w:pos="3515"/>
          <w:tab w:val="left" w:pos="624"/>
        </w:tabs>
        <w:ind w:left="1247"/>
        <w:rPr>
          <w:rFonts w:ascii="Simplified Arabic" w:hAnsi="Simplified Arabic" w:cs="Simplified Arabic" w:hint="cs"/>
          <w:sz w:val="24"/>
          <w:szCs w:val="24"/>
        </w:rPr>
      </w:pPr>
      <w:r w:rsidRPr="00AF6E29">
        <w:rPr>
          <w:rFonts w:ascii="Simplified Arabic" w:hAnsi="Simplified Arabic" w:cs="Simplified Arabic" w:hint="cs"/>
          <w:sz w:val="24"/>
          <w:szCs w:val="24"/>
        </w:rPr>
        <w:t xml:space="preserve">وُضعت السيناريوهات المعروضة في الوثيقة UNEP/OzL.Pro.WG.1/48/4 على أساس المعايير المنصوص عليها في المقرر XXXVII/7، وهي مواعيد اجتماعات الأطراف وهيئاتها الفرعية وأفرقة التقييم ومدتها والدعم الذي تقدّمه الأمانة لهذه الاجتماعات؛ ومواعيد اتخاذ قرارات بشأن تجديد موارد الصندوق المتعدد الأطراف لتنفيذ بروتوكول مونتريال. يعكس السيناريو "أ"، وهو سيناريو العمل كالمعتاد، دورات الاجتماعات الحالية لاجتماع الأطراف في بروتوكول مونتريال ومؤتمر الأطراف في اتفاقية فيينا لحماية طبقة الأوزون وهيئاتهما الفرعية، وكذلك دورات العمل </w:t>
      </w:r>
      <w:r w:rsidRPr="00AF6E29">
        <w:rPr>
          <w:rFonts w:ascii="Simplified Arabic" w:hAnsi="Simplified Arabic" w:cs="Simplified Arabic" w:hint="cs"/>
          <w:sz w:val="24"/>
          <w:szCs w:val="24"/>
        </w:rPr>
        <w:t>الحالية لأفرقة التقييم ودورة تجديد موارد الصندوق المتعدد الأطراف. وباستخدام السيناريو "أ" بوصفه مرجعيًا، وضعت الأمانة سيناريوهين إضافيين من خلال تغيير المعايير المذكورة أعلاه. وعند إدخال هذه التغييرات، استرشدت الأمانة بالغاية من المقرر XXXVII/7 المتمثلة في استكشاف الفرص المتاحة لرفع الكفاءة مع الحفاظ على فعالية أداء مؤسسات وعمليات معاهدات الأوزون.</w:t>
      </w:r>
    </w:p>
    <w:p w14:paraId="55712272" w14:textId="2B6584A0" w:rsidR="001F056A" w:rsidRPr="00AF6E29" w:rsidRDefault="003B6B46">
      <w:pPr>
        <w:pStyle w:val="Normalnumber"/>
        <w:tabs>
          <w:tab w:val="clear" w:pos="1247"/>
          <w:tab w:val="clear" w:pos="1814"/>
          <w:tab w:val="clear" w:pos="2381"/>
          <w:tab w:val="clear" w:pos="2948"/>
          <w:tab w:val="clear" w:pos="3515"/>
          <w:tab w:val="left" w:pos="624"/>
        </w:tabs>
        <w:ind w:left="1247"/>
        <w:rPr>
          <w:rFonts w:ascii="Simplified Arabic" w:hAnsi="Simplified Arabic" w:cs="Simplified Arabic" w:hint="cs"/>
          <w:sz w:val="24"/>
          <w:szCs w:val="24"/>
        </w:rPr>
      </w:pPr>
      <w:r w:rsidRPr="00AF6E29">
        <w:rPr>
          <w:rFonts w:ascii="Simplified Arabic" w:hAnsi="Simplified Arabic" w:cs="Simplified Arabic" w:hint="cs"/>
          <w:sz w:val="24"/>
          <w:szCs w:val="24"/>
        </w:rPr>
        <w:t>ويُبقي السيناريو "ب" على الاجتماع السنوي للأطراف، مع الحفاظ على دورة صنع القرار السنوية الحالية وكذلك دورتي التقييم وتجديد الموارد، بينما يُعدّل طرائق عقد اجتماعات الفريق العامل المفتوح العضوية ولجنة التنفيذ. ويذهب السيناريو "ج" إلى أبعد من ذلك فيغيّر دورة صنع القرار نفسها، بعقد اجتماعات الأطراف كل سنتين، وإدخال تغييرات مماثلة على طرائق اجتماعات الفريق العامل المفتوح العضوية ولجنة التنفيذ، وكذلك على دورتي التقييم وتجديد الموارد. وبالتالي، يمثل السيناريوهان ب وج تعديلات يسهل تحديدها وتنفيذها على الترتيبات ال</w:t>
      </w:r>
      <w:r w:rsidRPr="00AF6E29">
        <w:rPr>
          <w:rFonts w:ascii="Simplified Arabic" w:hAnsi="Simplified Arabic" w:cs="Simplified Arabic" w:hint="cs"/>
          <w:sz w:val="24"/>
          <w:szCs w:val="24"/>
        </w:rPr>
        <w:t>حالية الواردة في السيناريو أ، مع درجات مختلفة من التغيير، ما من شأنه أن يساعد على ضمان استمرار سير عمل معاهدات الأوزون بكفاءة وفعالية.</w:t>
      </w:r>
    </w:p>
    <w:p w14:paraId="5D3CADA0" w14:textId="3084F315" w:rsidR="001F056A" w:rsidRPr="00AF6E29" w:rsidRDefault="003B6B46">
      <w:pPr>
        <w:pStyle w:val="Normalnumber"/>
        <w:tabs>
          <w:tab w:val="clear" w:pos="1247"/>
          <w:tab w:val="clear" w:pos="1814"/>
          <w:tab w:val="clear" w:pos="2381"/>
          <w:tab w:val="clear" w:pos="2948"/>
          <w:tab w:val="clear" w:pos="3515"/>
          <w:tab w:val="left" w:pos="624"/>
        </w:tabs>
        <w:ind w:left="1247"/>
        <w:rPr>
          <w:rFonts w:ascii="Simplified Arabic" w:hAnsi="Simplified Arabic" w:cs="Simplified Arabic" w:hint="cs"/>
          <w:sz w:val="24"/>
          <w:szCs w:val="24"/>
        </w:rPr>
      </w:pPr>
      <w:r w:rsidRPr="00AF6E29">
        <w:rPr>
          <w:rFonts w:ascii="Simplified Arabic" w:hAnsi="Simplified Arabic" w:cs="Simplified Arabic" w:hint="cs"/>
          <w:sz w:val="24"/>
          <w:szCs w:val="24"/>
        </w:rPr>
        <w:t>وعند وضع السيناريوهات، نظرت الأمانة أيضًا في إمكانيات أخرى، بما فيها الزيادة في خفض وتيرة انعقاد الاجتماعات، مثل اعتماد دورة ثلاثية السنوات لاجتماع الأطراف مع خفض عدد اجتماعات الفريق العامل المفتوح العضوية. ومع ذلك، فإن من شأن مثل هذه الترتيبات أن تمثل انحرافات أكبر عن الممارسة الحالية وقد تؤدي إلى اضطرابات كبيرة في سير عمل بروتوكول مونتريال، مع ما قد يترتب على ذلك من آثار على فعالية واستدامة ترتيباته المؤسسية.</w:t>
      </w:r>
    </w:p>
    <w:p w14:paraId="0F6F5235" w14:textId="5CBD5953" w:rsidR="001F056A" w:rsidRPr="00AF6E29" w:rsidRDefault="003B6B46">
      <w:pPr>
        <w:pStyle w:val="Normalnumber"/>
        <w:tabs>
          <w:tab w:val="clear" w:pos="1247"/>
          <w:tab w:val="clear" w:pos="1814"/>
          <w:tab w:val="clear" w:pos="2381"/>
          <w:tab w:val="clear" w:pos="2948"/>
          <w:tab w:val="clear" w:pos="3515"/>
          <w:tab w:val="left" w:pos="624"/>
        </w:tabs>
        <w:ind w:left="1247"/>
        <w:rPr>
          <w:rFonts w:ascii="Simplified Arabic" w:hAnsi="Simplified Arabic" w:cs="Simplified Arabic" w:hint="cs"/>
          <w:sz w:val="24"/>
          <w:szCs w:val="24"/>
        </w:rPr>
      </w:pPr>
      <w:r w:rsidRPr="00AF6E29">
        <w:rPr>
          <w:rFonts w:ascii="Simplified Arabic" w:hAnsi="Simplified Arabic" w:cs="Simplified Arabic" w:hint="cs"/>
          <w:sz w:val="24"/>
          <w:szCs w:val="24"/>
        </w:rPr>
        <w:t>ويمكن أيضًا تصور العديد من التغييرات الأخرى في طرائق عقد الاجتماعات، بما في ذلك تقليص مدة الاجتماعات التي تتطلب حضورًا شخصيًّا، وإضافة اجتماعات تُعقد عن بُعد ذات مدد مختلفة أو الاستعاضة عنها بها، وعقد اجتماعات دون ترجمة شفوية. ومن شأن تطبيق مجموعات مختلفة من هذه الطرائق على اجتماعات الأطراف واجتماعات مختلف الهيئات الفرعية أن يؤدي إلى وقوع عدد كبير جدًا من السيناريوهات المحتملة، التي قد يكون الاختلاف في العديد منها ضئيلًا مقارنةً بالسيناريوهات الأساسية نفسها بدلاً من أن تمثل نُهُجًا متميزة ماديًا.</w:t>
      </w:r>
    </w:p>
    <w:p w14:paraId="3BBBD119" w14:textId="49BC6215" w:rsidR="001F056A" w:rsidRPr="00AF6E29" w:rsidRDefault="003B6B46">
      <w:pPr>
        <w:pStyle w:val="Normalnumber"/>
        <w:tabs>
          <w:tab w:val="clear" w:pos="1247"/>
          <w:tab w:val="clear" w:pos="1814"/>
          <w:tab w:val="clear" w:pos="2381"/>
          <w:tab w:val="clear" w:pos="2948"/>
          <w:tab w:val="clear" w:pos="3515"/>
          <w:tab w:val="left" w:pos="624"/>
        </w:tabs>
        <w:ind w:left="1247"/>
        <w:rPr>
          <w:rFonts w:ascii="Simplified Arabic" w:hAnsi="Simplified Arabic" w:cs="Simplified Arabic" w:hint="cs"/>
          <w:sz w:val="24"/>
          <w:szCs w:val="24"/>
        </w:rPr>
      </w:pPr>
      <w:r w:rsidRPr="00AF6E29">
        <w:rPr>
          <w:rFonts w:ascii="Simplified Arabic" w:hAnsi="Simplified Arabic" w:cs="Simplified Arabic" w:hint="cs"/>
          <w:sz w:val="24"/>
          <w:szCs w:val="24"/>
        </w:rPr>
        <w:t xml:space="preserve">وبدلاً من محاولة عرض كل مجموعة ممكنة من هذه الأساليب، وضعت الأمانة السيناريوهات الثلاثة بوصفها أساسًا منظمًا للنظر في مجموعة من الترتيبات الممكنة. في القسم الرابع من الوثيقة </w:t>
      </w:r>
      <w:r w:rsidRPr="00AF6E29">
        <w:rPr>
          <w:rFonts w:ascii="Simplified Arabic" w:hAnsi="Simplified Arabic" w:cs="Simplified Arabic" w:hint="cs"/>
          <w:sz w:val="24"/>
          <w:szCs w:val="24"/>
        </w:rPr>
        <w:lastRenderedPageBreak/>
        <w:t>UNEP/OzL.Pro.WG.1/48/4، التي نوقِشت في الاجتماع الثامن والأربعين للفريق العامل المفتوح العضوية، أُدرجت بعض تكاليف الاجتماعات المرتبطة بمختلف الطرائق لتمكين الأطراف من وضع تصورات إضافية أو بديلة للسيناريوهات والاجتماعات. وقد جرى تحديث تقديرات التكلفة في هذه الوثيقة.</w:t>
      </w:r>
    </w:p>
    <w:p w14:paraId="23C98CFF" w14:textId="1B19A0FD" w:rsidR="001F056A" w:rsidRPr="00AF6E29" w:rsidRDefault="003B6B46">
      <w:pPr>
        <w:pStyle w:val="Normalnumber"/>
        <w:tabs>
          <w:tab w:val="clear" w:pos="1247"/>
          <w:tab w:val="clear" w:pos="1814"/>
          <w:tab w:val="clear" w:pos="2381"/>
          <w:tab w:val="clear" w:pos="2948"/>
          <w:tab w:val="clear" w:pos="3515"/>
          <w:tab w:val="left" w:pos="624"/>
        </w:tabs>
        <w:ind w:left="1247"/>
        <w:rPr>
          <w:rFonts w:ascii="Simplified Arabic" w:hAnsi="Simplified Arabic" w:cs="Simplified Arabic" w:hint="cs"/>
          <w:sz w:val="24"/>
          <w:szCs w:val="24"/>
        </w:rPr>
      </w:pPr>
      <w:r w:rsidRPr="00AF6E29">
        <w:rPr>
          <w:rFonts w:ascii="Simplified Arabic" w:hAnsi="Simplified Arabic" w:cs="Simplified Arabic" w:hint="cs"/>
          <w:sz w:val="24"/>
          <w:szCs w:val="24"/>
        </w:rPr>
        <w:t>لذلك، ينبغي ألّا تُفهم السيناريوهات المعروضة في الوثيقة UNEP/OzL.Pro.WG.1/48/4 على أنها المجموعة الوحيدة من التصورات المستقبلية المحتملة، بل ينبغي أن تُفهم على أنها مجموعة مُختارة بهدف توضيح خيارات التغيير المعقولة التي تحافظ على استدامة معاهدات الأوزون، وتوفير أساس للنظر في المزيد من التبديلات.</w:t>
      </w:r>
    </w:p>
    <w:p w14:paraId="2BBA5482" w14:textId="206B24C7" w:rsidR="001F056A" w:rsidRPr="00810BEB" w:rsidRDefault="003B6B46">
      <w:pPr>
        <w:pStyle w:val="CH2"/>
        <w:rPr>
          <w:rFonts w:ascii="Simplified Arabic" w:hAnsi="Simplified Arabic" w:cs="Simplified Arabic" w:hint="cs"/>
          <w:b w:val="0"/>
          <w:bCs/>
          <w:sz w:val="26"/>
          <w:szCs w:val="26"/>
        </w:rPr>
      </w:pPr>
      <w:r w:rsidRPr="00810BEB">
        <w:rPr>
          <w:rFonts w:ascii="Simplified Arabic" w:hAnsi="Simplified Arabic" w:cs="Simplified Arabic" w:hint="cs"/>
          <w:b w:val="0"/>
          <w:bCs/>
          <w:sz w:val="26"/>
          <w:szCs w:val="26"/>
        </w:rPr>
        <w:tab/>
        <w:t>ب.</w:t>
      </w:r>
      <w:r w:rsidRPr="00810BEB">
        <w:rPr>
          <w:rFonts w:ascii="Simplified Arabic" w:hAnsi="Simplified Arabic" w:cs="Simplified Arabic" w:hint="cs"/>
          <w:b w:val="0"/>
          <w:bCs/>
          <w:sz w:val="26"/>
          <w:szCs w:val="26"/>
        </w:rPr>
        <w:tab/>
        <w:t>الآثار المترتبة على السيناريوهات</w:t>
      </w:r>
    </w:p>
    <w:p w14:paraId="65C389B2" w14:textId="74C0B986" w:rsidR="001F056A" w:rsidRPr="00810BEB" w:rsidRDefault="003B6B46">
      <w:pPr>
        <w:pStyle w:val="Normalnumber"/>
        <w:tabs>
          <w:tab w:val="clear" w:pos="1247"/>
          <w:tab w:val="clear" w:pos="1814"/>
          <w:tab w:val="clear" w:pos="2381"/>
          <w:tab w:val="clear" w:pos="2948"/>
          <w:tab w:val="clear" w:pos="3515"/>
          <w:tab w:val="left" w:pos="624"/>
        </w:tabs>
        <w:ind w:left="1247"/>
        <w:rPr>
          <w:rFonts w:ascii="Simplified Arabic" w:hAnsi="Simplified Arabic" w:cs="Simplified Arabic" w:hint="cs"/>
          <w:sz w:val="24"/>
          <w:szCs w:val="24"/>
        </w:rPr>
      </w:pPr>
      <w:r w:rsidRPr="00810BEB">
        <w:rPr>
          <w:rFonts w:ascii="Simplified Arabic" w:hAnsi="Simplified Arabic" w:cs="Simplified Arabic" w:hint="cs"/>
          <w:sz w:val="24"/>
          <w:szCs w:val="24"/>
        </w:rPr>
        <w:t>تترتب على السيناريوهات المعروضة في الوثيقة UNEP/OzL.Pro.WG.1/48/4 آثار مختلفة على تنفيذ بروتوكول مونتريال وتعديل كيغالي الخاص به، وذلك تبعًا لمدى تأثير الظروف التي يمثلها كل سيناريو على توقيت القرارات ومدى ملاءمتها زمنياً وعلى قدرة الأطراف على اتخاذ القرارات اللازمة للمضي بالتنفيذ قدمًا.</w:t>
      </w:r>
    </w:p>
    <w:p w14:paraId="7D881990" w14:textId="3FAEE520" w:rsidR="001F056A" w:rsidRPr="00810BEB" w:rsidRDefault="003B6B46">
      <w:pPr>
        <w:pStyle w:val="Normalnumber"/>
        <w:tabs>
          <w:tab w:val="clear" w:pos="1247"/>
          <w:tab w:val="clear" w:pos="1814"/>
          <w:tab w:val="clear" w:pos="2381"/>
          <w:tab w:val="clear" w:pos="2948"/>
          <w:tab w:val="clear" w:pos="3515"/>
          <w:tab w:val="left" w:pos="624"/>
        </w:tabs>
        <w:ind w:left="1247"/>
        <w:rPr>
          <w:rFonts w:ascii="Simplified Arabic" w:hAnsi="Simplified Arabic" w:cs="Simplified Arabic" w:hint="cs"/>
          <w:sz w:val="24"/>
          <w:szCs w:val="24"/>
        </w:rPr>
      </w:pPr>
      <w:r w:rsidRPr="00810BEB">
        <w:rPr>
          <w:rFonts w:ascii="Simplified Arabic" w:hAnsi="Simplified Arabic" w:cs="Simplified Arabic" w:hint="cs"/>
          <w:sz w:val="24"/>
          <w:szCs w:val="24"/>
        </w:rPr>
        <w:t>وسيستمر تطبيق تدابير الرقابة والإبلاغ عن البيانات والالتزامات الأخرى بموجب بروتوكول مونتريال، بما في ذلك تلك التي استحدثها تعديل كيغالي، وفقًا لجداولها الزمنية المحددة، بغض النظر عن تواتر الاجتماعات وتغير طرائقها. ولذلك، فإن السيناريوهات نفسها لن تُغيِّر التزامات الأطراف أو الجداول الزمنية للتنفيذ، إلّا أنها ستؤثر على وتيرة نظر الأطراف مجتمعةً في مسائل التنفيذ وفي سرعة إعداد الاستجابات السياساتية وإقرارها. وقد يكون لنظر الأطراف مجتمعة في ذلك صلة خاصة بتنفيذ تعديل كيغالي. ومع إحراز الأطراف تقدمًا في الخفض ال</w:t>
      </w:r>
      <w:r w:rsidRPr="00810BEB">
        <w:rPr>
          <w:rFonts w:ascii="Simplified Arabic" w:hAnsi="Simplified Arabic" w:cs="Simplified Arabic" w:hint="cs"/>
          <w:sz w:val="24"/>
          <w:szCs w:val="24"/>
        </w:rPr>
        <w:t>تدريجي المتتالي لمركبات الكربون الهيدروفلورية (HFCs)، قد تبرز مسائل تتعلق بالتنفيذ، بما فيها توافر البدائل واستخدامها، ومعايير السلامة، وكفاءة الطاقة، ومتطلبات الصيانة، والإبلاغ عن بيانات مركبات الكربون الهيدروفلورية، وأنظمة الترخيص والحصص، والتمويل. وقد تتطلب بعض المسائل إجراء دراسة فنية وتبادلًا بين الأطراف قبل التمكن من إعداد استجابة سياساتية أو قرار.</w:t>
      </w:r>
    </w:p>
    <w:p w14:paraId="126E2D01" w14:textId="769D7F40" w:rsidR="001F056A" w:rsidRPr="00810BEB" w:rsidRDefault="003B6B46">
      <w:pPr>
        <w:pStyle w:val="Normalnumber"/>
        <w:tabs>
          <w:tab w:val="clear" w:pos="1247"/>
          <w:tab w:val="clear" w:pos="1814"/>
          <w:tab w:val="clear" w:pos="2381"/>
          <w:tab w:val="clear" w:pos="2948"/>
          <w:tab w:val="clear" w:pos="3515"/>
          <w:tab w:val="left" w:pos="624"/>
        </w:tabs>
        <w:ind w:left="1247"/>
        <w:rPr>
          <w:rFonts w:ascii="Simplified Arabic" w:hAnsi="Simplified Arabic" w:cs="Simplified Arabic" w:hint="cs"/>
          <w:sz w:val="24"/>
          <w:szCs w:val="24"/>
        </w:rPr>
      </w:pPr>
      <w:r w:rsidRPr="00810BEB">
        <w:rPr>
          <w:rFonts w:ascii="Simplified Arabic" w:hAnsi="Simplified Arabic" w:cs="Simplified Arabic" w:hint="cs"/>
          <w:sz w:val="24"/>
          <w:szCs w:val="24"/>
        </w:rPr>
        <w:t xml:space="preserve">ولا تنشأ التطورات العلمية والتقنية والتكنولوجية والتنفيذية، وكذلك القضايا الجديدة والناشئة، بالضرورة وفقًا لدورات الاجتماعات الرسمية. وقد شكلت دورات الاجتماعات والعمل الحالية إطارًا مناسبًا لمعالجة هذه المسائل والتعامل معها، إذ تُعالج أولاً في اجتماعات الفريق العامل المفتوح العضوية ثم في اجتماع الأطراف الذي يليها، وذلك على أساس سنوي. </w:t>
      </w:r>
    </w:p>
    <w:p w14:paraId="1B4DF18C" w14:textId="4EE02338" w:rsidR="001F056A" w:rsidRPr="00810BEB" w:rsidRDefault="003B6B46">
      <w:pPr>
        <w:pStyle w:val="Normalnumber"/>
        <w:tabs>
          <w:tab w:val="clear" w:pos="1247"/>
          <w:tab w:val="clear" w:pos="1814"/>
          <w:tab w:val="clear" w:pos="2381"/>
          <w:tab w:val="clear" w:pos="2948"/>
          <w:tab w:val="clear" w:pos="3515"/>
          <w:tab w:val="left" w:pos="624"/>
        </w:tabs>
        <w:ind w:left="1247"/>
        <w:rPr>
          <w:rFonts w:ascii="Simplified Arabic" w:hAnsi="Simplified Arabic" w:cs="Simplified Arabic" w:hint="cs"/>
          <w:sz w:val="24"/>
          <w:szCs w:val="24"/>
        </w:rPr>
      </w:pPr>
      <w:r w:rsidRPr="00810BEB">
        <w:rPr>
          <w:rFonts w:ascii="Simplified Arabic" w:hAnsi="Simplified Arabic" w:cs="Simplified Arabic" w:hint="cs"/>
          <w:sz w:val="24"/>
          <w:szCs w:val="24"/>
        </w:rPr>
        <w:t xml:space="preserve">ويُبقي السيناريو "ب" على دورات الاجتماعات والعمل الحالية، ولكنه يُدخِل تغييرات على صيغة انعقاد اجتماعات الفريق العامل المفتوح العضوية، ليُصبح عقدها عن بُعد بدلًا من الحضور الشخصي. ومن المرجَّح أن يشابه أثر ذلك على تنفيذ بروتوكول مونتريال وتعديل كيغالي الخاص أثر السيناريو "أ". وتُناقَش في الوثيقة UNEP/OzL.Pro.WG.1/48/4 التحديات المرتبطة بعقد الاجتماعات عن بُعد كما يُشار إليها في هذه الوثيقة، في الفقرة 19 على سبيل المثال. وللتعويض عن فقدان المناقشات المباشرة في الفريق العامل المفتوح العضوية، يُقترح تمديد مدة </w:t>
      </w:r>
      <w:r w:rsidRPr="00810BEB">
        <w:rPr>
          <w:rFonts w:ascii="Simplified Arabic" w:hAnsi="Simplified Arabic" w:cs="Simplified Arabic" w:hint="cs"/>
          <w:sz w:val="24"/>
          <w:szCs w:val="24"/>
        </w:rPr>
        <w:t xml:space="preserve">اجتماع الأطراف لتمكين إجراء المفاوضات الحساسة عبر الحضور الشخصي. وسيُعقد الاجتماع الأول للجنة التنفيذ كل عام عن بُعد أيضًا. كانت التجربة السابقة لعقد اجتماعات لجنة التنفيذ عن بُعد خلال جائحة فيروس كورونا (كوفيد-19) إيجابية، وجرت معالجة جميع المسائل المدرجة على جدول </w:t>
      </w:r>
      <w:r w:rsidRPr="00810BEB">
        <w:rPr>
          <w:rFonts w:ascii="Simplified Arabic" w:hAnsi="Simplified Arabic" w:cs="Simplified Arabic" w:hint="cs"/>
          <w:sz w:val="24"/>
          <w:szCs w:val="24"/>
        </w:rPr>
        <w:lastRenderedPageBreak/>
        <w:t xml:space="preserve">الأعمال في ذلك الوقت. ومن الممكن أن تؤدي الاستعاضة عن الاجتماعات الحضورية بالاجتماعات عن بُعد إلى توفير التكاليف. </w:t>
      </w:r>
    </w:p>
    <w:p w14:paraId="4D4CB95C" w14:textId="241EAB9C" w:rsidR="001F056A" w:rsidRPr="00810BEB" w:rsidRDefault="003B6B46">
      <w:pPr>
        <w:pStyle w:val="Normalnumber"/>
        <w:tabs>
          <w:tab w:val="clear" w:pos="1247"/>
          <w:tab w:val="clear" w:pos="1814"/>
          <w:tab w:val="clear" w:pos="2381"/>
          <w:tab w:val="clear" w:pos="2948"/>
          <w:tab w:val="clear" w:pos="3515"/>
          <w:tab w:val="left" w:pos="624"/>
        </w:tabs>
        <w:ind w:left="1247"/>
        <w:rPr>
          <w:rFonts w:ascii="Simplified Arabic" w:hAnsi="Simplified Arabic" w:cs="Simplified Arabic" w:hint="cs"/>
          <w:sz w:val="24"/>
          <w:szCs w:val="24"/>
        </w:rPr>
      </w:pPr>
      <w:r w:rsidRPr="00810BEB">
        <w:rPr>
          <w:rFonts w:ascii="Simplified Arabic" w:hAnsi="Simplified Arabic" w:cs="Simplified Arabic" w:hint="cs"/>
          <w:sz w:val="24"/>
          <w:szCs w:val="24"/>
        </w:rPr>
        <w:t xml:space="preserve">وبموجب السيناريو "ج"، ستُعقد اجتماعات الفريق العامل المفتوح العضوية واجتماعات الأطراف بالتناوب السنوي، بدلًا من عقد كليهما كل عام. وستشكل العاقبة الأساسية لذلك في اتساع الفجوة الزمنية بين موعد نظر الفريق العامل المفتوح العضوية لأول مرة في المسائل وإعداد الاستجابات وموعد تقديمها لاحقًا، عند الاقتضاء، إلى اجتماع الأطراف لاتخاذ قرار بشأنها. ونتيجة لذلك، قد تظل إحدى المسائل معلَّقة حتى السنة التالية لاجتماع الفريق العامل المفتوح العضوية. وعلى العكس من ذلك، قد تطرأ فجأة مسألة تستلزم النظر فيها على وجه السرعة في </w:t>
      </w:r>
      <w:r w:rsidRPr="00810BEB">
        <w:rPr>
          <w:rFonts w:ascii="Simplified Arabic" w:hAnsi="Simplified Arabic" w:cs="Simplified Arabic" w:hint="cs"/>
          <w:sz w:val="24"/>
          <w:szCs w:val="24"/>
        </w:rPr>
        <w:t xml:space="preserve">اجتماع للأطراف دون أن يسبق للفريق العامل المفتوح العضوية النظر فيها، مما يحرم الأطراف من فرص التوصل إلى فهم مشترك ووضع مقترحات ناضجة قبل أن يصبح اتخاذ القرارات أمرًا لازمًا. وتشمل سبل الحدّ من أوجه القصور المحتملة للسيناريو "ج" تعزيز التخطيط لجداول الأعمال على مدى عدة السنوات؛ والتحديد المبكر للمسائل التي تستلزم اتخاذ اجتماع الأطراف قرارًا بشأنها؛ والاستعانة بالمشاورات فيما بين الدورات على النحو المناسب؛ والإبقاء على إمكانية عقد اجتماعات إضافية أو استثنائية عند الاقتضاء. </w:t>
      </w:r>
    </w:p>
    <w:p w14:paraId="1B2E5EF0" w14:textId="7DD3A098" w:rsidR="001F056A" w:rsidRPr="00810BEB" w:rsidRDefault="003B6B46">
      <w:pPr>
        <w:pStyle w:val="Normalnumber"/>
        <w:tabs>
          <w:tab w:val="clear" w:pos="1247"/>
          <w:tab w:val="clear" w:pos="1814"/>
          <w:tab w:val="clear" w:pos="2381"/>
          <w:tab w:val="clear" w:pos="2948"/>
          <w:tab w:val="clear" w:pos="3515"/>
          <w:tab w:val="left" w:pos="624"/>
        </w:tabs>
        <w:ind w:left="1247"/>
        <w:rPr>
          <w:rFonts w:ascii="Simplified Arabic" w:hAnsi="Simplified Arabic" w:cs="Simplified Arabic" w:hint="cs"/>
          <w:sz w:val="24"/>
          <w:szCs w:val="24"/>
        </w:rPr>
      </w:pPr>
      <w:r w:rsidRPr="00810BEB">
        <w:rPr>
          <w:rFonts w:ascii="Simplified Arabic" w:hAnsi="Simplified Arabic" w:cs="Simplified Arabic" w:hint="cs"/>
          <w:sz w:val="24"/>
          <w:szCs w:val="24"/>
        </w:rPr>
        <w:t>ويمكن أن يحقق السيناريو "ج" وفورات كبيرة في التكاليف من خلال خفض عدد الاجتماعات المعقودة سنويًّا وما يرتبط بذلك من تغييرات في دورات عمل أفرقة التقييم ولجان الخيارات التقنية وفرق العمل التابعة لفريق الخبراء المعني بالتقييم التكنولوجي والاقتصادي، بما في ذلك أعمالها المتعلقة بتجديد موارد الصندوق المتعدد الأطراف. ومع ذلك، سيتعيَّن النظر في هذه الوفورات جنبًا إلى جنب مع الحاجة المحتملة إلى تكثيف العمل والعمليات فيما بين الدورات، بما يكفل استمرارية العمل ويضمن قدرًا كافيًا من المرونة والقدرة على الاستجابة في العم</w:t>
      </w:r>
      <w:r w:rsidRPr="00810BEB">
        <w:rPr>
          <w:rFonts w:ascii="Simplified Arabic" w:hAnsi="Simplified Arabic" w:cs="Simplified Arabic" w:hint="cs"/>
          <w:sz w:val="24"/>
          <w:szCs w:val="24"/>
        </w:rPr>
        <w:t>ليات، دعمًا لتنفيذ بروتوكول مونتريال وتعديل كيغالي الخاص به في الوقت المناسب، ولمعالجة القضايا الجديدة والناشئة.</w:t>
      </w:r>
    </w:p>
    <w:p w14:paraId="349F7B21" w14:textId="4E611526" w:rsidR="001F056A" w:rsidRPr="00810BEB" w:rsidRDefault="003B6B46">
      <w:pPr>
        <w:pStyle w:val="Normalnumber"/>
        <w:tabs>
          <w:tab w:val="clear" w:pos="1247"/>
          <w:tab w:val="clear" w:pos="1814"/>
          <w:tab w:val="clear" w:pos="2381"/>
          <w:tab w:val="clear" w:pos="2948"/>
          <w:tab w:val="clear" w:pos="3515"/>
          <w:tab w:val="left" w:pos="624"/>
        </w:tabs>
        <w:ind w:left="1247"/>
        <w:rPr>
          <w:rFonts w:ascii="Simplified Arabic" w:hAnsi="Simplified Arabic" w:cs="Simplified Arabic" w:hint="cs"/>
          <w:sz w:val="24"/>
          <w:szCs w:val="24"/>
        </w:rPr>
      </w:pPr>
      <w:r w:rsidRPr="00810BEB">
        <w:rPr>
          <w:rFonts w:ascii="Simplified Arabic" w:hAnsi="Simplified Arabic" w:cs="Simplified Arabic" w:hint="cs"/>
          <w:sz w:val="24"/>
          <w:szCs w:val="24"/>
        </w:rPr>
        <w:t xml:space="preserve">وبالنسبة للأطراف العاملة بموجب الفقرة 1 من المادة 5 من بروتوكول مونتريال (الأطراف العاملة بموجب المادة 5)، يحظى التنفيذ بدعم كبير من الصندوق المتعدد الأطراف. وتتولى اللجنة التنفيذية للصندوق إدارة عملياته، ولكن تُعرَض المسائل المتعلقة بالسياسات العامة على اجتماع الأطراف للنظر فيها واتخاذ قرارات بشأنها. ولذلك، لا يُرجَّح أن تؤدي الآثار العملية لاتخاذ اجتماعات الأطراف القرارات كل سنتين، بدلًا من اتخاذها سنويًا، إلى حدوث تعطيل كبير في تنفيذ الدول الأطراف العاملة بموجب المادة 5 بروتوكولَ مونتريال وتعديلَ كيغالي </w:t>
      </w:r>
      <w:r w:rsidRPr="00810BEB">
        <w:rPr>
          <w:rFonts w:ascii="Simplified Arabic" w:hAnsi="Simplified Arabic" w:cs="Simplified Arabic" w:hint="cs"/>
          <w:sz w:val="24"/>
          <w:szCs w:val="24"/>
        </w:rPr>
        <w:t xml:space="preserve">الخاص به، ما دامت عمليات اللجنة التنفيذية مستمرة فيما يتعلق بالمشاريع ووضع السياسات ذات الصلة والموافقة عليها. </w:t>
      </w:r>
    </w:p>
    <w:p w14:paraId="6E101FDF" w14:textId="39CE2B03" w:rsidR="001F056A" w:rsidRPr="00810BEB" w:rsidRDefault="003B6B46">
      <w:pPr>
        <w:pStyle w:val="Normalnumber"/>
        <w:tabs>
          <w:tab w:val="clear" w:pos="1247"/>
          <w:tab w:val="clear" w:pos="1814"/>
          <w:tab w:val="clear" w:pos="2381"/>
          <w:tab w:val="clear" w:pos="2948"/>
          <w:tab w:val="clear" w:pos="3515"/>
          <w:tab w:val="left" w:pos="624"/>
        </w:tabs>
        <w:ind w:left="1247"/>
        <w:rPr>
          <w:rFonts w:ascii="Simplified Arabic" w:hAnsi="Simplified Arabic" w:cs="Simplified Arabic" w:hint="cs"/>
          <w:sz w:val="24"/>
          <w:szCs w:val="24"/>
        </w:rPr>
      </w:pPr>
      <w:r w:rsidRPr="00810BEB">
        <w:rPr>
          <w:rFonts w:ascii="Simplified Arabic" w:hAnsi="Simplified Arabic" w:cs="Simplified Arabic" w:hint="cs"/>
          <w:sz w:val="24"/>
          <w:szCs w:val="24"/>
        </w:rPr>
        <w:t>وسيتوقف تأثير إطالة الفترات الفاصلة بين اعتماد القرارات في اجتماعات الأطراف على طبيعة المسائل التي تطرأ ومدى إلحاحها. ويمكن مواصلة معالجة العديد من المسائل من خلال أعمال الأمانة وأفرقة التقييم ولجنة التنفيذ واللجنة التنفيذية وغيرها من الآليات القائمة. ومن شأن المشاورات فيما بين الدورات والاجتماعات الافتراضية أن تُيسّر أيضًا تبادل المعلومات وبلورة المسائل في الفترة الفاصلة بين الاجتماعات الرسمية. ويمكن عقد اجتماعات استثنائية للأطراف أو اتخاذ قرارات باتباع إجراء عدم الاعتراض من أجل البتّ في المسائل العاجلة. و</w:t>
      </w:r>
      <w:r w:rsidRPr="00810BEB">
        <w:rPr>
          <w:rFonts w:ascii="Simplified Arabic" w:hAnsi="Simplified Arabic" w:cs="Simplified Arabic" w:hint="cs"/>
          <w:sz w:val="24"/>
          <w:szCs w:val="24"/>
        </w:rPr>
        <w:t>يمكن أن تسهم هذه الترتيبات في التخفيف من بعض الآثار المترتبة على السيناريو "ج"، وإن كان من الممكن أن تترتب عليها أيضًا أعباء إضافية من العمل فيما بين الدورات واحتياجات إضافية من الموارد.</w:t>
      </w:r>
    </w:p>
    <w:p w14:paraId="622C93FC" w14:textId="77777777" w:rsidR="001F056A" w:rsidRPr="00810BEB" w:rsidRDefault="003B6B46">
      <w:pPr>
        <w:pStyle w:val="Normalnumber"/>
        <w:tabs>
          <w:tab w:val="clear" w:pos="1247"/>
          <w:tab w:val="clear" w:pos="1814"/>
          <w:tab w:val="clear" w:pos="2381"/>
          <w:tab w:val="clear" w:pos="2948"/>
          <w:tab w:val="clear" w:pos="3515"/>
          <w:tab w:val="left" w:pos="624"/>
        </w:tabs>
        <w:ind w:left="1247"/>
        <w:rPr>
          <w:rFonts w:ascii="Simplified Arabic" w:hAnsi="Simplified Arabic" w:cs="Simplified Arabic" w:hint="cs"/>
          <w:sz w:val="24"/>
          <w:szCs w:val="24"/>
        </w:rPr>
        <w:sectPr w:rsidR="001F056A" w:rsidRPr="00810BEB" w:rsidSect="00631328">
          <w:headerReference w:type="even" r:id="rId13"/>
          <w:headerReference w:type="default" r:id="rId14"/>
          <w:footerReference w:type="even" r:id="rId15"/>
          <w:footerReference w:type="default" r:id="rId16"/>
          <w:pgSz w:w="11907" w:h="16839" w:code="9"/>
          <w:pgMar w:top="907" w:right="992" w:bottom="1418" w:left="1418" w:header="539" w:footer="975" w:gutter="0"/>
          <w:cols w:space="539"/>
          <w:titlePg/>
          <w:docGrid w:linePitch="360"/>
        </w:sectPr>
      </w:pPr>
      <w:r w:rsidRPr="00810BEB">
        <w:rPr>
          <w:rFonts w:ascii="Simplified Arabic" w:hAnsi="Simplified Arabic" w:cs="Simplified Arabic" w:hint="cs"/>
          <w:sz w:val="24"/>
          <w:szCs w:val="24"/>
        </w:rPr>
        <w:lastRenderedPageBreak/>
        <w:t xml:space="preserve">يلخِّص الجدول 1 الآثار المترتبة على السيناريوهات الأساسية الثلاثة فيما يتعلق بالجوانب التي تناولتها المناقشات والمسائل التي أثارتها الأطراف؛ وقد جرى تناول بعض هذه الجوانب في الفقرات أعلاه. أُعيد إيراد بعض الإيضاحات الواردة في الوثيقة UNEP/OzL.Pro.WG.1/48/4. </w:t>
      </w:r>
    </w:p>
    <w:p w14:paraId="13FE2872" w14:textId="0A223C32" w:rsidR="001F056A" w:rsidRDefault="003B6B46">
      <w:pPr>
        <w:pStyle w:val="Titletable"/>
      </w:pPr>
      <w:r>
        <w:rPr>
          <w:b w:val="0"/>
        </w:rPr>
        <w:lastRenderedPageBreak/>
        <w:t xml:space="preserve">الجدول 1 </w:t>
      </w:r>
      <w:r>
        <w:br/>
      </w:r>
      <w:r w:rsidRPr="00810BEB">
        <w:rPr>
          <w:rFonts w:ascii="Simplified Arabic" w:hAnsi="Simplified Arabic" w:cs="Simplified Arabic" w:hint="cs"/>
          <w:sz w:val="26"/>
          <w:szCs w:val="26"/>
        </w:rPr>
        <w:t>أوصاف موجزة للسيناريوهات "أ" و"ب" و"ج" والآثار المترتبة عليها</w:t>
      </w:r>
    </w:p>
    <w:tbl>
      <w:tblPr>
        <w:bidiVisual/>
        <w:tblW w:w="5000" w:type="pct"/>
        <w:jc w:val="right"/>
        <w:tblCellMar>
          <w:left w:w="10" w:type="dxa"/>
          <w:right w:w="10" w:type="dxa"/>
        </w:tblCellMar>
        <w:tblLook w:val="0000" w:firstRow="0" w:lastRow="0" w:firstColumn="0" w:lastColumn="0" w:noHBand="0" w:noVBand="0"/>
      </w:tblPr>
      <w:tblGrid>
        <w:gridCol w:w="1701"/>
        <w:gridCol w:w="3544"/>
        <w:gridCol w:w="4678"/>
        <w:gridCol w:w="4506"/>
      </w:tblGrid>
      <w:tr w:rsidR="001F056A" w:rsidRPr="00FA5381" w14:paraId="75C1C53F" w14:textId="77777777">
        <w:trPr>
          <w:trHeight w:val="57"/>
          <w:tblHeader/>
          <w:jc w:val="right"/>
        </w:trPr>
        <w:tc>
          <w:tcPr>
            <w:tcW w:w="1701" w:type="dxa"/>
            <w:tcBorders>
              <w:top w:val="single" w:sz="4" w:space="0" w:color="auto"/>
              <w:bottom w:val="single" w:sz="12" w:space="0" w:color="auto"/>
            </w:tcBorders>
            <w:tcMar>
              <w:top w:w="40" w:type="dxa"/>
              <w:left w:w="80" w:type="dxa"/>
              <w:bottom w:w="40" w:type="dxa"/>
              <w:right w:w="80" w:type="dxa"/>
            </w:tcMar>
            <w:vAlign w:val="bottom"/>
          </w:tcPr>
          <w:p w14:paraId="2A1D407D" w14:textId="77777777" w:rsidR="001F056A" w:rsidRPr="00FA5381" w:rsidRDefault="003B6B46">
            <w:pPr>
              <w:pStyle w:val="P68B1DB1-Normal-pool-Table1"/>
              <w:spacing w:before="20" w:after="60"/>
              <w:rPr>
                <w:rFonts w:ascii="Simplified Arabic" w:hAnsi="Simplified Arabic" w:cs="Simplified Arabic" w:hint="cs"/>
              </w:rPr>
            </w:pPr>
            <w:r w:rsidRPr="00FA5381">
              <w:rPr>
                <w:rFonts w:ascii="Simplified Arabic" w:hAnsi="Simplified Arabic" w:cs="Simplified Arabic" w:hint="cs"/>
              </w:rPr>
              <w:t>الجانب</w:t>
            </w:r>
          </w:p>
        </w:tc>
        <w:tc>
          <w:tcPr>
            <w:tcW w:w="3544" w:type="dxa"/>
            <w:tcBorders>
              <w:top w:val="single" w:sz="4" w:space="0" w:color="auto"/>
              <w:bottom w:val="single" w:sz="12" w:space="0" w:color="auto"/>
            </w:tcBorders>
            <w:tcMar>
              <w:top w:w="40" w:type="dxa"/>
              <w:left w:w="80" w:type="dxa"/>
              <w:bottom w:w="40" w:type="dxa"/>
              <w:right w:w="80" w:type="dxa"/>
            </w:tcMar>
            <w:vAlign w:val="bottom"/>
          </w:tcPr>
          <w:p w14:paraId="3F3FBEC5" w14:textId="77777777" w:rsidR="001F056A" w:rsidRPr="00FA5381" w:rsidRDefault="003B6B46">
            <w:pPr>
              <w:pStyle w:val="P68B1DB1-Normal-pool-Table1"/>
              <w:spacing w:before="20" w:after="60"/>
              <w:rPr>
                <w:rFonts w:ascii="Simplified Arabic" w:hAnsi="Simplified Arabic" w:cs="Simplified Arabic" w:hint="cs"/>
              </w:rPr>
            </w:pPr>
            <w:r w:rsidRPr="00FA5381">
              <w:rPr>
                <w:rFonts w:ascii="Simplified Arabic" w:hAnsi="Simplified Arabic" w:cs="Simplified Arabic" w:hint="cs"/>
              </w:rPr>
              <w:t>السيناريو "أ" (استمرار الحالة كالعادة)</w:t>
            </w:r>
          </w:p>
        </w:tc>
        <w:tc>
          <w:tcPr>
            <w:tcW w:w="4678" w:type="dxa"/>
            <w:tcBorders>
              <w:top w:val="single" w:sz="4" w:space="0" w:color="auto"/>
              <w:bottom w:val="single" w:sz="12" w:space="0" w:color="auto"/>
            </w:tcBorders>
            <w:tcMar>
              <w:top w:w="40" w:type="dxa"/>
              <w:left w:w="80" w:type="dxa"/>
              <w:bottom w:w="40" w:type="dxa"/>
              <w:right w:w="80" w:type="dxa"/>
            </w:tcMar>
            <w:vAlign w:val="bottom"/>
          </w:tcPr>
          <w:p w14:paraId="3F9F24ED" w14:textId="32E5FB57" w:rsidR="001F056A" w:rsidRPr="00FA5381" w:rsidRDefault="003B6B46">
            <w:pPr>
              <w:pStyle w:val="P68B1DB1-Normal-pool-Table1"/>
              <w:spacing w:before="20" w:after="60"/>
              <w:rPr>
                <w:rFonts w:ascii="Simplified Arabic" w:hAnsi="Simplified Arabic" w:cs="Simplified Arabic" w:hint="cs"/>
              </w:rPr>
            </w:pPr>
            <w:r w:rsidRPr="00FA5381">
              <w:rPr>
                <w:rFonts w:ascii="Simplified Arabic" w:hAnsi="Simplified Arabic" w:cs="Simplified Arabic" w:hint="cs"/>
              </w:rPr>
              <w:t>السيناريو "ب" (اجتماع الأطراف السنوي الممدد)</w:t>
            </w:r>
          </w:p>
        </w:tc>
        <w:tc>
          <w:tcPr>
            <w:tcW w:w="4506" w:type="dxa"/>
            <w:tcBorders>
              <w:top w:val="single" w:sz="4" w:space="0" w:color="auto"/>
              <w:bottom w:val="single" w:sz="12" w:space="0" w:color="auto"/>
            </w:tcBorders>
            <w:tcMar>
              <w:top w:w="40" w:type="dxa"/>
              <w:left w:w="80" w:type="dxa"/>
              <w:bottom w:w="40" w:type="dxa"/>
              <w:right w:w="80" w:type="dxa"/>
            </w:tcMar>
            <w:vAlign w:val="bottom"/>
          </w:tcPr>
          <w:p w14:paraId="57586905" w14:textId="77777777" w:rsidR="001F056A" w:rsidRPr="00FA5381" w:rsidRDefault="003B6B46">
            <w:pPr>
              <w:pStyle w:val="P68B1DB1-Normal-pool-Table1"/>
              <w:spacing w:before="20" w:after="60"/>
              <w:rPr>
                <w:rFonts w:ascii="Simplified Arabic" w:hAnsi="Simplified Arabic" w:cs="Simplified Arabic" w:hint="cs"/>
              </w:rPr>
            </w:pPr>
            <w:r w:rsidRPr="00FA5381">
              <w:rPr>
                <w:rFonts w:ascii="Simplified Arabic" w:hAnsi="Simplified Arabic" w:cs="Simplified Arabic" w:hint="cs"/>
              </w:rPr>
              <w:t>السيناريو "ج" (اجتماع الأطراف كل سنتين)</w:t>
            </w:r>
          </w:p>
        </w:tc>
      </w:tr>
      <w:tr w:rsidR="001F056A" w:rsidRPr="00FA5381" w14:paraId="52E16E96" w14:textId="77777777">
        <w:trPr>
          <w:trHeight w:val="57"/>
          <w:jc w:val="right"/>
        </w:trPr>
        <w:tc>
          <w:tcPr>
            <w:tcW w:w="1701" w:type="dxa"/>
            <w:tcBorders>
              <w:top w:val="single" w:sz="12" w:space="0" w:color="auto"/>
              <w:bottom w:val="single" w:sz="4" w:space="0" w:color="auto"/>
            </w:tcBorders>
            <w:tcMar>
              <w:top w:w="40" w:type="dxa"/>
              <w:left w:w="80" w:type="dxa"/>
              <w:bottom w:w="40" w:type="dxa"/>
              <w:right w:w="80" w:type="dxa"/>
            </w:tcMar>
          </w:tcPr>
          <w:p w14:paraId="31FBD507" w14:textId="5E6BFC4A" w:rsidR="001F056A" w:rsidRPr="00FA5381" w:rsidRDefault="003B6B46">
            <w:pPr>
              <w:pStyle w:val="P68B1DB1-Normal-pool-Table2"/>
              <w:spacing w:before="20" w:after="60"/>
              <w:rPr>
                <w:rFonts w:ascii="Simplified Arabic" w:hAnsi="Simplified Arabic" w:cs="Simplified Arabic" w:hint="cs"/>
              </w:rPr>
            </w:pPr>
            <w:r w:rsidRPr="00FA5381">
              <w:rPr>
                <w:rFonts w:ascii="Simplified Arabic" w:hAnsi="Simplified Arabic" w:cs="Simplified Arabic" w:hint="cs"/>
                <w:b w:val="0"/>
                <w:bCs/>
              </w:rPr>
              <w:t>وصف العناصر</w:t>
            </w:r>
            <w:r w:rsidRPr="00FA5381">
              <w:rPr>
                <w:rFonts w:ascii="Simplified Arabic" w:hAnsi="Simplified Arabic" w:cs="Simplified Arabic" w:hint="cs"/>
              </w:rPr>
              <w:t xml:space="preserve"> </w:t>
            </w:r>
            <w:r w:rsidRPr="00FA5381">
              <w:rPr>
                <w:rFonts w:ascii="Simplified Arabic" w:hAnsi="Simplified Arabic" w:cs="Simplified Arabic" w:hint="cs"/>
                <w:i/>
                <w:vertAlign w:val="superscript"/>
              </w:rPr>
              <w:t>"أ"</w:t>
            </w:r>
          </w:p>
        </w:tc>
        <w:tc>
          <w:tcPr>
            <w:tcW w:w="3544" w:type="dxa"/>
            <w:tcBorders>
              <w:top w:val="single" w:sz="12" w:space="0" w:color="auto"/>
              <w:bottom w:val="single" w:sz="4" w:space="0" w:color="auto"/>
            </w:tcBorders>
            <w:tcMar>
              <w:top w:w="40" w:type="dxa"/>
              <w:left w:w="80" w:type="dxa"/>
              <w:bottom w:w="40" w:type="dxa"/>
              <w:right w:w="80" w:type="dxa"/>
            </w:tcMar>
          </w:tcPr>
          <w:p w14:paraId="7C36B4AC" w14:textId="6FBA9093" w:rsidR="001F056A" w:rsidRPr="00FA5381" w:rsidRDefault="003B6B46">
            <w:pPr>
              <w:pStyle w:val="Normal-pool-Table"/>
              <w:spacing w:before="20" w:after="60"/>
              <w:rPr>
                <w:rFonts w:ascii="Simplified Arabic" w:hAnsi="Simplified Arabic" w:cs="Simplified Arabic" w:hint="cs"/>
              </w:rPr>
            </w:pPr>
            <w:r w:rsidRPr="00FA5381">
              <w:rPr>
                <w:rFonts w:ascii="Simplified Arabic" w:hAnsi="Simplified Arabic" w:cs="Simplified Arabic" w:hint="cs"/>
              </w:rPr>
              <w:t>استمرار الدورات وطرائق انعقادها، مع عقد اجتماعات سنوية للأطراف واجتماعات سنوية للفريق العامل المفتوح العضوية؛ واجتماعين للجنة التنفيذ سنويًا؛ ومواصلة دورات التقييم الرباعي وإعداد تقارير التقدم المحرز سنويًّا؛ وتجديد موارد الصندوق المتعدد الأطراف كل ثلاث سنوات؛ ومواصلة اللجنة التنفيذية عقد اجتماعاتها حسب الاقتضاء</w:t>
            </w:r>
          </w:p>
          <w:p w14:paraId="25284DE8" w14:textId="6349549B" w:rsidR="001F056A" w:rsidRPr="00FA5381" w:rsidRDefault="003B6B46">
            <w:pPr>
              <w:pStyle w:val="Normal-pool-Table"/>
              <w:spacing w:before="20" w:after="60"/>
              <w:rPr>
                <w:rFonts w:ascii="Simplified Arabic" w:hAnsi="Simplified Arabic" w:cs="Simplified Arabic" w:hint="cs"/>
              </w:rPr>
            </w:pPr>
            <w:r w:rsidRPr="00FA5381">
              <w:rPr>
                <w:rFonts w:ascii="Simplified Arabic" w:hAnsi="Simplified Arabic" w:cs="Simplified Arabic" w:hint="cs"/>
              </w:rPr>
              <w:t>مواصلة عقد اجتماعات مديري أبحاث الأوزون التابعة لاتفاقية فيينا (مع اجتماع مكتب مؤتمر الأطراف) واجتماعات مؤتمر الأطراف كل ثلاث سنوات</w:t>
            </w:r>
          </w:p>
        </w:tc>
        <w:tc>
          <w:tcPr>
            <w:tcW w:w="4678" w:type="dxa"/>
            <w:tcBorders>
              <w:top w:val="single" w:sz="12" w:space="0" w:color="auto"/>
              <w:bottom w:val="single" w:sz="4" w:space="0" w:color="auto"/>
            </w:tcBorders>
            <w:tcMar>
              <w:top w:w="40" w:type="dxa"/>
              <w:left w:w="80" w:type="dxa"/>
              <w:bottom w:w="40" w:type="dxa"/>
              <w:right w:w="80" w:type="dxa"/>
            </w:tcMar>
          </w:tcPr>
          <w:p w14:paraId="3A94F3BB" w14:textId="0221CD3A" w:rsidR="001F056A" w:rsidRPr="00FA5381" w:rsidRDefault="003B6B46">
            <w:pPr>
              <w:pStyle w:val="Normal-pool-Table"/>
              <w:spacing w:before="20" w:after="60"/>
              <w:rPr>
                <w:rFonts w:ascii="Simplified Arabic" w:hAnsi="Simplified Arabic" w:cs="Simplified Arabic" w:hint="cs"/>
              </w:rPr>
            </w:pPr>
            <w:r w:rsidRPr="00FA5381">
              <w:rPr>
                <w:rFonts w:ascii="Simplified Arabic" w:hAnsi="Simplified Arabic" w:cs="Simplified Arabic" w:hint="cs"/>
              </w:rPr>
              <w:t>استبدال اجتماعات الفريق العامل المفتوح العضوية الحضورية باجتماعات تُعقد عن بُعد وتمديد مدة اجتماعات الأطراف لاستيعاب المفاوضات التي يتعذَّر إجراؤها خلال اجتماعات الفريق العامل المفتوح العضوية المعقودة عن بُعد؛ وعقد اجتماع واحد لمكتب اجتماع الأطراف؛ وعقد اجتماعين للجنة التنفيذ، يُعقد أولهما كل عام عن بُعد؛ وإجراء التقييم كل أربع سنوات وإعداد تقارير سنوية عن التقدم المحرز؛ وتجديد موارد الصندوق المتعدد الأطراف كل ثلاث سنوات؛ ومواصلة اللجنة التنفيذية عقد اجتماعاتها حسب الاقتضاء</w:t>
            </w:r>
          </w:p>
          <w:p w14:paraId="16417807" w14:textId="0F5F2D04" w:rsidR="001F056A" w:rsidRPr="00FA5381" w:rsidRDefault="003B6B46">
            <w:pPr>
              <w:pStyle w:val="Normal-pool-Table"/>
              <w:spacing w:before="20" w:after="60"/>
              <w:rPr>
                <w:rFonts w:ascii="Simplified Arabic" w:hAnsi="Simplified Arabic" w:cs="Simplified Arabic" w:hint="cs"/>
              </w:rPr>
            </w:pPr>
            <w:r w:rsidRPr="00FA5381">
              <w:rPr>
                <w:rFonts w:ascii="Simplified Arabic" w:hAnsi="Simplified Arabic" w:cs="Simplified Arabic" w:hint="cs"/>
              </w:rPr>
              <w:t>مواصلة عقد اجتماعات مديري أبحاث الأوزون التابعة لاتفاقية فيينا (مع اجتماع مكتب مؤتمر الأطراف) واجتماعات مؤتمر الأطراف كل ثلاث سنوات</w:t>
            </w:r>
          </w:p>
        </w:tc>
        <w:tc>
          <w:tcPr>
            <w:tcW w:w="4506" w:type="dxa"/>
            <w:tcBorders>
              <w:top w:val="single" w:sz="12" w:space="0" w:color="auto"/>
              <w:bottom w:val="single" w:sz="4" w:space="0" w:color="auto"/>
            </w:tcBorders>
            <w:tcMar>
              <w:top w:w="40" w:type="dxa"/>
              <w:left w:w="80" w:type="dxa"/>
              <w:bottom w:w="40" w:type="dxa"/>
              <w:right w:w="80" w:type="dxa"/>
            </w:tcMar>
          </w:tcPr>
          <w:p w14:paraId="1612AD82" w14:textId="669C1406" w:rsidR="001F056A" w:rsidRPr="00FA5381" w:rsidRDefault="003B6B46">
            <w:pPr>
              <w:pStyle w:val="Normal-pool-Table"/>
              <w:spacing w:before="20" w:after="60"/>
              <w:rPr>
                <w:rFonts w:ascii="Simplified Arabic" w:hAnsi="Simplified Arabic" w:cs="Simplified Arabic" w:hint="cs"/>
              </w:rPr>
            </w:pPr>
            <w:r w:rsidRPr="00FA5381">
              <w:rPr>
                <w:rFonts w:ascii="Simplified Arabic" w:hAnsi="Simplified Arabic" w:cs="Simplified Arabic" w:hint="cs"/>
              </w:rPr>
              <w:t>عقد اجتماعات الأطراف كل سنتين، واجتماعات الفريق العامل المفتوح العضوية في السنوات الفاصلة بينهما؛ وعقد اجتماعات مكتب الأطراف كل سنتين بالتزامن مع اجتماعات الأطراف؛ وعقد اجتماع واحد للجنة التنفيذ في السنة؛ ومواصلة إجراء التقييماتكل أربع سنوات، وإعداد تقارير التقدم المحرز كل أربع سنوات، في الفترات الفاصلة بين التقييمات الرباعية السنوات؛ وتجديد موارد الصندوق المتعدد الأطراف كل أربع سنوات؛ ومواصلة اللجنة التنفيذية عقد اجتماعاتها حسب الاقتضاء</w:t>
            </w:r>
          </w:p>
          <w:p w14:paraId="0F770C6C" w14:textId="2021E0A2" w:rsidR="001F056A" w:rsidRPr="00FA5381" w:rsidRDefault="003B6B46">
            <w:pPr>
              <w:pStyle w:val="Normal-pool-Table"/>
              <w:spacing w:before="20" w:after="60"/>
              <w:rPr>
                <w:rFonts w:ascii="Simplified Arabic" w:hAnsi="Simplified Arabic" w:cs="Simplified Arabic" w:hint="cs"/>
              </w:rPr>
            </w:pPr>
            <w:r w:rsidRPr="00FA5381">
              <w:rPr>
                <w:rFonts w:ascii="Simplified Arabic" w:hAnsi="Simplified Arabic" w:cs="Simplified Arabic" w:hint="cs"/>
              </w:rPr>
              <w:t>يمكن عقد اجتماعات استثنائية للأطراف إذا طرأت حاجة إلى اتخاذ قرارات على وجه السرعة</w:t>
            </w:r>
          </w:p>
          <w:p w14:paraId="68A6679A" w14:textId="51EFF72C" w:rsidR="001F056A" w:rsidRPr="00FA5381" w:rsidRDefault="003B6B46">
            <w:pPr>
              <w:pStyle w:val="Normal-pool-Table"/>
              <w:spacing w:before="20" w:after="60"/>
              <w:rPr>
                <w:rFonts w:ascii="Simplified Arabic" w:hAnsi="Simplified Arabic" w:cs="Simplified Arabic" w:hint="cs"/>
              </w:rPr>
            </w:pPr>
            <w:r w:rsidRPr="00FA5381">
              <w:rPr>
                <w:rFonts w:ascii="Simplified Arabic" w:hAnsi="Simplified Arabic" w:cs="Simplified Arabic" w:hint="cs"/>
              </w:rPr>
              <w:t xml:space="preserve">عقد اجتماعات مديري أبحاث الأوزون التابعة لاتفاقية فيينا، بما فيها اجتماع مكتب مؤتمر الأطراف، وعقد اجتماعات مؤتمر الأطراف كل أربع سنوات </w:t>
            </w:r>
          </w:p>
        </w:tc>
      </w:tr>
      <w:tr w:rsidR="001F056A" w:rsidRPr="00FA5381" w14:paraId="715ACA5D" w14:textId="77777777">
        <w:trPr>
          <w:jc w:val="right"/>
        </w:trPr>
        <w:tc>
          <w:tcPr>
            <w:tcW w:w="1701" w:type="dxa"/>
            <w:tcBorders>
              <w:top w:val="single" w:sz="4" w:space="0" w:color="auto"/>
              <w:bottom w:val="single" w:sz="4" w:space="0" w:color="auto"/>
            </w:tcBorders>
            <w:tcMar>
              <w:top w:w="40" w:type="dxa"/>
              <w:left w:w="80" w:type="dxa"/>
              <w:bottom w:w="40" w:type="dxa"/>
              <w:right w:w="80" w:type="dxa"/>
            </w:tcMar>
          </w:tcPr>
          <w:p w14:paraId="06927144" w14:textId="41CFE771" w:rsidR="001F056A" w:rsidRPr="00FA5381" w:rsidRDefault="003B6B46">
            <w:pPr>
              <w:pStyle w:val="P68B1DB1-Normal-pool-Table2"/>
              <w:spacing w:before="20" w:after="60"/>
              <w:ind w:right="-57"/>
              <w:rPr>
                <w:rFonts w:ascii="Simplified Arabic" w:hAnsi="Simplified Arabic" w:cs="Simplified Arabic" w:hint="cs"/>
                <w:b w:val="0"/>
                <w:bCs/>
              </w:rPr>
            </w:pPr>
            <w:r w:rsidRPr="00FA5381">
              <w:rPr>
                <w:rFonts w:ascii="Simplified Arabic" w:hAnsi="Simplified Arabic" w:cs="Simplified Arabic" w:hint="cs"/>
                <w:b w:val="0"/>
                <w:bCs/>
              </w:rPr>
              <w:t>الأثر على سير العمل وصنع القرار (المزايا/العيوب)</w:t>
            </w:r>
          </w:p>
        </w:tc>
        <w:tc>
          <w:tcPr>
            <w:tcW w:w="3544" w:type="dxa"/>
            <w:tcBorders>
              <w:top w:val="single" w:sz="4" w:space="0" w:color="auto"/>
              <w:bottom w:val="single" w:sz="4" w:space="0" w:color="auto"/>
            </w:tcBorders>
            <w:tcMar>
              <w:top w:w="40" w:type="dxa"/>
              <w:left w:w="80" w:type="dxa"/>
              <w:bottom w:w="40" w:type="dxa"/>
              <w:right w:w="80" w:type="dxa"/>
            </w:tcMar>
          </w:tcPr>
          <w:p w14:paraId="0CB800B7" w14:textId="5FEEB037" w:rsidR="001F056A" w:rsidRPr="00FA5381" w:rsidRDefault="003B6B46">
            <w:pPr>
              <w:pStyle w:val="Normal-pool-Table"/>
              <w:spacing w:before="20" w:after="60"/>
              <w:rPr>
                <w:rFonts w:ascii="Simplified Arabic" w:hAnsi="Simplified Arabic" w:cs="Simplified Arabic" w:hint="cs"/>
              </w:rPr>
            </w:pPr>
            <w:r w:rsidRPr="00FA5381">
              <w:rPr>
                <w:rFonts w:ascii="Simplified Arabic" w:hAnsi="Simplified Arabic" w:cs="Simplified Arabic" w:hint="cs"/>
              </w:rPr>
              <w:t>لا توجد أي اضطرابات لسير العمل الحالي بموجب بروتوكول مونتريال</w:t>
            </w:r>
          </w:p>
          <w:p w14:paraId="064A5CDF" w14:textId="493B0F9A" w:rsidR="001F056A" w:rsidRPr="00FA5381" w:rsidRDefault="003B6B46">
            <w:pPr>
              <w:pStyle w:val="Normal-pool-Table"/>
              <w:spacing w:before="20" w:after="60"/>
              <w:rPr>
                <w:rFonts w:ascii="Simplified Arabic" w:hAnsi="Simplified Arabic" w:cs="Simplified Arabic" w:hint="cs"/>
              </w:rPr>
            </w:pPr>
            <w:r w:rsidRPr="00FA5381">
              <w:rPr>
                <w:rFonts w:ascii="Simplified Arabic" w:hAnsi="Simplified Arabic" w:cs="Simplified Arabic" w:hint="cs"/>
              </w:rPr>
              <w:t>اتخاذ القرارات سنويًا</w:t>
            </w:r>
          </w:p>
          <w:p w14:paraId="3B0FEC29" w14:textId="3C540115" w:rsidR="001F056A" w:rsidRPr="00FA5381" w:rsidRDefault="003B6B46">
            <w:pPr>
              <w:pStyle w:val="Normal-pool-Table"/>
              <w:spacing w:before="20" w:after="60"/>
              <w:rPr>
                <w:rFonts w:ascii="Simplified Arabic" w:hAnsi="Simplified Arabic" w:cs="Simplified Arabic" w:hint="cs"/>
              </w:rPr>
            </w:pPr>
            <w:r w:rsidRPr="00FA5381">
              <w:rPr>
                <w:rFonts w:ascii="Simplified Arabic" w:hAnsi="Simplified Arabic" w:cs="Simplified Arabic" w:hint="cs"/>
              </w:rPr>
              <w:t>ستتم المحافظة على المستوى المرتفع القائم من مشاركة الأطراف والجهات المعنية</w:t>
            </w:r>
          </w:p>
          <w:p w14:paraId="754C2950" w14:textId="62EB29D6" w:rsidR="001F056A" w:rsidRPr="00FA5381" w:rsidRDefault="001F056A">
            <w:pPr>
              <w:pStyle w:val="Normal-pool-Table"/>
              <w:spacing w:before="20" w:after="60"/>
              <w:rPr>
                <w:rFonts w:ascii="Simplified Arabic" w:hAnsi="Simplified Arabic" w:cs="Simplified Arabic" w:hint="cs"/>
              </w:rPr>
            </w:pPr>
          </w:p>
          <w:p w14:paraId="130F1959" w14:textId="2DBE9C70" w:rsidR="001F056A" w:rsidRPr="00FA5381" w:rsidRDefault="003B6B46">
            <w:pPr>
              <w:pStyle w:val="Normal-pool-Table"/>
              <w:spacing w:before="20" w:after="60"/>
              <w:rPr>
                <w:rFonts w:ascii="Simplified Arabic" w:hAnsi="Simplified Arabic" w:cs="Simplified Arabic" w:hint="cs"/>
              </w:rPr>
            </w:pPr>
            <w:r w:rsidRPr="00FA5381">
              <w:rPr>
                <w:rFonts w:ascii="Simplified Arabic" w:hAnsi="Simplified Arabic" w:cs="Simplified Arabic" w:hint="cs"/>
              </w:rPr>
              <w:t xml:space="preserve">إدراج بعض بنود جدول الأعمال قسرًا في بعض الأحيان </w:t>
            </w:r>
          </w:p>
        </w:tc>
        <w:tc>
          <w:tcPr>
            <w:tcW w:w="4678" w:type="dxa"/>
            <w:tcBorders>
              <w:top w:val="single" w:sz="4" w:space="0" w:color="auto"/>
              <w:bottom w:val="single" w:sz="4" w:space="0" w:color="auto"/>
            </w:tcBorders>
            <w:tcMar>
              <w:top w:w="40" w:type="dxa"/>
              <w:left w:w="80" w:type="dxa"/>
              <w:bottom w:w="40" w:type="dxa"/>
              <w:right w:w="80" w:type="dxa"/>
            </w:tcMar>
          </w:tcPr>
          <w:p w14:paraId="085A1B01" w14:textId="77777777" w:rsidR="001F056A" w:rsidRPr="00FA5381" w:rsidRDefault="003B6B46">
            <w:pPr>
              <w:pStyle w:val="Normal-pool-Table"/>
              <w:spacing w:before="20" w:after="60"/>
              <w:rPr>
                <w:rFonts w:ascii="Simplified Arabic" w:hAnsi="Simplified Arabic" w:cs="Simplified Arabic" w:hint="cs"/>
              </w:rPr>
            </w:pPr>
            <w:r w:rsidRPr="00FA5381">
              <w:rPr>
                <w:rFonts w:ascii="Simplified Arabic" w:hAnsi="Simplified Arabic" w:cs="Simplified Arabic" w:hint="cs"/>
              </w:rPr>
              <w:t>اجتماعات الفريق العامل المفتوح العضوية عن بُعد</w:t>
            </w:r>
          </w:p>
          <w:p w14:paraId="454C3583" w14:textId="166A959C" w:rsidR="001F056A" w:rsidRPr="00FA5381" w:rsidRDefault="003B6B46">
            <w:pPr>
              <w:pStyle w:val="Normal-pool-Table"/>
              <w:spacing w:before="20" w:after="60"/>
              <w:rPr>
                <w:rFonts w:ascii="Simplified Arabic" w:hAnsi="Simplified Arabic" w:cs="Simplified Arabic" w:hint="cs"/>
              </w:rPr>
            </w:pPr>
            <w:r w:rsidRPr="00FA5381">
              <w:rPr>
                <w:rFonts w:ascii="Simplified Arabic" w:hAnsi="Simplified Arabic" w:cs="Simplified Arabic" w:hint="cs"/>
              </w:rPr>
              <w:t>تركُّز المفاوضات في اجتماعات الأطراف الممددة المدة</w:t>
            </w:r>
          </w:p>
          <w:p w14:paraId="17ADB5B0" w14:textId="11FA37D9" w:rsidR="001F056A" w:rsidRPr="00FA5381" w:rsidRDefault="003B6B46">
            <w:pPr>
              <w:pStyle w:val="Normal-pool-Table"/>
              <w:spacing w:before="20" w:after="60"/>
              <w:rPr>
                <w:rFonts w:ascii="Simplified Arabic" w:hAnsi="Simplified Arabic" w:cs="Simplified Arabic" w:hint="cs"/>
              </w:rPr>
            </w:pPr>
            <w:r w:rsidRPr="00FA5381">
              <w:rPr>
                <w:rFonts w:ascii="Simplified Arabic" w:hAnsi="Simplified Arabic" w:cs="Simplified Arabic" w:hint="cs"/>
              </w:rPr>
              <w:t xml:space="preserve">تناول البنود الإعلامية عن بُعد </w:t>
            </w:r>
          </w:p>
          <w:p w14:paraId="7E1FE545" w14:textId="1A0C67E0" w:rsidR="001F056A" w:rsidRPr="00FA5381" w:rsidRDefault="003B6B46">
            <w:pPr>
              <w:pStyle w:val="Normal-pool-Table"/>
              <w:spacing w:before="20" w:after="60"/>
              <w:rPr>
                <w:rFonts w:ascii="Simplified Arabic" w:hAnsi="Simplified Arabic" w:cs="Simplified Arabic" w:hint="cs"/>
              </w:rPr>
            </w:pPr>
            <w:r w:rsidRPr="00FA5381">
              <w:rPr>
                <w:rFonts w:ascii="Simplified Arabic" w:hAnsi="Simplified Arabic" w:cs="Simplified Arabic" w:hint="cs"/>
              </w:rPr>
              <w:t>الحاجة إلى إدارة دقيقة لجدول الأعمال</w:t>
            </w:r>
          </w:p>
          <w:p w14:paraId="28AB7B15" w14:textId="72B0DA3F" w:rsidR="001F056A" w:rsidRPr="00FA5381" w:rsidRDefault="001F056A">
            <w:pPr>
              <w:pStyle w:val="Normal-pool-Table"/>
              <w:spacing w:before="20" w:after="60"/>
              <w:rPr>
                <w:rFonts w:ascii="Simplified Arabic" w:hAnsi="Simplified Arabic" w:cs="Simplified Arabic" w:hint="cs"/>
              </w:rPr>
            </w:pPr>
          </w:p>
          <w:p w14:paraId="559DA793" w14:textId="58151162" w:rsidR="001F056A" w:rsidRPr="00FA5381" w:rsidRDefault="003B6B46">
            <w:pPr>
              <w:pStyle w:val="Normal-pool-Table"/>
              <w:spacing w:before="20" w:after="60"/>
              <w:rPr>
                <w:rFonts w:ascii="Simplified Arabic" w:hAnsi="Simplified Arabic" w:cs="Simplified Arabic" w:hint="cs"/>
              </w:rPr>
            </w:pPr>
            <w:r w:rsidRPr="00FA5381">
              <w:rPr>
                <w:rFonts w:ascii="Simplified Arabic" w:hAnsi="Simplified Arabic" w:cs="Simplified Arabic" w:hint="cs"/>
              </w:rPr>
              <w:t xml:space="preserve">التحديات التي تطرحها الاجتماعات المعقودة عن بُعد (مثل اختلاف المناطق الزمنية، ومشكلات الاتصال، والحاجة إلى تكثيف التخطيط والمشاورات فيما بين الدورات، وما إلى ذلك)؛ والاضطرار إلى إدراج بعض بنود جدول الأعمال في بعض الأحيان </w:t>
            </w:r>
          </w:p>
        </w:tc>
        <w:tc>
          <w:tcPr>
            <w:tcW w:w="4506" w:type="dxa"/>
            <w:tcBorders>
              <w:top w:val="single" w:sz="4" w:space="0" w:color="auto"/>
              <w:bottom w:val="single" w:sz="4" w:space="0" w:color="auto"/>
            </w:tcBorders>
            <w:tcMar>
              <w:top w:w="40" w:type="dxa"/>
              <w:left w:w="80" w:type="dxa"/>
              <w:bottom w:w="40" w:type="dxa"/>
              <w:right w:w="80" w:type="dxa"/>
            </w:tcMar>
          </w:tcPr>
          <w:p w14:paraId="5AAB1326" w14:textId="064CAED6" w:rsidR="001F056A" w:rsidRPr="00FA5381" w:rsidRDefault="003B6B46">
            <w:pPr>
              <w:pStyle w:val="Normal-pool-Table"/>
              <w:spacing w:before="20" w:after="60"/>
              <w:rPr>
                <w:rFonts w:ascii="Simplified Arabic" w:hAnsi="Simplified Arabic" w:cs="Simplified Arabic" w:hint="cs"/>
              </w:rPr>
            </w:pPr>
            <w:r w:rsidRPr="00FA5381">
              <w:rPr>
                <w:rFonts w:ascii="Simplified Arabic" w:hAnsi="Simplified Arabic" w:cs="Simplified Arabic" w:hint="cs"/>
              </w:rPr>
              <w:t>فترات طويلة تفصل بين اجتماعات الأطراف، مما يؤدي إلى زيادة عأعباء العمل وتراكم عدد أكبر من القرارات التي يتعين على اجتماعات الأطراف اتخاذها؛ وتخطيط الدقيق لبرنامج عمل الأطراف؛ ووضع جدول أعمال استراتيجي يمتد على سنتين لاجتماعات الفريق العامل المفتوح العضوية واجتماعات الأطراف ومناقشاتهما</w:t>
            </w:r>
          </w:p>
          <w:p w14:paraId="700A9149" w14:textId="46DC008A" w:rsidR="001F056A" w:rsidRPr="00FA5381" w:rsidRDefault="003B6B46">
            <w:pPr>
              <w:pStyle w:val="Normal-pool-Table"/>
              <w:spacing w:before="20" w:after="60"/>
              <w:rPr>
                <w:rFonts w:ascii="Simplified Arabic" w:hAnsi="Simplified Arabic" w:cs="Simplified Arabic" w:hint="cs"/>
              </w:rPr>
            </w:pPr>
            <w:r w:rsidRPr="00FA5381">
              <w:rPr>
                <w:rFonts w:ascii="Simplified Arabic" w:hAnsi="Simplified Arabic" w:cs="Simplified Arabic" w:hint="cs"/>
              </w:rPr>
              <w:t>تخطيط ارتجالي عند ظهور الحاجة إلى ذلك (مثل الحاجة إلى صنع القرار والمسائل المستجدة)</w:t>
            </w:r>
          </w:p>
          <w:p w14:paraId="6074A0B8" w14:textId="010D7BD6" w:rsidR="001F056A" w:rsidRPr="00FA5381" w:rsidRDefault="001F056A">
            <w:pPr>
              <w:pStyle w:val="Normal-pool-Table"/>
              <w:spacing w:before="20" w:after="60"/>
              <w:rPr>
                <w:rFonts w:ascii="Simplified Arabic" w:hAnsi="Simplified Arabic" w:cs="Simplified Arabic" w:hint="cs"/>
                <w:sz w:val="4"/>
              </w:rPr>
            </w:pPr>
          </w:p>
          <w:p w14:paraId="2EE063A0" w14:textId="7D548214" w:rsidR="001F056A" w:rsidRPr="00FA5381" w:rsidRDefault="003B6B46">
            <w:pPr>
              <w:pStyle w:val="Normal-pool-Table"/>
              <w:spacing w:before="20" w:after="60"/>
              <w:rPr>
                <w:rFonts w:ascii="Simplified Arabic" w:hAnsi="Simplified Arabic" w:cs="Simplified Arabic" w:hint="cs"/>
              </w:rPr>
            </w:pPr>
            <w:r w:rsidRPr="00FA5381">
              <w:rPr>
                <w:rFonts w:ascii="Simplified Arabic" w:hAnsi="Simplified Arabic" w:cs="Simplified Arabic" w:hint="cs"/>
              </w:rPr>
              <w:t xml:space="preserve">خطر تراكم الأعمال وتأخر البتّ فيها، الاعتماد على عقد اجتماعات استثنائية للأطراف؛ واحتمال ازدحام جداول الأعمال؛ واحتمال زيادة </w:t>
            </w:r>
            <w:r w:rsidRPr="00FA5381">
              <w:rPr>
                <w:rFonts w:ascii="Simplified Arabic" w:hAnsi="Simplified Arabic" w:cs="Simplified Arabic" w:hint="cs"/>
              </w:rPr>
              <w:lastRenderedPageBreak/>
              <w:t>عدد الإحاطات عن بُعد والمشاورات فيما بين الدورات؛ والحاجة إلى التخطيط الدقيق للعمل لتجنب التأخير في مواعيد المناقشات واتخاذ القرارات</w:t>
            </w:r>
          </w:p>
        </w:tc>
      </w:tr>
      <w:tr w:rsidR="001F056A" w:rsidRPr="00FA5381" w14:paraId="7F8623D6" w14:textId="77777777">
        <w:trPr>
          <w:jc w:val="right"/>
        </w:trPr>
        <w:tc>
          <w:tcPr>
            <w:tcW w:w="1701" w:type="dxa"/>
            <w:tcBorders>
              <w:top w:val="single" w:sz="4" w:space="0" w:color="auto"/>
              <w:bottom w:val="single" w:sz="4" w:space="0" w:color="auto"/>
            </w:tcBorders>
            <w:tcMar>
              <w:top w:w="40" w:type="dxa"/>
              <w:left w:w="80" w:type="dxa"/>
              <w:bottom w:w="40" w:type="dxa"/>
              <w:right w:w="80" w:type="dxa"/>
            </w:tcMar>
          </w:tcPr>
          <w:p w14:paraId="43123870" w14:textId="77777777" w:rsidR="001F056A" w:rsidRPr="005E7227" w:rsidRDefault="003B6B46">
            <w:pPr>
              <w:pStyle w:val="P68B1DB1-Normal-pool-Table2"/>
              <w:spacing w:before="20" w:after="60"/>
              <w:rPr>
                <w:rFonts w:ascii="Simplified Arabic" w:hAnsi="Simplified Arabic" w:cs="Simplified Arabic" w:hint="cs"/>
                <w:b w:val="0"/>
                <w:bCs/>
              </w:rPr>
            </w:pPr>
            <w:r w:rsidRPr="005E7227">
              <w:rPr>
                <w:rFonts w:ascii="Simplified Arabic" w:hAnsi="Simplified Arabic" w:cs="Simplified Arabic" w:hint="cs"/>
                <w:b w:val="0"/>
                <w:bCs/>
              </w:rPr>
              <w:t>أعمال التقييم</w:t>
            </w:r>
          </w:p>
        </w:tc>
        <w:tc>
          <w:tcPr>
            <w:tcW w:w="3544" w:type="dxa"/>
            <w:tcBorders>
              <w:top w:val="single" w:sz="4" w:space="0" w:color="auto"/>
              <w:bottom w:val="single" w:sz="4" w:space="0" w:color="auto"/>
            </w:tcBorders>
            <w:tcMar>
              <w:top w:w="40" w:type="dxa"/>
              <w:left w:w="80" w:type="dxa"/>
              <w:bottom w:w="40" w:type="dxa"/>
              <w:right w:w="80" w:type="dxa"/>
            </w:tcMar>
          </w:tcPr>
          <w:p w14:paraId="77CFF9FE" w14:textId="5EE778BB" w:rsidR="001F056A" w:rsidRPr="00FA5381" w:rsidRDefault="003B6B46">
            <w:pPr>
              <w:pStyle w:val="Normal-pool-Table"/>
              <w:spacing w:before="20" w:after="60"/>
              <w:rPr>
                <w:rFonts w:ascii="Simplified Arabic" w:hAnsi="Simplified Arabic" w:cs="Simplified Arabic" w:hint="cs"/>
              </w:rPr>
            </w:pPr>
            <w:r w:rsidRPr="00FA5381">
              <w:rPr>
                <w:rFonts w:ascii="Simplified Arabic" w:hAnsi="Simplified Arabic" w:cs="Simplified Arabic" w:hint="cs"/>
              </w:rPr>
              <w:t>عدم إدخال أي تغيير على دورة العمل؛ وعقد اجتماعات سنوية للأفرقة ولجان الخيارات التقنية؛ وإعداد تقارير سنوية عن التقدم المحرز؛ وإجراء تقييمات كل أربع سنوات؛ وإعداد تقرير تجديد الموارد كل ثلاث سنوات؛ والاضطلاع بمهام سنوية محددة بناءً على القرارات الصادرة عن اجتماع الأطراف</w:t>
            </w:r>
          </w:p>
          <w:p w14:paraId="2D0BF4D5" w14:textId="7DF9247B" w:rsidR="001F056A" w:rsidRPr="00FA5381" w:rsidRDefault="003B6B46">
            <w:pPr>
              <w:pStyle w:val="Normal-pool-Table"/>
              <w:spacing w:before="20" w:after="60"/>
              <w:rPr>
                <w:rFonts w:ascii="Simplified Arabic" w:hAnsi="Simplified Arabic" w:cs="Simplified Arabic" w:hint="cs"/>
              </w:rPr>
            </w:pPr>
            <w:r w:rsidRPr="00FA5381">
              <w:rPr>
                <w:rFonts w:ascii="Simplified Arabic" w:hAnsi="Simplified Arabic" w:cs="Simplified Arabic" w:hint="cs"/>
              </w:rPr>
              <w:t>دورات العمل كالمعتاد والعمليات المتوقعة</w:t>
            </w:r>
          </w:p>
        </w:tc>
        <w:tc>
          <w:tcPr>
            <w:tcW w:w="4678" w:type="dxa"/>
            <w:tcBorders>
              <w:top w:val="single" w:sz="4" w:space="0" w:color="auto"/>
              <w:bottom w:val="single" w:sz="4" w:space="0" w:color="auto"/>
            </w:tcBorders>
            <w:tcMar>
              <w:top w:w="40" w:type="dxa"/>
              <w:left w:w="80" w:type="dxa"/>
              <w:bottom w:w="40" w:type="dxa"/>
              <w:right w:w="80" w:type="dxa"/>
            </w:tcMar>
          </w:tcPr>
          <w:p w14:paraId="5D037C2E" w14:textId="706214CF" w:rsidR="001F056A" w:rsidRPr="00FA5381" w:rsidRDefault="003B6B46">
            <w:pPr>
              <w:pStyle w:val="Normal-pool-Table"/>
              <w:spacing w:before="20" w:after="60"/>
              <w:rPr>
                <w:rFonts w:ascii="Simplified Arabic" w:hAnsi="Simplified Arabic" w:cs="Simplified Arabic" w:hint="cs"/>
              </w:rPr>
            </w:pPr>
            <w:r w:rsidRPr="00FA5381">
              <w:rPr>
                <w:rFonts w:ascii="Simplified Arabic" w:hAnsi="Simplified Arabic" w:cs="Simplified Arabic" w:hint="cs"/>
              </w:rPr>
              <w:t>عدم إدخال أي تغيير على دورة العمل؛ وعقد اجتماعات سنوية للأفرقة ولجان الخيارات التقنية؛ وإعداد تقارير سنوية عن التقدم المحرز؛ وإجراء تقييمات كل أربع سنوات؛ وإعداد تقرير تجديد الموارد كل ثلاث سنوات؛ والاضطلاع بمهام سنوية محددة بناءً على القرارات الصادرة عن اجتماع الأطراف</w:t>
            </w:r>
          </w:p>
          <w:p w14:paraId="69BFC8D3" w14:textId="77E24CE0" w:rsidR="001F056A" w:rsidRPr="00FA5381" w:rsidRDefault="003B6B46">
            <w:pPr>
              <w:pStyle w:val="Normal-pool-Table"/>
              <w:spacing w:before="20" w:after="60"/>
              <w:rPr>
                <w:rFonts w:ascii="Simplified Arabic" w:hAnsi="Simplified Arabic" w:cs="Simplified Arabic" w:hint="cs"/>
              </w:rPr>
            </w:pPr>
            <w:r w:rsidRPr="00FA5381">
              <w:rPr>
                <w:rFonts w:ascii="Simplified Arabic" w:hAnsi="Simplified Arabic" w:cs="Simplified Arabic" w:hint="cs"/>
              </w:rPr>
              <w:t>تحقيق وفورات في تكاليف السفر لحضور اجتماعات الفريق العامل المفتوح العضوية</w:t>
            </w:r>
          </w:p>
        </w:tc>
        <w:tc>
          <w:tcPr>
            <w:tcW w:w="4506" w:type="dxa"/>
            <w:tcBorders>
              <w:top w:val="single" w:sz="4" w:space="0" w:color="auto"/>
              <w:bottom w:val="single" w:sz="4" w:space="0" w:color="auto"/>
            </w:tcBorders>
            <w:tcMar>
              <w:top w:w="40" w:type="dxa"/>
              <w:left w:w="80" w:type="dxa"/>
              <w:bottom w:w="40" w:type="dxa"/>
              <w:right w:w="80" w:type="dxa"/>
            </w:tcMar>
          </w:tcPr>
          <w:p w14:paraId="50AF69F4" w14:textId="3570F48F" w:rsidR="001F056A" w:rsidRPr="00FA5381" w:rsidRDefault="003B6B46">
            <w:pPr>
              <w:pStyle w:val="Normal-pool-Table"/>
              <w:spacing w:before="20" w:after="60"/>
              <w:rPr>
                <w:rFonts w:ascii="Simplified Arabic" w:hAnsi="Simplified Arabic" w:cs="Simplified Arabic" w:hint="cs"/>
              </w:rPr>
            </w:pPr>
            <w:r w:rsidRPr="00FA5381">
              <w:rPr>
                <w:rFonts w:ascii="Simplified Arabic" w:hAnsi="Simplified Arabic" w:cs="Simplified Arabic" w:hint="cs"/>
              </w:rPr>
              <w:t>إجراء تقييمات كل أربع سنوات؛ وإعداد تقارير عن التقدم المحرز كل أربع سنوات، في الفترات الفاصلة بين التقييمات التي تُجرى كل أربع سنوات؛ وإعداد تقرير تجديد الموارد كل أربع سنوات؛ وتلبية طلبات محددة كل سنتين بناءً على القرارات الصادرة عن اجتماع الأطراف</w:t>
            </w:r>
          </w:p>
          <w:p w14:paraId="6DD42B18" w14:textId="7E39711E" w:rsidR="001F056A" w:rsidRPr="00FA5381" w:rsidRDefault="003B6B46">
            <w:pPr>
              <w:pStyle w:val="Normal-pool-Table"/>
              <w:spacing w:before="20" w:after="60"/>
              <w:rPr>
                <w:rFonts w:ascii="Simplified Arabic" w:hAnsi="Simplified Arabic" w:cs="Simplified Arabic" w:hint="cs"/>
              </w:rPr>
            </w:pPr>
            <w:r w:rsidRPr="00FA5381">
              <w:rPr>
                <w:rFonts w:ascii="Simplified Arabic" w:hAnsi="Simplified Arabic" w:cs="Simplified Arabic" w:hint="cs"/>
              </w:rPr>
              <w:t>تحقيق وفورات نتيجة خفض عدد اجتماعات الأفرقة ولجان الخيارات التقنية وفرق العمل، وتقليص السفر لحضور اجتماعات الفريق العامل المفتوح العضوية واجتماعات الأطراف</w:t>
            </w:r>
          </w:p>
        </w:tc>
      </w:tr>
      <w:tr w:rsidR="001F056A" w:rsidRPr="00FA5381" w14:paraId="32DF33D7" w14:textId="77777777">
        <w:trPr>
          <w:jc w:val="right"/>
        </w:trPr>
        <w:tc>
          <w:tcPr>
            <w:tcW w:w="1701" w:type="dxa"/>
            <w:tcBorders>
              <w:top w:val="single" w:sz="4" w:space="0" w:color="auto"/>
              <w:bottom w:val="single" w:sz="4" w:space="0" w:color="auto"/>
            </w:tcBorders>
            <w:tcMar>
              <w:top w:w="40" w:type="dxa"/>
              <w:left w:w="80" w:type="dxa"/>
              <w:bottom w:w="40" w:type="dxa"/>
              <w:right w:w="80" w:type="dxa"/>
            </w:tcMar>
          </w:tcPr>
          <w:p w14:paraId="5819CD24" w14:textId="77777777" w:rsidR="001F056A" w:rsidRPr="005E7227" w:rsidRDefault="003B6B46">
            <w:pPr>
              <w:pStyle w:val="P68B1DB1-Normal-pool-Table2"/>
              <w:spacing w:before="20" w:after="60"/>
              <w:rPr>
                <w:rFonts w:ascii="Simplified Arabic" w:hAnsi="Simplified Arabic" w:cs="Simplified Arabic" w:hint="cs"/>
                <w:b w:val="0"/>
                <w:bCs/>
              </w:rPr>
            </w:pPr>
            <w:r w:rsidRPr="005E7227">
              <w:rPr>
                <w:rFonts w:ascii="Simplified Arabic" w:hAnsi="Simplified Arabic" w:cs="Simplified Arabic" w:hint="cs"/>
                <w:b w:val="0"/>
                <w:bCs/>
              </w:rPr>
              <w:t>الامتثال</w:t>
            </w:r>
          </w:p>
        </w:tc>
        <w:tc>
          <w:tcPr>
            <w:tcW w:w="3544" w:type="dxa"/>
            <w:tcBorders>
              <w:top w:val="single" w:sz="4" w:space="0" w:color="auto"/>
              <w:bottom w:val="single" w:sz="4" w:space="0" w:color="auto"/>
            </w:tcBorders>
            <w:tcMar>
              <w:top w:w="40" w:type="dxa"/>
              <w:left w:w="80" w:type="dxa"/>
              <w:bottom w:w="40" w:type="dxa"/>
              <w:right w:w="80" w:type="dxa"/>
            </w:tcMar>
          </w:tcPr>
          <w:p w14:paraId="70DFB66A" w14:textId="0F13D491" w:rsidR="001F056A" w:rsidRPr="00FA5381" w:rsidRDefault="003B6B46">
            <w:pPr>
              <w:pStyle w:val="Normal-pool-Table"/>
              <w:spacing w:before="20" w:after="60"/>
              <w:rPr>
                <w:rFonts w:ascii="Simplified Arabic" w:hAnsi="Simplified Arabic" w:cs="Simplified Arabic" w:hint="cs"/>
              </w:rPr>
            </w:pPr>
            <w:r w:rsidRPr="00FA5381">
              <w:rPr>
                <w:rFonts w:ascii="Simplified Arabic" w:hAnsi="Simplified Arabic" w:cs="Simplified Arabic" w:hint="cs"/>
              </w:rPr>
              <w:t>عدم إدخال أي تغيير على طرائق عقد الاجتماعات، بما يضمن استمرار سير العمل كالمعتاد في معالجة الحالات المتعلقة بالامتثال والإبلاغ عن البيانات؛ واتخاذ اجتماعات الأطراف قرارات بشأن تلك الحالات في الوقت المناسب</w:t>
            </w:r>
          </w:p>
        </w:tc>
        <w:tc>
          <w:tcPr>
            <w:tcW w:w="4678" w:type="dxa"/>
            <w:tcBorders>
              <w:top w:val="single" w:sz="4" w:space="0" w:color="auto"/>
              <w:bottom w:val="single" w:sz="4" w:space="0" w:color="auto"/>
            </w:tcBorders>
            <w:tcMar>
              <w:top w:w="40" w:type="dxa"/>
              <w:left w:w="80" w:type="dxa"/>
              <w:bottom w:w="40" w:type="dxa"/>
              <w:right w:w="80" w:type="dxa"/>
            </w:tcMar>
          </w:tcPr>
          <w:p w14:paraId="5D3ABEC5" w14:textId="5C9B89E1" w:rsidR="001F056A" w:rsidRPr="00FA5381" w:rsidRDefault="003B6B46">
            <w:pPr>
              <w:pStyle w:val="Normal-pool-Table"/>
              <w:spacing w:before="20" w:after="60"/>
              <w:rPr>
                <w:rFonts w:ascii="Simplified Arabic" w:hAnsi="Simplified Arabic" w:cs="Simplified Arabic" w:hint="cs"/>
              </w:rPr>
            </w:pPr>
            <w:r w:rsidRPr="00FA5381">
              <w:rPr>
                <w:rFonts w:ascii="Simplified Arabic" w:hAnsi="Simplified Arabic" w:cs="Simplified Arabic" w:hint="cs"/>
              </w:rPr>
              <w:t>عقد اجتماعين للجنة التنفيذ سنويًّا، على أن يُعقد الاجتماع الأول عن بُعد</w:t>
            </w:r>
          </w:p>
          <w:p w14:paraId="6440E962" w14:textId="49C1FC2E" w:rsidR="001F056A" w:rsidRPr="00FA5381" w:rsidRDefault="003B6B46">
            <w:pPr>
              <w:pStyle w:val="Normal-pool-Table"/>
              <w:spacing w:before="20" w:after="60"/>
              <w:rPr>
                <w:rFonts w:ascii="Simplified Arabic" w:hAnsi="Simplified Arabic" w:cs="Simplified Arabic" w:hint="cs"/>
              </w:rPr>
            </w:pPr>
            <w:r w:rsidRPr="00FA5381">
              <w:rPr>
                <w:rFonts w:ascii="Simplified Arabic" w:hAnsi="Simplified Arabic" w:cs="Simplified Arabic" w:hint="cs"/>
              </w:rPr>
              <w:t>عدم حدوث أي تعطيل لدورة عمل لجنة التنفيذ؛ والاستفادة من التجربة الإيجابية لعقد اجتماعات اللجنة عن بُعد خلال الفترة 2020–2021؛ ونظر اجتماعات الأطراف في الحالات المتعلقة بالامتثال واتخاذ القرارات بشأنها في الوقت المناسب</w:t>
            </w:r>
          </w:p>
          <w:p w14:paraId="52192DB9" w14:textId="3557E2ED" w:rsidR="001F056A" w:rsidRPr="00FA5381" w:rsidRDefault="003B6B46">
            <w:pPr>
              <w:pStyle w:val="Normal-pool-Table"/>
              <w:spacing w:before="20" w:after="60"/>
              <w:rPr>
                <w:rFonts w:ascii="Simplified Arabic" w:hAnsi="Simplified Arabic" w:cs="Simplified Arabic" w:hint="cs"/>
              </w:rPr>
            </w:pPr>
            <w:r w:rsidRPr="00FA5381">
              <w:rPr>
                <w:rFonts w:ascii="Simplified Arabic" w:hAnsi="Simplified Arabic" w:cs="Simplified Arabic" w:hint="cs"/>
              </w:rPr>
              <w:t>تحقيق وفورات نتيجة تقليص السفر وعقد الاجتماعات عن بُعد</w:t>
            </w:r>
          </w:p>
        </w:tc>
        <w:tc>
          <w:tcPr>
            <w:tcW w:w="4506" w:type="dxa"/>
            <w:tcBorders>
              <w:top w:val="single" w:sz="4" w:space="0" w:color="auto"/>
              <w:bottom w:val="single" w:sz="4" w:space="0" w:color="auto"/>
            </w:tcBorders>
            <w:tcMar>
              <w:top w:w="40" w:type="dxa"/>
              <w:left w:w="80" w:type="dxa"/>
              <w:bottom w:w="40" w:type="dxa"/>
              <w:right w:w="80" w:type="dxa"/>
            </w:tcMar>
          </w:tcPr>
          <w:p w14:paraId="5233C08B" w14:textId="05BCDF4D" w:rsidR="001F056A" w:rsidRPr="00FA5381" w:rsidRDefault="003B6B46">
            <w:pPr>
              <w:pStyle w:val="Normal-pool-Table"/>
              <w:spacing w:before="20" w:after="60"/>
              <w:rPr>
                <w:rFonts w:ascii="Simplified Arabic" w:hAnsi="Simplified Arabic" w:cs="Simplified Arabic" w:hint="cs"/>
              </w:rPr>
            </w:pPr>
            <w:r w:rsidRPr="00FA5381">
              <w:rPr>
                <w:rFonts w:ascii="Simplified Arabic" w:hAnsi="Simplified Arabic" w:cs="Simplified Arabic" w:hint="cs"/>
              </w:rPr>
              <w:t>عقد اجتماع واحد للجنة التنفيذ سنويًّا؛ واعتماد القرارات الصادرة عن اجتماعات الأطراف بشأن الحالات المتعلقة بالامتثال والإبلاغ عن البيانات مرة واحدة فقط كل سنتين؛ وإمكانية وضع آلية تهدف إلى ضمان تنفيذ الأطراف توصيات لجنة التنفيذ في الفترات الفاصلة بين اجتماعات الأطراف</w:t>
            </w:r>
          </w:p>
          <w:p w14:paraId="1CD502F5" w14:textId="5F302A37" w:rsidR="001F056A" w:rsidRPr="00FA5381" w:rsidRDefault="003B6B46">
            <w:pPr>
              <w:pStyle w:val="Normal-pool-Table"/>
              <w:spacing w:before="20" w:after="60"/>
              <w:rPr>
                <w:rFonts w:ascii="Simplified Arabic" w:hAnsi="Simplified Arabic" w:cs="Simplified Arabic" w:hint="cs"/>
              </w:rPr>
            </w:pPr>
            <w:r w:rsidRPr="00FA5381">
              <w:rPr>
                <w:rFonts w:ascii="Simplified Arabic" w:hAnsi="Simplified Arabic" w:cs="Simplified Arabic" w:hint="cs"/>
              </w:rPr>
              <w:t>تحقيق وفورات نتيجة تقليص خدمات المؤتمرات والسفر وخفض وتيرة عقد الاجتماعات</w:t>
            </w:r>
          </w:p>
        </w:tc>
      </w:tr>
      <w:tr w:rsidR="001F056A" w:rsidRPr="00FA5381" w14:paraId="76557821" w14:textId="77777777">
        <w:trPr>
          <w:jc w:val="right"/>
        </w:trPr>
        <w:tc>
          <w:tcPr>
            <w:tcW w:w="1701" w:type="dxa"/>
            <w:tcBorders>
              <w:top w:val="single" w:sz="4" w:space="0" w:color="auto"/>
              <w:bottom w:val="single" w:sz="4" w:space="0" w:color="auto"/>
            </w:tcBorders>
            <w:tcMar>
              <w:top w:w="40" w:type="dxa"/>
              <w:left w:w="80" w:type="dxa"/>
              <w:bottom w:w="40" w:type="dxa"/>
              <w:right w:w="80" w:type="dxa"/>
            </w:tcMar>
          </w:tcPr>
          <w:p w14:paraId="0CEAD877" w14:textId="65837502" w:rsidR="001F056A" w:rsidRPr="005E7227" w:rsidRDefault="003B6B46">
            <w:pPr>
              <w:pStyle w:val="P68B1DB1-Normal-pool-Table2"/>
              <w:spacing w:after="60"/>
              <w:rPr>
                <w:rFonts w:ascii="Simplified Arabic" w:hAnsi="Simplified Arabic" w:cs="Simplified Arabic" w:hint="cs"/>
                <w:b w:val="0"/>
                <w:bCs/>
              </w:rPr>
            </w:pPr>
            <w:r w:rsidRPr="005E7227">
              <w:rPr>
                <w:rFonts w:ascii="Simplified Arabic" w:hAnsi="Simplified Arabic" w:cs="Simplified Arabic" w:hint="cs"/>
                <w:b w:val="0"/>
                <w:bCs/>
              </w:rPr>
              <w:t>تجديد الموارد</w:t>
            </w:r>
          </w:p>
        </w:tc>
        <w:tc>
          <w:tcPr>
            <w:tcW w:w="3544" w:type="dxa"/>
            <w:tcBorders>
              <w:top w:val="single" w:sz="4" w:space="0" w:color="auto"/>
              <w:bottom w:val="single" w:sz="4" w:space="0" w:color="auto"/>
            </w:tcBorders>
            <w:tcMar>
              <w:top w:w="40" w:type="dxa"/>
              <w:left w:w="80" w:type="dxa"/>
              <w:bottom w:w="40" w:type="dxa"/>
              <w:right w:w="80" w:type="dxa"/>
            </w:tcMar>
          </w:tcPr>
          <w:p w14:paraId="287EFB2A" w14:textId="6B0B39CF" w:rsidR="001F056A" w:rsidRPr="00FA5381" w:rsidRDefault="003B6B46">
            <w:pPr>
              <w:pStyle w:val="Normal-pool-Table"/>
              <w:spacing w:after="60"/>
              <w:rPr>
                <w:rFonts w:ascii="Simplified Arabic" w:hAnsi="Simplified Arabic" w:cs="Simplified Arabic" w:hint="cs"/>
              </w:rPr>
            </w:pPr>
            <w:r w:rsidRPr="00FA5381">
              <w:rPr>
                <w:rFonts w:ascii="Simplified Arabic" w:hAnsi="Simplified Arabic" w:cs="Simplified Arabic" w:hint="cs"/>
              </w:rPr>
              <w:t>عدم إدخال أي تغيير على دورة تجديد الموارد؛ ومواصلة اللجنة التنفيذية عقد اجتماعاتها حسب الاقتضاء (بواقع اجتماعين سنويًا في الوقت الحالي)</w:t>
            </w:r>
          </w:p>
        </w:tc>
        <w:tc>
          <w:tcPr>
            <w:tcW w:w="4678" w:type="dxa"/>
            <w:tcBorders>
              <w:top w:val="single" w:sz="4" w:space="0" w:color="auto"/>
              <w:bottom w:val="single" w:sz="4" w:space="0" w:color="auto"/>
            </w:tcBorders>
            <w:tcMar>
              <w:top w:w="40" w:type="dxa"/>
              <w:left w:w="80" w:type="dxa"/>
              <w:bottom w:w="40" w:type="dxa"/>
              <w:right w:w="80" w:type="dxa"/>
            </w:tcMar>
          </w:tcPr>
          <w:p w14:paraId="2A763AFF" w14:textId="5A338769" w:rsidR="001F056A" w:rsidRPr="00FA5381" w:rsidRDefault="003B6B46">
            <w:pPr>
              <w:pStyle w:val="Normal-pool-Table"/>
              <w:spacing w:after="60"/>
              <w:rPr>
                <w:rFonts w:ascii="Simplified Arabic" w:hAnsi="Simplified Arabic" w:cs="Simplified Arabic" w:hint="cs"/>
              </w:rPr>
            </w:pPr>
            <w:r w:rsidRPr="00FA5381">
              <w:rPr>
                <w:rFonts w:ascii="Simplified Arabic" w:hAnsi="Simplified Arabic" w:cs="Simplified Arabic" w:hint="cs"/>
              </w:rPr>
              <w:t>عدم إدخال أي تغيير على دورة تجديد الموارد؛ ومواصلة اللجنة التنفيذية عقد اجتماعاتها حسب الاقتضاء (بواقع اجتماعين سنويًا في الوقت الحالي)</w:t>
            </w:r>
          </w:p>
        </w:tc>
        <w:tc>
          <w:tcPr>
            <w:tcW w:w="4506" w:type="dxa"/>
            <w:tcBorders>
              <w:top w:val="single" w:sz="4" w:space="0" w:color="auto"/>
              <w:bottom w:val="single" w:sz="4" w:space="0" w:color="auto"/>
            </w:tcBorders>
            <w:tcMar>
              <w:top w:w="40" w:type="dxa"/>
              <w:left w:w="80" w:type="dxa"/>
              <w:bottom w:w="40" w:type="dxa"/>
              <w:right w:w="80" w:type="dxa"/>
            </w:tcMar>
          </w:tcPr>
          <w:p w14:paraId="14C22015" w14:textId="7E361C13" w:rsidR="001F056A" w:rsidRPr="00FA5381" w:rsidRDefault="003B6B46">
            <w:pPr>
              <w:pStyle w:val="P68B1DB1-Normal-pool-Table3"/>
              <w:spacing w:after="60"/>
              <w:rPr>
                <w:rFonts w:ascii="Simplified Arabic" w:hAnsi="Simplified Arabic" w:cs="Simplified Arabic" w:hint="cs"/>
              </w:rPr>
            </w:pPr>
            <w:r w:rsidRPr="00FA5381">
              <w:rPr>
                <w:rFonts w:ascii="Simplified Arabic" w:hAnsi="Simplified Arabic" w:cs="Simplified Arabic" w:hint="cs"/>
              </w:rPr>
              <w:t>الانتقال من دورة مدتها ثلاث سنوات إلى دورة مدتها أربع سنوات؛ وتغيير موعد إجراء دراسة فريق التقييم التكنولوجي والاقتصادي بشأن تجديد الموارد وفقًا لذلك أيضًا</w:t>
            </w:r>
          </w:p>
        </w:tc>
      </w:tr>
      <w:tr w:rsidR="001F056A" w:rsidRPr="00FA5381" w14:paraId="68C65A08" w14:textId="77777777">
        <w:trPr>
          <w:jc w:val="right"/>
        </w:trPr>
        <w:tc>
          <w:tcPr>
            <w:tcW w:w="1701" w:type="dxa"/>
            <w:tcBorders>
              <w:top w:val="single" w:sz="4" w:space="0" w:color="auto"/>
              <w:bottom w:val="single" w:sz="4" w:space="0" w:color="auto"/>
            </w:tcBorders>
            <w:tcMar>
              <w:top w:w="40" w:type="dxa"/>
              <w:left w:w="80" w:type="dxa"/>
              <w:bottom w:w="40" w:type="dxa"/>
              <w:right w:w="80" w:type="dxa"/>
            </w:tcMar>
          </w:tcPr>
          <w:p w14:paraId="5215061E" w14:textId="523F398C" w:rsidR="001F056A" w:rsidRPr="005E7227" w:rsidRDefault="003B6B46">
            <w:pPr>
              <w:pStyle w:val="P68B1DB1-Normal-pool-Table2"/>
              <w:spacing w:after="60"/>
              <w:rPr>
                <w:rFonts w:ascii="Simplified Arabic" w:hAnsi="Simplified Arabic" w:cs="Simplified Arabic" w:hint="cs"/>
                <w:b w:val="0"/>
                <w:bCs/>
              </w:rPr>
            </w:pPr>
            <w:r w:rsidRPr="005E7227">
              <w:rPr>
                <w:rFonts w:ascii="Simplified Arabic" w:hAnsi="Simplified Arabic" w:cs="Simplified Arabic" w:hint="cs"/>
                <w:b w:val="0"/>
                <w:bCs/>
              </w:rPr>
              <w:t xml:space="preserve">تكاليف </w:t>
            </w:r>
            <w:r w:rsidRPr="005E7227">
              <w:rPr>
                <w:rFonts w:ascii="Simplified Arabic" w:hAnsi="Simplified Arabic" w:cs="Simplified Arabic" w:hint="cs"/>
                <w:b w:val="0"/>
                <w:bCs/>
                <w:i/>
                <w:vertAlign w:val="superscript"/>
              </w:rPr>
              <w:t>"ب"</w:t>
            </w:r>
          </w:p>
          <w:p w14:paraId="0B988458" w14:textId="54055FE0" w:rsidR="001F056A" w:rsidRPr="00FA5381" w:rsidRDefault="003B6B46">
            <w:pPr>
              <w:pStyle w:val="P68B1DB1-Normal-pool-Table2"/>
              <w:spacing w:after="60"/>
              <w:rPr>
                <w:rFonts w:ascii="Simplified Arabic" w:hAnsi="Simplified Arabic" w:cs="Simplified Arabic" w:hint="cs"/>
              </w:rPr>
            </w:pPr>
            <w:r w:rsidRPr="005E7227">
              <w:rPr>
                <w:rFonts w:ascii="Simplified Arabic" w:hAnsi="Simplified Arabic" w:cs="Simplified Arabic" w:hint="cs"/>
                <w:b w:val="0"/>
                <w:bCs/>
              </w:rPr>
              <w:t>(متوسط الميزانية السنوية للفترة 2028–2031)</w:t>
            </w:r>
          </w:p>
        </w:tc>
        <w:tc>
          <w:tcPr>
            <w:tcW w:w="3544" w:type="dxa"/>
            <w:tcBorders>
              <w:top w:val="single" w:sz="4" w:space="0" w:color="auto"/>
              <w:bottom w:val="single" w:sz="4" w:space="0" w:color="auto"/>
            </w:tcBorders>
            <w:tcMar>
              <w:top w:w="40" w:type="dxa"/>
              <w:left w:w="80" w:type="dxa"/>
              <w:bottom w:w="40" w:type="dxa"/>
              <w:right w:w="80" w:type="dxa"/>
            </w:tcMar>
          </w:tcPr>
          <w:p w14:paraId="7519D678" w14:textId="77777777" w:rsidR="001F056A" w:rsidRPr="00FA5381" w:rsidRDefault="003B6B46">
            <w:pPr>
              <w:pStyle w:val="Normal-pool-Table"/>
              <w:spacing w:after="60"/>
              <w:rPr>
                <w:rFonts w:ascii="Simplified Arabic" w:hAnsi="Simplified Arabic" w:cs="Simplified Arabic" w:hint="cs"/>
              </w:rPr>
            </w:pPr>
            <w:r w:rsidRPr="00FA5381">
              <w:rPr>
                <w:rFonts w:ascii="Simplified Arabic" w:hAnsi="Simplified Arabic" w:cs="Simplified Arabic" w:hint="cs"/>
              </w:rPr>
              <w:t>6.18 مليون دولار أمريكي</w:t>
            </w:r>
          </w:p>
        </w:tc>
        <w:tc>
          <w:tcPr>
            <w:tcW w:w="4678" w:type="dxa"/>
            <w:tcBorders>
              <w:top w:val="single" w:sz="4" w:space="0" w:color="auto"/>
              <w:bottom w:val="single" w:sz="4" w:space="0" w:color="auto"/>
            </w:tcBorders>
            <w:tcMar>
              <w:top w:w="40" w:type="dxa"/>
              <w:left w:w="80" w:type="dxa"/>
              <w:bottom w:w="40" w:type="dxa"/>
              <w:right w:w="80" w:type="dxa"/>
            </w:tcMar>
          </w:tcPr>
          <w:p w14:paraId="7B45A3C4" w14:textId="77777777" w:rsidR="001F056A" w:rsidRPr="00FA5381" w:rsidRDefault="003B6B46">
            <w:pPr>
              <w:pStyle w:val="Normal-pool-Table"/>
              <w:spacing w:after="60"/>
              <w:rPr>
                <w:rFonts w:ascii="Simplified Arabic" w:hAnsi="Simplified Arabic" w:cs="Simplified Arabic" w:hint="cs"/>
              </w:rPr>
            </w:pPr>
            <w:r w:rsidRPr="00FA5381">
              <w:rPr>
                <w:rFonts w:ascii="Simplified Arabic" w:hAnsi="Simplified Arabic" w:cs="Simplified Arabic" w:hint="cs"/>
              </w:rPr>
              <w:t xml:space="preserve">5.18 مليون دولار أمريكي </w:t>
            </w:r>
          </w:p>
          <w:p w14:paraId="10184E24" w14:textId="35B2B6B4" w:rsidR="001F056A" w:rsidRPr="00FA5381" w:rsidRDefault="003B6B46">
            <w:pPr>
              <w:pStyle w:val="Normal-pool-Table"/>
              <w:spacing w:after="60"/>
              <w:rPr>
                <w:rFonts w:ascii="Simplified Arabic" w:hAnsi="Simplified Arabic" w:cs="Simplified Arabic" w:hint="cs"/>
              </w:rPr>
            </w:pPr>
            <w:r w:rsidRPr="00FA5381">
              <w:rPr>
                <w:rFonts w:ascii="Simplified Arabic" w:hAnsi="Simplified Arabic" w:cs="Simplified Arabic" w:hint="cs"/>
              </w:rPr>
              <w:t>(الوفورات المحققة مقارنة بالسيناريو "أ": 16% (1.01 مليون دولار أمريكي))</w:t>
            </w:r>
          </w:p>
        </w:tc>
        <w:tc>
          <w:tcPr>
            <w:tcW w:w="4506" w:type="dxa"/>
            <w:tcBorders>
              <w:top w:val="single" w:sz="4" w:space="0" w:color="auto"/>
              <w:bottom w:val="single" w:sz="4" w:space="0" w:color="auto"/>
            </w:tcBorders>
            <w:tcMar>
              <w:top w:w="40" w:type="dxa"/>
              <w:left w:w="80" w:type="dxa"/>
              <w:bottom w:w="40" w:type="dxa"/>
              <w:right w:w="80" w:type="dxa"/>
            </w:tcMar>
          </w:tcPr>
          <w:p w14:paraId="0F7A6ABC" w14:textId="77777777" w:rsidR="001F056A" w:rsidRPr="00FA5381" w:rsidRDefault="003B6B46">
            <w:pPr>
              <w:pStyle w:val="Normal-pool-Table"/>
              <w:spacing w:after="60"/>
              <w:rPr>
                <w:rFonts w:ascii="Simplified Arabic" w:hAnsi="Simplified Arabic" w:cs="Simplified Arabic" w:hint="cs"/>
              </w:rPr>
            </w:pPr>
            <w:r w:rsidRPr="00FA5381">
              <w:rPr>
                <w:rFonts w:ascii="Simplified Arabic" w:hAnsi="Simplified Arabic" w:cs="Simplified Arabic" w:hint="cs"/>
              </w:rPr>
              <w:t xml:space="preserve">4.57 مليون دولار أمريكي </w:t>
            </w:r>
          </w:p>
          <w:p w14:paraId="2A7F17F2" w14:textId="4F071CE0" w:rsidR="001F056A" w:rsidRPr="00FA5381" w:rsidRDefault="003B6B46">
            <w:pPr>
              <w:pStyle w:val="Normal-pool-Table"/>
              <w:spacing w:after="60"/>
              <w:rPr>
                <w:rFonts w:ascii="Simplified Arabic" w:hAnsi="Simplified Arabic" w:cs="Simplified Arabic" w:hint="cs"/>
              </w:rPr>
            </w:pPr>
            <w:r w:rsidRPr="00FA5381">
              <w:rPr>
                <w:rFonts w:ascii="Simplified Arabic" w:hAnsi="Simplified Arabic" w:cs="Simplified Arabic" w:hint="cs"/>
              </w:rPr>
              <w:t>(الوفورات المحققة مقارنة بالسيناريو "أ": 26% (1.61 مليون دولار أمريكي))</w:t>
            </w:r>
          </w:p>
        </w:tc>
      </w:tr>
      <w:tr w:rsidR="001F056A" w:rsidRPr="00FA5381" w14:paraId="553B8291" w14:textId="77777777">
        <w:trPr>
          <w:jc w:val="right"/>
        </w:trPr>
        <w:tc>
          <w:tcPr>
            <w:tcW w:w="1701" w:type="dxa"/>
            <w:tcBorders>
              <w:top w:val="single" w:sz="4" w:space="0" w:color="auto"/>
              <w:bottom w:val="single" w:sz="12" w:space="0" w:color="auto"/>
            </w:tcBorders>
            <w:tcMar>
              <w:top w:w="40" w:type="dxa"/>
              <w:left w:w="80" w:type="dxa"/>
              <w:bottom w:w="40" w:type="dxa"/>
              <w:right w:w="80" w:type="dxa"/>
            </w:tcMar>
          </w:tcPr>
          <w:p w14:paraId="37D499D8" w14:textId="77777777" w:rsidR="001F056A" w:rsidRPr="00FA5381" w:rsidRDefault="003B6B46">
            <w:pPr>
              <w:pStyle w:val="P68B1DB1-Normal-pool-Table2"/>
              <w:spacing w:after="60"/>
              <w:rPr>
                <w:rFonts w:ascii="Simplified Arabic" w:hAnsi="Simplified Arabic" w:cs="Simplified Arabic" w:hint="cs"/>
              </w:rPr>
            </w:pPr>
            <w:r w:rsidRPr="00FA5381">
              <w:rPr>
                <w:rFonts w:ascii="Simplified Arabic" w:hAnsi="Simplified Arabic" w:cs="Simplified Arabic" w:hint="cs"/>
              </w:rPr>
              <w:lastRenderedPageBreak/>
              <w:t xml:space="preserve">الاستدامة المالية </w:t>
            </w:r>
          </w:p>
        </w:tc>
        <w:tc>
          <w:tcPr>
            <w:tcW w:w="3544" w:type="dxa"/>
            <w:tcBorders>
              <w:top w:val="single" w:sz="4" w:space="0" w:color="auto"/>
              <w:bottom w:val="single" w:sz="12" w:space="0" w:color="auto"/>
            </w:tcBorders>
            <w:tcMar>
              <w:top w:w="40" w:type="dxa"/>
              <w:left w:w="80" w:type="dxa"/>
              <w:bottom w:w="40" w:type="dxa"/>
              <w:right w:w="80" w:type="dxa"/>
            </w:tcMar>
          </w:tcPr>
          <w:p w14:paraId="721ECC08" w14:textId="32BF1D71" w:rsidR="001F056A" w:rsidRPr="00FA5381" w:rsidRDefault="003B6B46">
            <w:pPr>
              <w:pStyle w:val="Normal-pool-Table"/>
              <w:spacing w:after="60"/>
              <w:rPr>
                <w:rFonts w:ascii="Simplified Arabic" w:hAnsi="Simplified Arabic" w:cs="Simplified Arabic" w:hint="cs"/>
              </w:rPr>
            </w:pPr>
            <w:r w:rsidRPr="00FA5381">
              <w:rPr>
                <w:rFonts w:ascii="Simplified Arabic" w:hAnsi="Simplified Arabic" w:cs="Simplified Arabic" w:hint="cs"/>
              </w:rPr>
              <w:t>الحفاظ على الاحتياطي حتى عام 2030 بمعدل تحصيل قدره 75%</w:t>
            </w:r>
          </w:p>
        </w:tc>
        <w:tc>
          <w:tcPr>
            <w:tcW w:w="4678" w:type="dxa"/>
            <w:tcBorders>
              <w:top w:val="single" w:sz="4" w:space="0" w:color="auto"/>
              <w:bottom w:val="single" w:sz="12" w:space="0" w:color="auto"/>
            </w:tcBorders>
            <w:tcMar>
              <w:top w:w="40" w:type="dxa"/>
              <w:left w:w="80" w:type="dxa"/>
              <w:bottom w:w="40" w:type="dxa"/>
              <w:right w:w="80" w:type="dxa"/>
            </w:tcMar>
          </w:tcPr>
          <w:p w14:paraId="22864392" w14:textId="74FC1FED" w:rsidR="001F056A" w:rsidRPr="00FA5381" w:rsidRDefault="003B6B46">
            <w:pPr>
              <w:pStyle w:val="Normal-pool-Table"/>
              <w:spacing w:after="60"/>
              <w:rPr>
                <w:rFonts w:ascii="Simplified Arabic" w:hAnsi="Simplified Arabic" w:cs="Simplified Arabic" w:hint="cs"/>
              </w:rPr>
            </w:pPr>
            <w:r w:rsidRPr="00FA5381">
              <w:rPr>
                <w:rFonts w:ascii="Simplified Arabic" w:hAnsi="Simplified Arabic" w:cs="Simplified Arabic" w:hint="cs"/>
              </w:rPr>
              <w:t>الحفاظ على الاحتياطي حتى عام 2031 بمعدل تحصيل قدره 75%</w:t>
            </w:r>
          </w:p>
        </w:tc>
        <w:tc>
          <w:tcPr>
            <w:tcW w:w="4506" w:type="dxa"/>
            <w:tcBorders>
              <w:top w:val="single" w:sz="4" w:space="0" w:color="auto"/>
              <w:bottom w:val="single" w:sz="12" w:space="0" w:color="auto"/>
            </w:tcBorders>
            <w:tcMar>
              <w:top w:w="40" w:type="dxa"/>
              <w:left w:w="80" w:type="dxa"/>
              <w:bottom w:w="40" w:type="dxa"/>
              <w:right w:w="80" w:type="dxa"/>
            </w:tcMar>
          </w:tcPr>
          <w:p w14:paraId="13DB0AD6" w14:textId="22B40704" w:rsidR="001F056A" w:rsidRPr="00FA5381" w:rsidRDefault="003B6B46">
            <w:pPr>
              <w:pStyle w:val="Normal-pool-Table"/>
              <w:spacing w:after="60"/>
              <w:rPr>
                <w:rFonts w:ascii="Simplified Arabic" w:hAnsi="Simplified Arabic" w:cs="Simplified Arabic" w:hint="cs"/>
              </w:rPr>
            </w:pPr>
            <w:r w:rsidRPr="00FA5381">
              <w:rPr>
                <w:rFonts w:ascii="Simplified Arabic" w:hAnsi="Simplified Arabic" w:cs="Simplified Arabic" w:hint="cs"/>
              </w:rPr>
              <w:t>الحفاظ على الاحتياطي حتى عام 2031 بمعدل تحصيل قدره 75%، بالإضافة إلى نحو 500000 دولار أمريكي لتنفيذ الأنشطة</w:t>
            </w:r>
          </w:p>
        </w:tc>
      </w:tr>
    </w:tbl>
    <w:p w14:paraId="263AA08D" w14:textId="5FFF3BFB" w:rsidR="001F056A" w:rsidRDefault="003B6B46">
      <w:pPr>
        <w:pStyle w:val="P68B1DB1-Normal-pool4"/>
        <w:tabs>
          <w:tab w:val="clear" w:pos="624"/>
          <w:tab w:val="clear" w:pos="1871"/>
          <w:tab w:val="clear" w:pos="2495"/>
          <w:tab w:val="clear" w:pos="3119"/>
          <w:tab w:val="clear" w:pos="3742"/>
          <w:tab w:val="clear" w:pos="4366"/>
          <w:tab w:val="clear" w:pos="4990"/>
          <w:tab w:val="left" w:pos="1814"/>
          <w:tab w:val="left" w:pos="2381"/>
          <w:tab w:val="left" w:pos="2948"/>
          <w:tab w:val="left" w:pos="3515"/>
          <w:tab w:val="left" w:pos="4082"/>
        </w:tabs>
        <w:spacing w:before="60" w:after="120"/>
        <w:ind w:left="1247"/>
      </w:pPr>
      <w:r>
        <w:tab/>
      </w:r>
      <w:r>
        <w:rPr>
          <w:i/>
        </w:rPr>
        <w:t>الاختصارات:</w:t>
      </w:r>
      <w:r>
        <w:t xml:space="preserve"> COP – مؤتمر الأطراف؛ ExCom – اللجنة التنفيذية؛ ImpCom – لجنة التنفيذ؛ MLF – الصندوق المتعدد الأطراف؛ MOP – اجتماع الأطراف؛ OEWG – الفريق العامل المفتوح العضوية؛ ORM – مديرو أبحاث الأوزون؛ TEAP – فريق التقييم التكنولوجي والاقتصادي؛ TOC – لجنة الخيارات التقنية.</w:t>
      </w:r>
    </w:p>
    <w:p w14:paraId="51581ACA" w14:textId="6CFC267D" w:rsidR="001F056A" w:rsidRDefault="003B6B46">
      <w:pPr>
        <w:pStyle w:val="P68B1DB1-Normal-pool4"/>
        <w:tabs>
          <w:tab w:val="clear" w:pos="624"/>
          <w:tab w:val="clear" w:pos="1871"/>
          <w:tab w:val="clear" w:pos="2495"/>
          <w:tab w:val="clear" w:pos="3119"/>
          <w:tab w:val="clear" w:pos="3742"/>
          <w:tab w:val="clear" w:pos="4366"/>
          <w:tab w:val="clear" w:pos="4990"/>
          <w:tab w:val="left" w:pos="1814"/>
          <w:tab w:val="left" w:pos="2381"/>
          <w:tab w:val="left" w:pos="2948"/>
          <w:tab w:val="left" w:pos="3515"/>
          <w:tab w:val="left" w:pos="4082"/>
        </w:tabs>
        <w:spacing w:before="60" w:after="120"/>
        <w:ind w:left="1247"/>
        <w:rPr>
          <w:vertAlign w:val="superscript"/>
        </w:rPr>
      </w:pPr>
      <w:r>
        <w:tab/>
      </w:r>
      <w:r>
        <w:rPr>
          <w:i/>
          <w:vertAlign w:val="superscript"/>
        </w:rPr>
        <w:t>أ ـ</w:t>
      </w:r>
      <w:r>
        <w:t xml:space="preserve"> ستُعقد الاجتماعات، ما لم يُنص على خلاف ذلك، بالحضور الشخصي.</w:t>
      </w:r>
    </w:p>
    <w:p w14:paraId="35348784" w14:textId="77777777" w:rsidR="001F056A" w:rsidRDefault="003B6B46">
      <w:pPr>
        <w:pStyle w:val="P68B1DB1-Normal-pool4"/>
        <w:tabs>
          <w:tab w:val="clear" w:pos="624"/>
          <w:tab w:val="clear" w:pos="1871"/>
          <w:tab w:val="clear" w:pos="2495"/>
          <w:tab w:val="clear" w:pos="3119"/>
          <w:tab w:val="clear" w:pos="3742"/>
          <w:tab w:val="clear" w:pos="4366"/>
          <w:tab w:val="clear" w:pos="4990"/>
          <w:tab w:val="left" w:pos="1814"/>
          <w:tab w:val="left" w:pos="2381"/>
          <w:tab w:val="left" w:pos="2948"/>
          <w:tab w:val="left" w:pos="3515"/>
          <w:tab w:val="left" w:pos="4082"/>
        </w:tabs>
        <w:spacing w:before="60" w:after="120"/>
        <w:ind w:left="1247"/>
        <w:sectPr w:rsidR="001F056A" w:rsidSect="00631328">
          <w:pgSz w:w="16839" w:h="11907" w:orient="landscape" w:code="9"/>
          <w:pgMar w:top="907" w:right="992" w:bottom="1418" w:left="1418" w:header="539" w:footer="975" w:gutter="0"/>
          <w:cols w:space="539"/>
          <w:docGrid w:linePitch="360"/>
        </w:sectPr>
      </w:pPr>
      <w:r>
        <w:tab/>
      </w:r>
      <w:r>
        <w:rPr>
          <w:i/>
          <w:vertAlign w:val="superscript"/>
        </w:rPr>
        <w:t>ب ـ</w:t>
      </w:r>
      <w:r>
        <w:t xml:space="preserve"> تمثل أرقام التكلفة المجاميع الإجمالية لميزانيات الصندوق الاستئماني لبروتوكول مونتريال الواردة في الجدول 3 من الوثيقة UNEP/OzL.Pro.WG.1/48/4، محسوبةً على أساس المتوسط للفترة 2028–2031.</w:t>
      </w:r>
    </w:p>
    <w:p w14:paraId="66B1B2A3" w14:textId="4264CA56" w:rsidR="001F056A" w:rsidRPr="005E7227" w:rsidRDefault="003B6B46">
      <w:pPr>
        <w:pStyle w:val="CH2"/>
        <w:rPr>
          <w:rFonts w:ascii="Simplified Arabic" w:hAnsi="Simplified Arabic" w:cs="Simplified Arabic" w:hint="cs"/>
          <w:b w:val="0"/>
          <w:bCs/>
          <w:sz w:val="26"/>
          <w:szCs w:val="26"/>
        </w:rPr>
      </w:pPr>
      <w:r w:rsidRPr="005E7227">
        <w:rPr>
          <w:rFonts w:ascii="Simplified Arabic" w:hAnsi="Simplified Arabic" w:cs="Simplified Arabic" w:hint="cs"/>
          <w:b w:val="0"/>
          <w:bCs/>
          <w:sz w:val="26"/>
          <w:szCs w:val="26"/>
        </w:rPr>
        <w:lastRenderedPageBreak/>
        <w:tab/>
        <w:t>ج ـ</w:t>
      </w:r>
      <w:r w:rsidRPr="005E7227">
        <w:rPr>
          <w:rFonts w:ascii="Simplified Arabic" w:hAnsi="Simplified Arabic" w:cs="Simplified Arabic" w:hint="cs"/>
          <w:b w:val="0"/>
          <w:bCs/>
          <w:sz w:val="26"/>
          <w:szCs w:val="26"/>
        </w:rPr>
        <w:tab/>
        <w:t>الآثار المترتبة على المشاركة الفعّالة والعادلة والشاملة</w:t>
      </w:r>
    </w:p>
    <w:p w14:paraId="444A6107" w14:textId="7AE4C292" w:rsidR="001F056A" w:rsidRPr="005E7227" w:rsidRDefault="003B6B46">
      <w:pPr>
        <w:pStyle w:val="Normalnumber"/>
        <w:tabs>
          <w:tab w:val="clear" w:pos="1247"/>
          <w:tab w:val="clear" w:pos="1814"/>
          <w:tab w:val="clear" w:pos="2381"/>
          <w:tab w:val="clear" w:pos="2948"/>
          <w:tab w:val="clear" w:pos="3515"/>
          <w:tab w:val="left" w:pos="624"/>
        </w:tabs>
        <w:ind w:left="1247"/>
        <w:rPr>
          <w:rFonts w:ascii="Simplified Arabic" w:hAnsi="Simplified Arabic" w:cs="Simplified Arabic" w:hint="cs"/>
          <w:sz w:val="24"/>
          <w:szCs w:val="24"/>
        </w:rPr>
      </w:pPr>
      <w:r w:rsidRPr="005E7227">
        <w:rPr>
          <w:rFonts w:ascii="Simplified Arabic" w:hAnsi="Simplified Arabic" w:cs="Simplified Arabic" w:hint="cs"/>
          <w:sz w:val="24"/>
          <w:szCs w:val="24"/>
        </w:rPr>
        <w:t>يمكن أن يؤدي خفض وتيرة عقد الاجتماعات إلى تحقيق وفورات، لكن من شأن ذلك أن يطيل الفترات الفاصلة بين الفرص المتاحة للأطراف للتفاعل المباشر فيما بينها ومع سائر الجهات المعنية. وستعتمد أهمية هذا التأثير على حجم العمل خلال الفترات الفاصلة بين الاجتماعات وعلى مدى توافر آليات فعّالة لإجراء المشاورات وتبادل المعلومات وتقديم الدعم التقني فيما بين الدورات.</w:t>
      </w:r>
    </w:p>
    <w:p w14:paraId="7479131F" w14:textId="40046D9E" w:rsidR="001F056A" w:rsidRPr="005E7227" w:rsidRDefault="003B6B46">
      <w:pPr>
        <w:pStyle w:val="Normalnumber"/>
        <w:tabs>
          <w:tab w:val="clear" w:pos="1247"/>
          <w:tab w:val="clear" w:pos="1814"/>
          <w:tab w:val="clear" w:pos="2381"/>
          <w:tab w:val="clear" w:pos="2948"/>
          <w:tab w:val="clear" w:pos="3515"/>
          <w:tab w:val="left" w:pos="624"/>
        </w:tabs>
        <w:ind w:left="1247"/>
        <w:rPr>
          <w:rFonts w:ascii="Simplified Arabic" w:hAnsi="Simplified Arabic" w:cs="Simplified Arabic" w:hint="cs"/>
          <w:sz w:val="24"/>
          <w:szCs w:val="24"/>
        </w:rPr>
      </w:pPr>
      <w:r w:rsidRPr="005E7227">
        <w:rPr>
          <w:rFonts w:ascii="Simplified Arabic" w:hAnsi="Simplified Arabic" w:cs="Simplified Arabic" w:hint="cs"/>
          <w:sz w:val="24"/>
          <w:szCs w:val="24"/>
        </w:rPr>
        <w:t xml:space="preserve">ومن الممكن أن تؤدي زيادة استخدام الاجتماعات عن بُعد إلى تيسير المشاركة، من خلال الاستغناء عن الحاجة إلى السفر، وتمكين المزيد من المسؤولين الوطنيين أو الخبراء التقنيين من المشاركة دون الحاجة إلى السفر. وفي الوقت نفسه، قد تؤثر التفاوتات في جودة الاتصال وإمكانية الوصول إلى التقنية المناسبة واختلاف المناطق الزمنية وبيئات العمل على قدرة بعض الأطراف على المشاركة الكاملة. وقد تقل أيضًا، في صيغ الاجتماعات المعقودة عن بُعد، فرص إجراء المشاورات غير الرسمية والتبادلات المباشرة التي قد تكون مهمة لتوضيح المسائل التقنية </w:t>
      </w:r>
      <w:r w:rsidRPr="005E7227">
        <w:rPr>
          <w:rFonts w:ascii="Simplified Arabic" w:hAnsi="Simplified Arabic" w:cs="Simplified Arabic" w:hint="cs"/>
          <w:sz w:val="24"/>
          <w:szCs w:val="24"/>
        </w:rPr>
        <w:t>ومسائل التفاوض المعقدة وتيسير التوصل إلى توافق في الآراء. وفي الحالات التي تكون فيها الترجمة الشفوية مطلوبة، يتحتم أيضًا توفير خدمات موثوقة.</w:t>
      </w:r>
    </w:p>
    <w:p w14:paraId="63DF7456" w14:textId="417A8CF8" w:rsidR="001F056A" w:rsidRPr="005E7227" w:rsidRDefault="003B6B46">
      <w:pPr>
        <w:pStyle w:val="Normalnumber"/>
        <w:tabs>
          <w:tab w:val="clear" w:pos="1247"/>
          <w:tab w:val="clear" w:pos="1814"/>
          <w:tab w:val="clear" w:pos="2381"/>
          <w:tab w:val="clear" w:pos="2948"/>
          <w:tab w:val="clear" w:pos="3515"/>
          <w:tab w:val="left" w:pos="624"/>
        </w:tabs>
        <w:ind w:left="1247"/>
        <w:rPr>
          <w:rFonts w:ascii="Simplified Arabic" w:hAnsi="Simplified Arabic" w:cs="Simplified Arabic" w:hint="cs"/>
          <w:sz w:val="24"/>
          <w:szCs w:val="24"/>
        </w:rPr>
      </w:pPr>
      <w:r w:rsidRPr="005E7227">
        <w:rPr>
          <w:rFonts w:ascii="Simplified Arabic" w:hAnsi="Simplified Arabic" w:cs="Simplified Arabic" w:hint="cs"/>
          <w:sz w:val="24"/>
          <w:szCs w:val="24"/>
        </w:rPr>
        <w:t>وتُعدّ إمكانية الحصول على خدمات الترجمة الشفوية عنصرًا مهمًا لضمان المشاركة المنصفة في الاجتماعات الحكومية الدولية. لذلك، ينبغي النظر في أي تغييرات من شأنها أن تؤثر على الترجمة الشفوية ليس فقط من حيث آثارها المالية، وإنما أيضًا من حيث تأثيرها على قدرة الأطراف على فهم المسائل قيد النظر والإدلاء بمداخلات بشأنها والتفاوض حولها. وتشهد خدمات الترجمة الشفوية والترجمة التحريرية المدعومة بالذكاء الاصطناعي تطورًا سريعًا (انظر القسم ثالثًا ـ ج ـ أدناه).</w:t>
      </w:r>
    </w:p>
    <w:p w14:paraId="36486063" w14:textId="3BBA1110" w:rsidR="001F056A" w:rsidRPr="005E7227" w:rsidRDefault="003B6B46">
      <w:pPr>
        <w:pStyle w:val="Normalnumber"/>
        <w:tabs>
          <w:tab w:val="clear" w:pos="1247"/>
          <w:tab w:val="clear" w:pos="1814"/>
          <w:tab w:val="clear" w:pos="2381"/>
          <w:tab w:val="clear" w:pos="2948"/>
          <w:tab w:val="clear" w:pos="3515"/>
          <w:tab w:val="left" w:pos="624"/>
        </w:tabs>
        <w:ind w:left="1247"/>
        <w:rPr>
          <w:rFonts w:ascii="Simplified Arabic" w:hAnsi="Simplified Arabic" w:cs="Simplified Arabic" w:hint="cs"/>
          <w:sz w:val="24"/>
          <w:szCs w:val="24"/>
        </w:rPr>
      </w:pPr>
      <w:r w:rsidRPr="005E7227">
        <w:rPr>
          <w:rFonts w:ascii="Simplified Arabic" w:hAnsi="Simplified Arabic" w:cs="Simplified Arabic" w:hint="cs"/>
          <w:sz w:val="24"/>
          <w:szCs w:val="24"/>
        </w:rPr>
        <w:t>ويمكن النظر في عدد من الضمانات لضمان ألا تؤثر تدابير الكفاءة بشكل غير متناسب على البلدان الصغيرة ذات القدرات المؤسسية والتقنية المحدودة، التي قد تكون أشدّ حاجة إلى الحصول في الوقت المناسب إلى المعلومات والتوجيه التقني وبناء القدرات خلال الفترات الفاصلة بين الدورات. ولتمكين الوفود، ولا سيما الصغيرة منها التي تحضر الاجتماعات، من الاستفادة منها استفادةً كاملة، ينبغي اتخاذ التدابير التالية: تجنب تنظيم جلسات تفاوضية متزامنة؛ والتزويد بخدمات ترجمة شفوية فورية كافية خلال الجلسات العامة؛ وضمان إمكانية التنبؤ بمواعي</w:t>
      </w:r>
      <w:r w:rsidRPr="005E7227">
        <w:rPr>
          <w:rFonts w:ascii="Simplified Arabic" w:hAnsi="Simplified Arabic" w:cs="Simplified Arabic" w:hint="cs"/>
          <w:sz w:val="24"/>
          <w:szCs w:val="24"/>
        </w:rPr>
        <w:t>د الاجتماعات وإتاحة وقت كافٍ للمشاورات الإقليمية وغير الرسمية؛ ومواصلة تقديم الدعم لتغطية تكاليف سفر الأطراف المؤهلة العاملة بموجب المادة 5 لحضور الاجتماعات الحضورية؛ وإتاحة الوثائق قبل الاجتماعات بوقت كافٍ؛ وضمان إمكانية الحصول على الدعم التقني فيما بين الدورات؛ واستخدام الترتيبات الافتراضية بشكل انتقائي، بما يعزّز المشاركة بدلًا من تقييدها.</w:t>
      </w:r>
    </w:p>
    <w:p w14:paraId="3AB7483D" w14:textId="0436A95C" w:rsidR="001F056A" w:rsidRPr="005E7227" w:rsidRDefault="003B6B46">
      <w:pPr>
        <w:pStyle w:val="Normalnumber"/>
        <w:tabs>
          <w:tab w:val="clear" w:pos="1247"/>
          <w:tab w:val="clear" w:pos="1814"/>
          <w:tab w:val="clear" w:pos="2381"/>
          <w:tab w:val="clear" w:pos="2948"/>
          <w:tab w:val="clear" w:pos="3515"/>
          <w:tab w:val="left" w:pos="624"/>
        </w:tabs>
        <w:ind w:left="1247"/>
        <w:rPr>
          <w:rFonts w:ascii="Simplified Arabic" w:hAnsi="Simplified Arabic" w:cs="Simplified Arabic" w:hint="cs"/>
          <w:sz w:val="24"/>
          <w:szCs w:val="24"/>
        </w:rPr>
      </w:pPr>
      <w:r w:rsidRPr="005E7227">
        <w:rPr>
          <w:rFonts w:ascii="Simplified Arabic" w:hAnsi="Simplified Arabic" w:cs="Simplified Arabic" w:hint="cs"/>
          <w:sz w:val="24"/>
          <w:szCs w:val="24"/>
        </w:rPr>
        <w:t>يمكن أن يتمثل أحد الاعتبارات التوجيهية عند اختيار الطرائق المناسبة لعقد الاجتماعات في ضرورة أن تحافظ تدابير تحسين الكفاءة، قدر الإمكان، على قدرة جميع الأطراف على المشاركة بفعالية وإنصاف في أعمال مؤسسات معاهدات الأوزون وعلى الحصول على المعلومات والدعم اللازمين لتنفيذ التزاماتها.</w:t>
      </w:r>
    </w:p>
    <w:p w14:paraId="6F2002AD" w14:textId="34030C79" w:rsidR="001F056A" w:rsidRPr="00A74BF3" w:rsidRDefault="003B6B46">
      <w:pPr>
        <w:pStyle w:val="CH2"/>
        <w:rPr>
          <w:rFonts w:ascii="Simplified Arabic" w:hAnsi="Simplified Arabic" w:cs="Simplified Arabic" w:hint="cs"/>
          <w:b w:val="0"/>
          <w:bCs/>
          <w:sz w:val="26"/>
          <w:szCs w:val="26"/>
        </w:rPr>
      </w:pPr>
      <w:r w:rsidRPr="00A74BF3">
        <w:rPr>
          <w:rFonts w:ascii="Simplified Arabic" w:hAnsi="Simplified Arabic" w:cs="Simplified Arabic" w:hint="cs"/>
          <w:b w:val="0"/>
          <w:bCs/>
          <w:sz w:val="26"/>
          <w:szCs w:val="26"/>
        </w:rPr>
        <w:tab/>
        <w:t>د ـ</w:t>
      </w:r>
      <w:r w:rsidRPr="00A74BF3">
        <w:rPr>
          <w:rFonts w:ascii="Simplified Arabic" w:hAnsi="Simplified Arabic" w:cs="Simplified Arabic" w:hint="cs"/>
          <w:b w:val="0"/>
          <w:bCs/>
          <w:sz w:val="26"/>
          <w:szCs w:val="26"/>
        </w:rPr>
        <w:tab/>
        <w:t>أثر السيناريوهات على احتياجات الأمانة من الموظفين وتكاليف توظيفهم</w:t>
      </w:r>
    </w:p>
    <w:p w14:paraId="3A13984A" w14:textId="0A8F6A5D" w:rsidR="001F056A" w:rsidRPr="00A74BF3" w:rsidRDefault="003B6B46">
      <w:pPr>
        <w:pStyle w:val="P68B1DB1-Normalnumber5"/>
        <w:tabs>
          <w:tab w:val="clear" w:pos="1247"/>
          <w:tab w:val="clear" w:pos="1814"/>
          <w:tab w:val="clear" w:pos="2381"/>
          <w:tab w:val="clear" w:pos="2948"/>
          <w:tab w:val="clear" w:pos="3515"/>
          <w:tab w:val="left" w:pos="624"/>
        </w:tabs>
        <w:ind w:left="1247"/>
        <w:rPr>
          <w:rFonts w:ascii="Simplified Arabic" w:eastAsiaTheme="minorEastAsia" w:hAnsi="Simplified Arabic" w:cs="Simplified Arabic" w:hint="cs"/>
          <w:sz w:val="24"/>
          <w:szCs w:val="24"/>
        </w:rPr>
      </w:pPr>
      <w:r w:rsidRPr="00A74BF3">
        <w:rPr>
          <w:rFonts w:ascii="Simplified Arabic" w:hAnsi="Simplified Arabic" w:cs="Simplified Arabic" w:hint="cs"/>
          <w:sz w:val="24"/>
          <w:szCs w:val="24"/>
        </w:rPr>
        <w:t xml:space="preserve">لم تتناول الوثيقة UNEP/OzL.Pro.WG.1/48/4 التغييرات التي قد تطرأ على قدرة الأمانة على دعم تنفيذ معاهدات الأوزون. ويتوقف أثر السيناريوهات على احتياجات الأمانة من الموظفين وتكاليفهم على </w:t>
      </w:r>
      <w:r w:rsidRPr="00A74BF3">
        <w:rPr>
          <w:rFonts w:ascii="Simplified Arabic" w:hAnsi="Simplified Arabic" w:cs="Simplified Arabic" w:hint="cs"/>
          <w:sz w:val="24"/>
          <w:szCs w:val="24"/>
        </w:rPr>
        <w:lastRenderedPageBreak/>
        <w:t>طبيعة التغييرات المتوخاة ونطاقها. ولن يؤدي خفض وتيرة عقد الاجتماعات ومدتها أو إجراء تغييرات في صيغة انعقادها بالضرورة إلى تقليص متناسب لحجم العبء الملقى على عاتق الأمانة أو لتكاليف الموظفين.</w:t>
      </w:r>
    </w:p>
    <w:p w14:paraId="1CC62906" w14:textId="7036DF8E" w:rsidR="001F056A" w:rsidRPr="00A74BF3" w:rsidRDefault="003B6B46">
      <w:pPr>
        <w:pStyle w:val="Normalnumber"/>
        <w:tabs>
          <w:tab w:val="clear" w:pos="1247"/>
          <w:tab w:val="clear" w:pos="1814"/>
          <w:tab w:val="clear" w:pos="2381"/>
          <w:tab w:val="clear" w:pos="2948"/>
          <w:tab w:val="clear" w:pos="3515"/>
          <w:tab w:val="left" w:pos="624"/>
        </w:tabs>
        <w:ind w:left="1247"/>
        <w:rPr>
          <w:rFonts w:ascii="Simplified Arabic" w:hAnsi="Simplified Arabic" w:cs="Simplified Arabic" w:hint="cs"/>
          <w:sz w:val="24"/>
          <w:szCs w:val="24"/>
        </w:rPr>
      </w:pPr>
      <w:r w:rsidRPr="00A74BF3">
        <w:rPr>
          <w:rFonts w:ascii="Simplified Arabic" w:hAnsi="Simplified Arabic" w:cs="Simplified Arabic" w:hint="cs"/>
          <w:sz w:val="24"/>
          <w:szCs w:val="24"/>
        </w:rPr>
        <w:t>ويتمثل جزء كبير من عمل الأمانة في مهام تظل ضرورية، بغض النظر عن عدد الاجتماعات أو مدتها. وتشمل هذه المهام دعم الأطراف في تنفيذها اتفاقية فيينا وبروتوكول مونتريال الملحق بها والامتثال لأحكامهما؛ وتلقي البيانات والمعلومات الأخرى المقدمة من الأطراف واستعراضها ومعالجتها؛ ودعم لجنة التنفيذ والمكتب؛ وتقديم الخدمات اللازمة لأفرقة التقييم والهيئات الأخرى؛ وإعداد الوثائق وتجهيزها؛ وصيانة نظم المعلومات والسجلات المؤسسية؛ والاستجابة لطلبات الأطراف؛ وتنسيق مختلف الأنشطة مع أمانة الصندوق المتعدد الأطراف والوكالات المنفذ</w:t>
      </w:r>
      <w:r w:rsidRPr="00A74BF3">
        <w:rPr>
          <w:rFonts w:ascii="Simplified Arabic" w:hAnsi="Simplified Arabic" w:cs="Simplified Arabic" w:hint="cs"/>
          <w:sz w:val="24"/>
          <w:szCs w:val="24"/>
        </w:rPr>
        <w:t>ة وغيرها من المنظمات ذات الصلة؛ والاضطلاع بالمهام المالية والإدارية ومهام إدارة البرامج. ونظرًا لأن أمانة الأوزون جزء من برنامج الأمم المتحدة للبيئة، سيظل التنسيق مع اجتماعات برنامج الأمم المتحدة للبيئة وأنشطته والمشاركة فيها أمرًا ضروريًا أيضًا.</w:t>
      </w:r>
    </w:p>
    <w:p w14:paraId="719BC2B0" w14:textId="6AEF0F00" w:rsidR="001F056A" w:rsidRPr="00A74BF3" w:rsidRDefault="003B6B46">
      <w:pPr>
        <w:pStyle w:val="Normalnumber"/>
        <w:tabs>
          <w:tab w:val="clear" w:pos="1247"/>
          <w:tab w:val="clear" w:pos="1814"/>
          <w:tab w:val="clear" w:pos="2381"/>
          <w:tab w:val="clear" w:pos="2948"/>
          <w:tab w:val="clear" w:pos="3515"/>
          <w:tab w:val="left" w:pos="624"/>
        </w:tabs>
        <w:ind w:left="1247"/>
        <w:rPr>
          <w:rFonts w:ascii="Simplified Arabic" w:hAnsi="Simplified Arabic" w:cs="Simplified Arabic" w:hint="cs"/>
          <w:sz w:val="24"/>
          <w:szCs w:val="24"/>
        </w:rPr>
      </w:pPr>
      <w:r w:rsidRPr="00A74BF3">
        <w:rPr>
          <w:rFonts w:ascii="Simplified Arabic" w:hAnsi="Simplified Arabic" w:cs="Simplified Arabic" w:hint="cs"/>
          <w:sz w:val="24"/>
          <w:szCs w:val="24"/>
        </w:rPr>
        <w:t>ومن شأن التغييرات في ترتيبات الاجتماعات أن تؤثر بشكل رئيسي على مكوِنات عمل الأمانة المتعلقة بالاجتماعات. وحتى مع تقليص مدة الاجتماعات، سيظل جزء كبير من الأعمال التحضيرية وأعمال المتابعة قائمًا: إذ سيبقى من الضروري إعداد وثائق الاجتماعات وتجهيزها، وإجراء مشاورات مع الأطراف والشركاء، واتخاذ الترتيبات اللوجستية اللازمة، واستكمال تقرير الاجتماع وأعمال المتابعة اللاحقة. وقد يؤدي تقليص مدة الاجتماعات أيضًا إلى نقل بعض الأعمال إلى المشاورات فيما بين الدورات أو الاجتماعات الافتراضية، بدلًا من الاستغناء عنها. وبناءً</w:t>
      </w:r>
      <w:r w:rsidRPr="00A74BF3">
        <w:rPr>
          <w:rFonts w:ascii="Simplified Arabic" w:hAnsi="Simplified Arabic" w:cs="Simplified Arabic" w:hint="cs"/>
          <w:sz w:val="24"/>
          <w:szCs w:val="24"/>
        </w:rPr>
        <w:t xml:space="preserve"> على ذلك، يُتوقع أن يكون للسيناريوهات التي تنطوي على تغييرات محدودة نسبيًا في مدة الاجتماعات أثر فوري أكبر على تكاليف الاجتماعات، مثل تكاليف خدمات المؤتمرات والترجمة الشفوية والسفر ومدفوعات بدل الإقامة اليومي، مقارنة بأثرها على احتياجات الأمانة من الموظفين وتكاليف توظيفهم.</w:t>
      </w:r>
    </w:p>
    <w:p w14:paraId="0D9578A1" w14:textId="58327A63" w:rsidR="001F056A" w:rsidRPr="00A74BF3" w:rsidRDefault="003B6B46">
      <w:pPr>
        <w:pStyle w:val="Normalnumber"/>
        <w:tabs>
          <w:tab w:val="clear" w:pos="1247"/>
          <w:tab w:val="clear" w:pos="1814"/>
          <w:tab w:val="clear" w:pos="2381"/>
          <w:tab w:val="clear" w:pos="2948"/>
          <w:tab w:val="clear" w:pos="3515"/>
          <w:tab w:val="left" w:pos="624"/>
        </w:tabs>
        <w:ind w:left="1247"/>
        <w:rPr>
          <w:rFonts w:ascii="Simplified Arabic" w:hAnsi="Simplified Arabic" w:cs="Simplified Arabic" w:hint="cs"/>
          <w:sz w:val="24"/>
          <w:szCs w:val="24"/>
        </w:rPr>
      </w:pPr>
      <w:r w:rsidRPr="00A74BF3">
        <w:rPr>
          <w:rFonts w:ascii="Simplified Arabic" w:hAnsi="Simplified Arabic" w:cs="Simplified Arabic" w:hint="cs"/>
          <w:sz w:val="24"/>
          <w:szCs w:val="24"/>
        </w:rPr>
        <w:t>وقد يكون للسيناريوهات التي تنطوي على خفض أكبر أو أكثر استدامةً لوتيرة عقد الاجتماعات، مثل السيناريو "ج"، تأثير أكبر على حجم العمل. ومع ذلك، سيتعيَّن تقييم أي آثار مترتبة على الموظفين من خلال دراسة المهام وحجم العمل المرتبطين بالسيناريو ذي الصلة بدلًا من تطبيق خفض متناسب استنادًا إلى وتيرة عقد الاجتماعات ومدتها. وقد لا يتسنى خفض عدد الموظفين إلا في حال أدى الانخفاض المستمر في حجم العمل إلى الاستغناء عن بعض الوظائف أو تخفيض درجاتها، أو ترك الوظائف الشاغرة دون شغلها، أو تقليص الاستعانة بالموظفين المؤقتين أو ال</w:t>
      </w:r>
      <w:r w:rsidRPr="00A74BF3">
        <w:rPr>
          <w:rFonts w:ascii="Simplified Arabic" w:hAnsi="Simplified Arabic" w:cs="Simplified Arabic" w:hint="cs"/>
          <w:sz w:val="24"/>
          <w:szCs w:val="24"/>
        </w:rPr>
        <w:t>استشاريين، أو إعادة هيكلة ترتيبات التوظيف بطريقة أخرى. وينبغي أن تراعي هذه التغييرات القدرة اللازمة للاضطلاع بالمهام التي تسندها الأطراف إلى الأمانة وضمان استمرارية سير العمل والخدمات.</w:t>
      </w:r>
    </w:p>
    <w:p w14:paraId="43DCD956" w14:textId="17F54AB8" w:rsidR="001F056A" w:rsidRPr="005511AC" w:rsidRDefault="003B6B46">
      <w:pPr>
        <w:pStyle w:val="CH1"/>
        <w:rPr>
          <w:rFonts w:ascii="Simplified Arabic" w:hAnsi="Simplified Arabic" w:cs="Simplified Arabic" w:hint="cs"/>
          <w:b w:val="0"/>
          <w:bCs/>
          <w:sz w:val="26"/>
          <w:szCs w:val="26"/>
        </w:rPr>
      </w:pPr>
      <w:r w:rsidRPr="005511AC">
        <w:rPr>
          <w:rFonts w:ascii="Simplified Arabic" w:hAnsi="Simplified Arabic" w:cs="Simplified Arabic" w:hint="cs"/>
          <w:b w:val="0"/>
          <w:bCs/>
          <w:sz w:val="26"/>
          <w:szCs w:val="26"/>
        </w:rPr>
        <w:tab/>
        <w:t>ثالثًا -</w:t>
      </w:r>
      <w:r w:rsidRPr="005511AC">
        <w:rPr>
          <w:rFonts w:ascii="Simplified Arabic" w:hAnsi="Simplified Arabic" w:cs="Simplified Arabic" w:hint="cs"/>
          <w:b w:val="0"/>
          <w:bCs/>
          <w:sz w:val="26"/>
          <w:szCs w:val="26"/>
        </w:rPr>
        <w:tab/>
        <w:t>المعلومات المستكملة والمستجدة</w:t>
      </w:r>
    </w:p>
    <w:p w14:paraId="58FE96A6" w14:textId="2C910F11" w:rsidR="001F056A" w:rsidRPr="005511AC" w:rsidRDefault="003B6B46">
      <w:pPr>
        <w:pStyle w:val="CH2"/>
        <w:rPr>
          <w:rFonts w:ascii="Simplified Arabic" w:hAnsi="Simplified Arabic" w:cs="Simplified Arabic" w:hint="cs"/>
          <w:b w:val="0"/>
          <w:bCs/>
          <w:szCs w:val="24"/>
        </w:rPr>
      </w:pPr>
      <w:r w:rsidRPr="005511AC">
        <w:rPr>
          <w:rFonts w:ascii="Simplified Arabic" w:hAnsi="Simplified Arabic" w:cs="Simplified Arabic" w:hint="cs"/>
          <w:b w:val="0"/>
          <w:bCs/>
          <w:szCs w:val="24"/>
        </w:rPr>
        <w:tab/>
        <w:t>أ -</w:t>
      </w:r>
      <w:r w:rsidRPr="005511AC">
        <w:rPr>
          <w:rFonts w:ascii="Simplified Arabic" w:hAnsi="Simplified Arabic" w:cs="Simplified Arabic" w:hint="cs"/>
          <w:b w:val="0"/>
          <w:bCs/>
          <w:szCs w:val="24"/>
        </w:rPr>
        <w:tab/>
        <w:t>مستجدات عملية «الأمم المتحدة 80» UN80</w:t>
      </w:r>
    </w:p>
    <w:p w14:paraId="34FCFA07" w14:textId="2528302B" w:rsidR="001F056A" w:rsidRPr="00A74BF3" w:rsidRDefault="003B6B46">
      <w:pPr>
        <w:pStyle w:val="Normalnumber"/>
        <w:tabs>
          <w:tab w:val="clear" w:pos="1247"/>
          <w:tab w:val="clear" w:pos="1814"/>
          <w:tab w:val="clear" w:pos="2381"/>
          <w:tab w:val="clear" w:pos="2948"/>
          <w:tab w:val="clear" w:pos="3515"/>
          <w:tab w:val="left" w:pos="624"/>
        </w:tabs>
        <w:ind w:left="1247"/>
        <w:rPr>
          <w:rFonts w:ascii="Simplified Arabic" w:hAnsi="Simplified Arabic" w:cs="Simplified Arabic" w:hint="cs"/>
          <w:sz w:val="24"/>
          <w:szCs w:val="24"/>
        </w:rPr>
      </w:pPr>
      <w:r w:rsidRPr="00A74BF3">
        <w:rPr>
          <w:rFonts w:ascii="Simplified Arabic" w:hAnsi="Simplified Arabic" w:cs="Simplified Arabic" w:hint="cs"/>
          <w:sz w:val="24"/>
          <w:szCs w:val="24"/>
        </w:rPr>
        <w:t xml:space="preserve">أطلق الأمين العام للأمم المتحدة مبادرة «الأمم المتحدة 80» في آذار/مارس 2025، تزامنًا مع الذكرى الثمانين لتأسيس الأمم المتحدة، بوصفها عملية إصلاح على نطاق المنظومة، ترمي إلى تعزيز الكفاءة والفعالية الداخليتين من خلال تبسيط العمليات، واستعراض تنفيذ الولايات، واستكشاف التغييرات الهيكلية وإعادة مواءمة البرامج على امتداد منظومة الأمم المتحدة. وتهدف حزمة العمل 27، وهي إحدى حزم العمل المنشأة في إطار المبادرة، إلى تعزيز اتساق الدعم البيئي الذي تقدمه الأمم المتحدة وكفاءته وتأثيره، ومعالجة التزايد في تجزؤ </w:t>
      </w:r>
      <w:r w:rsidRPr="00A74BF3">
        <w:rPr>
          <w:rFonts w:ascii="Simplified Arabic" w:hAnsi="Simplified Arabic" w:cs="Simplified Arabic" w:hint="cs"/>
          <w:sz w:val="24"/>
          <w:szCs w:val="24"/>
        </w:rPr>
        <w:lastRenderedPageBreak/>
        <w:t xml:space="preserve">الهيكل المؤسسي للأمم المتحدة، على الرغم مما تحقق من إنجازات في هذا المجال. ويجري النظر في أربعة مجالات رئيسية – وهي العلوم البيئية، والحوكمة، والتنسيق، ودعم البلدان في التنفيذ – وتحديدًا فيما يتعلق بإمكانية إعادة الهيكلة المؤسسية وتحسين الأداء الوظيفي. ولا تتضمن حزمة العمل مقترحات لتغيير الولايات القانونية للاتفاقات البيئية متعددة الأطراف، بل تهدف بدلاً من ذلك إلى تحسين التنسيق والتنفيذ وتقديم الخدمات مع احترام استقلالية هيئات المعاهدات. </w:t>
      </w:r>
    </w:p>
    <w:p w14:paraId="2A0EBE8C" w14:textId="16D634AE" w:rsidR="001F056A" w:rsidRPr="00A74BF3" w:rsidRDefault="003B6B46">
      <w:pPr>
        <w:pStyle w:val="Normalnumber"/>
        <w:tabs>
          <w:tab w:val="clear" w:pos="1247"/>
          <w:tab w:val="clear" w:pos="1814"/>
          <w:tab w:val="clear" w:pos="2381"/>
          <w:tab w:val="clear" w:pos="2948"/>
          <w:tab w:val="clear" w:pos="3515"/>
          <w:tab w:val="left" w:pos="624"/>
        </w:tabs>
        <w:ind w:left="1247"/>
        <w:rPr>
          <w:rFonts w:ascii="Simplified Arabic" w:hAnsi="Simplified Arabic" w:cs="Simplified Arabic" w:hint="cs"/>
          <w:sz w:val="24"/>
          <w:szCs w:val="24"/>
        </w:rPr>
      </w:pPr>
      <w:r w:rsidRPr="00A74BF3">
        <w:rPr>
          <w:rFonts w:ascii="Simplified Arabic" w:hAnsi="Simplified Arabic" w:cs="Simplified Arabic" w:hint="cs"/>
          <w:sz w:val="24"/>
          <w:szCs w:val="24"/>
        </w:rPr>
        <w:t>ويشترك في قيادة حزمة العمل 27 كلٌّ من المديرة التنفيذية لبرنامج الأمم المتحدة للبيئة والأمين التنفيذي لاتفاقية الأمم المتحدة الإطارية بشأن تغير المناخ، بمشاركة نحو 20 كيانًا آخر، من بينها أمانة الأوزون. وقُدِّم مشروع التقرير النهائي المتعلق بحزمة العمل إلى الأمين العام في حزيران/يونيه 2026، وأعقب ذلك إحاطات للدول الأعضاء واللجنة التوجيهية لمبادرة «الأمم المتحدة 80». وكان من المتوقع الانتهاء من إعداد التقرير، بما في ذلك الأهداف والتوصيات الواردة فيه (انظر الإطار أدناه)، بحلول آب/أغسطس 2026، على أن يقدّم الأم</w:t>
      </w:r>
      <w:r w:rsidRPr="00A74BF3">
        <w:rPr>
          <w:rFonts w:ascii="Simplified Arabic" w:hAnsi="Simplified Arabic" w:cs="Simplified Arabic" w:hint="cs"/>
          <w:sz w:val="24"/>
          <w:szCs w:val="24"/>
        </w:rPr>
        <w:t>ين العام بعد ذلك موجزًا للمعلومات. وحتى وقت إعداد هذه المذكرة، لم يكن التقرير قد صدر بعد.</w:t>
      </w:r>
    </w:p>
    <w:tbl>
      <w:tblPr>
        <w:tblStyle w:val="TableGrid"/>
        <w:bidiVisual/>
        <w:tblW w:w="0" w:type="auto"/>
        <w:tblInd w:w="1248" w:type="dxa"/>
        <w:tblLook w:val="04A0" w:firstRow="1" w:lastRow="0" w:firstColumn="1" w:lastColumn="0" w:noHBand="0" w:noVBand="1"/>
      </w:tblPr>
      <w:tblGrid>
        <w:gridCol w:w="8239"/>
      </w:tblGrid>
      <w:tr w:rsidR="001F056A" w:rsidRPr="00A74BF3" w14:paraId="7301BCFF" w14:textId="77777777">
        <w:tc>
          <w:tcPr>
            <w:tcW w:w="8239" w:type="dxa"/>
          </w:tcPr>
          <w:p w14:paraId="5F2658D4" w14:textId="30720E30" w:rsidR="001F056A" w:rsidRPr="00A74BF3" w:rsidRDefault="003B6B46">
            <w:pPr>
              <w:pStyle w:val="P68B1DB1-Normal-pool-Table2"/>
              <w:spacing w:after="120"/>
              <w:rPr>
                <w:rFonts w:ascii="Simplified Arabic" w:hAnsi="Simplified Arabic" w:cs="Simplified Arabic" w:hint="cs"/>
                <w:b w:val="0"/>
                <w:bCs/>
              </w:rPr>
            </w:pPr>
            <w:r w:rsidRPr="00A74BF3">
              <w:rPr>
                <w:rFonts w:ascii="Simplified Arabic" w:hAnsi="Simplified Arabic" w:cs="Simplified Arabic" w:hint="cs"/>
                <w:b w:val="0"/>
                <w:bCs/>
              </w:rPr>
              <w:t>موجز الأهداف الثلاثة والتوصيات العشر الواردة في حزمة العمل 27</w:t>
            </w:r>
          </w:p>
          <w:p w14:paraId="034D5969" w14:textId="3228616B" w:rsidR="001F056A" w:rsidRPr="00A74BF3" w:rsidRDefault="003B6B46">
            <w:pPr>
              <w:pStyle w:val="P68B1DB1-Normal-pool-Table2"/>
              <w:tabs>
                <w:tab w:val="clear" w:pos="624"/>
                <w:tab w:val="clear" w:pos="1247"/>
                <w:tab w:val="left" w:pos="570"/>
              </w:tabs>
              <w:ind w:left="196"/>
              <w:rPr>
                <w:rFonts w:ascii="Simplified Arabic" w:hAnsi="Simplified Arabic" w:cs="Simplified Arabic" w:hint="cs"/>
                <w:b w:val="0"/>
                <w:bCs/>
              </w:rPr>
            </w:pPr>
            <w:r w:rsidRPr="00A74BF3">
              <w:rPr>
                <w:rFonts w:ascii="Simplified Arabic" w:hAnsi="Simplified Arabic" w:cs="Simplified Arabic" w:hint="cs"/>
                <w:b w:val="0"/>
                <w:bCs/>
              </w:rPr>
              <w:t>أ -</w:t>
            </w:r>
            <w:r w:rsidRPr="00A74BF3">
              <w:rPr>
                <w:rFonts w:ascii="Simplified Arabic" w:hAnsi="Simplified Arabic" w:cs="Simplified Arabic" w:hint="cs"/>
                <w:b w:val="0"/>
                <w:bCs/>
              </w:rPr>
              <w:tab/>
              <w:t>الارتقاء بالبيئة في النظام المتعدد الأطراف</w:t>
            </w:r>
          </w:p>
          <w:p w14:paraId="1345DE0E" w14:textId="0C607BF1" w:rsidR="001F056A" w:rsidRPr="00A74BF3" w:rsidRDefault="003B6B46">
            <w:pPr>
              <w:pStyle w:val="Normal-pool-Table"/>
              <w:tabs>
                <w:tab w:val="clear" w:pos="624"/>
                <w:tab w:val="clear" w:pos="1247"/>
                <w:tab w:val="left" w:pos="1046"/>
              </w:tabs>
              <w:ind w:left="1049" w:hanging="425"/>
              <w:rPr>
                <w:rFonts w:ascii="Simplified Arabic" w:hAnsi="Simplified Arabic" w:cs="Simplified Arabic" w:hint="cs"/>
              </w:rPr>
            </w:pPr>
            <w:r w:rsidRPr="00A74BF3">
              <w:rPr>
                <w:rFonts w:ascii="Simplified Arabic" w:hAnsi="Simplified Arabic" w:cs="Simplified Arabic" w:hint="cs"/>
              </w:rPr>
              <w:t>1 ـ</w:t>
            </w:r>
            <w:r w:rsidRPr="00A74BF3">
              <w:rPr>
                <w:rFonts w:ascii="Simplified Arabic" w:hAnsi="Simplified Arabic" w:cs="Simplified Arabic" w:hint="cs"/>
              </w:rPr>
              <w:tab/>
              <w:t xml:space="preserve"> الإقرار بأن البيئة السليمة تشكّل أساسًا تقوم عليه الركائز الثلاث لميثاق الأمم المتحدة</w:t>
            </w:r>
          </w:p>
          <w:p w14:paraId="38F39119" w14:textId="01DBDDF4" w:rsidR="001F056A" w:rsidRPr="00A74BF3" w:rsidRDefault="003B6B46">
            <w:pPr>
              <w:pStyle w:val="Normal-pool-Table"/>
              <w:tabs>
                <w:tab w:val="clear" w:pos="624"/>
                <w:tab w:val="clear" w:pos="1247"/>
                <w:tab w:val="left" w:pos="1046"/>
              </w:tabs>
              <w:ind w:left="1046" w:hanging="425"/>
              <w:rPr>
                <w:rFonts w:ascii="Simplified Arabic" w:hAnsi="Simplified Arabic" w:cs="Simplified Arabic" w:hint="cs"/>
              </w:rPr>
            </w:pPr>
            <w:r w:rsidRPr="00A74BF3">
              <w:rPr>
                <w:rFonts w:ascii="Simplified Arabic" w:hAnsi="Simplified Arabic" w:cs="Simplified Arabic" w:hint="cs"/>
              </w:rPr>
              <w:t>2-</w:t>
            </w:r>
            <w:r w:rsidRPr="00A74BF3">
              <w:rPr>
                <w:rFonts w:ascii="Simplified Arabic" w:hAnsi="Simplified Arabic" w:cs="Simplified Arabic" w:hint="cs"/>
              </w:rPr>
              <w:tab/>
              <w:t>تمكين جمعية الأمم المتحدة للبيئة من تحقيق كامل إمكاناتها بوصفها الهيئة العالمية التابعة للأمم المتحدة التي تضطلع دور المنصة الجامعة للعمل البيئي المتسق على نطاق المنظومة</w:t>
            </w:r>
          </w:p>
          <w:p w14:paraId="088AE521" w14:textId="625B358A" w:rsidR="001F056A" w:rsidRPr="00A74BF3" w:rsidRDefault="003B6B46">
            <w:pPr>
              <w:pStyle w:val="Normal-pool-Table"/>
              <w:tabs>
                <w:tab w:val="clear" w:pos="624"/>
                <w:tab w:val="clear" w:pos="1247"/>
                <w:tab w:val="left" w:pos="1046"/>
              </w:tabs>
              <w:ind w:left="1046" w:hanging="425"/>
              <w:rPr>
                <w:rFonts w:ascii="Simplified Arabic" w:hAnsi="Simplified Arabic" w:cs="Simplified Arabic" w:hint="cs"/>
              </w:rPr>
            </w:pPr>
            <w:r w:rsidRPr="00A74BF3">
              <w:rPr>
                <w:rFonts w:ascii="Simplified Arabic" w:hAnsi="Simplified Arabic" w:cs="Simplified Arabic" w:hint="cs"/>
              </w:rPr>
              <w:t>3-</w:t>
            </w:r>
            <w:r w:rsidRPr="00A74BF3">
              <w:rPr>
                <w:rFonts w:ascii="Simplified Arabic" w:hAnsi="Simplified Arabic" w:cs="Simplified Arabic" w:hint="cs"/>
              </w:rPr>
              <w:tab/>
              <w:t>إعادة ترسيخ مكانة علوم البيئة بوصفها أحد الأصول المشتركة للأمم المتحدة</w:t>
            </w:r>
          </w:p>
          <w:p w14:paraId="26A9E929" w14:textId="735C5954" w:rsidR="001F056A" w:rsidRPr="00A74BF3" w:rsidRDefault="003B6B46">
            <w:pPr>
              <w:pStyle w:val="Normal-pool-Table"/>
              <w:tabs>
                <w:tab w:val="clear" w:pos="624"/>
                <w:tab w:val="clear" w:pos="1247"/>
                <w:tab w:val="left" w:pos="1046"/>
              </w:tabs>
              <w:ind w:left="1046" w:hanging="425"/>
              <w:rPr>
                <w:rFonts w:ascii="Simplified Arabic" w:hAnsi="Simplified Arabic" w:cs="Simplified Arabic" w:hint="cs"/>
              </w:rPr>
            </w:pPr>
            <w:r w:rsidRPr="00A74BF3">
              <w:rPr>
                <w:rFonts w:ascii="Simplified Arabic" w:hAnsi="Simplified Arabic" w:cs="Simplified Arabic" w:hint="cs"/>
              </w:rPr>
              <w:t>4-</w:t>
            </w:r>
            <w:r w:rsidRPr="00A74BF3">
              <w:rPr>
                <w:rFonts w:ascii="Simplified Arabic" w:hAnsi="Simplified Arabic" w:cs="Simplified Arabic" w:hint="cs"/>
              </w:rPr>
              <w:tab/>
            </w:r>
            <w:r w:rsidRPr="00A74BF3">
              <w:rPr>
                <w:rFonts w:ascii="Simplified Arabic" w:hAnsi="Simplified Arabic" w:cs="Simplified Arabic" w:hint="cs"/>
              </w:rPr>
              <w:t>تعزيز مكانة وظيفة التنسيق البيئي: فريق إدارة البيئة التابع للأمم المتحدة بصيغته المطوّرة (2.0)</w:t>
            </w:r>
          </w:p>
          <w:p w14:paraId="12198794" w14:textId="77777777" w:rsidR="001F056A" w:rsidRPr="00A74BF3" w:rsidRDefault="003B6B46">
            <w:pPr>
              <w:pStyle w:val="P68B1DB1-Normal-pool-Table2"/>
              <w:tabs>
                <w:tab w:val="clear" w:pos="624"/>
                <w:tab w:val="clear" w:pos="1247"/>
                <w:tab w:val="left" w:pos="570"/>
              </w:tabs>
              <w:spacing w:before="120"/>
              <w:ind w:left="198"/>
              <w:rPr>
                <w:rFonts w:ascii="Simplified Arabic" w:hAnsi="Simplified Arabic" w:cs="Simplified Arabic" w:hint="cs"/>
                <w:b w:val="0"/>
                <w:bCs/>
              </w:rPr>
            </w:pPr>
            <w:r w:rsidRPr="00A74BF3">
              <w:rPr>
                <w:rFonts w:ascii="Simplified Arabic" w:hAnsi="Simplified Arabic" w:cs="Simplified Arabic" w:hint="cs"/>
                <w:b w:val="0"/>
                <w:bCs/>
              </w:rPr>
              <w:t>ب -</w:t>
            </w:r>
            <w:r w:rsidRPr="00A74BF3">
              <w:rPr>
                <w:rFonts w:ascii="Simplified Arabic" w:hAnsi="Simplified Arabic" w:cs="Simplified Arabic" w:hint="cs"/>
                <w:b w:val="0"/>
                <w:bCs/>
              </w:rPr>
              <w:tab/>
              <w:t>تعزيز الإدارة البيئية متعددة الأطراف</w:t>
            </w:r>
          </w:p>
          <w:p w14:paraId="63FFACCF" w14:textId="77777777" w:rsidR="001F056A" w:rsidRPr="00A74BF3" w:rsidRDefault="003B6B46">
            <w:pPr>
              <w:pStyle w:val="Normal-pool-Table"/>
              <w:tabs>
                <w:tab w:val="clear" w:pos="624"/>
                <w:tab w:val="clear" w:pos="1247"/>
                <w:tab w:val="left" w:pos="1046"/>
              </w:tabs>
              <w:ind w:left="1046" w:hanging="425"/>
              <w:rPr>
                <w:rFonts w:ascii="Simplified Arabic" w:hAnsi="Simplified Arabic" w:cs="Simplified Arabic" w:hint="cs"/>
              </w:rPr>
            </w:pPr>
            <w:r w:rsidRPr="00A74BF3">
              <w:rPr>
                <w:rFonts w:ascii="Simplified Arabic" w:hAnsi="Simplified Arabic" w:cs="Simplified Arabic" w:hint="cs"/>
              </w:rPr>
              <w:t>5-</w:t>
            </w:r>
            <w:r w:rsidRPr="00A74BF3">
              <w:rPr>
                <w:rFonts w:ascii="Simplified Arabic" w:hAnsi="Simplified Arabic" w:cs="Simplified Arabic" w:hint="cs"/>
              </w:rPr>
              <w:tab/>
              <w:t>استكشاف خيارات الدمج حيثما أمكن</w:t>
            </w:r>
          </w:p>
          <w:p w14:paraId="6CEF8A40" w14:textId="6596FB70" w:rsidR="001F056A" w:rsidRPr="00A74BF3" w:rsidRDefault="003B6B46">
            <w:pPr>
              <w:pStyle w:val="Normal-pool-Table"/>
              <w:tabs>
                <w:tab w:val="clear" w:pos="624"/>
                <w:tab w:val="clear" w:pos="1247"/>
                <w:tab w:val="left" w:pos="1046"/>
              </w:tabs>
              <w:ind w:left="1046" w:hanging="425"/>
              <w:rPr>
                <w:rFonts w:ascii="Simplified Arabic" w:hAnsi="Simplified Arabic" w:cs="Simplified Arabic" w:hint="cs"/>
              </w:rPr>
            </w:pPr>
            <w:r w:rsidRPr="00A74BF3">
              <w:rPr>
                <w:rFonts w:ascii="Simplified Arabic" w:hAnsi="Simplified Arabic" w:cs="Simplified Arabic" w:hint="cs"/>
              </w:rPr>
              <w:t>6-</w:t>
            </w:r>
            <w:r w:rsidRPr="00A74BF3">
              <w:rPr>
                <w:rFonts w:ascii="Simplified Arabic" w:hAnsi="Simplified Arabic" w:cs="Simplified Arabic" w:hint="cs"/>
              </w:rPr>
              <w:tab/>
              <w:t>تعزيز أوجه التآزر البرنامجية عبر الاتفاقات البيئية متعددة الأطراف</w:t>
            </w:r>
          </w:p>
          <w:p w14:paraId="5F627F18" w14:textId="02CA8D28" w:rsidR="001F056A" w:rsidRPr="00A74BF3" w:rsidRDefault="003B6B46">
            <w:pPr>
              <w:pStyle w:val="Normal-pool-Table"/>
              <w:tabs>
                <w:tab w:val="clear" w:pos="624"/>
                <w:tab w:val="clear" w:pos="1247"/>
                <w:tab w:val="left" w:pos="1046"/>
              </w:tabs>
              <w:ind w:left="1046" w:hanging="425"/>
              <w:rPr>
                <w:rFonts w:ascii="Simplified Arabic" w:hAnsi="Simplified Arabic" w:cs="Simplified Arabic" w:hint="cs"/>
              </w:rPr>
            </w:pPr>
            <w:r w:rsidRPr="00A74BF3">
              <w:rPr>
                <w:rFonts w:ascii="Simplified Arabic" w:hAnsi="Simplified Arabic" w:cs="Simplified Arabic" w:hint="cs"/>
              </w:rPr>
              <w:t>7-</w:t>
            </w:r>
            <w:r w:rsidRPr="00A74BF3">
              <w:rPr>
                <w:rFonts w:ascii="Simplified Arabic" w:hAnsi="Simplified Arabic" w:cs="Simplified Arabic" w:hint="cs"/>
              </w:rPr>
              <w:tab/>
              <w:t>تعزيز أوجه التآزر الإدارية عبر الاتفاقات البيئية متعددة الأطراف وتنسيق متطلبات الإبلاغ</w:t>
            </w:r>
          </w:p>
          <w:p w14:paraId="0A80E691" w14:textId="77777777" w:rsidR="001F056A" w:rsidRPr="00A74BF3" w:rsidRDefault="003B6B46">
            <w:pPr>
              <w:pStyle w:val="P68B1DB1-Normal-pool-Table2"/>
              <w:tabs>
                <w:tab w:val="clear" w:pos="624"/>
                <w:tab w:val="clear" w:pos="1247"/>
                <w:tab w:val="left" w:pos="570"/>
              </w:tabs>
              <w:spacing w:before="120"/>
              <w:ind w:left="198"/>
              <w:rPr>
                <w:rFonts w:ascii="Simplified Arabic" w:hAnsi="Simplified Arabic" w:cs="Simplified Arabic" w:hint="cs"/>
                <w:b w:val="0"/>
                <w:bCs/>
              </w:rPr>
            </w:pPr>
            <w:r w:rsidRPr="00A74BF3">
              <w:rPr>
                <w:rFonts w:ascii="Simplified Arabic" w:hAnsi="Simplified Arabic" w:cs="Simplified Arabic" w:hint="cs"/>
                <w:b w:val="0"/>
                <w:bCs/>
              </w:rPr>
              <w:t>ج -</w:t>
            </w:r>
            <w:r w:rsidRPr="00A74BF3">
              <w:rPr>
                <w:rFonts w:ascii="Simplified Arabic" w:hAnsi="Simplified Arabic" w:cs="Simplified Arabic" w:hint="cs"/>
                <w:b w:val="0"/>
                <w:bCs/>
              </w:rPr>
              <w:tab/>
              <w:t>توسيع نطاق تنفيذ التزامات البلدان وأولوياتها</w:t>
            </w:r>
          </w:p>
          <w:p w14:paraId="7B513A3E" w14:textId="2F95F8A5" w:rsidR="001F056A" w:rsidRPr="00A74BF3" w:rsidRDefault="003B6B46">
            <w:pPr>
              <w:pStyle w:val="Normal-pool-Table"/>
              <w:tabs>
                <w:tab w:val="clear" w:pos="624"/>
                <w:tab w:val="clear" w:pos="1247"/>
                <w:tab w:val="left" w:pos="1046"/>
              </w:tabs>
              <w:ind w:left="1046" w:hanging="425"/>
              <w:rPr>
                <w:rFonts w:ascii="Simplified Arabic" w:hAnsi="Simplified Arabic" w:cs="Simplified Arabic" w:hint="cs"/>
              </w:rPr>
            </w:pPr>
            <w:r w:rsidRPr="00A74BF3">
              <w:rPr>
                <w:rFonts w:ascii="Simplified Arabic" w:hAnsi="Simplified Arabic" w:cs="Simplified Arabic" w:hint="cs"/>
              </w:rPr>
              <w:t>8-</w:t>
            </w:r>
            <w:r w:rsidRPr="00A74BF3">
              <w:rPr>
                <w:rFonts w:ascii="Simplified Arabic" w:hAnsi="Simplified Arabic" w:cs="Simplified Arabic" w:hint="cs"/>
              </w:rPr>
              <w:tab/>
              <w:t>إرساء هيكل تنسيقي لضمان اتساق السياسات وتحقيق النتائج على نطاق منظومة الأمم المتحدة</w:t>
            </w:r>
          </w:p>
          <w:p w14:paraId="04E875DF" w14:textId="5B665655" w:rsidR="001F056A" w:rsidRPr="00A74BF3" w:rsidRDefault="003B6B46">
            <w:pPr>
              <w:pStyle w:val="Normal-pool-Table"/>
              <w:tabs>
                <w:tab w:val="clear" w:pos="624"/>
                <w:tab w:val="clear" w:pos="1247"/>
                <w:tab w:val="left" w:pos="1046"/>
              </w:tabs>
              <w:ind w:left="1046" w:hanging="425"/>
              <w:rPr>
                <w:rFonts w:ascii="Simplified Arabic" w:hAnsi="Simplified Arabic" w:cs="Simplified Arabic" w:hint="cs"/>
              </w:rPr>
            </w:pPr>
            <w:r w:rsidRPr="00A74BF3">
              <w:rPr>
                <w:rFonts w:ascii="Simplified Arabic" w:hAnsi="Simplified Arabic" w:cs="Simplified Arabic" w:hint="cs"/>
              </w:rPr>
              <w:t>9-</w:t>
            </w:r>
            <w:r w:rsidRPr="00A74BF3">
              <w:rPr>
                <w:rFonts w:ascii="Simplified Arabic" w:hAnsi="Simplified Arabic" w:cs="Simplified Arabic" w:hint="cs"/>
              </w:rPr>
              <w:tab/>
            </w:r>
            <w:r w:rsidRPr="00A74BF3">
              <w:rPr>
                <w:rFonts w:ascii="Simplified Arabic" w:hAnsi="Simplified Arabic" w:cs="Simplified Arabic" w:hint="cs"/>
              </w:rPr>
              <w:t>إنشاء مراكز دعم مدعومة بالذكاء الاصطناعي، بدءًا من مركز تجريبي لدعم المناخ، بوصفها "مراكز شاملة" تيسر تقديم الدعم للدول الأعضاء في تنفيذ التزاماتها</w:t>
            </w:r>
          </w:p>
          <w:p w14:paraId="6FBAF97A" w14:textId="03E35B74" w:rsidR="001F056A" w:rsidRPr="00A74BF3" w:rsidRDefault="003B6B46">
            <w:pPr>
              <w:pStyle w:val="Normal-pool-Table"/>
              <w:tabs>
                <w:tab w:val="clear" w:pos="624"/>
                <w:tab w:val="clear" w:pos="1247"/>
                <w:tab w:val="left" w:pos="1046"/>
              </w:tabs>
              <w:ind w:left="1046" w:hanging="425"/>
              <w:rPr>
                <w:rFonts w:ascii="Simplified Arabic" w:hAnsi="Simplified Arabic" w:cs="Simplified Arabic" w:hint="cs"/>
              </w:rPr>
            </w:pPr>
            <w:r w:rsidRPr="00A74BF3">
              <w:rPr>
                <w:rFonts w:ascii="Simplified Arabic" w:hAnsi="Simplified Arabic" w:cs="Simplified Arabic" w:hint="cs"/>
              </w:rPr>
              <w:t>10-</w:t>
            </w:r>
            <w:r w:rsidRPr="00A74BF3">
              <w:rPr>
                <w:rFonts w:ascii="Simplified Arabic" w:hAnsi="Simplified Arabic" w:cs="Simplified Arabic" w:hint="cs"/>
              </w:rPr>
              <w:tab/>
              <w:t>إضفاء الطابع المؤسسي على التواصل المباشر مع الجهات الفاعلة في الاقتصاد الحقيقي لتسريع التنفيذ وتوجيه رأس المال الخاص نحو تحقيق نتائج مستدامة</w:t>
            </w:r>
          </w:p>
        </w:tc>
      </w:tr>
    </w:tbl>
    <w:p w14:paraId="7E0978CB" w14:textId="32364293" w:rsidR="001F056A" w:rsidRPr="00A74BF3" w:rsidRDefault="003B6B46">
      <w:pPr>
        <w:pStyle w:val="Normalnumber"/>
        <w:tabs>
          <w:tab w:val="clear" w:pos="1247"/>
          <w:tab w:val="clear" w:pos="1814"/>
          <w:tab w:val="clear" w:pos="2381"/>
          <w:tab w:val="clear" w:pos="2948"/>
          <w:tab w:val="clear" w:pos="3515"/>
          <w:tab w:val="left" w:pos="624"/>
        </w:tabs>
        <w:spacing w:before="240"/>
        <w:ind w:left="1247"/>
        <w:rPr>
          <w:rFonts w:ascii="Simplified Arabic" w:hAnsi="Simplified Arabic" w:cs="Simplified Arabic" w:hint="cs"/>
          <w:sz w:val="24"/>
          <w:szCs w:val="24"/>
        </w:rPr>
      </w:pPr>
      <w:r w:rsidRPr="00A74BF3">
        <w:rPr>
          <w:rFonts w:ascii="Simplified Arabic" w:hAnsi="Simplified Arabic" w:cs="Simplified Arabic" w:hint="cs"/>
          <w:sz w:val="24"/>
          <w:szCs w:val="24"/>
        </w:rPr>
        <w:t>في ضوء مساعي مبادرة «الأمم المتحدة 80» إلى تحقيق إعادة الهيكلة المؤسسية وتحسين الأداء الوظيفي المشار إليهما أعلاه، شرع برنامج الأمم المتحدة للبيئة في إجراء استعراض شامل للكفاءة على نطاق المنظومة، بهدف تبسيط العمليات وتعزيز تركيز الأنشطة البرنامجية وتعظيم أثرها، بما يضمن زيادة فعاليتها والتعامل مع حالات عدم اليقين المالي الناجمة عن التحولات في سياسات البلدان وأولوياتها. وفي إطار هذه الجهود، يعتزم برنامج الأمم المتحدة للبيئة توحيد الوظائف الإدارية التابعة لشُعبه ضمن مركز موحّد، تحقيقًا لمكاسب في الكفاءة والحد</w:t>
      </w:r>
      <w:r w:rsidRPr="00A74BF3">
        <w:rPr>
          <w:rFonts w:ascii="Simplified Arabic" w:hAnsi="Simplified Arabic" w:cs="Simplified Arabic" w:hint="cs"/>
          <w:sz w:val="24"/>
          <w:szCs w:val="24"/>
        </w:rPr>
        <w:t>ّ من التجزؤ الإداري. ويجري إجراء استعراض وتقييمات ذات صلة من المتوقع أن تكتمل في عام 2027.</w:t>
      </w:r>
    </w:p>
    <w:p w14:paraId="25A31CD7" w14:textId="37FFCE8E" w:rsidR="001F056A" w:rsidRPr="00B77261" w:rsidRDefault="003B6B46">
      <w:pPr>
        <w:pStyle w:val="CH2"/>
        <w:rPr>
          <w:rFonts w:ascii="Simplified Arabic" w:hAnsi="Simplified Arabic" w:cs="Simplified Arabic" w:hint="cs"/>
          <w:b w:val="0"/>
          <w:bCs/>
          <w:sz w:val="26"/>
          <w:szCs w:val="26"/>
        </w:rPr>
      </w:pPr>
      <w:r w:rsidRPr="00B77261">
        <w:rPr>
          <w:rFonts w:ascii="Simplified Arabic" w:hAnsi="Simplified Arabic" w:cs="Simplified Arabic" w:hint="cs"/>
          <w:b w:val="0"/>
          <w:bCs/>
          <w:sz w:val="26"/>
          <w:szCs w:val="26"/>
        </w:rPr>
        <w:lastRenderedPageBreak/>
        <w:tab/>
        <w:t>ب -</w:t>
      </w:r>
      <w:r w:rsidRPr="00B77261">
        <w:rPr>
          <w:rFonts w:ascii="Simplified Arabic" w:hAnsi="Simplified Arabic" w:cs="Simplified Arabic" w:hint="cs"/>
          <w:b w:val="0"/>
          <w:bCs/>
          <w:sz w:val="26"/>
          <w:szCs w:val="26"/>
        </w:rPr>
        <w:tab/>
        <w:t>الآثار المترتبة على الطرائق المختلفة لعقد الاجتماعات</w:t>
      </w:r>
    </w:p>
    <w:p w14:paraId="7D962F08" w14:textId="3F61D760" w:rsidR="001F056A" w:rsidRPr="00B77261" w:rsidRDefault="003B6B46">
      <w:pPr>
        <w:pStyle w:val="CH3"/>
        <w:tabs>
          <w:tab w:val="left" w:pos="709"/>
        </w:tabs>
        <w:spacing w:before="0"/>
        <w:rPr>
          <w:rFonts w:ascii="Simplified Arabic" w:hAnsi="Simplified Arabic" w:cs="Simplified Arabic" w:hint="cs"/>
          <w:b w:val="0"/>
          <w:bCs/>
          <w:sz w:val="24"/>
          <w:szCs w:val="24"/>
        </w:rPr>
      </w:pPr>
      <w:r w:rsidRPr="00B77261">
        <w:rPr>
          <w:sz w:val="24"/>
          <w:szCs w:val="24"/>
        </w:rPr>
        <w:tab/>
      </w:r>
      <w:r w:rsidRPr="00B77261">
        <w:rPr>
          <w:rFonts w:ascii="Simplified Arabic" w:hAnsi="Simplified Arabic" w:cs="Simplified Arabic" w:hint="cs"/>
          <w:b w:val="0"/>
          <w:bCs/>
          <w:sz w:val="24"/>
          <w:szCs w:val="24"/>
        </w:rPr>
        <w:t xml:space="preserve"> 1-</w:t>
      </w:r>
      <w:r w:rsidRPr="00B77261">
        <w:rPr>
          <w:rFonts w:ascii="Simplified Arabic" w:hAnsi="Simplified Arabic" w:cs="Simplified Arabic" w:hint="cs"/>
          <w:b w:val="0"/>
          <w:bCs/>
          <w:sz w:val="24"/>
          <w:szCs w:val="24"/>
        </w:rPr>
        <w:tab/>
        <w:t>تغيير طرائق عقد الاجتماعات</w:t>
      </w:r>
    </w:p>
    <w:p w14:paraId="128276CE" w14:textId="5E1F83D2" w:rsidR="001F056A" w:rsidRPr="00A74BF3" w:rsidRDefault="003B6B46">
      <w:pPr>
        <w:pStyle w:val="Normalnumber"/>
        <w:tabs>
          <w:tab w:val="clear" w:pos="1247"/>
          <w:tab w:val="clear" w:pos="1814"/>
          <w:tab w:val="clear" w:pos="2381"/>
          <w:tab w:val="clear" w:pos="2948"/>
          <w:tab w:val="clear" w:pos="3515"/>
          <w:tab w:val="left" w:pos="624"/>
        </w:tabs>
        <w:ind w:left="1247"/>
        <w:rPr>
          <w:rFonts w:ascii="Simplified Arabic" w:hAnsi="Simplified Arabic" w:cs="Simplified Arabic" w:hint="cs"/>
          <w:sz w:val="24"/>
          <w:szCs w:val="24"/>
        </w:rPr>
      </w:pPr>
      <w:r w:rsidRPr="00A74BF3">
        <w:rPr>
          <w:rFonts w:ascii="Simplified Arabic" w:hAnsi="Simplified Arabic" w:cs="Simplified Arabic" w:hint="cs"/>
          <w:sz w:val="24"/>
          <w:szCs w:val="24"/>
        </w:rPr>
        <w:t>تشمل طرائق عقد الاجتماعات مدى تواترها، ومواعيدها، ومدتها، وشكلها. يمكن تعديل كلٍّ من هذه المعايير على حدة أو بالجمع بينها، فيما يتعلق بالاجتماعات المشمولة في السيناريوهات، مع ما يترتب على ذلك من آثار تشغيلية ومالية متفاوتة. وبالنظر إلى العدد الكبير من التوليفات الممكنة، يُعرض في هذا القسم بعض الأمثلة لأبرز التغييرات التي يمكن النظر في إدخالها، إلى جانب تقديرات استرشادية للتكاليف المترتبة عليها.</w:t>
      </w:r>
    </w:p>
    <w:p w14:paraId="60CE6C29" w14:textId="2C65A380" w:rsidR="001F056A" w:rsidRPr="00A74BF3" w:rsidRDefault="003B6B46">
      <w:pPr>
        <w:pStyle w:val="Normalnumber"/>
        <w:tabs>
          <w:tab w:val="clear" w:pos="1247"/>
          <w:tab w:val="clear" w:pos="1814"/>
          <w:tab w:val="clear" w:pos="2381"/>
          <w:tab w:val="clear" w:pos="2948"/>
          <w:tab w:val="clear" w:pos="3515"/>
          <w:tab w:val="left" w:pos="624"/>
        </w:tabs>
        <w:ind w:left="1247"/>
        <w:rPr>
          <w:rFonts w:ascii="Simplified Arabic" w:hAnsi="Simplified Arabic" w:cs="Simplified Arabic" w:hint="cs"/>
          <w:sz w:val="24"/>
          <w:szCs w:val="24"/>
        </w:rPr>
      </w:pPr>
      <w:r w:rsidRPr="00A74BF3">
        <w:rPr>
          <w:rFonts w:ascii="Simplified Arabic" w:hAnsi="Simplified Arabic" w:cs="Simplified Arabic" w:hint="cs"/>
          <w:sz w:val="24"/>
          <w:szCs w:val="24"/>
        </w:rPr>
        <w:t>وبشكل عام، تتحدد تكاليف الاجتماعات إلى حد كبير بالعوامل التالية:</w:t>
      </w:r>
    </w:p>
    <w:p w14:paraId="4243C56C" w14:textId="7A110A51" w:rsidR="001F056A" w:rsidRPr="00A74BF3" w:rsidRDefault="003B6B46">
      <w:pPr>
        <w:pStyle w:val="Normalnumber"/>
        <w:numPr>
          <w:ilvl w:val="1"/>
          <w:numId w:val="1"/>
        </w:numPr>
        <w:tabs>
          <w:tab w:val="clear" w:pos="1247"/>
          <w:tab w:val="clear" w:pos="1814"/>
          <w:tab w:val="clear" w:pos="2381"/>
          <w:tab w:val="clear" w:pos="2495"/>
          <w:tab w:val="clear" w:pos="2948"/>
          <w:tab w:val="clear" w:pos="3515"/>
          <w:tab w:val="left" w:pos="624"/>
        </w:tabs>
        <w:ind w:left="1247" w:firstLine="624"/>
        <w:rPr>
          <w:rFonts w:ascii="Simplified Arabic" w:hAnsi="Simplified Arabic" w:cs="Simplified Arabic" w:hint="cs"/>
          <w:sz w:val="24"/>
          <w:szCs w:val="24"/>
        </w:rPr>
      </w:pPr>
      <w:r w:rsidRPr="00A74BF3">
        <w:rPr>
          <w:rFonts w:ascii="Simplified Arabic" w:hAnsi="Simplified Arabic" w:cs="Simplified Arabic" w:hint="cs"/>
          <w:sz w:val="24"/>
          <w:szCs w:val="24"/>
        </w:rPr>
        <w:t>مكان انعقاد الاجتماع، الذي يؤثر في تكاليف استخدام مقرّ الاجتماع نفسه، وتكاليف سفر المشاركين الذين تتحمّل الجهة المنظمة نفقاتهم، وموظفي الأمانة، وموظفي خدمات المؤتمرات، بمن فيهم المترجمون الفويون، ومعدّو التقارير، والمحررون، ومساعدو التحرير وإدارة الوثائق؛</w:t>
      </w:r>
    </w:p>
    <w:p w14:paraId="768A38B1" w14:textId="11B1326D" w:rsidR="001F056A" w:rsidRPr="00A74BF3" w:rsidRDefault="003B6B46">
      <w:pPr>
        <w:pStyle w:val="Normalnumber"/>
        <w:numPr>
          <w:ilvl w:val="1"/>
          <w:numId w:val="1"/>
        </w:numPr>
        <w:tabs>
          <w:tab w:val="clear" w:pos="1247"/>
          <w:tab w:val="clear" w:pos="1814"/>
          <w:tab w:val="clear" w:pos="2381"/>
          <w:tab w:val="clear" w:pos="2495"/>
          <w:tab w:val="clear" w:pos="2948"/>
          <w:tab w:val="clear" w:pos="3515"/>
          <w:tab w:val="left" w:pos="624"/>
        </w:tabs>
        <w:ind w:left="1247" w:firstLine="624"/>
        <w:rPr>
          <w:rFonts w:ascii="Simplified Arabic" w:hAnsi="Simplified Arabic" w:cs="Simplified Arabic" w:hint="cs"/>
          <w:sz w:val="24"/>
          <w:szCs w:val="24"/>
        </w:rPr>
      </w:pPr>
      <w:r w:rsidRPr="00A74BF3">
        <w:rPr>
          <w:rFonts w:ascii="Simplified Arabic" w:hAnsi="Simplified Arabic" w:cs="Simplified Arabic" w:hint="cs"/>
          <w:sz w:val="24"/>
          <w:szCs w:val="24"/>
        </w:rPr>
        <w:t>جدول أعمال الاجتماع، الذي يؤثر في عدد الوثائق التي تخضع للتحرير والترجمة إلى لغات الاجتماع؛</w:t>
      </w:r>
    </w:p>
    <w:p w14:paraId="102C283B" w14:textId="492CE3DE" w:rsidR="001F056A" w:rsidRPr="00A74BF3" w:rsidRDefault="003B6B46">
      <w:pPr>
        <w:pStyle w:val="Normalnumber"/>
        <w:numPr>
          <w:ilvl w:val="1"/>
          <w:numId w:val="1"/>
        </w:numPr>
        <w:tabs>
          <w:tab w:val="clear" w:pos="1247"/>
          <w:tab w:val="clear" w:pos="1814"/>
          <w:tab w:val="clear" w:pos="2381"/>
          <w:tab w:val="clear" w:pos="2495"/>
          <w:tab w:val="clear" w:pos="2948"/>
          <w:tab w:val="clear" w:pos="3515"/>
          <w:tab w:val="left" w:pos="624"/>
        </w:tabs>
        <w:ind w:left="1247" w:firstLine="624"/>
        <w:rPr>
          <w:rFonts w:ascii="Simplified Arabic" w:hAnsi="Simplified Arabic" w:cs="Simplified Arabic" w:hint="cs"/>
          <w:sz w:val="24"/>
          <w:szCs w:val="24"/>
        </w:rPr>
      </w:pPr>
      <w:r w:rsidRPr="00A74BF3">
        <w:rPr>
          <w:rFonts w:ascii="Simplified Arabic" w:hAnsi="Simplified Arabic" w:cs="Simplified Arabic" w:hint="cs"/>
          <w:sz w:val="24"/>
          <w:szCs w:val="24"/>
        </w:rPr>
        <w:t>صيغة انعقاد الاجتماع (عن بعد، أو حضوريًا) ومدته.</w:t>
      </w:r>
    </w:p>
    <w:p w14:paraId="58181B92" w14:textId="0FF429F3" w:rsidR="001F056A" w:rsidRPr="00A74BF3" w:rsidRDefault="003B6B46">
      <w:pPr>
        <w:pStyle w:val="Normalnumber"/>
        <w:tabs>
          <w:tab w:val="clear" w:pos="1247"/>
          <w:tab w:val="clear" w:pos="1814"/>
          <w:tab w:val="clear" w:pos="2381"/>
          <w:tab w:val="clear" w:pos="2948"/>
          <w:tab w:val="clear" w:pos="3515"/>
          <w:tab w:val="left" w:pos="624"/>
        </w:tabs>
        <w:ind w:left="1247"/>
        <w:rPr>
          <w:rFonts w:ascii="Simplified Arabic" w:hAnsi="Simplified Arabic" w:cs="Simplified Arabic" w:hint="cs"/>
          <w:sz w:val="24"/>
          <w:szCs w:val="24"/>
        </w:rPr>
      </w:pPr>
      <w:r w:rsidRPr="00A74BF3">
        <w:rPr>
          <w:rFonts w:ascii="Simplified Arabic" w:hAnsi="Simplified Arabic" w:cs="Simplified Arabic" w:hint="cs"/>
          <w:sz w:val="24"/>
          <w:szCs w:val="24"/>
        </w:rPr>
        <w:t>يعرض الجدول 2 تقديرات تكاليف اجتماعات الأطراف واجتماعات الفريق العامل المفتوح العضوية وفقا لطرائق انعقادها الحالية، وفي ظل إدخال تغييرات على مدة تلك الاجتماعات وصيغ انعقادها، إلى جانب تقديرات الفروق في التكاليف المترتبة على هذه التغييرات:</w:t>
      </w:r>
    </w:p>
    <w:p w14:paraId="7A76AF58" w14:textId="1CED358E" w:rsidR="001F056A" w:rsidRPr="00A74BF3" w:rsidRDefault="003B6B46">
      <w:pPr>
        <w:pStyle w:val="Normalnumber"/>
        <w:numPr>
          <w:ilvl w:val="1"/>
          <w:numId w:val="1"/>
        </w:numPr>
        <w:tabs>
          <w:tab w:val="clear" w:pos="1247"/>
          <w:tab w:val="clear" w:pos="1814"/>
          <w:tab w:val="clear" w:pos="2381"/>
          <w:tab w:val="clear" w:pos="2495"/>
          <w:tab w:val="clear" w:pos="2948"/>
          <w:tab w:val="clear" w:pos="3515"/>
          <w:tab w:val="left" w:pos="624"/>
        </w:tabs>
        <w:ind w:left="1247" w:firstLine="624"/>
        <w:rPr>
          <w:rFonts w:ascii="Simplified Arabic" w:hAnsi="Simplified Arabic" w:cs="Simplified Arabic" w:hint="cs"/>
          <w:sz w:val="24"/>
          <w:szCs w:val="24"/>
        </w:rPr>
      </w:pPr>
      <w:r w:rsidRPr="00A74BF3">
        <w:rPr>
          <w:rFonts w:ascii="Simplified Arabic" w:hAnsi="Simplified Arabic" w:cs="Simplified Arabic" w:hint="cs"/>
          <w:sz w:val="24"/>
          <w:szCs w:val="24"/>
        </w:rPr>
        <w:t>يُعقد اجتماع الأطراف حاليًا حضوريًا على مدى خمسة أيام. ويوضح الجدول 2 الزيادة في التكلفة المرتبطة بتمديد الاجتماع ليُعقد حضوريًا على مدى سبعة أيام (بواقع خمسة أيام للجزء التحضيري ويومين للجزء الرفيع المستوى)، وفقًا لما هو متوخّى في السيناريو باء؛</w:t>
      </w:r>
    </w:p>
    <w:p w14:paraId="5AC55E31" w14:textId="6457042A" w:rsidR="001F056A" w:rsidRPr="00A74BF3" w:rsidRDefault="003B6B46">
      <w:pPr>
        <w:pStyle w:val="Normalnumber"/>
        <w:numPr>
          <w:ilvl w:val="1"/>
          <w:numId w:val="1"/>
        </w:numPr>
        <w:tabs>
          <w:tab w:val="clear" w:pos="1247"/>
          <w:tab w:val="clear" w:pos="1814"/>
          <w:tab w:val="clear" w:pos="2381"/>
          <w:tab w:val="clear" w:pos="2495"/>
          <w:tab w:val="clear" w:pos="2948"/>
          <w:tab w:val="clear" w:pos="3515"/>
          <w:tab w:val="left" w:pos="624"/>
        </w:tabs>
        <w:ind w:left="1247" w:firstLine="624"/>
        <w:rPr>
          <w:rFonts w:ascii="Simplified Arabic" w:hAnsi="Simplified Arabic" w:cs="Simplified Arabic" w:hint="cs"/>
          <w:sz w:val="24"/>
          <w:szCs w:val="24"/>
        </w:rPr>
      </w:pPr>
      <w:r w:rsidRPr="00A74BF3">
        <w:rPr>
          <w:rFonts w:ascii="Simplified Arabic" w:hAnsi="Simplified Arabic" w:cs="Simplified Arabic" w:hint="cs"/>
          <w:sz w:val="24"/>
          <w:szCs w:val="24"/>
        </w:rPr>
        <w:t>يعقد الفريق العامل مفتوح العضوية حاليًا اجتماعات حضورية تستمر خمسة أيام. ويُبيِّن الجدول 2 الوفورات في التكاليف التي يمكن تحقيقها من خلال تقليص مدة الاجتماعات الحضورية إلى أربعة أيام أو ثلاثة أيام، أو عقدها عن بُعد لمدة أربعة أيام أو يومين، للنظر في بنود جدول الأعمال ذات الطابع المعلوماتي، مع التزويد أو عدم التزويد بخدمات الترجمة الشفوية.</w:t>
      </w:r>
      <w:r w:rsidRPr="00A74BF3">
        <w:rPr>
          <w:rFonts w:ascii="Simplified Arabic" w:hAnsi="Simplified Arabic" w:cs="Simplified Arabic" w:hint="cs"/>
          <w:sz w:val="24"/>
          <w:szCs w:val="24"/>
        </w:rPr>
        <w:br w:type="page"/>
      </w:r>
    </w:p>
    <w:p w14:paraId="2A232937" w14:textId="28EE587C" w:rsidR="001F056A" w:rsidRPr="00A74BF3" w:rsidRDefault="003B6B46">
      <w:pPr>
        <w:pStyle w:val="Titletable"/>
        <w:spacing w:before="240"/>
        <w:rPr>
          <w:rFonts w:ascii="Simplified Arabic" w:hAnsi="Simplified Arabic" w:cs="Simplified Arabic" w:hint="cs"/>
          <w:sz w:val="24"/>
          <w:szCs w:val="24"/>
        </w:rPr>
      </w:pPr>
      <w:r w:rsidRPr="00A74BF3">
        <w:rPr>
          <w:rFonts w:ascii="Simplified Arabic" w:hAnsi="Simplified Arabic" w:cs="Simplified Arabic" w:hint="cs"/>
          <w:b w:val="0"/>
          <w:sz w:val="24"/>
          <w:szCs w:val="24"/>
        </w:rPr>
        <w:lastRenderedPageBreak/>
        <w:t xml:space="preserve">الجدول 2 </w:t>
      </w:r>
      <w:r w:rsidRPr="00A74BF3">
        <w:rPr>
          <w:rFonts w:ascii="Simplified Arabic" w:hAnsi="Simplified Arabic" w:cs="Simplified Arabic" w:hint="cs"/>
          <w:b w:val="0"/>
          <w:sz w:val="24"/>
          <w:szCs w:val="24"/>
        </w:rPr>
        <w:br/>
      </w:r>
      <w:r w:rsidRPr="00A74BF3">
        <w:rPr>
          <w:rFonts w:ascii="Simplified Arabic" w:hAnsi="Simplified Arabic" w:cs="Simplified Arabic" w:hint="cs"/>
          <w:b w:val="0"/>
          <w:bCs/>
          <w:sz w:val="24"/>
          <w:szCs w:val="24"/>
        </w:rPr>
        <w:t>تقديرات تكاليف اجتماعات الأطراف واجتماعات الفريق العامل المفتوح العضوية وفقًا لطرائق انعقادها الحالية وأمثلة على طرائق انعقاد معدَّلة</w:t>
      </w:r>
    </w:p>
    <w:tbl>
      <w:tblPr>
        <w:tblStyle w:val="TableGrid"/>
        <w:bidiVisual/>
        <w:tblW w:w="5000" w:type="pct"/>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43"/>
        <w:gridCol w:w="1843"/>
        <w:gridCol w:w="2126"/>
        <w:gridCol w:w="3685"/>
      </w:tblGrid>
      <w:tr w:rsidR="001F056A" w:rsidRPr="00D25E3E" w14:paraId="079572C3" w14:textId="77777777">
        <w:trPr>
          <w:trHeight w:val="57"/>
          <w:tblHeader/>
          <w:jc w:val="right"/>
        </w:trPr>
        <w:tc>
          <w:tcPr>
            <w:tcW w:w="1843" w:type="dxa"/>
            <w:tcBorders>
              <w:top w:val="single" w:sz="4" w:space="0" w:color="auto"/>
              <w:bottom w:val="single" w:sz="12" w:space="0" w:color="auto"/>
            </w:tcBorders>
            <w:vAlign w:val="bottom"/>
            <w:hideMark/>
          </w:tcPr>
          <w:p w14:paraId="3209BC39" w14:textId="70A07F71" w:rsidR="001F056A" w:rsidRPr="00D25E3E" w:rsidRDefault="003B6B46" w:rsidP="00AA29FF">
            <w:pPr>
              <w:pStyle w:val="P68B1DB1-Normal-pool-Table1"/>
              <w:spacing w:before="0" w:after="0"/>
              <w:rPr>
                <w:rFonts w:ascii="Simplified Arabic" w:hAnsi="Simplified Arabic" w:cs="Simplified Arabic" w:hint="cs"/>
              </w:rPr>
            </w:pPr>
            <w:r w:rsidRPr="00D25E3E">
              <w:rPr>
                <w:rFonts w:ascii="Simplified Arabic" w:hAnsi="Simplified Arabic" w:cs="Simplified Arabic" w:hint="cs"/>
              </w:rPr>
              <w:t>الطرائق</w:t>
            </w:r>
          </w:p>
        </w:tc>
        <w:tc>
          <w:tcPr>
            <w:tcW w:w="1843" w:type="dxa"/>
            <w:tcBorders>
              <w:top w:val="single" w:sz="4" w:space="0" w:color="auto"/>
              <w:bottom w:val="single" w:sz="12" w:space="0" w:color="auto"/>
            </w:tcBorders>
            <w:vAlign w:val="bottom"/>
            <w:hideMark/>
          </w:tcPr>
          <w:p w14:paraId="3A86A65B" w14:textId="3EBDBDB6" w:rsidR="001F056A" w:rsidRPr="00D25E3E" w:rsidRDefault="003B6B46" w:rsidP="00AA29FF">
            <w:pPr>
              <w:pStyle w:val="P68B1DB1-Normal-pool-Table1"/>
              <w:spacing w:before="0" w:after="0"/>
              <w:jc w:val="right"/>
              <w:rPr>
                <w:rFonts w:ascii="Simplified Arabic" w:hAnsi="Simplified Arabic" w:cs="Simplified Arabic" w:hint="cs"/>
              </w:rPr>
            </w:pPr>
            <w:r w:rsidRPr="00D25E3E">
              <w:rPr>
                <w:rFonts w:ascii="Simplified Arabic" w:hAnsi="Simplified Arabic" w:cs="Simplified Arabic" w:hint="cs"/>
              </w:rPr>
              <w:t>التكاليف الاسترشادية لخدمات المؤتمرات لكل اجتماع</w:t>
            </w:r>
          </w:p>
        </w:tc>
        <w:tc>
          <w:tcPr>
            <w:tcW w:w="2126" w:type="dxa"/>
            <w:tcBorders>
              <w:top w:val="single" w:sz="4" w:space="0" w:color="auto"/>
              <w:bottom w:val="single" w:sz="12" w:space="0" w:color="auto"/>
            </w:tcBorders>
            <w:vAlign w:val="bottom"/>
            <w:hideMark/>
          </w:tcPr>
          <w:p w14:paraId="5AA8CE1E" w14:textId="1029C7DB" w:rsidR="001F056A" w:rsidRPr="00D25E3E" w:rsidRDefault="003B6B46" w:rsidP="00AA29FF">
            <w:pPr>
              <w:pStyle w:val="P68B1DB1-Normal-pool-Table1"/>
              <w:spacing w:before="0" w:after="0"/>
              <w:jc w:val="right"/>
              <w:rPr>
                <w:rFonts w:ascii="Simplified Arabic" w:hAnsi="Simplified Arabic" w:cs="Simplified Arabic" w:hint="cs"/>
              </w:rPr>
            </w:pPr>
            <w:r w:rsidRPr="00D25E3E">
              <w:rPr>
                <w:rFonts w:ascii="Simplified Arabic" w:hAnsi="Simplified Arabic" w:cs="Simplified Arabic" w:hint="cs"/>
              </w:rPr>
              <w:t xml:space="preserve">الوفورات الاسترشادية/التكاليف الإضافية لخدمات المؤتمرات لكل اجتماع </w:t>
            </w:r>
          </w:p>
        </w:tc>
        <w:tc>
          <w:tcPr>
            <w:tcW w:w="3685" w:type="dxa"/>
            <w:tcBorders>
              <w:top w:val="single" w:sz="4" w:space="0" w:color="auto"/>
              <w:bottom w:val="single" w:sz="12" w:space="0" w:color="auto"/>
            </w:tcBorders>
            <w:vAlign w:val="bottom"/>
            <w:hideMark/>
          </w:tcPr>
          <w:p w14:paraId="18F845AB" w14:textId="5E48F366" w:rsidR="001F056A" w:rsidRPr="00D25E3E" w:rsidRDefault="003B6B46" w:rsidP="00AA29FF">
            <w:pPr>
              <w:pStyle w:val="P68B1DB1-Normal-pool-Table1"/>
              <w:spacing w:before="0" w:after="0"/>
              <w:rPr>
                <w:rFonts w:ascii="Simplified Arabic" w:hAnsi="Simplified Arabic" w:cs="Simplified Arabic" w:hint="cs"/>
              </w:rPr>
            </w:pPr>
            <w:r w:rsidRPr="00D25E3E">
              <w:rPr>
                <w:rFonts w:ascii="Simplified Arabic" w:hAnsi="Simplified Arabic" w:cs="Simplified Arabic" w:hint="cs"/>
              </w:rPr>
              <w:t>الملاحظات</w:t>
            </w:r>
          </w:p>
        </w:tc>
      </w:tr>
      <w:tr w:rsidR="001F056A" w:rsidRPr="00D25E3E" w14:paraId="2F4D82FD" w14:textId="77777777">
        <w:trPr>
          <w:trHeight w:val="57"/>
          <w:jc w:val="right"/>
        </w:trPr>
        <w:tc>
          <w:tcPr>
            <w:tcW w:w="1843" w:type="dxa"/>
            <w:tcBorders>
              <w:top w:val="single" w:sz="12" w:space="0" w:color="auto"/>
              <w:bottom w:val="single" w:sz="4" w:space="0" w:color="auto"/>
            </w:tcBorders>
          </w:tcPr>
          <w:p w14:paraId="35F3E77A" w14:textId="077F3E95" w:rsidR="001F056A" w:rsidRPr="00D25E3E" w:rsidRDefault="003B6B46" w:rsidP="00AA29FF">
            <w:pPr>
              <w:pStyle w:val="P68B1DB1-Normal-pool-Table6"/>
              <w:spacing w:before="0" w:after="0"/>
              <w:rPr>
                <w:rFonts w:ascii="Simplified Arabic" w:hAnsi="Simplified Arabic" w:cs="Simplified Arabic" w:hint="cs"/>
                <w:b w:val="0"/>
                <w:bCs/>
              </w:rPr>
            </w:pPr>
            <w:r w:rsidRPr="00D25E3E">
              <w:rPr>
                <w:rFonts w:ascii="Simplified Arabic" w:hAnsi="Simplified Arabic" w:cs="Simplified Arabic" w:hint="cs"/>
                <w:b w:val="0"/>
                <w:bCs/>
              </w:rPr>
              <w:t>الممارسة الحالية (اجتماع الأطراف لمدة خمسة أيام، حضوريًا)</w:t>
            </w:r>
          </w:p>
        </w:tc>
        <w:tc>
          <w:tcPr>
            <w:tcW w:w="1843" w:type="dxa"/>
            <w:tcBorders>
              <w:top w:val="single" w:sz="12" w:space="0" w:color="auto"/>
              <w:bottom w:val="single" w:sz="4" w:space="0" w:color="auto"/>
            </w:tcBorders>
          </w:tcPr>
          <w:p w14:paraId="6904122D" w14:textId="5F11F079" w:rsidR="001F056A" w:rsidRPr="00D25E3E" w:rsidRDefault="003B6B46" w:rsidP="00AA29FF">
            <w:pPr>
              <w:pStyle w:val="P68B1DB1-Normal-pool-Table7"/>
              <w:spacing w:before="0" w:after="0"/>
              <w:jc w:val="right"/>
              <w:rPr>
                <w:rFonts w:ascii="Simplified Arabic" w:hAnsi="Simplified Arabic" w:cs="Simplified Arabic" w:hint="cs"/>
              </w:rPr>
            </w:pPr>
            <w:r w:rsidRPr="00D25E3E">
              <w:rPr>
                <w:rFonts w:ascii="Simplified Arabic" w:hAnsi="Simplified Arabic" w:cs="Simplified Arabic" w:hint="cs"/>
              </w:rPr>
              <w:t>600000 دولار أمريكي</w:t>
            </w:r>
          </w:p>
        </w:tc>
        <w:tc>
          <w:tcPr>
            <w:tcW w:w="2126" w:type="dxa"/>
            <w:tcBorders>
              <w:top w:val="single" w:sz="12" w:space="0" w:color="auto"/>
              <w:bottom w:val="single" w:sz="4" w:space="0" w:color="auto"/>
            </w:tcBorders>
          </w:tcPr>
          <w:p w14:paraId="5C3A46E6" w14:textId="04CA8F10" w:rsidR="001F056A" w:rsidRPr="00D25E3E" w:rsidRDefault="003B6B46" w:rsidP="00AA29FF">
            <w:pPr>
              <w:pStyle w:val="P68B1DB1-Normal-pool-Table7"/>
              <w:spacing w:before="0" w:after="0"/>
              <w:jc w:val="right"/>
              <w:rPr>
                <w:rFonts w:ascii="Simplified Arabic" w:hAnsi="Simplified Arabic" w:cs="Simplified Arabic" w:hint="cs"/>
              </w:rPr>
            </w:pPr>
            <w:r w:rsidRPr="00D25E3E">
              <w:rPr>
                <w:rFonts w:ascii="Simplified Arabic" w:hAnsi="Simplified Arabic" w:cs="Simplified Arabic" w:hint="cs"/>
              </w:rPr>
              <w:t>لا ينطبق</w:t>
            </w:r>
          </w:p>
        </w:tc>
        <w:tc>
          <w:tcPr>
            <w:tcW w:w="3685" w:type="dxa"/>
            <w:tcBorders>
              <w:top w:val="single" w:sz="12" w:space="0" w:color="auto"/>
              <w:bottom w:val="single" w:sz="4" w:space="0" w:color="auto"/>
            </w:tcBorders>
          </w:tcPr>
          <w:p w14:paraId="42BEDDBD" w14:textId="69DF06E4" w:rsidR="001F056A" w:rsidRPr="00D25E3E" w:rsidRDefault="003B6B46" w:rsidP="00AA29FF">
            <w:pPr>
              <w:pStyle w:val="P68B1DB1-Normal-pool-Table7"/>
              <w:spacing w:before="0" w:after="0"/>
              <w:rPr>
                <w:rFonts w:ascii="Simplified Arabic" w:hAnsi="Simplified Arabic" w:cs="Simplified Arabic" w:hint="cs"/>
              </w:rPr>
            </w:pPr>
            <w:r w:rsidRPr="00D25E3E">
              <w:rPr>
                <w:rFonts w:ascii="Simplified Arabic" w:hAnsi="Simplified Arabic" w:cs="Simplified Arabic" w:hint="cs"/>
              </w:rPr>
              <w:t>تقديرات تستند إلى اجتماع الأطراف المقرر عقده في نيروبي</w:t>
            </w:r>
          </w:p>
        </w:tc>
      </w:tr>
      <w:tr w:rsidR="001F056A" w:rsidRPr="00D25E3E" w14:paraId="3AE3F07D" w14:textId="77777777">
        <w:trPr>
          <w:trHeight w:val="57"/>
          <w:jc w:val="right"/>
        </w:trPr>
        <w:tc>
          <w:tcPr>
            <w:tcW w:w="1843" w:type="dxa"/>
            <w:tcBorders>
              <w:top w:val="single" w:sz="4" w:space="0" w:color="auto"/>
              <w:bottom w:val="single" w:sz="4" w:space="0" w:color="auto"/>
            </w:tcBorders>
          </w:tcPr>
          <w:p w14:paraId="1B96AC7F" w14:textId="2C184DDE" w:rsidR="001F056A" w:rsidRPr="00D25E3E" w:rsidRDefault="003B6B46" w:rsidP="00AA29FF">
            <w:pPr>
              <w:pStyle w:val="P68B1DB1-Normal-pool-Table6"/>
              <w:spacing w:before="0" w:after="0"/>
              <w:rPr>
                <w:rFonts w:ascii="Simplified Arabic" w:hAnsi="Simplified Arabic" w:cs="Simplified Arabic" w:hint="cs"/>
                <w:b w:val="0"/>
                <w:bCs/>
              </w:rPr>
            </w:pPr>
            <w:r w:rsidRPr="00D25E3E">
              <w:rPr>
                <w:rFonts w:ascii="Simplified Arabic" w:hAnsi="Simplified Arabic" w:cs="Simplified Arabic" w:hint="cs"/>
                <w:b w:val="0"/>
                <w:bCs/>
              </w:rPr>
              <w:t>يومان إضافيان لاجتماع الأطراف في نيروبي</w:t>
            </w:r>
          </w:p>
        </w:tc>
        <w:tc>
          <w:tcPr>
            <w:tcW w:w="1843" w:type="dxa"/>
            <w:tcBorders>
              <w:top w:val="single" w:sz="4" w:space="0" w:color="auto"/>
              <w:bottom w:val="single" w:sz="4" w:space="0" w:color="auto"/>
            </w:tcBorders>
          </w:tcPr>
          <w:p w14:paraId="7E643450" w14:textId="3B700CD9" w:rsidR="001F056A" w:rsidRPr="00D25E3E" w:rsidRDefault="003B6B46" w:rsidP="00AA29FF">
            <w:pPr>
              <w:pStyle w:val="P68B1DB1-Normal-pool-Table7"/>
              <w:spacing w:before="0" w:after="0"/>
              <w:jc w:val="right"/>
              <w:rPr>
                <w:rFonts w:ascii="Simplified Arabic" w:hAnsi="Simplified Arabic" w:cs="Simplified Arabic" w:hint="cs"/>
              </w:rPr>
            </w:pPr>
            <w:r w:rsidRPr="00D25E3E">
              <w:rPr>
                <w:rFonts w:ascii="Simplified Arabic" w:hAnsi="Simplified Arabic" w:cs="Simplified Arabic" w:hint="cs"/>
              </w:rPr>
              <w:t>لا ينطبق</w:t>
            </w:r>
          </w:p>
        </w:tc>
        <w:tc>
          <w:tcPr>
            <w:tcW w:w="2126" w:type="dxa"/>
            <w:tcBorders>
              <w:top w:val="single" w:sz="4" w:space="0" w:color="auto"/>
              <w:bottom w:val="single" w:sz="4" w:space="0" w:color="auto"/>
            </w:tcBorders>
          </w:tcPr>
          <w:p w14:paraId="6537D965" w14:textId="54A9BA72" w:rsidR="001F056A" w:rsidRPr="00D25E3E" w:rsidRDefault="003B6B46" w:rsidP="00AA29FF">
            <w:pPr>
              <w:pStyle w:val="P68B1DB1-Normal-pool-Table7"/>
              <w:spacing w:before="0" w:after="0"/>
              <w:jc w:val="right"/>
              <w:rPr>
                <w:rFonts w:ascii="Simplified Arabic" w:hAnsi="Simplified Arabic" w:cs="Simplified Arabic" w:hint="cs"/>
              </w:rPr>
            </w:pPr>
            <w:r w:rsidRPr="00D25E3E">
              <w:rPr>
                <w:rFonts w:ascii="Simplified Arabic" w:hAnsi="Simplified Arabic" w:cs="Simplified Arabic" w:hint="cs"/>
              </w:rPr>
              <w:t>التكاليف الإضافية: 150000 دولار أمريكي</w:t>
            </w:r>
          </w:p>
        </w:tc>
        <w:tc>
          <w:tcPr>
            <w:tcW w:w="3685" w:type="dxa"/>
            <w:tcBorders>
              <w:top w:val="single" w:sz="4" w:space="0" w:color="auto"/>
              <w:bottom w:val="single" w:sz="4" w:space="0" w:color="auto"/>
            </w:tcBorders>
          </w:tcPr>
          <w:p w14:paraId="2A9BED1B" w14:textId="409E6317" w:rsidR="001F056A" w:rsidRPr="00D25E3E" w:rsidRDefault="003B6B46" w:rsidP="00AA29FF">
            <w:pPr>
              <w:pStyle w:val="P68B1DB1-Normal-pool-Table7"/>
              <w:spacing w:before="0" w:after="0"/>
              <w:rPr>
                <w:rFonts w:ascii="Simplified Arabic" w:hAnsi="Simplified Arabic" w:cs="Simplified Arabic" w:hint="cs"/>
              </w:rPr>
            </w:pPr>
            <w:r w:rsidRPr="00D25E3E">
              <w:rPr>
                <w:rFonts w:ascii="Simplified Arabic" w:hAnsi="Simplified Arabic" w:cs="Simplified Arabic" w:hint="cs"/>
              </w:rPr>
              <w:t>بدل إقامة يومي إضافي لمدة يومين لـ120 مشاركًا من الدول الأطراف العاملة بموجب المادة 5: 70000 دولار أمريكي</w:t>
            </w:r>
          </w:p>
        </w:tc>
      </w:tr>
      <w:tr w:rsidR="001F056A" w:rsidRPr="00D25E3E" w14:paraId="58F50861" w14:textId="77777777">
        <w:trPr>
          <w:trHeight w:val="57"/>
          <w:jc w:val="right"/>
        </w:trPr>
        <w:tc>
          <w:tcPr>
            <w:tcW w:w="1843" w:type="dxa"/>
            <w:tcBorders>
              <w:top w:val="single" w:sz="4" w:space="0" w:color="auto"/>
              <w:bottom w:val="single" w:sz="4" w:space="0" w:color="auto"/>
            </w:tcBorders>
            <w:hideMark/>
          </w:tcPr>
          <w:p w14:paraId="0A88AB57" w14:textId="6064E8EC" w:rsidR="001F056A" w:rsidRPr="00D25E3E" w:rsidRDefault="003B6B46" w:rsidP="00AA29FF">
            <w:pPr>
              <w:pStyle w:val="P68B1DB1-Normal-pool-Table6"/>
              <w:spacing w:before="0" w:after="0"/>
              <w:rPr>
                <w:rFonts w:ascii="Simplified Arabic" w:hAnsi="Simplified Arabic" w:cs="Simplified Arabic" w:hint="cs"/>
                <w:b w:val="0"/>
                <w:bCs/>
              </w:rPr>
            </w:pPr>
            <w:r w:rsidRPr="00D25E3E">
              <w:rPr>
                <w:rFonts w:ascii="Simplified Arabic" w:hAnsi="Simplified Arabic" w:cs="Simplified Arabic" w:hint="cs"/>
                <w:b w:val="0"/>
                <w:bCs/>
              </w:rPr>
              <w:t>الممارسة الحالية (اجتماع الفريق العامل المفتوح العضوية لمدة خمسة أيام، حضوريًا)</w:t>
            </w:r>
          </w:p>
        </w:tc>
        <w:tc>
          <w:tcPr>
            <w:tcW w:w="1843" w:type="dxa"/>
            <w:tcBorders>
              <w:top w:val="single" w:sz="4" w:space="0" w:color="auto"/>
              <w:bottom w:val="single" w:sz="4" w:space="0" w:color="auto"/>
            </w:tcBorders>
          </w:tcPr>
          <w:p w14:paraId="3821F0E9" w14:textId="043A5524" w:rsidR="001F056A" w:rsidRPr="00D25E3E" w:rsidRDefault="003B6B46" w:rsidP="00AA29FF">
            <w:pPr>
              <w:pStyle w:val="P68B1DB1-Normal-pool-Table7"/>
              <w:spacing w:before="0" w:after="0"/>
              <w:jc w:val="right"/>
              <w:rPr>
                <w:rFonts w:ascii="Simplified Arabic" w:hAnsi="Simplified Arabic" w:cs="Simplified Arabic" w:hint="cs"/>
              </w:rPr>
            </w:pPr>
            <w:r w:rsidRPr="00D25E3E">
              <w:rPr>
                <w:rFonts w:ascii="Simplified Arabic" w:hAnsi="Simplified Arabic" w:cs="Simplified Arabic" w:hint="cs"/>
              </w:rPr>
              <w:t>650000 دولار أمريكي</w:t>
            </w:r>
          </w:p>
        </w:tc>
        <w:tc>
          <w:tcPr>
            <w:tcW w:w="2126" w:type="dxa"/>
            <w:tcBorders>
              <w:top w:val="single" w:sz="4" w:space="0" w:color="auto"/>
              <w:bottom w:val="single" w:sz="4" w:space="0" w:color="auto"/>
            </w:tcBorders>
          </w:tcPr>
          <w:p w14:paraId="0923FF5A" w14:textId="60790C57" w:rsidR="001F056A" w:rsidRPr="00D25E3E" w:rsidRDefault="003B6B46" w:rsidP="00AA29FF">
            <w:pPr>
              <w:pStyle w:val="P68B1DB1-Normal-pool-Table7"/>
              <w:spacing w:before="0" w:after="0"/>
              <w:jc w:val="right"/>
              <w:rPr>
                <w:rFonts w:ascii="Simplified Arabic" w:hAnsi="Simplified Arabic" w:cs="Simplified Arabic" w:hint="cs"/>
              </w:rPr>
            </w:pPr>
            <w:r w:rsidRPr="00D25E3E">
              <w:rPr>
                <w:rFonts w:ascii="Simplified Arabic" w:hAnsi="Simplified Arabic" w:cs="Simplified Arabic" w:hint="cs"/>
              </w:rPr>
              <w:t>لا ينطبق</w:t>
            </w:r>
          </w:p>
        </w:tc>
        <w:tc>
          <w:tcPr>
            <w:tcW w:w="3685" w:type="dxa"/>
            <w:tcBorders>
              <w:top w:val="single" w:sz="4" w:space="0" w:color="auto"/>
              <w:bottom w:val="single" w:sz="4" w:space="0" w:color="auto"/>
            </w:tcBorders>
          </w:tcPr>
          <w:p w14:paraId="4507D7F7" w14:textId="1EDB44D7" w:rsidR="001F056A" w:rsidRPr="00D25E3E" w:rsidRDefault="003B6B46" w:rsidP="00AA29FF">
            <w:pPr>
              <w:pStyle w:val="P68B1DB1-Normal-pool-Table7"/>
              <w:spacing w:before="0" w:after="0"/>
              <w:rPr>
                <w:rFonts w:ascii="Simplified Arabic" w:hAnsi="Simplified Arabic" w:cs="Simplified Arabic" w:hint="cs"/>
              </w:rPr>
            </w:pPr>
            <w:r w:rsidRPr="00D25E3E">
              <w:rPr>
                <w:rFonts w:ascii="Simplified Arabic" w:hAnsi="Simplified Arabic" w:cs="Simplified Arabic" w:hint="cs"/>
              </w:rPr>
              <w:t>تقديرات تستند إلى اجتماع الفريق العامل المفتوح العضوية المقرر عقده في بانكوك وفقًا للوثيقة UNEP/OzL.Pro.38/4</w:t>
            </w:r>
          </w:p>
        </w:tc>
      </w:tr>
      <w:tr w:rsidR="001F056A" w:rsidRPr="00D25E3E" w14:paraId="47A92628" w14:textId="77777777">
        <w:trPr>
          <w:trHeight w:val="57"/>
          <w:jc w:val="right"/>
        </w:trPr>
        <w:tc>
          <w:tcPr>
            <w:tcW w:w="1843" w:type="dxa"/>
            <w:tcBorders>
              <w:top w:val="single" w:sz="4" w:space="0" w:color="auto"/>
              <w:bottom w:val="single" w:sz="4" w:space="0" w:color="auto"/>
            </w:tcBorders>
          </w:tcPr>
          <w:p w14:paraId="4B4F4F6C" w14:textId="5CECC0C6" w:rsidR="001F056A" w:rsidRPr="00D25E3E" w:rsidRDefault="003B6B46" w:rsidP="00AA29FF">
            <w:pPr>
              <w:pStyle w:val="P68B1DB1-Normal-pool-Table6"/>
              <w:spacing w:before="0" w:after="0"/>
              <w:rPr>
                <w:rFonts w:ascii="Simplified Arabic" w:hAnsi="Simplified Arabic" w:cs="Simplified Arabic" w:hint="cs"/>
                <w:b w:val="0"/>
                <w:bCs/>
              </w:rPr>
            </w:pPr>
            <w:r w:rsidRPr="00D25E3E">
              <w:rPr>
                <w:rFonts w:ascii="Simplified Arabic" w:hAnsi="Simplified Arabic" w:cs="Simplified Arabic" w:hint="cs"/>
                <w:b w:val="0"/>
                <w:bCs/>
              </w:rPr>
              <w:t>اجتماع الفريق العامل المفتوح العضوية لمدة أربعة أيام، حضوريًا</w:t>
            </w:r>
          </w:p>
        </w:tc>
        <w:tc>
          <w:tcPr>
            <w:tcW w:w="1843" w:type="dxa"/>
            <w:tcBorders>
              <w:top w:val="single" w:sz="4" w:space="0" w:color="auto"/>
              <w:bottom w:val="single" w:sz="4" w:space="0" w:color="auto"/>
            </w:tcBorders>
          </w:tcPr>
          <w:p w14:paraId="3CA6C870" w14:textId="01AC4F83" w:rsidR="001F056A" w:rsidRPr="00D25E3E" w:rsidRDefault="003B6B46" w:rsidP="00AA29FF">
            <w:pPr>
              <w:pStyle w:val="P68B1DB1-Normal-pool-Table7"/>
              <w:spacing w:before="0" w:after="0"/>
              <w:jc w:val="right"/>
              <w:rPr>
                <w:rFonts w:ascii="Simplified Arabic" w:hAnsi="Simplified Arabic" w:cs="Simplified Arabic" w:hint="cs"/>
              </w:rPr>
            </w:pPr>
            <w:r w:rsidRPr="00D25E3E">
              <w:rPr>
                <w:rFonts w:ascii="Simplified Arabic" w:hAnsi="Simplified Arabic" w:cs="Simplified Arabic" w:hint="cs"/>
              </w:rPr>
              <w:t>545000 دولار أمريكي</w:t>
            </w:r>
          </w:p>
        </w:tc>
        <w:tc>
          <w:tcPr>
            <w:tcW w:w="2126" w:type="dxa"/>
            <w:tcBorders>
              <w:top w:val="single" w:sz="4" w:space="0" w:color="auto"/>
              <w:bottom w:val="single" w:sz="4" w:space="0" w:color="auto"/>
            </w:tcBorders>
          </w:tcPr>
          <w:p w14:paraId="6564413C" w14:textId="3C568B57" w:rsidR="001F056A" w:rsidRPr="00D25E3E" w:rsidRDefault="003B6B46" w:rsidP="00AA29FF">
            <w:pPr>
              <w:pStyle w:val="P68B1DB1-Normal-pool-Table7"/>
              <w:spacing w:before="0" w:after="0"/>
              <w:jc w:val="right"/>
              <w:rPr>
                <w:rFonts w:ascii="Simplified Arabic" w:hAnsi="Simplified Arabic" w:cs="Simplified Arabic" w:hint="cs"/>
              </w:rPr>
            </w:pPr>
            <w:r w:rsidRPr="00D25E3E">
              <w:rPr>
                <w:rFonts w:ascii="Simplified Arabic" w:hAnsi="Simplified Arabic" w:cs="Simplified Arabic" w:hint="cs"/>
              </w:rPr>
              <w:t>105000 دولار أمريكي</w:t>
            </w:r>
          </w:p>
        </w:tc>
        <w:tc>
          <w:tcPr>
            <w:tcW w:w="3685" w:type="dxa"/>
            <w:tcBorders>
              <w:top w:val="single" w:sz="4" w:space="0" w:color="auto"/>
              <w:bottom w:val="single" w:sz="4" w:space="0" w:color="auto"/>
            </w:tcBorders>
          </w:tcPr>
          <w:p w14:paraId="5036716D" w14:textId="605A2EA7" w:rsidR="001F056A" w:rsidRPr="00D25E3E" w:rsidRDefault="003B6B46" w:rsidP="00AA29FF">
            <w:pPr>
              <w:pStyle w:val="P68B1DB1-Normal-pool-Table7"/>
              <w:spacing w:before="0" w:after="0"/>
              <w:rPr>
                <w:rFonts w:ascii="Simplified Arabic" w:hAnsi="Simplified Arabic" w:cs="Simplified Arabic" w:hint="cs"/>
              </w:rPr>
            </w:pPr>
            <w:r w:rsidRPr="00D25E3E">
              <w:rPr>
                <w:rFonts w:ascii="Simplified Arabic" w:hAnsi="Simplified Arabic" w:cs="Simplified Arabic" w:hint="cs"/>
              </w:rPr>
              <w:t>وفورات ناتجة عن استخدام مكان الاجتماع (الإيجار والأمن والمرافق) وعن خدمات المؤتمرات، شاملة للترجمة الشفوية وكتابة التقارير وتحريرها (الأتعاب وبدل الإقامة اليومي)</w:t>
            </w:r>
          </w:p>
          <w:p w14:paraId="53AA4F18" w14:textId="2663E735" w:rsidR="001F056A" w:rsidRPr="00D25E3E" w:rsidRDefault="003B6B46" w:rsidP="00AA29FF">
            <w:pPr>
              <w:pStyle w:val="P68B1DB1-Normal-pool-Table7"/>
              <w:spacing w:before="0" w:after="0"/>
              <w:rPr>
                <w:rFonts w:ascii="Simplified Arabic" w:hAnsi="Simplified Arabic" w:cs="Simplified Arabic" w:hint="cs"/>
                <w:color w:val="000000" w:themeColor="text1"/>
              </w:rPr>
            </w:pPr>
            <w:r w:rsidRPr="00D25E3E">
              <w:rPr>
                <w:rFonts w:ascii="Simplified Arabic" w:hAnsi="Simplified Arabic" w:cs="Simplified Arabic" w:hint="cs"/>
              </w:rPr>
              <w:t>قد تبلغ الوفورات الناتجة عن سفر المشاركين من الدول الأطراف العاملة بموجب المادة 5 مبلغ 35000 دولار أمريكي (ما يعادل بدل إقامة ليوم واحد لـ120 مشاركًا)</w:t>
            </w:r>
          </w:p>
        </w:tc>
      </w:tr>
      <w:tr w:rsidR="001F056A" w:rsidRPr="00D25E3E" w14:paraId="59BA39BD" w14:textId="77777777">
        <w:trPr>
          <w:trHeight w:val="57"/>
          <w:jc w:val="right"/>
        </w:trPr>
        <w:tc>
          <w:tcPr>
            <w:tcW w:w="1843" w:type="dxa"/>
            <w:tcBorders>
              <w:top w:val="single" w:sz="4" w:space="0" w:color="auto"/>
              <w:bottom w:val="single" w:sz="4" w:space="0" w:color="auto"/>
            </w:tcBorders>
          </w:tcPr>
          <w:p w14:paraId="3F29AF96" w14:textId="61A99C2A" w:rsidR="001F056A" w:rsidRPr="00D25E3E" w:rsidRDefault="003B6B46" w:rsidP="00AA29FF">
            <w:pPr>
              <w:pStyle w:val="P68B1DB1-Normal-pool-Table6"/>
              <w:spacing w:before="0" w:after="0"/>
              <w:rPr>
                <w:rFonts w:ascii="Simplified Arabic" w:hAnsi="Simplified Arabic" w:cs="Simplified Arabic" w:hint="cs"/>
                <w:b w:val="0"/>
                <w:bCs/>
              </w:rPr>
            </w:pPr>
            <w:r w:rsidRPr="00D25E3E">
              <w:rPr>
                <w:rFonts w:ascii="Simplified Arabic" w:hAnsi="Simplified Arabic" w:cs="Simplified Arabic" w:hint="cs"/>
                <w:b w:val="0"/>
                <w:bCs/>
              </w:rPr>
              <w:t>اجتماع الفريق العامل المفتوح العضوية لمدة ثلاثة أيام، حضوريًا</w:t>
            </w:r>
          </w:p>
        </w:tc>
        <w:tc>
          <w:tcPr>
            <w:tcW w:w="1843" w:type="dxa"/>
            <w:tcBorders>
              <w:top w:val="single" w:sz="4" w:space="0" w:color="auto"/>
              <w:bottom w:val="single" w:sz="4" w:space="0" w:color="auto"/>
            </w:tcBorders>
          </w:tcPr>
          <w:p w14:paraId="3D41EC47" w14:textId="42D8F523" w:rsidR="001F056A" w:rsidRPr="00D25E3E" w:rsidRDefault="003B6B46" w:rsidP="00AA29FF">
            <w:pPr>
              <w:pStyle w:val="P68B1DB1-Normal-pool-Table7"/>
              <w:spacing w:before="0" w:after="0"/>
              <w:jc w:val="right"/>
              <w:rPr>
                <w:rFonts w:ascii="Simplified Arabic" w:hAnsi="Simplified Arabic" w:cs="Simplified Arabic" w:hint="cs"/>
              </w:rPr>
            </w:pPr>
            <w:r w:rsidRPr="00D25E3E">
              <w:rPr>
                <w:rFonts w:ascii="Simplified Arabic" w:hAnsi="Simplified Arabic" w:cs="Simplified Arabic" w:hint="cs"/>
              </w:rPr>
              <w:t>480000 دولار أمريكي</w:t>
            </w:r>
          </w:p>
        </w:tc>
        <w:tc>
          <w:tcPr>
            <w:tcW w:w="2126" w:type="dxa"/>
            <w:tcBorders>
              <w:top w:val="single" w:sz="4" w:space="0" w:color="auto"/>
              <w:bottom w:val="single" w:sz="4" w:space="0" w:color="auto"/>
            </w:tcBorders>
          </w:tcPr>
          <w:p w14:paraId="25123104" w14:textId="156423EA" w:rsidR="001F056A" w:rsidRPr="00D25E3E" w:rsidRDefault="003B6B46" w:rsidP="00AA29FF">
            <w:pPr>
              <w:pStyle w:val="P68B1DB1-Normal-pool-Table7"/>
              <w:spacing w:before="0" w:after="0"/>
              <w:jc w:val="right"/>
              <w:rPr>
                <w:rFonts w:ascii="Simplified Arabic" w:hAnsi="Simplified Arabic" w:cs="Simplified Arabic" w:hint="cs"/>
              </w:rPr>
            </w:pPr>
            <w:r w:rsidRPr="00D25E3E">
              <w:rPr>
                <w:rFonts w:ascii="Simplified Arabic" w:hAnsi="Simplified Arabic" w:cs="Simplified Arabic" w:hint="cs"/>
              </w:rPr>
              <w:t>170000 دولار أمريكي</w:t>
            </w:r>
          </w:p>
        </w:tc>
        <w:tc>
          <w:tcPr>
            <w:tcW w:w="3685" w:type="dxa"/>
            <w:tcBorders>
              <w:top w:val="single" w:sz="4" w:space="0" w:color="auto"/>
              <w:bottom w:val="single" w:sz="4" w:space="0" w:color="auto"/>
            </w:tcBorders>
          </w:tcPr>
          <w:p w14:paraId="05ECD5A6" w14:textId="79C59B25" w:rsidR="001F056A" w:rsidRPr="00D25E3E" w:rsidRDefault="003B6B46" w:rsidP="00AA29FF">
            <w:pPr>
              <w:pStyle w:val="P68B1DB1-Normal-pool-Table7"/>
              <w:spacing w:before="0" w:after="0"/>
              <w:rPr>
                <w:rFonts w:ascii="Simplified Arabic" w:hAnsi="Simplified Arabic" w:cs="Simplified Arabic" w:hint="cs"/>
              </w:rPr>
            </w:pPr>
            <w:r w:rsidRPr="00D25E3E">
              <w:rPr>
                <w:rFonts w:ascii="Simplified Arabic" w:hAnsi="Simplified Arabic" w:cs="Simplified Arabic" w:hint="cs"/>
              </w:rPr>
              <w:t>وفورات ناتجة عن استخدام مكان الاجتماع (الإيجار والأمن والمرافق) وعن خدمات المؤتمرات، شاملة للترجمة الشفوية وكتابة التقارير وتحريرها (الأتعاب وبدل الإقامة اليومي)</w:t>
            </w:r>
          </w:p>
          <w:p w14:paraId="69CCE472" w14:textId="57FB7AD8" w:rsidR="001F056A" w:rsidRPr="00D25E3E" w:rsidRDefault="003B6B46" w:rsidP="00AA29FF">
            <w:pPr>
              <w:pStyle w:val="P68B1DB1-Normal-pool-Table7"/>
              <w:spacing w:before="0" w:after="0"/>
              <w:rPr>
                <w:rFonts w:ascii="Simplified Arabic" w:hAnsi="Simplified Arabic" w:cs="Simplified Arabic" w:hint="cs"/>
              </w:rPr>
            </w:pPr>
            <w:r w:rsidRPr="00D25E3E">
              <w:rPr>
                <w:rFonts w:ascii="Simplified Arabic" w:hAnsi="Simplified Arabic" w:cs="Simplified Arabic" w:hint="cs"/>
              </w:rPr>
              <w:t>قد تبلغ الوفورات الناتجة عن سفر المشاركين من الدول الأطراف العاملة بموجب المادة 5 مبلغ 70000 دولار أمريكي (ما يعادل بدل إقامة ليومين لـ120 مشاركًا)</w:t>
            </w:r>
          </w:p>
          <w:p w14:paraId="7464CA85" w14:textId="54FB9E2C" w:rsidR="001F056A" w:rsidRPr="00D25E3E" w:rsidRDefault="003B6B46" w:rsidP="00AA29FF">
            <w:pPr>
              <w:pStyle w:val="P68B1DB1-Normal-pool-Table7"/>
              <w:spacing w:before="0" w:after="0"/>
              <w:rPr>
                <w:rFonts w:ascii="Simplified Arabic" w:hAnsi="Simplified Arabic" w:cs="Simplified Arabic" w:hint="cs"/>
              </w:rPr>
            </w:pPr>
            <w:r w:rsidRPr="00D25E3E">
              <w:rPr>
                <w:rFonts w:ascii="Simplified Arabic" w:hAnsi="Simplified Arabic" w:cs="Simplified Arabic" w:hint="cs"/>
              </w:rPr>
              <w:t>خطر عدم التمكن من استكمال النظر في جميع بنود جدول الأعمال</w:t>
            </w:r>
          </w:p>
        </w:tc>
      </w:tr>
      <w:tr w:rsidR="001F056A" w:rsidRPr="00D25E3E" w14:paraId="4E918FF2" w14:textId="77777777">
        <w:trPr>
          <w:trHeight w:val="57"/>
          <w:jc w:val="right"/>
        </w:trPr>
        <w:tc>
          <w:tcPr>
            <w:tcW w:w="1843" w:type="dxa"/>
            <w:tcBorders>
              <w:top w:val="single" w:sz="4" w:space="0" w:color="auto"/>
              <w:bottom w:val="single" w:sz="4" w:space="0" w:color="auto"/>
            </w:tcBorders>
          </w:tcPr>
          <w:p w14:paraId="5845F761" w14:textId="22825D15" w:rsidR="001F056A" w:rsidRPr="00D25E3E" w:rsidRDefault="003B6B46" w:rsidP="00AA29FF">
            <w:pPr>
              <w:pStyle w:val="P68B1DB1-Normal-pool-Table6"/>
              <w:spacing w:before="0" w:after="0"/>
              <w:rPr>
                <w:rFonts w:ascii="Simplified Arabic" w:hAnsi="Simplified Arabic" w:cs="Simplified Arabic" w:hint="cs"/>
                <w:b w:val="0"/>
                <w:bCs/>
              </w:rPr>
            </w:pPr>
            <w:r w:rsidRPr="00D25E3E">
              <w:rPr>
                <w:rFonts w:ascii="Simplified Arabic" w:hAnsi="Simplified Arabic" w:cs="Simplified Arabic" w:hint="cs"/>
                <w:b w:val="0"/>
                <w:bCs/>
              </w:rPr>
              <w:t>اجتماع الفريق العامل المفتوح العضوية عن بعد لمدة أربعة أيام (ثماني جلسات، مدة كل منها ساعتان) مع التزويد بخدمات الترجمة الشفوية</w:t>
            </w:r>
          </w:p>
        </w:tc>
        <w:tc>
          <w:tcPr>
            <w:tcW w:w="1843" w:type="dxa"/>
            <w:tcBorders>
              <w:top w:val="single" w:sz="4" w:space="0" w:color="auto"/>
              <w:bottom w:val="single" w:sz="4" w:space="0" w:color="auto"/>
            </w:tcBorders>
          </w:tcPr>
          <w:p w14:paraId="0F301769" w14:textId="0DA256C5" w:rsidR="001F056A" w:rsidRPr="00D25E3E" w:rsidRDefault="003B6B46" w:rsidP="00AA29FF">
            <w:pPr>
              <w:pStyle w:val="P68B1DB1-Normal-pool-Table7"/>
              <w:spacing w:before="0" w:after="0"/>
              <w:jc w:val="right"/>
              <w:rPr>
                <w:rFonts w:ascii="Simplified Arabic" w:hAnsi="Simplified Arabic" w:cs="Simplified Arabic" w:hint="cs"/>
              </w:rPr>
            </w:pPr>
            <w:r w:rsidRPr="00D25E3E">
              <w:rPr>
                <w:rFonts w:ascii="Simplified Arabic" w:hAnsi="Simplified Arabic" w:cs="Simplified Arabic" w:hint="cs"/>
              </w:rPr>
              <w:t>360000 دولار أمريكي</w:t>
            </w:r>
          </w:p>
        </w:tc>
        <w:tc>
          <w:tcPr>
            <w:tcW w:w="2126" w:type="dxa"/>
            <w:tcBorders>
              <w:top w:val="single" w:sz="4" w:space="0" w:color="auto"/>
              <w:bottom w:val="single" w:sz="4" w:space="0" w:color="auto"/>
            </w:tcBorders>
          </w:tcPr>
          <w:p w14:paraId="42FEE273" w14:textId="7E39C52B" w:rsidR="001F056A" w:rsidRPr="00D25E3E" w:rsidRDefault="003B6B46" w:rsidP="00AA29FF">
            <w:pPr>
              <w:pStyle w:val="P68B1DB1-Normal-pool-Table7"/>
              <w:spacing w:before="0" w:after="0"/>
              <w:jc w:val="right"/>
              <w:rPr>
                <w:rFonts w:ascii="Simplified Arabic" w:hAnsi="Simplified Arabic" w:cs="Simplified Arabic" w:hint="cs"/>
              </w:rPr>
            </w:pPr>
            <w:r w:rsidRPr="00D25E3E">
              <w:rPr>
                <w:rFonts w:ascii="Simplified Arabic" w:hAnsi="Simplified Arabic" w:cs="Simplified Arabic" w:hint="cs"/>
              </w:rPr>
              <w:t>290000 دولار أمريكي</w:t>
            </w:r>
          </w:p>
        </w:tc>
        <w:tc>
          <w:tcPr>
            <w:tcW w:w="3685" w:type="dxa"/>
            <w:tcBorders>
              <w:top w:val="single" w:sz="4" w:space="0" w:color="auto"/>
              <w:bottom w:val="single" w:sz="4" w:space="0" w:color="auto"/>
            </w:tcBorders>
          </w:tcPr>
          <w:p w14:paraId="2001F8B9" w14:textId="3BBBDCC4" w:rsidR="001F056A" w:rsidRPr="00D25E3E" w:rsidRDefault="003B6B46" w:rsidP="00AA29FF">
            <w:pPr>
              <w:pStyle w:val="P68B1DB1-Normal-pool-Table7"/>
              <w:spacing w:before="0" w:after="0"/>
              <w:rPr>
                <w:rFonts w:ascii="Simplified Arabic" w:hAnsi="Simplified Arabic" w:cs="Simplified Arabic" w:hint="cs"/>
              </w:rPr>
            </w:pPr>
            <w:r w:rsidRPr="00D25E3E">
              <w:rPr>
                <w:rFonts w:ascii="Simplified Arabic" w:hAnsi="Simplified Arabic" w:cs="Simplified Arabic" w:hint="cs"/>
              </w:rPr>
              <w:t>استنادًا إلى متوسط النفقات الفعلية لاجتماعات الفريق العامل المفتوح العضوية التي عُقدت خلال الفترة 2020–2021، مع تعديلها مراعاةً للتضخم</w:t>
            </w:r>
          </w:p>
          <w:p w14:paraId="51308788" w14:textId="31111037" w:rsidR="001F056A" w:rsidRPr="00D25E3E" w:rsidRDefault="003B6B46" w:rsidP="00AA29FF">
            <w:pPr>
              <w:pStyle w:val="P68B1DB1-Normal-pool-Table7"/>
              <w:spacing w:before="0" w:after="0"/>
              <w:rPr>
                <w:rFonts w:ascii="Simplified Arabic" w:hAnsi="Simplified Arabic" w:cs="Simplified Arabic" w:hint="cs"/>
              </w:rPr>
            </w:pPr>
            <w:r w:rsidRPr="00D25E3E">
              <w:rPr>
                <w:rFonts w:ascii="Simplified Arabic" w:hAnsi="Simplified Arabic" w:cs="Simplified Arabic" w:hint="cs"/>
              </w:rPr>
              <w:t>وفورات ناتجة عن استخدام مكان الاجتماع (الإيجار والأمن والمرافق) وسفر موظفي خدمات المؤتمرات مع تعويض جزء منها بتكاليف استخدام منصة للاجتماعات عن بعد</w:t>
            </w:r>
          </w:p>
          <w:p w14:paraId="4DCC480B" w14:textId="1E61C3E9" w:rsidR="001F056A" w:rsidRPr="00D25E3E" w:rsidRDefault="003B6B46" w:rsidP="00AA29FF">
            <w:pPr>
              <w:pStyle w:val="P68B1DB1-Normal-pool-Table7"/>
              <w:spacing w:before="0" w:after="0"/>
              <w:rPr>
                <w:rFonts w:ascii="Simplified Arabic" w:hAnsi="Simplified Arabic" w:cs="Simplified Arabic" w:hint="cs"/>
              </w:rPr>
            </w:pPr>
            <w:r w:rsidRPr="00D25E3E">
              <w:rPr>
                <w:rFonts w:ascii="Simplified Arabic" w:hAnsi="Simplified Arabic" w:cs="Simplified Arabic" w:hint="cs"/>
              </w:rPr>
              <w:t>قد تبلغ الوفورات الناتجة عن سفر المشاركين من الدول الأطراف العاملة بموجب المادة 5 نحو 420000 دولار أمريكي</w:t>
            </w:r>
          </w:p>
          <w:p w14:paraId="00418173" w14:textId="29231617" w:rsidR="001F056A" w:rsidRPr="00D25E3E" w:rsidRDefault="003B6B46" w:rsidP="00AA29FF">
            <w:pPr>
              <w:pStyle w:val="P68B1DB1-Normal-pool-Table7"/>
              <w:spacing w:before="0" w:after="0"/>
              <w:rPr>
                <w:rFonts w:ascii="Simplified Arabic" w:hAnsi="Simplified Arabic" w:cs="Simplified Arabic" w:hint="cs"/>
              </w:rPr>
            </w:pPr>
            <w:r w:rsidRPr="00D25E3E">
              <w:rPr>
                <w:rFonts w:ascii="Simplified Arabic" w:hAnsi="Simplified Arabic" w:cs="Simplified Arabic" w:hint="cs"/>
              </w:rPr>
              <w:lastRenderedPageBreak/>
              <w:t>قد تبلغ الوفورات الناتجة عن سفر موظفي الأمانة نحو 100000 دولار أمريكي</w:t>
            </w:r>
          </w:p>
          <w:p w14:paraId="4FD328BE" w14:textId="77777777" w:rsidR="001F056A" w:rsidRPr="00D25E3E" w:rsidRDefault="003B6B46" w:rsidP="00AA29FF">
            <w:pPr>
              <w:pStyle w:val="P68B1DB1-Normal-pool-Table7"/>
              <w:spacing w:before="0" w:after="0"/>
              <w:rPr>
                <w:rFonts w:ascii="Simplified Arabic" w:hAnsi="Simplified Arabic" w:cs="Simplified Arabic" w:hint="cs"/>
              </w:rPr>
            </w:pPr>
            <w:r w:rsidRPr="00D25E3E">
              <w:rPr>
                <w:rFonts w:ascii="Simplified Arabic" w:hAnsi="Simplified Arabic" w:cs="Simplified Arabic" w:hint="cs"/>
              </w:rPr>
              <w:t>خطر عدم التمكن من استكمال النظر في جميع بنود جدول الأعمال</w:t>
            </w:r>
          </w:p>
          <w:p w14:paraId="7AD9F74C" w14:textId="1991591A" w:rsidR="001F056A" w:rsidRPr="00D25E3E" w:rsidRDefault="003B6B46" w:rsidP="00AA29FF">
            <w:pPr>
              <w:pStyle w:val="P68B1DB1-Normal-pool-Table7"/>
              <w:spacing w:before="0" w:after="0"/>
              <w:rPr>
                <w:rFonts w:ascii="Simplified Arabic" w:hAnsi="Simplified Arabic" w:cs="Simplified Arabic" w:hint="cs"/>
              </w:rPr>
            </w:pPr>
            <w:r w:rsidRPr="00D25E3E">
              <w:rPr>
                <w:rFonts w:ascii="Simplified Arabic" w:hAnsi="Simplified Arabic" w:cs="Simplified Arabic" w:hint="cs"/>
              </w:rPr>
              <w:t>عدم القدرة على عقد اجتماعات جانبية ومناقشة المسائل والتفاوض بشأنها على هامش الجلسات العامة واجتماعات أفرقة الاتصال</w:t>
            </w:r>
          </w:p>
          <w:p w14:paraId="47421E4F" w14:textId="2E99A730" w:rsidR="001F056A" w:rsidRPr="00D25E3E" w:rsidRDefault="003B6B46" w:rsidP="00AA29FF">
            <w:pPr>
              <w:pStyle w:val="P68B1DB1-Normal-pool-Table7"/>
              <w:spacing w:before="0" w:after="0"/>
              <w:rPr>
                <w:rFonts w:ascii="Simplified Arabic" w:hAnsi="Simplified Arabic" w:cs="Simplified Arabic" w:hint="cs"/>
              </w:rPr>
            </w:pPr>
            <w:r w:rsidRPr="00D25E3E">
              <w:rPr>
                <w:rFonts w:ascii="Simplified Arabic" w:hAnsi="Simplified Arabic" w:cs="Simplified Arabic" w:hint="cs"/>
              </w:rPr>
              <w:t>عدم اليقين بشأن إتاحة مترجمي الأمم المتحدة لتقديم خدمات الترجمة الشفوية الفورية عن بُعد خلال الجلسات</w:t>
            </w:r>
          </w:p>
        </w:tc>
      </w:tr>
      <w:tr w:rsidR="001F056A" w:rsidRPr="00D25E3E" w14:paraId="36CCDBDA" w14:textId="77777777">
        <w:trPr>
          <w:trHeight w:val="57"/>
          <w:jc w:val="right"/>
        </w:trPr>
        <w:tc>
          <w:tcPr>
            <w:tcW w:w="1843" w:type="dxa"/>
            <w:tcBorders>
              <w:top w:val="single" w:sz="4" w:space="0" w:color="auto"/>
              <w:bottom w:val="single" w:sz="4" w:space="0" w:color="auto"/>
            </w:tcBorders>
          </w:tcPr>
          <w:p w14:paraId="01F7E216" w14:textId="75C22969" w:rsidR="001F056A" w:rsidRPr="00D25E3E" w:rsidRDefault="003B6B46" w:rsidP="00AA29FF">
            <w:pPr>
              <w:pStyle w:val="P68B1DB1-Normal-pool-Table6"/>
              <w:spacing w:before="0" w:after="0"/>
              <w:rPr>
                <w:rFonts w:ascii="Simplified Arabic" w:hAnsi="Simplified Arabic" w:cs="Simplified Arabic" w:hint="cs"/>
                <w:b w:val="0"/>
                <w:bCs/>
              </w:rPr>
            </w:pPr>
            <w:r w:rsidRPr="00D25E3E">
              <w:rPr>
                <w:rFonts w:ascii="Simplified Arabic" w:hAnsi="Simplified Arabic" w:cs="Simplified Arabic" w:hint="cs"/>
                <w:b w:val="0"/>
                <w:bCs/>
              </w:rPr>
              <w:t>اجتماع الفريق العامل المفتوح العضوية عن بعد لمدة أربعة أيام (ثماني جلسات، مدة كل منها ساعتان) مع التزويد بخدمات الترجمة الشفوية</w:t>
            </w:r>
          </w:p>
        </w:tc>
        <w:tc>
          <w:tcPr>
            <w:tcW w:w="1843" w:type="dxa"/>
            <w:tcBorders>
              <w:top w:val="single" w:sz="4" w:space="0" w:color="auto"/>
              <w:bottom w:val="single" w:sz="4" w:space="0" w:color="auto"/>
            </w:tcBorders>
          </w:tcPr>
          <w:p w14:paraId="1DA92289" w14:textId="3ABE9EE4" w:rsidR="001F056A" w:rsidRPr="00D25E3E" w:rsidRDefault="003B6B46" w:rsidP="00AA29FF">
            <w:pPr>
              <w:pStyle w:val="P68B1DB1-Normal-pool-Table7"/>
              <w:spacing w:before="0" w:after="0"/>
              <w:jc w:val="right"/>
              <w:rPr>
                <w:rFonts w:ascii="Simplified Arabic" w:hAnsi="Simplified Arabic" w:cs="Simplified Arabic" w:hint="cs"/>
              </w:rPr>
            </w:pPr>
            <w:r w:rsidRPr="00D25E3E">
              <w:rPr>
                <w:rFonts w:ascii="Simplified Arabic" w:hAnsi="Simplified Arabic" w:cs="Simplified Arabic" w:hint="cs"/>
              </w:rPr>
              <w:t>227000 دولار أمريكي</w:t>
            </w:r>
          </w:p>
        </w:tc>
        <w:tc>
          <w:tcPr>
            <w:tcW w:w="2126" w:type="dxa"/>
            <w:tcBorders>
              <w:top w:val="single" w:sz="4" w:space="0" w:color="auto"/>
              <w:bottom w:val="single" w:sz="4" w:space="0" w:color="auto"/>
            </w:tcBorders>
          </w:tcPr>
          <w:p w14:paraId="7C9EB29E" w14:textId="1E1384F5" w:rsidR="001F056A" w:rsidRPr="00D25E3E" w:rsidRDefault="003B6B46" w:rsidP="00AA29FF">
            <w:pPr>
              <w:pStyle w:val="P68B1DB1-Normal-pool-Table7"/>
              <w:spacing w:before="0" w:after="0"/>
              <w:jc w:val="right"/>
              <w:rPr>
                <w:rFonts w:ascii="Simplified Arabic" w:hAnsi="Simplified Arabic" w:cs="Simplified Arabic" w:hint="cs"/>
              </w:rPr>
            </w:pPr>
            <w:r w:rsidRPr="00D25E3E">
              <w:rPr>
                <w:rFonts w:ascii="Simplified Arabic" w:hAnsi="Simplified Arabic" w:cs="Simplified Arabic" w:hint="cs"/>
              </w:rPr>
              <w:t>423000 دولار أمريكي</w:t>
            </w:r>
          </w:p>
        </w:tc>
        <w:tc>
          <w:tcPr>
            <w:tcW w:w="3685" w:type="dxa"/>
            <w:tcBorders>
              <w:top w:val="single" w:sz="4" w:space="0" w:color="auto"/>
              <w:bottom w:val="single" w:sz="4" w:space="0" w:color="auto"/>
            </w:tcBorders>
          </w:tcPr>
          <w:p w14:paraId="6DBEA7AE" w14:textId="02FCDE92" w:rsidR="001F056A" w:rsidRPr="00D25E3E" w:rsidRDefault="003B6B46" w:rsidP="00AA29FF">
            <w:pPr>
              <w:pStyle w:val="P68B1DB1-Normal-pool-Table7"/>
              <w:spacing w:before="0" w:after="0"/>
              <w:rPr>
                <w:rFonts w:ascii="Simplified Arabic" w:hAnsi="Simplified Arabic" w:cs="Simplified Arabic" w:hint="cs"/>
              </w:rPr>
            </w:pPr>
            <w:r w:rsidRPr="00D25E3E">
              <w:rPr>
                <w:rFonts w:ascii="Simplified Arabic" w:hAnsi="Simplified Arabic" w:cs="Simplified Arabic" w:hint="cs"/>
              </w:rPr>
              <w:t>استنادًا إلى متوسط النفقات الفعلية لاجتماعات الفريق العامل المفتوح العضوية التي عُقدت خلال الفترة 2020–2021، مع تعديلها مراعاةً للتضخم</w:t>
            </w:r>
          </w:p>
          <w:p w14:paraId="4633C1B6" w14:textId="40278D83" w:rsidR="001F056A" w:rsidRPr="00D25E3E" w:rsidRDefault="003B6B46" w:rsidP="00AA29FF">
            <w:pPr>
              <w:pStyle w:val="P68B1DB1-Normal-pool-Table7"/>
              <w:spacing w:before="0" w:after="0"/>
              <w:rPr>
                <w:rFonts w:ascii="Simplified Arabic" w:hAnsi="Simplified Arabic" w:cs="Simplified Arabic" w:hint="cs"/>
              </w:rPr>
            </w:pPr>
            <w:r w:rsidRPr="00D25E3E">
              <w:rPr>
                <w:rFonts w:ascii="Simplified Arabic" w:hAnsi="Simplified Arabic" w:cs="Simplified Arabic" w:hint="cs"/>
              </w:rPr>
              <w:t>وفورات ناتجة عن استخدام مكان الاجتماع (الإيجار والأمن والمرافق) والترجمة الشفوية، وسفر موظفي خدمات المؤتمرات، مع تعويض جزء منها بتكاليف استخدام منصة للاجتماعات عن بعد</w:t>
            </w:r>
          </w:p>
          <w:p w14:paraId="1BB58F40" w14:textId="0BC8E35B" w:rsidR="001F056A" w:rsidRPr="00D25E3E" w:rsidRDefault="003B6B46" w:rsidP="00AA29FF">
            <w:pPr>
              <w:pStyle w:val="P68B1DB1-Normal-pool-Table7"/>
              <w:spacing w:before="0" w:after="0"/>
              <w:rPr>
                <w:rFonts w:ascii="Simplified Arabic" w:hAnsi="Simplified Arabic" w:cs="Simplified Arabic" w:hint="cs"/>
              </w:rPr>
            </w:pPr>
            <w:r w:rsidRPr="00D25E3E">
              <w:rPr>
                <w:rFonts w:ascii="Simplified Arabic" w:hAnsi="Simplified Arabic" w:cs="Simplified Arabic" w:hint="cs"/>
              </w:rPr>
              <w:t>قد تبلغ الوفورات الناتجة عن سفر المشاركين من الدول الأطراف العاملة بموجب المادة 5 نحو 420000 دولار أمريكي</w:t>
            </w:r>
          </w:p>
          <w:p w14:paraId="1F454572" w14:textId="06589CF4" w:rsidR="001F056A" w:rsidRPr="00D25E3E" w:rsidRDefault="003B6B46" w:rsidP="00AA29FF">
            <w:pPr>
              <w:pStyle w:val="P68B1DB1-Normal-pool-Table7"/>
              <w:spacing w:before="0" w:after="0"/>
              <w:rPr>
                <w:rFonts w:ascii="Simplified Arabic" w:hAnsi="Simplified Arabic" w:cs="Simplified Arabic" w:hint="cs"/>
              </w:rPr>
            </w:pPr>
            <w:r w:rsidRPr="00D25E3E">
              <w:rPr>
                <w:rFonts w:ascii="Simplified Arabic" w:hAnsi="Simplified Arabic" w:cs="Simplified Arabic" w:hint="cs"/>
              </w:rPr>
              <w:t>قد تبلغ الوفورات الناتجة عن سفر موظفي الأمانة نحو 100000 دولار أمريكي</w:t>
            </w:r>
          </w:p>
          <w:p w14:paraId="18FEBA13" w14:textId="1089F8A9" w:rsidR="001F056A" w:rsidRPr="00D25E3E" w:rsidRDefault="003B6B46" w:rsidP="00AA29FF">
            <w:pPr>
              <w:pStyle w:val="P68B1DB1-Normal-pool-Table7"/>
              <w:spacing w:before="0" w:after="0"/>
              <w:rPr>
                <w:rFonts w:ascii="Simplified Arabic" w:hAnsi="Simplified Arabic" w:cs="Simplified Arabic" w:hint="cs"/>
              </w:rPr>
            </w:pPr>
            <w:r w:rsidRPr="00D25E3E">
              <w:rPr>
                <w:rFonts w:ascii="Simplified Arabic" w:hAnsi="Simplified Arabic" w:cs="Simplified Arabic" w:hint="cs"/>
              </w:rPr>
              <w:t xml:space="preserve">خطر عدم التمكن من استكمال النظر في جميع بنود جدول الأعمال </w:t>
            </w:r>
          </w:p>
          <w:p w14:paraId="6F3747DD" w14:textId="2D7267A4" w:rsidR="001F056A" w:rsidRPr="00D25E3E" w:rsidRDefault="003B6B46" w:rsidP="00AA29FF">
            <w:pPr>
              <w:pStyle w:val="P68B1DB1-Normal-pool-Table7"/>
              <w:spacing w:before="0" w:after="0"/>
              <w:rPr>
                <w:rFonts w:ascii="Simplified Arabic" w:hAnsi="Simplified Arabic" w:cs="Simplified Arabic" w:hint="cs"/>
              </w:rPr>
            </w:pPr>
            <w:r w:rsidRPr="00D25E3E">
              <w:rPr>
                <w:rFonts w:ascii="Simplified Arabic" w:hAnsi="Simplified Arabic" w:cs="Simplified Arabic" w:hint="cs"/>
              </w:rPr>
              <w:t>عدم القدرة على عقد اجتماعات جانبية ومناقشة المسائل والتفاوض بشأنها على هامش الجلسات العامة واجتماعات أفرقة الاتصال</w:t>
            </w:r>
          </w:p>
        </w:tc>
      </w:tr>
      <w:tr w:rsidR="001F056A" w:rsidRPr="00D25E3E" w14:paraId="3B1A6F8D" w14:textId="77777777">
        <w:trPr>
          <w:trHeight w:val="57"/>
          <w:jc w:val="right"/>
        </w:trPr>
        <w:tc>
          <w:tcPr>
            <w:tcW w:w="1843" w:type="dxa"/>
            <w:tcBorders>
              <w:top w:val="single" w:sz="4" w:space="0" w:color="auto"/>
              <w:bottom w:val="single" w:sz="4" w:space="0" w:color="auto"/>
            </w:tcBorders>
          </w:tcPr>
          <w:p w14:paraId="6EC27DEA" w14:textId="352C134D" w:rsidR="001F056A" w:rsidRPr="00D25E3E" w:rsidRDefault="003B6B46" w:rsidP="00AA29FF">
            <w:pPr>
              <w:pStyle w:val="P68B1DB1-Normal-pool-Table6"/>
              <w:spacing w:before="0" w:after="0"/>
              <w:rPr>
                <w:rFonts w:ascii="Simplified Arabic" w:hAnsi="Simplified Arabic" w:cs="Simplified Arabic" w:hint="cs"/>
                <w:b w:val="0"/>
                <w:bCs/>
              </w:rPr>
            </w:pPr>
            <w:r w:rsidRPr="00D25E3E">
              <w:rPr>
                <w:rFonts w:ascii="Simplified Arabic" w:hAnsi="Simplified Arabic" w:cs="Simplified Arabic" w:hint="cs"/>
                <w:b w:val="0"/>
                <w:bCs/>
              </w:rPr>
              <w:t>اجتماع الفريق العامل المفتوح العضوية عن بعد لمدة يومين (أربع جلسات، مدة كل منها ساعتان) مع التزويد بخدمات الترجمة الشفوية</w:t>
            </w:r>
          </w:p>
        </w:tc>
        <w:tc>
          <w:tcPr>
            <w:tcW w:w="1843" w:type="dxa"/>
            <w:tcBorders>
              <w:top w:val="single" w:sz="4" w:space="0" w:color="auto"/>
              <w:bottom w:val="single" w:sz="4" w:space="0" w:color="auto"/>
            </w:tcBorders>
          </w:tcPr>
          <w:p w14:paraId="36655F3D" w14:textId="14BDE666" w:rsidR="001F056A" w:rsidRPr="00D25E3E" w:rsidRDefault="003B6B46" w:rsidP="00AA29FF">
            <w:pPr>
              <w:pStyle w:val="P68B1DB1-Normal-pool-Table7"/>
              <w:spacing w:before="0" w:after="0"/>
              <w:jc w:val="right"/>
              <w:rPr>
                <w:rFonts w:ascii="Simplified Arabic" w:hAnsi="Simplified Arabic" w:cs="Simplified Arabic" w:hint="cs"/>
              </w:rPr>
            </w:pPr>
            <w:r w:rsidRPr="00D25E3E">
              <w:rPr>
                <w:rFonts w:ascii="Simplified Arabic" w:hAnsi="Simplified Arabic" w:cs="Simplified Arabic" w:hint="cs"/>
              </w:rPr>
              <w:t>180000 دولار أمريكي</w:t>
            </w:r>
          </w:p>
        </w:tc>
        <w:tc>
          <w:tcPr>
            <w:tcW w:w="2126" w:type="dxa"/>
            <w:tcBorders>
              <w:top w:val="single" w:sz="4" w:space="0" w:color="auto"/>
              <w:bottom w:val="single" w:sz="4" w:space="0" w:color="auto"/>
            </w:tcBorders>
          </w:tcPr>
          <w:p w14:paraId="6A0369EB" w14:textId="5E9E7FB3" w:rsidR="001F056A" w:rsidRPr="00D25E3E" w:rsidRDefault="003B6B46" w:rsidP="00AA29FF">
            <w:pPr>
              <w:pStyle w:val="P68B1DB1-Normal-pool-Table7"/>
              <w:spacing w:before="0" w:after="0"/>
              <w:jc w:val="right"/>
              <w:rPr>
                <w:rFonts w:ascii="Simplified Arabic" w:hAnsi="Simplified Arabic" w:cs="Simplified Arabic" w:hint="cs"/>
              </w:rPr>
            </w:pPr>
            <w:r w:rsidRPr="00D25E3E">
              <w:rPr>
                <w:rFonts w:ascii="Simplified Arabic" w:hAnsi="Simplified Arabic" w:cs="Simplified Arabic" w:hint="cs"/>
              </w:rPr>
              <w:t>470000 دولار أمريكي</w:t>
            </w:r>
          </w:p>
        </w:tc>
        <w:tc>
          <w:tcPr>
            <w:tcW w:w="3685" w:type="dxa"/>
            <w:tcBorders>
              <w:top w:val="single" w:sz="4" w:space="0" w:color="auto"/>
              <w:bottom w:val="single" w:sz="4" w:space="0" w:color="auto"/>
            </w:tcBorders>
          </w:tcPr>
          <w:p w14:paraId="20035682" w14:textId="77777777" w:rsidR="001F056A" w:rsidRPr="00D25E3E" w:rsidRDefault="001F056A" w:rsidP="00AA29FF">
            <w:pPr>
              <w:pStyle w:val="Normal-pool-Table"/>
              <w:spacing w:before="0" w:after="0"/>
              <w:rPr>
                <w:rFonts w:ascii="Simplified Arabic" w:hAnsi="Simplified Arabic" w:cs="Simplified Arabic" w:hint="cs"/>
                <w:sz w:val="16"/>
              </w:rPr>
            </w:pPr>
          </w:p>
        </w:tc>
      </w:tr>
      <w:tr w:rsidR="001F056A" w:rsidRPr="00D25E3E" w14:paraId="0B20F3B6" w14:textId="77777777">
        <w:trPr>
          <w:trHeight w:val="57"/>
          <w:jc w:val="right"/>
        </w:trPr>
        <w:tc>
          <w:tcPr>
            <w:tcW w:w="1843" w:type="dxa"/>
            <w:tcBorders>
              <w:top w:val="single" w:sz="4" w:space="0" w:color="auto"/>
              <w:bottom w:val="single" w:sz="12" w:space="0" w:color="auto"/>
            </w:tcBorders>
          </w:tcPr>
          <w:p w14:paraId="1730A7E1" w14:textId="555F53F4" w:rsidR="001F056A" w:rsidRPr="00D25E3E" w:rsidRDefault="003B6B46" w:rsidP="00AA29FF">
            <w:pPr>
              <w:pStyle w:val="P68B1DB1-Normal-pool-Table6"/>
              <w:spacing w:before="0" w:after="0"/>
              <w:rPr>
                <w:rFonts w:ascii="Simplified Arabic" w:hAnsi="Simplified Arabic" w:cs="Simplified Arabic" w:hint="cs"/>
              </w:rPr>
            </w:pPr>
            <w:r w:rsidRPr="00D25E3E">
              <w:rPr>
                <w:rFonts w:ascii="Simplified Arabic" w:hAnsi="Simplified Arabic" w:cs="Simplified Arabic" w:hint="cs"/>
                <w:b w:val="0"/>
                <w:bCs/>
              </w:rPr>
              <w:t>اجتماع الفريق العامل المفتوح العضوية عن بعد</w:t>
            </w:r>
            <w:r w:rsidRPr="00D25E3E">
              <w:rPr>
                <w:rFonts w:ascii="Simplified Arabic" w:hAnsi="Simplified Arabic" w:cs="Simplified Arabic" w:hint="cs"/>
              </w:rPr>
              <w:t xml:space="preserve"> </w:t>
            </w:r>
            <w:r w:rsidRPr="00D25E3E">
              <w:rPr>
                <w:rFonts w:ascii="Simplified Arabic" w:hAnsi="Simplified Arabic" w:cs="Simplified Arabic" w:hint="cs"/>
                <w:b w:val="0"/>
                <w:bCs/>
              </w:rPr>
              <w:t>لمدة يومين (أربع جلسات، مدة كل منها ساعتان) دون التزويد بخدمات الترجمة الشفوية</w:t>
            </w:r>
          </w:p>
        </w:tc>
        <w:tc>
          <w:tcPr>
            <w:tcW w:w="1843" w:type="dxa"/>
            <w:tcBorders>
              <w:top w:val="single" w:sz="4" w:space="0" w:color="auto"/>
              <w:bottom w:val="single" w:sz="12" w:space="0" w:color="auto"/>
            </w:tcBorders>
          </w:tcPr>
          <w:p w14:paraId="40A51C82" w14:textId="60A2A393" w:rsidR="001F056A" w:rsidRPr="00D25E3E" w:rsidRDefault="003B6B46" w:rsidP="00AA29FF">
            <w:pPr>
              <w:pStyle w:val="P68B1DB1-Normal-pool-Table7"/>
              <w:spacing w:before="0" w:after="0"/>
              <w:jc w:val="right"/>
              <w:rPr>
                <w:rFonts w:ascii="Simplified Arabic" w:hAnsi="Simplified Arabic" w:cs="Simplified Arabic" w:hint="cs"/>
              </w:rPr>
            </w:pPr>
            <w:r w:rsidRPr="00D25E3E">
              <w:rPr>
                <w:rFonts w:ascii="Simplified Arabic" w:hAnsi="Simplified Arabic" w:cs="Simplified Arabic" w:hint="cs"/>
              </w:rPr>
              <w:t>113000 دولار أمريكي</w:t>
            </w:r>
          </w:p>
        </w:tc>
        <w:tc>
          <w:tcPr>
            <w:tcW w:w="2126" w:type="dxa"/>
            <w:tcBorders>
              <w:top w:val="single" w:sz="4" w:space="0" w:color="auto"/>
              <w:bottom w:val="single" w:sz="12" w:space="0" w:color="auto"/>
            </w:tcBorders>
          </w:tcPr>
          <w:p w14:paraId="194382CB" w14:textId="5BA565E7" w:rsidR="001F056A" w:rsidRPr="00D25E3E" w:rsidRDefault="003B6B46" w:rsidP="00AA29FF">
            <w:pPr>
              <w:pStyle w:val="P68B1DB1-Normal-pool-Table7"/>
              <w:spacing w:before="0" w:after="0"/>
              <w:jc w:val="right"/>
              <w:rPr>
                <w:rFonts w:ascii="Simplified Arabic" w:hAnsi="Simplified Arabic" w:cs="Simplified Arabic" w:hint="cs"/>
              </w:rPr>
            </w:pPr>
            <w:r w:rsidRPr="00D25E3E">
              <w:rPr>
                <w:rFonts w:ascii="Simplified Arabic" w:hAnsi="Simplified Arabic" w:cs="Simplified Arabic" w:hint="cs"/>
              </w:rPr>
              <w:t>537000 دولار أمريكي</w:t>
            </w:r>
          </w:p>
        </w:tc>
        <w:tc>
          <w:tcPr>
            <w:tcW w:w="3685" w:type="dxa"/>
            <w:tcBorders>
              <w:top w:val="single" w:sz="4" w:space="0" w:color="auto"/>
              <w:bottom w:val="single" w:sz="12" w:space="0" w:color="auto"/>
            </w:tcBorders>
          </w:tcPr>
          <w:p w14:paraId="4DFD57DF" w14:textId="77777777" w:rsidR="001F056A" w:rsidRPr="00D25E3E" w:rsidRDefault="001F056A" w:rsidP="00AA29FF">
            <w:pPr>
              <w:pStyle w:val="Normal-pool-Table"/>
              <w:spacing w:before="0" w:after="0"/>
              <w:rPr>
                <w:rFonts w:ascii="Simplified Arabic" w:hAnsi="Simplified Arabic" w:cs="Simplified Arabic" w:hint="cs"/>
                <w:sz w:val="16"/>
              </w:rPr>
            </w:pPr>
          </w:p>
        </w:tc>
      </w:tr>
    </w:tbl>
    <w:p w14:paraId="2A8B6CC0" w14:textId="0FF60FE8" w:rsidR="001F056A" w:rsidRDefault="003B6B46">
      <w:pPr>
        <w:pStyle w:val="P68B1DB1-Normal-pool4"/>
        <w:tabs>
          <w:tab w:val="clear" w:pos="624"/>
          <w:tab w:val="clear" w:pos="1871"/>
          <w:tab w:val="clear" w:pos="2495"/>
          <w:tab w:val="clear" w:pos="3119"/>
          <w:tab w:val="clear" w:pos="3742"/>
          <w:tab w:val="clear" w:pos="4366"/>
          <w:tab w:val="clear" w:pos="4990"/>
          <w:tab w:val="left" w:pos="1814"/>
          <w:tab w:val="left" w:pos="2381"/>
          <w:tab w:val="left" w:pos="2948"/>
          <w:tab w:val="left" w:pos="3515"/>
          <w:tab w:val="left" w:pos="4082"/>
        </w:tabs>
        <w:spacing w:before="60" w:after="120"/>
        <w:ind w:left="1247"/>
      </w:pPr>
      <w:r>
        <w:tab/>
      </w:r>
      <w:r>
        <w:rPr>
          <w:i/>
        </w:rPr>
        <w:t>الاختصارات:</w:t>
      </w:r>
      <w:r>
        <w:t xml:space="preserve"> MOP – اجتماع الأطراف؛ OEWG – الفريق العامل المفتوح العضوية.</w:t>
      </w:r>
    </w:p>
    <w:p w14:paraId="252BBCEF" w14:textId="46F4ED9F" w:rsidR="001F056A" w:rsidRPr="00D25E3E" w:rsidRDefault="003B6B46">
      <w:pPr>
        <w:pStyle w:val="Normalnumber"/>
        <w:tabs>
          <w:tab w:val="clear" w:pos="1247"/>
          <w:tab w:val="clear" w:pos="1814"/>
          <w:tab w:val="clear" w:pos="2381"/>
          <w:tab w:val="clear" w:pos="2948"/>
          <w:tab w:val="clear" w:pos="3515"/>
        </w:tabs>
        <w:ind w:left="1247"/>
        <w:rPr>
          <w:rFonts w:ascii="Simplified Arabic" w:hAnsi="Simplified Arabic" w:cs="Simplified Arabic" w:hint="cs"/>
          <w:sz w:val="24"/>
          <w:szCs w:val="24"/>
        </w:rPr>
      </w:pPr>
      <w:r w:rsidRPr="00D25E3E">
        <w:rPr>
          <w:rFonts w:ascii="Simplified Arabic" w:hAnsi="Simplified Arabic" w:cs="Simplified Arabic" w:hint="cs"/>
          <w:sz w:val="24"/>
          <w:szCs w:val="24"/>
        </w:rPr>
        <w:lastRenderedPageBreak/>
        <w:t>تعقد لجنة التنفيذ اجتماعين سنويًا، بالتزامن مع اجتماع الفريق العامل المفتوح العضوية واجتماع الأطراف. نظرًا لعبء العمل الثقيل الذي تتحمله اللجنة في السنوات الأخيرة، والذييُعزى أساسًا إلى طلبات مراجعة خطوط الأساس لمركبات الكربون الهيدروفلورية المقدّمة من عدد من الدول الأطراف العاملة بموجب المادة 5، زيدت مدة اجتماعات اللجنة إلى يومين. بالإضافة إلى عوامل التكلفة المذكورة في الفقرة 31 أعلاه، تتأثر تكاليف اجتماعات اللجنة أيضًا بالعوامل التالية:</w:t>
      </w:r>
    </w:p>
    <w:p w14:paraId="19FBF132" w14:textId="5E1D3996" w:rsidR="001F056A" w:rsidRPr="00D25E3E" w:rsidRDefault="003B6B46">
      <w:pPr>
        <w:pStyle w:val="Normalnumber"/>
        <w:numPr>
          <w:ilvl w:val="1"/>
          <w:numId w:val="1"/>
        </w:numPr>
        <w:tabs>
          <w:tab w:val="clear" w:pos="1247"/>
          <w:tab w:val="clear" w:pos="1814"/>
          <w:tab w:val="clear" w:pos="2381"/>
          <w:tab w:val="clear" w:pos="2495"/>
          <w:tab w:val="clear" w:pos="2948"/>
          <w:tab w:val="clear" w:pos="3515"/>
          <w:tab w:val="num" w:pos="624"/>
        </w:tabs>
        <w:ind w:left="1247" w:firstLine="624"/>
        <w:rPr>
          <w:rFonts w:ascii="Simplified Arabic" w:hAnsi="Simplified Arabic" w:cs="Simplified Arabic" w:hint="cs"/>
          <w:sz w:val="24"/>
          <w:szCs w:val="24"/>
        </w:rPr>
      </w:pPr>
      <w:r w:rsidRPr="00D25E3E">
        <w:rPr>
          <w:rFonts w:ascii="Simplified Arabic" w:hAnsi="Simplified Arabic" w:cs="Simplified Arabic" w:hint="cs"/>
          <w:sz w:val="24"/>
          <w:szCs w:val="24"/>
        </w:rPr>
        <w:t>تكوين اللجنة من حيث العضوية، الذي يؤثر في عدد اللغات المطلوبة للترجمة الشفوية وترجمة الوثائق السابقة للدورة؛</w:t>
      </w:r>
    </w:p>
    <w:p w14:paraId="7160D2DE" w14:textId="431BAE42" w:rsidR="001F056A" w:rsidRPr="00D25E3E" w:rsidRDefault="003B6B46">
      <w:pPr>
        <w:pStyle w:val="Normalnumber"/>
        <w:numPr>
          <w:ilvl w:val="1"/>
          <w:numId w:val="1"/>
        </w:numPr>
        <w:tabs>
          <w:tab w:val="clear" w:pos="1247"/>
          <w:tab w:val="clear" w:pos="1814"/>
          <w:tab w:val="clear" w:pos="2381"/>
          <w:tab w:val="clear" w:pos="2495"/>
          <w:tab w:val="clear" w:pos="2948"/>
          <w:tab w:val="clear" w:pos="3515"/>
          <w:tab w:val="num" w:pos="624"/>
        </w:tabs>
        <w:ind w:left="1247" w:firstLine="624"/>
        <w:rPr>
          <w:rFonts w:ascii="Simplified Arabic" w:hAnsi="Simplified Arabic" w:cs="Simplified Arabic" w:hint="cs"/>
          <w:sz w:val="24"/>
          <w:szCs w:val="24"/>
        </w:rPr>
      </w:pPr>
      <w:r w:rsidRPr="00D25E3E">
        <w:rPr>
          <w:rFonts w:ascii="Simplified Arabic" w:hAnsi="Simplified Arabic" w:cs="Simplified Arabic" w:hint="cs"/>
          <w:sz w:val="24"/>
          <w:szCs w:val="24"/>
        </w:rPr>
        <w:t>تكاليف سفر الأعضاء؛</w:t>
      </w:r>
    </w:p>
    <w:p w14:paraId="2A868855" w14:textId="1189DD73" w:rsidR="001F056A" w:rsidRPr="00D25E3E" w:rsidRDefault="003B6B46">
      <w:pPr>
        <w:pStyle w:val="Normalnumber"/>
        <w:numPr>
          <w:ilvl w:val="1"/>
          <w:numId w:val="1"/>
        </w:numPr>
        <w:tabs>
          <w:tab w:val="clear" w:pos="1247"/>
          <w:tab w:val="clear" w:pos="1814"/>
          <w:tab w:val="clear" w:pos="2381"/>
          <w:tab w:val="clear" w:pos="2495"/>
          <w:tab w:val="clear" w:pos="2948"/>
          <w:tab w:val="clear" w:pos="3515"/>
          <w:tab w:val="num" w:pos="624"/>
        </w:tabs>
        <w:ind w:left="1247" w:firstLine="624"/>
        <w:rPr>
          <w:rFonts w:ascii="Simplified Arabic" w:hAnsi="Simplified Arabic" w:cs="Simplified Arabic" w:hint="cs"/>
          <w:sz w:val="24"/>
          <w:szCs w:val="24"/>
        </w:rPr>
      </w:pPr>
      <w:r w:rsidRPr="00D25E3E">
        <w:rPr>
          <w:rFonts w:ascii="Simplified Arabic" w:hAnsi="Simplified Arabic" w:cs="Simplified Arabic" w:hint="cs"/>
          <w:sz w:val="24"/>
          <w:szCs w:val="24"/>
        </w:rPr>
        <w:t>عدد الحالات المعروضة على اللجنة للنظر فيها، وهو ما يؤثر في حجم الوثائق، وقد أثر في الآونة الأخيرة أيضًا في مدة الاجتماع.</w:t>
      </w:r>
    </w:p>
    <w:p w14:paraId="6D71846A" w14:textId="53AB12D9" w:rsidR="001F056A" w:rsidRPr="00D25E3E" w:rsidRDefault="003B6B46">
      <w:pPr>
        <w:pStyle w:val="Normalnumber"/>
        <w:tabs>
          <w:tab w:val="clear" w:pos="1247"/>
          <w:tab w:val="clear" w:pos="1814"/>
          <w:tab w:val="clear" w:pos="2381"/>
          <w:tab w:val="clear" w:pos="2948"/>
          <w:tab w:val="clear" w:pos="3515"/>
        </w:tabs>
        <w:ind w:left="1247"/>
        <w:rPr>
          <w:rFonts w:ascii="Simplified Arabic" w:hAnsi="Simplified Arabic" w:cs="Simplified Arabic" w:hint="cs"/>
          <w:sz w:val="24"/>
          <w:szCs w:val="24"/>
        </w:rPr>
      </w:pPr>
      <w:r w:rsidRPr="00D25E3E">
        <w:rPr>
          <w:rFonts w:ascii="Simplified Arabic" w:hAnsi="Simplified Arabic" w:cs="Simplified Arabic" w:hint="cs"/>
          <w:sz w:val="24"/>
          <w:szCs w:val="24"/>
        </w:rPr>
        <w:t>يُلخّص الجدول 3 الوفورات التقديرية والآثار المترتبة على مختلف طرائق انعقاد الاجتماعات الموضّحة أعلاه.</w:t>
      </w:r>
    </w:p>
    <w:p w14:paraId="7E87C4F2" w14:textId="1548DCB2" w:rsidR="001F056A" w:rsidRPr="00AA29FF" w:rsidRDefault="003B6B46">
      <w:pPr>
        <w:pStyle w:val="Titletable"/>
        <w:spacing w:before="240"/>
        <w:rPr>
          <w:sz w:val="24"/>
          <w:szCs w:val="24"/>
        </w:rPr>
      </w:pPr>
      <w:r w:rsidRPr="002C0122">
        <w:rPr>
          <w:rFonts w:ascii="Simplified Arabic" w:hAnsi="Simplified Arabic" w:cs="Simplified Arabic" w:hint="cs"/>
          <w:b w:val="0"/>
          <w:sz w:val="24"/>
          <w:szCs w:val="24"/>
        </w:rPr>
        <w:t>الجدول 3</w:t>
      </w:r>
      <w:r>
        <w:rPr>
          <w:b w:val="0"/>
        </w:rPr>
        <w:t xml:space="preserve"> </w:t>
      </w:r>
      <w:r>
        <w:rPr>
          <w:b w:val="0"/>
        </w:rPr>
        <w:br/>
      </w:r>
      <w:r w:rsidRPr="00AA29FF">
        <w:rPr>
          <w:rFonts w:ascii="Simplified Arabic" w:hAnsi="Simplified Arabic" w:cs="Simplified Arabic" w:hint="cs"/>
          <w:b w:val="0"/>
          <w:bCs/>
          <w:sz w:val="24"/>
          <w:szCs w:val="24"/>
        </w:rPr>
        <w:t>التكاليف المُقدَّرة لاجتماعات لجنة التنفيذ وفقًا لطرائق انعقادها الحالية والبديلة</w:t>
      </w:r>
    </w:p>
    <w:tbl>
      <w:tblPr>
        <w:tblStyle w:val="TableGrid"/>
        <w:bidiVisual/>
        <w:tblW w:w="5000" w:type="pct"/>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00"/>
        <w:gridCol w:w="1966"/>
        <w:gridCol w:w="1971"/>
        <w:gridCol w:w="3260"/>
      </w:tblGrid>
      <w:tr w:rsidR="001F056A" w:rsidRPr="00D25E3E" w14:paraId="182B85CD" w14:textId="77777777">
        <w:trPr>
          <w:trHeight w:val="57"/>
          <w:tblHeader/>
          <w:jc w:val="right"/>
        </w:trPr>
        <w:tc>
          <w:tcPr>
            <w:tcW w:w="2300" w:type="dxa"/>
            <w:tcBorders>
              <w:top w:val="single" w:sz="4" w:space="0" w:color="auto"/>
              <w:bottom w:val="single" w:sz="12" w:space="0" w:color="auto"/>
            </w:tcBorders>
            <w:vAlign w:val="bottom"/>
            <w:hideMark/>
          </w:tcPr>
          <w:p w14:paraId="20A1A641" w14:textId="77777777" w:rsidR="001F056A" w:rsidRPr="00D25E3E" w:rsidRDefault="003B6B46">
            <w:pPr>
              <w:pStyle w:val="P68B1DB1-Normal-pool-Table1"/>
              <w:spacing w:after="80"/>
              <w:rPr>
                <w:rFonts w:ascii="Simplified Arabic" w:hAnsi="Simplified Arabic" w:cs="Simplified Arabic" w:hint="cs"/>
              </w:rPr>
            </w:pPr>
            <w:r w:rsidRPr="00D25E3E">
              <w:rPr>
                <w:rFonts w:ascii="Simplified Arabic" w:hAnsi="Simplified Arabic" w:cs="Simplified Arabic" w:hint="cs"/>
              </w:rPr>
              <w:t>الطريقة</w:t>
            </w:r>
          </w:p>
        </w:tc>
        <w:tc>
          <w:tcPr>
            <w:tcW w:w="1966" w:type="dxa"/>
            <w:tcBorders>
              <w:top w:val="single" w:sz="4" w:space="0" w:color="auto"/>
              <w:bottom w:val="single" w:sz="12" w:space="0" w:color="auto"/>
            </w:tcBorders>
            <w:vAlign w:val="bottom"/>
            <w:hideMark/>
          </w:tcPr>
          <w:p w14:paraId="7473D351" w14:textId="389556FD" w:rsidR="001F056A" w:rsidRPr="00D25E3E" w:rsidRDefault="003B6B46">
            <w:pPr>
              <w:pStyle w:val="P68B1DB1-Normal-pool-Table1"/>
              <w:spacing w:after="80"/>
              <w:jc w:val="right"/>
              <w:rPr>
                <w:rFonts w:ascii="Simplified Arabic" w:hAnsi="Simplified Arabic" w:cs="Simplified Arabic" w:hint="cs"/>
              </w:rPr>
            </w:pPr>
            <w:r w:rsidRPr="00D25E3E">
              <w:rPr>
                <w:rFonts w:ascii="Simplified Arabic" w:hAnsi="Simplified Arabic" w:cs="Simplified Arabic" w:hint="cs"/>
              </w:rPr>
              <w:t>التكلفة الاسترشادية لخدمات المؤتمرات لكل اجتماع</w:t>
            </w:r>
          </w:p>
        </w:tc>
        <w:tc>
          <w:tcPr>
            <w:tcW w:w="1971" w:type="dxa"/>
            <w:tcBorders>
              <w:top w:val="single" w:sz="4" w:space="0" w:color="auto"/>
              <w:bottom w:val="single" w:sz="12" w:space="0" w:color="auto"/>
            </w:tcBorders>
            <w:vAlign w:val="bottom"/>
            <w:hideMark/>
          </w:tcPr>
          <w:p w14:paraId="1A7EC41D" w14:textId="0C24D6FF" w:rsidR="001F056A" w:rsidRPr="00D25E3E" w:rsidRDefault="003B6B46">
            <w:pPr>
              <w:pStyle w:val="P68B1DB1-Normal-pool-Table1"/>
              <w:spacing w:after="80"/>
              <w:jc w:val="right"/>
              <w:rPr>
                <w:rFonts w:ascii="Simplified Arabic" w:hAnsi="Simplified Arabic" w:cs="Simplified Arabic" w:hint="cs"/>
              </w:rPr>
            </w:pPr>
            <w:r w:rsidRPr="00D25E3E">
              <w:rPr>
                <w:rFonts w:ascii="Simplified Arabic" w:hAnsi="Simplified Arabic" w:cs="Simplified Arabic" w:hint="cs"/>
              </w:rPr>
              <w:t xml:space="preserve">الوفورات الاسترشادية في تكاليف خدمات المؤتمرات لكل اجتماع </w:t>
            </w:r>
          </w:p>
        </w:tc>
        <w:tc>
          <w:tcPr>
            <w:tcW w:w="3260" w:type="dxa"/>
            <w:tcBorders>
              <w:top w:val="single" w:sz="4" w:space="0" w:color="auto"/>
              <w:bottom w:val="single" w:sz="12" w:space="0" w:color="auto"/>
            </w:tcBorders>
            <w:vAlign w:val="bottom"/>
            <w:hideMark/>
          </w:tcPr>
          <w:p w14:paraId="0C363F6A" w14:textId="50A86290" w:rsidR="001F056A" w:rsidRPr="00D25E3E" w:rsidRDefault="003B6B46">
            <w:pPr>
              <w:pStyle w:val="P68B1DB1-Normal-pool-Table1"/>
              <w:spacing w:after="80"/>
              <w:rPr>
                <w:rFonts w:ascii="Simplified Arabic" w:hAnsi="Simplified Arabic" w:cs="Simplified Arabic" w:hint="cs"/>
              </w:rPr>
            </w:pPr>
            <w:r w:rsidRPr="00D25E3E">
              <w:rPr>
                <w:rFonts w:ascii="Simplified Arabic" w:hAnsi="Simplified Arabic" w:cs="Simplified Arabic" w:hint="cs"/>
              </w:rPr>
              <w:t>الملاحظات</w:t>
            </w:r>
          </w:p>
        </w:tc>
      </w:tr>
      <w:tr w:rsidR="001F056A" w:rsidRPr="00D25E3E" w14:paraId="3F086E1C" w14:textId="77777777">
        <w:trPr>
          <w:trHeight w:val="57"/>
          <w:jc w:val="right"/>
        </w:trPr>
        <w:tc>
          <w:tcPr>
            <w:tcW w:w="2300" w:type="dxa"/>
            <w:tcBorders>
              <w:top w:val="single" w:sz="12" w:space="0" w:color="auto"/>
              <w:bottom w:val="single" w:sz="4" w:space="0" w:color="auto"/>
            </w:tcBorders>
            <w:hideMark/>
          </w:tcPr>
          <w:p w14:paraId="41555209" w14:textId="59AEB0EC" w:rsidR="001F056A" w:rsidRPr="00D25E3E" w:rsidRDefault="003B6B46">
            <w:pPr>
              <w:pStyle w:val="P68B1DB1-Normal-pool-Table6"/>
              <w:spacing w:after="80"/>
              <w:rPr>
                <w:rFonts w:ascii="Simplified Arabic" w:hAnsi="Simplified Arabic" w:cs="Simplified Arabic" w:hint="cs"/>
                <w:b w:val="0"/>
                <w:bCs/>
              </w:rPr>
            </w:pPr>
            <w:r w:rsidRPr="00D25E3E">
              <w:rPr>
                <w:rFonts w:ascii="Simplified Arabic" w:hAnsi="Simplified Arabic" w:cs="Simplified Arabic" w:hint="cs"/>
                <w:b w:val="0"/>
                <w:bCs/>
              </w:rPr>
              <w:t>الممارسة الحالية: اجتماع لجنة التنفيذ لمدة يومين، حضوريًا، مع التزويد بخدمات الترجمة الشفوية</w:t>
            </w:r>
          </w:p>
        </w:tc>
        <w:tc>
          <w:tcPr>
            <w:tcW w:w="1966" w:type="dxa"/>
            <w:tcBorders>
              <w:top w:val="single" w:sz="12" w:space="0" w:color="auto"/>
              <w:bottom w:val="single" w:sz="4" w:space="0" w:color="auto"/>
            </w:tcBorders>
            <w:hideMark/>
          </w:tcPr>
          <w:p w14:paraId="01390B33" w14:textId="34664D89" w:rsidR="001F056A" w:rsidRPr="00D25E3E" w:rsidRDefault="003B6B46">
            <w:pPr>
              <w:pStyle w:val="P68B1DB1-Normal-pool-Table7"/>
              <w:spacing w:after="80"/>
              <w:jc w:val="right"/>
              <w:rPr>
                <w:rFonts w:ascii="Simplified Arabic" w:hAnsi="Simplified Arabic" w:cs="Simplified Arabic" w:hint="cs"/>
              </w:rPr>
            </w:pPr>
            <w:r w:rsidRPr="00D25E3E">
              <w:rPr>
                <w:rFonts w:ascii="Simplified Arabic" w:hAnsi="Simplified Arabic" w:cs="Simplified Arabic" w:hint="cs"/>
              </w:rPr>
              <w:t xml:space="preserve">100000 دولار أمريكي </w:t>
            </w:r>
          </w:p>
        </w:tc>
        <w:tc>
          <w:tcPr>
            <w:tcW w:w="1971" w:type="dxa"/>
            <w:tcBorders>
              <w:top w:val="single" w:sz="12" w:space="0" w:color="auto"/>
              <w:bottom w:val="single" w:sz="4" w:space="0" w:color="auto"/>
            </w:tcBorders>
            <w:hideMark/>
          </w:tcPr>
          <w:p w14:paraId="046F5489" w14:textId="1DC633F0" w:rsidR="001F056A" w:rsidRPr="00D25E3E" w:rsidRDefault="003B6B46">
            <w:pPr>
              <w:pStyle w:val="P68B1DB1-Normal-pool-Table7"/>
              <w:spacing w:after="80"/>
              <w:jc w:val="right"/>
              <w:rPr>
                <w:rFonts w:ascii="Simplified Arabic" w:hAnsi="Simplified Arabic" w:cs="Simplified Arabic" w:hint="cs"/>
              </w:rPr>
            </w:pPr>
            <w:r w:rsidRPr="00D25E3E">
              <w:rPr>
                <w:rFonts w:ascii="Simplified Arabic" w:hAnsi="Simplified Arabic" w:cs="Simplified Arabic" w:hint="cs"/>
              </w:rPr>
              <w:t>لا ينطبق</w:t>
            </w:r>
          </w:p>
        </w:tc>
        <w:tc>
          <w:tcPr>
            <w:tcW w:w="3260" w:type="dxa"/>
            <w:tcBorders>
              <w:top w:val="single" w:sz="12" w:space="0" w:color="auto"/>
              <w:bottom w:val="single" w:sz="4" w:space="0" w:color="auto"/>
            </w:tcBorders>
            <w:hideMark/>
          </w:tcPr>
          <w:p w14:paraId="3C26FEC4" w14:textId="7AB0663F" w:rsidR="001F056A" w:rsidRPr="00D25E3E" w:rsidRDefault="003B6B46">
            <w:pPr>
              <w:pStyle w:val="P68B1DB1-Normal-pool-Table7"/>
              <w:spacing w:after="80"/>
              <w:rPr>
                <w:rFonts w:ascii="Simplified Arabic" w:hAnsi="Simplified Arabic" w:cs="Simplified Arabic" w:hint="cs"/>
              </w:rPr>
            </w:pPr>
            <w:r w:rsidRPr="00D25E3E">
              <w:rPr>
                <w:rFonts w:ascii="Simplified Arabic" w:hAnsi="Simplified Arabic" w:cs="Simplified Arabic" w:hint="cs"/>
              </w:rPr>
              <w:t>تقديرات تستند إلى تكاليف الاجتماعات الواردة في الوثيقة UNEP/OzL.Pro.38/4</w:t>
            </w:r>
          </w:p>
        </w:tc>
      </w:tr>
      <w:tr w:rsidR="001F056A" w:rsidRPr="00D25E3E" w14:paraId="3B641409" w14:textId="77777777">
        <w:trPr>
          <w:trHeight w:val="57"/>
          <w:jc w:val="right"/>
        </w:trPr>
        <w:tc>
          <w:tcPr>
            <w:tcW w:w="2300" w:type="dxa"/>
            <w:tcBorders>
              <w:top w:val="single" w:sz="4" w:space="0" w:color="auto"/>
              <w:bottom w:val="single" w:sz="4" w:space="0" w:color="auto"/>
            </w:tcBorders>
          </w:tcPr>
          <w:p w14:paraId="4174F7E5" w14:textId="729192AA" w:rsidR="001F056A" w:rsidRPr="00D25E3E" w:rsidRDefault="003B6B46">
            <w:pPr>
              <w:pStyle w:val="P68B1DB1-Normal-pool-Table6"/>
              <w:spacing w:after="80"/>
              <w:rPr>
                <w:rFonts w:ascii="Simplified Arabic" w:hAnsi="Simplified Arabic" w:cs="Simplified Arabic" w:hint="cs"/>
                <w:b w:val="0"/>
                <w:bCs/>
              </w:rPr>
            </w:pPr>
            <w:r w:rsidRPr="00D25E3E">
              <w:rPr>
                <w:rFonts w:ascii="Simplified Arabic" w:hAnsi="Simplified Arabic" w:cs="Simplified Arabic" w:hint="cs"/>
                <w:b w:val="0"/>
                <w:bCs/>
              </w:rPr>
              <w:t>اجتماع لجنة التنفيذ لمدة يوم واحد، حضوريًا، مع التزويد بخدمات الترجمة الشفوية</w:t>
            </w:r>
          </w:p>
        </w:tc>
        <w:tc>
          <w:tcPr>
            <w:tcW w:w="1966" w:type="dxa"/>
            <w:tcBorders>
              <w:top w:val="single" w:sz="4" w:space="0" w:color="auto"/>
              <w:bottom w:val="single" w:sz="4" w:space="0" w:color="auto"/>
            </w:tcBorders>
          </w:tcPr>
          <w:p w14:paraId="3F56F039" w14:textId="7AEA9802" w:rsidR="001F056A" w:rsidRPr="00D25E3E" w:rsidRDefault="003B6B46">
            <w:pPr>
              <w:pStyle w:val="P68B1DB1-Normal-pool-Table7"/>
              <w:spacing w:after="80"/>
              <w:jc w:val="right"/>
              <w:rPr>
                <w:rFonts w:ascii="Simplified Arabic" w:hAnsi="Simplified Arabic" w:cs="Simplified Arabic" w:hint="cs"/>
              </w:rPr>
            </w:pPr>
            <w:r w:rsidRPr="00D25E3E">
              <w:rPr>
                <w:rFonts w:ascii="Simplified Arabic" w:hAnsi="Simplified Arabic" w:cs="Simplified Arabic" w:hint="cs"/>
              </w:rPr>
              <w:t xml:space="preserve">85000 دولار أمريكي </w:t>
            </w:r>
          </w:p>
        </w:tc>
        <w:tc>
          <w:tcPr>
            <w:tcW w:w="1971" w:type="dxa"/>
            <w:tcBorders>
              <w:top w:val="single" w:sz="4" w:space="0" w:color="auto"/>
              <w:bottom w:val="single" w:sz="4" w:space="0" w:color="auto"/>
            </w:tcBorders>
          </w:tcPr>
          <w:p w14:paraId="054A80FE" w14:textId="1AB5E220" w:rsidR="001F056A" w:rsidRPr="00D25E3E" w:rsidRDefault="003B6B46">
            <w:pPr>
              <w:pStyle w:val="P68B1DB1-Normal-pool-Table7"/>
              <w:spacing w:after="80"/>
              <w:jc w:val="right"/>
              <w:rPr>
                <w:rFonts w:ascii="Simplified Arabic" w:hAnsi="Simplified Arabic" w:cs="Simplified Arabic" w:hint="cs"/>
              </w:rPr>
            </w:pPr>
            <w:r w:rsidRPr="00D25E3E">
              <w:rPr>
                <w:rFonts w:ascii="Simplified Arabic" w:hAnsi="Simplified Arabic" w:cs="Simplified Arabic" w:hint="cs"/>
              </w:rPr>
              <w:t>15000 دولار أمريكي</w:t>
            </w:r>
          </w:p>
        </w:tc>
        <w:tc>
          <w:tcPr>
            <w:tcW w:w="3260" w:type="dxa"/>
            <w:tcBorders>
              <w:top w:val="single" w:sz="4" w:space="0" w:color="auto"/>
              <w:bottom w:val="single" w:sz="4" w:space="0" w:color="auto"/>
            </w:tcBorders>
          </w:tcPr>
          <w:p w14:paraId="1643524A" w14:textId="645D4DD0" w:rsidR="001F056A" w:rsidRPr="00D25E3E" w:rsidRDefault="003B6B46">
            <w:pPr>
              <w:pStyle w:val="P68B1DB1-Normal-pool-Table7"/>
              <w:spacing w:after="80"/>
              <w:rPr>
                <w:rFonts w:ascii="Simplified Arabic" w:hAnsi="Simplified Arabic" w:cs="Simplified Arabic" w:hint="cs"/>
              </w:rPr>
            </w:pPr>
            <w:r w:rsidRPr="00D25E3E">
              <w:rPr>
                <w:rFonts w:ascii="Simplified Arabic" w:hAnsi="Simplified Arabic" w:cs="Simplified Arabic" w:hint="cs"/>
              </w:rPr>
              <w:t>متوسط تكلفة كل اجتماع عُقد في عام 2024، مع تعديلها مراعاةً للتضخم بما يتناسب مع عقد الاجتماعات في عام 2027</w:t>
            </w:r>
          </w:p>
          <w:p w14:paraId="2FB89555" w14:textId="6A7F037F" w:rsidR="001F056A" w:rsidRPr="00D25E3E" w:rsidRDefault="003B6B46">
            <w:pPr>
              <w:pStyle w:val="P68B1DB1-Normal-pool-Table7"/>
              <w:spacing w:after="80"/>
              <w:rPr>
                <w:rFonts w:ascii="Simplified Arabic" w:hAnsi="Simplified Arabic" w:cs="Simplified Arabic" w:hint="cs"/>
              </w:rPr>
            </w:pPr>
            <w:r w:rsidRPr="00D25E3E">
              <w:rPr>
                <w:rFonts w:ascii="Simplified Arabic" w:hAnsi="Simplified Arabic" w:cs="Simplified Arabic" w:hint="cs"/>
              </w:rPr>
              <w:t>في عام 2024، تجاوزت تكاليف الترجمة الشفوية تكاليف إعداد الوثائق</w:t>
            </w:r>
          </w:p>
          <w:p w14:paraId="5745BD69" w14:textId="22A9A3E3" w:rsidR="001F056A" w:rsidRPr="00D25E3E" w:rsidRDefault="003B6B46">
            <w:pPr>
              <w:pStyle w:val="P68B1DB1-Normal-pool-Table7"/>
              <w:spacing w:after="80"/>
              <w:rPr>
                <w:rFonts w:ascii="Simplified Arabic" w:hAnsi="Simplified Arabic" w:cs="Simplified Arabic" w:hint="cs"/>
              </w:rPr>
            </w:pPr>
            <w:r w:rsidRPr="00D25E3E">
              <w:rPr>
                <w:rFonts w:ascii="Simplified Arabic" w:hAnsi="Simplified Arabic" w:cs="Simplified Arabic" w:hint="cs"/>
              </w:rPr>
              <w:t>وفورات ناتجة عن الترجمة الشفوية واستخدام مكان الاجتماع وتقليص أيام تقديم الخدمات؛ مع عدم تغيير تكاليف إعداد الوثائق؛ وبدل إقامة يومي ليوم واحد (2000 دولار أمريكي للأعضاء المشمولين بالمادة 5)</w:t>
            </w:r>
          </w:p>
          <w:p w14:paraId="298055B0" w14:textId="7DEF2D4B" w:rsidR="001F056A" w:rsidRPr="00D25E3E" w:rsidRDefault="003B6B46">
            <w:pPr>
              <w:pStyle w:val="P68B1DB1-Normal-pool-Table7"/>
              <w:spacing w:after="80"/>
              <w:rPr>
                <w:rFonts w:ascii="Simplified Arabic" w:hAnsi="Simplified Arabic" w:cs="Simplified Arabic" w:hint="cs"/>
              </w:rPr>
            </w:pPr>
            <w:r w:rsidRPr="00D25E3E">
              <w:rPr>
                <w:rFonts w:ascii="Simplified Arabic" w:hAnsi="Simplified Arabic" w:cs="Simplified Arabic" w:hint="cs"/>
              </w:rPr>
              <w:t>المخاطر: عدم كفاية الوقت في السنوات التي تشهد عددًا كبيرًا من الحالات المعروضة على اللجنة</w:t>
            </w:r>
          </w:p>
        </w:tc>
      </w:tr>
      <w:tr w:rsidR="001F056A" w:rsidRPr="00D25E3E" w14:paraId="23071D79" w14:textId="77777777">
        <w:trPr>
          <w:trHeight w:val="57"/>
          <w:jc w:val="right"/>
        </w:trPr>
        <w:tc>
          <w:tcPr>
            <w:tcW w:w="2300" w:type="dxa"/>
            <w:tcBorders>
              <w:top w:val="single" w:sz="4" w:space="0" w:color="auto"/>
              <w:bottom w:val="single" w:sz="4" w:space="0" w:color="auto"/>
            </w:tcBorders>
          </w:tcPr>
          <w:p w14:paraId="0961619C" w14:textId="03D20DC9" w:rsidR="001F056A" w:rsidRPr="00412A2D" w:rsidRDefault="003B6B46">
            <w:pPr>
              <w:pStyle w:val="P68B1DB1-Normal-pool-Table6"/>
              <w:spacing w:after="80"/>
              <w:rPr>
                <w:rFonts w:ascii="Simplified Arabic" w:hAnsi="Simplified Arabic" w:cs="Simplified Arabic" w:hint="cs"/>
                <w:b w:val="0"/>
                <w:bCs/>
              </w:rPr>
            </w:pPr>
            <w:r w:rsidRPr="00412A2D">
              <w:rPr>
                <w:rFonts w:ascii="Simplified Arabic" w:hAnsi="Simplified Arabic" w:cs="Simplified Arabic" w:hint="cs"/>
                <w:b w:val="0"/>
                <w:bCs/>
              </w:rPr>
              <w:t xml:space="preserve">اجتماع لجنة التنفيذ لمدة يوم واحد، حضوريًا، دون التزويد </w:t>
            </w:r>
            <w:r w:rsidRPr="00412A2D">
              <w:rPr>
                <w:rFonts w:ascii="Simplified Arabic" w:hAnsi="Simplified Arabic" w:cs="Simplified Arabic" w:hint="cs"/>
                <w:b w:val="0"/>
                <w:bCs/>
              </w:rPr>
              <w:lastRenderedPageBreak/>
              <w:t>بخدمات الترجمة الشفوية ودون ترجمة لوثائق ما قبل الدورة</w:t>
            </w:r>
          </w:p>
        </w:tc>
        <w:tc>
          <w:tcPr>
            <w:tcW w:w="1966" w:type="dxa"/>
            <w:tcBorders>
              <w:top w:val="single" w:sz="4" w:space="0" w:color="auto"/>
              <w:bottom w:val="single" w:sz="4" w:space="0" w:color="auto"/>
            </w:tcBorders>
          </w:tcPr>
          <w:p w14:paraId="77EA43F5" w14:textId="6674685B" w:rsidR="001F056A" w:rsidRPr="00D25E3E" w:rsidRDefault="003B6B46">
            <w:pPr>
              <w:pStyle w:val="P68B1DB1-Normal-pool-Table7"/>
              <w:spacing w:after="80"/>
              <w:jc w:val="right"/>
              <w:rPr>
                <w:rFonts w:ascii="Simplified Arabic" w:hAnsi="Simplified Arabic" w:cs="Simplified Arabic" w:hint="cs"/>
              </w:rPr>
            </w:pPr>
            <w:r w:rsidRPr="00D25E3E">
              <w:rPr>
                <w:rFonts w:ascii="Simplified Arabic" w:hAnsi="Simplified Arabic" w:cs="Simplified Arabic" w:hint="cs"/>
              </w:rPr>
              <w:lastRenderedPageBreak/>
              <w:t>54000 دولار أمريكي</w:t>
            </w:r>
          </w:p>
        </w:tc>
        <w:tc>
          <w:tcPr>
            <w:tcW w:w="1971" w:type="dxa"/>
            <w:tcBorders>
              <w:top w:val="single" w:sz="4" w:space="0" w:color="auto"/>
              <w:bottom w:val="single" w:sz="4" w:space="0" w:color="auto"/>
            </w:tcBorders>
          </w:tcPr>
          <w:p w14:paraId="713E073C" w14:textId="041C4A1B" w:rsidR="001F056A" w:rsidRPr="00D25E3E" w:rsidRDefault="003B6B46">
            <w:pPr>
              <w:pStyle w:val="P68B1DB1-Normal-pool-Table7"/>
              <w:spacing w:after="80"/>
              <w:jc w:val="right"/>
              <w:rPr>
                <w:rFonts w:ascii="Simplified Arabic" w:hAnsi="Simplified Arabic" w:cs="Simplified Arabic" w:hint="cs"/>
              </w:rPr>
            </w:pPr>
            <w:r w:rsidRPr="00D25E3E">
              <w:rPr>
                <w:rFonts w:ascii="Simplified Arabic" w:hAnsi="Simplified Arabic" w:cs="Simplified Arabic" w:hint="cs"/>
              </w:rPr>
              <w:t>46000 دولار أمريكي</w:t>
            </w:r>
          </w:p>
        </w:tc>
        <w:tc>
          <w:tcPr>
            <w:tcW w:w="3260" w:type="dxa"/>
            <w:tcBorders>
              <w:top w:val="single" w:sz="4" w:space="0" w:color="auto"/>
              <w:bottom w:val="single" w:sz="4" w:space="0" w:color="auto"/>
            </w:tcBorders>
          </w:tcPr>
          <w:p w14:paraId="21C5EBFD" w14:textId="21F35398" w:rsidR="001F056A" w:rsidRPr="00D25E3E" w:rsidRDefault="003B6B46">
            <w:pPr>
              <w:pStyle w:val="P68B1DB1-Normal-pool-Table7"/>
              <w:spacing w:after="80"/>
              <w:rPr>
                <w:rFonts w:ascii="Simplified Arabic" w:hAnsi="Simplified Arabic" w:cs="Simplified Arabic" w:hint="cs"/>
              </w:rPr>
            </w:pPr>
            <w:r w:rsidRPr="00D25E3E">
              <w:rPr>
                <w:rFonts w:ascii="Simplified Arabic" w:hAnsi="Simplified Arabic" w:cs="Simplified Arabic" w:hint="cs"/>
              </w:rPr>
              <w:t>تقديرات تستند إلى تكاليف الاجتماعات الواردة في الوثيقة UNEP/OzL.Pro.38/4/Add.1</w:t>
            </w:r>
          </w:p>
          <w:p w14:paraId="73A8851A" w14:textId="59A9F24C" w:rsidR="001F056A" w:rsidRPr="00D25E3E" w:rsidRDefault="003B6B46">
            <w:pPr>
              <w:pStyle w:val="P68B1DB1-Normal-pool-Table7"/>
              <w:spacing w:after="80"/>
              <w:rPr>
                <w:rFonts w:ascii="Simplified Arabic" w:hAnsi="Simplified Arabic" w:cs="Simplified Arabic" w:hint="cs"/>
              </w:rPr>
            </w:pPr>
            <w:r w:rsidRPr="00D25E3E">
              <w:rPr>
                <w:rFonts w:ascii="Simplified Arabic" w:hAnsi="Simplified Arabic" w:cs="Simplified Arabic" w:hint="cs"/>
              </w:rPr>
              <w:lastRenderedPageBreak/>
              <w:t>الوفورات المشار إليها أعلاه، بالإضافة إلى الوفورات الناتجة عن عدم ترجمة وثائق ما قبل الدورة</w:t>
            </w:r>
          </w:p>
        </w:tc>
      </w:tr>
      <w:tr w:rsidR="001F056A" w:rsidRPr="00D25E3E" w14:paraId="5632FD37" w14:textId="77777777">
        <w:trPr>
          <w:trHeight w:val="57"/>
          <w:jc w:val="right"/>
        </w:trPr>
        <w:tc>
          <w:tcPr>
            <w:tcW w:w="2300" w:type="dxa"/>
            <w:tcBorders>
              <w:top w:val="single" w:sz="4" w:space="0" w:color="auto"/>
              <w:bottom w:val="single" w:sz="4" w:space="0" w:color="auto"/>
            </w:tcBorders>
            <w:hideMark/>
          </w:tcPr>
          <w:p w14:paraId="63027B81" w14:textId="30DE9EFF" w:rsidR="001F056A" w:rsidRPr="00412A2D" w:rsidRDefault="003B6B46">
            <w:pPr>
              <w:pStyle w:val="P68B1DB1-Normal-pool-Table6"/>
              <w:spacing w:after="80"/>
              <w:rPr>
                <w:rFonts w:ascii="Simplified Arabic" w:hAnsi="Simplified Arabic" w:cs="Simplified Arabic" w:hint="cs"/>
                <w:b w:val="0"/>
                <w:bCs/>
              </w:rPr>
            </w:pPr>
            <w:r w:rsidRPr="00412A2D">
              <w:rPr>
                <w:rFonts w:ascii="Simplified Arabic" w:hAnsi="Simplified Arabic" w:cs="Simplified Arabic" w:hint="cs"/>
                <w:b w:val="0"/>
                <w:bCs/>
              </w:rPr>
              <w:t>اجتماع لجنة التنفيذ عن بعد لمدة يومين (أربع جلسات مدة كل منها ساعتان في اليوم)، مع التزويد بخدمات الترجمة الشفوية</w:t>
            </w:r>
          </w:p>
        </w:tc>
        <w:tc>
          <w:tcPr>
            <w:tcW w:w="1966" w:type="dxa"/>
            <w:tcBorders>
              <w:top w:val="single" w:sz="4" w:space="0" w:color="auto"/>
              <w:bottom w:val="single" w:sz="4" w:space="0" w:color="auto"/>
            </w:tcBorders>
            <w:hideMark/>
          </w:tcPr>
          <w:p w14:paraId="7148E7D1" w14:textId="437B2B2F" w:rsidR="001F056A" w:rsidRPr="00D25E3E" w:rsidRDefault="003B6B46">
            <w:pPr>
              <w:pStyle w:val="P68B1DB1-Normal-pool-Table7"/>
              <w:spacing w:after="80"/>
              <w:jc w:val="right"/>
              <w:rPr>
                <w:rFonts w:ascii="Simplified Arabic" w:hAnsi="Simplified Arabic" w:cs="Simplified Arabic" w:hint="cs"/>
              </w:rPr>
            </w:pPr>
            <w:r w:rsidRPr="00D25E3E">
              <w:rPr>
                <w:rFonts w:ascii="Simplified Arabic" w:hAnsi="Simplified Arabic" w:cs="Simplified Arabic" w:hint="cs"/>
              </w:rPr>
              <w:t>70000 دولار أمريكي</w:t>
            </w:r>
          </w:p>
        </w:tc>
        <w:tc>
          <w:tcPr>
            <w:tcW w:w="1971" w:type="dxa"/>
            <w:tcBorders>
              <w:top w:val="single" w:sz="4" w:space="0" w:color="auto"/>
              <w:bottom w:val="single" w:sz="4" w:space="0" w:color="auto"/>
            </w:tcBorders>
            <w:hideMark/>
          </w:tcPr>
          <w:p w14:paraId="14F2229B" w14:textId="06BACEEF" w:rsidR="001F056A" w:rsidRPr="00D25E3E" w:rsidRDefault="003B6B46">
            <w:pPr>
              <w:pStyle w:val="P68B1DB1-Normal-pool-Table7"/>
              <w:spacing w:after="80"/>
              <w:jc w:val="right"/>
              <w:rPr>
                <w:rFonts w:ascii="Simplified Arabic" w:hAnsi="Simplified Arabic" w:cs="Simplified Arabic" w:hint="cs"/>
              </w:rPr>
            </w:pPr>
            <w:r w:rsidRPr="00D25E3E">
              <w:rPr>
                <w:rFonts w:ascii="Simplified Arabic" w:hAnsi="Simplified Arabic" w:cs="Simplified Arabic" w:hint="cs"/>
              </w:rPr>
              <w:t>30000 دولار أمريكي</w:t>
            </w:r>
          </w:p>
        </w:tc>
        <w:tc>
          <w:tcPr>
            <w:tcW w:w="3260" w:type="dxa"/>
            <w:tcBorders>
              <w:top w:val="single" w:sz="4" w:space="0" w:color="auto"/>
              <w:bottom w:val="single" w:sz="4" w:space="0" w:color="auto"/>
            </w:tcBorders>
            <w:hideMark/>
          </w:tcPr>
          <w:p w14:paraId="28265A85" w14:textId="67866B9C" w:rsidR="001F056A" w:rsidRPr="00D25E3E" w:rsidRDefault="003B6B46">
            <w:pPr>
              <w:pStyle w:val="P68B1DB1-Normal-pool-Table7"/>
              <w:spacing w:after="80"/>
              <w:rPr>
                <w:rFonts w:ascii="Simplified Arabic" w:hAnsi="Simplified Arabic" w:cs="Simplified Arabic" w:hint="cs"/>
              </w:rPr>
            </w:pPr>
            <w:r w:rsidRPr="00D25E3E">
              <w:rPr>
                <w:rFonts w:ascii="Simplified Arabic" w:hAnsi="Simplified Arabic" w:cs="Simplified Arabic" w:hint="cs"/>
              </w:rPr>
              <w:t>استنادًا إلى التكاليف الفعلية للاجتماعات المعقودة عن بعد في عام 2021، بعد تعديلها مراعاةً للتضخم بما يتناسب مع عقد الاجتماعات في عام 2027</w:t>
            </w:r>
          </w:p>
          <w:p w14:paraId="626B5B5C" w14:textId="16D8E3D7" w:rsidR="001F056A" w:rsidRPr="00D25E3E" w:rsidRDefault="003B6B46">
            <w:pPr>
              <w:pStyle w:val="P68B1DB1-Normal-pool-Table7"/>
              <w:spacing w:after="80"/>
              <w:rPr>
                <w:rFonts w:ascii="Simplified Arabic" w:hAnsi="Simplified Arabic" w:cs="Simplified Arabic" w:hint="cs"/>
              </w:rPr>
            </w:pPr>
            <w:r w:rsidRPr="00D25E3E">
              <w:rPr>
                <w:rFonts w:ascii="Simplified Arabic" w:hAnsi="Simplified Arabic" w:cs="Simplified Arabic" w:hint="cs"/>
              </w:rPr>
              <w:t>أظهرت تجربة عامي 2020 و2021 نجاح الاجتماعات المعقودة عن بعد وعدم مواجهتها صعوبات تُذكر، باستثناء صعوبة تحديد توقيت يناسب جميع أعضاء اللجنة</w:t>
            </w:r>
          </w:p>
          <w:p w14:paraId="1EBC1523" w14:textId="3BA92C41" w:rsidR="001F056A" w:rsidRPr="00D25E3E" w:rsidRDefault="003B6B46">
            <w:pPr>
              <w:pStyle w:val="P68B1DB1-Normal-pool-Table7"/>
              <w:spacing w:after="80"/>
              <w:rPr>
                <w:rFonts w:ascii="Simplified Arabic" w:hAnsi="Simplified Arabic" w:cs="Simplified Arabic" w:hint="cs"/>
              </w:rPr>
            </w:pPr>
            <w:r w:rsidRPr="00D25E3E">
              <w:rPr>
                <w:rFonts w:ascii="Simplified Arabic" w:hAnsi="Simplified Arabic" w:cs="Simplified Arabic" w:hint="cs"/>
              </w:rPr>
              <w:t>وفورات تبلغ نحو 32500 دولار أمريكي ناتجة عن سفر المشاركين من الدول الأطراف العاملة بموجب المادة 5</w:t>
            </w:r>
          </w:p>
          <w:p w14:paraId="4B9CB75B" w14:textId="2678BF58" w:rsidR="001F056A" w:rsidRPr="00D25E3E" w:rsidRDefault="003B6B46">
            <w:pPr>
              <w:pStyle w:val="P68B1DB1-Normal-pool-Table7"/>
              <w:spacing w:after="80"/>
              <w:rPr>
                <w:rFonts w:ascii="Simplified Arabic" w:hAnsi="Simplified Arabic" w:cs="Simplified Arabic" w:hint="cs"/>
              </w:rPr>
            </w:pPr>
            <w:r w:rsidRPr="00D25E3E">
              <w:rPr>
                <w:rFonts w:ascii="Simplified Arabic" w:hAnsi="Simplified Arabic" w:cs="Simplified Arabic" w:hint="cs"/>
              </w:rPr>
              <w:t>زيادة الأعمال التحضيرية اللازمة لتنظيم الجلسات المعقودة عن بُعد</w:t>
            </w:r>
            <w:r w:rsidRPr="00D25E3E">
              <w:rPr>
                <w:rFonts w:ascii="Simplified Arabic" w:hAnsi="Simplified Arabic" w:cs="Simplified Arabic" w:hint="cs"/>
                <w:color w:val="EE0000"/>
              </w:rPr>
              <w:t xml:space="preserve"> </w:t>
            </w:r>
          </w:p>
        </w:tc>
      </w:tr>
      <w:tr w:rsidR="001F056A" w:rsidRPr="00D25E3E" w14:paraId="357768AD" w14:textId="77777777">
        <w:trPr>
          <w:trHeight w:val="57"/>
          <w:jc w:val="right"/>
        </w:trPr>
        <w:tc>
          <w:tcPr>
            <w:tcW w:w="2300" w:type="dxa"/>
            <w:tcBorders>
              <w:top w:val="single" w:sz="4" w:space="0" w:color="auto"/>
              <w:bottom w:val="single" w:sz="4" w:space="0" w:color="auto"/>
            </w:tcBorders>
            <w:hideMark/>
          </w:tcPr>
          <w:p w14:paraId="7D291B0A" w14:textId="1D07C6BC" w:rsidR="001F056A" w:rsidRPr="00412A2D" w:rsidRDefault="003B6B46">
            <w:pPr>
              <w:pStyle w:val="P68B1DB1-Normal-pool-Table6"/>
              <w:spacing w:after="80"/>
              <w:rPr>
                <w:rFonts w:ascii="Simplified Arabic" w:hAnsi="Simplified Arabic" w:cs="Simplified Arabic" w:hint="cs"/>
                <w:b w:val="0"/>
                <w:bCs/>
              </w:rPr>
            </w:pPr>
            <w:r w:rsidRPr="00412A2D">
              <w:rPr>
                <w:rFonts w:ascii="Simplified Arabic" w:hAnsi="Simplified Arabic" w:cs="Simplified Arabic" w:hint="cs"/>
                <w:b w:val="0"/>
                <w:bCs/>
              </w:rPr>
              <w:t>اجتماع لجنة التنفيذ عن بعد لمدة يومين (أربع جلسات مدة كل منها ساعتان)، دون التزويد بخدمات الترجمة الشفوية ودون ترجمة لوثائق ما قبل الدورة</w:t>
            </w:r>
          </w:p>
        </w:tc>
        <w:tc>
          <w:tcPr>
            <w:tcW w:w="1966" w:type="dxa"/>
            <w:tcBorders>
              <w:top w:val="single" w:sz="4" w:space="0" w:color="auto"/>
              <w:bottom w:val="single" w:sz="4" w:space="0" w:color="auto"/>
            </w:tcBorders>
            <w:hideMark/>
          </w:tcPr>
          <w:p w14:paraId="2CFF5CB3" w14:textId="4E5FDB7C" w:rsidR="001F056A" w:rsidRPr="00D25E3E" w:rsidRDefault="003B6B46">
            <w:pPr>
              <w:pStyle w:val="P68B1DB1-Normal-pool-Table7"/>
              <w:spacing w:after="80"/>
              <w:jc w:val="right"/>
              <w:rPr>
                <w:rFonts w:ascii="Simplified Arabic" w:hAnsi="Simplified Arabic" w:cs="Simplified Arabic" w:hint="cs"/>
              </w:rPr>
            </w:pPr>
            <w:r w:rsidRPr="00D25E3E">
              <w:rPr>
                <w:rFonts w:ascii="Simplified Arabic" w:hAnsi="Simplified Arabic" w:cs="Simplified Arabic" w:hint="cs"/>
              </w:rPr>
              <w:t>39000 دولار أمريكي</w:t>
            </w:r>
          </w:p>
        </w:tc>
        <w:tc>
          <w:tcPr>
            <w:tcW w:w="1971" w:type="dxa"/>
            <w:tcBorders>
              <w:top w:val="single" w:sz="4" w:space="0" w:color="auto"/>
              <w:bottom w:val="single" w:sz="4" w:space="0" w:color="auto"/>
            </w:tcBorders>
            <w:hideMark/>
          </w:tcPr>
          <w:p w14:paraId="5B94017D" w14:textId="4E73FEEF" w:rsidR="001F056A" w:rsidRPr="00D25E3E" w:rsidRDefault="003B6B46">
            <w:pPr>
              <w:pStyle w:val="P68B1DB1-Normal-pool-Table7"/>
              <w:spacing w:after="80"/>
              <w:jc w:val="right"/>
              <w:rPr>
                <w:rFonts w:ascii="Simplified Arabic" w:hAnsi="Simplified Arabic" w:cs="Simplified Arabic" w:hint="cs"/>
              </w:rPr>
            </w:pPr>
            <w:r w:rsidRPr="00D25E3E">
              <w:rPr>
                <w:rFonts w:ascii="Simplified Arabic" w:hAnsi="Simplified Arabic" w:cs="Simplified Arabic" w:hint="cs"/>
              </w:rPr>
              <w:t>61000 دولار أمريكي</w:t>
            </w:r>
          </w:p>
        </w:tc>
        <w:tc>
          <w:tcPr>
            <w:tcW w:w="3260" w:type="dxa"/>
            <w:tcBorders>
              <w:top w:val="single" w:sz="4" w:space="0" w:color="auto"/>
              <w:bottom w:val="single" w:sz="4" w:space="0" w:color="auto"/>
            </w:tcBorders>
            <w:hideMark/>
          </w:tcPr>
          <w:p w14:paraId="5809F6AB" w14:textId="748E4592" w:rsidR="001F056A" w:rsidRPr="00D25E3E" w:rsidRDefault="003B6B46">
            <w:pPr>
              <w:pStyle w:val="P68B1DB1-Normal-pool-Table7"/>
              <w:spacing w:after="80"/>
              <w:rPr>
                <w:rFonts w:ascii="Simplified Arabic" w:hAnsi="Simplified Arabic" w:cs="Simplified Arabic" w:hint="cs"/>
              </w:rPr>
            </w:pPr>
            <w:r w:rsidRPr="00D25E3E">
              <w:rPr>
                <w:rFonts w:ascii="Simplified Arabic" w:hAnsi="Simplified Arabic" w:cs="Simplified Arabic" w:hint="cs"/>
              </w:rPr>
              <w:t>استنادًا إلى التكاليف الفعلية للاجتماعات المعقودة عن بعد خلال عامي 2020 و2021، بعد تعديلها مراعاةً للتضخم، واستبعاد تكاليف الترجمة الشفوية والترجمة التحريرية لوثائق ما قبل الدورة، بما يتناسب مع عقد الاجتماعات في عام 2027</w:t>
            </w:r>
          </w:p>
          <w:p w14:paraId="1148EB4B" w14:textId="760D995B" w:rsidR="001F056A" w:rsidRPr="00D25E3E" w:rsidRDefault="003B6B46">
            <w:pPr>
              <w:pStyle w:val="P68B1DB1-Normal-pool-Table7"/>
              <w:spacing w:after="80"/>
              <w:rPr>
                <w:rFonts w:ascii="Simplified Arabic" w:hAnsi="Simplified Arabic" w:cs="Simplified Arabic" w:hint="cs"/>
              </w:rPr>
            </w:pPr>
            <w:r w:rsidRPr="00D25E3E">
              <w:rPr>
                <w:rFonts w:ascii="Simplified Arabic" w:hAnsi="Simplified Arabic" w:cs="Simplified Arabic" w:hint="cs"/>
              </w:rPr>
              <w:t>وفورات تبلغ نحو 32500 دولار أمريكي ناتجة عن سفر المشاركين من الدول الأطراف العاملة بموجب المادة 5</w:t>
            </w:r>
          </w:p>
        </w:tc>
      </w:tr>
      <w:tr w:rsidR="001F056A" w:rsidRPr="00D25E3E" w14:paraId="6B478477" w14:textId="77777777">
        <w:trPr>
          <w:trHeight w:val="57"/>
          <w:jc w:val="right"/>
        </w:trPr>
        <w:tc>
          <w:tcPr>
            <w:tcW w:w="2300" w:type="dxa"/>
            <w:tcBorders>
              <w:top w:val="single" w:sz="4" w:space="0" w:color="auto"/>
              <w:bottom w:val="single" w:sz="12" w:space="0" w:color="auto"/>
            </w:tcBorders>
          </w:tcPr>
          <w:p w14:paraId="2F705671" w14:textId="1CF03775" w:rsidR="001F056A" w:rsidRPr="00412A2D" w:rsidRDefault="003B6B46">
            <w:pPr>
              <w:pStyle w:val="P68B1DB1-Normal-pool-Table6"/>
              <w:spacing w:after="80"/>
              <w:rPr>
                <w:rFonts w:ascii="Simplified Arabic" w:hAnsi="Simplified Arabic" w:cs="Simplified Arabic" w:hint="cs"/>
                <w:b w:val="0"/>
                <w:bCs/>
              </w:rPr>
            </w:pPr>
            <w:r w:rsidRPr="00412A2D">
              <w:rPr>
                <w:rFonts w:ascii="Simplified Arabic" w:hAnsi="Simplified Arabic" w:cs="Simplified Arabic" w:hint="cs"/>
                <w:b w:val="0"/>
                <w:bCs/>
              </w:rPr>
              <w:t>اجتماع لجنة التنفيذ لمدة يوم واحد عن بعد (جلستان مدة كل منهما ساعتان)، دون التزويد بخدمات الترجمة الشفوية ودون ترجمة لوثائق ما قبل الدورة</w:t>
            </w:r>
          </w:p>
        </w:tc>
        <w:tc>
          <w:tcPr>
            <w:tcW w:w="1966" w:type="dxa"/>
            <w:tcBorders>
              <w:top w:val="single" w:sz="4" w:space="0" w:color="auto"/>
              <w:bottom w:val="single" w:sz="12" w:space="0" w:color="auto"/>
            </w:tcBorders>
          </w:tcPr>
          <w:p w14:paraId="03B0F19D" w14:textId="1801A670" w:rsidR="001F056A" w:rsidRPr="00D25E3E" w:rsidRDefault="003B6B46">
            <w:pPr>
              <w:pStyle w:val="P68B1DB1-Normal-pool-Table7"/>
              <w:spacing w:after="80"/>
              <w:jc w:val="right"/>
              <w:rPr>
                <w:rFonts w:ascii="Simplified Arabic" w:hAnsi="Simplified Arabic" w:cs="Simplified Arabic" w:hint="cs"/>
              </w:rPr>
            </w:pPr>
            <w:r w:rsidRPr="00D25E3E">
              <w:rPr>
                <w:rFonts w:ascii="Simplified Arabic" w:hAnsi="Simplified Arabic" w:cs="Simplified Arabic" w:hint="cs"/>
              </w:rPr>
              <w:t>30000 دولار أمريكي</w:t>
            </w:r>
          </w:p>
        </w:tc>
        <w:tc>
          <w:tcPr>
            <w:tcW w:w="1971" w:type="dxa"/>
            <w:tcBorders>
              <w:top w:val="single" w:sz="4" w:space="0" w:color="auto"/>
              <w:bottom w:val="single" w:sz="12" w:space="0" w:color="auto"/>
            </w:tcBorders>
          </w:tcPr>
          <w:p w14:paraId="3631CF3B" w14:textId="5642CAF8" w:rsidR="001F056A" w:rsidRPr="00D25E3E" w:rsidRDefault="003B6B46">
            <w:pPr>
              <w:pStyle w:val="P68B1DB1-Normal-pool-Table7"/>
              <w:spacing w:after="80"/>
              <w:jc w:val="right"/>
              <w:rPr>
                <w:rFonts w:ascii="Simplified Arabic" w:hAnsi="Simplified Arabic" w:cs="Simplified Arabic" w:hint="cs"/>
              </w:rPr>
            </w:pPr>
            <w:r w:rsidRPr="00D25E3E">
              <w:rPr>
                <w:rFonts w:ascii="Simplified Arabic" w:hAnsi="Simplified Arabic" w:cs="Simplified Arabic" w:hint="cs"/>
              </w:rPr>
              <w:t>70000 دولار أمريكي</w:t>
            </w:r>
          </w:p>
        </w:tc>
        <w:tc>
          <w:tcPr>
            <w:tcW w:w="3260" w:type="dxa"/>
            <w:tcBorders>
              <w:top w:val="single" w:sz="4" w:space="0" w:color="auto"/>
              <w:bottom w:val="single" w:sz="12" w:space="0" w:color="auto"/>
            </w:tcBorders>
          </w:tcPr>
          <w:p w14:paraId="4E415D9F" w14:textId="357348A4" w:rsidR="001F056A" w:rsidRPr="00D25E3E" w:rsidRDefault="003B6B46">
            <w:pPr>
              <w:pStyle w:val="P68B1DB1-Normal-pool-Table7"/>
              <w:spacing w:after="80"/>
              <w:rPr>
                <w:rFonts w:ascii="Simplified Arabic" w:hAnsi="Simplified Arabic" w:cs="Simplified Arabic" w:hint="cs"/>
              </w:rPr>
            </w:pPr>
            <w:r w:rsidRPr="00D25E3E">
              <w:rPr>
                <w:rFonts w:ascii="Simplified Arabic" w:hAnsi="Simplified Arabic" w:cs="Simplified Arabic" w:hint="cs"/>
              </w:rPr>
              <w:t xml:space="preserve">تقديرات تستند إلى نفقات عام 2021، بعد تعديلها مراعاةً للتضخم بما يتناسب مع عقد الاجتماعات في عام 2027 </w:t>
            </w:r>
          </w:p>
          <w:p w14:paraId="2FE7D0F1" w14:textId="4D562C2B" w:rsidR="001F056A" w:rsidRPr="00D25E3E" w:rsidRDefault="003B6B46">
            <w:pPr>
              <w:pStyle w:val="P68B1DB1-Normal-pool-Table7"/>
              <w:spacing w:after="80"/>
              <w:rPr>
                <w:rFonts w:ascii="Simplified Arabic" w:hAnsi="Simplified Arabic" w:cs="Simplified Arabic" w:hint="cs"/>
              </w:rPr>
            </w:pPr>
            <w:r w:rsidRPr="00D25E3E">
              <w:rPr>
                <w:rFonts w:ascii="Simplified Arabic" w:hAnsi="Simplified Arabic" w:cs="Simplified Arabic" w:hint="cs"/>
              </w:rPr>
              <w:t>عُدِّلَت نفقات عام 2021 لخفض تكاليف الترجمة الشفوية وكتابة التقارير، واستبعاد ترجمة وثائق ما قبل الدورة، وخفض تكاليف المنصة</w:t>
            </w:r>
          </w:p>
        </w:tc>
      </w:tr>
    </w:tbl>
    <w:p w14:paraId="50AD9FF9" w14:textId="1C260550" w:rsidR="001F056A" w:rsidRPr="00CF3263" w:rsidRDefault="003B6B46">
      <w:pPr>
        <w:pStyle w:val="Normalnumber"/>
        <w:keepNext/>
        <w:keepLines/>
        <w:tabs>
          <w:tab w:val="clear" w:pos="1247"/>
          <w:tab w:val="clear" w:pos="1814"/>
          <w:tab w:val="clear" w:pos="2381"/>
          <w:tab w:val="clear" w:pos="2948"/>
          <w:tab w:val="clear" w:pos="3515"/>
        </w:tabs>
        <w:spacing w:before="240"/>
        <w:ind w:left="1247"/>
        <w:rPr>
          <w:rFonts w:ascii="Simplified Arabic" w:hAnsi="Simplified Arabic" w:cs="Simplified Arabic" w:hint="cs"/>
          <w:sz w:val="24"/>
          <w:szCs w:val="24"/>
        </w:rPr>
      </w:pPr>
      <w:r w:rsidRPr="00CF3263">
        <w:rPr>
          <w:rFonts w:ascii="Simplified Arabic" w:hAnsi="Simplified Arabic" w:cs="Simplified Arabic" w:hint="cs"/>
          <w:sz w:val="24"/>
          <w:szCs w:val="24"/>
        </w:rPr>
        <w:t>تتسق التكاليف الاسترشادية لخدمات المؤتمرات الواردة في الجدولين 2 و3 مع التكاليف المحددة في الميزانية الواردة في الوثيقة UNEP/OzL.Pro.38/4/Add.1. بالإضافة إلى الوفورات الاسترشادية في التكاليف المعروضة في الجدولين، يمكن دراسة إمكانية تحقيق وفورات إضافية في بنود الميزانية التالية:</w:t>
      </w:r>
    </w:p>
    <w:p w14:paraId="5AC57CA7" w14:textId="50F08C49" w:rsidR="001F056A" w:rsidRPr="00CF3263" w:rsidRDefault="003B6B46">
      <w:pPr>
        <w:pStyle w:val="Normalnumber"/>
        <w:numPr>
          <w:ilvl w:val="1"/>
          <w:numId w:val="1"/>
        </w:numPr>
        <w:tabs>
          <w:tab w:val="clear" w:pos="1247"/>
          <w:tab w:val="clear" w:pos="1814"/>
          <w:tab w:val="clear" w:pos="2381"/>
          <w:tab w:val="clear" w:pos="2495"/>
          <w:tab w:val="clear" w:pos="2948"/>
          <w:tab w:val="clear" w:pos="3515"/>
          <w:tab w:val="num" w:pos="624"/>
        </w:tabs>
        <w:ind w:left="1247" w:firstLine="624"/>
        <w:rPr>
          <w:rFonts w:ascii="Simplified Arabic" w:hAnsi="Simplified Arabic" w:cs="Simplified Arabic" w:hint="cs"/>
          <w:sz w:val="24"/>
          <w:szCs w:val="24"/>
        </w:rPr>
      </w:pPr>
      <w:r w:rsidRPr="00CF3263">
        <w:rPr>
          <w:rFonts w:ascii="Simplified Arabic" w:hAnsi="Simplified Arabic" w:cs="Simplified Arabic" w:hint="cs"/>
          <w:sz w:val="24"/>
          <w:szCs w:val="24"/>
        </w:rPr>
        <w:t>من شأن عقد اجتماعات المكتب باللغة الإنكليزية فقط أن يؤدي إلى خفض الميزانية العادية لاجتماع المكتب بنحو 16000 دولار أمريكي؛</w:t>
      </w:r>
    </w:p>
    <w:p w14:paraId="22081F75" w14:textId="49079504" w:rsidR="001F056A" w:rsidRPr="00CF3263" w:rsidRDefault="003B6B46">
      <w:pPr>
        <w:pStyle w:val="Normalnumber"/>
        <w:numPr>
          <w:ilvl w:val="1"/>
          <w:numId w:val="1"/>
        </w:numPr>
        <w:tabs>
          <w:tab w:val="clear" w:pos="1247"/>
          <w:tab w:val="clear" w:pos="1814"/>
          <w:tab w:val="clear" w:pos="2381"/>
          <w:tab w:val="clear" w:pos="2495"/>
          <w:tab w:val="clear" w:pos="2948"/>
          <w:tab w:val="clear" w:pos="3515"/>
          <w:tab w:val="num" w:pos="624"/>
        </w:tabs>
        <w:ind w:left="1247" w:firstLine="624"/>
        <w:rPr>
          <w:rFonts w:ascii="Simplified Arabic" w:hAnsi="Simplified Arabic" w:cs="Simplified Arabic" w:hint="cs"/>
          <w:sz w:val="24"/>
          <w:szCs w:val="24"/>
        </w:rPr>
      </w:pPr>
      <w:r w:rsidRPr="00CF3263">
        <w:rPr>
          <w:rFonts w:ascii="Simplified Arabic" w:hAnsi="Simplified Arabic" w:cs="Simplified Arabic" w:hint="cs"/>
          <w:sz w:val="24"/>
          <w:szCs w:val="24"/>
        </w:rPr>
        <w:lastRenderedPageBreak/>
        <w:t>يشكل بند وثائق الاجتماع، بما يشمله من تحرير وترجمة، جزءًا كبيرًا من تكاليف خدمات المؤتمرات (نحو 25% بالنسبة إلى اجتماعات الفريق العامل المفتوح العضوية و35% بالنسبة إلى اجتماعات الأطراف)؛ وعليه، فإن تقليص حجم الوثائق التي تخضع للتحرير والترجمة من شأنه أن يخفض التكاليف.</w:t>
      </w:r>
    </w:p>
    <w:p w14:paraId="3C657330" w14:textId="579E13C1" w:rsidR="001F056A" w:rsidRPr="00CF3263" w:rsidRDefault="003B6B46">
      <w:pPr>
        <w:pStyle w:val="Normalnumber"/>
        <w:tabs>
          <w:tab w:val="clear" w:pos="1247"/>
          <w:tab w:val="clear" w:pos="1814"/>
          <w:tab w:val="clear" w:pos="2381"/>
          <w:tab w:val="clear" w:pos="2948"/>
          <w:tab w:val="clear" w:pos="3515"/>
        </w:tabs>
        <w:ind w:left="1247"/>
        <w:rPr>
          <w:rFonts w:ascii="Simplified Arabic" w:hAnsi="Simplified Arabic" w:cs="Simplified Arabic" w:hint="cs"/>
          <w:sz w:val="24"/>
          <w:szCs w:val="24"/>
        </w:rPr>
      </w:pPr>
      <w:r w:rsidRPr="00CF3263">
        <w:rPr>
          <w:rFonts w:ascii="Simplified Arabic" w:hAnsi="Simplified Arabic" w:cs="Simplified Arabic" w:hint="cs"/>
          <w:sz w:val="24"/>
          <w:szCs w:val="24"/>
        </w:rPr>
        <w:t>يمكن تنفيذ تقليص مدة الاجتماعات، مثل اجتماعات الفريق العامل المفتوح العضوية، بوصفه تدبيرًا محددًا لتحسين الكفاءة دون أن يعني ذلك بالضرورة أن يليه خفض إضافي لوتيرة عقد الاجتماعات أو تقليص لمدتها أو نطاقها، أو في عناصر أخرى من الترتيبات المؤسسية لبروتوكول مونتريال. وستظل أي تغييرات لاحقة خاضعة لنظر الأطراف فيها واتخاذها القرار بشأنها في ضوء الظروف السائدة حاليًا.</w:t>
      </w:r>
    </w:p>
    <w:p w14:paraId="0035A709" w14:textId="5BC23BA7" w:rsidR="001F056A" w:rsidRPr="00CF3263" w:rsidRDefault="003B6B46">
      <w:pPr>
        <w:pStyle w:val="Normalnumber"/>
        <w:tabs>
          <w:tab w:val="clear" w:pos="1247"/>
          <w:tab w:val="clear" w:pos="1814"/>
          <w:tab w:val="clear" w:pos="2381"/>
          <w:tab w:val="clear" w:pos="2948"/>
          <w:tab w:val="clear" w:pos="3515"/>
        </w:tabs>
        <w:ind w:left="1247"/>
        <w:rPr>
          <w:rFonts w:ascii="Simplified Arabic" w:hAnsi="Simplified Arabic" w:cs="Simplified Arabic" w:hint="cs"/>
          <w:sz w:val="24"/>
          <w:szCs w:val="24"/>
        </w:rPr>
      </w:pPr>
      <w:r w:rsidRPr="00CF3263">
        <w:rPr>
          <w:rFonts w:ascii="Simplified Arabic" w:hAnsi="Simplified Arabic" w:cs="Simplified Arabic" w:hint="cs"/>
          <w:sz w:val="24"/>
          <w:szCs w:val="24"/>
        </w:rPr>
        <w:t xml:space="preserve">وفي الوقت نفسه، قد توفر الخبرة المكتسبة من تنفيذ هذا التدبير معلومات مفيدة تسترشد بها الأطراف مستقبلًا. ولذلك، يمكن استعراض تجربة عقد اجتماع أقصر مدةً بعد انقضاء فترة زمنية مناسبة لدراسة أثر ذلك على قدرة الأطراف على تغطية جميع البنود المدرجة في جدول الأعمال، وعقد اجتماعات أفرقة الاتصال والمشاورات غير الرسمية، وضمان مشاركة فعّالة وشاملة، وإعداد المسائل على النحو الواجب للنظر فيها خلال اجتماع الأطراف. ويمكن أن يشمل الاستعراض أيضًا الوفورات المالية الفعلية المحققة، وما إذا كان تقليص مدة الاجتماع الرسمي قد أدى </w:t>
      </w:r>
      <w:r w:rsidRPr="00CF3263">
        <w:rPr>
          <w:rFonts w:ascii="Simplified Arabic" w:hAnsi="Simplified Arabic" w:cs="Simplified Arabic" w:hint="cs"/>
          <w:sz w:val="24"/>
          <w:szCs w:val="24"/>
        </w:rPr>
        <w:t>إلى أعمال إضافية فيما بين الدورات أو أعمال افتراضية أو غيرها من الأعمال.</w:t>
      </w:r>
    </w:p>
    <w:p w14:paraId="62FE5D00" w14:textId="582D4DD2" w:rsidR="001F056A" w:rsidRPr="00CF3263" w:rsidRDefault="003B6B46">
      <w:pPr>
        <w:pStyle w:val="Normalnumber"/>
        <w:tabs>
          <w:tab w:val="clear" w:pos="1247"/>
          <w:tab w:val="clear" w:pos="1814"/>
          <w:tab w:val="clear" w:pos="2381"/>
          <w:tab w:val="clear" w:pos="2948"/>
          <w:tab w:val="clear" w:pos="3515"/>
        </w:tabs>
        <w:ind w:left="1247"/>
        <w:rPr>
          <w:rFonts w:ascii="Simplified Arabic" w:hAnsi="Simplified Arabic" w:cs="Simplified Arabic" w:hint="cs"/>
          <w:sz w:val="24"/>
          <w:szCs w:val="24"/>
        </w:rPr>
      </w:pPr>
      <w:r w:rsidRPr="00CF3263">
        <w:rPr>
          <w:rFonts w:ascii="Simplified Arabic" w:hAnsi="Simplified Arabic" w:cs="Simplified Arabic" w:hint="cs"/>
          <w:sz w:val="24"/>
          <w:szCs w:val="24"/>
        </w:rPr>
        <w:t>وعلى نطاق أوسع، يُظهر تاريخ معاهدات الأوزون أن ترتيباتها المؤسسية قد تطورت استجابةً لتغير أعباء العمل والمتطلبات. وكما هو موضح في القسم "ثالثًا - و-" أدناه، جرى تعديل وتيرة عقد الاجتماعات في مراحل مختلفة من تطور اتفاقية فيينا وبروتوكول مونتريال. وتشير الخبرة إلى إمكانية تكييف ترتيبات الاجتماعات مع الحفاظ على قدرٍ كافٍ من المرونة للاستجابة للفترات التي تشهد زيادة في أنشطة التفاوض وارتفاعًا في أعباء العمل العلمي أو التقني.</w:t>
      </w:r>
    </w:p>
    <w:p w14:paraId="35B73EA3" w14:textId="5D0F5577" w:rsidR="001F056A" w:rsidRPr="002C0E44" w:rsidRDefault="003B6B46">
      <w:pPr>
        <w:pStyle w:val="CH3"/>
        <w:rPr>
          <w:rFonts w:ascii="Simplified Arabic" w:hAnsi="Simplified Arabic" w:cs="Simplified Arabic" w:hint="cs"/>
          <w:b w:val="0"/>
          <w:bCs/>
          <w:sz w:val="24"/>
          <w:szCs w:val="24"/>
        </w:rPr>
      </w:pPr>
      <w:r w:rsidRPr="002C0E44">
        <w:rPr>
          <w:rFonts w:ascii="Simplified Arabic" w:hAnsi="Simplified Arabic" w:cs="Simplified Arabic" w:hint="cs"/>
          <w:b w:val="0"/>
          <w:bCs/>
          <w:sz w:val="24"/>
          <w:szCs w:val="24"/>
        </w:rPr>
        <w:tab/>
        <w:t>2-</w:t>
      </w:r>
      <w:r w:rsidRPr="002C0E44">
        <w:rPr>
          <w:rFonts w:ascii="Simplified Arabic" w:hAnsi="Simplified Arabic" w:cs="Simplified Arabic" w:hint="cs"/>
          <w:b w:val="0"/>
          <w:bCs/>
          <w:sz w:val="24"/>
          <w:szCs w:val="24"/>
        </w:rPr>
        <w:tab/>
        <w:t>حجم العمل فيما بين الدورات وتقديم الدعم للأطراف</w:t>
      </w:r>
    </w:p>
    <w:p w14:paraId="51EAB6B9" w14:textId="55E1FBB2" w:rsidR="001F056A" w:rsidRPr="00CF3263" w:rsidRDefault="003B6B46">
      <w:pPr>
        <w:pStyle w:val="Normalnumber"/>
        <w:tabs>
          <w:tab w:val="clear" w:pos="1247"/>
          <w:tab w:val="clear" w:pos="1814"/>
          <w:tab w:val="clear" w:pos="2381"/>
          <w:tab w:val="clear" w:pos="2948"/>
          <w:tab w:val="clear" w:pos="3515"/>
        </w:tabs>
        <w:ind w:left="1247"/>
        <w:rPr>
          <w:rFonts w:ascii="Simplified Arabic" w:hAnsi="Simplified Arabic" w:cs="Simplified Arabic" w:hint="cs"/>
          <w:sz w:val="24"/>
          <w:szCs w:val="24"/>
        </w:rPr>
      </w:pPr>
      <w:r w:rsidRPr="00CF3263">
        <w:rPr>
          <w:rFonts w:ascii="Simplified Arabic" w:hAnsi="Simplified Arabic" w:cs="Simplified Arabic" w:hint="cs"/>
          <w:sz w:val="24"/>
          <w:szCs w:val="24"/>
        </w:rPr>
        <w:t>قد يؤدي أي تقليص للاجتماعات الرسمية أو إعادة هيكلتها إلى نقل جزء الأعمال إلى الفترة الفاصلة بين الدورات. ويتوقف حجم عبء العمل الإضافي هذا على السيناريو المعني، وحجم جدول الأعمال ومدى تعقيده، ومدى إمكانية البت في المسائل في إطار ترتيبات الاجتماعات المنقحة.</w:t>
      </w:r>
    </w:p>
    <w:p w14:paraId="3470CA4C" w14:textId="1B99BC48" w:rsidR="001F056A" w:rsidRPr="00CF3263" w:rsidRDefault="003B6B46">
      <w:pPr>
        <w:pStyle w:val="Normalnumber"/>
        <w:tabs>
          <w:tab w:val="clear" w:pos="1247"/>
          <w:tab w:val="clear" w:pos="1814"/>
          <w:tab w:val="clear" w:pos="2381"/>
          <w:tab w:val="clear" w:pos="2948"/>
          <w:tab w:val="clear" w:pos="3515"/>
        </w:tabs>
        <w:ind w:left="1247"/>
        <w:rPr>
          <w:rFonts w:ascii="Simplified Arabic" w:hAnsi="Simplified Arabic" w:cs="Simplified Arabic" w:hint="cs"/>
          <w:sz w:val="24"/>
          <w:szCs w:val="24"/>
        </w:rPr>
      </w:pPr>
      <w:r w:rsidRPr="00CF3263">
        <w:rPr>
          <w:rFonts w:ascii="Simplified Arabic" w:hAnsi="Simplified Arabic" w:cs="Simplified Arabic" w:hint="cs"/>
          <w:sz w:val="24"/>
          <w:szCs w:val="24"/>
        </w:rPr>
        <w:t>فعلى سبيل المثال، قد يستلزم تقليص مدة اجتماع للفريق العامل مفتوح العضوية مع الإبقاء على جدول أعمال مماثل، بذل جهود تحضيرية إضافية، أو تبادل المراسلات المكتوبة، وإجراء مشاورات افتراضية أو مناقشات قبل الاجتماع أو بعده. وبالمثل، قد يؤدي خفض وتيرة عقد الاجتماعات الرسمية إلى زيادة الحاجة إلى إجراء مشاورات فيما بين الدورات لمعالجة المسائل التي تستجد بين الاجتماعات. ومن الممكن أن تؤدي زيادة استخدام الاجتماعات عن بعد إلى خفض تكاليف السفر وبعض تكاليف المؤتمرات، ولكنها ستظل تتطلب دعمًا من الأمانة فيما يتعلق بوضع الجد</w:t>
      </w:r>
      <w:r w:rsidRPr="00CF3263">
        <w:rPr>
          <w:rFonts w:ascii="Simplified Arabic" w:hAnsi="Simplified Arabic" w:cs="Simplified Arabic" w:hint="cs"/>
          <w:sz w:val="24"/>
          <w:szCs w:val="24"/>
        </w:rPr>
        <w:t>اول الزمنية، وإعداد الوثائق، والتنسيق، والترجمة الشفوية عند الاقتضاء، والترتيبات التقنية. وبالمثل، سيتطلب عقد الاجتماعات عن بعد بدلًا من الحضور الشخصي تخطيطًا مكثفًا واستعدادات موسعة بين الدورات.</w:t>
      </w:r>
    </w:p>
    <w:p w14:paraId="33AAD073" w14:textId="607F6938" w:rsidR="001F056A" w:rsidRPr="00CF3263" w:rsidRDefault="003B6B46">
      <w:pPr>
        <w:pStyle w:val="Normalnumber"/>
        <w:tabs>
          <w:tab w:val="clear" w:pos="1247"/>
          <w:tab w:val="clear" w:pos="1814"/>
          <w:tab w:val="clear" w:pos="2381"/>
          <w:tab w:val="clear" w:pos="2948"/>
          <w:tab w:val="clear" w:pos="3515"/>
        </w:tabs>
        <w:ind w:left="1247"/>
        <w:rPr>
          <w:rFonts w:ascii="Simplified Arabic" w:hAnsi="Simplified Arabic" w:cs="Simplified Arabic" w:hint="cs"/>
          <w:sz w:val="24"/>
          <w:szCs w:val="24"/>
        </w:rPr>
      </w:pPr>
      <w:r w:rsidRPr="00CF3263">
        <w:rPr>
          <w:rFonts w:ascii="Simplified Arabic" w:hAnsi="Simplified Arabic" w:cs="Simplified Arabic" w:hint="cs"/>
          <w:sz w:val="24"/>
          <w:szCs w:val="24"/>
        </w:rPr>
        <w:t>ومن الممكن أيضًا أن يؤثر العمل الإضافي بين الدورات في قدرة الأمانة على الاضطلاع بالمهام الأخرى الموكلة إليها، وتقديم الدعم التقني والسياساتي إلى الأطراف في الوقت المناسب. ويكتسي هذا الاعتبار أهمية خاصة مع تقدم الأطراف في تنفيذ تعديل كيغالي ومعالجتها متطلبات التنفيذ والامتثال الآخذة في التطور.</w:t>
      </w:r>
    </w:p>
    <w:p w14:paraId="22B13FC2" w14:textId="7B5708AE" w:rsidR="001F056A" w:rsidRPr="00CF3263" w:rsidRDefault="003B6B46">
      <w:pPr>
        <w:pStyle w:val="Normalnumber"/>
        <w:tabs>
          <w:tab w:val="clear" w:pos="1247"/>
          <w:tab w:val="clear" w:pos="1814"/>
          <w:tab w:val="clear" w:pos="2381"/>
          <w:tab w:val="clear" w:pos="2948"/>
          <w:tab w:val="clear" w:pos="3515"/>
        </w:tabs>
        <w:ind w:left="1247"/>
        <w:rPr>
          <w:rFonts w:ascii="Simplified Arabic" w:hAnsi="Simplified Arabic" w:cs="Simplified Arabic" w:hint="cs"/>
          <w:sz w:val="24"/>
          <w:szCs w:val="24"/>
        </w:rPr>
      </w:pPr>
      <w:r w:rsidRPr="00CF3263">
        <w:rPr>
          <w:rFonts w:ascii="Simplified Arabic" w:hAnsi="Simplified Arabic" w:cs="Simplified Arabic" w:hint="cs"/>
          <w:sz w:val="24"/>
          <w:szCs w:val="24"/>
        </w:rPr>
        <w:lastRenderedPageBreak/>
        <w:t>وإذا قررت الأطراف إدخال تغييرات على طرائق عقد الاجتماعات، يمكن استعراض آثار تلك التغييرات بعد انقضاء فترة زمنية مناسبة. وقد يشمل هذا الاستعراض تقييم الوفورات المالية الفعلية المحققة، والأعمال الإضافية التي استلزمتها هذه الترتيبات فيما بين الدورات، وأي آثار على قدرة الأمانة على تقديم الدعم إلى الأطراف في الوقت المناسب. ويمكن أن تسترشد الأطراف بنتائج هذا الاستعراض عند اتخاذ قرارات لاحقة بشأن الإبقاء على هذه الترتيبات أو إدخال مزيد من التعديلات عليها أو، عند الاقتضاء، إعادة العمل بها.</w:t>
      </w:r>
    </w:p>
    <w:p w14:paraId="4135F767" w14:textId="3E1A45CF" w:rsidR="001F056A" w:rsidRPr="00CF3263" w:rsidRDefault="003B6B46">
      <w:pPr>
        <w:pStyle w:val="CH2"/>
        <w:rPr>
          <w:rFonts w:ascii="Simplified Arabic" w:hAnsi="Simplified Arabic" w:cs="Simplified Arabic" w:hint="cs"/>
          <w:b w:val="0"/>
          <w:bCs/>
          <w:sz w:val="26"/>
          <w:szCs w:val="26"/>
        </w:rPr>
      </w:pPr>
      <w:r w:rsidRPr="00CF3263">
        <w:rPr>
          <w:rFonts w:ascii="Simplified Arabic" w:hAnsi="Simplified Arabic" w:cs="Simplified Arabic" w:hint="cs"/>
          <w:b w:val="0"/>
          <w:bCs/>
          <w:sz w:val="26"/>
          <w:szCs w:val="26"/>
        </w:rPr>
        <w:tab/>
        <w:t>ج -</w:t>
      </w:r>
      <w:r w:rsidRPr="00CF3263">
        <w:rPr>
          <w:rFonts w:ascii="Simplified Arabic" w:hAnsi="Simplified Arabic" w:cs="Simplified Arabic" w:hint="cs"/>
          <w:b w:val="0"/>
          <w:bCs/>
          <w:sz w:val="26"/>
          <w:szCs w:val="26"/>
        </w:rPr>
        <w:tab/>
      </w:r>
      <w:r w:rsidRPr="00CF3263">
        <w:rPr>
          <w:rFonts w:ascii="Simplified Arabic" w:hAnsi="Simplified Arabic" w:cs="Simplified Arabic" w:hint="cs"/>
          <w:b w:val="0"/>
          <w:bCs/>
          <w:sz w:val="26"/>
          <w:szCs w:val="26"/>
        </w:rPr>
        <w:t>استخدام الذكاء الاصطناعي</w:t>
      </w:r>
    </w:p>
    <w:p w14:paraId="4E610C80" w14:textId="58A588F0" w:rsidR="001F056A" w:rsidRPr="00CF3263" w:rsidRDefault="003B6B46">
      <w:pPr>
        <w:pStyle w:val="CH3"/>
        <w:rPr>
          <w:rFonts w:ascii="Simplified Arabic" w:hAnsi="Simplified Arabic" w:cs="Simplified Arabic" w:hint="cs"/>
          <w:b w:val="0"/>
          <w:bCs/>
          <w:sz w:val="24"/>
          <w:szCs w:val="24"/>
        </w:rPr>
      </w:pPr>
      <w:r w:rsidRPr="00CF3263">
        <w:rPr>
          <w:rFonts w:ascii="Simplified Arabic" w:hAnsi="Simplified Arabic" w:cs="Simplified Arabic" w:hint="cs"/>
          <w:b w:val="0"/>
          <w:bCs/>
          <w:sz w:val="24"/>
          <w:szCs w:val="24"/>
        </w:rPr>
        <w:tab/>
        <w:t xml:space="preserve"> 1-</w:t>
      </w:r>
      <w:r w:rsidRPr="00CF3263">
        <w:rPr>
          <w:rFonts w:ascii="Simplified Arabic" w:hAnsi="Simplified Arabic" w:cs="Simplified Arabic" w:hint="cs"/>
          <w:b w:val="0"/>
          <w:bCs/>
          <w:sz w:val="24"/>
          <w:szCs w:val="24"/>
        </w:rPr>
        <w:tab/>
        <w:t xml:space="preserve">استخدام الذكاء الاصطناعي في الاجتماعات المعقودة عن بعد والمزوّدة بخدمات الترجمة الشفوية </w:t>
      </w:r>
    </w:p>
    <w:p w14:paraId="7C295B6B" w14:textId="34874CCD" w:rsidR="001F056A" w:rsidRPr="00CF3263" w:rsidRDefault="003B6B46">
      <w:pPr>
        <w:pStyle w:val="Normalnumber"/>
        <w:tabs>
          <w:tab w:val="clear" w:pos="1247"/>
          <w:tab w:val="clear" w:pos="1814"/>
          <w:tab w:val="clear" w:pos="2381"/>
          <w:tab w:val="clear" w:pos="2948"/>
          <w:tab w:val="clear" w:pos="3515"/>
        </w:tabs>
        <w:ind w:left="1247"/>
        <w:rPr>
          <w:rFonts w:ascii="Simplified Arabic" w:hAnsi="Simplified Arabic" w:cs="Simplified Arabic" w:hint="cs"/>
          <w:sz w:val="24"/>
          <w:szCs w:val="24"/>
        </w:rPr>
      </w:pPr>
      <w:r w:rsidRPr="00CF3263">
        <w:rPr>
          <w:rFonts w:ascii="Simplified Arabic" w:hAnsi="Simplified Arabic" w:cs="Simplified Arabic" w:hint="cs"/>
          <w:sz w:val="24"/>
          <w:szCs w:val="24"/>
        </w:rPr>
        <w:t>لتقييم الجدوى العملية والتكاليف المرتبطة بتقديم خدمات الدعم للاجتماعات المعقودة عن بعد بالاستعانة بالذكاء الاصطناعي، أجرت الأمانة دراسة استقصائية شملت المنصات الثلاث للاجتماعات الافتراضية وهي Zoom وMicrosoft Teams وCisco Webex، وقارنت بينها من حيث تكاليف الاشتراك، ومدى توافر خدمات الترجمة الشفوية والعروض النصية المدعومة بالذكاء الاصطناعي باللغات الرسمية الست للأمم  المتحدة وتكاليفها، فضلًا عن مدى توافر هذه المنصات وإمكانية الوصول إليها في البلدان حول العالم. توجز النتائج في الجدول 4.  تُقدَّر بنحو 4,000 دول</w:t>
      </w:r>
      <w:r w:rsidRPr="00CF3263">
        <w:rPr>
          <w:rFonts w:ascii="Simplified Arabic" w:hAnsi="Simplified Arabic" w:cs="Simplified Arabic" w:hint="cs"/>
          <w:sz w:val="24"/>
          <w:szCs w:val="24"/>
        </w:rPr>
        <w:t>ار أمريكي التكلفةُ التي تُدفع لمرة واحدة لتوفير المعدات اللازمة لتجهيز قاعة لعقد اجتماعات هجينة، تشمل ثلاثة إلى خمسة ميكروفونات للمنصّة، وجهازي كاميرا لتصوير القاعة، ومعدات مساندة، سواء استُؤجرت هذه المعدات أم اشتُريت. وفي بعض البلدان، لا تتوفر أي من هذه المنصات (انظر الفقرة 46 أدناه).</w:t>
      </w:r>
    </w:p>
    <w:p w14:paraId="39E376FD" w14:textId="72411B04" w:rsidR="001F056A" w:rsidRDefault="003B6B46">
      <w:pPr>
        <w:pStyle w:val="Titletable"/>
      </w:pPr>
      <w:r w:rsidRPr="00756842">
        <w:rPr>
          <w:rFonts w:ascii="Simplified Arabic" w:hAnsi="Simplified Arabic" w:cs="Simplified Arabic" w:hint="cs"/>
          <w:b w:val="0"/>
          <w:sz w:val="24"/>
          <w:szCs w:val="24"/>
        </w:rPr>
        <w:t>الجدول 4</w:t>
      </w:r>
      <w:r>
        <w:t xml:space="preserve"> </w:t>
      </w:r>
      <w:r>
        <w:br/>
      </w:r>
      <w:r w:rsidRPr="00860A3B">
        <w:rPr>
          <w:rFonts w:ascii="Simplified Arabic" w:hAnsi="Simplified Arabic" w:cs="Simplified Arabic" w:hint="cs"/>
          <w:b w:val="0"/>
          <w:bCs/>
          <w:sz w:val="24"/>
          <w:szCs w:val="24"/>
        </w:rPr>
        <w:t>مقارنة تكاليف الاشتراك في منصات Zoom وMicrosoft Teams وCisco Webex</w:t>
      </w:r>
    </w:p>
    <w:tbl>
      <w:tblPr>
        <w:bidiVisual/>
        <w:tblW w:w="5000" w:type="pct"/>
        <w:jc w:val="right"/>
        <w:tblLook w:val="04A0" w:firstRow="1" w:lastRow="0" w:firstColumn="1" w:lastColumn="0" w:noHBand="0" w:noVBand="1"/>
      </w:tblPr>
      <w:tblGrid>
        <w:gridCol w:w="1188"/>
        <w:gridCol w:w="896"/>
        <w:gridCol w:w="1097"/>
        <w:gridCol w:w="992"/>
        <w:gridCol w:w="1276"/>
        <w:gridCol w:w="1609"/>
        <w:gridCol w:w="1134"/>
        <w:gridCol w:w="1305"/>
      </w:tblGrid>
      <w:tr w:rsidR="001F056A" w:rsidRPr="00860A3B" w14:paraId="1E929C88" w14:textId="77777777">
        <w:trPr>
          <w:trHeight w:val="57"/>
          <w:tblHeader/>
          <w:jc w:val="right"/>
        </w:trPr>
        <w:tc>
          <w:tcPr>
            <w:tcW w:w="1037" w:type="dxa"/>
            <w:tcBorders>
              <w:top w:val="single" w:sz="4" w:space="0" w:color="auto"/>
              <w:bottom w:val="single" w:sz="12" w:space="0" w:color="auto"/>
            </w:tcBorders>
            <w:vAlign w:val="bottom"/>
            <w:hideMark/>
          </w:tcPr>
          <w:p w14:paraId="6749769F" w14:textId="77777777" w:rsidR="001F056A" w:rsidRPr="00860A3B" w:rsidRDefault="003B6B46" w:rsidP="00860A3B">
            <w:pPr>
              <w:pStyle w:val="P68B1DB1-Normal-pool-Table1"/>
              <w:spacing w:before="0" w:after="0"/>
              <w:rPr>
                <w:rFonts w:ascii="Simplified Arabic" w:hAnsi="Simplified Arabic" w:cs="Simplified Arabic" w:hint="cs"/>
                <w:sz w:val="24"/>
                <w:szCs w:val="24"/>
              </w:rPr>
            </w:pPr>
            <w:r w:rsidRPr="00860A3B">
              <w:rPr>
                <w:rFonts w:ascii="Simplified Arabic" w:hAnsi="Simplified Arabic" w:cs="Simplified Arabic" w:hint="cs"/>
                <w:sz w:val="24"/>
                <w:szCs w:val="24"/>
              </w:rPr>
              <w:t>المنصة</w:t>
            </w:r>
          </w:p>
        </w:tc>
        <w:tc>
          <w:tcPr>
            <w:tcW w:w="1127" w:type="dxa"/>
            <w:tcBorders>
              <w:top w:val="single" w:sz="4" w:space="0" w:color="auto"/>
              <w:bottom w:val="single" w:sz="12" w:space="0" w:color="auto"/>
            </w:tcBorders>
            <w:vAlign w:val="bottom"/>
            <w:hideMark/>
          </w:tcPr>
          <w:p w14:paraId="0858A59B" w14:textId="77777777" w:rsidR="001F056A" w:rsidRPr="00860A3B" w:rsidRDefault="003B6B46" w:rsidP="00860A3B">
            <w:pPr>
              <w:pStyle w:val="P68B1DB1-Normal-pool-Table1"/>
              <w:spacing w:before="0" w:after="0"/>
              <w:rPr>
                <w:rFonts w:ascii="Simplified Arabic" w:hAnsi="Simplified Arabic" w:cs="Simplified Arabic" w:hint="cs"/>
                <w:sz w:val="24"/>
                <w:szCs w:val="24"/>
              </w:rPr>
            </w:pPr>
            <w:r w:rsidRPr="00860A3B">
              <w:rPr>
                <w:rFonts w:ascii="Simplified Arabic" w:hAnsi="Simplified Arabic" w:cs="Simplified Arabic" w:hint="cs"/>
                <w:sz w:val="24"/>
                <w:szCs w:val="24"/>
              </w:rPr>
              <w:t>خطة الاشتراك</w:t>
            </w:r>
          </w:p>
        </w:tc>
        <w:tc>
          <w:tcPr>
            <w:tcW w:w="1097" w:type="dxa"/>
            <w:tcBorders>
              <w:top w:val="single" w:sz="4" w:space="0" w:color="auto"/>
              <w:bottom w:val="single" w:sz="12" w:space="0" w:color="auto"/>
            </w:tcBorders>
            <w:vAlign w:val="bottom"/>
            <w:hideMark/>
          </w:tcPr>
          <w:p w14:paraId="4BD5D7BE" w14:textId="77777777" w:rsidR="001F056A" w:rsidRPr="00860A3B" w:rsidRDefault="003B6B46" w:rsidP="00860A3B">
            <w:pPr>
              <w:pStyle w:val="P68B1DB1-Normal-pool-Table1"/>
              <w:spacing w:before="0" w:after="0"/>
              <w:rPr>
                <w:rFonts w:ascii="Simplified Arabic" w:hAnsi="Simplified Arabic" w:cs="Simplified Arabic" w:hint="cs"/>
                <w:sz w:val="24"/>
                <w:szCs w:val="24"/>
              </w:rPr>
            </w:pPr>
            <w:r w:rsidRPr="00860A3B">
              <w:rPr>
                <w:rFonts w:ascii="Simplified Arabic" w:hAnsi="Simplified Arabic" w:cs="Simplified Arabic" w:hint="cs"/>
                <w:sz w:val="24"/>
                <w:szCs w:val="24"/>
              </w:rPr>
              <w:t>عدد المشاركين</w:t>
            </w:r>
          </w:p>
        </w:tc>
        <w:tc>
          <w:tcPr>
            <w:tcW w:w="992" w:type="dxa"/>
            <w:tcBorders>
              <w:top w:val="single" w:sz="4" w:space="0" w:color="auto"/>
              <w:bottom w:val="single" w:sz="12" w:space="0" w:color="auto"/>
            </w:tcBorders>
            <w:vAlign w:val="bottom"/>
            <w:hideMark/>
          </w:tcPr>
          <w:p w14:paraId="65C262D9" w14:textId="06096A42" w:rsidR="001F056A" w:rsidRPr="00860A3B" w:rsidRDefault="003B6B46" w:rsidP="00860A3B">
            <w:pPr>
              <w:pStyle w:val="P68B1DB1-Normal-pool-Table1"/>
              <w:spacing w:before="0" w:after="0"/>
              <w:rPr>
                <w:rFonts w:ascii="Simplified Arabic" w:hAnsi="Simplified Arabic" w:cs="Simplified Arabic" w:hint="cs"/>
                <w:sz w:val="24"/>
                <w:szCs w:val="24"/>
              </w:rPr>
            </w:pPr>
            <w:r w:rsidRPr="00860A3B">
              <w:rPr>
                <w:rFonts w:ascii="Simplified Arabic" w:hAnsi="Simplified Arabic" w:cs="Simplified Arabic" w:hint="cs"/>
                <w:sz w:val="24"/>
                <w:szCs w:val="24"/>
              </w:rPr>
              <w:t>التكلفة الأساسية (بالدولار الأمريكي)</w:t>
            </w:r>
          </w:p>
        </w:tc>
        <w:tc>
          <w:tcPr>
            <w:tcW w:w="1276" w:type="dxa"/>
            <w:tcBorders>
              <w:top w:val="single" w:sz="4" w:space="0" w:color="auto"/>
              <w:bottom w:val="single" w:sz="12" w:space="0" w:color="auto"/>
            </w:tcBorders>
            <w:vAlign w:val="bottom"/>
            <w:hideMark/>
          </w:tcPr>
          <w:p w14:paraId="6D56FBF7" w14:textId="114F80BE" w:rsidR="001F056A" w:rsidRPr="00860A3B" w:rsidRDefault="003B6B46" w:rsidP="00860A3B">
            <w:pPr>
              <w:pStyle w:val="P68B1DB1-Normal-pool-Table1"/>
              <w:spacing w:before="0" w:after="0"/>
              <w:rPr>
                <w:rFonts w:ascii="Simplified Arabic" w:hAnsi="Simplified Arabic" w:cs="Simplified Arabic" w:hint="cs"/>
                <w:sz w:val="24"/>
                <w:szCs w:val="24"/>
              </w:rPr>
            </w:pPr>
            <w:r w:rsidRPr="00860A3B">
              <w:rPr>
                <w:rFonts w:ascii="Simplified Arabic" w:hAnsi="Simplified Arabic" w:cs="Simplified Arabic" w:hint="cs"/>
                <w:sz w:val="24"/>
                <w:szCs w:val="24"/>
              </w:rPr>
              <w:t>الترجمة الشفوية المدعومة بالذكاء الاصطناعي (بالدولار الأمريكي)</w:t>
            </w:r>
          </w:p>
        </w:tc>
        <w:tc>
          <w:tcPr>
            <w:tcW w:w="1134" w:type="dxa"/>
            <w:tcBorders>
              <w:top w:val="single" w:sz="4" w:space="0" w:color="auto"/>
              <w:bottom w:val="single" w:sz="12" w:space="0" w:color="auto"/>
            </w:tcBorders>
            <w:vAlign w:val="bottom"/>
            <w:hideMark/>
          </w:tcPr>
          <w:p w14:paraId="3D0D2A77" w14:textId="3FD6E800" w:rsidR="001F056A" w:rsidRPr="00860A3B" w:rsidRDefault="003B6B46" w:rsidP="00860A3B">
            <w:pPr>
              <w:pStyle w:val="P68B1DB1-Normal-pool-Table1"/>
              <w:spacing w:before="0" w:after="0"/>
              <w:rPr>
                <w:rFonts w:ascii="Simplified Arabic" w:hAnsi="Simplified Arabic" w:cs="Simplified Arabic" w:hint="cs"/>
                <w:sz w:val="24"/>
                <w:szCs w:val="24"/>
              </w:rPr>
            </w:pPr>
            <w:r w:rsidRPr="00860A3B">
              <w:rPr>
                <w:rFonts w:ascii="Simplified Arabic" w:hAnsi="Simplified Arabic" w:cs="Simplified Arabic" w:hint="cs"/>
                <w:sz w:val="24"/>
                <w:szCs w:val="24"/>
              </w:rPr>
              <w:t>الترجمات/العروض النصية المدعومة بالذكاء الاصطناعي (بالدولار الأمريكي)</w:t>
            </w:r>
          </w:p>
        </w:tc>
        <w:tc>
          <w:tcPr>
            <w:tcW w:w="1134" w:type="dxa"/>
            <w:tcBorders>
              <w:top w:val="single" w:sz="4" w:space="0" w:color="auto"/>
              <w:bottom w:val="single" w:sz="12" w:space="0" w:color="auto"/>
            </w:tcBorders>
            <w:vAlign w:val="bottom"/>
            <w:hideMark/>
          </w:tcPr>
          <w:p w14:paraId="3D22FB43" w14:textId="36C495C8" w:rsidR="001F056A" w:rsidRPr="00860A3B" w:rsidRDefault="003B6B46" w:rsidP="00860A3B">
            <w:pPr>
              <w:pStyle w:val="P68B1DB1-Normal-pool-Table1"/>
              <w:spacing w:before="0" w:after="0"/>
              <w:rPr>
                <w:rFonts w:ascii="Simplified Arabic" w:hAnsi="Simplified Arabic" w:cs="Simplified Arabic" w:hint="cs"/>
                <w:sz w:val="24"/>
                <w:szCs w:val="24"/>
              </w:rPr>
            </w:pPr>
            <w:r w:rsidRPr="00860A3B">
              <w:rPr>
                <w:rFonts w:ascii="Simplified Arabic" w:hAnsi="Simplified Arabic" w:cs="Simplified Arabic" w:hint="cs"/>
                <w:sz w:val="24"/>
                <w:szCs w:val="24"/>
              </w:rPr>
              <w:t>مجموع التكاليف (بالدولار الأمريكي)</w:t>
            </w:r>
          </w:p>
        </w:tc>
        <w:tc>
          <w:tcPr>
            <w:tcW w:w="1700" w:type="dxa"/>
            <w:tcBorders>
              <w:top w:val="single" w:sz="4" w:space="0" w:color="auto"/>
              <w:bottom w:val="single" w:sz="12" w:space="0" w:color="auto"/>
            </w:tcBorders>
            <w:vAlign w:val="bottom"/>
            <w:hideMark/>
          </w:tcPr>
          <w:p w14:paraId="020DFFA0" w14:textId="77777777" w:rsidR="001F056A" w:rsidRPr="00860A3B" w:rsidRDefault="003B6B46" w:rsidP="00860A3B">
            <w:pPr>
              <w:pStyle w:val="P68B1DB1-Normal-pool-Table1"/>
              <w:spacing w:before="0" w:after="0"/>
              <w:rPr>
                <w:rFonts w:ascii="Simplified Arabic" w:hAnsi="Simplified Arabic" w:cs="Simplified Arabic" w:hint="cs"/>
                <w:sz w:val="24"/>
                <w:szCs w:val="24"/>
              </w:rPr>
            </w:pPr>
            <w:r w:rsidRPr="00860A3B">
              <w:rPr>
                <w:rFonts w:ascii="Simplified Arabic" w:hAnsi="Simplified Arabic" w:cs="Simplified Arabic" w:hint="cs"/>
                <w:sz w:val="24"/>
                <w:szCs w:val="24"/>
              </w:rPr>
              <w:t>الملاحظات</w:t>
            </w:r>
          </w:p>
        </w:tc>
      </w:tr>
      <w:tr w:rsidR="001F056A" w:rsidRPr="00860A3B" w14:paraId="26E9C36F" w14:textId="77777777">
        <w:trPr>
          <w:trHeight w:val="57"/>
          <w:jc w:val="right"/>
        </w:trPr>
        <w:tc>
          <w:tcPr>
            <w:tcW w:w="1037" w:type="dxa"/>
            <w:vMerge w:val="restart"/>
            <w:tcBorders>
              <w:top w:val="single" w:sz="12" w:space="0" w:color="auto"/>
            </w:tcBorders>
            <w:noWrap/>
            <w:hideMark/>
          </w:tcPr>
          <w:p w14:paraId="798BDDA7" w14:textId="77777777" w:rsidR="001F056A" w:rsidRPr="00860A3B" w:rsidRDefault="003B6B46" w:rsidP="00860A3B">
            <w:pPr>
              <w:pStyle w:val="P68B1DB1-Normal-pool-Table8"/>
              <w:spacing w:before="0" w:after="0"/>
              <w:rPr>
                <w:rFonts w:ascii="Simplified Arabic" w:hAnsi="Simplified Arabic" w:cs="Simplified Arabic" w:hint="cs"/>
                <w:b w:val="0"/>
                <w:bCs/>
                <w:sz w:val="24"/>
                <w:szCs w:val="24"/>
              </w:rPr>
            </w:pPr>
            <w:r w:rsidRPr="00860A3B">
              <w:rPr>
                <w:rFonts w:ascii="Simplified Arabic" w:hAnsi="Simplified Arabic" w:cs="Simplified Arabic" w:hint="cs"/>
                <w:b w:val="0"/>
                <w:bCs/>
                <w:sz w:val="24"/>
                <w:szCs w:val="24"/>
              </w:rPr>
              <w:t>Zoom</w:t>
            </w:r>
          </w:p>
        </w:tc>
        <w:tc>
          <w:tcPr>
            <w:tcW w:w="1127" w:type="dxa"/>
            <w:vMerge w:val="restart"/>
            <w:tcBorders>
              <w:top w:val="single" w:sz="12" w:space="0" w:color="auto"/>
            </w:tcBorders>
            <w:hideMark/>
          </w:tcPr>
          <w:p w14:paraId="05C33E1E" w14:textId="2EB2DE5E" w:rsidR="001F056A" w:rsidRPr="00860A3B" w:rsidRDefault="003B6B46" w:rsidP="00860A3B">
            <w:pPr>
              <w:pStyle w:val="P68B1DB1-Normal-pool-Table3"/>
              <w:spacing w:before="0" w:after="0"/>
              <w:rPr>
                <w:rFonts w:ascii="Simplified Arabic" w:hAnsi="Simplified Arabic" w:cs="Simplified Arabic" w:hint="cs"/>
                <w:color w:val="000000"/>
                <w:sz w:val="24"/>
                <w:szCs w:val="24"/>
              </w:rPr>
            </w:pPr>
            <w:r w:rsidRPr="00860A3B">
              <w:rPr>
                <w:rFonts w:ascii="Simplified Arabic" w:hAnsi="Simplified Arabic" w:cs="Simplified Arabic" w:hint="cs"/>
                <w:sz w:val="24"/>
                <w:szCs w:val="24"/>
              </w:rPr>
              <w:t>سنوي غير محدود</w:t>
            </w:r>
          </w:p>
        </w:tc>
        <w:tc>
          <w:tcPr>
            <w:tcW w:w="1097" w:type="dxa"/>
            <w:tcBorders>
              <w:top w:val="single" w:sz="12" w:space="0" w:color="auto"/>
            </w:tcBorders>
            <w:noWrap/>
            <w:hideMark/>
          </w:tcPr>
          <w:p w14:paraId="2E32AE7C" w14:textId="1EF4FD2E" w:rsidR="001F056A" w:rsidRPr="00860A3B" w:rsidRDefault="003B6B46" w:rsidP="00860A3B">
            <w:pPr>
              <w:pStyle w:val="P68B1DB1-Normal-pool-Table3"/>
              <w:spacing w:before="0" w:after="0"/>
              <w:rPr>
                <w:rFonts w:ascii="Simplified Arabic" w:hAnsi="Simplified Arabic" w:cs="Simplified Arabic" w:hint="cs"/>
                <w:color w:val="000000"/>
                <w:sz w:val="24"/>
                <w:szCs w:val="24"/>
              </w:rPr>
            </w:pPr>
            <w:r w:rsidRPr="00860A3B">
              <w:rPr>
                <w:rFonts w:ascii="Simplified Arabic" w:hAnsi="Simplified Arabic" w:cs="Simplified Arabic" w:hint="cs"/>
                <w:sz w:val="24"/>
                <w:szCs w:val="24"/>
              </w:rPr>
              <w:t xml:space="preserve">&lt; 300 </w:t>
            </w:r>
          </w:p>
        </w:tc>
        <w:tc>
          <w:tcPr>
            <w:tcW w:w="992" w:type="dxa"/>
            <w:tcBorders>
              <w:top w:val="single" w:sz="12" w:space="0" w:color="auto"/>
            </w:tcBorders>
            <w:noWrap/>
            <w:hideMark/>
          </w:tcPr>
          <w:p w14:paraId="695C9D9E" w14:textId="25CFB957" w:rsidR="001F056A" w:rsidRPr="00860A3B" w:rsidRDefault="003B6B46" w:rsidP="00860A3B">
            <w:pPr>
              <w:pStyle w:val="P68B1DB1-Normal-pool-Table3"/>
              <w:spacing w:before="0" w:after="0"/>
              <w:rPr>
                <w:rFonts w:ascii="Simplified Arabic" w:hAnsi="Simplified Arabic" w:cs="Simplified Arabic" w:hint="cs"/>
                <w:color w:val="000000"/>
                <w:sz w:val="24"/>
                <w:szCs w:val="24"/>
              </w:rPr>
            </w:pPr>
            <w:r w:rsidRPr="00860A3B">
              <w:rPr>
                <w:rFonts w:ascii="Simplified Arabic" w:hAnsi="Simplified Arabic" w:cs="Simplified Arabic" w:hint="cs"/>
                <w:sz w:val="24"/>
                <w:szCs w:val="24"/>
              </w:rPr>
              <w:t xml:space="preserve">300 </w:t>
            </w:r>
          </w:p>
        </w:tc>
        <w:tc>
          <w:tcPr>
            <w:tcW w:w="1276" w:type="dxa"/>
            <w:tcBorders>
              <w:top w:val="single" w:sz="12" w:space="0" w:color="auto"/>
            </w:tcBorders>
            <w:noWrap/>
            <w:hideMark/>
          </w:tcPr>
          <w:p w14:paraId="211796AF" w14:textId="1A1AF810" w:rsidR="001F056A" w:rsidRPr="00860A3B" w:rsidRDefault="003B6B46" w:rsidP="00860A3B">
            <w:pPr>
              <w:pStyle w:val="P68B1DB1-Normal-pool-Table3"/>
              <w:spacing w:before="0" w:after="0"/>
              <w:rPr>
                <w:rFonts w:ascii="Simplified Arabic" w:hAnsi="Simplified Arabic" w:cs="Simplified Arabic" w:hint="cs"/>
                <w:color w:val="000000"/>
                <w:sz w:val="24"/>
                <w:szCs w:val="24"/>
              </w:rPr>
            </w:pPr>
            <w:r w:rsidRPr="00860A3B">
              <w:rPr>
                <w:rFonts w:ascii="Simplified Arabic" w:hAnsi="Simplified Arabic" w:cs="Simplified Arabic" w:hint="cs"/>
                <w:sz w:val="24"/>
                <w:szCs w:val="24"/>
              </w:rPr>
              <w:t xml:space="preserve">300 </w:t>
            </w:r>
          </w:p>
        </w:tc>
        <w:tc>
          <w:tcPr>
            <w:tcW w:w="1134" w:type="dxa"/>
            <w:tcBorders>
              <w:top w:val="single" w:sz="12" w:space="0" w:color="auto"/>
            </w:tcBorders>
            <w:noWrap/>
            <w:hideMark/>
          </w:tcPr>
          <w:p w14:paraId="20FC7AB6" w14:textId="6B004603" w:rsidR="001F056A" w:rsidRPr="00860A3B" w:rsidRDefault="003B6B46" w:rsidP="00860A3B">
            <w:pPr>
              <w:pStyle w:val="P68B1DB1-Normal-pool-Table3"/>
              <w:spacing w:before="0" w:after="0"/>
              <w:rPr>
                <w:rFonts w:ascii="Simplified Arabic" w:hAnsi="Simplified Arabic" w:cs="Simplified Arabic" w:hint="cs"/>
                <w:color w:val="000000"/>
                <w:sz w:val="24"/>
                <w:szCs w:val="24"/>
              </w:rPr>
            </w:pPr>
            <w:r w:rsidRPr="00860A3B">
              <w:rPr>
                <w:rFonts w:ascii="Simplified Arabic" w:hAnsi="Simplified Arabic" w:cs="Simplified Arabic" w:hint="cs"/>
                <w:sz w:val="24"/>
                <w:szCs w:val="24"/>
              </w:rPr>
              <w:t xml:space="preserve">50 </w:t>
            </w:r>
          </w:p>
        </w:tc>
        <w:tc>
          <w:tcPr>
            <w:tcW w:w="1134" w:type="dxa"/>
            <w:tcBorders>
              <w:top w:val="single" w:sz="12" w:space="0" w:color="auto"/>
            </w:tcBorders>
            <w:noWrap/>
            <w:hideMark/>
          </w:tcPr>
          <w:p w14:paraId="10FC685E" w14:textId="13AED699" w:rsidR="001F056A" w:rsidRPr="00860A3B" w:rsidRDefault="003B6B46" w:rsidP="00860A3B">
            <w:pPr>
              <w:pStyle w:val="P68B1DB1-Normal-pool-Table3"/>
              <w:spacing w:before="0" w:after="0"/>
              <w:rPr>
                <w:rFonts w:ascii="Simplified Arabic" w:hAnsi="Simplified Arabic" w:cs="Simplified Arabic" w:hint="cs"/>
                <w:color w:val="000000"/>
                <w:sz w:val="24"/>
                <w:szCs w:val="24"/>
              </w:rPr>
            </w:pPr>
            <w:r w:rsidRPr="00860A3B">
              <w:rPr>
                <w:rFonts w:ascii="Simplified Arabic" w:hAnsi="Simplified Arabic" w:cs="Simplified Arabic" w:hint="cs"/>
                <w:sz w:val="24"/>
                <w:szCs w:val="24"/>
              </w:rPr>
              <w:t xml:space="preserve">650 </w:t>
            </w:r>
          </w:p>
        </w:tc>
        <w:tc>
          <w:tcPr>
            <w:tcW w:w="1700" w:type="dxa"/>
            <w:vMerge w:val="restart"/>
            <w:tcBorders>
              <w:top w:val="single" w:sz="12" w:space="0" w:color="auto"/>
            </w:tcBorders>
            <w:hideMark/>
          </w:tcPr>
          <w:p w14:paraId="306DC29F" w14:textId="77777777" w:rsidR="001F056A" w:rsidRPr="00860A3B" w:rsidRDefault="003B6B46" w:rsidP="00860A3B">
            <w:pPr>
              <w:pStyle w:val="P68B1DB1-Normal-pool-Table3"/>
              <w:spacing w:before="0" w:after="0"/>
              <w:rPr>
                <w:rFonts w:ascii="Simplified Arabic" w:hAnsi="Simplified Arabic" w:cs="Simplified Arabic" w:hint="cs"/>
                <w:color w:val="000000"/>
                <w:sz w:val="24"/>
                <w:szCs w:val="24"/>
              </w:rPr>
            </w:pPr>
            <w:r w:rsidRPr="00860A3B">
              <w:rPr>
                <w:rFonts w:ascii="Simplified Arabic" w:hAnsi="Simplified Arabic" w:cs="Simplified Arabic" w:hint="cs"/>
                <w:sz w:val="24"/>
                <w:szCs w:val="24"/>
              </w:rPr>
              <w:t xml:space="preserve">اجتماعات غير محدودة لمدة سنة واحدة (جميع اللغات) </w:t>
            </w:r>
          </w:p>
          <w:p w14:paraId="3E3CA63B" w14:textId="71324429" w:rsidR="001F056A" w:rsidRPr="00860A3B" w:rsidRDefault="003B6B46" w:rsidP="00860A3B">
            <w:pPr>
              <w:pStyle w:val="P68B1DB1-Normal-pool-Table3"/>
              <w:spacing w:before="0" w:after="0"/>
              <w:rPr>
                <w:rFonts w:ascii="Simplified Arabic" w:hAnsi="Simplified Arabic" w:cs="Simplified Arabic" w:hint="cs"/>
                <w:color w:val="000000"/>
                <w:sz w:val="24"/>
                <w:szCs w:val="24"/>
              </w:rPr>
            </w:pPr>
            <w:r w:rsidRPr="00860A3B">
              <w:rPr>
                <w:rFonts w:ascii="Simplified Arabic" w:hAnsi="Simplified Arabic" w:cs="Simplified Arabic" w:hint="cs"/>
                <w:sz w:val="24"/>
                <w:szCs w:val="24"/>
              </w:rPr>
              <w:t xml:space="preserve">سهولة دمج الترجمة الشفوية من جهات خارجية </w:t>
            </w:r>
            <w:r w:rsidRPr="00860A3B">
              <w:rPr>
                <w:rFonts w:ascii="Simplified Arabic" w:hAnsi="Simplified Arabic" w:cs="Simplified Arabic" w:hint="cs"/>
                <w:sz w:val="24"/>
                <w:szCs w:val="24"/>
              </w:rPr>
              <w:lastRenderedPageBreak/>
              <w:t>والترجمة الشفوية البشرية</w:t>
            </w:r>
          </w:p>
        </w:tc>
      </w:tr>
      <w:tr w:rsidR="001F056A" w:rsidRPr="00860A3B" w14:paraId="2C68941B" w14:textId="77777777">
        <w:trPr>
          <w:trHeight w:val="57"/>
          <w:jc w:val="right"/>
        </w:trPr>
        <w:tc>
          <w:tcPr>
            <w:tcW w:w="1037" w:type="dxa"/>
            <w:vMerge/>
            <w:hideMark/>
          </w:tcPr>
          <w:p w14:paraId="70FB3B7C" w14:textId="77777777" w:rsidR="001F056A" w:rsidRPr="00860A3B" w:rsidRDefault="001F056A" w:rsidP="00860A3B">
            <w:pPr>
              <w:pStyle w:val="Normal-pool-Table"/>
              <w:spacing w:before="0" w:after="0"/>
              <w:rPr>
                <w:rFonts w:ascii="Simplified Arabic" w:hAnsi="Simplified Arabic" w:cs="Simplified Arabic" w:hint="cs"/>
                <w:color w:val="000000"/>
                <w:sz w:val="24"/>
                <w:szCs w:val="24"/>
              </w:rPr>
            </w:pPr>
          </w:p>
        </w:tc>
        <w:tc>
          <w:tcPr>
            <w:tcW w:w="1127" w:type="dxa"/>
            <w:vMerge/>
            <w:hideMark/>
          </w:tcPr>
          <w:p w14:paraId="7125ECCB" w14:textId="77777777" w:rsidR="001F056A" w:rsidRPr="00860A3B" w:rsidRDefault="001F056A" w:rsidP="00860A3B">
            <w:pPr>
              <w:pStyle w:val="Normal-pool-Table"/>
              <w:spacing w:before="0" w:after="0"/>
              <w:rPr>
                <w:rFonts w:ascii="Simplified Arabic" w:hAnsi="Simplified Arabic" w:cs="Simplified Arabic" w:hint="cs"/>
                <w:color w:val="000000"/>
                <w:sz w:val="24"/>
                <w:szCs w:val="24"/>
              </w:rPr>
            </w:pPr>
          </w:p>
        </w:tc>
        <w:tc>
          <w:tcPr>
            <w:tcW w:w="1097" w:type="dxa"/>
            <w:noWrap/>
            <w:hideMark/>
          </w:tcPr>
          <w:p w14:paraId="56FA258D" w14:textId="3DE9A6F9" w:rsidR="001F056A" w:rsidRPr="00860A3B" w:rsidRDefault="003B6B46" w:rsidP="00860A3B">
            <w:pPr>
              <w:pStyle w:val="P68B1DB1-Normal-pool-Table3"/>
              <w:spacing w:before="0" w:after="0"/>
              <w:rPr>
                <w:rFonts w:ascii="Simplified Arabic" w:hAnsi="Simplified Arabic" w:cs="Simplified Arabic" w:hint="cs"/>
                <w:color w:val="000000"/>
                <w:sz w:val="24"/>
                <w:szCs w:val="24"/>
              </w:rPr>
            </w:pPr>
            <w:r w:rsidRPr="00860A3B">
              <w:rPr>
                <w:rFonts w:ascii="Simplified Arabic" w:hAnsi="Simplified Arabic" w:cs="Simplified Arabic" w:hint="cs"/>
                <w:sz w:val="24"/>
                <w:szCs w:val="24"/>
              </w:rPr>
              <w:t xml:space="preserve">1000 </w:t>
            </w:r>
          </w:p>
        </w:tc>
        <w:tc>
          <w:tcPr>
            <w:tcW w:w="992" w:type="dxa"/>
            <w:noWrap/>
            <w:hideMark/>
          </w:tcPr>
          <w:p w14:paraId="557F6B29" w14:textId="4DD3D97A" w:rsidR="001F056A" w:rsidRPr="00860A3B" w:rsidRDefault="003B6B46" w:rsidP="00860A3B">
            <w:pPr>
              <w:pStyle w:val="P68B1DB1-Normal-pool-Table3"/>
              <w:spacing w:before="0" w:after="0"/>
              <w:rPr>
                <w:rFonts w:ascii="Simplified Arabic" w:hAnsi="Simplified Arabic" w:cs="Simplified Arabic" w:hint="cs"/>
                <w:color w:val="000000"/>
                <w:sz w:val="24"/>
                <w:szCs w:val="24"/>
              </w:rPr>
            </w:pPr>
            <w:r w:rsidRPr="00860A3B">
              <w:rPr>
                <w:rFonts w:ascii="Simplified Arabic" w:hAnsi="Simplified Arabic" w:cs="Simplified Arabic" w:hint="cs"/>
                <w:sz w:val="24"/>
                <w:szCs w:val="24"/>
              </w:rPr>
              <w:t xml:space="preserve">2000 </w:t>
            </w:r>
          </w:p>
        </w:tc>
        <w:tc>
          <w:tcPr>
            <w:tcW w:w="1276" w:type="dxa"/>
            <w:noWrap/>
            <w:hideMark/>
          </w:tcPr>
          <w:p w14:paraId="143EF50A" w14:textId="1600A635" w:rsidR="001F056A" w:rsidRPr="00860A3B" w:rsidRDefault="003B6B46" w:rsidP="00860A3B">
            <w:pPr>
              <w:pStyle w:val="P68B1DB1-Normal-pool-Table3"/>
              <w:spacing w:before="0" w:after="0"/>
              <w:rPr>
                <w:rFonts w:ascii="Simplified Arabic" w:hAnsi="Simplified Arabic" w:cs="Simplified Arabic" w:hint="cs"/>
                <w:color w:val="000000"/>
                <w:sz w:val="24"/>
                <w:szCs w:val="24"/>
              </w:rPr>
            </w:pPr>
            <w:r w:rsidRPr="00860A3B">
              <w:rPr>
                <w:rFonts w:ascii="Simplified Arabic" w:hAnsi="Simplified Arabic" w:cs="Simplified Arabic" w:hint="cs"/>
                <w:sz w:val="24"/>
                <w:szCs w:val="24"/>
              </w:rPr>
              <w:t xml:space="preserve">300 </w:t>
            </w:r>
          </w:p>
        </w:tc>
        <w:tc>
          <w:tcPr>
            <w:tcW w:w="1134" w:type="dxa"/>
            <w:noWrap/>
            <w:hideMark/>
          </w:tcPr>
          <w:p w14:paraId="4E4B3EBF" w14:textId="245DBB1A" w:rsidR="001F056A" w:rsidRPr="00860A3B" w:rsidRDefault="003B6B46" w:rsidP="00860A3B">
            <w:pPr>
              <w:pStyle w:val="P68B1DB1-Normal-pool-Table3"/>
              <w:spacing w:before="0" w:after="0"/>
              <w:rPr>
                <w:rFonts w:ascii="Simplified Arabic" w:hAnsi="Simplified Arabic" w:cs="Simplified Arabic" w:hint="cs"/>
                <w:color w:val="000000"/>
                <w:sz w:val="24"/>
                <w:szCs w:val="24"/>
              </w:rPr>
            </w:pPr>
            <w:r w:rsidRPr="00860A3B">
              <w:rPr>
                <w:rFonts w:ascii="Simplified Arabic" w:hAnsi="Simplified Arabic" w:cs="Simplified Arabic" w:hint="cs"/>
                <w:sz w:val="24"/>
                <w:szCs w:val="24"/>
              </w:rPr>
              <w:t xml:space="preserve">50 </w:t>
            </w:r>
          </w:p>
        </w:tc>
        <w:tc>
          <w:tcPr>
            <w:tcW w:w="1134" w:type="dxa"/>
            <w:noWrap/>
            <w:hideMark/>
          </w:tcPr>
          <w:p w14:paraId="37B3157B" w14:textId="2903DA84" w:rsidR="001F056A" w:rsidRPr="00860A3B" w:rsidRDefault="003B6B46" w:rsidP="00860A3B">
            <w:pPr>
              <w:pStyle w:val="P68B1DB1-Normal-pool-Table3"/>
              <w:spacing w:before="0" w:after="0"/>
              <w:rPr>
                <w:rFonts w:ascii="Simplified Arabic" w:hAnsi="Simplified Arabic" w:cs="Simplified Arabic" w:hint="cs"/>
                <w:color w:val="000000"/>
                <w:sz w:val="24"/>
                <w:szCs w:val="24"/>
              </w:rPr>
            </w:pPr>
            <w:r w:rsidRPr="00860A3B">
              <w:rPr>
                <w:rFonts w:ascii="Simplified Arabic" w:hAnsi="Simplified Arabic" w:cs="Simplified Arabic" w:hint="cs"/>
                <w:sz w:val="24"/>
                <w:szCs w:val="24"/>
              </w:rPr>
              <w:t xml:space="preserve">2350 </w:t>
            </w:r>
          </w:p>
        </w:tc>
        <w:tc>
          <w:tcPr>
            <w:tcW w:w="1700" w:type="dxa"/>
            <w:vMerge/>
            <w:hideMark/>
          </w:tcPr>
          <w:p w14:paraId="6C4BDF54" w14:textId="77777777" w:rsidR="001F056A" w:rsidRPr="00860A3B" w:rsidRDefault="001F056A" w:rsidP="00860A3B">
            <w:pPr>
              <w:pStyle w:val="Normal-pool-Table"/>
              <w:spacing w:before="0" w:after="0"/>
              <w:rPr>
                <w:rFonts w:ascii="Simplified Arabic" w:hAnsi="Simplified Arabic" w:cs="Simplified Arabic" w:hint="cs"/>
                <w:color w:val="000000"/>
                <w:sz w:val="24"/>
                <w:szCs w:val="24"/>
              </w:rPr>
            </w:pPr>
          </w:p>
        </w:tc>
      </w:tr>
      <w:tr w:rsidR="001F056A" w:rsidRPr="00860A3B" w14:paraId="205E58C6" w14:textId="77777777">
        <w:trPr>
          <w:trHeight w:val="57"/>
          <w:jc w:val="right"/>
        </w:trPr>
        <w:tc>
          <w:tcPr>
            <w:tcW w:w="1037" w:type="dxa"/>
            <w:vMerge/>
            <w:hideMark/>
          </w:tcPr>
          <w:p w14:paraId="177CD015" w14:textId="77777777" w:rsidR="001F056A" w:rsidRPr="00860A3B" w:rsidRDefault="001F056A" w:rsidP="00860A3B">
            <w:pPr>
              <w:pStyle w:val="Normal-pool-Table"/>
              <w:spacing w:before="0" w:after="0"/>
              <w:rPr>
                <w:rFonts w:ascii="Simplified Arabic" w:hAnsi="Simplified Arabic" w:cs="Simplified Arabic" w:hint="cs"/>
                <w:color w:val="000000"/>
                <w:sz w:val="24"/>
                <w:szCs w:val="24"/>
              </w:rPr>
            </w:pPr>
          </w:p>
        </w:tc>
        <w:tc>
          <w:tcPr>
            <w:tcW w:w="1127" w:type="dxa"/>
            <w:vMerge w:val="restart"/>
            <w:hideMark/>
          </w:tcPr>
          <w:p w14:paraId="2A4785E1" w14:textId="1F098548" w:rsidR="001F056A" w:rsidRPr="00860A3B" w:rsidRDefault="003B6B46" w:rsidP="00860A3B">
            <w:pPr>
              <w:pStyle w:val="P68B1DB1-Normal-pool-Table3"/>
              <w:spacing w:before="0" w:after="0"/>
              <w:rPr>
                <w:rFonts w:ascii="Simplified Arabic" w:hAnsi="Simplified Arabic" w:cs="Simplified Arabic" w:hint="cs"/>
                <w:color w:val="000000"/>
                <w:sz w:val="24"/>
                <w:szCs w:val="24"/>
              </w:rPr>
            </w:pPr>
            <w:r w:rsidRPr="00860A3B">
              <w:rPr>
                <w:rFonts w:ascii="Simplified Arabic" w:hAnsi="Simplified Arabic" w:cs="Simplified Arabic" w:hint="cs"/>
                <w:sz w:val="24"/>
                <w:szCs w:val="24"/>
              </w:rPr>
              <w:t>شهران</w:t>
            </w:r>
          </w:p>
        </w:tc>
        <w:tc>
          <w:tcPr>
            <w:tcW w:w="1097" w:type="dxa"/>
            <w:noWrap/>
            <w:hideMark/>
          </w:tcPr>
          <w:p w14:paraId="14E7D0D2" w14:textId="4A99D6C6" w:rsidR="001F056A" w:rsidRPr="00860A3B" w:rsidRDefault="003B6B46" w:rsidP="00860A3B">
            <w:pPr>
              <w:pStyle w:val="P68B1DB1-Normal-pool-Table3"/>
              <w:spacing w:before="0" w:after="0"/>
              <w:rPr>
                <w:rFonts w:ascii="Simplified Arabic" w:hAnsi="Simplified Arabic" w:cs="Simplified Arabic" w:hint="cs"/>
                <w:color w:val="000000"/>
                <w:sz w:val="24"/>
                <w:szCs w:val="24"/>
              </w:rPr>
            </w:pPr>
            <w:r w:rsidRPr="00860A3B">
              <w:rPr>
                <w:rFonts w:ascii="Simplified Arabic" w:hAnsi="Simplified Arabic" w:cs="Simplified Arabic" w:hint="cs"/>
                <w:sz w:val="24"/>
                <w:szCs w:val="24"/>
              </w:rPr>
              <w:t xml:space="preserve">&lt; 300 </w:t>
            </w:r>
          </w:p>
        </w:tc>
        <w:tc>
          <w:tcPr>
            <w:tcW w:w="992" w:type="dxa"/>
            <w:noWrap/>
            <w:hideMark/>
          </w:tcPr>
          <w:p w14:paraId="1C42D817" w14:textId="0EC79F9B" w:rsidR="001F056A" w:rsidRPr="00860A3B" w:rsidRDefault="003B6B46" w:rsidP="00860A3B">
            <w:pPr>
              <w:pStyle w:val="P68B1DB1-Normal-pool-Table3"/>
              <w:spacing w:before="0" w:after="0"/>
              <w:rPr>
                <w:rFonts w:ascii="Simplified Arabic" w:hAnsi="Simplified Arabic" w:cs="Simplified Arabic" w:hint="cs"/>
                <w:color w:val="000000"/>
                <w:sz w:val="24"/>
                <w:szCs w:val="24"/>
              </w:rPr>
            </w:pPr>
            <w:r w:rsidRPr="00860A3B">
              <w:rPr>
                <w:rFonts w:ascii="Simplified Arabic" w:hAnsi="Simplified Arabic" w:cs="Simplified Arabic" w:hint="cs"/>
                <w:sz w:val="24"/>
                <w:szCs w:val="24"/>
              </w:rPr>
              <w:t xml:space="preserve">60 </w:t>
            </w:r>
          </w:p>
        </w:tc>
        <w:tc>
          <w:tcPr>
            <w:tcW w:w="1276" w:type="dxa"/>
            <w:noWrap/>
            <w:hideMark/>
          </w:tcPr>
          <w:p w14:paraId="4B68AEFD" w14:textId="54EB2204" w:rsidR="001F056A" w:rsidRPr="00860A3B" w:rsidRDefault="003B6B46" w:rsidP="00860A3B">
            <w:pPr>
              <w:pStyle w:val="P68B1DB1-Normal-pool-Table3"/>
              <w:spacing w:before="0" w:after="0"/>
              <w:rPr>
                <w:rFonts w:ascii="Simplified Arabic" w:hAnsi="Simplified Arabic" w:cs="Simplified Arabic" w:hint="cs"/>
                <w:color w:val="000000"/>
                <w:sz w:val="24"/>
                <w:szCs w:val="24"/>
              </w:rPr>
            </w:pPr>
            <w:r w:rsidRPr="00860A3B">
              <w:rPr>
                <w:rFonts w:ascii="Simplified Arabic" w:hAnsi="Simplified Arabic" w:cs="Simplified Arabic" w:hint="cs"/>
                <w:sz w:val="24"/>
                <w:szCs w:val="24"/>
              </w:rPr>
              <w:t xml:space="preserve">غير متوفرة </w:t>
            </w:r>
          </w:p>
        </w:tc>
        <w:tc>
          <w:tcPr>
            <w:tcW w:w="1134" w:type="dxa"/>
            <w:noWrap/>
            <w:hideMark/>
          </w:tcPr>
          <w:p w14:paraId="0A0E0870" w14:textId="71C13149" w:rsidR="001F056A" w:rsidRPr="00860A3B" w:rsidRDefault="003B6B46" w:rsidP="00860A3B">
            <w:pPr>
              <w:pStyle w:val="P68B1DB1-Normal-pool-Table9"/>
              <w:spacing w:before="0" w:after="0"/>
              <w:rPr>
                <w:rFonts w:ascii="Simplified Arabic" w:hAnsi="Simplified Arabic" w:cs="Simplified Arabic" w:hint="cs"/>
                <w:sz w:val="24"/>
                <w:szCs w:val="24"/>
              </w:rPr>
            </w:pPr>
            <w:r w:rsidRPr="00860A3B">
              <w:rPr>
                <w:rFonts w:ascii="Cambria Math" w:hAnsi="Cambria Math" w:cs="Cambria Math" w:hint="cs"/>
                <w:sz w:val="24"/>
                <w:szCs w:val="24"/>
              </w:rPr>
              <w:t>−</w:t>
            </w:r>
          </w:p>
        </w:tc>
        <w:tc>
          <w:tcPr>
            <w:tcW w:w="1134" w:type="dxa"/>
            <w:noWrap/>
            <w:hideMark/>
          </w:tcPr>
          <w:p w14:paraId="57667313" w14:textId="05A5A85A" w:rsidR="001F056A" w:rsidRPr="00860A3B" w:rsidRDefault="003B6B46" w:rsidP="00860A3B">
            <w:pPr>
              <w:pStyle w:val="P68B1DB1-Normal-pool-Table3"/>
              <w:spacing w:before="0" w:after="0"/>
              <w:rPr>
                <w:rFonts w:ascii="Simplified Arabic" w:hAnsi="Simplified Arabic" w:cs="Simplified Arabic" w:hint="cs"/>
                <w:color w:val="000000"/>
                <w:sz w:val="24"/>
                <w:szCs w:val="24"/>
              </w:rPr>
            </w:pPr>
            <w:r w:rsidRPr="00860A3B">
              <w:rPr>
                <w:rFonts w:ascii="Simplified Arabic" w:hAnsi="Simplified Arabic" w:cs="Simplified Arabic" w:hint="cs"/>
                <w:sz w:val="24"/>
                <w:szCs w:val="24"/>
              </w:rPr>
              <w:t xml:space="preserve">60 </w:t>
            </w:r>
          </w:p>
        </w:tc>
        <w:tc>
          <w:tcPr>
            <w:tcW w:w="1700" w:type="dxa"/>
            <w:vMerge w:val="restart"/>
            <w:tcBorders>
              <w:bottom w:val="single" w:sz="4" w:space="0" w:color="auto"/>
            </w:tcBorders>
            <w:hideMark/>
          </w:tcPr>
          <w:p w14:paraId="10597732" w14:textId="77777777" w:rsidR="001F056A" w:rsidRPr="00860A3B" w:rsidRDefault="003B6B46" w:rsidP="00860A3B">
            <w:pPr>
              <w:pStyle w:val="P68B1DB1-Normal-pool-Table3"/>
              <w:spacing w:before="0" w:after="0"/>
              <w:rPr>
                <w:rFonts w:ascii="Simplified Arabic" w:hAnsi="Simplified Arabic" w:cs="Simplified Arabic" w:hint="cs"/>
                <w:color w:val="000000"/>
                <w:sz w:val="24"/>
                <w:szCs w:val="24"/>
              </w:rPr>
            </w:pPr>
            <w:r w:rsidRPr="00860A3B">
              <w:rPr>
                <w:rFonts w:ascii="Simplified Arabic" w:hAnsi="Simplified Arabic" w:cs="Simplified Arabic" w:hint="cs"/>
                <w:sz w:val="24"/>
                <w:szCs w:val="24"/>
              </w:rPr>
              <w:t>اشتراك مؤقت خلال فترة الاجتماع</w:t>
            </w:r>
          </w:p>
        </w:tc>
      </w:tr>
      <w:tr w:rsidR="001F056A" w:rsidRPr="00860A3B" w14:paraId="2FB51F5C" w14:textId="77777777">
        <w:trPr>
          <w:trHeight w:val="57"/>
          <w:jc w:val="right"/>
        </w:trPr>
        <w:tc>
          <w:tcPr>
            <w:tcW w:w="1037" w:type="dxa"/>
            <w:vMerge/>
            <w:tcBorders>
              <w:bottom w:val="single" w:sz="4" w:space="0" w:color="auto"/>
            </w:tcBorders>
            <w:hideMark/>
          </w:tcPr>
          <w:p w14:paraId="5E80656A" w14:textId="77777777" w:rsidR="001F056A" w:rsidRPr="00860A3B" w:rsidRDefault="001F056A" w:rsidP="00860A3B">
            <w:pPr>
              <w:pStyle w:val="Normal-pool-Table"/>
              <w:spacing w:before="0" w:after="0"/>
              <w:rPr>
                <w:rFonts w:ascii="Simplified Arabic" w:hAnsi="Simplified Arabic" w:cs="Simplified Arabic" w:hint="cs"/>
                <w:color w:val="000000"/>
                <w:sz w:val="24"/>
                <w:szCs w:val="24"/>
              </w:rPr>
            </w:pPr>
          </w:p>
        </w:tc>
        <w:tc>
          <w:tcPr>
            <w:tcW w:w="1127" w:type="dxa"/>
            <w:vMerge/>
            <w:tcBorders>
              <w:bottom w:val="single" w:sz="4" w:space="0" w:color="auto"/>
            </w:tcBorders>
            <w:hideMark/>
          </w:tcPr>
          <w:p w14:paraId="7EBF8A44" w14:textId="77777777" w:rsidR="001F056A" w:rsidRPr="00860A3B" w:rsidRDefault="001F056A" w:rsidP="00860A3B">
            <w:pPr>
              <w:pStyle w:val="Normal-pool-Table"/>
              <w:spacing w:before="0" w:after="0"/>
              <w:rPr>
                <w:rFonts w:ascii="Simplified Arabic" w:hAnsi="Simplified Arabic" w:cs="Simplified Arabic" w:hint="cs"/>
                <w:color w:val="000000"/>
                <w:sz w:val="24"/>
                <w:szCs w:val="24"/>
              </w:rPr>
            </w:pPr>
          </w:p>
        </w:tc>
        <w:tc>
          <w:tcPr>
            <w:tcW w:w="1097" w:type="dxa"/>
            <w:tcBorders>
              <w:bottom w:val="single" w:sz="4" w:space="0" w:color="auto"/>
            </w:tcBorders>
            <w:noWrap/>
            <w:hideMark/>
          </w:tcPr>
          <w:p w14:paraId="15284F16" w14:textId="23566755" w:rsidR="001F056A" w:rsidRPr="00860A3B" w:rsidRDefault="003B6B46" w:rsidP="00860A3B">
            <w:pPr>
              <w:pStyle w:val="P68B1DB1-Normal-pool-Table3"/>
              <w:spacing w:before="0" w:after="0"/>
              <w:rPr>
                <w:rFonts w:ascii="Simplified Arabic" w:hAnsi="Simplified Arabic" w:cs="Simplified Arabic" w:hint="cs"/>
                <w:color w:val="000000"/>
                <w:sz w:val="24"/>
                <w:szCs w:val="24"/>
              </w:rPr>
            </w:pPr>
            <w:r w:rsidRPr="00860A3B">
              <w:rPr>
                <w:rFonts w:ascii="Simplified Arabic" w:hAnsi="Simplified Arabic" w:cs="Simplified Arabic" w:hint="cs"/>
                <w:sz w:val="24"/>
                <w:szCs w:val="24"/>
              </w:rPr>
              <w:t xml:space="preserve">1000 </w:t>
            </w:r>
          </w:p>
        </w:tc>
        <w:tc>
          <w:tcPr>
            <w:tcW w:w="992" w:type="dxa"/>
            <w:tcBorders>
              <w:bottom w:val="single" w:sz="4" w:space="0" w:color="auto"/>
            </w:tcBorders>
            <w:noWrap/>
            <w:hideMark/>
          </w:tcPr>
          <w:p w14:paraId="466EC68C" w14:textId="16C4338F" w:rsidR="001F056A" w:rsidRPr="00860A3B" w:rsidRDefault="003B6B46" w:rsidP="00860A3B">
            <w:pPr>
              <w:pStyle w:val="P68B1DB1-Normal-pool-Table3"/>
              <w:spacing w:before="0" w:after="0"/>
              <w:rPr>
                <w:rFonts w:ascii="Simplified Arabic" w:hAnsi="Simplified Arabic" w:cs="Simplified Arabic" w:hint="cs"/>
                <w:color w:val="000000"/>
                <w:sz w:val="24"/>
                <w:szCs w:val="24"/>
              </w:rPr>
            </w:pPr>
            <w:r w:rsidRPr="00860A3B">
              <w:rPr>
                <w:rFonts w:ascii="Simplified Arabic" w:hAnsi="Simplified Arabic" w:cs="Simplified Arabic" w:hint="cs"/>
                <w:sz w:val="24"/>
                <w:szCs w:val="24"/>
              </w:rPr>
              <w:t xml:space="preserve">350 </w:t>
            </w:r>
          </w:p>
        </w:tc>
        <w:tc>
          <w:tcPr>
            <w:tcW w:w="1276" w:type="dxa"/>
            <w:tcBorders>
              <w:bottom w:val="single" w:sz="4" w:space="0" w:color="auto"/>
            </w:tcBorders>
            <w:noWrap/>
            <w:hideMark/>
          </w:tcPr>
          <w:p w14:paraId="22C3D49C" w14:textId="59853961" w:rsidR="001F056A" w:rsidRPr="00860A3B" w:rsidRDefault="003B6B46" w:rsidP="00860A3B">
            <w:pPr>
              <w:pStyle w:val="P68B1DB1-Normal-pool-Table3"/>
              <w:spacing w:before="0" w:after="0"/>
              <w:rPr>
                <w:rFonts w:ascii="Simplified Arabic" w:hAnsi="Simplified Arabic" w:cs="Simplified Arabic" w:hint="cs"/>
                <w:color w:val="000000"/>
                <w:sz w:val="24"/>
                <w:szCs w:val="24"/>
              </w:rPr>
            </w:pPr>
            <w:r w:rsidRPr="00860A3B">
              <w:rPr>
                <w:rFonts w:ascii="Simplified Arabic" w:hAnsi="Simplified Arabic" w:cs="Simplified Arabic" w:hint="cs"/>
                <w:sz w:val="24"/>
                <w:szCs w:val="24"/>
              </w:rPr>
              <w:t xml:space="preserve">غير متوفرة </w:t>
            </w:r>
          </w:p>
        </w:tc>
        <w:tc>
          <w:tcPr>
            <w:tcW w:w="1134" w:type="dxa"/>
            <w:tcBorders>
              <w:bottom w:val="single" w:sz="4" w:space="0" w:color="auto"/>
            </w:tcBorders>
            <w:noWrap/>
            <w:hideMark/>
          </w:tcPr>
          <w:p w14:paraId="4DC01FCA" w14:textId="7E439763" w:rsidR="001F056A" w:rsidRPr="00860A3B" w:rsidRDefault="003B6B46" w:rsidP="00860A3B">
            <w:pPr>
              <w:pStyle w:val="P68B1DB1-Normal-pool-Table9"/>
              <w:spacing w:before="0" w:after="0"/>
              <w:rPr>
                <w:rFonts w:ascii="Simplified Arabic" w:hAnsi="Simplified Arabic" w:cs="Simplified Arabic" w:hint="cs"/>
                <w:sz w:val="24"/>
                <w:szCs w:val="24"/>
              </w:rPr>
            </w:pPr>
            <w:r w:rsidRPr="00860A3B">
              <w:rPr>
                <w:rFonts w:ascii="Cambria Math" w:hAnsi="Cambria Math" w:cs="Cambria Math" w:hint="cs"/>
                <w:sz w:val="24"/>
                <w:szCs w:val="24"/>
              </w:rPr>
              <w:t>−</w:t>
            </w:r>
          </w:p>
        </w:tc>
        <w:tc>
          <w:tcPr>
            <w:tcW w:w="1134" w:type="dxa"/>
            <w:tcBorders>
              <w:bottom w:val="single" w:sz="4" w:space="0" w:color="auto"/>
            </w:tcBorders>
            <w:noWrap/>
            <w:hideMark/>
          </w:tcPr>
          <w:p w14:paraId="5E906E49" w14:textId="54CC81A8" w:rsidR="001F056A" w:rsidRPr="00860A3B" w:rsidRDefault="003B6B46" w:rsidP="00860A3B">
            <w:pPr>
              <w:pStyle w:val="P68B1DB1-Normal-pool-Table3"/>
              <w:spacing w:before="0" w:after="0"/>
              <w:rPr>
                <w:rFonts w:ascii="Simplified Arabic" w:hAnsi="Simplified Arabic" w:cs="Simplified Arabic" w:hint="cs"/>
                <w:color w:val="000000"/>
                <w:sz w:val="24"/>
                <w:szCs w:val="24"/>
              </w:rPr>
            </w:pPr>
            <w:r w:rsidRPr="00860A3B">
              <w:rPr>
                <w:rFonts w:ascii="Simplified Arabic" w:hAnsi="Simplified Arabic" w:cs="Simplified Arabic" w:hint="cs"/>
                <w:sz w:val="24"/>
                <w:szCs w:val="24"/>
              </w:rPr>
              <w:t xml:space="preserve">350 </w:t>
            </w:r>
          </w:p>
        </w:tc>
        <w:tc>
          <w:tcPr>
            <w:tcW w:w="1700" w:type="dxa"/>
            <w:vMerge/>
            <w:tcBorders>
              <w:bottom w:val="single" w:sz="4" w:space="0" w:color="auto"/>
            </w:tcBorders>
            <w:hideMark/>
          </w:tcPr>
          <w:p w14:paraId="65E3C18E" w14:textId="77777777" w:rsidR="001F056A" w:rsidRPr="00860A3B" w:rsidRDefault="001F056A" w:rsidP="00860A3B">
            <w:pPr>
              <w:pStyle w:val="Normal-pool-Table"/>
              <w:spacing w:before="0" w:after="0"/>
              <w:rPr>
                <w:rFonts w:ascii="Simplified Arabic" w:hAnsi="Simplified Arabic" w:cs="Simplified Arabic" w:hint="cs"/>
                <w:color w:val="000000"/>
                <w:sz w:val="24"/>
                <w:szCs w:val="24"/>
              </w:rPr>
            </w:pPr>
          </w:p>
        </w:tc>
      </w:tr>
      <w:tr w:rsidR="001F056A" w:rsidRPr="00860A3B" w14:paraId="6631F8CD" w14:textId="77777777">
        <w:trPr>
          <w:trHeight w:val="57"/>
          <w:jc w:val="right"/>
        </w:trPr>
        <w:tc>
          <w:tcPr>
            <w:tcW w:w="1037" w:type="dxa"/>
            <w:vMerge w:val="restart"/>
            <w:tcBorders>
              <w:top w:val="single" w:sz="4" w:space="0" w:color="auto"/>
              <w:bottom w:val="single" w:sz="4" w:space="0" w:color="auto"/>
            </w:tcBorders>
            <w:noWrap/>
            <w:hideMark/>
          </w:tcPr>
          <w:p w14:paraId="2F3E778C" w14:textId="562BBA1D" w:rsidR="001F056A" w:rsidRPr="00860A3B" w:rsidRDefault="003B6B46" w:rsidP="00860A3B">
            <w:pPr>
              <w:pStyle w:val="P68B1DB1-Normal-pool-Table8"/>
              <w:spacing w:before="0" w:after="0"/>
              <w:rPr>
                <w:rFonts w:ascii="Simplified Arabic" w:hAnsi="Simplified Arabic" w:cs="Simplified Arabic" w:hint="cs"/>
                <w:b w:val="0"/>
                <w:bCs/>
                <w:sz w:val="24"/>
                <w:szCs w:val="24"/>
              </w:rPr>
            </w:pPr>
            <w:r w:rsidRPr="00860A3B">
              <w:rPr>
                <w:rFonts w:ascii="Simplified Arabic" w:hAnsi="Simplified Arabic" w:cs="Simplified Arabic" w:hint="cs"/>
                <w:b w:val="0"/>
                <w:bCs/>
                <w:sz w:val="24"/>
                <w:szCs w:val="24"/>
              </w:rPr>
              <w:t>Microsoft Teams</w:t>
            </w:r>
          </w:p>
        </w:tc>
        <w:tc>
          <w:tcPr>
            <w:tcW w:w="1127" w:type="dxa"/>
            <w:vMerge w:val="restart"/>
            <w:tcBorders>
              <w:top w:val="single" w:sz="4" w:space="0" w:color="auto"/>
              <w:bottom w:val="single" w:sz="4" w:space="0" w:color="auto"/>
            </w:tcBorders>
            <w:hideMark/>
          </w:tcPr>
          <w:p w14:paraId="0A7D00B7" w14:textId="4B4AD96C" w:rsidR="001F056A" w:rsidRPr="00860A3B" w:rsidRDefault="003B6B46" w:rsidP="00860A3B">
            <w:pPr>
              <w:pStyle w:val="P68B1DB1-Normal-pool-Table3"/>
              <w:spacing w:before="0" w:after="0"/>
              <w:rPr>
                <w:rFonts w:ascii="Simplified Arabic" w:hAnsi="Simplified Arabic" w:cs="Simplified Arabic" w:hint="cs"/>
                <w:color w:val="000000"/>
                <w:sz w:val="24"/>
                <w:szCs w:val="24"/>
              </w:rPr>
            </w:pPr>
            <w:r w:rsidRPr="00860A3B">
              <w:rPr>
                <w:rFonts w:ascii="Simplified Arabic" w:hAnsi="Simplified Arabic" w:cs="Simplified Arabic" w:hint="cs"/>
                <w:sz w:val="24"/>
                <w:szCs w:val="24"/>
              </w:rPr>
              <w:t>سنوي غير محدود</w:t>
            </w:r>
          </w:p>
        </w:tc>
        <w:tc>
          <w:tcPr>
            <w:tcW w:w="1097" w:type="dxa"/>
            <w:tcBorders>
              <w:top w:val="single" w:sz="4" w:space="0" w:color="auto"/>
            </w:tcBorders>
            <w:hideMark/>
          </w:tcPr>
          <w:p w14:paraId="78913190" w14:textId="0B29552D" w:rsidR="001F056A" w:rsidRPr="00860A3B" w:rsidRDefault="003B6B46" w:rsidP="00860A3B">
            <w:pPr>
              <w:pStyle w:val="P68B1DB1-Normal-pool-Table3"/>
              <w:spacing w:before="0" w:after="0"/>
              <w:rPr>
                <w:rFonts w:ascii="Simplified Arabic" w:hAnsi="Simplified Arabic" w:cs="Simplified Arabic" w:hint="cs"/>
                <w:color w:val="000000"/>
                <w:sz w:val="24"/>
                <w:szCs w:val="24"/>
              </w:rPr>
            </w:pPr>
            <w:r w:rsidRPr="00860A3B">
              <w:rPr>
                <w:rFonts w:ascii="Simplified Arabic" w:hAnsi="Simplified Arabic" w:cs="Simplified Arabic" w:hint="cs"/>
                <w:sz w:val="24"/>
                <w:szCs w:val="24"/>
              </w:rPr>
              <w:t xml:space="preserve">&lt; 300 </w:t>
            </w:r>
          </w:p>
        </w:tc>
        <w:tc>
          <w:tcPr>
            <w:tcW w:w="992" w:type="dxa"/>
            <w:tcBorders>
              <w:top w:val="single" w:sz="4" w:space="0" w:color="auto"/>
            </w:tcBorders>
            <w:noWrap/>
            <w:hideMark/>
          </w:tcPr>
          <w:p w14:paraId="75274D48" w14:textId="2EBA6FD1" w:rsidR="001F056A" w:rsidRPr="00860A3B" w:rsidRDefault="003B6B46" w:rsidP="00860A3B">
            <w:pPr>
              <w:pStyle w:val="P68B1DB1-Normal-pool-Table3"/>
              <w:spacing w:before="0" w:after="0"/>
              <w:rPr>
                <w:rFonts w:ascii="Simplified Arabic" w:hAnsi="Simplified Arabic" w:cs="Simplified Arabic" w:hint="cs"/>
                <w:color w:val="000000"/>
                <w:sz w:val="24"/>
                <w:szCs w:val="24"/>
              </w:rPr>
            </w:pPr>
            <w:r w:rsidRPr="00860A3B">
              <w:rPr>
                <w:rFonts w:ascii="Simplified Arabic" w:hAnsi="Simplified Arabic" w:cs="Simplified Arabic" w:hint="cs"/>
                <w:sz w:val="24"/>
                <w:szCs w:val="24"/>
              </w:rPr>
              <w:t xml:space="preserve">300 </w:t>
            </w:r>
          </w:p>
        </w:tc>
        <w:tc>
          <w:tcPr>
            <w:tcW w:w="1276" w:type="dxa"/>
            <w:tcBorders>
              <w:top w:val="single" w:sz="4" w:space="0" w:color="auto"/>
            </w:tcBorders>
            <w:noWrap/>
            <w:hideMark/>
          </w:tcPr>
          <w:p w14:paraId="7FCCB99D" w14:textId="295F9AB1" w:rsidR="001F056A" w:rsidRPr="00860A3B" w:rsidRDefault="003B6B46" w:rsidP="00860A3B">
            <w:pPr>
              <w:pStyle w:val="P68B1DB1-Normal-pool-Table3"/>
              <w:spacing w:before="0" w:after="0"/>
              <w:rPr>
                <w:rFonts w:ascii="Simplified Arabic" w:hAnsi="Simplified Arabic" w:cs="Simplified Arabic" w:hint="cs"/>
                <w:color w:val="000000"/>
                <w:sz w:val="24"/>
                <w:szCs w:val="24"/>
              </w:rPr>
            </w:pPr>
            <w:r w:rsidRPr="00860A3B">
              <w:rPr>
                <w:rFonts w:ascii="Simplified Arabic" w:hAnsi="Simplified Arabic" w:cs="Simplified Arabic" w:hint="cs"/>
                <w:sz w:val="24"/>
                <w:szCs w:val="24"/>
              </w:rPr>
              <w:t xml:space="preserve">300 </w:t>
            </w:r>
          </w:p>
        </w:tc>
        <w:tc>
          <w:tcPr>
            <w:tcW w:w="1134" w:type="dxa"/>
            <w:tcBorders>
              <w:top w:val="single" w:sz="4" w:space="0" w:color="auto"/>
            </w:tcBorders>
            <w:noWrap/>
            <w:hideMark/>
          </w:tcPr>
          <w:p w14:paraId="6BF9C2FB" w14:textId="5A60B49E" w:rsidR="001F056A" w:rsidRPr="00860A3B" w:rsidRDefault="003B6B46" w:rsidP="00860A3B">
            <w:pPr>
              <w:pStyle w:val="P68B1DB1-Normal-pool-Table3"/>
              <w:spacing w:before="0" w:after="0"/>
              <w:rPr>
                <w:rFonts w:ascii="Simplified Arabic" w:hAnsi="Simplified Arabic" w:cs="Simplified Arabic" w:hint="cs"/>
                <w:color w:val="000000"/>
                <w:sz w:val="24"/>
                <w:szCs w:val="24"/>
              </w:rPr>
            </w:pPr>
            <w:r w:rsidRPr="00860A3B">
              <w:rPr>
                <w:rFonts w:ascii="Simplified Arabic" w:hAnsi="Simplified Arabic" w:cs="Simplified Arabic" w:hint="cs"/>
                <w:sz w:val="24"/>
                <w:szCs w:val="24"/>
              </w:rPr>
              <w:t xml:space="preserve">غير محددة </w:t>
            </w:r>
          </w:p>
        </w:tc>
        <w:tc>
          <w:tcPr>
            <w:tcW w:w="1134" w:type="dxa"/>
            <w:tcBorders>
              <w:top w:val="single" w:sz="4" w:space="0" w:color="auto"/>
            </w:tcBorders>
            <w:noWrap/>
            <w:hideMark/>
          </w:tcPr>
          <w:p w14:paraId="67B9F644" w14:textId="73633B6F" w:rsidR="001F056A" w:rsidRPr="00860A3B" w:rsidRDefault="003B6B46" w:rsidP="00860A3B">
            <w:pPr>
              <w:pStyle w:val="P68B1DB1-Normal-pool-Table3"/>
              <w:spacing w:before="0" w:after="0"/>
              <w:rPr>
                <w:rFonts w:ascii="Simplified Arabic" w:hAnsi="Simplified Arabic" w:cs="Simplified Arabic" w:hint="cs"/>
                <w:color w:val="000000"/>
                <w:sz w:val="24"/>
                <w:szCs w:val="24"/>
              </w:rPr>
            </w:pPr>
            <w:r w:rsidRPr="00860A3B">
              <w:rPr>
                <w:rFonts w:ascii="Simplified Arabic" w:hAnsi="Simplified Arabic" w:cs="Simplified Arabic" w:hint="cs"/>
                <w:sz w:val="24"/>
                <w:szCs w:val="24"/>
              </w:rPr>
              <w:t xml:space="preserve">600 </w:t>
            </w:r>
          </w:p>
        </w:tc>
        <w:tc>
          <w:tcPr>
            <w:tcW w:w="1700" w:type="dxa"/>
            <w:tcBorders>
              <w:top w:val="single" w:sz="4" w:space="0" w:color="auto"/>
            </w:tcBorders>
            <w:hideMark/>
          </w:tcPr>
          <w:p w14:paraId="11658A0E" w14:textId="77777777" w:rsidR="001F056A" w:rsidRPr="00860A3B" w:rsidRDefault="003B6B46" w:rsidP="00860A3B">
            <w:pPr>
              <w:pStyle w:val="P68B1DB1-Normal-pool-Table3"/>
              <w:spacing w:before="0" w:after="0"/>
              <w:rPr>
                <w:rFonts w:ascii="Simplified Arabic" w:hAnsi="Simplified Arabic" w:cs="Simplified Arabic" w:hint="cs"/>
                <w:color w:val="000000"/>
                <w:sz w:val="24"/>
                <w:szCs w:val="24"/>
              </w:rPr>
            </w:pPr>
            <w:r w:rsidRPr="00860A3B">
              <w:rPr>
                <w:rFonts w:ascii="Simplified Arabic" w:hAnsi="Simplified Arabic" w:cs="Simplified Arabic" w:hint="cs"/>
                <w:sz w:val="24"/>
                <w:szCs w:val="24"/>
              </w:rPr>
              <w:t>اجتماعات غير محدودة لمدة سنة واحدة</w:t>
            </w:r>
          </w:p>
          <w:p w14:paraId="27DD7DF3" w14:textId="77777777" w:rsidR="001F056A" w:rsidRPr="00860A3B" w:rsidRDefault="003B6B46" w:rsidP="00860A3B">
            <w:pPr>
              <w:pStyle w:val="P68B1DB1-Normal-pool-Table3"/>
              <w:spacing w:before="0" w:after="0"/>
              <w:rPr>
                <w:rFonts w:ascii="Simplified Arabic" w:hAnsi="Simplified Arabic" w:cs="Simplified Arabic" w:hint="cs"/>
                <w:color w:val="000000"/>
                <w:sz w:val="24"/>
                <w:szCs w:val="24"/>
              </w:rPr>
            </w:pPr>
            <w:r w:rsidRPr="00860A3B">
              <w:rPr>
                <w:rFonts w:ascii="Simplified Arabic" w:hAnsi="Simplified Arabic" w:cs="Simplified Arabic" w:hint="cs"/>
                <w:sz w:val="24"/>
                <w:szCs w:val="24"/>
              </w:rPr>
              <w:t>قد تترتب تكاليف إضافية غير ظاهرة</w:t>
            </w:r>
          </w:p>
          <w:p w14:paraId="64297BDF" w14:textId="1183DBE7" w:rsidR="001F056A" w:rsidRPr="00860A3B" w:rsidRDefault="003B6B46" w:rsidP="00860A3B">
            <w:pPr>
              <w:pStyle w:val="P68B1DB1-Normal-pool-Table3"/>
              <w:spacing w:before="0" w:after="0"/>
              <w:rPr>
                <w:rFonts w:ascii="Simplified Arabic" w:hAnsi="Simplified Arabic" w:cs="Simplified Arabic" w:hint="cs"/>
                <w:color w:val="000000"/>
                <w:sz w:val="24"/>
                <w:szCs w:val="24"/>
              </w:rPr>
            </w:pPr>
            <w:r w:rsidRPr="00860A3B">
              <w:rPr>
                <w:rFonts w:ascii="Simplified Arabic" w:hAnsi="Simplified Arabic" w:cs="Simplified Arabic" w:hint="cs"/>
                <w:sz w:val="24"/>
                <w:szCs w:val="24"/>
              </w:rPr>
              <w:t>يلزم حساب مؤسسي Microsoft Teams Enterprise</w:t>
            </w:r>
          </w:p>
        </w:tc>
      </w:tr>
      <w:tr w:rsidR="001F056A" w:rsidRPr="00860A3B" w14:paraId="4BE8A682" w14:textId="77777777">
        <w:trPr>
          <w:trHeight w:val="57"/>
          <w:jc w:val="right"/>
        </w:trPr>
        <w:tc>
          <w:tcPr>
            <w:tcW w:w="1037" w:type="dxa"/>
            <w:vMerge/>
            <w:tcBorders>
              <w:top w:val="single" w:sz="4" w:space="0" w:color="auto"/>
              <w:bottom w:val="single" w:sz="4" w:space="0" w:color="auto"/>
            </w:tcBorders>
            <w:hideMark/>
          </w:tcPr>
          <w:p w14:paraId="2622B2A1" w14:textId="77777777" w:rsidR="001F056A" w:rsidRPr="00860A3B" w:rsidRDefault="001F056A" w:rsidP="00860A3B">
            <w:pPr>
              <w:pStyle w:val="Normal-pool-Table"/>
              <w:spacing w:before="0" w:after="0"/>
              <w:rPr>
                <w:rFonts w:ascii="Simplified Arabic" w:hAnsi="Simplified Arabic" w:cs="Simplified Arabic" w:hint="cs"/>
                <w:color w:val="000000"/>
                <w:sz w:val="24"/>
                <w:szCs w:val="24"/>
              </w:rPr>
            </w:pPr>
          </w:p>
        </w:tc>
        <w:tc>
          <w:tcPr>
            <w:tcW w:w="1127" w:type="dxa"/>
            <w:vMerge/>
            <w:tcBorders>
              <w:top w:val="single" w:sz="4" w:space="0" w:color="auto"/>
              <w:bottom w:val="single" w:sz="4" w:space="0" w:color="auto"/>
            </w:tcBorders>
            <w:hideMark/>
          </w:tcPr>
          <w:p w14:paraId="1C2BA262" w14:textId="77777777" w:rsidR="001F056A" w:rsidRPr="00860A3B" w:rsidRDefault="001F056A" w:rsidP="00860A3B">
            <w:pPr>
              <w:pStyle w:val="Normal-pool-Table"/>
              <w:spacing w:before="0" w:after="0"/>
              <w:rPr>
                <w:rFonts w:ascii="Simplified Arabic" w:hAnsi="Simplified Arabic" w:cs="Simplified Arabic" w:hint="cs"/>
                <w:color w:val="000000"/>
                <w:sz w:val="24"/>
                <w:szCs w:val="24"/>
              </w:rPr>
            </w:pPr>
          </w:p>
        </w:tc>
        <w:tc>
          <w:tcPr>
            <w:tcW w:w="1097" w:type="dxa"/>
            <w:tcBorders>
              <w:bottom w:val="single" w:sz="4" w:space="0" w:color="auto"/>
            </w:tcBorders>
            <w:noWrap/>
            <w:hideMark/>
          </w:tcPr>
          <w:p w14:paraId="51013F8D" w14:textId="0A97F454" w:rsidR="001F056A" w:rsidRPr="00860A3B" w:rsidRDefault="003B6B46" w:rsidP="00860A3B">
            <w:pPr>
              <w:pStyle w:val="P68B1DB1-Normal-pool-Table3"/>
              <w:spacing w:before="0" w:after="0"/>
              <w:rPr>
                <w:rFonts w:ascii="Simplified Arabic" w:hAnsi="Simplified Arabic" w:cs="Simplified Arabic" w:hint="cs"/>
                <w:color w:val="000000"/>
                <w:sz w:val="24"/>
                <w:szCs w:val="24"/>
              </w:rPr>
            </w:pPr>
            <w:r w:rsidRPr="00860A3B">
              <w:rPr>
                <w:rFonts w:ascii="Simplified Arabic" w:hAnsi="Simplified Arabic" w:cs="Simplified Arabic" w:hint="cs"/>
                <w:sz w:val="24"/>
                <w:szCs w:val="24"/>
              </w:rPr>
              <w:t xml:space="preserve">1000 </w:t>
            </w:r>
          </w:p>
        </w:tc>
        <w:tc>
          <w:tcPr>
            <w:tcW w:w="992" w:type="dxa"/>
            <w:tcBorders>
              <w:bottom w:val="single" w:sz="4" w:space="0" w:color="auto"/>
            </w:tcBorders>
            <w:noWrap/>
            <w:hideMark/>
          </w:tcPr>
          <w:p w14:paraId="37EFD5AC" w14:textId="0284F1F7" w:rsidR="001F056A" w:rsidRPr="00860A3B" w:rsidRDefault="003B6B46" w:rsidP="00860A3B">
            <w:pPr>
              <w:pStyle w:val="P68B1DB1-Normal-pool-Table3"/>
              <w:spacing w:before="0" w:after="0"/>
              <w:rPr>
                <w:rFonts w:ascii="Simplified Arabic" w:hAnsi="Simplified Arabic" w:cs="Simplified Arabic" w:hint="cs"/>
                <w:color w:val="000000"/>
                <w:sz w:val="24"/>
                <w:szCs w:val="24"/>
              </w:rPr>
            </w:pPr>
            <w:r w:rsidRPr="00860A3B">
              <w:rPr>
                <w:rFonts w:ascii="Simplified Arabic" w:hAnsi="Simplified Arabic" w:cs="Simplified Arabic" w:hint="cs"/>
                <w:sz w:val="24"/>
                <w:szCs w:val="24"/>
              </w:rPr>
              <w:t xml:space="preserve">1000 </w:t>
            </w:r>
          </w:p>
        </w:tc>
        <w:tc>
          <w:tcPr>
            <w:tcW w:w="1276" w:type="dxa"/>
            <w:tcBorders>
              <w:bottom w:val="single" w:sz="4" w:space="0" w:color="auto"/>
            </w:tcBorders>
            <w:noWrap/>
            <w:hideMark/>
          </w:tcPr>
          <w:p w14:paraId="06E4EBF9" w14:textId="00E58391" w:rsidR="001F056A" w:rsidRPr="00860A3B" w:rsidRDefault="003B6B46" w:rsidP="00860A3B">
            <w:pPr>
              <w:pStyle w:val="P68B1DB1-Normal-pool-Table3"/>
              <w:spacing w:before="0" w:after="0"/>
              <w:rPr>
                <w:rFonts w:ascii="Simplified Arabic" w:hAnsi="Simplified Arabic" w:cs="Simplified Arabic" w:hint="cs"/>
                <w:color w:val="000000"/>
                <w:sz w:val="24"/>
                <w:szCs w:val="24"/>
              </w:rPr>
            </w:pPr>
            <w:r w:rsidRPr="00860A3B">
              <w:rPr>
                <w:rFonts w:ascii="Simplified Arabic" w:hAnsi="Simplified Arabic" w:cs="Simplified Arabic" w:hint="cs"/>
                <w:sz w:val="24"/>
                <w:szCs w:val="24"/>
              </w:rPr>
              <w:t xml:space="preserve">300 </w:t>
            </w:r>
          </w:p>
        </w:tc>
        <w:tc>
          <w:tcPr>
            <w:tcW w:w="1134" w:type="dxa"/>
            <w:tcBorders>
              <w:bottom w:val="single" w:sz="4" w:space="0" w:color="auto"/>
            </w:tcBorders>
            <w:noWrap/>
            <w:hideMark/>
          </w:tcPr>
          <w:p w14:paraId="173D63AF" w14:textId="2060B48B" w:rsidR="001F056A" w:rsidRPr="00860A3B" w:rsidRDefault="003B6B46" w:rsidP="00860A3B">
            <w:pPr>
              <w:pStyle w:val="P68B1DB1-Normal-pool-Table3"/>
              <w:spacing w:before="0" w:after="0"/>
              <w:rPr>
                <w:rFonts w:ascii="Simplified Arabic" w:hAnsi="Simplified Arabic" w:cs="Simplified Arabic" w:hint="cs"/>
                <w:color w:val="000000"/>
                <w:sz w:val="24"/>
                <w:szCs w:val="24"/>
              </w:rPr>
            </w:pPr>
            <w:r w:rsidRPr="00860A3B">
              <w:rPr>
                <w:rFonts w:ascii="Simplified Arabic" w:hAnsi="Simplified Arabic" w:cs="Simplified Arabic" w:hint="cs"/>
                <w:sz w:val="24"/>
                <w:szCs w:val="24"/>
              </w:rPr>
              <w:t xml:space="preserve">غير محددة </w:t>
            </w:r>
          </w:p>
        </w:tc>
        <w:tc>
          <w:tcPr>
            <w:tcW w:w="1134" w:type="dxa"/>
            <w:tcBorders>
              <w:bottom w:val="single" w:sz="4" w:space="0" w:color="auto"/>
            </w:tcBorders>
            <w:noWrap/>
            <w:hideMark/>
          </w:tcPr>
          <w:p w14:paraId="2925FB34" w14:textId="7A75E689" w:rsidR="001F056A" w:rsidRPr="00860A3B" w:rsidRDefault="003B6B46" w:rsidP="00860A3B">
            <w:pPr>
              <w:pStyle w:val="P68B1DB1-Normal-pool-Table3"/>
              <w:spacing w:before="0" w:after="0"/>
              <w:rPr>
                <w:rFonts w:ascii="Simplified Arabic" w:hAnsi="Simplified Arabic" w:cs="Simplified Arabic" w:hint="cs"/>
                <w:color w:val="000000"/>
                <w:sz w:val="24"/>
                <w:szCs w:val="24"/>
              </w:rPr>
            </w:pPr>
            <w:r w:rsidRPr="00860A3B">
              <w:rPr>
                <w:rFonts w:ascii="Simplified Arabic" w:hAnsi="Simplified Arabic" w:cs="Simplified Arabic" w:hint="cs"/>
                <w:sz w:val="24"/>
                <w:szCs w:val="24"/>
              </w:rPr>
              <w:t xml:space="preserve">1300 </w:t>
            </w:r>
          </w:p>
        </w:tc>
        <w:tc>
          <w:tcPr>
            <w:tcW w:w="1700" w:type="dxa"/>
            <w:tcBorders>
              <w:bottom w:val="single" w:sz="4" w:space="0" w:color="auto"/>
            </w:tcBorders>
            <w:hideMark/>
          </w:tcPr>
          <w:p w14:paraId="3122D06F" w14:textId="3211492D" w:rsidR="001F056A" w:rsidRPr="00860A3B" w:rsidRDefault="001F056A" w:rsidP="00860A3B">
            <w:pPr>
              <w:pStyle w:val="Normal-pool-Table"/>
              <w:spacing w:before="0" w:after="0"/>
              <w:rPr>
                <w:rFonts w:ascii="Simplified Arabic" w:hAnsi="Simplified Arabic" w:cs="Simplified Arabic" w:hint="cs"/>
                <w:color w:val="000000"/>
                <w:sz w:val="24"/>
                <w:szCs w:val="24"/>
              </w:rPr>
            </w:pPr>
          </w:p>
        </w:tc>
      </w:tr>
      <w:tr w:rsidR="001F056A" w:rsidRPr="00860A3B" w14:paraId="0BACF96C" w14:textId="77777777">
        <w:trPr>
          <w:trHeight w:val="57"/>
          <w:jc w:val="right"/>
        </w:trPr>
        <w:tc>
          <w:tcPr>
            <w:tcW w:w="1037" w:type="dxa"/>
            <w:vMerge w:val="restart"/>
            <w:tcBorders>
              <w:top w:val="single" w:sz="4" w:space="0" w:color="auto"/>
            </w:tcBorders>
            <w:noWrap/>
            <w:hideMark/>
          </w:tcPr>
          <w:p w14:paraId="3748AD55" w14:textId="77777777" w:rsidR="001F056A" w:rsidRPr="00860A3B" w:rsidRDefault="003B6B46" w:rsidP="00860A3B">
            <w:pPr>
              <w:pStyle w:val="P68B1DB1-Normal-pool-Table8"/>
              <w:spacing w:before="0" w:after="0"/>
              <w:rPr>
                <w:rFonts w:ascii="Simplified Arabic" w:hAnsi="Simplified Arabic" w:cs="Simplified Arabic" w:hint="cs"/>
                <w:b w:val="0"/>
                <w:bCs/>
                <w:sz w:val="24"/>
                <w:szCs w:val="24"/>
              </w:rPr>
            </w:pPr>
            <w:r w:rsidRPr="00860A3B">
              <w:rPr>
                <w:rFonts w:ascii="Simplified Arabic" w:hAnsi="Simplified Arabic" w:cs="Simplified Arabic" w:hint="cs"/>
                <w:b w:val="0"/>
                <w:bCs/>
                <w:sz w:val="24"/>
                <w:szCs w:val="24"/>
              </w:rPr>
              <w:t>Webex</w:t>
            </w:r>
          </w:p>
        </w:tc>
        <w:tc>
          <w:tcPr>
            <w:tcW w:w="1127" w:type="dxa"/>
            <w:vMerge w:val="restart"/>
            <w:tcBorders>
              <w:top w:val="single" w:sz="4" w:space="0" w:color="auto"/>
            </w:tcBorders>
            <w:hideMark/>
          </w:tcPr>
          <w:p w14:paraId="7A2E6320" w14:textId="41435417" w:rsidR="001F056A" w:rsidRPr="00860A3B" w:rsidRDefault="003B6B46" w:rsidP="00860A3B">
            <w:pPr>
              <w:pStyle w:val="P68B1DB1-Normal-pool-Table3"/>
              <w:spacing w:before="0" w:after="0"/>
              <w:rPr>
                <w:rFonts w:ascii="Simplified Arabic" w:hAnsi="Simplified Arabic" w:cs="Simplified Arabic" w:hint="cs"/>
                <w:color w:val="000000"/>
                <w:sz w:val="24"/>
                <w:szCs w:val="24"/>
              </w:rPr>
            </w:pPr>
            <w:r w:rsidRPr="00860A3B">
              <w:rPr>
                <w:rFonts w:ascii="Simplified Arabic" w:hAnsi="Simplified Arabic" w:cs="Simplified Arabic" w:hint="cs"/>
                <w:sz w:val="24"/>
                <w:szCs w:val="24"/>
              </w:rPr>
              <w:t>سنوي غير محدود</w:t>
            </w:r>
          </w:p>
        </w:tc>
        <w:tc>
          <w:tcPr>
            <w:tcW w:w="1097" w:type="dxa"/>
            <w:tcBorders>
              <w:top w:val="single" w:sz="4" w:space="0" w:color="auto"/>
            </w:tcBorders>
            <w:noWrap/>
            <w:hideMark/>
          </w:tcPr>
          <w:p w14:paraId="609DCD3E" w14:textId="21277ED8" w:rsidR="001F056A" w:rsidRPr="00860A3B" w:rsidRDefault="003B6B46" w:rsidP="00860A3B">
            <w:pPr>
              <w:pStyle w:val="P68B1DB1-Normal-pool-Table3"/>
              <w:spacing w:before="0" w:after="0"/>
              <w:rPr>
                <w:rFonts w:ascii="Simplified Arabic" w:hAnsi="Simplified Arabic" w:cs="Simplified Arabic" w:hint="cs"/>
                <w:color w:val="000000"/>
                <w:sz w:val="24"/>
                <w:szCs w:val="24"/>
              </w:rPr>
            </w:pPr>
            <w:r w:rsidRPr="00860A3B">
              <w:rPr>
                <w:rFonts w:ascii="Simplified Arabic" w:hAnsi="Simplified Arabic" w:cs="Simplified Arabic" w:hint="cs"/>
                <w:sz w:val="24"/>
                <w:szCs w:val="24"/>
              </w:rPr>
              <w:t xml:space="preserve">200 </w:t>
            </w:r>
          </w:p>
        </w:tc>
        <w:tc>
          <w:tcPr>
            <w:tcW w:w="992" w:type="dxa"/>
            <w:tcBorders>
              <w:top w:val="single" w:sz="4" w:space="0" w:color="auto"/>
            </w:tcBorders>
            <w:noWrap/>
            <w:hideMark/>
          </w:tcPr>
          <w:p w14:paraId="20D79EDD" w14:textId="7749F09B" w:rsidR="001F056A" w:rsidRPr="00860A3B" w:rsidRDefault="003B6B46" w:rsidP="00860A3B">
            <w:pPr>
              <w:pStyle w:val="P68B1DB1-Normal-pool-Table3"/>
              <w:spacing w:before="0" w:after="0"/>
              <w:rPr>
                <w:rFonts w:ascii="Simplified Arabic" w:hAnsi="Simplified Arabic" w:cs="Simplified Arabic" w:hint="cs"/>
                <w:color w:val="000000"/>
                <w:sz w:val="24"/>
                <w:szCs w:val="24"/>
              </w:rPr>
            </w:pPr>
            <w:r w:rsidRPr="00860A3B">
              <w:rPr>
                <w:rFonts w:ascii="Simplified Arabic" w:hAnsi="Simplified Arabic" w:cs="Simplified Arabic" w:hint="cs"/>
                <w:sz w:val="24"/>
                <w:szCs w:val="24"/>
              </w:rPr>
              <w:t xml:space="preserve">144 </w:t>
            </w:r>
          </w:p>
        </w:tc>
        <w:tc>
          <w:tcPr>
            <w:tcW w:w="1276" w:type="dxa"/>
            <w:tcBorders>
              <w:top w:val="single" w:sz="4" w:space="0" w:color="auto"/>
            </w:tcBorders>
            <w:noWrap/>
            <w:hideMark/>
          </w:tcPr>
          <w:p w14:paraId="0AF647E0" w14:textId="17B5CC9E" w:rsidR="001F056A" w:rsidRPr="00860A3B" w:rsidRDefault="003B6B46" w:rsidP="00860A3B">
            <w:pPr>
              <w:pStyle w:val="P68B1DB1-Normal-pool-Table3"/>
              <w:spacing w:before="0" w:after="0"/>
              <w:rPr>
                <w:rFonts w:ascii="Simplified Arabic" w:hAnsi="Simplified Arabic" w:cs="Simplified Arabic" w:hint="cs"/>
                <w:color w:val="000000"/>
                <w:sz w:val="24"/>
                <w:szCs w:val="24"/>
              </w:rPr>
            </w:pPr>
            <w:r w:rsidRPr="00860A3B">
              <w:rPr>
                <w:rFonts w:ascii="Simplified Arabic" w:hAnsi="Simplified Arabic" w:cs="Simplified Arabic" w:hint="cs"/>
                <w:sz w:val="24"/>
                <w:szCs w:val="24"/>
              </w:rPr>
              <w:t xml:space="preserve">300 </w:t>
            </w:r>
          </w:p>
        </w:tc>
        <w:tc>
          <w:tcPr>
            <w:tcW w:w="1134" w:type="dxa"/>
            <w:tcBorders>
              <w:top w:val="single" w:sz="4" w:space="0" w:color="auto"/>
            </w:tcBorders>
            <w:noWrap/>
            <w:hideMark/>
          </w:tcPr>
          <w:p w14:paraId="253009B5" w14:textId="11D0FD28" w:rsidR="001F056A" w:rsidRPr="00860A3B" w:rsidRDefault="003B6B46" w:rsidP="00860A3B">
            <w:pPr>
              <w:pStyle w:val="P68B1DB1-Normal-pool-Table3"/>
              <w:spacing w:before="0" w:after="0"/>
              <w:rPr>
                <w:rFonts w:ascii="Simplified Arabic" w:hAnsi="Simplified Arabic" w:cs="Simplified Arabic" w:hint="cs"/>
                <w:color w:val="000000"/>
                <w:sz w:val="24"/>
                <w:szCs w:val="24"/>
              </w:rPr>
            </w:pPr>
            <w:r w:rsidRPr="00860A3B">
              <w:rPr>
                <w:rFonts w:ascii="Simplified Arabic" w:hAnsi="Simplified Arabic" w:cs="Simplified Arabic" w:hint="cs"/>
                <w:sz w:val="24"/>
                <w:szCs w:val="24"/>
              </w:rPr>
              <w:t xml:space="preserve">غير محددة </w:t>
            </w:r>
          </w:p>
        </w:tc>
        <w:tc>
          <w:tcPr>
            <w:tcW w:w="1134" w:type="dxa"/>
            <w:tcBorders>
              <w:top w:val="single" w:sz="4" w:space="0" w:color="auto"/>
            </w:tcBorders>
            <w:noWrap/>
            <w:hideMark/>
          </w:tcPr>
          <w:p w14:paraId="3EF13A79" w14:textId="6707F0ED" w:rsidR="001F056A" w:rsidRPr="00860A3B" w:rsidRDefault="003B6B46" w:rsidP="00860A3B">
            <w:pPr>
              <w:pStyle w:val="P68B1DB1-Normal-pool-Table3"/>
              <w:spacing w:before="0" w:after="0"/>
              <w:rPr>
                <w:rFonts w:ascii="Simplified Arabic" w:hAnsi="Simplified Arabic" w:cs="Simplified Arabic" w:hint="cs"/>
                <w:color w:val="000000"/>
                <w:sz w:val="24"/>
                <w:szCs w:val="24"/>
              </w:rPr>
            </w:pPr>
            <w:r w:rsidRPr="00860A3B">
              <w:rPr>
                <w:rFonts w:ascii="Simplified Arabic" w:hAnsi="Simplified Arabic" w:cs="Simplified Arabic" w:hint="cs"/>
                <w:sz w:val="24"/>
                <w:szCs w:val="24"/>
              </w:rPr>
              <w:t xml:space="preserve">444 </w:t>
            </w:r>
          </w:p>
        </w:tc>
        <w:tc>
          <w:tcPr>
            <w:tcW w:w="1700" w:type="dxa"/>
            <w:tcBorders>
              <w:top w:val="single" w:sz="4" w:space="0" w:color="auto"/>
            </w:tcBorders>
            <w:hideMark/>
          </w:tcPr>
          <w:p w14:paraId="475D0601" w14:textId="4EFDDB83" w:rsidR="001F056A" w:rsidRPr="00860A3B" w:rsidRDefault="003B6B46" w:rsidP="00860A3B">
            <w:pPr>
              <w:pStyle w:val="P68B1DB1-Normal-pool-Table3"/>
              <w:spacing w:before="0" w:after="0"/>
              <w:rPr>
                <w:rFonts w:ascii="Simplified Arabic" w:hAnsi="Simplified Arabic" w:cs="Simplified Arabic" w:hint="cs"/>
                <w:color w:val="000000"/>
                <w:sz w:val="24"/>
                <w:szCs w:val="24"/>
              </w:rPr>
            </w:pPr>
            <w:r w:rsidRPr="00860A3B">
              <w:rPr>
                <w:rFonts w:ascii="Simplified Arabic" w:hAnsi="Simplified Arabic" w:cs="Simplified Arabic" w:hint="cs"/>
                <w:sz w:val="24"/>
                <w:szCs w:val="24"/>
              </w:rPr>
              <w:t>Webex Meet: السعر لكل مستخدم</w:t>
            </w:r>
          </w:p>
        </w:tc>
      </w:tr>
      <w:tr w:rsidR="001F056A" w:rsidRPr="00860A3B" w14:paraId="4D13C125" w14:textId="77777777">
        <w:trPr>
          <w:trHeight w:val="57"/>
          <w:jc w:val="right"/>
        </w:trPr>
        <w:tc>
          <w:tcPr>
            <w:tcW w:w="1037" w:type="dxa"/>
            <w:vMerge/>
            <w:tcBorders>
              <w:bottom w:val="single" w:sz="12" w:space="0" w:color="auto"/>
            </w:tcBorders>
            <w:hideMark/>
          </w:tcPr>
          <w:p w14:paraId="05E94B80" w14:textId="77777777" w:rsidR="001F056A" w:rsidRPr="00860A3B" w:rsidRDefault="001F056A" w:rsidP="00860A3B">
            <w:pPr>
              <w:pStyle w:val="Normal-pool-Table"/>
              <w:spacing w:before="0" w:after="0"/>
              <w:rPr>
                <w:rFonts w:ascii="Simplified Arabic" w:hAnsi="Simplified Arabic" w:cs="Simplified Arabic" w:hint="cs"/>
                <w:color w:val="000000"/>
                <w:sz w:val="24"/>
                <w:szCs w:val="24"/>
              </w:rPr>
            </w:pPr>
          </w:p>
        </w:tc>
        <w:tc>
          <w:tcPr>
            <w:tcW w:w="1127" w:type="dxa"/>
            <w:vMerge/>
            <w:tcBorders>
              <w:bottom w:val="single" w:sz="12" w:space="0" w:color="auto"/>
            </w:tcBorders>
            <w:hideMark/>
          </w:tcPr>
          <w:p w14:paraId="620227DE" w14:textId="77777777" w:rsidR="001F056A" w:rsidRPr="00860A3B" w:rsidRDefault="001F056A" w:rsidP="00860A3B">
            <w:pPr>
              <w:pStyle w:val="Normal-pool-Table"/>
              <w:spacing w:before="0" w:after="0"/>
              <w:rPr>
                <w:rFonts w:ascii="Simplified Arabic" w:hAnsi="Simplified Arabic" w:cs="Simplified Arabic" w:hint="cs"/>
                <w:color w:val="000000"/>
                <w:sz w:val="24"/>
                <w:szCs w:val="24"/>
              </w:rPr>
            </w:pPr>
          </w:p>
        </w:tc>
        <w:tc>
          <w:tcPr>
            <w:tcW w:w="1097" w:type="dxa"/>
            <w:tcBorders>
              <w:bottom w:val="single" w:sz="12" w:space="0" w:color="auto"/>
            </w:tcBorders>
            <w:noWrap/>
            <w:hideMark/>
          </w:tcPr>
          <w:p w14:paraId="07C05C99" w14:textId="149B0B3C" w:rsidR="001F056A" w:rsidRPr="00860A3B" w:rsidRDefault="003B6B46" w:rsidP="00860A3B">
            <w:pPr>
              <w:pStyle w:val="P68B1DB1-Normal-pool-Table3"/>
              <w:spacing w:before="0" w:after="0"/>
              <w:rPr>
                <w:rFonts w:ascii="Simplified Arabic" w:hAnsi="Simplified Arabic" w:cs="Simplified Arabic" w:hint="cs"/>
                <w:color w:val="000000"/>
                <w:sz w:val="24"/>
                <w:szCs w:val="24"/>
              </w:rPr>
            </w:pPr>
            <w:r w:rsidRPr="00860A3B">
              <w:rPr>
                <w:rFonts w:ascii="Simplified Arabic" w:hAnsi="Simplified Arabic" w:cs="Simplified Arabic" w:hint="cs"/>
                <w:sz w:val="24"/>
                <w:szCs w:val="24"/>
              </w:rPr>
              <w:t xml:space="preserve">1000 </w:t>
            </w:r>
          </w:p>
        </w:tc>
        <w:tc>
          <w:tcPr>
            <w:tcW w:w="992" w:type="dxa"/>
            <w:tcBorders>
              <w:bottom w:val="single" w:sz="12" w:space="0" w:color="auto"/>
            </w:tcBorders>
            <w:hideMark/>
          </w:tcPr>
          <w:p w14:paraId="79AD111A" w14:textId="7BDB034F" w:rsidR="001F056A" w:rsidRPr="00860A3B" w:rsidRDefault="003B6B46" w:rsidP="00860A3B">
            <w:pPr>
              <w:pStyle w:val="P68B1DB1-Normal-pool-Table3"/>
              <w:spacing w:before="0" w:after="0"/>
              <w:rPr>
                <w:rFonts w:ascii="Simplified Arabic" w:hAnsi="Simplified Arabic" w:cs="Simplified Arabic" w:hint="cs"/>
                <w:color w:val="000000"/>
                <w:sz w:val="24"/>
                <w:szCs w:val="24"/>
              </w:rPr>
            </w:pPr>
            <w:r w:rsidRPr="00860A3B">
              <w:rPr>
                <w:rFonts w:ascii="Simplified Arabic" w:hAnsi="Simplified Arabic" w:cs="Simplified Arabic" w:hint="cs"/>
                <w:sz w:val="24"/>
                <w:szCs w:val="24"/>
              </w:rPr>
              <w:t xml:space="preserve">15000 إلى 45000 </w:t>
            </w:r>
          </w:p>
        </w:tc>
        <w:tc>
          <w:tcPr>
            <w:tcW w:w="1276" w:type="dxa"/>
            <w:tcBorders>
              <w:bottom w:val="single" w:sz="12" w:space="0" w:color="auto"/>
            </w:tcBorders>
            <w:noWrap/>
            <w:hideMark/>
          </w:tcPr>
          <w:p w14:paraId="7F760322" w14:textId="610BBE91" w:rsidR="001F056A" w:rsidRPr="00860A3B" w:rsidRDefault="003B6B46" w:rsidP="00860A3B">
            <w:pPr>
              <w:pStyle w:val="P68B1DB1-Normal-pool-Table3"/>
              <w:spacing w:before="0" w:after="0"/>
              <w:rPr>
                <w:rFonts w:ascii="Simplified Arabic" w:hAnsi="Simplified Arabic" w:cs="Simplified Arabic" w:hint="cs"/>
                <w:color w:val="000000"/>
                <w:sz w:val="24"/>
                <w:szCs w:val="24"/>
              </w:rPr>
            </w:pPr>
            <w:r w:rsidRPr="00860A3B">
              <w:rPr>
                <w:rFonts w:ascii="Simplified Arabic" w:hAnsi="Simplified Arabic" w:cs="Simplified Arabic" w:hint="cs"/>
                <w:sz w:val="24"/>
                <w:szCs w:val="24"/>
              </w:rPr>
              <w:t xml:space="preserve">300 </w:t>
            </w:r>
          </w:p>
        </w:tc>
        <w:tc>
          <w:tcPr>
            <w:tcW w:w="1134" w:type="dxa"/>
            <w:tcBorders>
              <w:bottom w:val="single" w:sz="12" w:space="0" w:color="auto"/>
            </w:tcBorders>
            <w:noWrap/>
            <w:hideMark/>
          </w:tcPr>
          <w:p w14:paraId="6D6336BF" w14:textId="3B0AEA86" w:rsidR="001F056A" w:rsidRPr="00860A3B" w:rsidRDefault="003B6B46" w:rsidP="00860A3B">
            <w:pPr>
              <w:pStyle w:val="P68B1DB1-Normal-pool-Table3"/>
              <w:spacing w:before="0" w:after="0"/>
              <w:rPr>
                <w:rFonts w:ascii="Simplified Arabic" w:hAnsi="Simplified Arabic" w:cs="Simplified Arabic" w:hint="cs"/>
                <w:color w:val="000000"/>
                <w:sz w:val="24"/>
                <w:szCs w:val="24"/>
              </w:rPr>
            </w:pPr>
            <w:r w:rsidRPr="00860A3B">
              <w:rPr>
                <w:rFonts w:ascii="Simplified Arabic" w:hAnsi="Simplified Arabic" w:cs="Simplified Arabic" w:hint="cs"/>
                <w:sz w:val="24"/>
                <w:szCs w:val="24"/>
              </w:rPr>
              <w:t xml:space="preserve">غير محددة </w:t>
            </w:r>
          </w:p>
        </w:tc>
        <w:tc>
          <w:tcPr>
            <w:tcW w:w="1134" w:type="dxa"/>
            <w:tcBorders>
              <w:bottom w:val="single" w:sz="12" w:space="0" w:color="auto"/>
            </w:tcBorders>
            <w:hideMark/>
          </w:tcPr>
          <w:p w14:paraId="12381FEC" w14:textId="1C1ADBEC" w:rsidR="001F056A" w:rsidRPr="00860A3B" w:rsidRDefault="003B6B46" w:rsidP="00860A3B">
            <w:pPr>
              <w:pStyle w:val="P68B1DB1-Normal-pool-Table3"/>
              <w:spacing w:before="0" w:after="0"/>
              <w:rPr>
                <w:rFonts w:ascii="Simplified Arabic" w:hAnsi="Simplified Arabic" w:cs="Simplified Arabic" w:hint="cs"/>
                <w:color w:val="000000"/>
                <w:sz w:val="24"/>
                <w:szCs w:val="24"/>
              </w:rPr>
            </w:pPr>
            <w:r w:rsidRPr="00860A3B">
              <w:rPr>
                <w:rFonts w:ascii="Simplified Arabic" w:hAnsi="Simplified Arabic" w:cs="Simplified Arabic" w:hint="cs"/>
                <w:sz w:val="24"/>
                <w:szCs w:val="24"/>
              </w:rPr>
              <w:t xml:space="preserve">15600 إلى </w:t>
            </w:r>
            <w:r w:rsidRPr="00860A3B">
              <w:rPr>
                <w:rFonts w:ascii="Simplified Arabic" w:hAnsi="Simplified Arabic" w:cs="Simplified Arabic" w:hint="cs"/>
                <w:sz w:val="24"/>
                <w:szCs w:val="24"/>
              </w:rPr>
              <w:br/>
              <w:t xml:space="preserve">&gt; 45600 </w:t>
            </w:r>
          </w:p>
        </w:tc>
        <w:tc>
          <w:tcPr>
            <w:tcW w:w="1700" w:type="dxa"/>
            <w:tcBorders>
              <w:bottom w:val="single" w:sz="12" w:space="0" w:color="auto"/>
            </w:tcBorders>
            <w:hideMark/>
          </w:tcPr>
          <w:p w14:paraId="0E2D4ED2" w14:textId="4D73A7B4" w:rsidR="001F056A" w:rsidRPr="00860A3B" w:rsidRDefault="003B6B46" w:rsidP="00860A3B">
            <w:pPr>
              <w:pStyle w:val="P68B1DB1-Normal-pool-Table3"/>
              <w:spacing w:before="0" w:after="0"/>
              <w:rPr>
                <w:rFonts w:ascii="Simplified Arabic" w:hAnsi="Simplified Arabic" w:cs="Simplified Arabic" w:hint="cs"/>
                <w:color w:val="000000"/>
                <w:sz w:val="24"/>
                <w:szCs w:val="24"/>
              </w:rPr>
            </w:pPr>
            <w:r w:rsidRPr="00860A3B">
              <w:rPr>
                <w:rFonts w:ascii="Simplified Arabic" w:hAnsi="Simplified Arabic" w:cs="Simplified Arabic" w:hint="cs"/>
                <w:sz w:val="24"/>
                <w:szCs w:val="24"/>
              </w:rPr>
              <w:t xml:space="preserve">Webex Enterprise | سعر المؤسسات الكبيرة &gt; 95000 </w:t>
            </w:r>
            <w:r w:rsidRPr="00860A3B">
              <w:rPr>
                <w:rFonts w:ascii="Simplified Arabic" w:hAnsi="Simplified Arabic" w:cs="Simplified Arabic" w:hint="cs"/>
                <w:sz w:val="24"/>
                <w:szCs w:val="24"/>
              </w:rPr>
              <w:lastRenderedPageBreak/>
              <w:t>(سعر غير رسمي)</w:t>
            </w:r>
          </w:p>
        </w:tc>
      </w:tr>
    </w:tbl>
    <w:p w14:paraId="59A51EAA" w14:textId="0FE6CB24" w:rsidR="001F056A" w:rsidRPr="00860A3B" w:rsidRDefault="003B6B46">
      <w:pPr>
        <w:pStyle w:val="Normalnumber"/>
        <w:tabs>
          <w:tab w:val="clear" w:pos="1247"/>
          <w:tab w:val="clear" w:pos="1814"/>
          <w:tab w:val="clear" w:pos="2381"/>
          <w:tab w:val="clear" w:pos="2948"/>
          <w:tab w:val="clear" w:pos="3515"/>
        </w:tabs>
        <w:spacing w:before="240"/>
        <w:ind w:left="1247"/>
        <w:rPr>
          <w:rFonts w:ascii="Simplified Arabic" w:hAnsi="Simplified Arabic" w:cs="Simplified Arabic" w:hint="cs"/>
          <w:sz w:val="24"/>
          <w:szCs w:val="24"/>
        </w:rPr>
      </w:pPr>
      <w:r w:rsidRPr="00860A3B">
        <w:rPr>
          <w:rFonts w:ascii="Simplified Arabic" w:hAnsi="Simplified Arabic" w:cs="Simplified Arabic" w:hint="cs"/>
          <w:sz w:val="24"/>
          <w:szCs w:val="24"/>
        </w:rPr>
        <w:t xml:space="preserve">أكدت الدراسة الاستقصائية إمكانية الحصول على تراخيص سنوية لاستخدام منصتين، وهما Zoom وMicrosoft Teams، بأسعار معقولة للغاية (2350 دولارًا أمريكيًا و1300 دولار أمريكي، على التوالي) لعقد اجتماعات بمشاركة ما يصل إلى 1000 مشارك، مع التزويد بخدمات الترجمة الشفوية المدعومة بالذكاء الاصطناعي باللغات الرسمية الست للأمم المتحدة. وفي المقابل، تبلغ التكلفة المعتادة للترجمة الشفوية البشرية نحو 150000 دولار للاجتماع الحضوري ونحو 130000 دولار للاجتماع المعقود عن بعد. </w:t>
      </w:r>
    </w:p>
    <w:p w14:paraId="2E965745" w14:textId="316964DE" w:rsidR="001F056A" w:rsidRPr="00860A3B" w:rsidRDefault="003B6B46">
      <w:pPr>
        <w:pStyle w:val="Normalnumber"/>
        <w:tabs>
          <w:tab w:val="clear" w:pos="1247"/>
          <w:tab w:val="clear" w:pos="1814"/>
          <w:tab w:val="clear" w:pos="2381"/>
          <w:tab w:val="clear" w:pos="2948"/>
          <w:tab w:val="clear" w:pos="3515"/>
        </w:tabs>
        <w:ind w:left="1247"/>
        <w:rPr>
          <w:rFonts w:ascii="Simplified Arabic" w:hAnsi="Simplified Arabic" w:cs="Simplified Arabic" w:hint="cs"/>
          <w:sz w:val="24"/>
          <w:szCs w:val="24"/>
        </w:rPr>
      </w:pPr>
      <w:r w:rsidRPr="00860A3B">
        <w:rPr>
          <w:rFonts w:ascii="Simplified Arabic" w:hAnsi="Simplified Arabic" w:cs="Simplified Arabic" w:hint="cs"/>
          <w:sz w:val="24"/>
          <w:szCs w:val="24"/>
        </w:rPr>
        <w:t>وتظل الجودة العامل الحاسم. ويُعدّ التقييم الذي أجرته منظمة الصحة العالمية الأكثر صرامةً من بين التقييمات المتاحة داخل منظومة الأمم المتحدة. وخلص التقييم إلى أن هذه التقنية لم تكن قد بلغت بعد مستوى الملاءمة اللازم لاستخدامها في الاجتماعات مع الجهات المعنية من خارج المنظمة. وفيما يتعلق بالمفاوضات التي تكتسي فيها الصياغة الدقيقة لنصوص المعاهدات ومواقف البلدان والمصطلحات التقنية أهمية بالغة، لا يمكن للترجمة الشفوية المدعومة بالذكاء الاصطناعي، في الوقت الراهن، أن تحل محل المترجمين الشفويين البشريين.</w:t>
      </w:r>
    </w:p>
    <w:p w14:paraId="589EC10A" w14:textId="5B1815F4" w:rsidR="001F056A" w:rsidRPr="00860A3B" w:rsidRDefault="003B6B46">
      <w:pPr>
        <w:pStyle w:val="Normalnumber"/>
        <w:tabs>
          <w:tab w:val="clear" w:pos="1247"/>
          <w:tab w:val="clear" w:pos="1814"/>
          <w:tab w:val="clear" w:pos="2381"/>
          <w:tab w:val="clear" w:pos="2948"/>
          <w:tab w:val="clear" w:pos="3515"/>
        </w:tabs>
        <w:ind w:left="1247"/>
        <w:rPr>
          <w:rFonts w:ascii="Simplified Arabic" w:hAnsi="Simplified Arabic" w:cs="Simplified Arabic" w:hint="cs"/>
          <w:sz w:val="24"/>
          <w:szCs w:val="24"/>
        </w:rPr>
      </w:pPr>
      <w:r w:rsidRPr="00860A3B">
        <w:rPr>
          <w:rFonts w:ascii="Simplified Arabic" w:hAnsi="Simplified Arabic" w:cs="Simplified Arabic" w:hint="cs"/>
          <w:sz w:val="24"/>
          <w:szCs w:val="24"/>
        </w:rPr>
        <w:t>وكشفت الدراسة الاستقصائية أن المنصات الثلاث تخضع لبعض القيود في بلدان معينة، من بينها كوبا وجمهورية كوريا الشعبية الديمقراطية وإيران (الجمهورية الإسلامية) والسودان والجمهورية العربية السورية. ولذلك، فإن عقد أي اجتماع رسمي عن يعد باستخدام إحدى هذه المنصات سيتطلب ترتيبات بديلة في تلك البلدان (مثل توفير خطوط اتصال هاتفي للمشاركة في الاجتماعات أو الحصول على تراخيص استثنائية) لضمان مشاركة منصفة وشاملة للجميع.</w:t>
      </w:r>
    </w:p>
    <w:p w14:paraId="5D6087B4" w14:textId="0B1FD2A1" w:rsidR="001F056A" w:rsidRPr="00860A3B" w:rsidRDefault="003B6B46">
      <w:pPr>
        <w:pStyle w:val="Normalnumber"/>
        <w:tabs>
          <w:tab w:val="clear" w:pos="1247"/>
          <w:tab w:val="clear" w:pos="1814"/>
          <w:tab w:val="clear" w:pos="2381"/>
          <w:tab w:val="clear" w:pos="2948"/>
          <w:tab w:val="clear" w:pos="3515"/>
        </w:tabs>
        <w:ind w:left="1247"/>
        <w:rPr>
          <w:rFonts w:ascii="Simplified Arabic" w:hAnsi="Simplified Arabic" w:cs="Simplified Arabic" w:hint="cs"/>
          <w:sz w:val="24"/>
          <w:szCs w:val="24"/>
        </w:rPr>
      </w:pPr>
      <w:r w:rsidRPr="00860A3B">
        <w:rPr>
          <w:rFonts w:ascii="Simplified Arabic" w:hAnsi="Simplified Arabic" w:cs="Simplified Arabic" w:hint="cs"/>
          <w:sz w:val="24"/>
          <w:szCs w:val="24"/>
        </w:rPr>
        <w:t>وعلى هذا الأساس، يُقترح إجراء استعراض دوري لهذه المنصات مع تطور التقنية، مع الإشارة إلى أن الأمانة العامة تستخدم بالفعل الذكاء الاصطناعي بصورة غير رسمية لإعداد نصوص النسخ اللفظي وموجزات الاجتماعات والبحث في السجلات (انظر أيضًا UNEP/OzL.Pro.WG.1/48/4، الفقرة 41).</w:t>
      </w:r>
    </w:p>
    <w:p w14:paraId="5B42F3E2" w14:textId="4D832242" w:rsidR="001F056A" w:rsidRPr="00860A3B" w:rsidRDefault="003B6B46">
      <w:pPr>
        <w:pStyle w:val="CH3"/>
        <w:rPr>
          <w:rFonts w:ascii="Simplified Arabic" w:hAnsi="Simplified Arabic" w:cs="Simplified Arabic" w:hint="cs"/>
          <w:b w:val="0"/>
          <w:bCs/>
          <w:sz w:val="24"/>
          <w:szCs w:val="24"/>
        </w:rPr>
      </w:pPr>
      <w:r w:rsidRPr="00860A3B">
        <w:rPr>
          <w:rFonts w:ascii="Simplified Arabic" w:hAnsi="Simplified Arabic" w:cs="Simplified Arabic" w:hint="cs"/>
          <w:b w:val="0"/>
          <w:bCs/>
          <w:sz w:val="24"/>
          <w:szCs w:val="24"/>
        </w:rPr>
        <w:tab/>
        <w:t>2-</w:t>
      </w:r>
      <w:r w:rsidRPr="00860A3B">
        <w:rPr>
          <w:rFonts w:ascii="Simplified Arabic" w:hAnsi="Simplified Arabic" w:cs="Simplified Arabic" w:hint="cs"/>
          <w:b w:val="0"/>
          <w:bCs/>
          <w:sz w:val="24"/>
          <w:szCs w:val="24"/>
        </w:rPr>
        <w:tab/>
        <w:t>استخدام الذكاء الاصطناعي في ترجمة وثائق الاجتماعات</w:t>
      </w:r>
    </w:p>
    <w:p w14:paraId="329309BB" w14:textId="76CA14FE" w:rsidR="001F056A" w:rsidRPr="00860A3B" w:rsidRDefault="003B6B46">
      <w:pPr>
        <w:pStyle w:val="Normalnumber"/>
        <w:tabs>
          <w:tab w:val="clear" w:pos="1247"/>
          <w:tab w:val="clear" w:pos="1814"/>
          <w:tab w:val="clear" w:pos="2381"/>
          <w:tab w:val="clear" w:pos="2948"/>
          <w:tab w:val="clear" w:pos="3515"/>
        </w:tabs>
        <w:ind w:left="1247"/>
        <w:rPr>
          <w:rFonts w:ascii="Simplified Arabic" w:hAnsi="Simplified Arabic" w:cs="Simplified Arabic" w:hint="cs"/>
          <w:sz w:val="24"/>
          <w:szCs w:val="24"/>
        </w:rPr>
      </w:pPr>
      <w:r w:rsidRPr="00860A3B">
        <w:rPr>
          <w:rFonts w:ascii="Simplified Arabic" w:hAnsi="Simplified Arabic" w:cs="Simplified Arabic" w:hint="cs"/>
          <w:sz w:val="24"/>
          <w:szCs w:val="24"/>
        </w:rPr>
        <w:t xml:space="preserve">درست الأمانة أداة ترجمة تجارية مدعومة بالذكاء الاصطناعي، وهي DeepL، التي تدعم اللغات الرسمية الست للأمم المتحدة، وتُتاح من خلال خطط اشتراك. ويرد في الجدول 5 موجز للمعلومات الناتجة، إلى جانب أحجام النصوص المقاسة بعدد المحارف، لوثائق أُعِدّت لاجتماعين حديثين للأطراف. </w:t>
      </w:r>
    </w:p>
    <w:p w14:paraId="21657605" w14:textId="66C3283B" w:rsidR="001F056A" w:rsidRDefault="003B6B46">
      <w:pPr>
        <w:pStyle w:val="Titletable"/>
        <w:spacing w:before="240"/>
      </w:pPr>
      <w:r w:rsidRPr="00756842">
        <w:rPr>
          <w:rFonts w:ascii="Simplified Arabic" w:hAnsi="Simplified Arabic" w:cs="Simplified Arabic" w:hint="cs"/>
          <w:b w:val="0"/>
          <w:sz w:val="24"/>
          <w:szCs w:val="24"/>
        </w:rPr>
        <w:lastRenderedPageBreak/>
        <w:t>الجدول 5</w:t>
      </w:r>
      <w:r>
        <w:t xml:space="preserve"> </w:t>
      </w:r>
      <w:r>
        <w:br/>
      </w:r>
      <w:r w:rsidRPr="00860A3B">
        <w:rPr>
          <w:rFonts w:ascii="Simplified Arabic" w:hAnsi="Simplified Arabic" w:cs="Simplified Arabic" w:hint="cs"/>
          <w:b w:val="0"/>
          <w:bCs/>
          <w:sz w:val="24"/>
          <w:szCs w:val="24"/>
        </w:rPr>
        <w:t>مقارنة بين باقات اشتراك DeepL لترجمة الوثائق</w:t>
      </w:r>
    </w:p>
    <w:tbl>
      <w:tblPr>
        <w:bidiVisual/>
        <w:tblW w:w="8307" w:type="dxa"/>
        <w:jc w:val="right"/>
        <w:tblLayout w:type="fixed"/>
        <w:tblLook w:val="04A0" w:firstRow="1" w:lastRow="0" w:firstColumn="1" w:lastColumn="0" w:noHBand="0" w:noVBand="1"/>
      </w:tblPr>
      <w:tblGrid>
        <w:gridCol w:w="983"/>
        <w:gridCol w:w="1144"/>
        <w:gridCol w:w="1559"/>
        <w:gridCol w:w="1276"/>
        <w:gridCol w:w="1504"/>
        <w:gridCol w:w="1841"/>
      </w:tblGrid>
      <w:tr w:rsidR="001F056A" w:rsidRPr="00860A3B" w14:paraId="7992B9F5" w14:textId="77777777">
        <w:trPr>
          <w:trHeight w:val="290"/>
          <w:jc w:val="right"/>
        </w:trPr>
        <w:tc>
          <w:tcPr>
            <w:tcW w:w="983" w:type="dxa"/>
            <w:vMerge w:val="restart"/>
            <w:tcBorders>
              <w:top w:val="single" w:sz="4" w:space="0" w:color="auto"/>
            </w:tcBorders>
            <w:noWrap/>
            <w:vAlign w:val="bottom"/>
            <w:hideMark/>
          </w:tcPr>
          <w:p w14:paraId="1D44C538" w14:textId="6FADDE57" w:rsidR="001F056A" w:rsidRPr="00860A3B" w:rsidRDefault="003B6B46">
            <w:pPr>
              <w:pStyle w:val="P68B1DB1-Normal-pool-Table1"/>
              <w:rPr>
                <w:rFonts w:ascii="Simplified Arabic" w:hAnsi="Simplified Arabic" w:cs="Simplified Arabic" w:hint="cs"/>
                <w:sz w:val="20"/>
              </w:rPr>
            </w:pPr>
            <w:r w:rsidRPr="00860A3B">
              <w:rPr>
                <w:rFonts w:ascii="Simplified Arabic" w:hAnsi="Simplified Arabic" w:cs="Simplified Arabic" w:hint="cs"/>
                <w:sz w:val="20"/>
              </w:rPr>
              <w:t>خطة DeepL</w:t>
            </w:r>
          </w:p>
        </w:tc>
        <w:tc>
          <w:tcPr>
            <w:tcW w:w="1144" w:type="dxa"/>
            <w:vMerge w:val="restart"/>
            <w:tcBorders>
              <w:top w:val="single" w:sz="4" w:space="0" w:color="auto"/>
            </w:tcBorders>
            <w:noWrap/>
            <w:vAlign w:val="bottom"/>
            <w:hideMark/>
          </w:tcPr>
          <w:p w14:paraId="724EBB19" w14:textId="7C37B3A0" w:rsidR="001F056A" w:rsidRPr="00860A3B" w:rsidRDefault="003B6B46">
            <w:pPr>
              <w:pStyle w:val="P68B1DB1-Normal-pool-Table1"/>
              <w:jc w:val="right"/>
              <w:rPr>
                <w:rFonts w:ascii="Simplified Arabic" w:hAnsi="Simplified Arabic" w:cs="Simplified Arabic" w:hint="cs"/>
                <w:sz w:val="20"/>
              </w:rPr>
            </w:pPr>
            <w:r w:rsidRPr="00860A3B">
              <w:rPr>
                <w:rFonts w:ascii="Simplified Arabic" w:hAnsi="Simplified Arabic" w:cs="Simplified Arabic" w:hint="cs"/>
                <w:sz w:val="20"/>
              </w:rPr>
              <w:t>الرسوم السنوية (بالدولار الأمريكي)</w:t>
            </w:r>
          </w:p>
        </w:tc>
        <w:tc>
          <w:tcPr>
            <w:tcW w:w="1559" w:type="dxa"/>
            <w:vMerge w:val="restart"/>
            <w:tcBorders>
              <w:top w:val="single" w:sz="4" w:space="0" w:color="auto"/>
            </w:tcBorders>
            <w:vAlign w:val="bottom"/>
            <w:hideMark/>
          </w:tcPr>
          <w:p w14:paraId="516CB268" w14:textId="54DA0129" w:rsidR="001F056A" w:rsidRPr="00860A3B" w:rsidRDefault="003B6B46">
            <w:pPr>
              <w:pStyle w:val="P68B1DB1-Normal-pool-Table1"/>
              <w:jc w:val="right"/>
              <w:rPr>
                <w:rFonts w:ascii="Simplified Arabic" w:hAnsi="Simplified Arabic" w:cs="Simplified Arabic" w:hint="cs"/>
                <w:sz w:val="20"/>
              </w:rPr>
            </w:pPr>
            <w:r w:rsidRPr="00860A3B">
              <w:rPr>
                <w:rFonts w:ascii="Simplified Arabic" w:hAnsi="Simplified Arabic" w:cs="Simplified Arabic" w:hint="cs"/>
                <w:sz w:val="20"/>
              </w:rPr>
              <w:t>الحد الأقصى (عدد المحارف شهريًّا)</w:t>
            </w:r>
          </w:p>
        </w:tc>
        <w:tc>
          <w:tcPr>
            <w:tcW w:w="1276" w:type="dxa"/>
            <w:vMerge w:val="restart"/>
            <w:tcBorders>
              <w:top w:val="single" w:sz="4" w:space="0" w:color="auto"/>
            </w:tcBorders>
            <w:vAlign w:val="bottom"/>
            <w:hideMark/>
          </w:tcPr>
          <w:p w14:paraId="5205113A" w14:textId="27945635" w:rsidR="001F056A" w:rsidRPr="00860A3B" w:rsidRDefault="003B6B46">
            <w:pPr>
              <w:pStyle w:val="P68B1DB1-Normal-pool-Table1"/>
              <w:jc w:val="right"/>
              <w:rPr>
                <w:rFonts w:ascii="Simplified Arabic" w:hAnsi="Simplified Arabic" w:cs="Simplified Arabic" w:hint="cs"/>
                <w:sz w:val="20"/>
              </w:rPr>
            </w:pPr>
            <w:r w:rsidRPr="00860A3B">
              <w:rPr>
                <w:rFonts w:ascii="Simplified Arabic" w:hAnsi="Simplified Arabic" w:cs="Simplified Arabic" w:hint="cs"/>
                <w:sz w:val="20"/>
              </w:rPr>
              <w:t>الحد الأقصى (عدد الملفات شهريًّا)</w:t>
            </w:r>
          </w:p>
        </w:tc>
        <w:tc>
          <w:tcPr>
            <w:tcW w:w="3345" w:type="dxa"/>
            <w:gridSpan w:val="2"/>
            <w:tcBorders>
              <w:top w:val="single" w:sz="4" w:space="0" w:color="auto"/>
              <w:bottom w:val="single" w:sz="4" w:space="0" w:color="auto"/>
            </w:tcBorders>
            <w:vAlign w:val="bottom"/>
            <w:hideMark/>
          </w:tcPr>
          <w:p w14:paraId="2772C8EB" w14:textId="77777777" w:rsidR="001F056A" w:rsidRPr="00860A3B" w:rsidRDefault="003B6B46">
            <w:pPr>
              <w:pStyle w:val="P68B1DB1-Normal-pool-Table1"/>
              <w:jc w:val="center"/>
              <w:rPr>
                <w:rFonts w:ascii="Simplified Arabic" w:hAnsi="Simplified Arabic" w:cs="Simplified Arabic" w:hint="cs"/>
                <w:sz w:val="20"/>
              </w:rPr>
            </w:pPr>
            <w:r w:rsidRPr="00860A3B">
              <w:rPr>
                <w:rFonts w:ascii="Simplified Arabic" w:hAnsi="Simplified Arabic" w:cs="Simplified Arabic" w:hint="cs"/>
                <w:sz w:val="20"/>
              </w:rPr>
              <w:t>عدد المحارف</w:t>
            </w:r>
          </w:p>
        </w:tc>
      </w:tr>
      <w:tr w:rsidR="001F056A" w:rsidRPr="00860A3B" w14:paraId="49BDCA11" w14:textId="77777777">
        <w:trPr>
          <w:trHeight w:val="290"/>
          <w:jc w:val="right"/>
        </w:trPr>
        <w:tc>
          <w:tcPr>
            <w:tcW w:w="983" w:type="dxa"/>
            <w:vMerge/>
            <w:tcBorders>
              <w:bottom w:val="single" w:sz="12" w:space="0" w:color="auto"/>
            </w:tcBorders>
            <w:vAlign w:val="bottom"/>
            <w:hideMark/>
          </w:tcPr>
          <w:p w14:paraId="0CF4DD00" w14:textId="77777777" w:rsidR="001F056A" w:rsidRPr="00860A3B" w:rsidRDefault="001F056A">
            <w:pPr>
              <w:pStyle w:val="Normal-pool-Table"/>
              <w:rPr>
                <w:rFonts w:ascii="Simplified Arabic" w:hAnsi="Simplified Arabic" w:cs="Simplified Arabic" w:hint="cs"/>
                <w:i/>
                <w:sz w:val="20"/>
              </w:rPr>
            </w:pPr>
          </w:p>
        </w:tc>
        <w:tc>
          <w:tcPr>
            <w:tcW w:w="1144" w:type="dxa"/>
            <w:vMerge/>
            <w:tcBorders>
              <w:bottom w:val="single" w:sz="12" w:space="0" w:color="auto"/>
            </w:tcBorders>
            <w:vAlign w:val="bottom"/>
            <w:hideMark/>
          </w:tcPr>
          <w:p w14:paraId="28CEF92E" w14:textId="77777777" w:rsidR="001F056A" w:rsidRPr="00860A3B" w:rsidRDefault="001F056A">
            <w:pPr>
              <w:pStyle w:val="Normal-pool-Table"/>
              <w:jc w:val="right"/>
              <w:rPr>
                <w:rFonts w:ascii="Simplified Arabic" w:hAnsi="Simplified Arabic" w:cs="Simplified Arabic" w:hint="cs"/>
                <w:i/>
                <w:sz w:val="20"/>
              </w:rPr>
            </w:pPr>
          </w:p>
        </w:tc>
        <w:tc>
          <w:tcPr>
            <w:tcW w:w="1559" w:type="dxa"/>
            <w:vMerge/>
            <w:tcBorders>
              <w:bottom w:val="single" w:sz="12" w:space="0" w:color="auto"/>
            </w:tcBorders>
            <w:vAlign w:val="bottom"/>
            <w:hideMark/>
          </w:tcPr>
          <w:p w14:paraId="273A2BAF" w14:textId="77777777" w:rsidR="001F056A" w:rsidRPr="00860A3B" w:rsidRDefault="001F056A">
            <w:pPr>
              <w:pStyle w:val="Normal-pool-Table"/>
              <w:jc w:val="right"/>
              <w:rPr>
                <w:rFonts w:ascii="Simplified Arabic" w:hAnsi="Simplified Arabic" w:cs="Simplified Arabic" w:hint="cs"/>
                <w:i/>
                <w:sz w:val="20"/>
              </w:rPr>
            </w:pPr>
          </w:p>
        </w:tc>
        <w:tc>
          <w:tcPr>
            <w:tcW w:w="1276" w:type="dxa"/>
            <w:vMerge/>
            <w:tcBorders>
              <w:bottom w:val="single" w:sz="12" w:space="0" w:color="auto"/>
            </w:tcBorders>
            <w:vAlign w:val="bottom"/>
            <w:hideMark/>
          </w:tcPr>
          <w:p w14:paraId="7DAAA778" w14:textId="77777777" w:rsidR="001F056A" w:rsidRPr="00860A3B" w:rsidRDefault="001F056A">
            <w:pPr>
              <w:pStyle w:val="Normal-pool-Table"/>
              <w:jc w:val="right"/>
              <w:rPr>
                <w:rFonts w:ascii="Simplified Arabic" w:hAnsi="Simplified Arabic" w:cs="Simplified Arabic" w:hint="cs"/>
                <w:i/>
                <w:sz w:val="20"/>
              </w:rPr>
            </w:pPr>
          </w:p>
        </w:tc>
        <w:tc>
          <w:tcPr>
            <w:tcW w:w="1504" w:type="dxa"/>
            <w:tcBorders>
              <w:top w:val="single" w:sz="4" w:space="0" w:color="auto"/>
              <w:bottom w:val="single" w:sz="12" w:space="0" w:color="auto"/>
            </w:tcBorders>
            <w:vAlign w:val="bottom"/>
            <w:hideMark/>
          </w:tcPr>
          <w:p w14:paraId="16E7B110" w14:textId="77777777" w:rsidR="001F056A" w:rsidRPr="00860A3B" w:rsidRDefault="003B6B46">
            <w:pPr>
              <w:pStyle w:val="P68B1DB1-Normal-pool-Table1"/>
              <w:jc w:val="right"/>
              <w:rPr>
                <w:rFonts w:ascii="Simplified Arabic" w:hAnsi="Simplified Arabic" w:cs="Simplified Arabic" w:hint="cs"/>
                <w:sz w:val="20"/>
              </w:rPr>
            </w:pPr>
            <w:r w:rsidRPr="00860A3B">
              <w:rPr>
                <w:rFonts w:ascii="Simplified Arabic" w:hAnsi="Simplified Arabic" w:cs="Simplified Arabic" w:hint="cs"/>
                <w:sz w:val="20"/>
              </w:rPr>
              <w:t xml:space="preserve">OEWG48 </w:t>
            </w:r>
          </w:p>
        </w:tc>
        <w:tc>
          <w:tcPr>
            <w:tcW w:w="1841" w:type="dxa"/>
            <w:tcBorders>
              <w:top w:val="single" w:sz="4" w:space="0" w:color="auto"/>
              <w:bottom w:val="single" w:sz="12" w:space="0" w:color="auto"/>
            </w:tcBorders>
            <w:vAlign w:val="bottom"/>
            <w:hideMark/>
          </w:tcPr>
          <w:p w14:paraId="51808010" w14:textId="77777777" w:rsidR="001F056A" w:rsidRPr="00860A3B" w:rsidRDefault="003B6B46">
            <w:pPr>
              <w:pStyle w:val="P68B1DB1-Normal-pool-Table1"/>
              <w:jc w:val="right"/>
              <w:rPr>
                <w:rFonts w:ascii="Simplified Arabic" w:hAnsi="Simplified Arabic" w:cs="Simplified Arabic" w:hint="cs"/>
                <w:sz w:val="20"/>
              </w:rPr>
            </w:pPr>
            <w:r w:rsidRPr="00860A3B">
              <w:rPr>
                <w:rFonts w:ascii="Simplified Arabic" w:hAnsi="Simplified Arabic" w:cs="Simplified Arabic" w:hint="cs"/>
                <w:sz w:val="20"/>
              </w:rPr>
              <w:t>الاجتماع السابع والثلاثون للأطراف (MOP37)</w:t>
            </w:r>
          </w:p>
        </w:tc>
      </w:tr>
      <w:tr w:rsidR="001F056A" w:rsidRPr="00860A3B" w14:paraId="4BF4A3B2" w14:textId="77777777">
        <w:trPr>
          <w:trHeight w:val="290"/>
          <w:jc w:val="right"/>
        </w:trPr>
        <w:tc>
          <w:tcPr>
            <w:tcW w:w="983" w:type="dxa"/>
            <w:tcBorders>
              <w:top w:val="single" w:sz="12" w:space="0" w:color="auto"/>
            </w:tcBorders>
            <w:noWrap/>
            <w:vAlign w:val="bottom"/>
            <w:hideMark/>
          </w:tcPr>
          <w:p w14:paraId="10FDC95E" w14:textId="77777777" w:rsidR="001F056A" w:rsidRPr="00860A3B" w:rsidRDefault="003B6B46">
            <w:pPr>
              <w:pStyle w:val="P68B1DB1-Normal-pool-Table3"/>
              <w:rPr>
                <w:rFonts w:ascii="Simplified Arabic" w:hAnsi="Simplified Arabic" w:cs="Simplified Arabic" w:hint="cs"/>
                <w:color w:val="000000"/>
                <w:sz w:val="20"/>
              </w:rPr>
            </w:pPr>
            <w:r w:rsidRPr="00860A3B">
              <w:rPr>
                <w:rFonts w:ascii="Simplified Arabic" w:hAnsi="Simplified Arabic" w:cs="Simplified Arabic" w:hint="cs"/>
                <w:sz w:val="20"/>
              </w:rPr>
              <w:t>الفرد</w:t>
            </w:r>
          </w:p>
        </w:tc>
        <w:tc>
          <w:tcPr>
            <w:tcW w:w="1144" w:type="dxa"/>
            <w:tcBorders>
              <w:top w:val="single" w:sz="12" w:space="0" w:color="auto"/>
            </w:tcBorders>
            <w:noWrap/>
            <w:vAlign w:val="bottom"/>
            <w:hideMark/>
          </w:tcPr>
          <w:p w14:paraId="7322D0CB" w14:textId="77777777" w:rsidR="001F056A" w:rsidRPr="00860A3B" w:rsidRDefault="003B6B46">
            <w:pPr>
              <w:pStyle w:val="P68B1DB1-Normal-pool-Table3"/>
              <w:jc w:val="right"/>
              <w:rPr>
                <w:rFonts w:ascii="Simplified Arabic" w:hAnsi="Simplified Arabic" w:cs="Simplified Arabic" w:hint="cs"/>
                <w:color w:val="000000"/>
                <w:sz w:val="20"/>
              </w:rPr>
            </w:pPr>
            <w:r w:rsidRPr="00860A3B">
              <w:rPr>
                <w:rFonts w:ascii="Simplified Arabic" w:hAnsi="Simplified Arabic" w:cs="Simplified Arabic" w:hint="cs"/>
                <w:sz w:val="20"/>
              </w:rPr>
              <w:t>105</w:t>
            </w:r>
          </w:p>
        </w:tc>
        <w:tc>
          <w:tcPr>
            <w:tcW w:w="1559" w:type="dxa"/>
            <w:tcBorders>
              <w:top w:val="single" w:sz="12" w:space="0" w:color="auto"/>
            </w:tcBorders>
            <w:noWrap/>
            <w:vAlign w:val="bottom"/>
            <w:hideMark/>
          </w:tcPr>
          <w:p w14:paraId="19B0FE0D" w14:textId="75678658" w:rsidR="001F056A" w:rsidRPr="00860A3B" w:rsidRDefault="003B6B46">
            <w:pPr>
              <w:pStyle w:val="P68B1DB1-Normal-pool-Table3"/>
              <w:jc w:val="right"/>
              <w:rPr>
                <w:rFonts w:ascii="Simplified Arabic" w:hAnsi="Simplified Arabic" w:cs="Simplified Arabic" w:hint="cs"/>
                <w:color w:val="000000"/>
                <w:sz w:val="20"/>
              </w:rPr>
            </w:pPr>
            <w:r w:rsidRPr="00860A3B">
              <w:rPr>
                <w:rFonts w:ascii="Simplified Arabic" w:hAnsi="Simplified Arabic" w:cs="Simplified Arabic" w:hint="cs"/>
                <w:sz w:val="20"/>
              </w:rPr>
              <w:t xml:space="preserve">300000 </w:t>
            </w:r>
          </w:p>
        </w:tc>
        <w:tc>
          <w:tcPr>
            <w:tcW w:w="1276" w:type="dxa"/>
            <w:tcBorders>
              <w:top w:val="single" w:sz="12" w:space="0" w:color="auto"/>
            </w:tcBorders>
            <w:noWrap/>
            <w:vAlign w:val="bottom"/>
            <w:hideMark/>
          </w:tcPr>
          <w:p w14:paraId="360EE767" w14:textId="77777777" w:rsidR="001F056A" w:rsidRPr="00860A3B" w:rsidRDefault="003B6B46">
            <w:pPr>
              <w:pStyle w:val="P68B1DB1-Normal-pool-Table3"/>
              <w:jc w:val="right"/>
              <w:rPr>
                <w:rFonts w:ascii="Simplified Arabic" w:hAnsi="Simplified Arabic" w:cs="Simplified Arabic" w:hint="cs"/>
                <w:color w:val="000000"/>
                <w:sz w:val="20"/>
              </w:rPr>
            </w:pPr>
            <w:r w:rsidRPr="00860A3B">
              <w:rPr>
                <w:rFonts w:ascii="Simplified Arabic" w:hAnsi="Simplified Arabic" w:cs="Simplified Arabic" w:hint="cs"/>
                <w:sz w:val="20"/>
              </w:rPr>
              <w:t>3</w:t>
            </w:r>
          </w:p>
        </w:tc>
        <w:tc>
          <w:tcPr>
            <w:tcW w:w="1504" w:type="dxa"/>
            <w:tcBorders>
              <w:top w:val="single" w:sz="12" w:space="0" w:color="auto"/>
            </w:tcBorders>
            <w:noWrap/>
            <w:vAlign w:val="center"/>
            <w:hideMark/>
          </w:tcPr>
          <w:p w14:paraId="74D03A79" w14:textId="7FF3036C" w:rsidR="001F056A" w:rsidRPr="00860A3B" w:rsidRDefault="003B6B46">
            <w:pPr>
              <w:pStyle w:val="P68B1DB1-Normal-pool-Table3"/>
              <w:jc w:val="right"/>
              <w:rPr>
                <w:rFonts w:ascii="Simplified Arabic" w:hAnsi="Simplified Arabic" w:cs="Simplified Arabic" w:hint="cs"/>
                <w:color w:val="000000"/>
                <w:sz w:val="20"/>
              </w:rPr>
            </w:pPr>
            <w:r w:rsidRPr="00860A3B">
              <w:rPr>
                <w:rFonts w:ascii="Simplified Arabic" w:hAnsi="Simplified Arabic" w:cs="Simplified Arabic" w:hint="cs"/>
                <w:sz w:val="20"/>
              </w:rPr>
              <w:t>لا ينطبق</w:t>
            </w:r>
          </w:p>
        </w:tc>
        <w:tc>
          <w:tcPr>
            <w:tcW w:w="1841" w:type="dxa"/>
            <w:tcBorders>
              <w:top w:val="single" w:sz="12" w:space="0" w:color="auto"/>
            </w:tcBorders>
            <w:noWrap/>
            <w:vAlign w:val="center"/>
            <w:hideMark/>
          </w:tcPr>
          <w:p w14:paraId="73602EE9" w14:textId="28D741A5" w:rsidR="001F056A" w:rsidRPr="00860A3B" w:rsidRDefault="003B6B46">
            <w:pPr>
              <w:pStyle w:val="P68B1DB1-Normal-pool-Table3"/>
              <w:jc w:val="right"/>
              <w:rPr>
                <w:rFonts w:ascii="Simplified Arabic" w:hAnsi="Simplified Arabic" w:cs="Simplified Arabic" w:hint="cs"/>
                <w:color w:val="000000"/>
                <w:sz w:val="20"/>
              </w:rPr>
            </w:pPr>
            <w:r w:rsidRPr="00860A3B">
              <w:rPr>
                <w:rFonts w:ascii="Simplified Arabic" w:hAnsi="Simplified Arabic" w:cs="Simplified Arabic" w:hint="cs"/>
                <w:sz w:val="20"/>
              </w:rPr>
              <w:t>لا ينطبق</w:t>
            </w:r>
          </w:p>
        </w:tc>
      </w:tr>
      <w:tr w:rsidR="001F056A" w:rsidRPr="00860A3B" w14:paraId="5410EFB0" w14:textId="77777777">
        <w:trPr>
          <w:trHeight w:val="290"/>
          <w:jc w:val="right"/>
        </w:trPr>
        <w:tc>
          <w:tcPr>
            <w:tcW w:w="983" w:type="dxa"/>
            <w:noWrap/>
            <w:vAlign w:val="bottom"/>
            <w:hideMark/>
          </w:tcPr>
          <w:p w14:paraId="0338B1AB" w14:textId="77777777" w:rsidR="001F056A" w:rsidRPr="00860A3B" w:rsidRDefault="003B6B46">
            <w:pPr>
              <w:pStyle w:val="P68B1DB1-Normal-pool-Table3"/>
              <w:rPr>
                <w:rFonts w:ascii="Simplified Arabic" w:hAnsi="Simplified Arabic" w:cs="Simplified Arabic" w:hint="cs"/>
                <w:color w:val="000000"/>
                <w:sz w:val="20"/>
              </w:rPr>
            </w:pPr>
            <w:r w:rsidRPr="00860A3B">
              <w:rPr>
                <w:rFonts w:ascii="Simplified Arabic" w:hAnsi="Simplified Arabic" w:cs="Simplified Arabic" w:hint="cs"/>
                <w:sz w:val="20"/>
              </w:rPr>
              <w:t>فريق</w:t>
            </w:r>
          </w:p>
        </w:tc>
        <w:tc>
          <w:tcPr>
            <w:tcW w:w="1144" w:type="dxa"/>
            <w:noWrap/>
            <w:vAlign w:val="bottom"/>
            <w:hideMark/>
          </w:tcPr>
          <w:p w14:paraId="3104A3F8" w14:textId="77777777" w:rsidR="001F056A" w:rsidRPr="00860A3B" w:rsidRDefault="003B6B46">
            <w:pPr>
              <w:pStyle w:val="P68B1DB1-Normal-pool-Table3"/>
              <w:jc w:val="right"/>
              <w:rPr>
                <w:rFonts w:ascii="Simplified Arabic" w:hAnsi="Simplified Arabic" w:cs="Simplified Arabic" w:hint="cs"/>
                <w:color w:val="000000"/>
                <w:sz w:val="20"/>
              </w:rPr>
            </w:pPr>
            <w:r w:rsidRPr="00860A3B">
              <w:rPr>
                <w:rFonts w:ascii="Simplified Arabic" w:hAnsi="Simplified Arabic" w:cs="Simplified Arabic" w:hint="cs"/>
                <w:sz w:val="20"/>
              </w:rPr>
              <w:t>345</w:t>
            </w:r>
          </w:p>
        </w:tc>
        <w:tc>
          <w:tcPr>
            <w:tcW w:w="1559" w:type="dxa"/>
            <w:noWrap/>
            <w:vAlign w:val="bottom"/>
            <w:hideMark/>
          </w:tcPr>
          <w:p w14:paraId="1A133970" w14:textId="47F75D90" w:rsidR="001F056A" w:rsidRPr="00860A3B" w:rsidRDefault="003B6B46">
            <w:pPr>
              <w:pStyle w:val="P68B1DB1-Normal-pool-Table3"/>
              <w:jc w:val="right"/>
              <w:rPr>
                <w:rFonts w:ascii="Simplified Arabic" w:hAnsi="Simplified Arabic" w:cs="Simplified Arabic" w:hint="cs"/>
                <w:color w:val="000000"/>
                <w:sz w:val="20"/>
              </w:rPr>
            </w:pPr>
            <w:r w:rsidRPr="00860A3B">
              <w:rPr>
                <w:rFonts w:ascii="Simplified Arabic" w:hAnsi="Simplified Arabic" w:cs="Simplified Arabic" w:hint="cs"/>
                <w:sz w:val="20"/>
              </w:rPr>
              <w:t xml:space="preserve">1000000 </w:t>
            </w:r>
          </w:p>
        </w:tc>
        <w:tc>
          <w:tcPr>
            <w:tcW w:w="1276" w:type="dxa"/>
            <w:noWrap/>
            <w:vAlign w:val="bottom"/>
            <w:hideMark/>
          </w:tcPr>
          <w:p w14:paraId="6E8F4E15" w14:textId="77777777" w:rsidR="001F056A" w:rsidRPr="00860A3B" w:rsidRDefault="003B6B46">
            <w:pPr>
              <w:pStyle w:val="P68B1DB1-Normal-pool-Table3"/>
              <w:jc w:val="right"/>
              <w:rPr>
                <w:rFonts w:ascii="Simplified Arabic" w:hAnsi="Simplified Arabic" w:cs="Simplified Arabic" w:hint="cs"/>
                <w:color w:val="000000"/>
                <w:sz w:val="20"/>
              </w:rPr>
            </w:pPr>
            <w:r w:rsidRPr="00860A3B">
              <w:rPr>
                <w:rFonts w:ascii="Simplified Arabic" w:hAnsi="Simplified Arabic" w:cs="Simplified Arabic" w:hint="cs"/>
                <w:sz w:val="20"/>
              </w:rPr>
              <w:t>20</w:t>
            </w:r>
          </w:p>
        </w:tc>
        <w:tc>
          <w:tcPr>
            <w:tcW w:w="1504" w:type="dxa"/>
            <w:noWrap/>
            <w:vAlign w:val="bottom"/>
            <w:hideMark/>
          </w:tcPr>
          <w:p w14:paraId="0AB37803" w14:textId="28E94470" w:rsidR="001F056A" w:rsidRPr="00860A3B" w:rsidRDefault="003B6B46">
            <w:pPr>
              <w:pStyle w:val="P68B1DB1-Normal-pool-Table3"/>
              <w:jc w:val="right"/>
              <w:rPr>
                <w:rFonts w:ascii="Simplified Arabic" w:hAnsi="Simplified Arabic" w:cs="Simplified Arabic" w:hint="cs"/>
                <w:color w:val="000000"/>
                <w:sz w:val="20"/>
              </w:rPr>
            </w:pPr>
            <w:r w:rsidRPr="00860A3B">
              <w:rPr>
                <w:rFonts w:ascii="Simplified Arabic" w:hAnsi="Simplified Arabic" w:cs="Simplified Arabic" w:hint="cs"/>
                <w:sz w:val="20"/>
              </w:rPr>
              <w:t>598290</w:t>
            </w:r>
          </w:p>
        </w:tc>
        <w:tc>
          <w:tcPr>
            <w:tcW w:w="1841" w:type="dxa"/>
            <w:noWrap/>
            <w:vAlign w:val="bottom"/>
            <w:hideMark/>
          </w:tcPr>
          <w:p w14:paraId="220FD2A6" w14:textId="44D0FB2E" w:rsidR="001F056A" w:rsidRPr="00860A3B" w:rsidRDefault="003B6B46">
            <w:pPr>
              <w:pStyle w:val="P68B1DB1-Normal-pool-Table3"/>
              <w:jc w:val="right"/>
              <w:rPr>
                <w:rFonts w:ascii="Simplified Arabic" w:hAnsi="Simplified Arabic" w:cs="Simplified Arabic" w:hint="cs"/>
                <w:color w:val="000000"/>
                <w:sz w:val="20"/>
              </w:rPr>
            </w:pPr>
            <w:r w:rsidRPr="00860A3B">
              <w:rPr>
                <w:rFonts w:ascii="Simplified Arabic" w:hAnsi="Simplified Arabic" w:cs="Simplified Arabic" w:hint="cs"/>
                <w:sz w:val="20"/>
              </w:rPr>
              <w:t>734580</w:t>
            </w:r>
          </w:p>
        </w:tc>
      </w:tr>
      <w:tr w:rsidR="001F056A" w:rsidRPr="00860A3B" w14:paraId="7365876E" w14:textId="77777777">
        <w:trPr>
          <w:trHeight w:val="290"/>
          <w:jc w:val="right"/>
        </w:trPr>
        <w:tc>
          <w:tcPr>
            <w:tcW w:w="983" w:type="dxa"/>
            <w:tcBorders>
              <w:bottom w:val="single" w:sz="12" w:space="0" w:color="auto"/>
            </w:tcBorders>
            <w:noWrap/>
            <w:vAlign w:val="bottom"/>
            <w:hideMark/>
          </w:tcPr>
          <w:p w14:paraId="28C8146C" w14:textId="77777777" w:rsidR="001F056A" w:rsidRPr="00860A3B" w:rsidRDefault="003B6B46">
            <w:pPr>
              <w:pStyle w:val="P68B1DB1-Normal-pool-Table3"/>
              <w:rPr>
                <w:rFonts w:ascii="Simplified Arabic" w:hAnsi="Simplified Arabic" w:cs="Simplified Arabic" w:hint="cs"/>
                <w:color w:val="000000"/>
                <w:sz w:val="20"/>
              </w:rPr>
            </w:pPr>
            <w:r w:rsidRPr="00860A3B">
              <w:rPr>
                <w:rFonts w:ascii="Simplified Arabic" w:hAnsi="Simplified Arabic" w:cs="Simplified Arabic" w:hint="cs"/>
                <w:sz w:val="20"/>
              </w:rPr>
              <w:t>الشركات</w:t>
            </w:r>
          </w:p>
        </w:tc>
        <w:tc>
          <w:tcPr>
            <w:tcW w:w="1144" w:type="dxa"/>
            <w:tcBorders>
              <w:bottom w:val="single" w:sz="12" w:space="0" w:color="auto"/>
            </w:tcBorders>
            <w:noWrap/>
            <w:vAlign w:val="bottom"/>
            <w:hideMark/>
          </w:tcPr>
          <w:p w14:paraId="1EC432C7" w14:textId="77777777" w:rsidR="001F056A" w:rsidRPr="00860A3B" w:rsidRDefault="003B6B46">
            <w:pPr>
              <w:pStyle w:val="P68B1DB1-Normal-pool-Table3"/>
              <w:jc w:val="right"/>
              <w:rPr>
                <w:rFonts w:ascii="Simplified Arabic" w:hAnsi="Simplified Arabic" w:cs="Simplified Arabic" w:hint="cs"/>
                <w:color w:val="000000"/>
                <w:sz w:val="20"/>
              </w:rPr>
            </w:pPr>
            <w:r w:rsidRPr="00860A3B">
              <w:rPr>
                <w:rFonts w:ascii="Simplified Arabic" w:hAnsi="Simplified Arabic" w:cs="Simplified Arabic" w:hint="cs"/>
                <w:sz w:val="20"/>
              </w:rPr>
              <w:t xml:space="preserve">689 </w:t>
            </w:r>
          </w:p>
        </w:tc>
        <w:tc>
          <w:tcPr>
            <w:tcW w:w="1559" w:type="dxa"/>
            <w:tcBorders>
              <w:bottom w:val="single" w:sz="12" w:space="0" w:color="auto"/>
            </w:tcBorders>
            <w:noWrap/>
            <w:vAlign w:val="bottom"/>
            <w:hideMark/>
          </w:tcPr>
          <w:p w14:paraId="67DCB0F7" w14:textId="6F019C10" w:rsidR="001F056A" w:rsidRPr="00860A3B" w:rsidRDefault="003B6B46">
            <w:pPr>
              <w:pStyle w:val="P68B1DB1-Normal-pool-Table3"/>
              <w:jc w:val="right"/>
              <w:rPr>
                <w:rFonts w:ascii="Simplified Arabic" w:hAnsi="Simplified Arabic" w:cs="Simplified Arabic" w:hint="cs"/>
                <w:color w:val="000000"/>
                <w:sz w:val="20"/>
              </w:rPr>
            </w:pPr>
            <w:r w:rsidRPr="00860A3B">
              <w:rPr>
                <w:rFonts w:ascii="Simplified Arabic" w:hAnsi="Simplified Arabic" w:cs="Simplified Arabic" w:hint="cs"/>
                <w:sz w:val="20"/>
              </w:rPr>
              <w:t xml:space="preserve">غير محدود </w:t>
            </w:r>
          </w:p>
        </w:tc>
        <w:tc>
          <w:tcPr>
            <w:tcW w:w="1276" w:type="dxa"/>
            <w:tcBorders>
              <w:bottom w:val="single" w:sz="12" w:space="0" w:color="auto"/>
            </w:tcBorders>
            <w:noWrap/>
            <w:vAlign w:val="bottom"/>
            <w:hideMark/>
          </w:tcPr>
          <w:p w14:paraId="187DE82C" w14:textId="77777777" w:rsidR="001F056A" w:rsidRPr="00860A3B" w:rsidRDefault="003B6B46">
            <w:pPr>
              <w:pStyle w:val="P68B1DB1-Normal-pool-Table3"/>
              <w:jc w:val="right"/>
              <w:rPr>
                <w:rFonts w:ascii="Simplified Arabic" w:hAnsi="Simplified Arabic" w:cs="Simplified Arabic" w:hint="cs"/>
                <w:color w:val="000000"/>
                <w:sz w:val="20"/>
              </w:rPr>
            </w:pPr>
            <w:r w:rsidRPr="00860A3B">
              <w:rPr>
                <w:rFonts w:ascii="Simplified Arabic" w:hAnsi="Simplified Arabic" w:cs="Simplified Arabic" w:hint="cs"/>
                <w:sz w:val="20"/>
              </w:rPr>
              <w:t>100</w:t>
            </w:r>
          </w:p>
        </w:tc>
        <w:tc>
          <w:tcPr>
            <w:tcW w:w="1504" w:type="dxa"/>
            <w:tcBorders>
              <w:bottom w:val="single" w:sz="12" w:space="0" w:color="auto"/>
            </w:tcBorders>
            <w:noWrap/>
            <w:vAlign w:val="bottom"/>
            <w:hideMark/>
          </w:tcPr>
          <w:p w14:paraId="31409DCD" w14:textId="64FE10B6" w:rsidR="001F056A" w:rsidRPr="00860A3B" w:rsidRDefault="003B6B46">
            <w:pPr>
              <w:pStyle w:val="P68B1DB1-Normal-pool-Table3"/>
              <w:jc w:val="right"/>
              <w:rPr>
                <w:rFonts w:ascii="Simplified Arabic" w:hAnsi="Simplified Arabic" w:cs="Simplified Arabic" w:hint="cs"/>
                <w:color w:val="000000"/>
                <w:sz w:val="20"/>
              </w:rPr>
            </w:pPr>
            <w:r w:rsidRPr="00860A3B">
              <w:rPr>
                <w:rFonts w:ascii="Simplified Arabic" w:hAnsi="Simplified Arabic" w:cs="Simplified Arabic" w:hint="cs"/>
                <w:sz w:val="20"/>
              </w:rPr>
              <w:t>لا ينطبق</w:t>
            </w:r>
          </w:p>
        </w:tc>
        <w:tc>
          <w:tcPr>
            <w:tcW w:w="1841" w:type="dxa"/>
            <w:tcBorders>
              <w:bottom w:val="single" w:sz="12" w:space="0" w:color="auto"/>
            </w:tcBorders>
            <w:noWrap/>
            <w:vAlign w:val="bottom"/>
            <w:hideMark/>
          </w:tcPr>
          <w:p w14:paraId="16F295B2" w14:textId="01D3F1AF" w:rsidR="001F056A" w:rsidRPr="00860A3B" w:rsidRDefault="003B6B46">
            <w:pPr>
              <w:pStyle w:val="P68B1DB1-Normal-pool-Table3"/>
              <w:jc w:val="right"/>
              <w:rPr>
                <w:rFonts w:ascii="Simplified Arabic" w:hAnsi="Simplified Arabic" w:cs="Simplified Arabic" w:hint="cs"/>
                <w:color w:val="000000"/>
                <w:sz w:val="20"/>
              </w:rPr>
            </w:pPr>
            <w:r w:rsidRPr="00860A3B">
              <w:rPr>
                <w:rFonts w:ascii="Simplified Arabic" w:hAnsi="Simplified Arabic" w:cs="Simplified Arabic" w:hint="cs"/>
                <w:sz w:val="20"/>
              </w:rPr>
              <w:t>لا ينطبق</w:t>
            </w:r>
          </w:p>
        </w:tc>
      </w:tr>
    </w:tbl>
    <w:p w14:paraId="4DE92299" w14:textId="0BCB4756" w:rsidR="001F056A" w:rsidRPr="005F1727" w:rsidRDefault="003B6B46">
      <w:pPr>
        <w:pStyle w:val="Normalnumber"/>
        <w:tabs>
          <w:tab w:val="clear" w:pos="1247"/>
          <w:tab w:val="clear" w:pos="1814"/>
          <w:tab w:val="clear" w:pos="2381"/>
          <w:tab w:val="clear" w:pos="2948"/>
          <w:tab w:val="clear" w:pos="3515"/>
        </w:tabs>
        <w:spacing w:before="240"/>
        <w:ind w:left="1247"/>
        <w:rPr>
          <w:rFonts w:ascii="Simplified Arabic" w:hAnsi="Simplified Arabic" w:cs="Simplified Arabic" w:hint="cs"/>
          <w:sz w:val="24"/>
          <w:szCs w:val="24"/>
        </w:rPr>
      </w:pPr>
      <w:r w:rsidRPr="005F1727">
        <w:rPr>
          <w:rFonts w:ascii="Simplified Arabic" w:hAnsi="Simplified Arabic" w:cs="Simplified Arabic" w:hint="cs"/>
          <w:sz w:val="24"/>
          <w:szCs w:val="24"/>
        </w:rPr>
        <w:t xml:space="preserve">يوضح التقييم أن التكلفة التقنية للترجمة الآلية أصبحت ضئيلة: إذ تكلّف خطة اشتراك الشركات التي تغطي الوثائق الكاملة لاجتماع الأطراف واجتماع الفريق العامل المفتوح العضوية باللغات الست للأمم المتحدة، 689 دولارًا سنويًا، مقارنة بتكاليف الترجمة البشرية، التي بلغت نحو 150000 دولار للاجتماع السابع والثلاثين للأطراف. ويمكن إجراء الترجمة نفسها باستخدام الذكاء الاصطناعي، إلّا أن الخبرة البشرية ستظل ضرورية للتحقق من الترجمة وتصحيحها ووضعها في صيغتها النهائية. </w:t>
      </w:r>
    </w:p>
    <w:p w14:paraId="03E1355B" w14:textId="6388ADB5" w:rsidR="001F056A" w:rsidRPr="005F1727" w:rsidRDefault="003B6B46">
      <w:pPr>
        <w:pStyle w:val="Normalnumber"/>
        <w:tabs>
          <w:tab w:val="clear" w:pos="1247"/>
          <w:tab w:val="clear" w:pos="1814"/>
          <w:tab w:val="clear" w:pos="2381"/>
          <w:tab w:val="clear" w:pos="2948"/>
          <w:tab w:val="clear" w:pos="3515"/>
        </w:tabs>
        <w:ind w:left="1247"/>
        <w:rPr>
          <w:rFonts w:ascii="Simplified Arabic" w:hAnsi="Simplified Arabic" w:cs="Simplified Arabic" w:hint="cs"/>
          <w:sz w:val="24"/>
          <w:szCs w:val="24"/>
        </w:rPr>
      </w:pPr>
      <w:r w:rsidRPr="005F1727">
        <w:rPr>
          <w:rFonts w:ascii="Simplified Arabic" w:hAnsi="Simplified Arabic" w:cs="Simplified Arabic" w:hint="cs"/>
          <w:sz w:val="24"/>
          <w:szCs w:val="24"/>
        </w:rPr>
        <w:t xml:space="preserve">وقد أُضفي الطابع المؤسسي بالفعل على هذا النموذج للترجمة الآلية، القائم على التحقق البشري والتحرير اللاحق ووضع في صيغتها النهائية، ضمن منظومة الأمم المتحدة. وتدير إدارة شؤون الجمعية العامة والمؤتمرات مجموعة أدوات eLUNa/gText، التي تشمل أدوات للترجمة الآلية والترجمة بمساعدة الحاسوب تستند إلى مجموعة نصوص الأمم المتحدة باللغات الرسمية الست. غير أنّ خدمات المؤتمرات لا تتيح خدمات التحرير اللاحق بصورة مستقلة للوثائق التي تترجمها الأمانة باستخدام الذكاء الاصطناعي. </w:t>
      </w:r>
    </w:p>
    <w:p w14:paraId="71C89B81" w14:textId="60494F02" w:rsidR="001F056A" w:rsidRPr="005F1727" w:rsidRDefault="003B6B46">
      <w:pPr>
        <w:pStyle w:val="Normalnumber"/>
        <w:tabs>
          <w:tab w:val="clear" w:pos="1247"/>
          <w:tab w:val="clear" w:pos="1814"/>
          <w:tab w:val="clear" w:pos="2381"/>
          <w:tab w:val="clear" w:pos="2948"/>
          <w:tab w:val="clear" w:pos="3515"/>
        </w:tabs>
        <w:ind w:left="1247"/>
        <w:rPr>
          <w:rFonts w:ascii="Simplified Arabic" w:hAnsi="Simplified Arabic" w:cs="Simplified Arabic" w:hint="cs"/>
          <w:sz w:val="24"/>
          <w:szCs w:val="24"/>
        </w:rPr>
      </w:pPr>
      <w:r w:rsidRPr="005F1727">
        <w:rPr>
          <w:rFonts w:ascii="Simplified Arabic" w:hAnsi="Simplified Arabic" w:cs="Simplified Arabic" w:hint="cs"/>
          <w:sz w:val="24"/>
          <w:szCs w:val="24"/>
        </w:rPr>
        <w:t>وتشمل الإجراءات التي يمكن للأمانة اتخاذها لتعزيز استخدامها للذكاء الاصطناعي ما يلي:</w:t>
      </w:r>
    </w:p>
    <w:p w14:paraId="38028D97" w14:textId="1146499D" w:rsidR="001F056A" w:rsidRPr="005F1727" w:rsidRDefault="003B6B46">
      <w:pPr>
        <w:pStyle w:val="Normalnumber"/>
        <w:numPr>
          <w:ilvl w:val="0"/>
          <w:numId w:val="19"/>
        </w:numPr>
        <w:tabs>
          <w:tab w:val="clear" w:pos="1247"/>
          <w:tab w:val="clear" w:pos="1814"/>
          <w:tab w:val="clear" w:pos="2381"/>
          <w:tab w:val="clear" w:pos="2948"/>
          <w:tab w:val="clear" w:pos="3515"/>
        </w:tabs>
        <w:ind w:left="1276" w:firstLine="567"/>
        <w:rPr>
          <w:rFonts w:ascii="Simplified Arabic" w:hAnsi="Simplified Arabic" w:cs="Simplified Arabic" w:hint="cs"/>
          <w:sz w:val="24"/>
          <w:szCs w:val="24"/>
        </w:rPr>
      </w:pPr>
      <w:r w:rsidRPr="005F1727">
        <w:rPr>
          <w:rFonts w:ascii="Simplified Arabic" w:hAnsi="Simplified Arabic" w:cs="Simplified Arabic" w:hint="cs"/>
          <w:sz w:val="24"/>
          <w:szCs w:val="24"/>
        </w:rPr>
        <w:t>إجراء اختبار تجريبي لأداة تجارية لترجمة الوثائق، مثل المذكرات الإعلامية للاجتماعات ومحتوى المواقع الإلكترونية، بتكلفة تتراوح بين 345 و689 دولارًا أمريكيًا؛</w:t>
      </w:r>
    </w:p>
    <w:p w14:paraId="1CFD672B" w14:textId="58895384" w:rsidR="001F056A" w:rsidRPr="005F1727" w:rsidRDefault="003B6B46">
      <w:pPr>
        <w:pStyle w:val="Normalnumber"/>
        <w:numPr>
          <w:ilvl w:val="0"/>
          <w:numId w:val="19"/>
        </w:numPr>
        <w:tabs>
          <w:tab w:val="clear" w:pos="1247"/>
          <w:tab w:val="clear" w:pos="1814"/>
          <w:tab w:val="clear" w:pos="2381"/>
          <w:tab w:val="clear" w:pos="2948"/>
          <w:tab w:val="clear" w:pos="3515"/>
        </w:tabs>
        <w:ind w:left="1276" w:firstLine="567"/>
        <w:rPr>
          <w:rFonts w:ascii="Simplified Arabic" w:hAnsi="Simplified Arabic" w:cs="Simplified Arabic" w:hint="cs"/>
          <w:sz w:val="24"/>
          <w:szCs w:val="24"/>
        </w:rPr>
      </w:pPr>
      <w:r w:rsidRPr="005F1727">
        <w:rPr>
          <w:rFonts w:ascii="Simplified Arabic" w:hAnsi="Simplified Arabic" w:cs="Simplified Arabic" w:hint="cs"/>
          <w:sz w:val="24"/>
          <w:szCs w:val="24"/>
        </w:rPr>
        <w:t>إنشاء مسرد للمصطلحات الخاصة بالأوزون (مثل المواد الخاضعة للرقابة، وصياغات المعاهدات، والأسماء المؤسسية) في أداة مختارة؛</w:t>
      </w:r>
    </w:p>
    <w:p w14:paraId="4635B3E5" w14:textId="13479413" w:rsidR="001F056A" w:rsidRPr="005F1727" w:rsidRDefault="003B6B46">
      <w:pPr>
        <w:pStyle w:val="Normalnumber"/>
        <w:numPr>
          <w:ilvl w:val="0"/>
          <w:numId w:val="19"/>
        </w:numPr>
        <w:tabs>
          <w:tab w:val="clear" w:pos="1247"/>
          <w:tab w:val="clear" w:pos="1814"/>
          <w:tab w:val="clear" w:pos="2381"/>
          <w:tab w:val="clear" w:pos="2948"/>
          <w:tab w:val="clear" w:pos="3515"/>
        </w:tabs>
        <w:ind w:left="1276" w:firstLine="567"/>
        <w:rPr>
          <w:rFonts w:ascii="Simplified Arabic" w:hAnsi="Simplified Arabic" w:cs="Simplified Arabic" w:hint="cs"/>
          <w:sz w:val="24"/>
          <w:szCs w:val="24"/>
        </w:rPr>
      </w:pPr>
      <w:r w:rsidRPr="005F1727">
        <w:rPr>
          <w:rFonts w:ascii="Simplified Arabic" w:hAnsi="Simplified Arabic" w:cs="Simplified Arabic" w:hint="cs"/>
          <w:sz w:val="24"/>
          <w:szCs w:val="24"/>
        </w:rPr>
        <w:t>إسناد خدمات التحرير البشري اللاحق للترجمة إلى جهات خارجية، لتشمل جميع الوثائق المترجمة أو وثائق مختارة (مثل نصوص المقررات، والوثائق المتعلقة بالامتثال، وتقارير الاجتماعات).</w:t>
      </w:r>
    </w:p>
    <w:p w14:paraId="2E38D87E" w14:textId="3120B677" w:rsidR="001F056A" w:rsidRPr="005F1727" w:rsidRDefault="003B6B46">
      <w:pPr>
        <w:pStyle w:val="Normalnumber"/>
        <w:tabs>
          <w:tab w:val="clear" w:pos="1247"/>
          <w:tab w:val="clear" w:pos="1814"/>
          <w:tab w:val="clear" w:pos="2381"/>
          <w:tab w:val="clear" w:pos="2948"/>
          <w:tab w:val="clear" w:pos="3515"/>
        </w:tabs>
        <w:ind w:left="1247"/>
        <w:rPr>
          <w:rFonts w:ascii="Simplified Arabic" w:hAnsi="Simplified Arabic" w:cs="Simplified Arabic" w:hint="cs"/>
          <w:sz w:val="24"/>
          <w:szCs w:val="24"/>
        </w:rPr>
      </w:pPr>
      <w:r w:rsidRPr="005F1727">
        <w:rPr>
          <w:rFonts w:ascii="Simplified Arabic" w:hAnsi="Simplified Arabic" w:cs="Simplified Arabic" w:hint="cs"/>
          <w:sz w:val="24"/>
          <w:szCs w:val="24"/>
        </w:rPr>
        <w:t>وفي ضوء ما تقدّم، يمثّل استخدام الذكاء الاصطناعي في ترجمة الوثائق تدبيرًا متاحًا لتحسين الكفاءة وأقلّ مخاطرةً مقارنة باستخدامه في الترجمة الشفوية المدعومة بالذكاء الاصطناعي، التي لا تزال تقنيةً ينبغي متابعة تطوراتها، لا اعتمادها في الاجتماعات الرسمية  في الوقت الراهن.</w:t>
      </w:r>
    </w:p>
    <w:p w14:paraId="44918AE8" w14:textId="29FDE9CF" w:rsidR="001F056A" w:rsidRPr="005F1727" w:rsidRDefault="003B6B46">
      <w:pPr>
        <w:pStyle w:val="CH2"/>
        <w:rPr>
          <w:rFonts w:ascii="Simplified Arabic" w:hAnsi="Simplified Arabic" w:cs="Simplified Arabic" w:hint="cs"/>
          <w:b w:val="0"/>
          <w:bCs/>
          <w:sz w:val="26"/>
          <w:szCs w:val="26"/>
        </w:rPr>
      </w:pPr>
      <w:r w:rsidRPr="005F1727">
        <w:rPr>
          <w:rFonts w:ascii="Simplified Arabic" w:hAnsi="Simplified Arabic" w:cs="Simplified Arabic" w:hint="cs"/>
          <w:b w:val="0"/>
          <w:bCs/>
          <w:sz w:val="26"/>
          <w:szCs w:val="26"/>
        </w:rPr>
        <w:tab/>
        <w:t>د -</w:t>
      </w:r>
      <w:r w:rsidRPr="005F1727">
        <w:rPr>
          <w:rFonts w:ascii="Simplified Arabic" w:hAnsi="Simplified Arabic" w:cs="Simplified Arabic" w:hint="cs"/>
          <w:b w:val="0"/>
          <w:bCs/>
          <w:sz w:val="26"/>
          <w:szCs w:val="26"/>
        </w:rPr>
        <w:tab/>
        <w:t>الجهود المتصلة بالمشاركات</w:t>
      </w:r>
    </w:p>
    <w:p w14:paraId="1409F5CB" w14:textId="6FDF800A" w:rsidR="001F056A" w:rsidRPr="005F1727" w:rsidRDefault="003B6B46">
      <w:pPr>
        <w:pStyle w:val="Normalnumber"/>
        <w:tabs>
          <w:tab w:val="clear" w:pos="1247"/>
          <w:tab w:val="clear" w:pos="1814"/>
          <w:tab w:val="clear" w:pos="2381"/>
          <w:tab w:val="clear" w:pos="2948"/>
          <w:tab w:val="clear" w:pos="3515"/>
        </w:tabs>
        <w:ind w:left="1247"/>
        <w:rPr>
          <w:rFonts w:ascii="Simplified Arabic" w:hAnsi="Simplified Arabic" w:cs="Simplified Arabic" w:hint="cs"/>
          <w:sz w:val="24"/>
          <w:szCs w:val="24"/>
        </w:rPr>
      </w:pPr>
      <w:r w:rsidRPr="005F1727">
        <w:rPr>
          <w:rFonts w:ascii="Simplified Arabic" w:hAnsi="Simplified Arabic" w:cs="Simplified Arabic" w:hint="cs"/>
          <w:sz w:val="24"/>
          <w:szCs w:val="24"/>
        </w:rPr>
        <w:t xml:space="preserve">توجه الأمانة إلى الأطراف فواتير مرتين سنويًا، تذكّرها فيها بالمشاركات المستحقة السداد للصندوقين الاستئمانيين لاتفاقية فيينا وبروتوكول مونتريال. وتوافي الأمانة الأطراف أيضًا بتقارير عن حالة المشاركات في 30 نيسان/أبريل و30 أيلول/سبتمبر و31 كانون الأول/ديسمبر من كل عام. ولمواءمة ممارساتها مع ممارسات </w:t>
      </w:r>
      <w:r w:rsidRPr="005F1727">
        <w:rPr>
          <w:rFonts w:ascii="Simplified Arabic" w:hAnsi="Simplified Arabic" w:cs="Simplified Arabic" w:hint="cs"/>
          <w:sz w:val="24"/>
          <w:szCs w:val="24"/>
        </w:rPr>
        <w:lastRenderedPageBreak/>
        <w:t>برنامج الأمم المتحدة للبيئة والاتفاقات البيئية متعددة الأطراف الأخرى التي يديرها برنامج الأمم المتحدة للبيئة، شرعت الأمانة في نشر تقارير عن حالة المشاركات على موقعها الإلكتروني، وتُحدَّث هذه التقارير شهريًّا.</w:t>
      </w:r>
    </w:p>
    <w:p w14:paraId="1A47AFA0" w14:textId="5988C42A" w:rsidR="001F056A" w:rsidRPr="005F1727" w:rsidRDefault="003B6B46">
      <w:pPr>
        <w:pStyle w:val="Normalnumber"/>
        <w:tabs>
          <w:tab w:val="clear" w:pos="1247"/>
          <w:tab w:val="clear" w:pos="1814"/>
          <w:tab w:val="clear" w:pos="2381"/>
          <w:tab w:val="clear" w:pos="2948"/>
          <w:tab w:val="clear" w:pos="3515"/>
        </w:tabs>
        <w:ind w:left="1247"/>
        <w:rPr>
          <w:rFonts w:ascii="Simplified Arabic" w:hAnsi="Simplified Arabic" w:cs="Simplified Arabic" w:hint="cs"/>
          <w:sz w:val="24"/>
          <w:szCs w:val="24"/>
        </w:rPr>
      </w:pPr>
      <w:r w:rsidRPr="005F1727">
        <w:rPr>
          <w:rFonts w:ascii="Simplified Arabic" w:hAnsi="Simplified Arabic" w:cs="Simplified Arabic" w:hint="cs"/>
          <w:sz w:val="24"/>
          <w:szCs w:val="24"/>
        </w:rPr>
        <w:t>وعملًا بمقررات الميزانية الصادرة عن مؤتمر الأطراف في اتفاقية فيينا وعن اجتماعات الأطراف، تتابع الأمانة، بالتعاون مع رئيس مؤتمر الأطراف، أوضاع الأطراف في اتفاقية فيينا وبروتوكول مونتريال التي تراكمت عليها مشاركات غير مسددة عن سنتين أو أكثر، وذلك بإرسال رسائل تحثها على السداد، ثم متابعة الأمر معها على أساس ثنائي. وفي حين ترى الأمانة أن جهود المتابعة قد أسفرت عن سداد المشاركات المتأخرة، لم يُجرَ تقييم بشأن ما إذا كانت تلك الجهود قد أدّت إلى تحسن معدلات السداد بمرور الوقت.</w:t>
      </w:r>
    </w:p>
    <w:p w14:paraId="1B7CDFC2" w14:textId="23FC1A3B" w:rsidR="001F056A" w:rsidRPr="005F1727" w:rsidRDefault="003B6B46">
      <w:pPr>
        <w:pStyle w:val="Normalnumber"/>
        <w:tabs>
          <w:tab w:val="clear" w:pos="1247"/>
          <w:tab w:val="clear" w:pos="1814"/>
          <w:tab w:val="clear" w:pos="2381"/>
          <w:tab w:val="clear" w:pos="2948"/>
          <w:tab w:val="clear" w:pos="3515"/>
        </w:tabs>
        <w:ind w:left="1247"/>
        <w:rPr>
          <w:rFonts w:ascii="Simplified Arabic" w:hAnsi="Simplified Arabic" w:cs="Simplified Arabic" w:hint="cs"/>
          <w:sz w:val="24"/>
          <w:szCs w:val="24"/>
        </w:rPr>
      </w:pPr>
      <w:r w:rsidRPr="005F1727">
        <w:rPr>
          <w:rFonts w:ascii="Simplified Arabic" w:hAnsi="Simplified Arabic" w:cs="Simplified Arabic" w:hint="cs"/>
          <w:sz w:val="24"/>
          <w:szCs w:val="24"/>
        </w:rPr>
        <w:t>وتتباين الممارسات والنهج المتبعة بموجب الاتفاقيات البيئية متعددة الأطراف الأخرى بشأن عدم سداد الاشتراكات، وتتراوح بين إرسال التذكيرات ووضع خطط للسداد، وفرض قيود على أهلية العضوية في المكتب والهيئات الأخرى، وعلى تقديم الدعم لتغطية تكاليف السفر، وعلى ممارسة حقوق التصويت. وتشمل الأمثلة على ذلك ما يلي:</w:t>
      </w:r>
    </w:p>
    <w:p w14:paraId="0041D9A3" w14:textId="3B15B05B" w:rsidR="001F056A" w:rsidRPr="005F1727" w:rsidRDefault="003B6B46">
      <w:pPr>
        <w:pStyle w:val="P68B1DB1-Normalnumber10"/>
        <w:numPr>
          <w:ilvl w:val="0"/>
          <w:numId w:val="20"/>
        </w:numPr>
        <w:tabs>
          <w:tab w:val="clear" w:pos="1247"/>
          <w:tab w:val="clear" w:pos="1814"/>
          <w:tab w:val="clear" w:pos="2381"/>
          <w:tab w:val="clear" w:pos="2948"/>
          <w:tab w:val="clear" w:pos="3515"/>
        </w:tabs>
        <w:ind w:left="1276" w:firstLine="567"/>
        <w:rPr>
          <w:rFonts w:ascii="Simplified Arabic" w:hAnsi="Simplified Arabic" w:cs="Simplified Arabic" w:hint="cs"/>
          <w:sz w:val="24"/>
          <w:szCs w:val="24"/>
        </w:rPr>
      </w:pPr>
      <w:r w:rsidRPr="005F1727">
        <w:rPr>
          <w:rFonts w:ascii="Simplified Arabic" w:hAnsi="Simplified Arabic" w:cs="Simplified Arabic" w:hint="cs"/>
          <w:sz w:val="24"/>
          <w:szCs w:val="24"/>
        </w:rPr>
        <w:t>تنص اتفاقية التنوع البيولوجي على أن الأطراف التي تراكمت عليها اشتراكات غير مسددة عن سنتين أو أكثر لا تكون مؤهلة للعضوية في المكتب والهيئات الفرعية، ولا يجوز لها ترشيح أعضاء في لجان الامتثال؛</w:t>
      </w:r>
    </w:p>
    <w:p w14:paraId="0F10787F" w14:textId="4A1B7331" w:rsidR="001F056A" w:rsidRPr="005F1727" w:rsidRDefault="003B6B46">
      <w:pPr>
        <w:pStyle w:val="Normalnumber"/>
        <w:numPr>
          <w:ilvl w:val="0"/>
          <w:numId w:val="20"/>
        </w:numPr>
        <w:tabs>
          <w:tab w:val="clear" w:pos="1247"/>
          <w:tab w:val="clear" w:pos="1814"/>
          <w:tab w:val="clear" w:pos="2381"/>
          <w:tab w:val="clear" w:pos="2948"/>
          <w:tab w:val="clear" w:pos="3515"/>
        </w:tabs>
        <w:ind w:left="1276" w:firstLine="567"/>
        <w:rPr>
          <w:rFonts w:ascii="Simplified Arabic" w:hAnsi="Simplified Arabic" w:cs="Simplified Arabic" w:hint="cs"/>
          <w:color w:val="000000" w:themeColor="text1"/>
          <w:sz w:val="24"/>
          <w:szCs w:val="24"/>
        </w:rPr>
      </w:pPr>
      <w:r w:rsidRPr="005F1727">
        <w:rPr>
          <w:rFonts w:ascii="Simplified Arabic" w:hAnsi="Simplified Arabic" w:cs="Simplified Arabic" w:hint="cs"/>
          <w:color w:val="000000" w:themeColor="text1"/>
          <w:sz w:val="24"/>
          <w:szCs w:val="24"/>
        </w:rPr>
        <w:t xml:space="preserve">بموجب معاهدة </w:t>
      </w:r>
      <w:r w:rsidRPr="005F1727">
        <w:rPr>
          <w:rFonts w:ascii="Simplified Arabic" w:hAnsi="Simplified Arabic" w:cs="Simplified Arabic" w:hint="cs"/>
          <w:sz w:val="24"/>
          <w:szCs w:val="24"/>
        </w:rPr>
        <w:t xml:space="preserve">المحافظة على </w:t>
      </w:r>
      <w:r w:rsidRPr="005F1727">
        <w:rPr>
          <w:rFonts w:ascii="Simplified Arabic" w:hAnsi="Simplified Arabic" w:cs="Simplified Arabic" w:hint="cs"/>
          <w:color w:val="000000" w:themeColor="text1"/>
          <w:sz w:val="24"/>
          <w:szCs w:val="24"/>
        </w:rPr>
        <w:t xml:space="preserve">الأنواع المهاجرة </w:t>
      </w:r>
      <w:r w:rsidRPr="005F1727">
        <w:rPr>
          <w:rFonts w:ascii="Simplified Arabic" w:hAnsi="Simplified Arabic" w:cs="Simplified Arabic" w:hint="cs"/>
          <w:sz w:val="24"/>
          <w:szCs w:val="24"/>
        </w:rPr>
        <w:t>من الحيوانات الفطرية</w:t>
      </w:r>
      <w:r w:rsidRPr="005F1727">
        <w:rPr>
          <w:rFonts w:ascii="Simplified Arabic" w:hAnsi="Simplified Arabic" w:cs="Simplified Arabic" w:hint="cs"/>
          <w:color w:val="000000" w:themeColor="text1"/>
          <w:sz w:val="24"/>
          <w:szCs w:val="24"/>
        </w:rPr>
        <w:t>، قد يترتب على تراكم اشتراكات متأخرة لمدة ثلاث سنوات أو أكثر فقدان حقوق التصويت والاستبعاد من شغل المناصب في هيئات الاتفاقية؛</w:t>
      </w:r>
    </w:p>
    <w:p w14:paraId="24AB7966" w14:textId="4EF5938E" w:rsidR="001F056A" w:rsidRPr="005F1727" w:rsidRDefault="003B6B46">
      <w:pPr>
        <w:pStyle w:val="P68B1DB1-Normalnumber10"/>
        <w:numPr>
          <w:ilvl w:val="0"/>
          <w:numId w:val="20"/>
        </w:numPr>
        <w:tabs>
          <w:tab w:val="clear" w:pos="1247"/>
          <w:tab w:val="clear" w:pos="1814"/>
          <w:tab w:val="clear" w:pos="2381"/>
          <w:tab w:val="clear" w:pos="2948"/>
          <w:tab w:val="clear" w:pos="3515"/>
        </w:tabs>
        <w:ind w:left="1276" w:firstLine="567"/>
        <w:rPr>
          <w:rFonts w:ascii="Simplified Arabic" w:hAnsi="Simplified Arabic" w:cs="Simplified Arabic" w:hint="cs"/>
          <w:sz w:val="24"/>
          <w:szCs w:val="24"/>
        </w:rPr>
      </w:pPr>
      <w:r w:rsidRPr="005F1727">
        <w:rPr>
          <w:rFonts w:ascii="Simplified Arabic" w:hAnsi="Simplified Arabic" w:cs="Simplified Arabic" w:hint="cs"/>
          <w:sz w:val="24"/>
          <w:szCs w:val="24"/>
        </w:rPr>
        <w:t>بموجب اتفاقية بازل بشأن التحكم في نقل النفايات الخطرة والتخلص منها عبر الحدود، واتفاقية روتردام المتعلقة بتطبيق إجراء الموافقة المسبقة عن علم على مواد كيميائية ومبيدات آفات معينة خطرة متداولة في التجارة الدولية، واتفاقية استكهولم بشأن الملوثات العضوية الثابتة، قد لا تكون الأطراف التي تراكمت عليها اشتراكات غير مسددة عن سنتين أو أكثر مؤهلة للانتخاب لعضوية مكتب مؤتمر الأطراف المعني أو لعضوية هيئاته الفرعية، في حين قد يترتب على تراكم اشتراكات غير مسددة عن أربع سنوات أو أكثر فقدان حقوق التصويت وعدم الأهلية للحصو</w:t>
      </w:r>
      <w:r w:rsidRPr="005F1727">
        <w:rPr>
          <w:rFonts w:ascii="Simplified Arabic" w:hAnsi="Simplified Arabic" w:cs="Simplified Arabic" w:hint="cs"/>
          <w:sz w:val="24"/>
          <w:szCs w:val="24"/>
        </w:rPr>
        <w:t>ل على دعم لتغطية تكاليف السفر للمشاركة في بعض الأنشطة التي تُنظّم فيما بين الدورات، مع مراعاة بعض الاستثناءات؛</w:t>
      </w:r>
    </w:p>
    <w:p w14:paraId="5CAA2A00" w14:textId="3E2A8C06" w:rsidR="001F056A" w:rsidRPr="005F1727" w:rsidRDefault="003B6B46">
      <w:pPr>
        <w:pStyle w:val="P68B1DB1-Normalnumber10"/>
        <w:numPr>
          <w:ilvl w:val="0"/>
          <w:numId w:val="20"/>
        </w:numPr>
        <w:tabs>
          <w:tab w:val="clear" w:pos="1247"/>
          <w:tab w:val="clear" w:pos="1814"/>
          <w:tab w:val="clear" w:pos="2381"/>
          <w:tab w:val="clear" w:pos="2948"/>
          <w:tab w:val="clear" w:pos="3515"/>
        </w:tabs>
        <w:ind w:left="1276" w:firstLine="567"/>
        <w:rPr>
          <w:rFonts w:ascii="Simplified Arabic" w:hAnsi="Simplified Arabic" w:cs="Simplified Arabic" w:hint="cs"/>
          <w:sz w:val="24"/>
          <w:szCs w:val="24"/>
        </w:rPr>
      </w:pPr>
      <w:r w:rsidRPr="005F1727">
        <w:rPr>
          <w:rFonts w:ascii="Simplified Arabic" w:hAnsi="Simplified Arabic" w:cs="Simplified Arabic" w:hint="cs"/>
          <w:sz w:val="24"/>
          <w:szCs w:val="24"/>
        </w:rPr>
        <w:t>تنص اتفاقية ميناماتا بشأن الزئبق على أن ينظر مؤتمر الأطراف في اتخاذ التدابير المناسبة في حالات معينة تتعلق باشتراكات غير مسددة لأكثر من سنتين.</w:t>
      </w:r>
    </w:p>
    <w:p w14:paraId="64A8499C" w14:textId="462FA263" w:rsidR="001F056A" w:rsidRPr="005F1727" w:rsidRDefault="003B6B46">
      <w:pPr>
        <w:pStyle w:val="Normalnumber"/>
        <w:tabs>
          <w:tab w:val="clear" w:pos="1247"/>
          <w:tab w:val="clear" w:pos="1814"/>
          <w:tab w:val="clear" w:pos="2381"/>
          <w:tab w:val="clear" w:pos="2948"/>
          <w:tab w:val="clear" w:pos="3515"/>
        </w:tabs>
        <w:ind w:left="1247"/>
        <w:rPr>
          <w:rFonts w:ascii="Simplified Arabic" w:hAnsi="Simplified Arabic" w:cs="Simplified Arabic" w:hint="cs"/>
          <w:sz w:val="24"/>
          <w:szCs w:val="24"/>
        </w:rPr>
      </w:pPr>
      <w:r w:rsidRPr="005F1727">
        <w:rPr>
          <w:rFonts w:ascii="Simplified Arabic" w:hAnsi="Simplified Arabic" w:cs="Simplified Arabic" w:hint="cs"/>
          <w:color w:val="000000" w:themeColor="text1"/>
          <w:sz w:val="24"/>
          <w:szCs w:val="24"/>
        </w:rPr>
        <w:t xml:space="preserve">ولا تنص اتفاقية فيينا وبروتوكول مونتريال التابع لها حاليًا على فرض مثل هذه التدابير </w:t>
      </w:r>
      <w:r w:rsidRPr="005F1727">
        <w:rPr>
          <w:rFonts w:ascii="Simplified Arabic" w:hAnsi="Simplified Arabic" w:cs="Simplified Arabic" w:hint="cs"/>
          <w:sz w:val="24"/>
          <w:szCs w:val="24"/>
        </w:rPr>
        <w:t>نتيجة عدم سداد الاشتراكات.</w:t>
      </w:r>
    </w:p>
    <w:p w14:paraId="0926A442" w14:textId="73BD1776" w:rsidR="001F056A" w:rsidRPr="005F1727" w:rsidRDefault="003B6B46">
      <w:pPr>
        <w:pStyle w:val="Normalnumber"/>
        <w:tabs>
          <w:tab w:val="clear" w:pos="1247"/>
          <w:tab w:val="clear" w:pos="1814"/>
          <w:tab w:val="clear" w:pos="2381"/>
          <w:tab w:val="clear" w:pos="2948"/>
          <w:tab w:val="clear" w:pos="3515"/>
        </w:tabs>
        <w:ind w:left="1247"/>
        <w:rPr>
          <w:rFonts w:ascii="Simplified Arabic" w:hAnsi="Simplified Arabic" w:cs="Simplified Arabic" w:hint="cs"/>
          <w:sz w:val="24"/>
          <w:szCs w:val="24"/>
        </w:rPr>
      </w:pPr>
      <w:r w:rsidRPr="005F1727">
        <w:rPr>
          <w:rFonts w:ascii="Simplified Arabic" w:hAnsi="Simplified Arabic" w:cs="Simplified Arabic" w:hint="cs"/>
          <w:sz w:val="24"/>
          <w:szCs w:val="24"/>
        </w:rPr>
        <w:t>وتُعرب الأمانة عن استعدادها لاستكشاف سُبُل لتعبئة الأموال من مصادر أخرى، مثل المنظمات الخيرية أو القطاع الخاص. ومن شأن هذا التمويل أن يدعم أنشطة محددة ومعرَّفة بوضوح تتسق</w:t>
      </w:r>
      <w:r w:rsidRPr="005F1727">
        <w:rPr>
          <w:rFonts w:ascii="Simplified Arabic" w:hAnsi="Simplified Arabic" w:cs="Simplified Arabic" w:hint="cs"/>
          <w:color w:val="000000" w:themeColor="text1"/>
          <w:sz w:val="24"/>
          <w:szCs w:val="24"/>
        </w:rPr>
        <w:t xml:space="preserve"> مع الولايات التي أقرّتها </w:t>
      </w:r>
      <w:r w:rsidRPr="005F1727">
        <w:rPr>
          <w:rFonts w:ascii="Simplified Arabic" w:hAnsi="Simplified Arabic" w:cs="Simplified Arabic" w:hint="cs"/>
          <w:sz w:val="24"/>
          <w:szCs w:val="24"/>
        </w:rPr>
        <w:t>الأطراف. وسيكون هذا التمويل مكملًا لمساهمات الأطراف المخصصة للأنشطة الأساسية للأمانة. وسيتعيّن قبول أي تمويل من هذا القبيل وإدارته وفقًا للنظام المالي والقواعد المالية المعمول بها في الأمم المتحدة، ولسياسات وإجراءات الشراكة الخاصة ببرنامج الأمم المتحدة للبيئة، مع اتخاذ الضمانات المناسبة لتجنب تضارب المصالح والمساءلة والاستقلالية.</w:t>
      </w:r>
    </w:p>
    <w:p w14:paraId="51D3E0D4" w14:textId="3839F7E6" w:rsidR="001F056A" w:rsidRPr="005F1727" w:rsidRDefault="003B6B46">
      <w:pPr>
        <w:pStyle w:val="Normalnumber"/>
        <w:tabs>
          <w:tab w:val="clear" w:pos="1247"/>
          <w:tab w:val="clear" w:pos="1814"/>
          <w:tab w:val="clear" w:pos="2381"/>
          <w:tab w:val="clear" w:pos="2948"/>
          <w:tab w:val="clear" w:pos="3515"/>
        </w:tabs>
        <w:ind w:left="1247"/>
        <w:rPr>
          <w:rFonts w:ascii="Simplified Arabic" w:hAnsi="Simplified Arabic" w:cs="Simplified Arabic" w:hint="cs"/>
          <w:sz w:val="24"/>
          <w:szCs w:val="24"/>
        </w:rPr>
      </w:pPr>
      <w:r w:rsidRPr="005F1727">
        <w:rPr>
          <w:rFonts w:ascii="Simplified Arabic" w:hAnsi="Simplified Arabic" w:cs="Simplified Arabic" w:hint="cs"/>
          <w:sz w:val="24"/>
          <w:szCs w:val="24"/>
        </w:rPr>
        <w:lastRenderedPageBreak/>
        <w:t>ورهناً باتخاذ الضمانات ذات الصلة، يمكن أن يوفّر التمويل المقدّم من المؤسسات الخيرية والقطاع الخاص موارد إضافية لأنشطة مناسبة، مكمّلًا بذلك تمويل المهام الأساسية والوظائف المنوطة بالأمانة بموجب الولايات المقررة.</w:t>
      </w:r>
    </w:p>
    <w:p w14:paraId="49683EBA" w14:textId="3C94C054" w:rsidR="001F056A" w:rsidRPr="002157A2" w:rsidRDefault="003B6B46">
      <w:pPr>
        <w:pStyle w:val="CH2"/>
        <w:rPr>
          <w:rFonts w:ascii="Simplified Arabic" w:hAnsi="Simplified Arabic" w:cs="Simplified Arabic" w:hint="cs"/>
          <w:b w:val="0"/>
          <w:bCs/>
          <w:sz w:val="26"/>
          <w:szCs w:val="26"/>
        </w:rPr>
      </w:pPr>
      <w:r w:rsidRPr="002157A2">
        <w:rPr>
          <w:rFonts w:ascii="Simplified Arabic" w:hAnsi="Simplified Arabic" w:cs="Simplified Arabic" w:hint="cs"/>
          <w:b w:val="0"/>
          <w:bCs/>
          <w:sz w:val="26"/>
          <w:szCs w:val="26"/>
        </w:rPr>
        <w:tab/>
        <w:t>هـ -</w:t>
      </w:r>
      <w:r w:rsidRPr="002157A2">
        <w:rPr>
          <w:rFonts w:ascii="Simplified Arabic" w:hAnsi="Simplified Arabic" w:cs="Simplified Arabic" w:hint="cs"/>
          <w:b w:val="0"/>
          <w:bCs/>
          <w:sz w:val="26"/>
          <w:szCs w:val="26"/>
        </w:rPr>
        <w:tab/>
        <w:t xml:space="preserve">أفرقة التقييم </w:t>
      </w:r>
    </w:p>
    <w:p w14:paraId="3E7DD2FC" w14:textId="5EC27045" w:rsidR="001F056A" w:rsidRPr="002157A2" w:rsidRDefault="003B6B46">
      <w:pPr>
        <w:pStyle w:val="CH3"/>
        <w:rPr>
          <w:rFonts w:ascii="Simplified Arabic" w:hAnsi="Simplified Arabic" w:cs="Simplified Arabic" w:hint="cs"/>
          <w:b w:val="0"/>
          <w:bCs/>
          <w:sz w:val="24"/>
          <w:szCs w:val="24"/>
        </w:rPr>
      </w:pPr>
      <w:r w:rsidRPr="002157A2">
        <w:rPr>
          <w:rFonts w:ascii="Simplified Arabic" w:hAnsi="Simplified Arabic" w:cs="Simplified Arabic" w:hint="cs"/>
          <w:b w:val="0"/>
          <w:bCs/>
          <w:sz w:val="24"/>
          <w:szCs w:val="24"/>
        </w:rPr>
        <w:tab/>
        <w:t xml:space="preserve"> 1-</w:t>
      </w:r>
      <w:r w:rsidRPr="002157A2">
        <w:rPr>
          <w:rFonts w:ascii="Simplified Arabic" w:hAnsi="Simplified Arabic" w:cs="Simplified Arabic" w:hint="cs"/>
          <w:b w:val="0"/>
          <w:bCs/>
          <w:sz w:val="24"/>
          <w:szCs w:val="24"/>
        </w:rPr>
        <w:tab/>
        <w:t>أثر وتيرة عمل أفرقة التقييم واجتماعاتها على جودة التقييمات</w:t>
      </w:r>
    </w:p>
    <w:p w14:paraId="7C13DB05" w14:textId="3A7802E8" w:rsidR="001F056A" w:rsidRPr="002157A2" w:rsidRDefault="003B6B46">
      <w:pPr>
        <w:pStyle w:val="Normalnumber"/>
        <w:tabs>
          <w:tab w:val="clear" w:pos="1247"/>
          <w:tab w:val="clear" w:pos="1814"/>
          <w:tab w:val="clear" w:pos="2381"/>
          <w:tab w:val="clear" w:pos="2948"/>
          <w:tab w:val="clear" w:pos="3515"/>
        </w:tabs>
        <w:ind w:left="1247"/>
        <w:rPr>
          <w:rFonts w:ascii="Simplified Arabic" w:hAnsi="Simplified Arabic" w:cs="Simplified Arabic" w:hint="cs"/>
          <w:sz w:val="24"/>
          <w:szCs w:val="24"/>
        </w:rPr>
      </w:pPr>
      <w:r w:rsidRPr="002157A2">
        <w:rPr>
          <w:rFonts w:ascii="Simplified Arabic" w:hAnsi="Simplified Arabic" w:cs="Simplified Arabic" w:hint="cs"/>
          <w:sz w:val="24"/>
          <w:szCs w:val="24"/>
        </w:rPr>
        <w:t>تُعدّ وتيرة اجتماعات أفرقة التقييم وغيرها من أنشطة العمل التعاوني التي تضطلع بها أحد العوامل متعددة التي يمكن أن تؤثر في إعداد تقييماتها وجودتها وتقديمها في الوقت المناسب. غير أنّ طبيعة كل من فريق التقييم العلمي، وفريق التقييم التكنولوجي والاقتصادي، ولجان الخيارات التقنية التابعة له، وفريق تقييم الآثار البيئية، فضلًا عن أساليب عملها تختلف. ولذلك، فإنّ الآثار المترتبة على تغيير وتيرة عمل هذه الهيئات أو صيغته لن تكون بالضرورة متماثلة.</w:t>
      </w:r>
    </w:p>
    <w:p w14:paraId="20C647FA" w14:textId="305664F2" w:rsidR="001F056A" w:rsidRPr="002157A2" w:rsidRDefault="003B6B46">
      <w:pPr>
        <w:pStyle w:val="Normalnumber"/>
        <w:tabs>
          <w:tab w:val="clear" w:pos="1247"/>
          <w:tab w:val="clear" w:pos="1814"/>
          <w:tab w:val="clear" w:pos="2381"/>
          <w:tab w:val="clear" w:pos="2948"/>
          <w:tab w:val="clear" w:pos="3515"/>
        </w:tabs>
        <w:ind w:left="1247"/>
        <w:rPr>
          <w:rFonts w:ascii="Simplified Arabic" w:hAnsi="Simplified Arabic" w:cs="Simplified Arabic" w:hint="cs"/>
          <w:sz w:val="24"/>
          <w:szCs w:val="24"/>
        </w:rPr>
      </w:pPr>
      <w:r w:rsidRPr="002157A2">
        <w:rPr>
          <w:rFonts w:ascii="Simplified Arabic" w:hAnsi="Simplified Arabic" w:cs="Simplified Arabic" w:hint="cs"/>
          <w:sz w:val="24"/>
          <w:szCs w:val="24"/>
        </w:rPr>
        <w:t>ويُعدّ إعداد التقييم عملية تكرارية تشمل، ضمن أنشطة أخرى، تحديد نطاقه، ومراجعة الدراسات السابقة، وصياغته، وتبادل النتائج واستعراضها بين الخبراء، والتوفيق بين وجهات نظر الخبراء المختلفة، ودمج المواد في مختلف الفصول أو مجالات الخبرة، ومراجعة الأقران، ووضع التقييم في صيغته النهائية. ويمكن إنجاز بعض هذه الأنشطة بفعالية من خلال المراسلات الإلكترونية والاجتماعات الافتراضية. أما المراحل الأخرى، ولا سيما تلك التي تنطوي على دمج النتائج وحل المسائل العلمية أو التقنية المعقدة والتوصل إلى توافق في الآراء بين الخبراء، في</w:t>
      </w:r>
      <w:r w:rsidRPr="002157A2">
        <w:rPr>
          <w:rFonts w:ascii="Simplified Arabic" w:hAnsi="Simplified Arabic" w:cs="Simplified Arabic" w:hint="cs"/>
          <w:sz w:val="24"/>
          <w:szCs w:val="24"/>
        </w:rPr>
        <w:t>مكن أن تستفيد بشكل كبير من تكثيف التفاعل الشخصي المباشر.</w:t>
      </w:r>
    </w:p>
    <w:p w14:paraId="71C410B8" w14:textId="6DD5FC10" w:rsidR="001F056A" w:rsidRPr="002157A2" w:rsidRDefault="003B6B46">
      <w:pPr>
        <w:pStyle w:val="Normalnumber"/>
        <w:tabs>
          <w:tab w:val="clear" w:pos="1247"/>
          <w:tab w:val="clear" w:pos="1814"/>
          <w:tab w:val="clear" w:pos="2381"/>
          <w:tab w:val="clear" w:pos="2948"/>
          <w:tab w:val="clear" w:pos="3515"/>
        </w:tabs>
        <w:ind w:left="1247"/>
        <w:rPr>
          <w:rFonts w:ascii="Simplified Arabic" w:hAnsi="Simplified Arabic" w:cs="Simplified Arabic" w:hint="cs"/>
          <w:sz w:val="24"/>
          <w:szCs w:val="24"/>
        </w:rPr>
      </w:pPr>
      <w:r w:rsidRPr="002157A2">
        <w:rPr>
          <w:rFonts w:ascii="Simplified Arabic" w:hAnsi="Simplified Arabic" w:cs="Simplified Arabic" w:hint="cs"/>
          <w:sz w:val="24"/>
          <w:szCs w:val="24"/>
        </w:rPr>
        <w:t>ويعقد فريق التقييم التكنولوجي والاقتصادي، ولجانه المعنية بالخيارات التقنية، وفريق تقييم الآثار البيئية عادةً اجتماعات حضورية مرة واحدة في السنة لإعداد تقاريرها المرحلية السنوية وغيرها من التقارير المحددة التي تطلبها الأطراف. وعند الاقتضاء، يجوز لهذه الهيئات أن تعقد اجتماعات مرتين في السنة عند وضع تقييماتها التي تصدر كل أربع سنوات في صيغتها النهائية. وينظم فريق التقييم العلمي اجتماعات منفصلة لمؤلفي الفصول والمراجعين، تُعقد عادةً خلال السنتين الأخيرتين من فترة إعداد تقييماته التي تصدر كل أربع سنوات. ولإعداد ا</w:t>
      </w:r>
      <w:r w:rsidRPr="002157A2">
        <w:rPr>
          <w:rFonts w:ascii="Simplified Arabic" w:hAnsi="Simplified Arabic" w:cs="Simplified Arabic" w:hint="cs"/>
          <w:sz w:val="24"/>
          <w:szCs w:val="24"/>
        </w:rPr>
        <w:t>لتقارير المرحلية والتقارير المحددة، يتشاور الرئيسان المشاركان لفريق التقييم العلمي فيما بينهما ومع العلماء الرئيسيين دون عقد اجتماعات رسمية. ولن يؤدي تقليص عدد الاجتماعات أو خفض وتيرتها بالضرورة إلى انخفاض مماثل في جودة التقييم، شريطة الحفاظ على فرص كافية للتفاعل بين الخبراء وإجراء الاستعراض وضمان الجودة بوسائل أخرى، بما فيها الاجتماعات عن بعد. ومع ذلك، سيكون هناك نقطة قد يؤثر عندها أي خفض إضافي في عدد الاجتماعات أو وتيرة انعقادها سلبًا في قدرة الأفرقة على إعداد تقييمات بالجودة المطلوبة وتقديمها في المواعيد</w:t>
      </w:r>
      <w:r w:rsidRPr="002157A2">
        <w:rPr>
          <w:rFonts w:ascii="Simplified Arabic" w:hAnsi="Simplified Arabic" w:cs="Simplified Arabic" w:hint="cs"/>
          <w:sz w:val="24"/>
          <w:szCs w:val="24"/>
        </w:rPr>
        <w:t xml:space="preserve"> التي تتوقعها الأطراف.</w:t>
      </w:r>
    </w:p>
    <w:p w14:paraId="5EAA056A" w14:textId="27030EDB" w:rsidR="001F056A" w:rsidRPr="002157A2" w:rsidRDefault="003B6B46">
      <w:pPr>
        <w:pStyle w:val="Normalnumber"/>
        <w:tabs>
          <w:tab w:val="clear" w:pos="1247"/>
          <w:tab w:val="clear" w:pos="1814"/>
          <w:tab w:val="clear" w:pos="2381"/>
          <w:tab w:val="clear" w:pos="2948"/>
          <w:tab w:val="clear" w:pos="3515"/>
        </w:tabs>
        <w:ind w:left="1247"/>
        <w:rPr>
          <w:rFonts w:ascii="Simplified Arabic" w:hAnsi="Simplified Arabic" w:cs="Simplified Arabic" w:hint="cs"/>
          <w:sz w:val="24"/>
          <w:szCs w:val="24"/>
        </w:rPr>
      </w:pPr>
      <w:r w:rsidRPr="002157A2">
        <w:rPr>
          <w:rFonts w:ascii="Simplified Arabic" w:hAnsi="Simplified Arabic" w:cs="Simplified Arabic" w:hint="cs"/>
          <w:sz w:val="24"/>
          <w:szCs w:val="24"/>
        </w:rPr>
        <w:t>وسيكون من المنطقي خفض وتيرة عقد الاجتماعات الحضورية إذا اقترن ذلك بخفض عدد التقارير التي تطلب الأطراف من الأفرقة ولجان الخيارات التقنية إعدادها؛ فعلى سبيل المثال، بدلًا من إعداد تقارير مرحلية سنوية، يمكن للأفرقة ولجان الخيارات التقنية إعداد تقارير مرحلية كل سنتين أو تقارير موجزة عند بروز مسائل ملحة في القطاعات ذات الصلة التي تتناولها اللجان، أو عدم إعداد أي تقارير مرحلية على الإطلاق في الفترات الفاصلة بين التقييمات التي تُجرى كل أربع سنوات. وقد تؤدي إطالة الفترة الفاصلة بين التقارير المرحلية إلى خفض التكالي</w:t>
      </w:r>
      <w:r w:rsidRPr="002157A2">
        <w:rPr>
          <w:rFonts w:ascii="Simplified Arabic" w:hAnsi="Simplified Arabic" w:cs="Simplified Arabic" w:hint="cs"/>
          <w:sz w:val="24"/>
          <w:szCs w:val="24"/>
        </w:rPr>
        <w:t xml:space="preserve">ف والموارد اللازمة خلال فترة زمنية معينة، لكنها قد تؤدي أيضًا إلى تأخير كبير في الإبلاغ عن </w:t>
      </w:r>
      <w:r w:rsidRPr="002157A2">
        <w:rPr>
          <w:rFonts w:ascii="Simplified Arabic" w:hAnsi="Simplified Arabic" w:cs="Simplified Arabic" w:hint="cs"/>
          <w:sz w:val="24"/>
          <w:szCs w:val="24"/>
        </w:rPr>
        <w:lastRenderedPageBreak/>
        <w:t>أحدث المعلومات الجديدة والمستجدة، ولا سيما إذا كانت المعارف في المجالات التي تغطيها الأفرقة ولجان الخيارات التقنية سريعة التطور.</w:t>
      </w:r>
    </w:p>
    <w:p w14:paraId="7D28A586" w14:textId="59B21B9A" w:rsidR="001F056A" w:rsidRPr="002157A2" w:rsidRDefault="003B6B46">
      <w:pPr>
        <w:pStyle w:val="Normalnumber"/>
        <w:tabs>
          <w:tab w:val="clear" w:pos="1247"/>
          <w:tab w:val="clear" w:pos="1814"/>
          <w:tab w:val="clear" w:pos="2381"/>
          <w:tab w:val="clear" w:pos="2948"/>
          <w:tab w:val="clear" w:pos="3515"/>
        </w:tabs>
        <w:ind w:left="1247"/>
        <w:rPr>
          <w:rFonts w:ascii="Simplified Arabic" w:hAnsi="Simplified Arabic" w:cs="Simplified Arabic" w:hint="cs"/>
          <w:sz w:val="24"/>
          <w:szCs w:val="24"/>
        </w:rPr>
      </w:pPr>
      <w:r w:rsidRPr="002157A2">
        <w:rPr>
          <w:rFonts w:ascii="Simplified Arabic" w:hAnsi="Simplified Arabic" w:cs="Simplified Arabic" w:hint="cs"/>
          <w:sz w:val="24"/>
          <w:szCs w:val="24"/>
        </w:rPr>
        <w:t>ومن شأن الاستعاضة عن الاجتماعات الحضورية باجتماعات تُعقد عن بعد أن يحقق وفورات في التكاليف، لكنها ستغير أيضًا في حجم العمل المرتبط بإعداد التقييمات. فعلى سبيل المثال، قد يتعيّن إنجاز الأعمال التي كان من الممكن الاضطلاع بها بصورة جماعية خلال الاجتماعات من خلال عقد اجتماعات افتراضية إضافية وتبادل المراسلات والقيام بأعمال فردية في الفترة الفاصلة بين الدورات. وقد يكون لمثل هذه الترتيبات آثار على حجم العمل المطلوب من أعضاء الأفرقة ومشاركتهم، بمن فيهم الخبراء الذين يشاركون من بلدان ذات توقيتات مختلفة أو الذين تتف</w:t>
      </w:r>
      <w:r w:rsidRPr="002157A2">
        <w:rPr>
          <w:rFonts w:ascii="Simplified Arabic" w:hAnsi="Simplified Arabic" w:cs="Simplified Arabic" w:hint="cs"/>
          <w:sz w:val="24"/>
          <w:szCs w:val="24"/>
        </w:rPr>
        <w:t>اوت مستويات الدعم المؤسسي والتقني المتاح لهم.</w:t>
      </w:r>
    </w:p>
    <w:p w14:paraId="2E459DA1" w14:textId="3B5DA872" w:rsidR="001F056A" w:rsidRPr="002157A2" w:rsidRDefault="003B6B46">
      <w:pPr>
        <w:pStyle w:val="Normalnumber"/>
        <w:tabs>
          <w:tab w:val="clear" w:pos="1247"/>
          <w:tab w:val="clear" w:pos="1814"/>
          <w:tab w:val="clear" w:pos="2381"/>
          <w:tab w:val="clear" w:pos="2948"/>
          <w:tab w:val="clear" w:pos="3515"/>
        </w:tabs>
        <w:ind w:left="1247"/>
        <w:rPr>
          <w:rFonts w:ascii="Simplified Arabic" w:hAnsi="Simplified Arabic" w:cs="Simplified Arabic" w:hint="cs"/>
          <w:sz w:val="24"/>
          <w:szCs w:val="24"/>
        </w:rPr>
      </w:pPr>
      <w:r w:rsidRPr="002157A2">
        <w:rPr>
          <w:rFonts w:ascii="Simplified Arabic" w:hAnsi="Simplified Arabic" w:cs="Simplified Arabic" w:hint="cs"/>
          <w:sz w:val="24"/>
          <w:szCs w:val="24"/>
        </w:rPr>
        <w:t>ولذلك، فإن أي نظر في تغيير دورات عمل أفرقة التقييم وطرائق عقد اجتماعاتها يستلزم الموازنة بين أوجه الكفاءة والحاجة إلى الحفاظ على الجودة العلمية والتقنية للتقييمات واستقلاليتها وشموليتها وتقديمها في الوقت المناسب، فضلًا عن فائدتها في دعم الأطراف في اتخاذ القرارات.</w:t>
      </w:r>
    </w:p>
    <w:p w14:paraId="1727E0AD" w14:textId="01BBF660" w:rsidR="001F056A" w:rsidRPr="002157A2" w:rsidRDefault="003B6B46">
      <w:pPr>
        <w:pStyle w:val="CH3"/>
        <w:rPr>
          <w:rFonts w:ascii="Simplified Arabic" w:hAnsi="Simplified Arabic" w:cs="Simplified Arabic" w:hint="cs"/>
          <w:b w:val="0"/>
          <w:bCs/>
          <w:sz w:val="24"/>
          <w:szCs w:val="24"/>
        </w:rPr>
      </w:pPr>
      <w:r w:rsidRPr="002157A2">
        <w:rPr>
          <w:rFonts w:ascii="Simplified Arabic" w:hAnsi="Simplified Arabic" w:cs="Simplified Arabic" w:hint="cs"/>
          <w:b w:val="0"/>
          <w:bCs/>
          <w:sz w:val="24"/>
          <w:szCs w:val="24"/>
        </w:rPr>
        <w:tab/>
        <w:t>2-</w:t>
      </w:r>
      <w:r w:rsidRPr="002157A2">
        <w:rPr>
          <w:rFonts w:ascii="Simplified Arabic" w:hAnsi="Simplified Arabic" w:cs="Simplified Arabic" w:hint="cs"/>
          <w:b w:val="0"/>
          <w:bCs/>
          <w:sz w:val="24"/>
          <w:szCs w:val="24"/>
        </w:rPr>
        <w:tab/>
        <w:t>تكاليف اجتماعات فريق التقييم التكنولوجي والاقتصادي ولجان الخيارات التقنية</w:t>
      </w:r>
    </w:p>
    <w:p w14:paraId="08AAF83F" w14:textId="3DDE91D8" w:rsidR="001F056A" w:rsidRPr="00AD0141" w:rsidRDefault="003B6B46">
      <w:pPr>
        <w:pStyle w:val="Normalnumber"/>
        <w:tabs>
          <w:tab w:val="clear" w:pos="1247"/>
          <w:tab w:val="clear" w:pos="1814"/>
          <w:tab w:val="clear" w:pos="2381"/>
          <w:tab w:val="clear" w:pos="2948"/>
          <w:tab w:val="clear" w:pos="3515"/>
        </w:tabs>
        <w:ind w:left="1247"/>
        <w:rPr>
          <w:rFonts w:ascii="Simplified Arabic" w:hAnsi="Simplified Arabic" w:cs="Simplified Arabic" w:hint="cs"/>
          <w:sz w:val="24"/>
          <w:szCs w:val="24"/>
        </w:rPr>
      </w:pPr>
      <w:r w:rsidRPr="00AD0141">
        <w:rPr>
          <w:rFonts w:ascii="Simplified Arabic" w:hAnsi="Simplified Arabic" w:cs="Simplified Arabic" w:hint="cs"/>
          <w:sz w:val="24"/>
          <w:szCs w:val="24"/>
        </w:rPr>
        <w:t>أظهرت مراجعة لتكاليف اجتماعات فريق التقييم التكنولوجي والاقتصادي ولجان الخيارات التقنية خلال السنوات الأربع الماضية أن متوسط تكلفة الاجتماع الحضوري الواحد، بما يشمل تكاليف مكان انعقاده وتكاليف سفر ما لا يقل عن ثمانية خبراء من الأطراف العاملة بموجب المادة 5، بلغ نحو 33000 دولار و32000 دولار على التوالي. وتُعرض هذه التكاليف في الجدولين 6 و7 أدناه.</w:t>
      </w:r>
    </w:p>
    <w:p w14:paraId="458CE529" w14:textId="26D190AC" w:rsidR="001F056A" w:rsidRPr="00AD0141" w:rsidRDefault="003B6B46">
      <w:pPr>
        <w:pStyle w:val="Normalnumber"/>
        <w:tabs>
          <w:tab w:val="clear" w:pos="1247"/>
          <w:tab w:val="clear" w:pos="1814"/>
          <w:tab w:val="clear" w:pos="2381"/>
          <w:tab w:val="clear" w:pos="2948"/>
          <w:tab w:val="clear" w:pos="3515"/>
        </w:tabs>
        <w:ind w:left="1247"/>
        <w:rPr>
          <w:rFonts w:ascii="Simplified Arabic" w:hAnsi="Simplified Arabic" w:cs="Simplified Arabic" w:hint="cs"/>
          <w:sz w:val="24"/>
          <w:szCs w:val="24"/>
        </w:rPr>
      </w:pPr>
      <w:r w:rsidRPr="00AD0141">
        <w:rPr>
          <w:rFonts w:ascii="Simplified Arabic" w:hAnsi="Simplified Arabic" w:cs="Simplified Arabic" w:hint="cs"/>
          <w:sz w:val="24"/>
          <w:szCs w:val="24"/>
        </w:rPr>
        <w:t xml:space="preserve">وفي حال عقد اجتماعات لجان الخيارات التقنية عبر الإنترنت، يمكن تنظيمها باستخدام منصة Microsoft Teams أو Webex التابعة للأمانة، مما يعني عدم تكبّد أي تكاليف تتعلق بمكان انعقاد الاجتماعات أو بسفر المشاركين. وقد يؤدي عقد اجتماعات لجان الخيارات التقنية بالتعاقب مع اجتماعات فريق التقييم التكنولوجي والاقتصادي إلى توفير تكاليف السفر الجوي لنحو ستة من الرؤساء المشاركين، أي ما يعادل نحو 10000 دولار. </w:t>
      </w:r>
    </w:p>
    <w:p w14:paraId="4EC3A3A6" w14:textId="39D3A967" w:rsidR="001F056A" w:rsidRDefault="003B6B46">
      <w:pPr>
        <w:pStyle w:val="Titletable"/>
        <w:spacing w:before="240"/>
      </w:pPr>
      <w:r w:rsidRPr="008B60E4">
        <w:rPr>
          <w:rFonts w:ascii="Simplified Arabic" w:hAnsi="Simplified Arabic" w:cs="Simplified Arabic" w:hint="cs"/>
          <w:b w:val="0"/>
          <w:sz w:val="24"/>
          <w:szCs w:val="24"/>
        </w:rPr>
        <w:t>الجدول 6</w:t>
      </w:r>
      <w:r>
        <w:rPr>
          <w:b w:val="0"/>
        </w:rPr>
        <w:t xml:space="preserve"> </w:t>
      </w:r>
      <w:r>
        <w:rPr>
          <w:b w:val="0"/>
        </w:rPr>
        <w:br/>
      </w:r>
      <w:r w:rsidRPr="008B60E4">
        <w:rPr>
          <w:rFonts w:ascii="Simplified Arabic" w:hAnsi="Simplified Arabic" w:cs="Simplified Arabic" w:hint="cs"/>
          <w:b w:val="0"/>
          <w:bCs/>
          <w:sz w:val="24"/>
          <w:szCs w:val="24"/>
        </w:rPr>
        <w:t>تكاليف اجتماعات لجان الخيارات التقنية للفترة 2023–2026</w:t>
      </w:r>
    </w:p>
    <w:tbl>
      <w:tblPr>
        <w:bidiVisual/>
        <w:tblW w:w="8307" w:type="dxa"/>
        <w:jc w:val="right"/>
        <w:tblLook w:val="04A0" w:firstRow="1" w:lastRow="0" w:firstColumn="1" w:lastColumn="0" w:noHBand="0" w:noVBand="1"/>
      </w:tblPr>
      <w:tblGrid>
        <w:gridCol w:w="2263"/>
        <w:gridCol w:w="1139"/>
        <w:gridCol w:w="1276"/>
        <w:gridCol w:w="1701"/>
        <w:gridCol w:w="1928"/>
      </w:tblGrid>
      <w:tr w:rsidR="001F056A" w:rsidRPr="003C7382" w14:paraId="510FFBF9" w14:textId="77777777">
        <w:trPr>
          <w:trHeight w:val="57"/>
          <w:jc w:val="right"/>
        </w:trPr>
        <w:tc>
          <w:tcPr>
            <w:tcW w:w="2263" w:type="dxa"/>
            <w:tcBorders>
              <w:top w:val="single" w:sz="4" w:space="0" w:color="auto"/>
              <w:bottom w:val="single" w:sz="12" w:space="0" w:color="auto"/>
            </w:tcBorders>
            <w:noWrap/>
            <w:vAlign w:val="bottom"/>
            <w:hideMark/>
          </w:tcPr>
          <w:p w14:paraId="688A6E18" w14:textId="77777777" w:rsidR="001F056A" w:rsidRPr="003C7382" w:rsidRDefault="003B6B46" w:rsidP="003C7382">
            <w:pPr>
              <w:pStyle w:val="P68B1DB1-Normal-pool-Table1"/>
              <w:spacing w:before="0" w:after="0"/>
              <w:rPr>
                <w:rFonts w:ascii="Simplified Arabic" w:hAnsi="Simplified Arabic" w:cs="Simplified Arabic" w:hint="cs"/>
                <w:sz w:val="24"/>
                <w:szCs w:val="24"/>
              </w:rPr>
            </w:pPr>
            <w:r w:rsidRPr="003C7382">
              <w:rPr>
                <w:rFonts w:ascii="Simplified Arabic" w:hAnsi="Simplified Arabic" w:cs="Simplified Arabic" w:hint="cs"/>
                <w:sz w:val="24"/>
                <w:szCs w:val="24"/>
              </w:rPr>
              <w:t>السنة</w:t>
            </w:r>
          </w:p>
        </w:tc>
        <w:tc>
          <w:tcPr>
            <w:tcW w:w="1139" w:type="dxa"/>
            <w:tcBorders>
              <w:top w:val="single" w:sz="4" w:space="0" w:color="auto"/>
              <w:bottom w:val="single" w:sz="12" w:space="0" w:color="auto"/>
            </w:tcBorders>
            <w:noWrap/>
            <w:vAlign w:val="bottom"/>
            <w:hideMark/>
          </w:tcPr>
          <w:p w14:paraId="21AE7C1E" w14:textId="69C324AA" w:rsidR="001F056A" w:rsidRPr="003C7382" w:rsidRDefault="003B6B46" w:rsidP="003C7382">
            <w:pPr>
              <w:pStyle w:val="P68B1DB1-Normal-pool-Table1"/>
              <w:spacing w:before="0" w:after="0"/>
              <w:jc w:val="right"/>
              <w:rPr>
                <w:rFonts w:ascii="Simplified Arabic" w:hAnsi="Simplified Arabic" w:cs="Simplified Arabic" w:hint="cs"/>
                <w:sz w:val="24"/>
                <w:szCs w:val="24"/>
              </w:rPr>
            </w:pPr>
            <w:r w:rsidRPr="003C7382">
              <w:rPr>
                <w:rFonts w:ascii="Simplified Arabic" w:hAnsi="Simplified Arabic" w:cs="Simplified Arabic" w:hint="cs"/>
                <w:sz w:val="24"/>
                <w:szCs w:val="24"/>
              </w:rPr>
              <w:t>عدد الاجتماعات</w:t>
            </w:r>
          </w:p>
        </w:tc>
        <w:tc>
          <w:tcPr>
            <w:tcW w:w="1276" w:type="dxa"/>
            <w:tcBorders>
              <w:top w:val="single" w:sz="4" w:space="0" w:color="auto"/>
              <w:bottom w:val="single" w:sz="12" w:space="0" w:color="auto"/>
            </w:tcBorders>
            <w:noWrap/>
            <w:vAlign w:val="bottom"/>
            <w:hideMark/>
          </w:tcPr>
          <w:p w14:paraId="3DDC45DE" w14:textId="7E626EC9" w:rsidR="001F056A" w:rsidRPr="003C7382" w:rsidRDefault="003B6B46" w:rsidP="003C7382">
            <w:pPr>
              <w:pStyle w:val="P68B1DB1-Normal-pool-Table1"/>
              <w:spacing w:before="0" w:after="0"/>
              <w:jc w:val="right"/>
              <w:rPr>
                <w:rFonts w:ascii="Simplified Arabic" w:hAnsi="Simplified Arabic" w:cs="Simplified Arabic" w:hint="cs"/>
                <w:sz w:val="24"/>
                <w:szCs w:val="24"/>
              </w:rPr>
            </w:pPr>
            <w:r w:rsidRPr="003C7382">
              <w:rPr>
                <w:rFonts w:ascii="Simplified Arabic" w:hAnsi="Simplified Arabic" w:cs="Simplified Arabic" w:hint="cs"/>
                <w:sz w:val="24"/>
                <w:szCs w:val="24"/>
              </w:rPr>
              <w:t>تكاليف أماكن انعقاد الاجتماعات</w:t>
            </w:r>
            <w:r w:rsidRPr="003C7382">
              <w:rPr>
                <w:rFonts w:ascii="Simplified Arabic" w:hAnsi="Simplified Arabic" w:cs="Simplified Arabic" w:hint="cs"/>
                <w:sz w:val="24"/>
                <w:szCs w:val="24"/>
                <w:vertAlign w:val="superscript"/>
              </w:rPr>
              <w:t xml:space="preserve"> "أ"</w:t>
            </w:r>
          </w:p>
        </w:tc>
        <w:tc>
          <w:tcPr>
            <w:tcW w:w="1701" w:type="dxa"/>
            <w:tcBorders>
              <w:top w:val="single" w:sz="4" w:space="0" w:color="auto"/>
              <w:bottom w:val="single" w:sz="12" w:space="0" w:color="auto"/>
            </w:tcBorders>
            <w:noWrap/>
            <w:vAlign w:val="bottom"/>
            <w:hideMark/>
          </w:tcPr>
          <w:p w14:paraId="46712D9D" w14:textId="21411DD7" w:rsidR="001F056A" w:rsidRPr="003C7382" w:rsidRDefault="003B6B46" w:rsidP="003C7382">
            <w:pPr>
              <w:pStyle w:val="P68B1DB1-Normal-pool-Table1"/>
              <w:spacing w:before="0" w:after="0"/>
              <w:jc w:val="right"/>
              <w:rPr>
                <w:rFonts w:ascii="Simplified Arabic" w:hAnsi="Simplified Arabic" w:cs="Simplified Arabic" w:hint="cs"/>
                <w:sz w:val="24"/>
                <w:szCs w:val="24"/>
              </w:rPr>
            </w:pPr>
            <w:r w:rsidRPr="003C7382">
              <w:rPr>
                <w:rFonts w:ascii="Simplified Arabic" w:hAnsi="Simplified Arabic" w:cs="Simplified Arabic" w:hint="cs"/>
                <w:sz w:val="24"/>
                <w:szCs w:val="24"/>
              </w:rPr>
              <w:t>عدد المشاركين من الدول الأطراف العاملة بموجب المادة 5 الذين تُموّل مشاركتهم</w:t>
            </w:r>
          </w:p>
        </w:tc>
        <w:tc>
          <w:tcPr>
            <w:tcW w:w="1928" w:type="dxa"/>
            <w:tcBorders>
              <w:top w:val="single" w:sz="4" w:space="0" w:color="auto"/>
              <w:bottom w:val="single" w:sz="12" w:space="0" w:color="auto"/>
            </w:tcBorders>
            <w:vAlign w:val="bottom"/>
          </w:tcPr>
          <w:p w14:paraId="7EEFC350" w14:textId="7AC79CCB" w:rsidR="001F056A" w:rsidRPr="003C7382" w:rsidRDefault="003B6B46" w:rsidP="003C7382">
            <w:pPr>
              <w:pStyle w:val="P68B1DB1-Normal-pool-Table1"/>
              <w:spacing w:before="0" w:after="0"/>
              <w:jc w:val="right"/>
              <w:rPr>
                <w:rFonts w:ascii="Simplified Arabic" w:hAnsi="Simplified Arabic" w:cs="Simplified Arabic" w:hint="cs"/>
                <w:sz w:val="24"/>
                <w:szCs w:val="24"/>
              </w:rPr>
            </w:pPr>
            <w:r w:rsidRPr="003C7382">
              <w:rPr>
                <w:rFonts w:ascii="Simplified Arabic" w:hAnsi="Simplified Arabic" w:cs="Simplified Arabic" w:hint="cs"/>
                <w:sz w:val="24"/>
                <w:szCs w:val="24"/>
              </w:rPr>
              <w:t xml:space="preserve">تكاليف سفر المشاركين من الدول الأطراف العاملة بموجب المادة 5 </w:t>
            </w:r>
          </w:p>
        </w:tc>
      </w:tr>
      <w:tr w:rsidR="001F056A" w:rsidRPr="003C7382" w14:paraId="642E7C91" w14:textId="77777777">
        <w:trPr>
          <w:trHeight w:val="57"/>
          <w:jc w:val="right"/>
        </w:trPr>
        <w:tc>
          <w:tcPr>
            <w:tcW w:w="2263" w:type="dxa"/>
            <w:tcBorders>
              <w:top w:val="single" w:sz="12" w:space="0" w:color="auto"/>
            </w:tcBorders>
            <w:noWrap/>
            <w:vAlign w:val="bottom"/>
            <w:hideMark/>
          </w:tcPr>
          <w:p w14:paraId="46C35119" w14:textId="77777777" w:rsidR="001F056A" w:rsidRPr="003C7382" w:rsidRDefault="003B6B46" w:rsidP="003C7382">
            <w:pPr>
              <w:pStyle w:val="Normal-pool-Table"/>
              <w:spacing w:before="0" w:after="0"/>
              <w:rPr>
                <w:rFonts w:ascii="Simplified Arabic" w:hAnsi="Simplified Arabic" w:cs="Simplified Arabic" w:hint="cs"/>
                <w:sz w:val="24"/>
                <w:szCs w:val="24"/>
              </w:rPr>
            </w:pPr>
            <w:r w:rsidRPr="003C7382">
              <w:rPr>
                <w:rFonts w:ascii="Simplified Arabic" w:hAnsi="Simplified Arabic" w:cs="Simplified Arabic" w:hint="cs"/>
                <w:sz w:val="24"/>
                <w:szCs w:val="24"/>
              </w:rPr>
              <w:t>2026</w:t>
            </w:r>
          </w:p>
        </w:tc>
        <w:tc>
          <w:tcPr>
            <w:tcW w:w="1139" w:type="dxa"/>
            <w:tcBorders>
              <w:top w:val="single" w:sz="12" w:space="0" w:color="auto"/>
            </w:tcBorders>
            <w:noWrap/>
            <w:vAlign w:val="bottom"/>
            <w:hideMark/>
          </w:tcPr>
          <w:p w14:paraId="4E0B1581" w14:textId="77777777" w:rsidR="001F056A" w:rsidRPr="003C7382" w:rsidRDefault="003B6B46" w:rsidP="003C7382">
            <w:pPr>
              <w:pStyle w:val="Normal-pool-Table"/>
              <w:spacing w:before="0" w:after="0"/>
              <w:jc w:val="right"/>
              <w:rPr>
                <w:rFonts w:ascii="Simplified Arabic" w:hAnsi="Simplified Arabic" w:cs="Simplified Arabic" w:hint="cs"/>
                <w:sz w:val="24"/>
                <w:szCs w:val="24"/>
              </w:rPr>
            </w:pPr>
            <w:r w:rsidRPr="003C7382">
              <w:rPr>
                <w:rFonts w:ascii="Simplified Arabic" w:hAnsi="Simplified Arabic" w:cs="Simplified Arabic" w:hint="cs"/>
                <w:sz w:val="24"/>
                <w:szCs w:val="24"/>
              </w:rPr>
              <w:t>5</w:t>
            </w:r>
          </w:p>
        </w:tc>
        <w:tc>
          <w:tcPr>
            <w:tcW w:w="1276" w:type="dxa"/>
            <w:tcBorders>
              <w:top w:val="single" w:sz="12" w:space="0" w:color="auto"/>
            </w:tcBorders>
            <w:noWrap/>
            <w:vAlign w:val="bottom"/>
            <w:hideMark/>
          </w:tcPr>
          <w:p w14:paraId="1A44E582" w14:textId="22CC5990" w:rsidR="001F056A" w:rsidRPr="003C7382" w:rsidRDefault="003B6B46" w:rsidP="003C7382">
            <w:pPr>
              <w:pStyle w:val="Normal-pool-Table"/>
              <w:spacing w:before="0" w:after="0"/>
              <w:jc w:val="right"/>
              <w:rPr>
                <w:rFonts w:ascii="Simplified Arabic" w:hAnsi="Simplified Arabic" w:cs="Simplified Arabic" w:hint="cs"/>
                <w:sz w:val="24"/>
                <w:szCs w:val="24"/>
              </w:rPr>
            </w:pPr>
            <w:r w:rsidRPr="003C7382">
              <w:rPr>
                <w:rFonts w:ascii="Simplified Arabic" w:hAnsi="Simplified Arabic" w:cs="Simplified Arabic" w:hint="cs"/>
                <w:sz w:val="24"/>
                <w:szCs w:val="24"/>
              </w:rPr>
              <w:t xml:space="preserve">22314 </w:t>
            </w:r>
          </w:p>
        </w:tc>
        <w:tc>
          <w:tcPr>
            <w:tcW w:w="1701" w:type="dxa"/>
            <w:tcBorders>
              <w:top w:val="single" w:sz="12" w:space="0" w:color="auto"/>
            </w:tcBorders>
            <w:noWrap/>
            <w:vAlign w:val="bottom"/>
            <w:hideMark/>
          </w:tcPr>
          <w:p w14:paraId="6025786D" w14:textId="77777777" w:rsidR="001F056A" w:rsidRPr="003C7382" w:rsidRDefault="003B6B46" w:rsidP="003C7382">
            <w:pPr>
              <w:pStyle w:val="Normal-pool-Table"/>
              <w:spacing w:before="0" w:after="0"/>
              <w:jc w:val="right"/>
              <w:rPr>
                <w:rFonts w:ascii="Simplified Arabic" w:hAnsi="Simplified Arabic" w:cs="Simplified Arabic" w:hint="cs"/>
                <w:sz w:val="24"/>
                <w:szCs w:val="24"/>
              </w:rPr>
            </w:pPr>
            <w:r w:rsidRPr="003C7382">
              <w:rPr>
                <w:rFonts w:ascii="Simplified Arabic" w:hAnsi="Simplified Arabic" w:cs="Simplified Arabic" w:hint="cs"/>
                <w:sz w:val="24"/>
                <w:szCs w:val="24"/>
              </w:rPr>
              <w:t>35</w:t>
            </w:r>
          </w:p>
        </w:tc>
        <w:tc>
          <w:tcPr>
            <w:tcW w:w="1928" w:type="dxa"/>
            <w:tcBorders>
              <w:top w:val="single" w:sz="12" w:space="0" w:color="auto"/>
            </w:tcBorders>
            <w:noWrap/>
            <w:vAlign w:val="bottom"/>
            <w:hideMark/>
          </w:tcPr>
          <w:p w14:paraId="7CE5151E" w14:textId="6B25139F" w:rsidR="001F056A" w:rsidRPr="003C7382" w:rsidRDefault="003B6B46" w:rsidP="003C7382">
            <w:pPr>
              <w:pStyle w:val="Normal-pool-Table"/>
              <w:spacing w:before="0" w:after="0"/>
              <w:jc w:val="right"/>
              <w:rPr>
                <w:rFonts w:ascii="Simplified Arabic" w:hAnsi="Simplified Arabic" w:cs="Simplified Arabic" w:hint="cs"/>
                <w:sz w:val="24"/>
                <w:szCs w:val="24"/>
              </w:rPr>
            </w:pPr>
            <w:r w:rsidRPr="003C7382">
              <w:rPr>
                <w:rFonts w:ascii="Simplified Arabic" w:hAnsi="Simplified Arabic" w:cs="Simplified Arabic" w:hint="cs"/>
                <w:sz w:val="24"/>
                <w:szCs w:val="24"/>
              </w:rPr>
              <w:t xml:space="preserve">117923 </w:t>
            </w:r>
          </w:p>
        </w:tc>
      </w:tr>
      <w:tr w:rsidR="001F056A" w:rsidRPr="003C7382" w14:paraId="2D7F944A" w14:textId="77777777">
        <w:trPr>
          <w:trHeight w:val="57"/>
          <w:jc w:val="right"/>
        </w:trPr>
        <w:tc>
          <w:tcPr>
            <w:tcW w:w="2263" w:type="dxa"/>
            <w:noWrap/>
            <w:vAlign w:val="bottom"/>
            <w:hideMark/>
          </w:tcPr>
          <w:p w14:paraId="666DBD96" w14:textId="77777777" w:rsidR="001F056A" w:rsidRPr="003C7382" w:rsidRDefault="003B6B46" w:rsidP="003C7382">
            <w:pPr>
              <w:pStyle w:val="Normal-pool-Table"/>
              <w:spacing w:before="0" w:after="0"/>
              <w:rPr>
                <w:rFonts w:ascii="Simplified Arabic" w:hAnsi="Simplified Arabic" w:cs="Simplified Arabic" w:hint="cs"/>
                <w:sz w:val="24"/>
                <w:szCs w:val="24"/>
              </w:rPr>
            </w:pPr>
            <w:r w:rsidRPr="003C7382">
              <w:rPr>
                <w:rFonts w:ascii="Simplified Arabic" w:hAnsi="Simplified Arabic" w:cs="Simplified Arabic" w:hint="cs"/>
                <w:sz w:val="24"/>
                <w:szCs w:val="24"/>
              </w:rPr>
              <w:t>2025</w:t>
            </w:r>
          </w:p>
        </w:tc>
        <w:tc>
          <w:tcPr>
            <w:tcW w:w="1139" w:type="dxa"/>
            <w:noWrap/>
            <w:vAlign w:val="bottom"/>
            <w:hideMark/>
          </w:tcPr>
          <w:p w14:paraId="1B0F0773" w14:textId="77777777" w:rsidR="001F056A" w:rsidRPr="003C7382" w:rsidRDefault="003B6B46" w:rsidP="003C7382">
            <w:pPr>
              <w:pStyle w:val="Normal-pool-Table"/>
              <w:spacing w:before="0" w:after="0"/>
              <w:jc w:val="right"/>
              <w:rPr>
                <w:rFonts w:ascii="Simplified Arabic" w:hAnsi="Simplified Arabic" w:cs="Simplified Arabic" w:hint="cs"/>
                <w:sz w:val="24"/>
                <w:szCs w:val="24"/>
              </w:rPr>
            </w:pPr>
            <w:r w:rsidRPr="003C7382">
              <w:rPr>
                <w:rFonts w:ascii="Simplified Arabic" w:hAnsi="Simplified Arabic" w:cs="Simplified Arabic" w:hint="cs"/>
                <w:sz w:val="24"/>
                <w:szCs w:val="24"/>
              </w:rPr>
              <w:t>6</w:t>
            </w:r>
          </w:p>
        </w:tc>
        <w:tc>
          <w:tcPr>
            <w:tcW w:w="1276" w:type="dxa"/>
            <w:noWrap/>
            <w:vAlign w:val="bottom"/>
            <w:hideMark/>
          </w:tcPr>
          <w:p w14:paraId="2A9D8618" w14:textId="0E6F694C" w:rsidR="001F056A" w:rsidRPr="003C7382" w:rsidRDefault="003B6B46" w:rsidP="003C7382">
            <w:pPr>
              <w:pStyle w:val="Normal-pool-Table"/>
              <w:spacing w:before="0" w:after="0"/>
              <w:jc w:val="right"/>
              <w:rPr>
                <w:rFonts w:ascii="Simplified Arabic" w:hAnsi="Simplified Arabic" w:cs="Simplified Arabic" w:hint="cs"/>
                <w:sz w:val="24"/>
                <w:szCs w:val="24"/>
              </w:rPr>
            </w:pPr>
            <w:r w:rsidRPr="003C7382">
              <w:rPr>
                <w:rFonts w:ascii="Simplified Arabic" w:hAnsi="Simplified Arabic" w:cs="Simplified Arabic" w:hint="cs"/>
                <w:sz w:val="24"/>
                <w:szCs w:val="24"/>
              </w:rPr>
              <w:t xml:space="preserve">2008 </w:t>
            </w:r>
          </w:p>
        </w:tc>
        <w:tc>
          <w:tcPr>
            <w:tcW w:w="1701" w:type="dxa"/>
            <w:noWrap/>
            <w:vAlign w:val="bottom"/>
            <w:hideMark/>
          </w:tcPr>
          <w:p w14:paraId="782E0CD9" w14:textId="77777777" w:rsidR="001F056A" w:rsidRPr="003C7382" w:rsidRDefault="003B6B46" w:rsidP="003C7382">
            <w:pPr>
              <w:pStyle w:val="Normal-pool-Table"/>
              <w:spacing w:before="0" w:after="0"/>
              <w:jc w:val="right"/>
              <w:rPr>
                <w:rFonts w:ascii="Simplified Arabic" w:hAnsi="Simplified Arabic" w:cs="Simplified Arabic" w:hint="cs"/>
                <w:sz w:val="24"/>
                <w:szCs w:val="24"/>
              </w:rPr>
            </w:pPr>
            <w:r w:rsidRPr="003C7382">
              <w:rPr>
                <w:rFonts w:ascii="Simplified Arabic" w:hAnsi="Simplified Arabic" w:cs="Simplified Arabic" w:hint="cs"/>
                <w:sz w:val="24"/>
                <w:szCs w:val="24"/>
              </w:rPr>
              <w:t>60</w:t>
            </w:r>
          </w:p>
        </w:tc>
        <w:tc>
          <w:tcPr>
            <w:tcW w:w="1928" w:type="dxa"/>
            <w:noWrap/>
            <w:vAlign w:val="bottom"/>
            <w:hideMark/>
          </w:tcPr>
          <w:p w14:paraId="0B6FE6FC" w14:textId="318A76D7" w:rsidR="001F056A" w:rsidRPr="003C7382" w:rsidRDefault="003B6B46" w:rsidP="003C7382">
            <w:pPr>
              <w:pStyle w:val="Normal-pool-Table"/>
              <w:spacing w:before="0" w:after="0"/>
              <w:jc w:val="right"/>
              <w:rPr>
                <w:rFonts w:ascii="Simplified Arabic" w:hAnsi="Simplified Arabic" w:cs="Simplified Arabic" w:hint="cs"/>
                <w:sz w:val="24"/>
                <w:szCs w:val="24"/>
              </w:rPr>
            </w:pPr>
            <w:r w:rsidRPr="003C7382">
              <w:rPr>
                <w:rFonts w:ascii="Simplified Arabic" w:hAnsi="Simplified Arabic" w:cs="Simplified Arabic" w:hint="cs"/>
                <w:sz w:val="24"/>
                <w:szCs w:val="24"/>
              </w:rPr>
              <w:t xml:space="preserve">232369 </w:t>
            </w:r>
          </w:p>
        </w:tc>
      </w:tr>
      <w:tr w:rsidR="001F056A" w:rsidRPr="003C7382" w14:paraId="61EB5832" w14:textId="77777777">
        <w:trPr>
          <w:trHeight w:val="57"/>
          <w:jc w:val="right"/>
        </w:trPr>
        <w:tc>
          <w:tcPr>
            <w:tcW w:w="2263" w:type="dxa"/>
            <w:noWrap/>
            <w:vAlign w:val="bottom"/>
            <w:hideMark/>
          </w:tcPr>
          <w:p w14:paraId="1268B134" w14:textId="77777777" w:rsidR="001F056A" w:rsidRPr="003C7382" w:rsidRDefault="003B6B46" w:rsidP="003C7382">
            <w:pPr>
              <w:pStyle w:val="Normal-pool-Table"/>
              <w:spacing w:before="0" w:after="0"/>
              <w:rPr>
                <w:rFonts w:ascii="Simplified Arabic" w:hAnsi="Simplified Arabic" w:cs="Simplified Arabic" w:hint="cs"/>
                <w:sz w:val="24"/>
                <w:szCs w:val="24"/>
              </w:rPr>
            </w:pPr>
            <w:r w:rsidRPr="003C7382">
              <w:rPr>
                <w:rFonts w:ascii="Simplified Arabic" w:hAnsi="Simplified Arabic" w:cs="Simplified Arabic" w:hint="cs"/>
                <w:sz w:val="24"/>
                <w:szCs w:val="24"/>
              </w:rPr>
              <w:t>2024</w:t>
            </w:r>
          </w:p>
        </w:tc>
        <w:tc>
          <w:tcPr>
            <w:tcW w:w="1139" w:type="dxa"/>
            <w:noWrap/>
            <w:vAlign w:val="bottom"/>
            <w:hideMark/>
          </w:tcPr>
          <w:p w14:paraId="5562D4F5" w14:textId="77777777" w:rsidR="001F056A" w:rsidRPr="003C7382" w:rsidRDefault="003B6B46" w:rsidP="003C7382">
            <w:pPr>
              <w:pStyle w:val="Normal-pool-Table"/>
              <w:spacing w:before="0" w:after="0"/>
              <w:jc w:val="right"/>
              <w:rPr>
                <w:rFonts w:ascii="Simplified Arabic" w:hAnsi="Simplified Arabic" w:cs="Simplified Arabic" w:hint="cs"/>
                <w:sz w:val="24"/>
                <w:szCs w:val="24"/>
              </w:rPr>
            </w:pPr>
            <w:r w:rsidRPr="003C7382">
              <w:rPr>
                <w:rFonts w:ascii="Simplified Arabic" w:hAnsi="Simplified Arabic" w:cs="Simplified Arabic" w:hint="cs"/>
                <w:sz w:val="24"/>
                <w:szCs w:val="24"/>
              </w:rPr>
              <w:t>6</w:t>
            </w:r>
          </w:p>
        </w:tc>
        <w:tc>
          <w:tcPr>
            <w:tcW w:w="1276" w:type="dxa"/>
            <w:noWrap/>
            <w:vAlign w:val="bottom"/>
            <w:hideMark/>
          </w:tcPr>
          <w:p w14:paraId="4B909644" w14:textId="400636EA" w:rsidR="001F056A" w:rsidRPr="003C7382" w:rsidRDefault="003B6B46" w:rsidP="003C7382">
            <w:pPr>
              <w:pStyle w:val="Normal-pool-Table"/>
              <w:spacing w:before="0" w:after="0"/>
              <w:jc w:val="right"/>
              <w:rPr>
                <w:rFonts w:ascii="Simplified Arabic" w:hAnsi="Simplified Arabic" w:cs="Simplified Arabic" w:hint="cs"/>
                <w:sz w:val="24"/>
                <w:szCs w:val="24"/>
              </w:rPr>
            </w:pPr>
            <w:r w:rsidRPr="003C7382">
              <w:rPr>
                <w:rFonts w:ascii="Simplified Arabic" w:hAnsi="Simplified Arabic" w:cs="Simplified Arabic" w:hint="cs"/>
                <w:sz w:val="24"/>
                <w:szCs w:val="24"/>
              </w:rPr>
              <w:t xml:space="preserve">12820 </w:t>
            </w:r>
          </w:p>
        </w:tc>
        <w:tc>
          <w:tcPr>
            <w:tcW w:w="1701" w:type="dxa"/>
            <w:noWrap/>
            <w:vAlign w:val="bottom"/>
            <w:hideMark/>
          </w:tcPr>
          <w:p w14:paraId="04E191B0" w14:textId="77777777" w:rsidR="001F056A" w:rsidRPr="003C7382" w:rsidRDefault="003B6B46" w:rsidP="003C7382">
            <w:pPr>
              <w:pStyle w:val="Normal-pool-Table"/>
              <w:spacing w:before="0" w:after="0"/>
              <w:jc w:val="right"/>
              <w:rPr>
                <w:rFonts w:ascii="Simplified Arabic" w:hAnsi="Simplified Arabic" w:cs="Simplified Arabic" w:hint="cs"/>
                <w:sz w:val="24"/>
                <w:szCs w:val="24"/>
              </w:rPr>
            </w:pPr>
            <w:r w:rsidRPr="003C7382">
              <w:rPr>
                <w:rFonts w:ascii="Simplified Arabic" w:hAnsi="Simplified Arabic" w:cs="Simplified Arabic" w:hint="cs"/>
                <w:sz w:val="24"/>
                <w:szCs w:val="24"/>
              </w:rPr>
              <w:t>43</w:t>
            </w:r>
          </w:p>
        </w:tc>
        <w:tc>
          <w:tcPr>
            <w:tcW w:w="1928" w:type="dxa"/>
            <w:noWrap/>
            <w:vAlign w:val="bottom"/>
            <w:hideMark/>
          </w:tcPr>
          <w:p w14:paraId="50FAD7AC" w14:textId="4E200850" w:rsidR="001F056A" w:rsidRPr="003C7382" w:rsidRDefault="003B6B46" w:rsidP="003C7382">
            <w:pPr>
              <w:pStyle w:val="Normal-pool-Table"/>
              <w:spacing w:before="0" w:after="0"/>
              <w:jc w:val="right"/>
              <w:rPr>
                <w:rFonts w:ascii="Simplified Arabic" w:hAnsi="Simplified Arabic" w:cs="Simplified Arabic" w:hint="cs"/>
                <w:sz w:val="24"/>
                <w:szCs w:val="24"/>
              </w:rPr>
            </w:pPr>
            <w:r w:rsidRPr="003C7382">
              <w:rPr>
                <w:rFonts w:ascii="Simplified Arabic" w:hAnsi="Simplified Arabic" w:cs="Simplified Arabic" w:hint="cs"/>
                <w:sz w:val="24"/>
                <w:szCs w:val="24"/>
              </w:rPr>
              <w:t xml:space="preserve">132682 </w:t>
            </w:r>
          </w:p>
        </w:tc>
      </w:tr>
      <w:tr w:rsidR="001F056A" w:rsidRPr="003C7382" w14:paraId="79038D1A" w14:textId="77777777">
        <w:trPr>
          <w:trHeight w:val="57"/>
          <w:jc w:val="right"/>
        </w:trPr>
        <w:tc>
          <w:tcPr>
            <w:tcW w:w="2263" w:type="dxa"/>
            <w:noWrap/>
            <w:vAlign w:val="bottom"/>
            <w:hideMark/>
          </w:tcPr>
          <w:p w14:paraId="1CA35447" w14:textId="77777777" w:rsidR="001F056A" w:rsidRPr="003C7382" w:rsidRDefault="003B6B46" w:rsidP="003C7382">
            <w:pPr>
              <w:pStyle w:val="Normal-pool-Table"/>
              <w:spacing w:before="0" w:after="0"/>
              <w:rPr>
                <w:rFonts w:ascii="Simplified Arabic" w:hAnsi="Simplified Arabic" w:cs="Simplified Arabic" w:hint="cs"/>
                <w:sz w:val="24"/>
                <w:szCs w:val="24"/>
              </w:rPr>
            </w:pPr>
            <w:r w:rsidRPr="003C7382">
              <w:rPr>
                <w:rFonts w:ascii="Simplified Arabic" w:hAnsi="Simplified Arabic" w:cs="Simplified Arabic" w:hint="cs"/>
                <w:sz w:val="24"/>
                <w:szCs w:val="24"/>
              </w:rPr>
              <w:t>2023</w:t>
            </w:r>
          </w:p>
        </w:tc>
        <w:tc>
          <w:tcPr>
            <w:tcW w:w="1139" w:type="dxa"/>
            <w:noWrap/>
            <w:vAlign w:val="bottom"/>
            <w:hideMark/>
          </w:tcPr>
          <w:p w14:paraId="40E4E0AA" w14:textId="77777777" w:rsidR="001F056A" w:rsidRPr="003C7382" w:rsidRDefault="003B6B46" w:rsidP="003C7382">
            <w:pPr>
              <w:pStyle w:val="Normal-pool-Table"/>
              <w:spacing w:before="0" w:after="0"/>
              <w:jc w:val="right"/>
              <w:rPr>
                <w:rFonts w:ascii="Simplified Arabic" w:hAnsi="Simplified Arabic" w:cs="Simplified Arabic" w:hint="cs"/>
                <w:sz w:val="24"/>
                <w:szCs w:val="24"/>
              </w:rPr>
            </w:pPr>
            <w:r w:rsidRPr="003C7382">
              <w:rPr>
                <w:rFonts w:ascii="Simplified Arabic" w:hAnsi="Simplified Arabic" w:cs="Simplified Arabic" w:hint="cs"/>
                <w:sz w:val="24"/>
                <w:szCs w:val="24"/>
              </w:rPr>
              <w:t>4</w:t>
            </w:r>
          </w:p>
        </w:tc>
        <w:tc>
          <w:tcPr>
            <w:tcW w:w="1276" w:type="dxa"/>
            <w:noWrap/>
            <w:vAlign w:val="bottom"/>
            <w:hideMark/>
          </w:tcPr>
          <w:p w14:paraId="278BAE6E" w14:textId="49BD49D8" w:rsidR="001F056A" w:rsidRPr="003C7382" w:rsidRDefault="003B6B46" w:rsidP="003C7382">
            <w:pPr>
              <w:pStyle w:val="Normal-pool-Table"/>
              <w:spacing w:before="0" w:after="0"/>
              <w:jc w:val="right"/>
              <w:rPr>
                <w:rFonts w:ascii="Simplified Arabic" w:hAnsi="Simplified Arabic" w:cs="Simplified Arabic" w:hint="cs"/>
                <w:sz w:val="24"/>
                <w:szCs w:val="24"/>
              </w:rPr>
            </w:pPr>
            <w:r w:rsidRPr="003C7382">
              <w:rPr>
                <w:rFonts w:ascii="Simplified Arabic" w:hAnsi="Simplified Arabic" w:cs="Simplified Arabic" w:hint="cs"/>
                <w:sz w:val="24"/>
                <w:szCs w:val="24"/>
              </w:rPr>
              <w:t xml:space="preserve">7291 </w:t>
            </w:r>
          </w:p>
        </w:tc>
        <w:tc>
          <w:tcPr>
            <w:tcW w:w="1701" w:type="dxa"/>
            <w:noWrap/>
            <w:vAlign w:val="bottom"/>
            <w:hideMark/>
          </w:tcPr>
          <w:p w14:paraId="34AF6F2E" w14:textId="77777777" w:rsidR="001F056A" w:rsidRPr="003C7382" w:rsidRDefault="003B6B46" w:rsidP="003C7382">
            <w:pPr>
              <w:pStyle w:val="Normal-pool-Table"/>
              <w:spacing w:before="0" w:after="0"/>
              <w:jc w:val="right"/>
              <w:rPr>
                <w:rFonts w:ascii="Simplified Arabic" w:hAnsi="Simplified Arabic" w:cs="Simplified Arabic" w:hint="cs"/>
                <w:sz w:val="24"/>
                <w:szCs w:val="24"/>
              </w:rPr>
            </w:pPr>
            <w:r w:rsidRPr="003C7382">
              <w:rPr>
                <w:rFonts w:ascii="Simplified Arabic" w:hAnsi="Simplified Arabic" w:cs="Simplified Arabic" w:hint="cs"/>
                <w:sz w:val="24"/>
                <w:szCs w:val="24"/>
              </w:rPr>
              <w:t>34</w:t>
            </w:r>
          </w:p>
        </w:tc>
        <w:tc>
          <w:tcPr>
            <w:tcW w:w="1928" w:type="dxa"/>
            <w:noWrap/>
            <w:vAlign w:val="bottom"/>
            <w:hideMark/>
          </w:tcPr>
          <w:p w14:paraId="0FC0A79A" w14:textId="59D84C26" w:rsidR="001F056A" w:rsidRPr="003C7382" w:rsidRDefault="003B6B46" w:rsidP="003C7382">
            <w:pPr>
              <w:pStyle w:val="Normal-pool-Table"/>
              <w:spacing w:before="0" w:after="0"/>
              <w:jc w:val="right"/>
              <w:rPr>
                <w:rFonts w:ascii="Simplified Arabic" w:hAnsi="Simplified Arabic" w:cs="Simplified Arabic" w:hint="cs"/>
                <w:sz w:val="24"/>
                <w:szCs w:val="24"/>
              </w:rPr>
            </w:pPr>
            <w:r w:rsidRPr="003C7382">
              <w:rPr>
                <w:rFonts w:ascii="Simplified Arabic" w:hAnsi="Simplified Arabic" w:cs="Simplified Arabic" w:hint="cs"/>
                <w:sz w:val="24"/>
                <w:szCs w:val="24"/>
              </w:rPr>
              <w:t xml:space="preserve">147146 </w:t>
            </w:r>
          </w:p>
        </w:tc>
      </w:tr>
      <w:tr w:rsidR="001F056A" w:rsidRPr="003C7382" w14:paraId="3B3388D4" w14:textId="77777777">
        <w:trPr>
          <w:trHeight w:val="57"/>
          <w:jc w:val="right"/>
        </w:trPr>
        <w:tc>
          <w:tcPr>
            <w:tcW w:w="2263" w:type="dxa"/>
            <w:tcBorders>
              <w:top w:val="single" w:sz="4" w:space="0" w:color="auto"/>
              <w:bottom w:val="single" w:sz="4" w:space="0" w:color="auto"/>
            </w:tcBorders>
            <w:vAlign w:val="bottom"/>
            <w:hideMark/>
          </w:tcPr>
          <w:p w14:paraId="4587693A" w14:textId="086EAC48" w:rsidR="001F056A" w:rsidRPr="003C7382" w:rsidRDefault="003B6B46" w:rsidP="003C7382">
            <w:pPr>
              <w:pStyle w:val="Normal-pool-Table"/>
              <w:spacing w:before="0" w:after="0"/>
              <w:rPr>
                <w:rFonts w:ascii="Simplified Arabic" w:hAnsi="Simplified Arabic" w:cs="Simplified Arabic" w:hint="cs"/>
                <w:bCs/>
                <w:sz w:val="24"/>
                <w:szCs w:val="24"/>
              </w:rPr>
            </w:pPr>
            <w:r w:rsidRPr="003C7382">
              <w:rPr>
                <w:rFonts w:ascii="Simplified Arabic" w:hAnsi="Simplified Arabic" w:cs="Simplified Arabic" w:hint="cs"/>
                <w:bCs/>
                <w:sz w:val="24"/>
                <w:szCs w:val="24"/>
              </w:rPr>
              <w:lastRenderedPageBreak/>
              <w:t xml:space="preserve">المتوسط على مدى 4 سنوات </w:t>
            </w:r>
            <w:r w:rsidRPr="003C7382">
              <w:rPr>
                <w:rFonts w:ascii="Simplified Arabic" w:hAnsi="Simplified Arabic" w:cs="Simplified Arabic" w:hint="cs"/>
                <w:bCs/>
                <w:i/>
                <w:sz w:val="24"/>
                <w:szCs w:val="24"/>
                <w:vertAlign w:val="superscript"/>
              </w:rPr>
              <w:t>"ب"</w:t>
            </w:r>
          </w:p>
        </w:tc>
        <w:tc>
          <w:tcPr>
            <w:tcW w:w="1139" w:type="dxa"/>
            <w:tcBorders>
              <w:top w:val="single" w:sz="4" w:space="0" w:color="auto"/>
              <w:bottom w:val="single" w:sz="4" w:space="0" w:color="auto"/>
            </w:tcBorders>
            <w:noWrap/>
            <w:vAlign w:val="bottom"/>
            <w:hideMark/>
          </w:tcPr>
          <w:p w14:paraId="76DCA5F1" w14:textId="2DEA984A" w:rsidR="001F056A" w:rsidRPr="003C7382" w:rsidRDefault="003B6B46" w:rsidP="003C7382">
            <w:pPr>
              <w:pStyle w:val="Normal-pool-Table"/>
              <w:spacing w:before="0" w:after="0"/>
              <w:jc w:val="right"/>
              <w:rPr>
                <w:rFonts w:ascii="Simplified Arabic" w:hAnsi="Simplified Arabic" w:cs="Simplified Arabic" w:hint="cs"/>
                <w:sz w:val="24"/>
                <w:szCs w:val="24"/>
              </w:rPr>
            </w:pPr>
            <w:r w:rsidRPr="003C7382">
              <w:rPr>
                <w:rFonts w:ascii="Simplified Arabic" w:hAnsi="Simplified Arabic" w:cs="Simplified Arabic" w:hint="cs"/>
                <w:sz w:val="24"/>
                <w:szCs w:val="24"/>
              </w:rPr>
              <w:t xml:space="preserve">5 </w:t>
            </w:r>
          </w:p>
        </w:tc>
        <w:tc>
          <w:tcPr>
            <w:tcW w:w="1276" w:type="dxa"/>
            <w:tcBorders>
              <w:top w:val="single" w:sz="4" w:space="0" w:color="auto"/>
              <w:bottom w:val="single" w:sz="4" w:space="0" w:color="auto"/>
            </w:tcBorders>
            <w:noWrap/>
            <w:vAlign w:val="bottom"/>
            <w:hideMark/>
          </w:tcPr>
          <w:p w14:paraId="09D70085" w14:textId="23987D6B" w:rsidR="001F056A" w:rsidRPr="003C7382" w:rsidRDefault="003B6B46" w:rsidP="003C7382">
            <w:pPr>
              <w:pStyle w:val="Normal-pool-Table"/>
              <w:spacing w:before="0" w:after="0"/>
              <w:jc w:val="right"/>
              <w:rPr>
                <w:rFonts w:ascii="Simplified Arabic" w:hAnsi="Simplified Arabic" w:cs="Simplified Arabic" w:hint="cs"/>
                <w:sz w:val="24"/>
                <w:szCs w:val="24"/>
              </w:rPr>
            </w:pPr>
            <w:r w:rsidRPr="003C7382">
              <w:rPr>
                <w:rFonts w:ascii="Simplified Arabic" w:hAnsi="Simplified Arabic" w:cs="Simplified Arabic" w:hint="cs"/>
                <w:sz w:val="24"/>
                <w:szCs w:val="24"/>
              </w:rPr>
              <w:t xml:space="preserve">11108 </w:t>
            </w:r>
          </w:p>
        </w:tc>
        <w:tc>
          <w:tcPr>
            <w:tcW w:w="1701" w:type="dxa"/>
            <w:tcBorders>
              <w:top w:val="single" w:sz="4" w:space="0" w:color="auto"/>
              <w:bottom w:val="single" w:sz="4" w:space="0" w:color="auto"/>
            </w:tcBorders>
            <w:noWrap/>
            <w:vAlign w:val="bottom"/>
            <w:hideMark/>
          </w:tcPr>
          <w:p w14:paraId="183BAC6F" w14:textId="3085A2F9" w:rsidR="001F056A" w:rsidRPr="003C7382" w:rsidRDefault="003B6B46" w:rsidP="003C7382">
            <w:pPr>
              <w:pStyle w:val="Normal-pool-Table"/>
              <w:spacing w:before="0" w:after="0"/>
              <w:jc w:val="right"/>
              <w:rPr>
                <w:rFonts w:ascii="Simplified Arabic" w:hAnsi="Simplified Arabic" w:cs="Simplified Arabic" w:hint="cs"/>
                <w:sz w:val="24"/>
                <w:szCs w:val="24"/>
              </w:rPr>
            </w:pPr>
            <w:r w:rsidRPr="003C7382">
              <w:rPr>
                <w:rFonts w:ascii="Simplified Arabic" w:hAnsi="Simplified Arabic" w:cs="Simplified Arabic" w:hint="cs"/>
                <w:sz w:val="24"/>
                <w:szCs w:val="24"/>
              </w:rPr>
              <w:t xml:space="preserve">43 </w:t>
            </w:r>
          </w:p>
        </w:tc>
        <w:tc>
          <w:tcPr>
            <w:tcW w:w="1928" w:type="dxa"/>
            <w:tcBorders>
              <w:top w:val="single" w:sz="4" w:space="0" w:color="auto"/>
              <w:bottom w:val="single" w:sz="4" w:space="0" w:color="auto"/>
            </w:tcBorders>
            <w:noWrap/>
            <w:vAlign w:val="bottom"/>
            <w:hideMark/>
          </w:tcPr>
          <w:p w14:paraId="3B9D30BC" w14:textId="17D5DC93" w:rsidR="001F056A" w:rsidRPr="003C7382" w:rsidRDefault="003B6B46" w:rsidP="003C7382">
            <w:pPr>
              <w:pStyle w:val="Normal-pool-Table"/>
              <w:spacing w:before="0" w:after="0"/>
              <w:jc w:val="right"/>
              <w:rPr>
                <w:rFonts w:ascii="Simplified Arabic" w:hAnsi="Simplified Arabic" w:cs="Simplified Arabic" w:hint="cs"/>
                <w:sz w:val="24"/>
                <w:szCs w:val="24"/>
              </w:rPr>
            </w:pPr>
            <w:r w:rsidRPr="003C7382">
              <w:rPr>
                <w:rFonts w:ascii="Simplified Arabic" w:hAnsi="Simplified Arabic" w:cs="Simplified Arabic" w:hint="cs"/>
                <w:sz w:val="24"/>
                <w:szCs w:val="24"/>
              </w:rPr>
              <w:t xml:space="preserve">157530 </w:t>
            </w:r>
          </w:p>
        </w:tc>
      </w:tr>
      <w:tr w:rsidR="001F056A" w:rsidRPr="003C7382" w14:paraId="23802436" w14:textId="77777777">
        <w:trPr>
          <w:trHeight w:val="57"/>
          <w:jc w:val="right"/>
        </w:trPr>
        <w:tc>
          <w:tcPr>
            <w:tcW w:w="2263" w:type="dxa"/>
            <w:tcBorders>
              <w:top w:val="single" w:sz="4" w:space="0" w:color="auto"/>
              <w:bottom w:val="single" w:sz="4" w:space="0" w:color="auto"/>
            </w:tcBorders>
            <w:noWrap/>
            <w:vAlign w:val="bottom"/>
            <w:hideMark/>
          </w:tcPr>
          <w:p w14:paraId="4314EEA7" w14:textId="047AA880" w:rsidR="001F056A" w:rsidRPr="003C7382" w:rsidRDefault="003B6B46" w:rsidP="003C7382">
            <w:pPr>
              <w:pStyle w:val="Normal-pool-Table"/>
              <w:spacing w:before="0" w:after="0"/>
              <w:rPr>
                <w:rFonts w:ascii="Simplified Arabic" w:hAnsi="Simplified Arabic" w:cs="Simplified Arabic" w:hint="cs"/>
                <w:sz w:val="24"/>
                <w:szCs w:val="24"/>
              </w:rPr>
            </w:pPr>
            <w:r w:rsidRPr="003C7382">
              <w:rPr>
                <w:rFonts w:ascii="Simplified Arabic" w:hAnsi="Simplified Arabic" w:cs="Simplified Arabic" w:hint="cs"/>
                <w:sz w:val="24"/>
                <w:szCs w:val="24"/>
              </w:rPr>
              <w:t>التكلفة/الاجتماع</w:t>
            </w:r>
          </w:p>
        </w:tc>
        <w:tc>
          <w:tcPr>
            <w:tcW w:w="1139" w:type="dxa"/>
            <w:tcBorders>
              <w:top w:val="single" w:sz="4" w:space="0" w:color="auto"/>
              <w:bottom w:val="single" w:sz="4" w:space="0" w:color="auto"/>
            </w:tcBorders>
            <w:noWrap/>
            <w:vAlign w:val="bottom"/>
            <w:hideMark/>
          </w:tcPr>
          <w:p w14:paraId="15145B01" w14:textId="55BFA381" w:rsidR="001F056A" w:rsidRPr="003C7382" w:rsidRDefault="001F056A" w:rsidP="003C7382">
            <w:pPr>
              <w:pStyle w:val="Normal-pool-Table"/>
              <w:spacing w:before="0" w:after="0"/>
              <w:jc w:val="right"/>
              <w:rPr>
                <w:rFonts w:ascii="Simplified Arabic" w:hAnsi="Simplified Arabic" w:cs="Simplified Arabic" w:hint="cs"/>
                <w:sz w:val="24"/>
                <w:szCs w:val="24"/>
              </w:rPr>
            </w:pPr>
          </w:p>
        </w:tc>
        <w:tc>
          <w:tcPr>
            <w:tcW w:w="1276" w:type="dxa"/>
            <w:tcBorders>
              <w:top w:val="single" w:sz="4" w:space="0" w:color="auto"/>
              <w:bottom w:val="single" w:sz="4" w:space="0" w:color="auto"/>
            </w:tcBorders>
            <w:noWrap/>
            <w:vAlign w:val="bottom"/>
            <w:hideMark/>
          </w:tcPr>
          <w:p w14:paraId="48F40323" w14:textId="6F055889" w:rsidR="001F056A" w:rsidRPr="003C7382" w:rsidRDefault="003B6B46" w:rsidP="003C7382">
            <w:pPr>
              <w:pStyle w:val="Normal-pool-Table"/>
              <w:spacing w:before="0" w:after="0"/>
              <w:jc w:val="right"/>
              <w:rPr>
                <w:rFonts w:ascii="Simplified Arabic" w:hAnsi="Simplified Arabic" w:cs="Simplified Arabic" w:hint="cs"/>
                <w:sz w:val="24"/>
                <w:szCs w:val="24"/>
              </w:rPr>
            </w:pPr>
            <w:r w:rsidRPr="003C7382">
              <w:rPr>
                <w:rFonts w:ascii="Simplified Arabic" w:hAnsi="Simplified Arabic" w:cs="Simplified Arabic" w:hint="cs"/>
                <w:sz w:val="24"/>
                <w:szCs w:val="24"/>
              </w:rPr>
              <w:t xml:space="preserve">2116 </w:t>
            </w:r>
          </w:p>
        </w:tc>
        <w:tc>
          <w:tcPr>
            <w:tcW w:w="1701" w:type="dxa"/>
            <w:tcBorders>
              <w:top w:val="single" w:sz="4" w:space="0" w:color="auto"/>
              <w:bottom w:val="single" w:sz="4" w:space="0" w:color="auto"/>
            </w:tcBorders>
            <w:noWrap/>
            <w:vAlign w:val="bottom"/>
            <w:hideMark/>
          </w:tcPr>
          <w:p w14:paraId="54294462" w14:textId="77777777" w:rsidR="001F056A" w:rsidRPr="003C7382" w:rsidRDefault="003B6B46" w:rsidP="003C7382">
            <w:pPr>
              <w:pStyle w:val="Normal-pool-Table"/>
              <w:spacing w:before="0" w:after="0"/>
              <w:jc w:val="right"/>
              <w:rPr>
                <w:rFonts w:ascii="Simplified Arabic" w:hAnsi="Simplified Arabic" w:cs="Simplified Arabic" w:hint="cs"/>
                <w:sz w:val="24"/>
                <w:szCs w:val="24"/>
              </w:rPr>
            </w:pPr>
            <w:r w:rsidRPr="003C7382">
              <w:rPr>
                <w:rFonts w:ascii="Simplified Arabic" w:hAnsi="Simplified Arabic" w:cs="Simplified Arabic" w:hint="cs"/>
                <w:sz w:val="24"/>
                <w:szCs w:val="24"/>
              </w:rPr>
              <w:t>8</w:t>
            </w:r>
          </w:p>
        </w:tc>
        <w:tc>
          <w:tcPr>
            <w:tcW w:w="1928" w:type="dxa"/>
            <w:tcBorders>
              <w:top w:val="single" w:sz="4" w:space="0" w:color="auto"/>
              <w:bottom w:val="single" w:sz="4" w:space="0" w:color="auto"/>
            </w:tcBorders>
            <w:noWrap/>
            <w:vAlign w:val="bottom"/>
            <w:hideMark/>
          </w:tcPr>
          <w:p w14:paraId="53AFB6F8" w14:textId="027BBF3C" w:rsidR="001F056A" w:rsidRPr="003C7382" w:rsidRDefault="003B6B46" w:rsidP="003C7382">
            <w:pPr>
              <w:pStyle w:val="Normal-pool-Table"/>
              <w:spacing w:before="0" w:after="0"/>
              <w:jc w:val="right"/>
              <w:rPr>
                <w:rFonts w:ascii="Simplified Arabic" w:hAnsi="Simplified Arabic" w:cs="Simplified Arabic" w:hint="cs"/>
                <w:sz w:val="24"/>
                <w:szCs w:val="24"/>
              </w:rPr>
            </w:pPr>
            <w:r w:rsidRPr="003C7382">
              <w:rPr>
                <w:rFonts w:ascii="Simplified Arabic" w:hAnsi="Simplified Arabic" w:cs="Simplified Arabic" w:hint="cs"/>
                <w:sz w:val="24"/>
                <w:szCs w:val="24"/>
              </w:rPr>
              <w:t xml:space="preserve">30006 </w:t>
            </w:r>
          </w:p>
        </w:tc>
      </w:tr>
      <w:tr w:rsidR="001F056A" w:rsidRPr="003C7382" w14:paraId="3FB900BD" w14:textId="77777777">
        <w:trPr>
          <w:trHeight w:val="57"/>
          <w:jc w:val="right"/>
        </w:trPr>
        <w:tc>
          <w:tcPr>
            <w:tcW w:w="2263" w:type="dxa"/>
            <w:tcBorders>
              <w:top w:val="single" w:sz="4" w:space="0" w:color="auto"/>
              <w:bottom w:val="single" w:sz="12" w:space="0" w:color="auto"/>
            </w:tcBorders>
            <w:noWrap/>
            <w:vAlign w:val="bottom"/>
          </w:tcPr>
          <w:p w14:paraId="2F05835B" w14:textId="29FB04D2" w:rsidR="001F056A" w:rsidRPr="003C7382" w:rsidRDefault="003B6B46" w:rsidP="003C7382">
            <w:pPr>
              <w:pStyle w:val="P68B1DB1-Normal-pool-Table2"/>
              <w:spacing w:before="0" w:after="0"/>
              <w:rPr>
                <w:rFonts w:ascii="Simplified Arabic" w:hAnsi="Simplified Arabic" w:cs="Simplified Arabic" w:hint="cs"/>
                <w:sz w:val="24"/>
                <w:szCs w:val="24"/>
              </w:rPr>
            </w:pPr>
            <w:r w:rsidRPr="003C7382">
              <w:rPr>
                <w:rFonts w:ascii="Simplified Arabic" w:hAnsi="Simplified Arabic" w:cs="Simplified Arabic" w:hint="cs"/>
                <w:sz w:val="24"/>
                <w:szCs w:val="24"/>
              </w:rPr>
              <w:t>التكلفة الإجمالية لكل اجتماع، بما يشمل مكان الانعقاد والسفر</w:t>
            </w:r>
          </w:p>
        </w:tc>
        <w:tc>
          <w:tcPr>
            <w:tcW w:w="1139" w:type="dxa"/>
            <w:tcBorders>
              <w:top w:val="single" w:sz="4" w:space="0" w:color="auto"/>
              <w:bottom w:val="single" w:sz="12" w:space="0" w:color="auto"/>
            </w:tcBorders>
            <w:noWrap/>
            <w:vAlign w:val="bottom"/>
          </w:tcPr>
          <w:p w14:paraId="018CF9C0" w14:textId="77777777" w:rsidR="001F056A" w:rsidRPr="003C7382" w:rsidRDefault="001F056A" w:rsidP="003C7382">
            <w:pPr>
              <w:pStyle w:val="Normal-pool-Table"/>
              <w:spacing w:before="0" w:after="0"/>
              <w:jc w:val="right"/>
              <w:rPr>
                <w:rFonts w:ascii="Simplified Arabic" w:hAnsi="Simplified Arabic" w:cs="Simplified Arabic" w:hint="cs"/>
                <w:b/>
                <w:sz w:val="24"/>
                <w:szCs w:val="24"/>
              </w:rPr>
            </w:pPr>
          </w:p>
        </w:tc>
        <w:tc>
          <w:tcPr>
            <w:tcW w:w="1276" w:type="dxa"/>
            <w:tcBorders>
              <w:top w:val="single" w:sz="4" w:space="0" w:color="auto"/>
              <w:bottom w:val="single" w:sz="12" w:space="0" w:color="auto"/>
            </w:tcBorders>
            <w:noWrap/>
            <w:vAlign w:val="bottom"/>
          </w:tcPr>
          <w:p w14:paraId="1855FD5D" w14:textId="77777777" w:rsidR="001F056A" w:rsidRPr="003C7382" w:rsidRDefault="001F056A" w:rsidP="003C7382">
            <w:pPr>
              <w:pStyle w:val="Normal-pool-Table"/>
              <w:spacing w:before="0" w:after="0"/>
              <w:jc w:val="right"/>
              <w:rPr>
                <w:rFonts w:ascii="Simplified Arabic" w:hAnsi="Simplified Arabic" w:cs="Simplified Arabic" w:hint="cs"/>
                <w:b/>
                <w:sz w:val="24"/>
                <w:szCs w:val="24"/>
              </w:rPr>
            </w:pPr>
          </w:p>
        </w:tc>
        <w:tc>
          <w:tcPr>
            <w:tcW w:w="1701" w:type="dxa"/>
            <w:tcBorders>
              <w:top w:val="single" w:sz="4" w:space="0" w:color="auto"/>
              <w:bottom w:val="single" w:sz="12" w:space="0" w:color="auto"/>
            </w:tcBorders>
            <w:noWrap/>
            <w:vAlign w:val="bottom"/>
          </w:tcPr>
          <w:p w14:paraId="35E59E9F" w14:textId="77777777" w:rsidR="001F056A" w:rsidRPr="003C7382" w:rsidRDefault="001F056A" w:rsidP="003C7382">
            <w:pPr>
              <w:pStyle w:val="Normal-pool-Table"/>
              <w:spacing w:before="0" w:after="0"/>
              <w:jc w:val="right"/>
              <w:rPr>
                <w:rFonts w:ascii="Simplified Arabic" w:hAnsi="Simplified Arabic" w:cs="Simplified Arabic" w:hint="cs"/>
                <w:b/>
                <w:sz w:val="24"/>
                <w:szCs w:val="24"/>
              </w:rPr>
            </w:pPr>
          </w:p>
        </w:tc>
        <w:tc>
          <w:tcPr>
            <w:tcW w:w="1928" w:type="dxa"/>
            <w:tcBorders>
              <w:top w:val="single" w:sz="4" w:space="0" w:color="auto"/>
              <w:bottom w:val="single" w:sz="12" w:space="0" w:color="auto"/>
            </w:tcBorders>
            <w:noWrap/>
            <w:vAlign w:val="bottom"/>
          </w:tcPr>
          <w:p w14:paraId="1FB6B7E1" w14:textId="444C2EE6" w:rsidR="001F056A" w:rsidRPr="003C7382" w:rsidRDefault="003B6B46" w:rsidP="003C7382">
            <w:pPr>
              <w:pStyle w:val="P68B1DB1-Normal-pool-Table2"/>
              <w:spacing w:before="0" w:after="0"/>
              <w:jc w:val="right"/>
              <w:rPr>
                <w:rFonts w:ascii="Simplified Arabic" w:hAnsi="Simplified Arabic" w:cs="Simplified Arabic" w:hint="cs"/>
                <w:sz w:val="24"/>
                <w:szCs w:val="24"/>
              </w:rPr>
            </w:pPr>
            <w:r w:rsidRPr="003C7382">
              <w:rPr>
                <w:rFonts w:ascii="Simplified Arabic" w:hAnsi="Simplified Arabic" w:cs="Simplified Arabic" w:hint="cs"/>
                <w:sz w:val="24"/>
                <w:szCs w:val="24"/>
              </w:rPr>
              <w:t>32122</w:t>
            </w:r>
          </w:p>
        </w:tc>
      </w:tr>
    </w:tbl>
    <w:p w14:paraId="4536B54D" w14:textId="56678880" w:rsidR="001F056A" w:rsidRPr="003C7382" w:rsidRDefault="003B6B46">
      <w:pPr>
        <w:pStyle w:val="P68B1DB1-NormalNonumber11"/>
        <w:spacing w:before="60"/>
        <w:rPr>
          <w:rFonts w:ascii="Simplified Arabic" w:hAnsi="Simplified Arabic" w:cs="Simplified Arabic" w:hint="cs"/>
        </w:rPr>
      </w:pPr>
      <w:r>
        <w:tab/>
      </w:r>
      <w:r w:rsidRPr="003C7382">
        <w:rPr>
          <w:rFonts w:ascii="Simplified Arabic" w:hAnsi="Simplified Arabic" w:cs="Simplified Arabic" w:hint="cs"/>
          <w:i/>
          <w:vertAlign w:val="superscript"/>
        </w:rPr>
        <w:t>أ -</w:t>
      </w:r>
      <w:r w:rsidRPr="003C7382">
        <w:rPr>
          <w:rFonts w:ascii="Simplified Arabic" w:hAnsi="Simplified Arabic" w:cs="Simplified Arabic" w:hint="cs"/>
        </w:rPr>
        <w:t xml:space="preserve"> تجد لجان الخيارات التقنية أماكن مجانية أو منخفضة التكلفة، وغالبًا ما تستضيفها منظمات تابعة للأمم المتحدة، مثل برنامج الأمم المتحدة للبيئة، أو منظمات ينتمي إليها الأعضاء. </w:t>
      </w:r>
    </w:p>
    <w:p w14:paraId="4AE1EABA" w14:textId="74768AE5" w:rsidR="001F056A" w:rsidRPr="003C7382" w:rsidRDefault="003B6B46">
      <w:pPr>
        <w:pStyle w:val="P68B1DB1-NormalNonumber11"/>
        <w:rPr>
          <w:rFonts w:ascii="Simplified Arabic" w:hAnsi="Simplified Arabic" w:cs="Simplified Arabic" w:hint="cs"/>
        </w:rPr>
      </w:pPr>
      <w:r>
        <w:tab/>
      </w:r>
      <w:r w:rsidRPr="003C7382">
        <w:rPr>
          <w:rFonts w:ascii="Simplified Arabic" w:hAnsi="Simplified Arabic" w:cs="Simplified Arabic" w:hint="cs"/>
          <w:i/>
          <w:vertAlign w:val="superscript"/>
        </w:rPr>
        <w:t>ب -</w:t>
      </w:r>
      <w:r w:rsidRPr="003C7382">
        <w:rPr>
          <w:rFonts w:ascii="Simplified Arabic" w:hAnsi="Simplified Arabic" w:cs="Simplified Arabic" w:hint="cs"/>
        </w:rPr>
        <w:t xml:space="preserve"> في عام 2025، كانت تكاليف أماكن انعقاد الاجتماعات منخفضة للغاية نظرًا لأن عددًا من الاجتماعات عُقد في أماكن لم تترتب على استخدامها أي تكاليف (مثل مقر المنظمة البحرية الدولية)، في حين ظلت تكاليف السفر مرتفعة بسبب ارتفاع معدلات بدل الإقامة اليومي في تلك المواقع.</w:t>
      </w:r>
    </w:p>
    <w:p w14:paraId="796FAEA3" w14:textId="52B39144" w:rsidR="001F056A" w:rsidRPr="003C7382" w:rsidRDefault="003B6B46">
      <w:pPr>
        <w:pStyle w:val="Titletable"/>
        <w:spacing w:before="240"/>
        <w:rPr>
          <w:rFonts w:ascii="Simplified Arabic" w:hAnsi="Simplified Arabic" w:cs="Simplified Arabic" w:hint="cs"/>
          <w:b w:val="0"/>
          <w:bCs/>
          <w:sz w:val="24"/>
          <w:szCs w:val="24"/>
        </w:rPr>
      </w:pPr>
      <w:r w:rsidRPr="003C7382">
        <w:rPr>
          <w:rFonts w:ascii="Simplified Arabic" w:hAnsi="Simplified Arabic" w:cs="Simplified Arabic" w:hint="cs"/>
          <w:b w:val="0"/>
          <w:sz w:val="24"/>
          <w:szCs w:val="24"/>
        </w:rPr>
        <w:t xml:space="preserve">الجدول 7 </w:t>
      </w:r>
      <w:r w:rsidRPr="003C7382">
        <w:rPr>
          <w:rFonts w:ascii="Simplified Arabic" w:hAnsi="Simplified Arabic" w:cs="Simplified Arabic" w:hint="cs"/>
          <w:sz w:val="24"/>
          <w:szCs w:val="24"/>
        </w:rPr>
        <w:br/>
      </w:r>
      <w:r w:rsidRPr="003C7382">
        <w:rPr>
          <w:rFonts w:ascii="Simplified Arabic" w:hAnsi="Simplified Arabic" w:cs="Simplified Arabic" w:hint="cs"/>
          <w:b w:val="0"/>
          <w:bCs/>
          <w:sz w:val="24"/>
          <w:szCs w:val="24"/>
        </w:rPr>
        <w:t>تكاليف اجتماعات فريق التقييم التكنولوجي والاقتصادي للفترة 2023–2026</w:t>
      </w:r>
    </w:p>
    <w:p w14:paraId="2DA12A69" w14:textId="0E218D34" w:rsidR="001F056A" w:rsidRPr="003C7382" w:rsidRDefault="003B6B46">
      <w:pPr>
        <w:pStyle w:val="P68B1DB1-NormalNonumber12"/>
        <w:rPr>
          <w:rFonts w:ascii="Simplified Arabic" w:hAnsi="Simplified Arabic" w:cs="Simplified Arabic" w:hint="cs"/>
          <w:sz w:val="24"/>
          <w:szCs w:val="24"/>
        </w:rPr>
      </w:pPr>
      <w:r w:rsidRPr="003C7382">
        <w:rPr>
          <w:rFonts w:ascii="Simplified Arabic" w:hAnsi="Simplified Arabic" w:cs="Simplified Arabic" w:hint="cs"/>
          <w:sz w:val="24"/>
          <w:szCs w:val="24"/>
        </w:rPr>
        <w:t>(بالدولار الأمريكي)</w:t>
      </w:r>
    </w:p>
    <w:tbl>
      <w:tblPr>
        <w:bidiVisual/>
        <w:tblW w:w="8307" w:type="dxa"/>
        <w:jc w:val="right"/>
        <w:tblLook w:val="04A0" w:firstRow="1" w:lastRow="0" w:firstColumn="1" w:lastColumn="0" w:noHBand="0" w:noVBand="1"/>
      </w:tblPr>
      <w:tblGrid>
        <w:gridCol w:w="2835"/>
        <w:gridCol w:w="1560"/>
        <w:gridCol w:w="1984"/>
        <w:gridCol w:w="1928"/>
      </w:tblGrid>
      <w:tr w:rsidR="001F056A" w:rsidRPr="003C7382" w14:paraId="01CCE678" w14:textId="77777777">
        <w:trPr>
          <w:trHeight w:val="724"/>
          <w:jc w:val="right"/>
        </w:trPr>
        <w:tc>
          <w:tcPr>
            <w:tcW w:w="2835" w:type="dxa"/>
            <w:tcBorders>
              <w:top w:val="single" w:sz="4" w:space="0" w:color="auto"/>
            </w:tcBorders>
            <w:noWrap/>
            <w:vAlign w:val="bottom"/>
            <w:hideMark/>
          </w:tcPr>
          <w:p w14:paraId="58A8477E" w14:textId="62FFE735" w:rsidR="001F056A" w:rsidRPr="003C7382" w:rsidRDefault="003B6B46">
            <w:pPr>
              <w:pStyle w:val="P68B1DB1-Normal-pool-Table1"/>
              <w:rPr>
                <w:rFonts w:ascii="Simplified Arabic" w:hAnsi="Simplified Arabic" w:cs="Simplified Arabic" w:hint="cs"/>
              </w:rPr>
            </w:pPr>
            <w:r w:rsidRPr="003C7382">
              <w:rPr>
                <w:rFonts w:ascii="Simplified Arabic" w:hAnsi="Simplified Arabic" w:cs="Simplified Arabic" w:hint="cs"/>
              </w:rPr>
              <w:t>السنة</w:t>
            </w:r>
          </w:p>
        </w:tc>
        <w:tc>
          <w:tcPr>
            <w:tcW w:w="1560" w:type="dxa"/>
            <w:tcBorders>
              <w:top w:val="single" w:sz="4" w:space="0" w:color="auto"/>
            </w:tcBorders>
            <w:noWrap/>
            <w:vAlign w:val="bottom"/>
            <w:hideMark/>
          </w:tcPr>
          <w:p w14:paraId="0078DE5D" w14:textId="77777777" w:rsidR="001F056A" w:rsidRPr="003C7382" w:rsidRDefault="003B6B46">
            <w:pPr>
              <w:pStyle w:val="P68B1DB1-Normal-pool-Table1"/>
              <w:jc w:val="right"/>
              <w:rPr>
                <w:rFonts w:ascii="Simplified Arabic" w:hAnsi="Simplified Arabic" w:cs="Simplified Arabic" w:hint="cs"/>
              </w:rPr>
            </w:pPr>
            <w:r w:rsidRPr="003C7382">
              <w:rPr>
                <w:rFonts w:ascii="Simplified Arabic" w:hAnsi="Simplified Arabic" w:cs="Simplified Arabic" w:hint="cs"/>
              </w:rPr>
              <w:t>تكاليف أماكن انعقاد الاجتماعات</w:t>
            </w:r>
          </w:p>
        </w:tc>
        <w:tc>
          <w:tcPr>
            <w:tcW w:w="1984" w:type="dxa"/>
            <w:tcBorders>
              <w:top w:val="single" w:sz="4" w:space="0" w:color="auto"/>
            </w:tcBorders>
            <w:noWrap/>
            <w:vAlign w:val="bottom"/>
            <w:hideMark/>
          </w:tcPr>
          <w:p w14:paraId="37F73508" w14:textId="4DD8AEA0" w:rsidR="001F056A" w:rsidRPr="003C7382" w:rsidRDefault="003B6B46">
            <w:pPr>
              <w:pStyle w:val="P68B1DB1-Normal-pool-Table1"/>
              <w:jc w:val="right"/>
              <w:rPr>
                <w:rFonts w:ascii="Simplified Arabic" w:hAnsi="Simplified Arabic" w:cs="Simplified Arabic" w:hint="cs"/>
              </w:rPr>
            </w:pPr>
            <w:r w:rsidRPr="003C7382">
              <w:rPr>
                <w:rFonts w:ascii="Simplified Arabic" w:hAnsi="Simplified Arabic" w:cs="Simplified Arabic" w:hint="cs"/>
              </w:rPr>
              <w:t>عدد المشاركين من الدول الأطراف العاملة بموجب المادة 5 الذين تُموّل مشاركتهم</w:t>
            </w:r>
          </w:p>
        </w:tc>
        <w:tc>
          <w:tcPr>
            <w:tcW w:w="1928" w:type="dxa"/>
            <w:tcBorders>
              <w:top w:val="single" w:sz="4" w:space="0" w:color="auto"/>
            </w:tcBorders>
            <w:vAlign w:val="bottom"/>
          </w:tcPr>
          <w:p w14:paraId="21BA43EF" w14:textId="7B270AD2" w:rsidR="001F056A" w:rsidRPr="003C7382" w:rsidRDefault="003B6B46">
            <w:pPr>
              <w:pStyle w:val="P68B1DB1-Normal-pool-Table1"/>
              <w:jc w:val="right"/>
              <w:rPr>
                <w:rFonts w:ascii="Simplified Arabic" w:hAnsi="Simplified Arabic" w:cs="Simplified Arabic" w:hint="cs"/>
              </w:rPr>
            </w:pPr>
            <w:r w:rsidRPr="003C7382">
              <w:rPr>
                <w:rFonts w:ascii="Simplified Arabic" w:hAnsi="Simplified Arabic" w:cs="Simplified Arabic" w:hint="cs"/>
              </w:rPr>
              <w:t xml:space="preserve">تكاليف سفر المشاركين من الدول الأطراف العاملة بموجب المادة 5 </w:t>
            </w:r>
          </w:p>
        </w:tc>
      </w:tr>
      <w:tr w:rsidR="001F056A" w:rsidRPr="003C7382" w14:paraId="5EDD8347" w14:textId="77777777">
        <w:trPr>
          <w:trHeight w:val="57"/>
          <w:jc w:val="right"/>
        </w:trPr>
        <w:tc>
          <w:tcPr>
            <w:tcW w:w="2835" w:type="dxa"/>
            <w:tcBorders>
              <w:top w:val="single" w:sz="12" w:space="0" w:color="auto"/>
            </w:tcBorders>
            <w:noWrap/>
            <w:vAlign w:val="bottom"/>
            <w:hideMark/>
          </w:tcPr>
          <w:p w14:paraId="7A6583DF" w14:textId="77777777" w:rsidR="001F056A" w:rsidRPr="003C7382" w:rsidRDefault="003B6B46">
            <w:pPr>
              <w:pStyle w:val="Normal-pool-Table"/>
              <w:rPr>
                <w:rFonts w:ascii="Simplified Arabic" w:hAnsi="Simplified Arabic" w:cs="Simplified Arabic" w:hint="cs"/>
              </w:rPr>
            </w:pPr>
            <w:r w:rsidRPr="003C7382">
              <w:rPr>
                <w:rFonts w:ascii="Simplified Arabic" w:hAnsi="Simplified Arabic" w:cs="Simplified Arabic" w:hint="cs"/>
              </w:rPr>
              <w:t>2026</w:t>
            </w:r>
          </w:p>
        </w:tc>
        <w:tc>
          <w:tcPr>
            <w:tcW w:w="1560" w:type="dxa"/>
            <w:tcBorders>
              <w:top w:val="single" w:sz="12" w:space="0" w:color="auto"/>
            </w:tcBorders>
            <w:noWrap/>
            <w:vAlign w:val="bottom"/>
            <w:hideMark/>
          </w:tcPr>
          <w:p w14:paraId="2686D202" w14:textId="4B32A9A1" w:rsidR="001F056A" w:rsidRPr="003C7382" w:rsidRDefault="003B6B46">
            <w:pPr>
              <w:pStyle w:val="Normal-pool-Table"/>
              <w:jc w:val="right"/>
              <w:rPr>
                <w:rFonts w:ascii="Simplified Arabic" w:hAnsi="Simplified Arabic" w:cs="Simplified Arabic" w:hint="cs"/>
              </w:rPr>
            </w:pPr>
            <w:r w:rsidRPr="003C7382">
              <w:rPr>
                <w:rFonts w:ascii="Simplified Arabic" w:hAnsi="Simplified Arabic" w:cs="Simplified Arabic" w:hint="cs"/>
              </w:rPr>
              <w:t xml:space="preserve">1500 </w:t>
            </w:r>
          </w:p>
        </w:tc>
        <w:tc>
          <w:tcPr>
            <w:tcW w:w="1984" w:type="dxa"/>
            <w:tcBorders>
              <w:top w:val="single" w:sz="12" w:space="0" w:color="auto"/>
            </w:tcBorders>
            <w:noWrap/>
            <w:vAlign w:val="bottom"/>
            <w:hideMark/>
          </w:tcPr>
          <w:p w14:paraId="1D334BEE" w14:textId="399F2187" w:rsidR="001F056A" w:rsidRPr="003C7382" w:rsidRDefault="003B6B46">
            <w:pPr>
              <w:pStyle w:val="Normal-pool-Table"/>
              <w:jc w:val="right"/>
              <w:rPr>
                <w:rFonts w:ascii="Simplified Arabic" w:hAnsi="Simplified Arabic" w:cs="Simplified Arabic" w:hint="cs"/>
              </w:rPr>
            </w:pPr>
            <w:r w:rsidRPr="003C7382">
              <w:rPr>
                <w:rFonts w:ascii="Simplified Arabic" w:hAnsi="Simplified Arabic" w:cs="Simplified Arabic" w:hint="cs"/>
              </w:rPr>
              <w:t xml:space="preserve">13 </w:t>
            </w:r>
          </w:p>
        </w:tc>
        <w:tc>
          <w:tcPr>
            <w:tcW w:w="1928" w:type="dxa"/>
            <w:tcBorders>
              <w:top w:val="single" w:sz="12" w:space="0" w:color="auto"/>
            </w:tcBorders>
            <w:noWrap/>
            <w:vAlign w:val="bottom"/>
            <w:hideMark/>
          </w:tcPr>
          <w:p w14:paraId="6A01B72F" w14:textId="2A7F1D57" w:rsidR="001F056A" w:rsidRPr="003C7382" w:rsidRDefault="003B6B46">
            <w:pPr>
              <w:pStyle w:val="Normal-pool-Table"/>
              <w:jc w:val="right"/>
              <w:rPr>
                <w:rFonts w:ascii="Simplified Arabic" w:hAnsi="Simplified Arabic" w:cs="Simplified Arabic" w:hint="cs"/>
              </w:rPr>
            </w:pPr>
            <w:r w:rsidRPr="003C7382">
              <w:rPr>
                <w:rFonts w:ascii="Simplified Arabic" w:hAnsi="Simplified Arabic" w:cs="Simplified Arabic" w:hint="cs"/>
              </w:rPr>
              <w:t xml:space="preserve">43800 </w:t>
            </w:r>
          </w:p>
        </w:tc>
      </w:tr>
      <w:tr w:rsidR="001F056A" w:rsidRPr="003C7382" w14:paraId="4D39ECAD" w14:textId="77777777">
        <w:trPr>
          <w:trHeight w:val="57"/>
          <w:jc w:val="right"/>
        </w:trPr>
        <w:tc>
          <w:tcPr>
            <w:tcW w:w="2835" w:type="dxa"/>
            <w:noWrap/>
            <w:vAlign w:val="bottom"/>
            <w:hideMark/>
          </w:tcPr>
          <w:p w14:paraId="730228A3" w14:textId="77777777" w:rsidR="001F056A" w:rsidRPr="003C7382" w:rsidRDefault="003B6B46">
            <w:pPr>
              <w:pStyle w:val="Normal-pool-Table"/>
              <w:rPr>
                <w:rFonts w:ascii="Simplified Arabic" w:hAnsi="Simplified Arabic" w:cs="Simplified Arabic" w:hint="cs"/>
              </w:rPr>
            </w:pPr>
            <w:r w:rsidRPr="003C7382">
              <w:rPr>
                <w:rFonts w:ascii="Simplified Arabic" w:hAnsi="Simplified Arabic" w:cs="Simplified Arabic" w:hint="cs"/>
              </w:rPr>
              <w:t>2025</w:t>
            </w:r>
          </w:p>
        </w:tc>
        <w:tc>
          <w:tcPr>
            <w:tcW w:w="1560" w:type="dxa"/>
            <w:noWrap/>
            <w:vAlign w:val="bottom"/>
            <w:hideMark/>
          </w:tcPr>
          <w:p w14:paraId="3E00CAF4" w14:textId="6ECCAFAD" w:rsidR="001F056A" w:rsidRPr="003C7382" w:rsidRDefault="003B6B46">
            <w:pPr>
              <w:pStyle w:val="Normal-pool-Table"/>
              <w:jc w:val="right"/>
              <w:rPr>
                <w:rFonts w:ascii="Simplified Arabic" w:hAnsi="Simplified Arabic" w:cs="Simplified Arabic" w:hint="cs"/>
              </w:rPr>
            </w:pPr>
            <w:r w:rsidRPr="003C7382">
              <w:rPr>
                <w:rFonts w:ascii="Simplified Arabic" w:hAnsi="Simplified Arabic" w:cs="Simplified Arabic" w:hint="cs"/>
              </w:rPr>
              <w:t xml:space="preserve">12940 </w:t>
            </w:r>
          </w:p>
        </w:tc>
        <w:tc>
          <w:tcPr>
            <w:tcW w:w="1984" w:type="dxa"/>
            <w:noWrap/>
            <w:vAlign w:val="bottom"/>
            <w:hideMark/>
          </w:tcPr>
          <w:p w14:paraId="3F76B8C6" w14:textId="6A1EF698" w:rsidR="001F056A" w:rsidRPr="003C7382" w:rsidRDefault="003B6B46">
            <w:pPr>
              <w:pStyle w:val="Normal-pool-Table"/>
              <w:jc w:val="right"/>
              <w:rPr>
                <w:rFonts w:ascii="Simplified Arabic" w:hAnsi="Simplified Arabic" w:cs="Simplified Arabic" w:hint="cs"/>
              </w:rPr>
            </w:pPr>
            <w:r w:rsidRPr="003C7382">
              <w:rPr>
                <w:rFonts w:ascii="Simplified Arabic" w:hAnsi="Simplified Arabic" w:cs="Simplified Arabic" w:hint="cs"/>
              </w:rPr>
              <w:t xml:space="preserve">6 </w:t>
            </w:r>
          </w:p>
        </w:tc>
        <w:tc>
          <w:tcPr>
            <w:tcW w:w="1928" w:type="dxa"/>
            <w:noWrap/>
            <w:vAlign w:val="bottom"/>
            <w:hideMark/>
          </w:tcPr>
          <w:p w14:paraId="0B801F35" w14:textId="1CC16EB8" w:rsidR="001F056A" w:rsidRPr="003C7382" w:rsidRDefault="003B6B46">
            <w:pPr>
              <w:pStyle w:val="Normal-pool-Table"/>
              <w:jc w:val="right"/>
              <w:rPr>
                <w:rFonts w:ascii="Simplified Arabic" w:hAnsi="Simplified Arabic" w:cs="Simplified Arabic" w:hint="cs"/>
              </w:rPr>
            </w:pPr>
            <w:r w:rsidRPr="003C7382">
              <w:rPr>
                <w:rFonts w:ascii="Simplified Arabic" w:hAnsi="Simplified Arabic" w:cs="Simplified Arabic" w:hint="cs"/>
              </w:rPr>
              <w:t xml:space="preserve">23237 </w:t>
            </w:r>
          </w:p>
        </w:tc>
      </w:tr>
      <w:tr w:rsidR="001F056A" w:rsidRPr="003C7382" w14:paraId="38BD79AC" w14:textId="77777777">
        <w:trPr>
          <w:trHeight w:val="57"/>
          <w:jc w:val="right"/>
        </w:trPr>
        <w:tc>
          <w:tcPr>
            <w:tcW w:w="2835" w:type="dxa"/>
            <w:noWrap/>
            <w:vAlign w:val="bottom"/>
            <w:hideMark/>
          </w:tcPr>
          <w:p w14:paraId="42397A12" w14:textId="77777777" w:rsidR="001F056A" w:rsidRPr="003C7382" w:rsidRDefault="003B6B46">
            <w:pPr>
              <w:pStyle w:val="Normal-pool-Table"/>
              <w:rPr>
                <w:rFonts w:ascii="Simplified Arabic" w:hAnsi="Simplified Arabic" w:cs="Simplified Arabic" w:hint="cs"/>
              </w:rPr>
            </w:pPr>
            <w:r w:rsidRPr="003C7382">
              <w:rPr>
                <w:rFonts w:ascii="Simplified Arabic" w:hAnsi="Simplified Arabic" w:cs="Simplified Arabic" w:hint="cs"/>
              </w:rPr>
              <w:t>2024</w:t>
            </w:r>
          </w:p>
        </w:tc>
        <w:tc>
          <w:tcPr>
            <w:tcW w:w="1560" w:type="dxa"/>
            <w:noWrap/>
            <w:vAlign w:val="bottom"/>
            <w:hideMark/>
          </w:tcPr>
          <w:p w14:paraId="322687A3" w14:textId="1A95DD52" w:rsidR="001F056A" w:rsidRPr="003C7382" w:rsidRDefault="003B6B46">
            <w:pPr>
              <w:pStyle w:val="Normal-pool-Table"/>
              <w:jc w:val="right"/>
              <w:rPr>
                <w:rFonts w:ascii="Simplified Arabic" w:hAnsi="Simplified Arabic" w:cs="Simplified Arabic" w:hint="cs"/>
              </w:rPr>
            </w:pPr>
            <w:r w:rsidRPr="003C7382">
              <w:rPr>
                <w:rFonts w:ascii="Simplified Arabic" w:hAnsi="Simplified Arabic" w:cs="Simplified Arabic" w:hint="cs"/>
              </w:rPr>
              <w:t xml:space="preserve">4860 </w:t>
            </w:r>
          </w:p>
        </w:tc>
        <w:tc>
          <w:tcPr>
            <w:tcW w:w="1984" w:type="dxa"/>
            <w:noWrap/>
            <w:vAlign w:val="bottom"/>
            <w:hideMark/>
          </w:tcPr>
          <w:p w14:paraId="0B2E41B9" w14:textId="58D32E43" w:rsidR="001F056A" w:rsidRPr="003C7382" w:rsidRDefault="003B6B46">
            <w:pPr>
              <w:pStyle w:val="Normal-pool-Table"/>
              <w:jc w:val="right"/>
              <w:rPr>
                <w:rFonts w:ascii="Simplified Arabic" w:hAnsi="Simplified Arabic" w:cs="Simplified Arabic" w:hint="cs"/>
              </w:rPr>
            </w:pPr>
            <w:r w:rsidRPr="003C7382">
              <w:rPr>
                <w:rFonts w:ascii="Simplified Arabic" w:hAnsi="Simplified Arabic" w:cs="Simplified Arabic" w:hint="cs"/>
              </w:rPr>
              <w:t xml:space="preserve">6 </w:t>
            </w:r>
          </w:p>
        </w:tc>
        <w:tc>
          <w:tcPr>
            <w:tcW w:w="1928" w:type="dxa"/>
            <w:noWrap/>
            <w:vAlign w:val="bottom"/>
            <w:hideMark/>
          </w:tcPr>
          <w:p w14:paraId="664323B3" w14:textId="49075EC1" w:rsidR="001F056A" w:rsidRPr="003C7382" w:rsidRDefault="003B6B46">
            <w:pPr>
              <w:pStyle w:val="Normal-pool-Table"/>
              <w:jc w:val="right"/>
              <w:rPr>
                <w:rFonts w:ascii="Simplified Arabic" w:hAnsi="Simplified Arabic" w:cs="Simplified Arabic" w:hint="cs"/>
              </w:rPr>
            </w:pPr>
            <w:r w:rsidRPr="003C7382">
              <w:rPr>
                <w:rFonts w:ascii="Simplified Arabic" w:hAnsi="Simplified Arabic" w:cs="Simplified Arabic" w:hint="cs"/>
              </w:rPr>
              <w:t xml:space="preserve">18514 </w:t>
            </w:r>
          </w:p>
        </w:tc>
      </w:tr>
      <w:tr w:rsidR="001F056A" w:rsidRPr="003C7382" w14:paraId="431C713D" w14:textId="77777777">
        <w:trPr>
          <w:trHeight w:val="57"/>
          <w:jc w:val="right"/>
        </w:trPr>
        <w:tc>
          <w:tcPr>
            <w:tcW w:w="2835" w:type="dxa"/>
            <w:noWrap/>
            <w:vAlign w:val="bottom"/>
            <w:hideMark/>
          </w:tcPr>
          <w:p w14:paraId="57F187AF" w14:textId="77777777" w:rsidR="001F056A" w:rsidRPr="003C7382" w:rsidRDefault="003B6B46">
            <w:pPr>
              <w:pStyle w:val="Normal-pool-Table"/>
              <w:rPr>
                <w:rFonts w:ascii="Simplified Arabic" w:hAnsi="Simplified Arabic" w:cs="Simplified Arabic" w:hint="cs"/>
              </w:rPr>
            </w:pPr>
            <w:r w:rsidRPr="003C7382">
              <w:rPr>
                <w:rFonts w:ascii="Simplified Arabic" w:hAnsi="Simplified Arabic" w:cs="Simplified Arabic" w:hint="cs"/>
              </w:rPr>
              <w:t>2023</w:t>
            </w:r>
          </w:p>
        </w:tc>
        <w:tc>
          <w:tcPr>
            <w:tcW w:w="1560" w:type="dxa"/>
            <w:noWrap/>
            <w:vAlign w:val="bottom"/>
            <w:hideMark/>
          </w:tcPr>
          <w:p w14:paraId="5F9EC9F1" w14:textId="1023DDD8" w:rsidR="001F056A" w:rsidRPr="003C7382" w:rsidRDefault="003B6B46">
            <w:pPr>
              <w:pStyle w:val="Normal-pool-Table"/>
              <w:jc w:val="right"/>
              <w:rPr>
                <w:rFonts w:ascii="Simplified Arabic" w:hAnsi="Simplified Arabic" w:cs="Simplified Arabic" w:hint="cs"/>
              </w:rPr>
            </w:pPr>
            <w:r w:rsidRPr="003C7382">
              <w:rPr>
                <w:rFonts w:ascii="Simplified Arabic" w:hAnsi="Simplified Arabic" w:cs="Simplified Arabic" w:hint="cs"/>
              </w:rPr>
              <w:t xml:space="preserve">7121 </w:t>
            </w:r>
          </w:p>
        </w:tc>
        <w:tc>
          <w:tcPr>
            <w:tcW w:w="1984" w:type="dxa"/>
            <w:noWrap/>
            <w:vAlign w:val="bottom"/>
            <w:hideMark/>
          </w:tcPr>
          <w:p w14:paraId="69B5F951" w14:textId="1FA9EE01" w:rsidR="001F056A" w:rsidRPr="003C7382" w:rsidRDefault="003B6B46">
            <w:pPr>
              <w:pStyle w:val="Normal-pool-Table"/>
              <w:jc w:val="right"/>
              <w:rPr>
                <w:rFonts w:ascii="Simplified Arabic" w:hAnsi="Simplified Arabic" w:cs="Simplified Arabic" w:hint="cs"/>
              </w:rPr>
            </w:pPr>
            <w:r w:rsidRPr="003C7382">
              <w:rPr>
                <w:rFonts w:ascii="Simplified Arabic" w:hAnsi="Simplified Arabic" w:cs="Simplified Arabic" w:hint="cs"/>
              </w:rPr>
              <w:t xml:space="preserve">5 </w:t>
            </w:r>
          </w:p>
        </w:tc>
        <w:tc>
          <w:tcPr>
            <w:tcW w:w="1928" w:type="dxa"/>
            <w:noWrap/>
            <w:vAlign w:val="bottom"/>
            <w:hideMark/>
          </w:tcPr>
          <w:p w14:paraId="4A6295DF" w14:textId="4B6A9A09" w:rsidR="001F056A" w:rsidRPr="003C7382" w:rsidRDefault="003B6B46">
            <w:pPr>
              <w:pStyle w:val="Normal-pool-Table"/>
              <w:jc w:val="right"/>
              <w:rPr>
                <w:rFonts w:ascii="Simplified Arabic" w:hAnsi="Simplified Arabic" w:cs="Simplified Arabic" w:hint="cs"/>
              </w:rPr>
            </w:pPr>
            <w:r w:rsidRPr="003C7382">
              <w:rPr>
                <w:rFonts w:ascii="Simplified Arabic" w:hAnsi="Simplified Arabic" w:cs="Simplified Arabic" w:hint="cs"/>
              </w:rPr>
              <w:t xml:space="preserve">21639 </w:t>
            </w:r>
          </w:p>
        </w:tc>
      </w:tr>
      <w:tr w:rsidR="001F056A" w:rsidRPr="003C7382" w14:paraId="7547E47D" w14:textId="77777777">
        <w:trPr>
          <w:trHeight w:val="57"/>
          <w:jc w:val="right"/>
        </w:trPr>
        <w:tc>
          <w:tcPr>
            <w:tcW w:w="2835" w:type="dxa"/>
            <w:tcBorders>
              <w:bottom w:val="single" w:sz="4" w:space="0" w:color="auto"/>
            </w:tcBorders>
            <w:vAlign w:val="bottom"/>
            <w:hideMark/>
          </w:tcPr>
          <w:p w14:paraId="35311A36" w14:textId="684B1647" w:rsidR="001F056A" w:rsidRPr="003C7382" w:rsidRDefault="003B6B46">
            <w:pPr>
              <w:pStyle w:val="P68B1DB1-Normal-pool-Table2"/>
              <w:rPr>
                <w:rFonts w:ascii="Simplified Arabic" w:hAnsi="Simplified Arabic" w:cs="Simplified Arabic" w:hint="cs"/>
              </w:rPr>
            </w:pPr>
            <w:r w:rsidRPr="003C7382">
              <w:rPr>
                <w:rFonts w:ascii="Simplified Arabic" w:hAnsi="Simplified Arabic" w:cs="Simplified Arabic" w:hint="cs"/>
              </w:rPr>
              <w:t>المتوسط على مدى 4 سنوات "ب"</w:t>
            </w:r>
          </w:p>
        </w:tc>
        <w:tc>
          <w:tcPr>
            <w:tcW w:w="1560" w:type="dxa"/>
            <w:tcBorders>
              <w:bottom w:val="single" w:sz="4" w:space="0" w:color="auto"/>
            </w:tcBorders>
            <w:noWrap/>
            <w:vAlign w:val="bottom"/>
            <w:hideMark/>
          </w:tcPr>
          <w:p w14:paraId="754B27AD" w14:textId="4AE5EC50" w:rsidR="001F056A" w:rsidRPr="003C7382" w:rsidRDefault="003B6B46">
            <w:pPr>
              <w:pStyle w:val="Normal-pool-Table"/>
              <w:jc w:val="right"/>
              <w:rPr>
                <w:rFonts w:ascii="Simplified Arabic" w:hAnsi="Simplified Arabic" w:cs="Simplified Arabic" w:hint="cs"/>
              </w:rPr>
            </w:pPr>
            <w:r w:rsidRPr="003C7382">
              <w:rPr>
                <w:rFonts w:ascii="Simplified Arabic" w:hAnsi="Simplified Arabic" w:cs="Simplified Arabic" w:hint="cs"/>
              </w:rPr>
              <w:t xml:space="preserve">6605 </w:t>
            </w:r>
          </w:p>
        </w:tc>
        <w:tc>
          <w:tcPr>
            <w:tcW w:w="1984" w:type="dxa"/>
            <w:tcBorders>
              <w:bottom w:val="single" w:sz="4" w:space="0" w:color="auto"/>
            </w:tcBorders>
            <w:noWrap/>
            <w:vAlign w:val="bottom"/>
            <w:hideMark/>
          </w:tcPr>
          <w:p w14:paraId="5F3E0BC3" w14:textId="2E361BA7" w:rsidR="001F056A" w:rsidRPr="003C7382" w:rsidRDefault="003B6B46">
            <w:pPr>
              <w:pStyle w:val="Normal-pool-Table"/>
              <w:jc w:val="right"/>
              <w:rPr>
                <w:rFonts w:ascii="Simplified Arabic" w:hAnsi="Simplified Arabic" w:cs="Simplified Arabic" w:hint="cs"/>
              </w:rPr>
            </w:pPr>
            <w:r w:rsidRPr="003C7382">
              <w:rPr>
                <w:rFonts w:ascii="Simplified Arabic" w:hAnsi="Simplified Arabic" w:cs="Simplified Arabic" w:hint="cs"/>
              </w:rPr>
              <w:t xml:space="preserve">8 </w:t>
            </w:r>
          </w:p>
        </w:tc>
        <w:tc>
          <w:tcPr>
            <w:tcW w:w="1928" w:type="dxa"/>
            <w:tcBorders>
              <w:bottom w:val="single" w:sz="4" w:space="0" w:color="auto"/>
            </w:tcBorders>
            <w:noWrap/>
            <w:vAlign w:val="bottom"/>
            <w:hideMark/>
          </w:tcPr>
          <w:p w14:paraId="02F111E3" w14:textId="1A0E833A" w:rsidR="001F056A" w:rsidRPr="003C7382" w:rsidRDefault="003B6B46">
            <w:pPr>
              <w:pStyle w:val="Normal-pool-Table"/>
              <w:jc w:val="right"/>
              <w:rPr>
                <w:rFonts w:ascii="Simplified Arabic" w:hAnsi="Simplified Arabic" w:cs="Simplified Arabic" w:hint="cs"/>
              </w:rPr>
            </w:pPr>
            <w:r w:rsidRPr="003C7382">
              <w:rPr>
                <w:rFonts w:ascii="Simplified Arabic" w:hAnsi="Simplified Arabic" w:cs="Simplified Arabic" w:hint="cs"/>
              </w:rPr>
              <w:t xml:space="preserve">26797 </w:t>
            </w:r>
          </w:p>
        </w:tc>
      </w:tr>
      <w:tr w:rsidR="001F056A" w:rsidRPr="003C7382" w14:paraId="193F71B1" w14:textId="77777777">
        <w:trPr>
          <w:trHeight w:val="57"/>
          <w:jc w:val="right"/>
        </w:trPr>
        <w:tc>
          <w:tcPr>
            <w:tcW w:w="2835" w:type="dxa"/>
            <w:tcBorders>
              <w:top w:val="single" w:sz="4" w:space="0" w:color="auto"/>
              <w:bottom w:val="single" w:sz="12" w:space="0" w:color="auto"/>
            </w:tcBorders>
            <w:noWrap/>
            <w:vAlign w:val="bottom"/>
            <w:hideMark/>
          </w:tcPr>
          <w:p w14:paraId="62158400" w14:textId="5D552D13" w:rsidR="001F056A" w:rsidRPr="003C7382" w:rsidRDefault="003B6B46">
            <w:pPr>
              <w:pStyle w:val="P68B1DB1-Normal-pool-Table2"/>
              <w:rPr>
                <w:rFonts w:ascii="Simplified Arabic" w:hAnsi="Simplified Arabic" w:cs="Simplified Arabic" w:hint="cs"/>
              </w:rPr>
            </w:pPr>
            <w:r w:rsidRPr="003C7382">
              <w:rPr>
                <w:rFonts w:ascii="Simplified Arabic" w:hAnsi="Simplified Arabic" w:cs="Simplified Arabic" w:hint="cs"/>
              </w:rPr>
              <w:t>التكلفة الإجمالية لكل اجتماع، بما يشمل مكان الانعقاد والسفر</w:t>
            </w:r>
          </w:p>
        </w:tc>
        <w:tc>
          <w:tcPr>
            <w:tcW w:w="1560" w:type="dxa"/>
            <w:tcBorders>
              <w:top w:val="single" w:sz="4" w:space="0" w:color="auto"/>
              <w:bottom w:val="single" w:sz="12" w:space="0" w:color="auto"/>
            </w:tcBorders>
            <w:noWrap/>
            <w:vAlign w:val="bottom"/>
            <w:hideMark/>
          </w:tcPr>
          <w:p w14:paraId="39BF7342" w14:textId="6160EB90" w:rsidR="001F056A" w:rsidRPr="003C7382" w:rsidRDefault="001F056A">
            <w:pPr>
              <w:pStyle w:val="Normal-pool-Table"/>
              <w:jc w:val="right"/>
              <w:rPr>
                <w:rFonts w:ascii="Simplified Arabic" w:hAnsi="Simplified Arabic" w:cs="Simplified Arabic" w:hint="cs"/>
                <w:b/>
              </w:rPr>
            </w:pPr>
          </w:p>
        </w:tc>
        <w:tc>
          <w:tcPr>
            <w:tcW w:w="1984" w:type="dxa"/>
            <w:tcBorders>
              <w:top w:val="single" w:sz="4" w:space="0" w:color="auto"/>
              <w:bottom w:val="single" w:sz="12" w:space="0" w:color="auto"/>
            </w:tcBorders>
            <w:noWrap/>
            <w:vAlign w:val="bottom"/>
            <w:hideMark/>
          </w:tcPr>
          <w:p w14:paraId="00B588B7" w14:textId="7B0ED507" w:rsidR="001F056A" w:rsidRPr="003C7382" w:rsidRDefault="001F056A">
            <w:pPr>
              <w:pStyle w:val="Normal-pool-Table"/>
              <w:jc w:val="right"/>
              <w:rPr>
                <w:rFonts w:ascii="Simplified Arabic" w:hAnsi="Simplified Arabic" w:cs="Simplified Arabic" w:hint="cs"/>
                <w:b/>
              </w:rPr>
            </w:pPr>
          </w:p>
        </w:tc>
        <w:tc>
          <w:tcPr>
            <w:tcW w:w="1928" w:type="dxa"/>
            <w:tcBorders>
              <w:top w:val="single" w:sz="4" w:space="0" w:color="auto"/>
              <w:bottom w:val="single" w:sz="12" w:space="0" w:color="auto"/>
            </w:tcBorders>
            <w:noWrap/>
            <w:vAlign w:val="bottom"/>
            <w:hideMark/>
          </w:tcPr>
          <w:p w14:paraId="7AA4A449" w14:textId="34539924" w:rsidR="001F056A" w:rsidRPr="003C7382" w:rsidRDefault="003B6B46">
            <w:pPr>
              <w:pStyle w:val="P68B1DB1-Normal-pool-Table2"/>
              <w:jc w:val="right"/>
              <w:rPr>
                <w:rFonts w:ascii="Simplified Arabic" w:hAnsi="Simplified Arabic" w:cs="Simplified Arabic" w:hint="cs"/>
              </w:rPr>
            </w:pPr>
            <w:r w:rsidRPr="003C7382">
              <w:rPr>
                <w:rFonts w:ascii="Simplified Arabic" w:hAnsi="Simplified Arabic" w:cs="Simplified Arabic" w:hint="cs"/>
              </w:rPr>
              <w:t xml:space="preserve">33403 </w:t>
            </w:r>
          </w:p>
        </w:tc>
      </w:tr>
    </w:tbl>
    <w:p w14:paraId="52C31E2F" w14:textId="171FB399" w:rsidR="001F056A" w:rsidRPr="003C7382" w:rsidRDefault="003B6B46">
      <w:pPr>
        <w:pStyle w:val="P68B1DB1-Normalnumber5"/>
        <w:spacing w:before="240"/>
        <w:ind w:left="1247"/>
        <w:rPr>
          <w:rFonts w:ascii="Simplified Arabic" w:eastAsiaTheme="minorHAnsi" w:hAnsi="Simplified Arabic" w:cs="Simplified Arabic" w:hint="cs"/>
          <w:sz w:val="24"/>
          <w:szCs w:val="24"/>
        </w:rPr>
      </w:pPr>
      <w:r w:rsidRPr="003C7382">
        <w:rPr>
          <w:rFonts w:ascii="Simplified Arabic" w:hAnsi="Simplified Arabic" w:cs="Simplified Arabic" w:hint="cs"/>
          <w:sz w:val="24"/>
          <w:szCs w:val="24"/>
        </w:rPr>
        <w:t>دُمج الجدولان 3 و4 الواردان في الوثيقة UNEP/OzL.Pro.WG.1/48/4/Add.1، وهما الجدول 3 ("التكاليف المتكبدة لعقد اجتماعات أفرقة التقييم ولجان الخيارات التقنية خلال الفترة 2022–2025") والجدول 4 ("التكاليف المتكبدة لمشاركة الرؤساء المشاركين والخبراء الأساسيين من الدول الأطراف العاملة بموجب المادة 5 في اجتماعات الفريق العامل المفتوح العضوية ومديري أبحاث الأوزون واجتماعات الأطراف خلال الفترة 2022–2025")، في جدول واحد، وحُدِّثا ليشملَا بيانات عام 2026. ويُتاح الجدول المُحدَّث في شكل مذكرة معلومات أساسية مستقلة على ال</w:t>
      </w:r>
      <w:r w:rsidRPr="003C7382">
        <w:rPr>
          <w:rFonts w:ascii="Simplified Arabic" w:hAnsi="Simplified Arabic" w:cs="Simplified Arabic" w:hint="cs"/>
          <w:sz w:val="24"/>
          <w:szCs w:val="24"/>
        </w:rPr>
        <w:t xml:space="preserve">بوابة الإلكترونية للاجتماع الثامن والثلاثين للأطراف. </w:t>
      </w:r>
    </w:p>
    <w:p w14:paraId="6E90F523" w14:textId="3639A61C" w:rsidR="001F056A" w:rsidRPr="003C7382" w:rsidRDefault="003B6B46">
      <w:pPr>
        <w:pStyle w:val="CH2"/>
        <w:rPr>
          <w:rFonts w:ascii="Simplified Arabic" w:hAnsi="Simplified Arabic" w:cs="Simplified Arabic" w:hint="cs"/>
          <w:b w:val="0"/>
          <w:bCs/>
          <w:sz w:val="26"/>
          <w:szCs w:val="26"/>
        </w:rPr>
      </w:pPr>
      <w:r w:rsidRPr="003C7382">
        <w:rPr>
          <w:rFonts w:ascii="Simplified Arabic" w:hAnsi="Simplified Arabic" w:cs="Simplified Arabic" w:hint="cs"/>
          <w:b w:val="0"/>
          <w:bCs/>
          <w:sz w:val="26"/>
          <w:szCs w:val="26"/>
        </w:rPr>
        <w:tab/>
        <w:t>و -</w:t>
      </w:r>
      <w:r w:rsidRPr="003C7382">
        <w:rPr>
          <w:rFonts w:ascii="Simplified Arabic" w:hAnsi="Simplified Arabic" w:cs="Simplified Arabic" w:hint="cs"/>
          <w:b w:val="0"/>
          <w:bCs/>
          <w:sz w:val="26"/>
          <w:szCs w:val="26"/>
        </w:rPr>
        <w:tab/>
        <w:t>الخبرة التاريخية بشأن التغييرات في وتيرة عقد الاجتماعات</w:t>
      </w:r>
    </w:p>
    <w:p w14:paraId="4A1933DA" w14:textId="703CF179" w:rsidR="001F056A" w:rsidRPr="003C7382" w:rsidRDefault="003B6B46">
      <w:pPr>
        <w:pStyle w:val="Normalnumber"/>
        <w:tabs>
          <w:tab w:val="clear" w:pos="1247"/>
          <w:tab w:val="clear" w:pos="1814"/>
          <w:tab w:val="clear" w:pos="2381"/>
          <w:tab w:val="clear" w:pos="2948"/>
          <w:tab w:val="clear" w:pos="3515"/>
        </w:tabs>
        <w:ind w:left="1247"/>
        <w:rPr>
          <w:rFonts w:ascii="Simplified Arabic" w:hAnsi="Simplified Arabic" w:cs="Simplified Arabic" w:hint="cs"/>
          <w:sz w:val="24"/>
          <w:szCs w:val="24"/>
        </w:rPr>
      </w:pPr>
      <w:r w:rsidRPr="003C7382">
        <w:rPr>
          <w:rFonts w:ascii="Simplified Arabic" w:hAnsi="Simplified Arabic" w:cs="Simplified Arabic" w:hint="cs"/>
          <w:sz w:val="24"/>
          <w:szCs w:val="24"/>
        </w:rPr>
        <w:t xml:space="preserve">اعتمد مؤتمر الأطراف في اتفاقية فيينا، في اجتماعه الأول المعقود عام 1989، نظامًا داخليًا ينص على عقد الاجتماعات العادية مرة كل سنتين، ما لم تقرر الأطراف خلاف ذلك. وقرر المؤتمر، في اجتماعه </w:t>
      </w:r>
      <w:r w:rsidRPr="003C7382">
        <w:rPr>
          <w:rFonts w:ascii="Simplified Arabic" w:hAnsi="Simplified Arabic" w:cs="Simplified Arabic" w:hint="cs"/>
          <w:sz w:val="24"/>
          <w:szCs w:val="24"/>
        </w:rPr>
        <w:lastRenderedPageBreak/>
        <w:t>الثاني المعقود في عام 1991، أن تُعقد الاجتماعات مرة كل ثلاث سنوات، اعتبارًا من اجتماعه الثالث المعقود في عام 1993. وقد استمر العمل بهذا النظام القائم على عقد الاجتماعات مرة كل ثلاث سنوات منذ ذلك الحين. وجاء هذا التغيير انعكاسًا لطبيعة العمل المزمع الاضطلاع به بموجب الاتفاقية وتوقيته، وأرسى وتيرة انعقاد مناسبة مكّنت مؤتمر الأطراف من النظر، على فترات مناسبة، في المسائل المتعلقة بالأبحاث العلمية وعمليات الرصد المنهجية والتعاون وإدارة الاتفاقية، مع مواصلة الأنشطة ذات الصلة خلال الفترات الفاصلة بين الدورات.</w:t>
      </w:r>
    </w:p>
    <w:p w14:paraId="43E72104" w14:textId="36C078B4" w:rsidR="001F056A" w:rsidRPr="003C7382" w:rsidRDefault="003B6B46">
      <w:pPr>
        <w:pStyle w:val="Normalnumber"/>
        <w:tabs>
          <w:tab w:val="clear" w:pos="1247"/>
          <w:tab w:val="clear" w:pos="1814"/>
          <w:tab w:val="clear" w:pos="2381"/>
          <w:tab w:val="clear" w:pos="2948"/>
          <w:tab w:val="clear" w:pos="3515"/>
        </w:tabs>
        <w:ind w:left="1247"/>
        <w:rPr>
          <w:rFonts w:ascii="Simplified Arabic" w:hAnsi="Simplified Arabic" w:cs="Simplified Arabic" w:hint="cs"/>
          <w:sz w:val="24"/>
          <w:szCs w:val="24"/>
        </w:rPr>
      </w:pPr>
      <w:r w:rsidRPr="003C7382">
        <w:rPr>
          <w:rFonts w:ascii="Simplified Arabic" w:hAnsi="Simplified Arabic" w:cs="Simplified Arabic" w:hint="cs"/>
          <w:sz w:val="24"/>
          <w:szCs w:val="24"/>
        </w:rPr>
        <w:t>واختلفت أيضا وتيرة عقد اجتماعات الفريق العامل المفتوح العضوية على مدى تاريخ بروتوكول مونتريال. وخلال السنوات الأولى، كان الفريق العامل المفتوح العضوية يعقد اجتماعاته بوتيرة مرتفعة، في الوقت الذي كانت فيه الأطراف تعمل على وضع عناصر أساسية للنظام المنشأ بموجب البروتوكول. وعُقد الاجتماع الأول في آب/أغسطس 1989، وبحلول حزيران/يونيه 1990، كانت قد عُقدت أربعة اجتماعات، تضمّن كلٌّ منها عدة جلسات. وفي اجتماع الأطراف الثاني، المعقود في حزيران/يونيه 1990، أُذِن للأمانة بأن تعقد، عند الضرورة، ما يصل إلى ستة اجتماعات لل</w:t>
      </w:r>
      <w:r w:rsidRPr="003C7382">
        <w:rPr>
          <w:rFonts w:ascii="Simplified Arabic" w:hAnsi="Simplified Arabic" w:cs="Simplified Arabic" w:hint="cs"/>
          <w:sz w:val="24"/>
          <w:szCs w:val="24"/>
        </w:rPr>
        <w:t>فريق العامل المفتوح العضوية قبل اجتماع الأطراف الثالث. وفي ذلك الوقت، كان الفريق العامل المفتوح العضوية يتناول عددًا من المسائل المهمة، منها إنشاء الآلية المالية، وإدخال تعديلات وتغييرات على البروتوكول، ووضع خطط عمل بشأن المادتين 9 و10، والأحكام المتعلقة بالتجارة الواردة في البروتوكول. ولم يُعقد سوى اجتماع واحد بين اجتماعي الأطراف الثاني والثالث، في حين عُقدت ثلاثة اجتماعات بين اجتماعي الأطراف الثالث والرابع.</w:t>
      </w:r>
    </w:p>
    <w:p w14:paraId="14EA62BC" w14:textId="34B0AC38" w:rsidR="001F056A" w:rsidRPr="003C7382" w:rsidRDefault="003B6B46">
      <w:pPr>
        <w:pStyle w:val="Normalnumber"/>
        <w:tabs>
          <w:tab w:val="clear" w:pos="1247"/>
          <w:tab w:val="clear" w:pos="1814"/>
          <w:tab w:val="clear" w:pos="2381"/>
          <w:tab w:val="clear" w:pos="2948"/>
          <w:tab w:val="clear" w:pos="3515"/>
        </w:tabs>
        <w:ind w:left="1247"/>
        <w:rPr>
          <w:rFonts w:ascii="Simplified Arabic" w:hAnsi="Simplified Arabic" w:cs="Simplified Arabic" w:hint="cs"/>
          <w:sz w:val="24"/>
          <w:szCs w:val="24"/>
        </w:rPr>
      </w:pPr>
      <w:r w:rsidRPr="003C7382">
        <w:rPr>
          <w:rFonts w:ascii="Simplified Arabic" w:hAnsi="Simplified Arabic" w:cs="Simplified Arabic" w:hint="cs"/>
          <w:sz w:val="24"/>
          <w:szCs w:val="24"/>
        </w:rPr>
        <w:t xml:space="preserve">ومع ترسيخ تلك الترتيبات المؤسسية وتطور طبيعة العمل، لم تعد هناك حاجة إلى عقد اجتماعات للفريق العامل المفتوح العضوية بهذه الوتيرة المرتفعة. وبناءً على ذلك، تطوّر نمط انعقاد الاجتماعات نحو الترتيب الحالي، الذي يُعقد بموجبه اجتماع عادي واحد للفريق العامل المفتوح العضوية سنويًّا، قبل اجتماع الأطراف السنوي. وخلال المفاوضات بشأن تعديل كيغالي في عامي 2015 و2016، ارتفع عدد اجتماعات الفريق العامل المفتوح العضوية مجددًا بسبب عقد عدة دورات مُستأنَفة من اجتماعات الفريق العامل المفتوح العضوية. وارتفع أيضًا عدد اجتماعات </w:t>
      </w:r>
      <w:r w:rsidRPr="003C7382">
        <w:rPr>
          <w:rFonts w:ascii="Simplified Arabic" w:hAnsi="Simplified Arabic" w:cs="Simplified Arabic" w:hint="cs"/>
          <w:sz w:val="24"/>
          <w:szCs w:val="24"/>
        </w:rPr>
        <w:t>الفريق العامل المفتوح العضوية خلال جائحة كوفيد-19، حين كانت جميع الاجتماعات تُعقد عن بُعد. وشكّل كل اجتماع منها جلسة إحاطة، تضمنت جلسات أسئلة وأجوبة بشأن مختلف تقارير فريق التقييم التكنولوجي والاقتصادي، بما فيها التقارير المتعلقة بتجديد الموارد ومركب الكلوروفلوروكربون-11 (CFC-11) وكفاءة استخدام الطاقة.</w:t>
      </w:r>
    </w:p>
    <w:p w14:paraId="6552B84B" w14:textId="1FE36D54" w:rsidR="001F056A" w:rsidRPr="003C7382" w:rsidRDefault="003B6B46">
      <w:pPr>
        <w:pStyle w:val="Normalnumber"/>
        <w:tabs>
          <w:tab w:val="clear" w:pos="1247"/>
          <w:tab w:val="clear" w:pos="1814"/>
          <w:tab w:val="clear" w:pos="2381"/>
          <w:tab w:val="clear" w:pos="2948"/>
          <w:tab w:val="clear" w:pos="3515"/>
        </w:tabs>
        <w:ind w:left="1247"/>
        <w:rPr>
          <w:rFonts w:ascii="Simplified Arabic" w:hAnsi="Simplified Arabic" w:cs="Simplified Arabic" w:hint="cs"/>
          <w:sz w:val="24"/>
          <w:szCs w:val="24"/>
        </w:rPr>
      </w:pPr>
      <w:r w:rsidRPr="003C7382">
        <w:rPr>
          <w:rFonts w:ascii="Simplified Arabic" w:hAnsi="Simplified Arabic" w:cs="Simplified Arabic" w:hint="cs"/>
          <w:sz w:val="24"/>
          <w:szCs w:val="24"/>
        </w:rPr>
        <w:t xml:space="preserve">وتطورت أيضا وتيرة عقد اجتماعات اللجنة التنفيذية للصندوق المتعدد الأطراف بما يتناسب مع متطلبات عملها. وخلال السنوات الأولى من عمل الصندوق، كانت اللجنة التنفيذية تعقد اجتماعاتها بوتيرة مرتفعة، بما في ذلك أربعة اجتماعات في عام 1994، قبل أن يستقر نمط انعقاد اجتماعاتها على ثلاثة اجتماعات في السنة. ونُظِر لاحقًا في إمكانية خفض عدد الاجتماعات في عدة مناسبات. وفي الفترات التي ظل فيها حجم العمل مرتفعًا، بما فيها فترات وضع سياسات وخطط التخلص التدريجي من مركبات الهيدروكلوروفلوروكربون (HCFC) والنظر فيها، أُبقي على نمط </w:t>
      </w:r>
      <w:r w:rsidRPr="003C7382">
        <w:rPr>
          <w:rFonts w:ascii="Simplified Arabic" w:hAnsi="Simplified Arabic" w:cs="Simplified Arabic" w:hint="cs"/>
          <w:sz w:val="24"/>
          <w:szCs w:val="24"/>
        </w:rPr>
        <w:t>عقد ثلاثة اجتماعات سنويًا. وفي عام 2014، اعتمدت اللجنة التنفيذية، على سبيل التجربة، عقد اجتماعين سنويًّا، مع الإبقاء على إمكانية عقد اجتماع إضافي فيما بين الدورات إذا اقتضت مسائل عاجلة النظر فيها. وأصبح عقد اجتماعين سنويًّا هو النمط المعتاد بعد ذلك. ولا تزال اختصاصات اللجنة التنفيذية تتيح لها المرونة لعقد اجتماعين أو ثلاثة اجتماعات كل عام.</w:t>
      </w:r>
    </w:p>
    <w:p w14:paraId="7EDA7653" w14:textId="087F7E67" w:rsidR="001F056A" w:rsidRPr="003C7382" w:rsidRDefault="003B6B46">
      <w:pPr>
        <w:pStyle w:val="Normalnumber"/>
        <w:tabs>
          <w:tab w:val="clear" w:pos="1247"/>
          <w:tab w:val="clear" w:pos="1814"/>
          <w:tab w:val="clear" w:pos="2381"/>
          <w:tab w:val="clear" w:pos="2948"/>
          <w:tab w:val="clear" w:pos="3515"/>
        </w:tabs>
        <w:ind w:left="1247"/>
        <w:rPr>
          <w:rFonts w:ascii="Simplified Arabic" w:hAnsi="Simplified Arabic" w:cs="Simplified Arabic" w:hint="cs"/>
          <w:sz w:val="24"/>
          <w:szCs w:val="24"/>
        </w:rPr>
      </w:pPr>
      <w:r w:rsidRPr="003C7382">
        <w:rPr>
          <w:rFonts w:ascii="Simplified Arabic" w:hAnsi="Simplified Arabic" w:cs="Simplified Arabic" w:hint="cs"/>
          <w:sz w:val="24"/>
          <w:szCs w:val="24"/>
        </w:rPr>
        <w:lastRenderedPageBreak/>
        <w:t>وتُظهر الخبرة التاريخية أن وتيرة عقد الاجتماعات في إطار معاهدات الأوزون قد عُدِّلت بمرور الوقت استجابةً لطبيعة وحجمه والاحتياجات المؤسسية. ولم يؤدِ خفض وتيرة انعقاد الاجتماعات تلقائيًا إلى تراجع فعالية النظام. بدلًا من ذلك، خُفِّضَ تواتر الاجتماعات كلما سمح حجم العمل ومدى إلحاحه بذلك، مع مواصلة الأعمال الموضوعية والعلمية والتقنية والإدارية الأخرى خلال الفترات الفاصلة بين الدورات.</w:t>
      </w:r>
    </w:p>
    <w:p w14:paraId="1DFA388E" w14:textId="6D3D85C3" w:rsidR="001F056A" w:rsidRPr="003C7382" w:rsidRDefault="003B6B46">
      <w:pPr>
        <w:pStyle w:val="Normalnumber"/>
        <w:tabs>
          <w:tab w:val="clear" w:pos="1247"/>
          <w:tab w:val="clear" w:pos="1814"/>
          <w:tab w:val="clear" w:pos="2381"/>
          <w:tab w:val="clear" w:pos="2948"/>
          <w:tab w:val="clear" w:pos="3515"/>
        </w:tabs>
        <w:ind w:left="1247"/>
        <w:rPr>
          <w:rFonts w:ascii="Simplified Arabic" w:hAnsi="Simplified Arabic" w:cs="Simplified Arabic" w:hint="cs"/>
          <w:sz w:val="24"/>
          <w:szCs w:val="24"/>
        </w:rPr>
      </w:pPr>
      <w:r w:rsidRPr="003C7382">
        <w:rPr>
          <w:rFonts w:ascii="Simplified Arabic" w:hAnsi="Simplified Arabic" w:cs="Simplified Arabic" w:hint="cs"/>
          <w:sz w:val="24"/>
          <w:szCs w:val="24"/>
        </w:rPr>
        <w:t>وفي الوقت نفسه، تُظهر الخبرة التاريخية أيضًا أهمية الحفاظ على المرونة. وقد استدعت الفترات التي شهدت تطورات كبيرة في السياسات أو نشاطًا تفاوضيًا واسعًا تكثيف عقد الاجتماعات والمشاورات. ولذلك، ينبغي أن يراعي أي تعديل مستقبلي في وتيرة عقد الاجتماعات حجم العمل المتوقع، وأن يتيح مرونة كافية لزيادة تواتر الاجتماعات أو مدتها عند الاقتضاء.</w:t>
      </w:r>
    </w:p>
    <w:p w14:paraId="07D5B356" w14:textId="1B5A77DA" w:rsidR="001F056A" w:rsidRPr="003C7382" w:rsidRDefault="003B6B46">
      <w:pPr>
        <w:pStyle w:val="CH2"/>
        <w:rPr>
          <w:rFonts w:ascii="Simplified Arabic" w:hAnsi="Simplified Arabic" w:cs="Simplified Arabic" w:hint="cs"/>
          <w:b w:val="0"/>
          <w:bCs/>
          <w:sz w:val="26"/>
          <w:szCs w:val="26"/>
        </w:rPr>
      </w:pPr>
      <w:r w:rsidRPr="003C7382">
        <w:rPr>
          <w:rFonts w:ascii="Simplified Arabic" w:hAnsi="Simplified Arabic" w:cs="Simplified Arabic" w:hint="cs"/>
          <w:b w:val="0"/>
          <w:bCs/>
          <w:sz w:val="26"/>
          <w:szCs w:val="26"/>
        </w:rPr>
        <w:tab/>
        <w:t>ز -</w:t>
      </w:r>
      <w:r w:rsidRPr="003C7382">
        <w:rPr>
          <w:rFonts w:ascii="Simplified Arabic" w:hAnsi="Simplified Arabic" w:cs="Simplified Arabic" w:hint="cs"/>
          <w:b w:val="0"/>
          <w:bCs/>
          <w:sz w:val="26"/>
          <w:szCs w:val="26"/>
        </w:rPr>
        <w:tab/>
        <w:t>مقارنة موجزة لجداول الاجتماعات وتواترها في إطار الاتفاقيات البيئية متعددة الأطراف الأخرى</w:t>
      </w:r>
    </w:p>
    <w:p w14:paraId="0C6C1C21" w14:textId="5B6AB8A4" w:rsidR="001F056A" w:rsidRPr="003C7382" w:rsidRDefault="003B6B46">
      <w:pPr>
        <w:pStyle w:val="Normalnumber"/>
        <w:tabs>
          <w:tab w:val="clear" w:pos="1247"/>
          <w:tab w:val="clear" w:pos="1814"/>
          <w:tab w:val="clear" w:pos="2381"/>
          <w:tab w:val="clear" w:pos="2948"/>
          <w:tab w:val="clear" w:pos="3515"/>
        </w:tabs>
        <w:ind w:left="1247"/>
        <w:rPr>
          <w:rFonts w:ascii="Simplified Arabic" w:hAnsi="Simplified Arabic" w:cs="Simplified Arabic" w:hint="cs"/>
          <w:sz w:val="24"/>
          <w:szCs w:val="24"/>
        </w:rPr>
      </w:pPr>
      <w:r w:rsidRPr="003C7382">
        <w:rPr>
          <w:rFonts w:ascii="Simplified Arabic" w:hAnsi="Simplified Arabic" w:cs="Simplified Arabic" w:hint="cs"/>
          <w:sz w:val="24"/>
          <w:szCs w:val="24"/>
        </w:rPr>
        <w:t>لأغراض إعلامية، أعدَّت الأمانة مقارنة بين جداول اجتماعات الهيئات الإدارية والهيئات الفرعية وتواتر انعقادها بموجب الاتفاقيات البيئية متعددة الأطراف الأخرى:</w:t>
      </w:r>
    </w:p>
    <w:p w14:paraId="2CD88416" w14:textId="5E75D9BF" w:rsidR="001F056A" w:rsidRPr="003C7382" w:rsidRDefault="003B6B46">
      <w:pPr>
        <w:pStyle w:val="Normalnumber"/>
        <w:numPr>
          <w:ilvl w:val="1"/>
          <w:numId w:val="1"/>
        </w:numPr>
        <w:tabs>
          <w:tab w:val="clear" w:pos="1247"/>
          <w:tab w:val="clear" w:pos="1814"/>
          <w:tab w:val="clear" w:pos="2381"/>
          <w:tab w:val="clear" w:pos="2495"/>
          <w:tab w:val="clear" w:pos="2948"/>
          <w:tab w:val="clear" w:pos="3515"/>
          <w:tab w:val="num" w:pos="624"/>
        </w:tabs>
        <w:ind w:left="1247" w:firstLine="624"/>
        <w:rPr>
          <w:rFonts w:ascii="Simplified Arabic" w:hAnsi="Simplified Arabic" w:cs="Simplified Arabic" w:hint="cs"/>
          <w:sz w:val="24"/>
          <w:szCs w:val="24"/>
        </w:rPr>
      </w:pPr>
      <w:r w:rsidRPr="003C7382">
        <w:rPr>
          <w:rFonts w:ascii="Simplified Arabic" w:hAnsi="Simplified Arabic" w:cs="Simplified Arabic" w:hint="cs"/>
          <w:sz w:val="24"/>
          <w:szCs w:val="24"/>
        </w:rPr>
        <w:t>تعقد اتفاقيات بازل وروتردام واستكهولم مؤتمرات الأطراف كل سنتين عمومًا، لكنها تُبقي أيضًا على منظومة واسعة من الهيئات الفرعية وآليات العمل خلال الفترات الفاصلة بين الدورات. ومن النقاط ذات الصلة الخاصة بالمقارنة مع بروتوكول مونتريال وهي أن الفريق العامل المفتوح العضوية للأطراف في اتفاقية بازل يعقد اجتماعاته عادةً في السنوات التي لا ينعقد فيها مؤتمر الأطراف في الاتفاقية. وتعقد لجان الامتثال واللجان التقنية في الاتفاقيات الثلاث اجتماعات سنوية أو وفقًا لما يتطلبه حجم العمل، مع الجمع بين الاجتماعات الحضورية والاج</w:t>
      </w:r>
      <w:r w:rsidRPr="003C7382">
        <w:rPr>
          <w:rFonts w:ascii="Simplified Arabic" w:hAnsi="Simplified Arabic" w:cs="Simplified Arabic" w:hint="cs"/>
          <w:sz w:val="24"/>
          <w:szCs w:val="24"/>
        </w:rPr>
        <w:t xml:space="preserve">تماعات المعقودة عن بعد. وتضم الأمانة المشتركة نحو 65 موظفًا يعملون في خدمة الاتفاقيات الثلاث؛ </w:t>
      </w:r>
    </w:p>
    <w:p w14:paraId="0F95BB51" w14:textId="6512F622" w:rsidR="001F056A" w:rsidRPr="003C7382" w:rsidRDefault="003B6B46">
      <w:pPr>
        <w:pStyle w:val="Normalnumber"/>
        <w:numPr>
          <w:ilvl w:val="1"/>
          <w:numId w:val="1"/>
        </w:numPr>
        <w:tabs>
          <w:tab w:val="clear" w:pos="1247"/>
          <w:tab w:val="clear" w:pos="1814"/>
          <w:tab w:val="clear" w:pos="2381"/>
          <w:tab w:val="clear" w:pos="2495"/>
          <w:tab w:val="clear" w:pos="2948"/>
          <w:tab w:val="clear" w:pos="3515"/>
          <w:tab w:val="num" w:pos="624"/>
        </w:tabs>
        <w:ind w:left="1247" w:firstLine="624"/>
        <w:rPr>
          <w:rFonts w:ascii="Simplified Arabic" w:hAnsi="Simplified Arabic" w:cs="Simplified Arabic" w:hint="cs"/>
          <w:sz w:val="24"/>
          <w:szCs w:val="24"/>
        </w:rPr>
      </w:pPr>
      <w:r w:rsidRPr="003C7382">
        <w:rPr>
          <w:rFonts w:ascii="Simplified Arabic" w:hAnsi="Simplified Arabic" w:cs="Simplified Arabic" w:hint="cs"/>
          <w:sz w:val="24"/>
          <w:szCs w:val="24"/>
        </w:rPr>
        <w:t>تُجسّد اتفاقية ميناماتا بشأن الزئبق مثالًا على تطور وتيرة عقد الاجتماعات مع تطور مسار المعاهدة. وقد عُقدت الاجتماعات الخمسة الأولى لمؤتمر الأطراف سنويًا في الأساس، ثم انتقل المؤتمر إلى عقد اجتماعاته العادية مرة كل سنتين. وتُستكمل اجتماعات المؤتمر باجتماعات تحضيرية إقليمية، وعدة اجتماعات للمكتب، واجتماعات سنوية للجنة التنفيذ والامتثال، فضلًا عن الأعمال العلمية وأعمال الخبراء. وتتألف أمانة الاتفاقية من 13 موظفًا؛</w:t>
      </w:r>
    </w:p>
    <w:p w14:paraId="5B3FE6E2" w14:textId="4B86E878" w:rsidR="001F056A" w:rsidRPr="003C7382" w:rsidRDefault="003B6B46">
      <w:pPr>
        <w:pStyle w:val="Normalnumber"/>
        <w:numPr>
          <w:ilvl w:val="1"/>
          <w:numId w:val="1"/>
        </w:numPr>
        <w:tabs>
          <w:tab w:val="clear" w:pos="1247"/>
          <w:tab w:val="clear" w:pos="1814"/>
          <w:tab w:val="clear" w:pos="2381"/>
          <w:tab w:val="clear" w:pos="2495"/>
          <w:tab w:val="clear" w:pos="2948"/>
          <w:tab w:val="clear" w:pos="3515"/>
          <w:tab w:val="num" w:pos="624"/>
        </w:tabs>
        <w:ind w:left="1247" w:firstLine="624"/>
        <w:rPr>
          <w:rFonts w:ascii="Simplified Arabic" w:hAnsi="Simplified Arabic" w:cs="Simplified Arabic" w:hint="cs"/>
          <w:sz w:val="24"/>
          <w:szCs w:val="24"/>
        </w:rPr>
      </w:pPr>
      <w:r w:rsidRPr="003C7382">
        <w:rPr>
          <w:rFonts w:ascii="Simplified Arabic" w:hAnsi="Simplified Arabic" w:cs="Simplified Arabic" w:hint="cs"/>
          <w:sz w:val="24"/>
          <w:szCs w:val="24"/>
        </w:rPr>
        <w:t>تتسم اجتماعات الهيئات الإدارية في كلٍّ من اتفاقية الاتجار الدولي بأنواع الحيوانات والنباتات البرية المهددة بالانقراض ومعاهدة الأنواع المهاجرة بانخفاض تواتر انعقادها بدرجة كبيرة. تعقد اجتماعات مؤتمر الأطراف في اتفاقية الاتجار الدولي بأنواع الحيوانات والنباتات البرية المهددة بالانقراض عمومًا مرة كل ثلاث سنوات منذ عام 2004، غير أن لجنتها الدائمة تضطلع بمهام مهمة خلال الفترات الفاصلة بين الدورات، كما تعقد كلّ من لجنة الحيوانات ولجنة النباتات اجتماعين خلال الفترة الفاصلة بين دورتين لمؤتمر الأطراف. وتضم أمانة الا</w:t>
      </w:r>
      <w:r w:rsidRPr="003C7382">
        <w:rPr>
          <w:rFonts w:ascii="Simplified Arabic" w:hAnsi="Simplified Arabic" w:cs="Simplified Arabic" w:hint="cs"/>
          <w:sz w:val="24"/>
          <w:szCs w:val="24"/>
        </w:rPr>
        <w:t xml:space="preserve">تفاقية حوالي 39 موظفًا. وتعتمد اتفاقية الأنواع المهاجرة أيضًا نظامًا قائمًا على عقد الاجتماعات مرة كل ثلاث سنوات، تدعمه اجتماعات سنوية للجنة الدائمة التابعة لها تُعقد خلال الفترات الفاصلة بين الدورات، واجتماعات دورية لمجلسها العلمي؛ وتضم أمانتها نحو 35 موظفًا؛ </w:t>
      </w:r>
    </w:p>
    <w:p w14:paraId="19D90762" w14:textId="11ADEF52" w:rsidR="001F056A" w:rsidRPr="003C7382" w:rsidRDefault="003B6B46">
      <w:pPr>
        <w:pStyle w:val="Normalnumber"/>
        <w:numPr>
          <w:ilvl w:val="1"/>
          <w:numId w:val="1"/>
        </w:numPr>
        <w:tabs>
          <w:tab w:val="clear" w:pos="1247"/>
          <w:tab w:val="clear" w:pos="1814"/>
          <w:tab w:val="clear" w:pos="2381"/>
          <w:tab w:val="clear" w:pos="2495"/>
          <w:tab w:val="clear" w:pos="2948"/>
          <w:tab w:val="clear" w:pos="3515"/>
          <w:tab w:val="num" w:pos="624"/>
        </w:tabs>
        <w:ind w:left="1247" w:firstLine="624"/>
        <w:rPr>
          <w:rFonts w:ascii="Simplified Arabic" w:hAnsi="Simplified Arabic" w:cs="Simplified Arabic" w:hint="cs"/>
          <w:sz w:val="24"/>
          <w:szCs w:val="24"/>
        </w:rPr>
      </w:pPr>
      <w:r w:rsidRPr="003C7382">
        <w:rPr>
          <w:rFonts w:ascii="Simplified Arabic" w:hAnsi="Simplified Arabic" w:cs="Simplified Arabic" w:hint="cs"/>
          <w:sz w:val="24"/>
          <w:szCs w:val="24"/>
        </w:rPr>
        <w:t xml:space="preserve">انتقلت اتفاقية التنوع البيولوجي في عام 2000 من عقد اجتماعات سنوية لمؤتمر الأطراف إلى عقدها مرة كل سنتين. كما تجتمع هيئتاها الإداريتان المعنيتان ببروتوكول قرطاجنة وبروتوكول ناغويا كل سنتين </w:t>
      </w:r>
      <w:r w:rsidRPr="003C7382">
        <w:rPr>
          <w:rFonts w:ascii="Simplified Arabic" w:hAnsi="Simplified Arabic" w:cs="Simplified Arabic" w:hint="cs"/>
          <w:sz w:val="24"/>
          <w:szCs w:val="24"/>
        </w:rPr>
        <w:lastRenderedPageBreak/>
        <w:t xml:space="preserve">بالتزامن مع اجتماعات مؤتمر الأطراف. ومع ذلك، يستمر قدر كبير من العمل في الفترات الفاصلة بين اجتماعات مؤتمر الأطراف، إذ تعقد هيئتها الفرعية للمشورة العلمية والتقنية والتكنولوجية اجتماعاتها سنويًا بشكل عام منذ عام 2010، وتواصل هيئتها الفرعية المعنية بالتنفيذ عملها في الفترة الفاصلة بين الدورات، كما يعقد مكتبها اجتماعاته عن يعد وأثناء اجتماعات الهيئات الفرعية. وتضم أمانة اتفاقية التنوع البيولوجي نحو 110 موظفين؛ </w:t>
      </w:r>
    </w:p>
    <w:p w14:paraId="3D894411" w14:textId="4B85BE07" w:rsidR="001F056A" w:rsidRPr="003C7382" w:rsidRDefault="003B6B46">
      <w:pPr>
        <w:pStyle w:val="Normalnumber"/>
        <w:numPr>
          <w:ilvl w:val="1"/>
          <w:numId w:val="1"/>
        </w:numPr>
        <w:tabs>
          <w:tab w:val="clear" w:pos="1247"/>
          <w:tab w:val="clear" w:pos="1814"/>
          <w:tab w:val="clear" w:pos="2381"/>
          <w:tab w:val="clear" w:pos="2495"/>
          <w:tab w:val="clear" w:pos="2948"/>
          <w:tab w:val="clear" w:pos="3515"/>
          <w:tab w:val="num" w:pos="624"/>
        </w:tabs>
        <w:ind w:left="1247" w:firstLine="624"/>
        <w:rPr>
          <w:rFonts w:ascii="Simplified Arabic" w:hAnsi="Simplified Arabic" w:cs="Simplified Arabic" w:hint="cs"/>
          <w:sz w:val="24"/>
          <w:szCs w:val="24"/>
        </w:rPr>
      </w:pPr>
      <w:r w:rsidRPr="003C7382">
        <w:rPr>
          <w:rFonts w:ascii="Simplified Arabic" w:hAnsi="Simplified Arabic" w:cs="Simplified Arabic" w:hint="cs"/>
          <w:sz w:val="24"/>
          <w:szCs w:val="24"/>
        </w:rPr>
        <w:t>تُعقد اتفاقية الأمم المتحدة لمكافحة التصحر في البلدان التي تعاني من الجفاف الشديد و/أو التصحر، ولا سيما في أفريقيا، دورات مؤتمر الأطراف مرة كل سنتين منذ عام 2001، كما تجتمع هيئاتها الفرعية الرئيسية مرة كل سنتين. ومن المهم الإشارة إلى أن مكاتبها تواصل عملها بين الدورات، ويمكنها عقد اجتماعات عن بعد أو حضوريًا، في حين تضطلع الأفرقة العاملة الحكومية الدولية بأعمال تحليلية موضوعية خلال الفترة الفاصلة بين الدورات. وتضم الأمانة حوالي 31 موظفًا؛</w:t>
      </w:r>
    </w:p>
    <w:p w14:paraId="2D95A427" w14:textId="6F3D3126" w:rsidR="001F056A" w:rsidRPr="003C7382" w:rsidRDefault="003B6B46">
      <w:pPr>
        <w:pStyle w:val="Normalnumber"/>
        <w:numPr>
          <w:ilvl w:val="1"/>
          <w:numId w:val="1"/>
        </w:numPr>
        <w:tabs>
          <w:tab w:val="clear" w:pos="1247"/>
          <w:tab w:val="clear" w:pos="1814"/>
          <w:tab w:val="clear" w:pos="2381"/>
          <w:tab w:val="clear" w:pos="2495"/>
          <w:tab w:val="clear" w:pos="2948"/>
          <w:tab w:val="clear" w:pos="3515"/>
          <w:tab w:val="num" w:pos="624"/>
        </w:tabs>
        <w:ind w:left="1247" w:firstLine="624"/>
        <w:rPr>
          <w:rFonts w:ascii="Simplified Arabic" w:hAnsi="Simplified Arabic" w:cs="Simplified Arabic" w:hint="cs"/>
          <w:sz w:val="24"/>
          <w:szCs w:val="24"/>
        </w:rPr>
      </w:pPr>
      <w:r w:rsidRPr="003C7382">
        <w:rPr>
          <w:rFonts w:ascii="Simplified Arabic" w:hAnsi="Simplified Arabic" w:cs="Simplified Arabic" w:hint="cs"/>
          <w:sz w:val="24"/>
          <w:szCs w:val="24"/>
        </w:rPr>
        <w:t xml:space="preserve">يُعدّ نظام اتفاقية الأمم المتحدة الإطارية بشأن تغير المناخ الأكثر كثافة من حيث عدد الاجتماعات، مقارنةً بالأنظمة التي شملها الاستعراض. وتعقد هيئاتها الإدارية اجتماعات سنوية، وتعقد هيئتاها الفرعيتان الرئيسيتان اجتماعين سنويًا، وتضم عددًا كبيرًا من الهيئات المنشأة. وتدعم هذا النظام أكبر أمانة بفارق كبير مقارنةً بأمانات الاتفاقيات الأخرى المشمولة بالمقارنة، إذ تضم نحو 450 موظفًا. </w:t>
      </w:r>
    </w:p>
    <w:p w14:paraId="610E2384" w14:textId="341778FE" w:rsidR="001F056A" w:rsidRPr="003C7382" w:rsidRDefault="003B6B46">
      <w:pPr>
        <w:pStyle w:val="Normalnumber"/>
        <w:tabs>
          <w:tab w:val="clear" w:pos="1247"/>
          <w:tab w:val="clear" w:pos="1814"/>
          <w:tab w:val="clear" w:pos="2381"/>
          <w:tab w:val="clear" w:pos="2948"/>
          <w:tab w:val="clear" w:pos="3515"/>
        </w:tabs>
        <w:ind w:left="1247"/>
        <w:rPr>
          <w:rFonts w:ascii="Simplified Arabic" w:hAnsi="Simplified Arabic" w:cs="Simplified Arabic" w:hint="cs"/>
          <w:sz w:val="24"/>
          <w:szCs w:val="24"/>
        </w:rPr>
      </w:pPr>
      <w:r w:rsidRPr="003C7382">
        <w:rPr>
          <w:rFonts w:ascii="Simplified Arabic" w:hAnsi="Simplified Arabic" w:cs="Simplified Arabic" w:hint="cs"/>
          <w:sz w:val="24"/>
          <w:szCs w:val="24"/>
        </w:rPr>
        <w:t>وتشير المقارنة مع بروتوكول مونتريال واتفاقية فيينا إلى أن الترتيبات الحالية لمعاهدات الأوزون تتسم بكثافة نسبية على مستوى الهيئات الإدارية. ويعقد بروتوكول مونتريال اجتماعًا سنويًا للأطراف، فضلًا عن اجتماع سنوي للفريق العامل المفتوح العضوية، في حين تعقد معظم الاتفاقات البيئية متعددة الأطراف الراسخة التي شملها الاستعراض – وهي اتفاقية التنوع البيولوجي، واتفاقية مكافحة التصحر، واتفاقيات بازل وروتردام وستوكهولم، واتفاقية ميناماتا بشأن الزئبق – مؤتمرات الأطراف مرة كل سنتين، بينما تعتمد اتفاقية الاتجار الدولي بأنوا</w:t>
      </w:r>
      <w:r w:rsidRPr="003C7382">
        <w:rPr>
          <w:rFonts w:ascii="Simplified Arabic" w:hAnsi="Simplified Arabic" w:cs="Simplified Arabic" w:hint="cs"/>
          <w:sz w:val="24"/>
          <w:szCs w:val="24"/>
        </w:rPr>
        <w:t>ع الحيوانات والنباتات البرية المهددة بالانقراض ومعاهدة الأنواع المهاجرة، على غرار اتفاقية فيينا، نظامًا قائمًا على عقد مؤتمرات الأطراف مرة كل ثلاث سنوات. ويمكن ملاحظة وجود علاقة عامة بين التعقيد المؤسسي وحجم العمل وحجم الأمانة.</w:t>
      </w:r>
    </w:p>
    <w:p w14:paraId="7C5671C5" w14:textId="04A2D762" w:rsidR="001F056A" w:rsidRPr="003C7382" w:rsidRDefault="003B6B46">
      <w:pPr>
        <w:pStyle w:val="Normalnumber"/>
        <w:tabs>
          <w:tab w:val="clear" w:pos="1247"/>
          <w:tab w:val="clear" w:pos="1814"/>
          <w:tab w:val="clear" w:pos="2381"/>
          <w:tab w:val="clear" w:pos="2948"/>
          <w:tab w:val="clear" w:pos="3515"/>
        </w:tabs>
        <w:ind w:left="1247"/>
        <w:rPr>
          <w:rFonts w:ascii="Simplified Arabic" w:hAnsi="Simplified Arabic" w:cs="Simplified Arabic" w:hint="cs"/>
          <w:sz w:val="24"/>
          <w:szCs w:val="24"/>
        </w:rPr>
      </w:pPr>
      <w:r w:rsidRPr="003C7382">
        <w:rPr>
          <w:rFonts w:ascii="Simplified Arabic" w:hAnsi="Simplified Arabic" w:cs="Simplified Arabic" w:hint="cs"/>
          <w:sz w:val="24"/>
          <w:szCs w:val="24"/>
        </w:rPr>
        <w:t xml:space="preserve">ولا يعني انخفاض تواتر انعقاد مؤتمرات الأطراف تراجع استمرارية الحوكمة؛ إذ تواصل الاتفاقات البيئية متعددة الأطراف ذات الصلة أنشطتها بين دورات هيئاتها الإدارية، بما في ذلك من خلال أنشطة المكاتب واللجان الدائمة واللجان العلمية والتقنية وهيئات الامتثال وأفرقة الخبراء والمشاورات الافتراضية وغيرها من العمليات التي تُنفَّذ خلال الفترات الفاصلة بين الدورات. </w:t>
      </w:r>
    </w:p>
    <w:p w14:paraId="7BB5499C" w14:textId="5E44503A" w:rsidR="001F056A" w:rsidRPr="003C7382" w:rsidRDefault="003B6B46">
      <w:pPr>
        <w:pStyle w:val="Normalnumber"/>
        <w:tabs>
          <w:tab w:val="clear" w:pos="1247"/>
          <w:tab w:val="clear" w:pos="1814"/>
          <w:tab w:val="clear" w:pos="2381"/>
          <w:tab w:val="clear" w:pos="2948"/>
          <w:tab w:val="clear" w:pos="3515"/>
        </w:tabs>
        <w:ind w:left="1247"/>
        <w:rPr>
          <w:rFonts w:ascii="Simplified Arabic" w:hAnsi="Simplified Arabic" w:cs="Simplified Arabic" w:hint="cs"/>
          <w:sz w:val="24"/>
          <w:szCs w:val="24"/>
        </w:rPr>
      </w:pPr>
      <w:r w:rsidRPr="003C7382">
        <w:rPr>
          <w:rFonts w:ascii="Simplified Arabic" w:hAnsi="Simplified Arabic" w:cs="Simplified Arabic" w:hint="cs"/>
          <w:sz w:val="24"/>
          <w:szCs w:val="24"/>
        </w:rPr>
        <w:t>وتشير الخبرة المكتسبة في إطار الاتفاقيات البيئية متعددة الأطراف الأخرى إلى أن انخفاض تواتر اجتماعات الهيئات الإدارية يمكن أن يتوافق مع فعالية العمل في إطار المعاهدة، متى دعمته آليات فرعية وآليات ملائمة للعمل خلال الفترات الفاصلة بين الدورات. ويمكن تقييم مكاسب الكفاءة الناجمة عن تعديل تواتر اجتماعات بروتوكول مونتريال جنبًا إلى جنب مع عبء العمل خلال الفترات الفاصلة بين الدورات ومتطلبات صنع القرار وقدرة الأمانة. يعمل البروتوكول في ظل كثافة عالية في حجم العمل وأمانة صغيرة الحجم تضم تسعة موظفين من الفئة الفنية و</w:t>
      </w:r>
      <w:r w:rsidRPr="003C7382">
        <w:rPr>
          <w:rFonts w:ascii="Simplified Arabic" w:hAnsi="Simplified Arabic" w:cs="Simplified Arabic" w:hint="cs"/>
          <w:sz w:val="24"/>
          <w:szCs w:val="24"/>
        </w:rPr>
        <w:t>الفئات العليا، وثمانية موظفين من فئة الخدمات العامة والفئات المتصلة بها.</w:t>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7"/>
        <w:gridCol w:w="1897"/>
        <w:gridCol w:w="1897"/>
        <w:gridCol w:w="1898"/>
        <w:gridCol w:w="1898"/>
      </w:tblGrid>
      <w:tr w:rsidR="001F056A" w14:paraId="4D555506" w14:textId="77777777">
        <w:trPr>
          <w:trHeight w:val="438"/>
        </w:trPr>
        <w:tc>
          <w:tcPr>
            <w:tcW w:w="1897" w:type="dxa"/>
          </w:tcPr>
          <w:p w14:paraId="6F1C93A6" w14:textId="77777777" w:rsidR="001F056A" w:rsidRDefault="001F056A">
            <w:pPr>
              <w:pStyle w:val="Normal-pool"/>
              <w:spacing w:before="520"/>
            </w:pPr>
          </w:p>
        </w:tc>
        <w:tc>
          <w:tcPr>
            <w:tcW w:w="1897" w:type="dxa"/>
          </w:tcPr>
          <w:p w14:paraId="365931C7" w14:textId="77777777" w:rsidR="001F056A" w:rsidRDefault="001F056A">
            <w:pPr>
              <w:pStyle w:val="Normal-pool"/>
              <w:spacing w:before="520"/>
            </w:pPr>
          </w:p>
        </w:tc>
        <w:tc>
          <w:tcPr>
            <w:tcW w:w="1897" w:type="dxa"/>
            <w:tcBorders>
              <w:bottom w:val="single" w:sz="4" w:space="0" w:color="auto"/>
            </w:tcBorders>
          </w:tcPr>
          <w:p w14:paraId="16D77D7B" w14:textId="77777777" w:rsidR="001F056A" w:rsidRDefault="001F056A">
            <w:pPr>
              <w:pStyle w:val="Normal-pool"/>
              <w:spacing w:before="520"/>
            </w:pPr>
          </w:p>
        </w:tc>
        <w:tc>
          <w:tcPr>
            <w:tcW w:w="1898" w:type="dxa"/>
          </w:tcPr>
          <w:p w14:paraId="63F59785" w14:textId="77777777" w:rsidR="001F056A" w:rsidRDefault="001F056A">
            <w:pPr>
              <w:pStyle w:val="Normal-pool"/>
              <w:spacing w:before="520"/>
            </w:pPr>
          </w:p>
        </w:tc>
        <w:tc>
          <w:tcPr>
            <w:tcW w:w="1898" w:type="dxa"/>
          </w:tcPr>
          <w:p w14:paraId="5FC2C03A" w14:textId="77777777" w:rsidR="001F056A" w:rsidRDefault="001F056A">
            <w:pPr>
              <w:pStyle w:val="Normal-pool"/>
              <w:spacing w:before="520"/>
            </w:pPr>
          </w:p>
        </w:tc>
      </w:tr>
    </w:tbl>
    <w:p w14:paraId="404F6B52" w14:textId="77777777" w:rsidR="001F056A" w:rsidRDefault="001F056A">
      <w:pPr>
        <w:pStyle w:val="Normal-pool"/>
      </w:pPr>
    </w:p>
    <w:sectPr w:rsidR="001F056A">
      <w:pgSz w:w="11907" w:h="16839" w:code="9"/>
      <w:pgMar w:top="907" w:right="992" w:bottom="1418" w:left="1418" w:header="539" w:footer="975" w:gutter="0"/>
      <w:cols w:space="53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3C9AC7" w14:textId="77777777" w:rsidR="003B6B46" w:rsidRDefault="003B6B46">
      <w:r>
        <w:separator/>
      </w:r>
    </w:p>
  </w:endnote>
  <w:endnote w:type="continuationSeparator" w:id="0">
    <w:p w14:paraId="51E0CF64" w14:textId="77777777" w:rsidR="003B6B46" w:rsidRDefault="003B6B46">
      <w:r>
        <w:continuationSeparator/>
      </w:r>
    </w:p>
  </w:endnote>
  <w:endnote w:type="continuationNotice" w:id="1">
    <w:p w14:paraId="4CE15EE8" w14:textId="77777777" w:rsidR="003B6B46" w:rsidRDefault="003B6B4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Simplified Arabic">
    <w:altName w:val="Simplified Arabic"/>
    <w:charset w:val="B2"/>
    <w:family w:val="roman"/>
    <w:pitch w:val="variable"/>
    <w:sig w:usb0="00002003" w:usb1="80000000" w:usb2="00000008" w:usb3="00000000" w:csb0="0000004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CE5FA3" w14:textId="33839735" w:rsidR="001F056A" w:rsidRDefault="003B6B46">
    <w:pPr>
      <w:pStyle w:val="Footer-pool"/>
    </w:pPr>
    <w:r>
      <w:rPr>
        <w:rStyle w:val="PageNumber"/>
        <w:b/>
      </w:rPr>
      <w:fldChar w:fldCharType="begin"/>
    </w:r>
    <w:r>
      <w:rPr>
        <w:rStyle w:val="PageNumber"/>
        <w:b/>
      </w:rPr>
      <w:instrText xml:space="preserve"> PAGE </w:instrText>
    </w:r>
    <w:r>
      <w:rPr>
        <w:rStyle w:val="PageNumber"/>
        <w:b/>
      </w:rPr>
      <w:fldChar w:fldCharType="separate"/>
    </w:r>
    <w:r>
      <w:rPr>
        <w:rStyle w:val="PageNumber"/>
        <w:b/>
      </w:rPr>
      <w:t>1</w:t>
    </w:r>
    <w:r>
      <w:rPr>
        <w:rStyle w:val="PageNumber"/>
        <w:b/>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F89425" w14:textId="678D0892" w:rsidR="001F056A" w:rsidRDefault="003B6B46">
    <w:pPr>
      <w:pStyle w:val="Footer-pool"/>
      <w:jc w:val="right"/>
    </w:pPr>
    <w:r>
      <w:rPr>
        <w:rStyle w:val="PageNumber"/>
        <w:b/>
      </w:rPr>
      <w:fldChar w:fldCharType="begin"/>
    </w:r>
    <w:r>
      <w:rPr>
        <w:rStyle w:val="PageNumber"/>
        <w:b/>
      </w:rPr>
      <w:instrText xml:space="preserve"> PAGE \* MERGEFORMAT </w:instrText>
    </w:r>
    <w:r>
      <w:rPr>
        <w:rStyle w:val="PageNumber"/>
        <w:b/>
      </w:rPr>
      <w:fldChar w:fldCharType="separate"/>
    </w:r>
    <w:r>
      <w:rPr>
        <w:rStyle w:val="PageNumber"/>
        <w:b/>
      </w:rPr>
      <w:t>1</w:t>
    </w:r>
    <w:r>
      <w:rPr>
        <w:rStyle w:val="PageNumber"/>
        <w: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FC3BEC" w14:textId="77777777" w:rsidR="003B6B46" w:rsidRDefault="003B6B46">
      <w:pPr>
        <w:pStyle w:val="Footnote-Separator"/>
      </w:pPr>
      <w:r>
        <w:separator/>
      </w:r>
    </w:p>
  </w:footnote>
  <w:footnote w:type="continuationSeparator" w:id="0">
    <w:p w14:paraId="7BFFF75E" w14:textId="77777777" w:rsidR="003B6B46" w:rsidRDefault="003B6B46">
      <w:pPr>
        <w:pStyle w:val="Footnote-Separator"/>
      </w:pPr>
      <w:r>
        <w:continuationSeparator/>
      </w:r>
    </w:p>
  </w:footnote>
  <w:footnote w:type="continuationNotice" w:id="1">
    <w:p w14:paraId="14CBDB00" w14:textId="77777777" w:rsidR="003B6B46" w:rsidRDefault="003B6B46">
      <w:pPr>
        <w:pStyle w:val="ASpacer"/>
      </w:pPr>
    </w:p>
  </w:footnote>
  <w:footnote w:id="2">
    <w:p w14:paraId="7264672D" w14:textId="77777777" w:rsidR="00AF6E29" w:rsidRDefault="00AF6E29" w:rsidP="00AF6E29">
      <w:pPr>
        <w:pStyle w:val="Footnote-Text"/>
      </w:pPr>
      <w:r>
        <w:sym w:font="Symbol" w:char="F02A"/>
      </w:r>
      <w:r>
        <w:t xml:space="preserve"> UNEP/OzL.Pro.38/1.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89F3BE" w14:textId="48EFEB92" w:rsidR="001F056A" w:rsidRPr="00C00421" w:rsidRDefault="00C00421">
    <w:pPr>
      <w:pStyle w:val="Header-pool"/>
      <w:rPr>
        <w:rtl w:val="0"/>
        <w:lang w:val="en-US"/>
      </w:rPr>
    </w:pPr>
    <w:r w:rsidRPr="00C00421">
      <w:rPr>
        <w:rtl w:val="0"/>
        <w:lang w:val="en-US"/>
      </w:rPr>
      <w:t>UNEP/OzL.Pro.38/7</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528346" w14:textId="77777777" w:rsidR="00C00421" w:rsidRPr="00C00421" w:rsidRDefault="00C00421" w:rsidP="00BB5FBF">
    <w:pPr>
      <w:pStyle w:val="Header-pool"/>
      <w:jc w:val="right"/>
      <w:rPr>
        <w:rtl w:val="0"/>
        <w:lang w:val="en-US"/>
      </w:rPr>
    </w:pPr>
    <w:r w:rsidRPr="00C00421">
      <w:rPr>
        <w:rtl w:val="0"/>
        <w:lang w:val="en-US"/>
      </w:rPr>
      <w:t>UNEP/OzL.Pro.38/7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3FE49D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368B04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75C80A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AB673D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B249AA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67EAA3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CC665C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638CE3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8804BD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95C018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485682"/>
    <w:multiLevelType w:val="hybridMultilevel"/>
    <w:tmpl w:val="7D3AB8B8"/>
    <w:lvl w:ilvl="0" w:tplc="37227E74">
      <w:start w:val="1"/>
      <w:numFmt w:val="decimal"/>
      <w:pStyle w:val="Heading3"/>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063254C8"/>
    <w:multiLevelType w:val="hybridMultilevel"/>
    <w:tmpl w:val="2C647902"/>
    <w:lvl w:ilvl="0" w:tplc="024EA328">
      <w:start w:val="3"/>
      <w:numFmt w:val="upperLetter"/>
      <w:lvlText w:val="%1."/>
      <w:lvlJc w:val="left"/>
      <w:pPr>
        <w:ind w:left="1211" w:hanging="360"/>
      </w:pPr>
      <w:rPr>
        <w:rFonts w:hint="default"/>
      </w:rPr>
    </w:lvl>
    <w:lvl w:ilvl="1" w:tplc="E0FA819E">
      <w:start w:val="1"/>
      <w:numFmt w:val="lowerLetter"/>
      <w:lvlText w:val="(%2)"/>
      <w:lvlJc w:val="left"/>
      <w:pPr>
        <w:ind w:left="2141" w:hanging="570"/>
      </w:pPr>
      <w:rPr>
        <w:rFonts w:hint="default"/>
      </w:r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12" w15:restartNumberingAfterBreak="0">
    <w:nsid w:val="10873212"/>
    <w:multiLevelType w:val="hybridMultilevel"/>
    <w:tmpl w:val="C3CC1B24"/>
    <w:lvl w:ilvl="0" w:tplc="B5E6DE74">
      <w:start w:val="3"/>
      <w:numFmt w:val="upperLetter"/>
      <w:lvlText w:val="%1."/>
      <w:lvlJc w:val="left"/>
      <w:pPr>
        <w:ind w:left="1571" w:hanging="360"/>
      </w:pPr>
      <w:rPr>
        <w:rFonts w:hint="default"/>
      </w:rPr>
    </w:lvl>
    <w:lvl w:ilvl="1" w:tplc="08090019" w:tentative="1">
      <w:start w:val="1"/>
      <w:numFmt w:val="lowerLetter"/>
      <w:lvlText w:val="%2."/>
      <w:lvlJc w:val="left"/>
      <w:pPr>
        <w:ind w:left="2291" w:hanging="360"/>
      </w:pPr>
    </w:lvl>
    <w:lvl w:ilvl="2" w:tplc="0809001B" w:tentative="1">
      <w:start w:val="1"/>
      <w:numFmt w:val="lowerRoman"/>
      <w:lvlText w:val="%3."/>
      <w:lvlJc w:val="right"/>
      <w:pPr>
        <w:ind w:left="3011" w:hanging="180"/>
      </w:pPr>
    </w:lvl>
    <w:lvl w:ilvl="3" w:tplc="0809000F" w:tentative="1">
      <w:start w:val="1"/>
      <w:numFmt w:val="decimal"/>
      <w:lvlText w:val="%4."/>
      <w:lvlJc w:val="left"/>
      <w:pPr>
        <w:ind w:left="3731" w:hanging="360"/>
      </w:pPr>
    </w:lvl>
    <w:lvl w:ilvl="4" w:tplc="08090019" w:tentative="1">
      <w:start w:val="1"/>
      <w:numFmt w:val="lowerLetter"/>
      <w:lvlText w:val="%5."/>
      <w:lvlJc w:val="left"/>
      <w:pPr>
        <w:ind w:left="4451" w:hanging="360"/>
      </w:pPr>
    </w:lvl>
    <w:lvl w:ilvl="5" w:tplc="0809001B" w:tentative="1">
      <w:start w:val="1"/>
      <w:numFmt w:val="lowerRoman"/>
      <w:lvlText w:val="%6."/>
      <w:lvlJc w:val="right"/>
      <w:pPr>
        <w:ind w:left="5171" w:hanging="180"/>
      </w:pPr>
    </w:lvl>
    <w:lvl w:ilvl="6" w:tplc="0809000F" w:tentative="1">
      <w:start w:val="1"/>
      <w:numFmt w:val="decimal"/>
      <w:lvlText w:val="%7."/>
      <w:lvlJc w:val="left"/>
      <w:pPr>
        <w:ind w:left="5891" w:hanging="360"/>
      </w:pPr>
    </w:lvl>
    <w:lvl w:ilvl="7" w:tplc="08090019" w:tentative="1">
      <w:start w:val="1"/>
      <w:numFmt w:val="lowerLetter"/>
      <w:lvlText w:val="%8."/>
      <w:lvlJc w:val="left"/>
      <w:pPr>
        <w:ind w:left="6611" w:hanging="360"/>
      </w:pPr>
    </w:lvl>
    <w:lvl w:ilvl="8" w:tplc="0809001B" w:tentative="1">
      <w:start w:val="1"/>
      <w:numFmt w:val="lowerRoman"/>
      <w:lvlText w:val="%9."/>
      <w:lvlJc w:val="right"/>
      <w:pPr>
        <w:ind w:left="7331" w:hanging="180"/>
      </w:pPr>
    </w:lvl>
  </w:abstractNum>
  <w:abstractNum w:abstractNumId="13" w15:restartNumberingAfterBreak="0">
    <w:nsid w:val="1B4F6127"/>
    <w:multiLevelType w:val="hybridMultilevel"/>
    <w:tmpl w:val="276EF206"/>
    <w:lvl w:ilvl="0" w:tplc="AAAAE4A4">
      <w:start w:val="1"/>
      <w:numFmt w:val="lowerRoman"/>
      <w:pStyle w:val="Heading5"/>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14" w15:restartNumberingAfterBreak="0">
    <w:nsid w:val="1F803128"/>
    <w:multiLevelType w:val="multilevel"/>
    <w:tmpl w:val="077ED942"/>
    <w:styleLink w:val="CurrentList1"/>
    <w:lvl w:ilvl="0">
      <w:start w:val="1"/>
      <w:numFmt w:val="decimal"/>
      <w:lvlText w:val="%1."/>
      <w:lvlJc w:val="left"/>
      <w:pPr>
        <w:ind w:left="1967" w:hanging="360"/>
      </w:pPr>
    </w:lvl>
    <w:lvl w:ilvl="1">
      <w:start w:val="1"/>
      <w:numFmt w:val="lowerLetter"/>
      <w:lvlText w:val="%2."/>
      <w:lvlJc w:val="left"/>
      <w:pPr>
        <w:ind w:left="2687" w:hanging="360"/>
      </w:pPr>
    </w:lvl>
    <w:lvl w:ilvl="2">
      <w:start w:val="1"/>
      <w:numFmt w:val="lowerRoman"/>
      <w:lvlText w:val="%3."/>
      <w:lvlJc w:val="right"/>
      <w:pPr>
        <w:ind w:left="3407" w:hanging="180"/>
      </w:pPr>
    </w:lvl>
    <w:lvl w:ilvl="3">
      <w:start w:val="1"/>
      <w:numFmt w:val="decimal"/>
      <w:lvlText w:val="%4."/>
      <w:lvlJc w:val="left"/>
      <w:pPr>
        <w:ind w:left="4127" w:hanging="360"/>
      </w:pPr>
    </w:lvl>
    <w:lvl w:ilvl="4">
      <w:start w:val="1"/>
      <w:numFmt w:val="lowerLetter"/>
      <w:lvlText w:val="%5."/>
      <w:lvlJc w:val="left"/>
      <w:pPr>
        <w:ind w:left="4847" w:hanging="360"/>
      </w:pPr>
    </w:lvl>
    <w:lvl w:ilvl="5">
      <w:start w:val="1"/>
      <w:numFmt w:val="lowerRoman"/>
      <w:lvlText w:val="%6."/>
      <w:lvlJc w:val="right"/>
      <w:pPr>
        <w:ind w:left="5567" w:hanging="180"/>
      </w:pPr>
    </w:lvl>
    <w:lvl w:ilvl="6">
      <w:start w:val="1"/>
      <w:numFmt w:val="decimal"/>
      <w:lvlText w:val="%7."/>
      <w:lvlJc w:val="left"/>
      <w:pPr>
        <w:ind w:left="6287" w:hanging="360"/>
      </w:pPr>
    </w:lvl>
    <w:lvl w:ilvl="7">
      <w:start w:val="1"/>
      <w:numFmt w:val="lowerLetter"/>
      <w:lvlText w:val="%8."/>
      <w:lvlJc w:val="left"/>
      <w:pPr>
        <w:ind w:left="7007" w:hanging="360"/>
      </w:pPr>
    </w:lvl>
    <w:lvl w:ilvl="8">
      <w:start w:val="1"/>
      <w:numFmt w:val="lowerRoman"/>
      <w:lvlText w:val="%9."/>
      <w:lvlJc w:val="right"/>
      <w:pPr>
        <w:ind w:left="7727" w:hanging="180"/>
      </w:pPr>
    </w:lvl>
  </w:abstractNum>
  <w:abstractNum w:abstractNumId="15" w15:restartNumberingAfterBreak="0">
    <w:nsid w:val="32CD2BA0"/>
    <w:multiLevelType w:val="hybridMultilevel"/>
    <w:tmpl w:val="574EB05E"/>
    <w:lvl w:ilvl="0" w:tplc="A6C2D786">
      <w:start w:val="1"/>
      <w:numFmt w:val="upperLetter"/>
      <w:pStyle w:val="Heading2"/>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4A0440A6"/>
    <w:multiLevelType w:val="hybridMultilevel"/>
    <w:tmpl w:val="B762BC72"/>
    <w:lvl w:ilvl="0" w:tplc="FFFFFFFF">
      <w:start w:val="1"/>
      <w:numFmt w:val="lowerLetter"/>
      <w:lvlText w:val="(%1)"/>
      <w:lvlJc w:val="left"/>
      <w:pPr>
        <w:ind w:left="1610" w:hanging="360"/>
      </w:pPr>
      <w:rPr>
        <w:rFonts w:ascii="Times New Roman" w:eastAsia="Times New Roman" w:hAnsi="Times New Roman" w:cs="Times New Roman"/>
      </w:rPr>
    </w:lvl>
    <w:lvl w:ilvl="1" w:tplc="FFFFFFFF" w:tentative="1">
      <w:start w:val="1"/>
      <w:numFmt w:val="lowerLetter"/>
      <w:lvlText w:val="%2."/>
      <w:lvlJc w:val="left"/>
      <w:pPr>
        <w:ind w:left="2330" w:hanging="360"/>
      </w:pPr>
    </w:lvl>
    <w:lvl w:ilvl="2" w:tplc="FFFFFFFF" w:tentative="1">
      <w:start w:val="1"/>
      <w:numFmt w:val="lowerRoman"/>
      <w:lvlText w:val="%3."/>
      <w:lvlJc w:val="right"/>
      <w:pPr>
        <w:ind w:left="3050" w:hanging="180"/>
      </w:pPr>
    </w:lvl>
    <w:lvl w:ilvl="3" w:tplc="FFFFFFFF" w:tentative="1">
      <w:start w:val="1"/>
      <w:numFmt w:val="decimal"/>
      <w:lvlText w:val="%4."/>
      <w:lvlJc w:val="left"/>
      <w:pPr>
        <w:ind w:left="3770" w:hanging="360"/>
      </w:pPr>
    </w:lvl>
    <w:lvl w:ilvl="4" w:tplc="FFFFFFFF" w:tentative="1">
      <w:start w:val="1"/>
      <w:numFmt w:val="lowerLetter"/>
      <w:lvlText w:val="%5."/>
      <w:lvlJc w:val="left"/>
      <w:pPr>
        <w:ind w:left="4490" w:hanging="360"/>
      </w:pPr>
    </w:lvl>
    <w:lvl w:ilvl="5" w:tplc="FFFFFFFF" w:tentative="1">
      <w:start w:val="1"/>
      <w:numFmt w:val="lowerRoman"/>
      <w:lvlText w:val="%6."/>
      <w:lvlJc w:val="right"/>
      <w:pPr>
        <w:ind w:left="5210" w:hanging="180"/>
      </w:pPr>
    </w:lvl>
    <w:lvl w:ilvl="6" w:tplc="FFFFFFFF" w:tentative="1">
      <w:start w:val="1"/>
      <w:numFmt w:val="decimal"/>
      <w:lvlText w:val="%7."/>
      <w:lvlJc w:val="left"/>
      <w:pPr>
        <w:ind w:left="5930" w:hanging="360"/>
      </w:pPr>
    </w:lvl>
    <w:lvl w:ilvl="7" w:tplc="FFFFFFFF" w:tentative="1">
      <w:start w:val="1"/>
      <w:numFmt w:val="lowerLetter"/>
      <w:lvlText w:val="%8."/>
      <w:lvlJc w:val="left"/>
      <w:pPr>
        <w:ind w:left="6650" w:hanging="360"/>
      </w:pPr>
    </w:lvl>
    <w:lvl w:ilvl="8" w:tplc="FFFFFFFF" w:tentative="1">
      <w:start w:val="1"/>
      <w:numFmt w:val="lowerRoman"/>
      <w:lvlText w:val="%9."/>
      <w:lvlJc w:val="right"/>
      <w:pPr>
        <w:ind w:left="7370" w:hanging="180"/>
      </w:pPr>
    </w:lvl>
  </w:abstractNum>
  <w:abstractNum w:abstractNumId="17" w15:restartNumberingAfterBreak="0">
    <w:nsid w:val="52A66A9D"/>
    <w:multiLevelType w:val="multilevel"/>
    <w:tmpl w:val="341090F2"/>
    <w:styleLink w:val="Normallist"/>
    <w:lvl w:ilvl="0">
      <w:start w:val="1"/>
      <w:numFmt w:val="decimal"/>
      <w:pStyle w:val="Normalnumber"/>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8" w15:restartNumberingAfterBreak="0">
    <w:nsid w:val="5813077F"/>
    <w:multiLevelType w:val="hybridMultilevel"/>
    <w:tmpl w:val="0ECC2834"/>
    <w:lvl w:ilvl="0" w:tplc="08090001">
      <w:start w:val="1"/>
      <w:numFmt w:val="bullet"/>
      <w:lvlText w:val=""/>
      <w:lvlJc w:val="left"/>
      <w:pPr>
        <w:ind w:left="2174" w:hanging="360"/>
      </w:pPr>
      <w:rPr>
        <w:rFonts w:ascii="Symbol" w:hAnsi="Symbol" w:hint="default"/>
      </w:rPr>
    </w:lvl>
    <w:lvl w:ilvl="1" w:tplc="08090003" w:tentative="1">
      <w:start w:val="1"/>
      <w:numFmt w:val="bullet"/>
      <w:lvlText w:val="o"/>
      <w:lvlJc w:val="left"/>
      <w:pPr>
        <w:ind w:left="2894" w:hanging="360"/>
      </w:pPr>
      <w:rPr>
        <w:rFonts w:ascii="Courier New" w:hAnsi="Courier New" w:cs="Courier New" w:hint="default"/>
      </w:rPr>
    </w:lvl>
    <w:lvl w:ilvl="2" w:tplc="08090005" w:tentative="1">
      <w:start w:val="1"/>
      <w:numFmt w:val="bullet"/>
      <w:lvlText w:val=""/>
      <w:lvlJc w:val="left"/>
      <w:pPr>
        <w:ind w:left="3614" w:hanging="360"/>
      </w:pPr>
      <w:rPr>
        <w:rFonts w:ascii="Wingdings" w:hAnsi="Wingdings" w:hint="default"/>
      </w:rPr>
    </w:lvl>
    <w:lvl w:ilvl="3" w:tplc="08090001" w:tentative="1">
      <w:start w:val="1"/>
      <w:numFmt w:val="bullet"/>
      <w:lvlText w:val=""/>
      <w:lvlJc w:val="left"/>
      <w:pPr>
        <w:ind w:left="4334" w:hanging="360"/>
      </w:pPr>
      <w:rPr>
        <w:rFonts w:ascii="Symbol" w:hAnsi="Symbol" w:hint="default"/>
      </w:rPr>
    </w:lvl>
    <w:lvl w:ilvl="4" w:tplc="08090003" w:tentative="1">
      <w:start w:val="1"/>
      <w:numFmt w:val="bullet"/>
      <w:lvlText w:val="o"/>
      <w:lvlJc w:val="left"/>
      <w:pPr>
        <w:ind w:left="5054" w:hanging="360"/>
      </w:pPr>
      <w:rPr>
        <w:rFonts w:ascii="Courier New" w:hAnsi="Courier New" w:cs="Courier New" w:hint="default"/>
      </w:rPr>
    </w:lvl>
    <w:lvl w:ilvl="5" w:tplc="08090005" w:tentative="1">
      <w:start w:val="1"/>
      <w:numFmt w:val="bullet"/>
      <w:lvlText w:val=""/>
      <w:lvlJc w:val="left"/>
      <w:pPr>
        <w:ind w:left="5774" w:hanging="360"/>
      </w:pPr>
      <w:rPr>
        <w:rFonts w:ascii="Wingdings" w:hAnsi="Wingdings" w:hint="default"/>
      </w:rPr>
    </w:lvl>
    <w:lvl w:ilvl="6" w:tplc="08090001" w:tentative="1">
      <w:start w:val="1"/>
      <w:numFmt w:val="bullet"/>
      <w:lvlText w:val=""/>
      <w:lvlJc w:val="left"/>
      <w:pPr>
        <w:ind w:left="6494" w:hanging="360"/>
      </w:pPr>
      <w:rPr>
        <w:rFonts w:ascii="Symbol" w:hAnsi="Symbol" w:hint="default"/>
      </w:rPr>
    </w:lvl>
    <w:lvl w:ilvl="7" w:tplc="08090003" w:tentative="1">
      <w:start w:val="1"/>
      <w:numFmt w:val="bullet"/>
      <w:lvlText w:val="o"/>
      <w:lvlJc w:val="left"/>
      <w:pPr>
        <w:ind w:left="7214" w:hanging="360"/>
      </w:pPr>
      <w:rPr>
        <w:rFonts w:ascii="Courier New" w:hAnsi="Courier New" w:cs="Courier New" w:hint="default"/>
      </w:rPr>
    </w:lvl>
    <w:lvl w:ilvl="8" w:tplc="08090005" w:tentative="1">
      <w:start w:val="1"/>
      <w:numFmt w:val="bullet"/>
      <w:lvlText w:val=""/>
      <w:lvlJc w:val="left"/>
      <w:pPr>
        <w:ind w:left="7934" w:hanging="360"/>
      </w:pPr>
      <w:rPr>
        <w:rFonts w:ascii="Wingdings" w:hAnsi="Wingdings" w:hint="default"/>
      </w:rPr>
    </w:lvl>
  </w:abstractNum>
  <w:abstractNum w:abstractNumId="19" w15:restartNumberingAfterBreak="0">
    <w:nsid w:val="5DA134D8"/>
    <w:multiLevelType w:val="hybridMultilevel"/>
    <w:tmpl w:val="B762BC72"/>
    <w:lvl w:ilvl="0" w:tplc="FFFFFFFF">
      <w:start w:val="1"/>
      <w:numFmt w:val="lowerLetter"/>
      <w:lvlText w:val="(%1)"/>
      <w:lvlJc w:val="left"/>
      <w:pPr>
        <w:ind w:left="1610" w:hanging="360"/>
      </w:pPr>
      <w:rPr>
        <w:rFonts w:ascii="Times New Roman" w:eastAsia="Times New Roman" w:hAnsi="Times New Roman" w:cs="Times New Roman"/>
      </w:rPr>
    </w:lvl>
    <w:lvl w:ilvl="1" w:tplc="FFFFFFFF" w:tentative="1">
      <w:start w:val="1"/>
      <w:numFmt w:val="lowerLetter"/>
      <w:lvlText w:val="%2."/>
      <w:lvlJc w:val="left"/>
      <w:pPr>
        <w:ind w:left="2330" w:hanging="360"/>
      </w:pPr>
    </w:lvl>
    <w:lvl w:ilvl="2" w:tplc="FFFFFFFF" w:tentative="1">
      <w:start w:val="1"/>
      <w:numFmt w:val="lowerRoman"/>
      <w:lvlText w:val="%3."/>
      <w:lvlJc w:val="right"/>
      <w:pPr>
        <w:ind w:left="3050" w:hanging="180"/>
      </w:pPr>
    </w:lvl>
    <w:lvl w:ilvl="3" w:tplc="FFFFFFFF" w:tentative="1">
      <w:start w:val="1"/>
      <w:numFmt w:val="decimal"/>
      <w:lvlText w:val="%4."/>
      <w:lvlJc w:val="left"/>
      <w:pPr>
        <w:ind w:left="3770" w:hanging="360"/>
      </w:pPr>
    </w:lvl>
    <w:lvl w:ilvl="4" w:tplc="FFFFFFFF" w:tentative="1">
      <w:start w:val="1"/>
      <w:numFmt w:val="lowerLetter"/>
      <w:lvlText w:val="%5."/>
      <w:lvlJc w:val="left"/>
      <w:pPr>
        <w:ind w:left="4490" w:hanging="360"/>
      </w:pPr>
    </w:lvl>
    <w:lvl w:ilvl="5" w:tplc="FFFFFFFF" w:tentative="1">
      <w:start w:val="1"/>
      <w:numFmt w:val="lowerRoman"/>
      <w:lvlText w:val="%6."/>
      <w:lvlJc w:val="right"/>
      <w:pPr>
        <w:ind w:left="5210" w:hanging="180"/>
      </w:pPr>
    </w:lvl>
    <w:lvl w:ilvl="6" w:tplc="FFFFFFFF" w:tentative="1">
      <w:start w:val="1"/>
      <w:numFmt w:val="decimal"/>
      <w:lvlText w:val="%7."/>
      <w:lvlJc w:val="left"/>
      <w:pPr>
        <w:ind w:left="5930" w:hanging="360"/>
      </w:pPr>
    </w:lvl>
    <w:lvl w:ilvl="7" w:tplc="FFFFFFFF" w:tentative="1">
      <w:start w:val="1"/>
      <w:numFmt w:val="lowerLetter"/>
      <w:lvlText w:val="%8."/>
      <w:lvlJc w:val="left"/>
      <w:pPr>
        <w:ind w:left="6650" w:hanging="360"/>
      </w:pPr>
    </w:lvl>
    <w:lvl w:ilvl="8" w:tplc="FFFFFFFF" w:tentative="1">
      <w:start w:val="1"/>
      <w:numFmt w:val="lowerRoman"/>
      <w:lvlText w:val="%9."/>
      <w:lvlJc w:val="right"/>
      <w:pPr>
        <w:ind w:left="7370" w:hanging="180"/>
      </w:pPr>
    </w:lvl>
  </w:abstractNum>
  <w:abstractNum w:abstractNumId="20" w15:restartNumberingAfterBreak="0">
    <w:nsid w:val="6FF7321D"/>
    <w:multiLevelType w:val="multilevel"/>
    <w:tmpl w:val="455C47CC"/>
    <w:lvl w:ilvl="0">
      <w:start w:val="1"/>
      <w:numFmt w:val="upperRoman"/>
      <w:pStyle w:val="Heading1"/>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pStyle w:val="Heading4"/>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560672902">
    <w:abstractNumId w:val="17"/>
    <w:lvlOverride w:ilvl="0">
      <w:lvl w:ilvl="0">
        <w:start w:val="1"/>
        <w:numFmt w:val="decimal"/>
        <w:pStyle w:val="Normalnumber"/>
        <w:lvlText w:val="%1."/>
        <w:lvlJc w:val="left"/>
        <w:pPr>
          <w:tabs>
            <w:tab w:val="num" w:pos="624"/>
          </w:tabs>
          <w:ind w:left="1248" w:firstLine="0"/>
        </w:pPr>
        <w:rPr>
          <w:rFonts w:hint="default"/>
          <w:b w:val="0"/>
          <w:bCs w:val="0"/>
        </w:rPr>
      </w:lvl>
    </w:lvlOverride>
  </w:num>
  <w:num w:numId="2" w16cid:durableId="1242644713">
    <w:abstractNumId w:val="20"/>
  </w:num>
  <w:num w:numId="3" w16cid:durableId="1933662228">
    <w:abstractNumId w:val="15"/>
  </w:num>
  <w:num w:numId="4" w16cid:durableId="1991909117">
    <w:abstractNumId w:val="10"/>
  </w:num>
  <w:num w:numId="5" w16cid:durableId="1138956019">
    <w:abstractNumId w:val="13"/>
  </w:num>
  <w:num w:numId="6" w16cid:durableId="1541893823">
    <w:abstractNumId w:val="9"/>
  </w:num>
  <w:num w:numId="7" w16cid:durableId="1705908734">
    <w:abstractNumId w:val="7"/>
  </w:num>
  <w:num w:numId="8" w16cid:durableId="669941145">
    <w:abstractNumId w:val="6"/>
  </w:num>
  <w:num w:numId="9" w16cid:durableId="1399128221">
    <w:abstractNumId w:val="5"/>
  </w:num>
  <w:num w:numId="10" w16cid:durableId="1539925865">
    <w:abstractNumId w:val="4"/>
  </w:num>
  <w:num w:numId="11" w16cid:durableId="369307452">
    <w:abstractNumId w:val="8"/>
  </w:num>
  <w:num w:numId="12" w16cid:durableId="1608343922">
    <w:abstractNumId w:val="3"/>
  </w:num>
  <w:num w:numId="13" w16cid:durableId="1326398188">
    <w:abstractNumId w:val="2"/>
  </w:num>
  <w:num w:numId="14" w16cid:durableId="906497301">
    <w:abstractNumId w:val="1"/>
  </w:num>
  <w:num w:numId="15" w16cid:durableId="1902211671">
    <w:abstractNumId w:val="0"/>
  </w:num>
  <w:num w:numId="16" w16cid:durableId="427972397">
    <w:abstractNumId w:val="14"/>
  </w:num>
  <w:num w:numId="17" w16cid:durableId="686713729">
    <w:abstractNumId w:val="11"/>
  </w:num>
  <w:num w:numId="18" w16cid:durableId="800685069">
    <w:abstractNumId w:val="12"/>
  </w:num>
  <w:num w:numId="19" w16cid:durableId="1841432745">
    <w:abstractNumId w:val="19"/>
  </w:num>
  <w:num w:numId="20" w16cid:durableId="1399939494">
    <w:abstractNumId w:val="16"/>
  </w:num>
  <w:num w:numId="21" w16cid:durableId="1028020677">
    <w:abstractNumId w:val="17"/>
  </w:num>
  <w:num w:numId="22" w16cid:durableId="1380014231">
    <w:abstractNumId w:val="18"/>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IE" w:vendorID="64" w:dllVersion="0" w:nlCheck="1" w:checkStyle="0"/>
  <w:activeWritingStyle w:appName="MSWord" w:lang="en-GB" w:vendorID="64" w:dllVersion="0" w:nlCheck="1" w:checkStyle="0"/>
  <w:activeWritingStyle w:appName="MSWord" w:lang="en-US" w:vendorID="64" w:dllVersion="0" w:nlCheck="1" w:checkStyle="0"/>
  <w:activeWritingStyle w:appName="MSWord" w:lang="en-CA" w:vendorID="64" w:dllVersion="0" w:nlCheck="1" w:checkStyle="0"/>
  <w:activeWritingStyle w:appName="MSWord" w:lang="fr-FR" w:vendorID="64" w:dllVersion="0" w:nlCheck="1" w:checkStyle="0"/>
  <w:activeWritingStyle w:appName="MSWord" w:lang="en-AU" w:vendorID="64" w:dllVersion="0" w:nlCheck="1" w:checkStyle="0"/>
  <w:activeWritingStyle w:appName="MSWord" w:lang="en-KE" w:vendorID="64" w:dllVersion="0" w:nlCheck="1" w:checkStyle="0"/>
  <w:proofState w:spelling="clean" w:grammar="clean"/>
  <w:attachedTemplate r:id="rId1"/>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624"/>
  <w:hyphenationZone w:val="425"/>
  <w:evenAndOddHeaders/>
  <w:drawingGridHorizontalSpacing w:val="181"/>
  <w:drawingGridVerticalSpacing w:val="181"/>
  <w:doNotUseMarginsForDrawingGridOrigin/>
  <w:drawingGridHorizontalOrigin w:val="1418"/>
  <w:drawingGridVerticalOrigin w:val="907"/>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D3E"/>
    <w:rsid w:val="0000068B"/>
    <w:rsid w:val="000008A9"/>
    <w:rsid w:val="00000F35"/>
    <w:rsid w:val="00000FEA"/>
    <w:rsid w:val="0000154E"/>
    <w:rsid w:val="000015B5"/>
    <w:rsid w:val="000016E0"/>
    <w:rsid w:val="00002236"/>
    <w:rsid w:val="000026E7"/>
    <w:rsid w:val="0000293D"/>
    <w:rsid w:val="0000304E"/>
    <w:rsid w:val="000030D6"/>
    <w:rsid w:val="00003111"/>
    <w:rsid w:val="0000322F"/>
    <w:rsid w:val="000034F4"/>
    <w:rsid w:val="00003855"/>
    <w:rsid w:val="00003AC5"/>
    <w:rsid w:val="00003ED1"/>
    <w:rsid w:val="0000452E"/>
    <w:rsid w:val="0000477D"/>
    <w:rsid w:val="00004BDD"/>
    <w:rsid w:val="00004E32"/>
    <w:rsid w:val="00005DEC"/>
    <w:rsid w:val="00005F66"/>
    <w:rsid w:val="000060F8"/>
    <w:rsid w:val="000066D2"/>
    <w:rsid w:val="00006857"/>
    <w:rsid w:val="00006C57"/>
    <w:rsid w:val="00006D6A"/>
    <w:rsid w:val="00007C3C"/>
    <w:rsid w:val="0001001A"/>
    <w:rsid w:val="00010970"/>
    <w:rsid w:val="00010A59"/>
    <w:rsid w:val="00010AF4"/>
    <w:rsid w:val="00010D47"/>
    <w:rsid w:val="00010F6A"/>
    <w:rsid w:val="00011C5D"/>
    <w:rsid w:val="00012734"/>
    <w:rsid w:val="00012D15"/>
    <w:rsid w:val="00012DCF"/>
    <w:rsid w:val="00013D89"/>
    <w:rsid w:val="00014085"/>
    <w:rsid w:val="000141C8"/>
    <w:rsid w:val="000149E6"/>
    <w:rsid w:val="00014E29"/>
    <w:rsid w:val="00014FE3"/>
    <w:rsid w:val="0001568B"/>
    <w:rsid w:val="00015E68"/>
    <w:rsid w:val="00016899"/>
    <w:rsid w:val="000169AA"/>
    <w:rsid w:val="00016AF3"/>
    <w:rsid w:val="00016E61"/>
    <w:rsid w:val="00016F3F"/>
    <w:rsid w:val="00017213"/>
    <w:rsid w:val="0001759B"/>
    <w:rsid w:val="00017AEA"/>
    <w:rsid w:val="00017DC9"/>
    <w:rsid w:val="00017F2F"/>
    <w:rsid w:val="0002018F"/>
    <w:rsid w:val="0002033D"/>
    <w:rsid w:val="0002035E"/>
    <w:rsid w:val="00020524"/>
    <w:rsid w:val="000207CD"/>
    <w:rsid w:val="000207FD"/>
    <w:rsid w:val="000208C8"/>
    <w:rsid w:val="00020CFA"/>
    <w:rsid w:val="00020FE1"/>
    <w:rsid w:val="00021060"/>
    <w:rsid w:val="0002181A"/>
    <w:rsid w:val="00021BA7"/>
    <w:rsid w:val="00021F87"/>
    <w:rsid w:val="0002202A"/>
    <w:rsid w:val="00022307"/>
    <w:rsid w:val="00022801"/>
    <w:rsid w:val="00022B31"/>
    <w:rsid w:val="00023300"/>
    <w:rsid w:val="000233B2"/>
    <w:rsid w:val="00023420"/>
    <w:rsid w:val="0002381F"/>
    <w:rsid w:val="00023C3B"/>
    <w:rsid w:val="000247B0"/>
    <w:rsid w:val="00024955"/>
    <w:rsid w:val="00024D15"/>
    <w:rsid w:val="00024FB5"/>
    <w:rsid w:val="000251D5"/>
    <w:rsid w:val="000254F8"/>
    <w:rsid w:val="000255D9"/>
    <w:rsid w:val="00025692"/>
    <w:rsid w:val="00025A6E"/>
    <w:rsid w:val="00025B0D"/>
    <w:rsid w:val="00025EA3"/>
    <w:rsid w:val="00026740"/>
    <w:rsid w:val="00026872"/>
    <w:rsid w:val="00026997"/>
    <w:rsid w:val="00026C16"/>
    <w:rsid w:val="00026C38"/>
    <w:rsid w:val="00027586"/>
    <w:rsid w:val="00027591"/>
    <w:rsid w:val="00027676"/>
    <w:rsid w:val="000276C0"/>
    <w:rsid w:val="00027E4C"/>
    <w:rsid w:val="00030549"/>
    <w:rsid w:val="00030854"/>
    <w:rsid w:val="000317CD"/>
    <w:rsid w:val="00031D91"/>
    <w:rsid w:val="00031E9C"/>
    <w:rsid w:val="00031F5B"/>
    <w:rsid w:val="00032389"/>
    <w:rsid w:val="00032D57"/>
    <w:rsid w:val="00032DF9"/>
    <w:rsid w:val="00032F1B"/>
    <w:rsid w:val="00032FD6"/>
    <w:rsid w:val="00033E0B"/>
    <w:rsid w:val="00033F1C"/>
    <w:rsid w:val="0003457A"/>
    <w:rsid w:val="00034887"/>
    <w:rsid w:val="0003499B"/>
    <w:rsid w:val="00034D8A"/>
    <w:rsid w:val="00035984"/>
    <w:rsid w:val="00035EDE"/>
    <w:rsid w:val="00036958"/>
    <w:rsid w:val="00037014"/>
    <w:rsid w:val="00037415"/>
    <w:rsid w:val="000374E1"/>
    <w:rsid w:val="000405BB"/>
    <w:rsid w:val="000409F1"/>
    <w:rsid w:val="00040B09"/>
    <w:rsid w:val="00040D49"/>
    <w:rsid w:val="00041C46"/>
    <w:rsid w:val="00042105"/>
    <w:rsid w:val="00042350"/>
    <w:rsid w:val="000423AA"/>
    <w:rsid w:val="000428C3"/>
    <w:rsid w:val="00042CA7"/>
    <w:rsid w:val="00043640"/>
    <w:rsid w:val="00043D52"/>
    <w:rsid w:val="00045042"/>
    <w:rsid w:val="00045F00"/>
    <w:rsid w:val="000467DA"/>
    <w:rsid w:val="00047503"/>
    <w:rsid w:val="000475E1"/>
    <w:rsid w:val="000477CE"/>
    <w:rsid w:val="00047BC2"/>
    <w:rsid w:val="00047F82"/>
    <w:rsid w:val="000500F0"/>
    <w:rsid w:val="000509B4"/>
    <w:rsid w:val="00050B61"/>
    <w:rsid w:val="00050CA5"/>
    <w:rsid w:val="000514DD"/>
    <w:rsid w:val="00051DBF"/>
    <w:rsid w:val="000520DD"/>
    <w:rsid w:val="00053AD8"/>
    <w:rsid w:val="000548F0"/>
    <w:rsid w:val="00054B48"/>
    <w:rsid w:val="00055102"/>
    <w:rsid w:val="000555B4"/>
    <w:rsid w:val="000555D2"/>
    <w:rsid w:val="000559AA"/>
    <w:rsid w:val="00055AB0"/>
    <w:rsid w:val="00056018"/>
    <w:rsid w:val="000565E5"/>
    <w:rsid w:val="00056B03"/>
    <w:rsid w:val="00056B2C"/>
    <w:rsid w:val="000576D5"/>
    <w:rsid w:val="00057889"/>
    <w:rsid w:val="000602FF"/>
    <w:rsid w:val="0006032B"/>
    <w:rsid w:val="0006035B"/>
    <w:rsid w:val="00060A3C"/>
    <w:rsid w:val="0006120B"/>
    <w:rsid w:val="0006138C"/>
    <w:rsid w:val="00062348"/>
    <w:rsid w:val="00062380"/>
    <w:rsid w:val="0006253E"/>
    <w:rsid w:val="00062B18"/>
    <w:rsid w:val="00062DDA"/>
    <w:rsid w:val="00063060"/>
    <w:rsid w:val="00063390"/>
    <w:rsid w:val="0006382A"/>
    <w:rsid w:val="00064292"/>
    <w:rsid w:val="00064C1D"/>
    <w:rsid w:val="00065F8A"/>
    <w:rsid w:val="000662A3"/>
    <w:rsid w:val="00067150"/>
    <w:rsid w:val="000674D5"/>
    <w:rsid w:val="00070390"/>
    <w:rsid w:val="000704E6"/>
    <w:rsid w:val="00070547"/>
    <w:rsid w:val="00070719"/>
    <w:rsid w:val="0007166E"/>
    <w:rsid w:val="00071886"/>
    <w:rsid w:val="00071A51"/>
    <w:rsid w:val="000727AF"/>
    <w:rsid w:val="000729A9"/>
    <w:rsid w:val="00072AB1"/>
    <w:rsid w:val="00072C4A"/>
    <w:rsid w:val="00072E97"/>
    <w:rsid w:val="0007351B"/>
    <w:rsid w:val="00073715"/>
    <w:rsid w:val="00073884"/>
    <w:rsid w:val="00073FF0"/>
    <w:rsid w:val="000742BC"/>
    <w:rsid w:val="000742DB"/>
    <w:rsid w:val="00074444"/>
    <w:rsid w:val="000763D2"/>
    <w:rsid w:val="00076AC2"/>
    <w:rsid w:val="00076EEF"/>
    <w:rsid w:val="00077E98"/>
    <w:rsid w:val="00077EAF"/>
    <w:rsid w:val="00080045"/>
    <w:rsid w:val="0008041D"/>
    <w:rsid w:val="00080454"/>
    <w:rsid w:val="000804FB"/>
    <w:rsid w:val="0008104D"/>
    <w:rsid w:val="0008122A"/>
    <w:rsid w:val="000816F0"/>
    <w:rsid w:val="00081F26"/>
    <w:rsid w:val="00082003"/>
    <w:rsid w:val="00082424"/>
    <w:rsid w:val="00082451"/>
    <w:rsid w:val="000828BF"/>
    <w:rsid w:val="00082A0C"/>
    <w:rsid w:val="00082DCD"/>
    <w:rsid w:val="00082E11"/>
    <w:rsid w:val="00082F5E"/>
    <w:rsid w:val="00083016"/>
    <w:rsid w:val="000833C7"/>
    <w:rsid w:val="00083504"/>
    <w:rsid w:val="00083530"/>
    <w:rsid w:val="0008371A"/>
    <w:rsid w:val="00083E2D"/>
    <w:rsid w:val="0008452B"/>
    <w:rsid w:val="000846B2"/>
    <w:rsid w:val="000848C6"/>
    <w:rsid w:val="0008490F"/>
    <w:rsid w:val="00084F8A"/>
    <w:rsid w:val="00085223"/>
    <w:rsid w:val="000855B9"/>
    <w:rsid w:val="00085F7A"/>
    <w:rsid w:val="000863FA"/>
    <w:rsid w:val="00086AC9"/>
    <w:rsid w:val="00086F44"/>
    <w:rsid w:val="0008710B"/>
    <w:rsid w:val="0008718B"/>
    <w:rsid w:val="000874C3"/>
    <w:rsid w:val="00087630"/>
    <w:rsid w:val="00087B54"/>
    <w:rsid w:val="00087B6C"/>
    <w:rsid w:val="00087C99"/>
    <w:rsid w:val="00087EA0"/>
    <w:rsid w:val="0009026A"/>
    <w:rsid w:val="00090B42"/>
    <w:rsid w:val="00090C39"/>
    <w:rsid w:val="0009125D"/>
    <w:rsid w:val="00091536"/>
    <w:rsid w:val="00091579"/>
    <w:rsid w:val="000916E9"/>
    <w:rsid w:val="00091DF6"/>
    <w:rsid w:val="00091E56"/>
    <w:rsid w:val="00091FB0"/>
    <w:rsid w:val="000920C0"/>
    <w:rsid w:val="000921D4"/>
    <w:rsid w:val="00092523"/>
    <w:rsid w:val="00092FD0"/>
    <w:rsid w:val="00093564"/>
    <w:rsid w:val="00093860"/>
    <w:rsid w:val="0009397A"/>
    <w:rsid w:val="000946C7"/>
    <w:rsid w:val="000947F0"/>
    <w:rsid w:val="00094E34"/>
    <w:rsid w:val="00095422"/>
    <w:rsid w:val="00095D9B"/>
    <w:rsid w:val="00096050"/>
    <w:rsid w:val="0009640C"/>
    <w:rsid w:val="00096CC4"/>
    <w:rsid w:val="00096ED2"/>
    <w:rsid w:val="00097F16"/>
    <w:rsid w:val="00097FD0"/>
    <w:rsid w:val="000A1530"/>
    <w:rsid w:val="000A1B51"/>
    <w:rsid w:val="000A22D9"/>
    <w:rsid w:val="000A2498"/>
    <w:rsid w:val="000A3003"/>
    <w:rsid w:val="000A3C4D"/>
    <w:rsid w:val="000A4BD2"/>
    <w:rsid w:val="000A4D45"/>
    <w:rsid w:val="000A5122"/>
    <w:rsid w:val="000A52BD"/>
    <w:rsid w:val="000A538F"/>
    <w:rsid w:val="000A58A8"/>
    <w:rsid w:val="000A5D6B"/>
    <w:rsid w:val="000A61D8"/>
    <w:rsid w:val="000A7217"/>
    <w:rsid w:val="000A761F"/>
    <w:rsid w:val="000A7945"/>
    <w:rsid w:val="000A7A02"/>
    <w:rsid w:val="000A7CD5"/>
    <w:rsid w:val="000A7F8B"/>
    <w:rsid w:val="000B0121"/>
    <w:rsid w:val="000B01F5"/>
    <w:rsid w:val="000B0477"/>
    <w:rsid w:val="000B053E"/>
    <w:rsid w:val="000B05CA"/>
    <w:rsid w:val="000B0792"/>
    <w:rsid w:val="000B0D0E"/>
    <w:rsid w:val="000B0DF5"/>
    <w:rsid w:val="000B1613"/>
    <w:rsid w:val="000B173E"/>
    <w:rsid w:val="000B1954"/>
    <w:rsid w:val="000B1BE1"/>
    <w:rsid w:val="000B20A6"/>
    <w:rsid w:val="000B21D5"/>
    <w:rsid w:val="000B22A2"/>
    <w:rsid w:val="000B2767"/>
    <w:rsid w:val="000B2CB2"/>
    <w:rsid w:val="000B2EDE"/>
    <w:rsid w:val="000B38EC"/>
    <w:rsid w:val="000B56CA"/>
    <w:rsid w:val="000B6307"/>
    <w:rsid w:val="000B6BA4"/>
    <w:rsid w:val="000B6DA9"/>
    <w:rsid w:val="000B7147"/>
    <w:rsid w:val="000C017C"/>
    <w:rsid w:val="000C08A7"/>
    <w:rsid w:val="000C09C2"/>
    <w:rsid w:val="000C0F51"/>
    <w:rsid w:val="000C138A"/>
    <w:rsid w:val="000C16CD"/>
    <w:rsid w:val="000C173F"/>
    <w:rsid w:val="000C1E68"/>
    <w:rsid w:val="000C20FE"/>
    <w:rsid w:val="000C2A52"/>
    <w:rsid w:val="000C3118"/>
    <w:rsid w:val="000C3509"/>
    <w:rsid w:val="000C385A"/>
    <w:rsid w:val="000C3EAA"/>
    <w:rsid w:val="000C412E"/>
    <w:rsid w:val="000C46A9"/>
    <w:rsid w:val="000C48AC"/>
    <w:rsid w:val="000C4A4B"/>
    <w:rsid w:val="000C5AB2"/>
    <w:rsid w:val="000C5B6C"/>
    <w:rsid w:val="000C6027"/>
    <w:rsid w:val="000C7E53"/>
    <w:rsid w:val="000D13BF"/>
    <w:rsid w:val="000D1474"/>
    <w:rsid w:val="000D1510"/>
    <w:rsid w:val="000D1DFF"/>
    <w:rsid w:val="000D2336"/>
    <w:rsid w:val="000D2F42"/>
    <w:rsid w:val="000D30A7"/>
    <w:rsid w:val="000D31B0"/>
    <w:rsid w:val="000D31CB"/>
    <w:rsid w:val="000D33B1"/>
    <w:rsid w:val="000D33C0"/>
    <w:rsid w:val="000D35D7"/>
    <w:rsid w:val="000D362A"/>
    <w:rsid w:val="000D3884"/>
    <w:rsid w:val="000D4E8E"/>
    <w:rsid w:val="000D548D"/>
    <w:rsid w:val="000D5884"/>
    <w:rsid w:val="000D5BEB"/>
    <w:rsid w:val="000D61A5"/>
    <w:rsid w:val="000D6941"/>
    <w:rsid w:val="000D71B6"/>
    <w:rsid w:val="000D747C"/>
    <w:rsid w:val="000D786A"/>
    <w:rsid w:val="000D7C4A"/>
    <w:rsid w:val="000D7C5F"/>
    <w:rsid w:val="000E01FD"/>
    <w:rsid w:val="000E03CB"/>
    <w:rsid w:val="000E0405"/>
    <w:rsid w:val="000E086D"/>
    <w:rsid w:val="000E087F"/>
    <w:rsid w:val="000E08C3"/>
    <w:rsid w:val="000E0D21"/>
    <w:rsid w:val="000E1149"/>
    <w:rsid w:val="000E1339"/>
    <w:rsid w:val="000E1DF6"/>
    <w:rsid w:val="000E1FBF"/>
    <w:rsid w:val="000E26BC"/>
    <w:rsid w:val="000E30D4"/>
    <w:rsid w:val="000E3433"/>
    <w:rsid w:val="000E39AF"/>
    <w:rsid w:val="000E3B31"/>
    <w:rsid w:val="000E45C9"/>
    <w:rsid w:val="000E4A72"/>
    <w:rsid w:val="000E53C8"/>
    <w:rsid w:val="000E54A2"/>
    <w:rsid w:val="000E56D2"/>
    <w:rsid w:val="000E58B0"/>
    <w:rsid w:val="000E590B"/>
    <w:rsid w:val="000E5AF1"/>
    <w:rsid w:val="000E5D03"/>
    <w:rsid w:val="000E6021"/>
    <w:rsid w:val="000E61C9"/>
    <w:rsid w:val="000E629D"/>
    <w:rsid w:val="000E71E8"/>
    <w:rsid w:val="000E7B70"/>
    <w:rsid w:val="000E7C58"/>
    <w:rsid w:val="000E7E16"/>
    <w:rsid w:val="000E7F39"/>
    <w:rsid w:val="000F023E"/>
    <w:rsid w:val="000F0279"/>
    <w:rsid w:val="000F02C0"/>
    <w:rsid w:val="000F06D3"/>
    <w:rsid w:val="000F0ABA"/>
    <w:rsid w:val="000F0DE2"/>
    <w:rsid w:val="000F0E9C"/>
    <w:rsid w:val="000F116D"/>
    <w:rsid w:val="000F1206"/>
    <w:rsid w:val="000F120F"/>
    <w:rsid w:val="000F128D"/>
    <w:rsid w:val="000F163D"/>
    <w:rsid w:val="000F1684"/>
    <w:rsid w:val="000F181B"/>
    <w:rsid w:val="000F25D5"/>
    <w:rsid w:val="000F3920"/>
    <w:rsid w:val="000F392F"/>
    <w:rsid w:val="000F3DB0"/>
    <w:rsid w:val="000F3E20"/>
    <w:rsid w:val="000F3FEB"/>
    <w:rsid w:val="000F4286"/>
    <w:rsid w:val="000F44C9"/>
    <w:rsid w:val="000F4E98"/>
    <w:rsid w:val="000F53BE"/>
    <w:rsid w:val="000F541A"/>
    <w:rsid w:val="000F573D"/>
    <w:rsid w:val="000F6577"/>
    <w:rsid w:val="000F695E"/>
    <w:rsid w:val="000F6A81"/>
    <w:rsid w:val="000F6CFF"/>
    <w:rsid w:val="000F7301"/>
    <w:rsid w:val="000F74AF"/>
    <w:rsid w:val="000F75BE"/>
    <w:rsid w:val="0010023D"/>
    <w:rsid w:val="00100525"/>
    <w:rsid w:val="00100BE2"/>
    <w:rsid w:val="00100CC8"/>
    <w:rsid w:val="001016FC"/>
    <w:rsid w:val="001017B8"/>
    <w:rsid w:val="001018E4"/>
    <w:rsid w:val="00101AEA"/>
    <w:rsid w:val="00101D77"/>
    <w:rsid w:val="00102140"/>
    <w:rsid w:val="0010225A"/>
    <w:rsid w:val="001022E7"/>
    <w:rsid w:val="001023DD"/>
    <w:rsid w:val="00102440"/>
    <w:rsid w:val="00102A0A"/>
    <w:rsid w:val="00102D9A"/>
    <w:rsid w:val="001037E1"/>
    <w:rsid w:val="00103B9F"/>
    <w:rsid w:val="00103F01"/>
    <w:rsid w:val="001040FC"/>
    <w:rsid w:val="001044A1"/>
    <w:rsid w:val="00104887"/>
    <w:rsid w:val="00104CE4"/>
    <w:rsid w:val="00104E8E"/>
    <w:rsid w:val="001050E5"/>
    <w:rsid w:val="00105F68"/>
    <w:rsid w:val="0010611A"/>
    <w:rsid w:val="00106D0B"/>
    <w:rsid w:val="00106D36"/>
    <w:rsid w:val="00106F04"/>
    <w:rsid w:val="00106F13"/>
    <w:rsid w:val="0010709D"/>
    <w:rsid w:val="0010712B"/>
    <w:rsid w:val="0010753E"/>
    <w:rsid w:val="001078B8"/>
    <w:rsid w:val="001078C4"/>
    <w:rsid w:val="0011068B"/>
    <w:rsid w:val="00110969"/>
    <w:rsid w:val="00110EFC"/>
    <w:rsid w:val="001110B8"/>
    <w:rsid w:val="0011164D"/>
    <w:rsid w:val="001119C4"/>
    <w:rsid w:val="001119F3"/>
    <w:rsid w:val="00112385"/>
    <w:rsid w:val="00112458"/>
    <w:rsid w:val="00112A91"/>
    <w:rsid w:val="00113360"/>
    <w:rsid w:val="00113EDB"/>
    <w:rsid w:val="001140D6"/>
    <w:rsid w:val="00115011"/>
    <w:rsid w:val="00115442"/>
    <w:rsid w:val="00115F73"/>
    <w:rsid w:val="0011716B"/>
    <w:rsid w:val="001173B4"/>
    <w:rsid w:val="001175A3"/>
    <w:rsid w:val="0011795F"/>
    <w:rsid w:val="001202E3"/>
    <w:rsid w:val="00120A59"/>
    <w:rsid w:val="00120B8A"/>
    <w:rsid w:val="00121656"/>
    <w:rsid w:val="001217F6"/>
    <w:rsid w:val="00121840"/>
    <w:rsid w:val="001218BF"/>
    <w:rsid w:val="00121DD5"/>
    <w:rsid w:val="001225D4"/>
    <w:rsid w:val="001225DA"/>
    <w:rsid w:val="001227E3"/>
    <w:rsid w:val="00123487"/>
    <w:rsid w:val="00123699"/>
    <w:rsid w:val="0012435A"/>
    <w:rsid w:val="0012484B"/>
    <w:rsid w:val="00124CD7"/>
    <w:rsid w:val="00124F91"/>
    <w:rsid w:val="001258DD"/>
    <w:rsid w:val="001265C5"/>
    <w:rsid w:val="00126C6B"/>
    <w:rsid w:val="001273D9"/>
    <w:rsid w:val="0012745E"/>
    <w:rsid w:val="001275AA"/>
    <w:rsid w:val="00127613"/>
    <w:rsid w:val="00127725"/>
    <w:rsid w:val="0013059D"/>
    <w:rsid w:val="00130D50"/>
    <w:rsid w:val="00131010"/>
    <w:rsid w:val="001311D5"/>
    <w:rsid w:val="00131215"/>
    <w:rsid w:val="001317F6"/>
    <w:rsid w:val="0013192B"/>
    <w:rsid w:val="001321B7"/>
    <w:rsid w:val="001327F8"/>
    <w:rsid w:val="00132818"/>
    <w:rsid w:val="00132B43"/>
    <w:rsid w:val="001333F2"/>
    <w:rsid w:val="00133DE3"/>
    <w:rsid w:val="00133FCC"/>
    <w:rsid w:val="00133FDF"/>
    <w:rsid w:val="00134358"/>
    <w:rsid w:val="001345D0"/>
    <w:rsid w:val="001345F5"/>
    <w:rsid w:val="00134885"/>
    <w:rsid w:val="00134CBF"/>
    <w:rsid w:val="00136045"/>
    <w:rsid w:val="00136415"/>
    <w:rsid w:val="00136B71"/>
    <w:rsid w:val="00136F5A"/>
    <w:rsid w:val="00137297"/>
    <w:rsid w:val="001372F0"/>
    <w:rsid w:val="00137609"/>
    <w:rsid w:val="00137760"/>
    <w:rsid w:val="001378E9"/>
    <w:rsid w:val="00137B15"/>
    <w:rsid w:val="001402E0"/>
    <w:rsid w:val="0014083A"/>
    <w:rsid w:val="00140970"/>
    <w:rsid w:val="0014174B"/>
    <w:rsid w:val="001417FE"/>
    <w:rsid w:val="0014184A"/>
    <w:rsid w:val="00141A55"/>
    <w:rsid w:val="00141D67"/>
    <w:rsid w:val="00141F2F"/>
    <w:rsid w:val="001421F7"/>
    <w:rsid w:val="001425B9"/>
    <w:rsid w:val="00143095"/>
    <w:rsid w:val="0014337A"/>
    <w:rsid w:val="00143555"/>
    <w:rsid w:val="0014439B"/>
    <w:rsid w:val="00144544"/>
    <w:rsid w:val="00144693"/>
    <w:rsid w:val="001446A3"/>
    <w:rsid w:val="001449A8"/>
    <w:rsid w:val="001456A6"/>
    <w:rsid w:val="00146481"/>
    <w:rsid w:val="0014665F"/>
    <w:rsid w:val="00146A52"/>
    <w:rsid w:val="00146AF3"/>
    <w:rsid w:val="00146BEB"/>
    <w:rsid w:val="00146C18"/>
    <w:rsid w:val="001501E0"/>
    <w:rsid w:val="00150343"/>
    <w:rsid w:val="00150663"/>
    <w:rsid w:val="001510E3"/>
    <w:rsid w:val="001511A7"/>
    <w:rsid w:val="00151B63"/>
    <w:rsid w:val="00152ACF"/>
    <w:rsid w:val="00152BC4"/>
    <w:rsid w:val="00152DF8"/>
    <w:rsid w:val="00152EDD"/>
    <w:rsid w:val="001530B1"/>
    <w:rsid w:val="00153317"/>
    <w:rsid w:val="00153422"/>
    <w:rsid w:val="00153798"/>
    <w:rsid w:val="00153891"/>
    <w:rsid w:val="001545F3"/>
    <w:rsid w:val="0015483D"/>
    <w:rsid w:val="00154856"/>
    <w:rsid w:val="00155395"/>
    <w:rsid w:val="001553D1"/>
    <w:rsid w:val="0015550F"/>
    <w:rsid w:val="00155C61"/>
    <w:rsid w:val="001560AA"/>
    <w:rsid w:val="0015716C"/>
    <w:rsid w:val="001576F5"/>
    <w:rsid w:val="00157B1F"/>
    <w:rsid w:val="00157DD5"/>
    <w:rsid w:val="00157F37"/>
    <w:rsid w:val="00160426"/>
    <w:rsid w:val="00160984"/>
    <w:rsid w:val="00160C27"/>
    <w:rsid w:val="00160C55"/>
    <w:rsid w:val="00160C98"/>
    <w:rsid w:val="00161041"/>
    <w:rsid w:val="00161468"/>
    <w:rsid w:val="001623B6"/>
    <w:rsid w:val="00162702"/>
    <w:rsid w:val="00162B1C"/>
    <w:rsid w:val="00162B3C"/>
    <w:rsid w:val="00163496"/>
    <w:rsid w:val="00163632"/>
    <w:rsid w:val="0016407A"/>
    <w:rsid w:val="00164113"/>
    <w:rsid w:val="0016483C"/>
    <w:rsid w:val="00164D6A"/>
    <w:rsid w:val="00164F43"/>
    <w:rsid w:val="00165889"/>
    <w:rsid w:val="00165D28"/>
    <w:rsid w:val="00166677"/>
    <w:rsid w:val="00166996"/>
    <w:rsid w:val="00166B1C"/>
    <w:rsid w:val="00167301"/>
    <w:rsid w:val="001675BB"/>
    <w:rsid w:val="00167A50"/>
    <w:rsid w:val="001702C7"/>
    <w:rsid w:val="00171460"/>
    <w:rsid w:val="00172317"/>
    <w:rsid w:val="001725EA"/>
    <w:rsid w:val="00172E6C"/>
    <w:rsid w:val="00172E89"/>
    <w:rsid w:val="001733D6"/>
    <w:rsid w:val="00173931"/>
    <w:rsid w:val="00173941"/>
    <w:rsid w:val="00173D27"/>
    <w:rsid w:val="00173F33"/>
    <w:rsid w:val="00174739"/>
    <w:rsid w:val="001758B3"/>
    <w:rsid w:val="001760E8"/>
    <w:rsid w:val="001762D0"/>
    <w:rsid w:val="00176629"/>
    <w:rsid w:val="00176C78"/>
    <w:rsid w:val="00176CAF"/>
    <w:rsid w:val="001777F0"/>
    <w:rsid w:val="00177883"/>
    <w:rsid w:val="00177AFD"/>
    <w:rsid w:val="00177D52"/>
    <w:rsid w:val="00177DA7"/>
    <w:rsid w:val="00177DE4"/>
    <w:rsid w:val="00180095"/>
    <w:rsid w:val="00180676"/>
    <w:rsid w:val="00180789"/>
    <w:rsid w:val="001809D4"/>
    <w:rsid w:val="00181005"/>
    <w:rsid w:val="0018127C"/>
    <w:rsid w:val="001816A9"/>
    <w:rsid w:val="00181EC7"/>
    <w:rsid w:val="00181EC8"/>
    <w:rsid w:val="00181FC0"/>
    <w:rsid w:val="00182232"/>
    <w:rsid w:val="00183C3A"/>
    <w:rsid w:val="00184349"/>
    <w:rsid w:val="001846DD"/>
    <w:rsid w:val="00184756"/>
    <w:rsid w:val="00184858"/>
    <w:rsid w:val="00184D84"/>
    <w:rsid w:val="00184E97"/>
    <w:rsid w:val="0018585C"/>
    <w:rsid w:val="0018695A"/>
    <w:rsid w:val="00187524"/>
    <w:rsid w:val="0018753B"/>
    <w:rsid w:val="00187B86"/>
    <w:rsid w:val="00187BE4"/>
    <w:rsid w:val="001900F5"/>
    <w:rsid w:val="00190A4E"/>
    <w:rsid w:val="00190BA3"/>
    <w:rsid w:val="00190C35"/>
    <w:rsid w:val="00190C36"/>
    <w:rsid w:val="001913DF"/>
    <w:rsid w:val="0019161E"/>
    <w:rsid w:val="0019168B"/>
    <w:rsid w:val="00191E3D"/>
    <w:rsid w:val="0019235D"/>
    <w:rsid w:val="00192629"/>
    <w:rsid w:val="001929A9"/>
    <w:rsid w:val="0019390B"/>
    <w:rsid w:val="00193A1B"/>
    <w:rsid w:val="00193BC1"/>
    <w:rsid w:val="00193EAF"/>
    <w:rsid w:val="00194BBE"/>
    <w:rsid w:val="001953CF"/>
    <w:rsid w:val="001954E7"/>
    <w:rsid w:val="0019560A"/>
    <w:rsid w:val="001958A3"/>
    <w:rsid w:val="00195B72"/>
    <w:rsid w:val="00195C37"/>
    <w:rsid w:val="00195D05"/>
    <w:rsid w:val="00195F33"/>
    <w:rsid w:val="00196053"/>
    <w:rsid w:val="00197040"/>
    <w:rsid w:val="001970F5"/>
    <w:rsid w:val="00197425"/>
    <w:rsid w:val="00197C63"/>
    <w:rsid w:val="00197F0A"/>
    <w:rsid w:val="001A05F4"/>
    <w:rsid w:val="001A07E0"/>
    <w:rsid w:val="001A17B8"/>
    <w:rsid w:val="001A1996"/>
    <w:rsid w:val="001A2478"/>
    <w:rsid w:val="001A24DD"/>
    <w:rsid w:val="001A289D"/>
    <w:rsid w:val="001A2B0D"/>
    <w:rsid w:val="001A2CF7"/>
    <w:rsid w:val="001A2DE4"/>
    <w:rsid w:val="001A327C"/>
    <w:rsid w:val="001A38DA"/>
    <w:rsid w:val="001A38E4"/>
    <w:rsid w:val="001A3FB1"/>
    <w:rsid w:val="001A4FE9"/>
    <w:rsid w:val="001A51C5"/>
    <w:rsid w:val="001A5EE1"/>
    <w:rsid w:val="001A6702"/>
    <w:rsid w:val="001A742B"/>
    <w:rsid w:val="001A7703"/>
    <w:rsid w:val="001A7784"/>
    <w:rsid w:val="001A78EF"/>
    <w:rsid w:val="001A7FF9"/>
    <w:rsid w:val="001B05C2"/>
    <w:rsid w:val="001B0C80"/>
    <w:rsid w:val="001B0EA1"/>
    <w:rsid w:val="001B1617"/>
    <w:rsid w:val="001B1E92"/>
    <w:rsid w:val="001B1FC8"/>
    <w:rsid w:val="001B2005"/>
    <w:rsid w:val="001B237E"/>
    <w:rsid w:val="001B2696"/>
    <w:rsid w:val="001B3194"/>
    <w:rsid w:val="001B3A62"/>
    <w:rsid w:val="001B504B"/>
    <w:rsid w:val="001B5A69"/>
    <w:rsid w:val="001B5D34"/>
    <w:rsid w:val="001B5DF4"/>
    <w:rsid w:val="001B600E"/>
    <w:rsid w:val="001B619E"/>
    <w:rsid w:val="001B6A87"/>
    <w:rsid w:val="001B6FDF"/>
    <w:rsid w:val="001C0A7C"/>
    <w:rsid w:val="001C0D8C"/>
    <w:rsid w:val="001C1731"/>
    <w:rsid w:val="001C17C5"/>
    <w:rsid w:val="001C1B06"/>
    <w:rsid w:val="001C1EE8"/>
    <w:rsid w:val="001C29FC"/>
    <w:rsid w:val="001C2C1E"/>
    <w:rsid w:val="001C2D36"/>
    <w:rsid w:val="001C2F00"/>
    <w:rsid w:val="001C303E"/>
    <w:rsid w:val="001C303F"/>
    <w:rsid w:val="001C34F2"/>
    <w:rsid w:val="001C3BB1"/>
    <w:rsid w:val="001C49C4"/>
    <w:rsid w:val="001C49C9"/>
    <w:rsid w:val="001C4A78"/>
    <w:rsid w:val="001C4AEF"/>
    <w:rsid w:val="001C4DF7"/>
    <w:rsid w:val="001C5036"/>
    <w:rsid w:val="001C5273"/>
    <w:rsid w:val="001C6243"/>
    <w:rsid w:val="001C6447"/>
    <w:rsid w:val="001C681F"/>
    <w:rsid w:val="001C6E4C"/>
    <w:rsid w:val="001C74E2"/>
    <w:rsid w:val="001C7637"/>
    <w:rsid w:val="001C764E"/>
    <w:rsid w:val="001C7C22"/>
    <w:rsid w:val="001C7CBD"/>
    <w:rsid w:val="001D060B"/>
    <w:rsid w:val="001D0743"/>
    <w:rsid w:val="001D0C66"/>
    <w:rsid w:val="001D0C99"/>
    <w:rsid w:val="001D0D88"/>
    <w:rsid w:val="001D13B3"/>
    <w:rsid w:val="001D21F2"/>
    <w:rsid w:val="001D248C"/>
    <w:rsid w:val="001D26DD"/>
    <w:rsid w:val="001D285D"/>
    <w:rsid w:val="001D2868"/>
    <w:rsid w:val="001D2A5F"/>
    <w:rsid w:val="001D3874"/>
    <w:rsid w:val="001D3A1B"/>
    <w:rsid w:val="001D41FA"/>
    <w:rsid w:val="001D4D1E"/>
    <w:rsid w:val="001D4F5E"/>
    <w:rsid w:val="001D51B7"/>
    <w:rsid w:val="001D52BD"/>
    <w:rsid w:val="001D5344"/>
    <w:rsid w:val="001D605F"/>
    <w:rsid w:val="001D6079"/>
    <w:rsid w:val="001D63DE"/>
    <w:rsid w:val="001D68F8"/>
    <w:rsid w:val="001D73BC"/>
    <w:rsid w:val="001D770A"/>
    <w:rsid w:val="001D78A2"/>
    <w:rsid w:val="001D7E75"/>
    <w:rsid w:val="001E0173"/>
    <w:rsid w:val="001E031D"/>
    <w:rsid w:val="001E045D"/>
    <w:rsid w:val="001E086A"/>
    <w:rsid w:val="001E0AD0"/>
    <w:rsid w:val="001E0E87"/>
    <w:rsid w:val="001E0F3F"/>
    <w:rsid w:val="001E1093"/>
    <w:rsid w:val="001E143D"/>
    <w:rsid w:val="001E20A5"/>
    <w:rsid w:val="001E22D1"/>
    <w:rsid w:val="001E2332"/>
    <w:rsid w:val="001E2795"/>
    <w:rsid w:val="001E3253"/>
    <w:rsid w:val="001E4FC5"/>
    <w:rsid w:val="001E55FC"/>
    <w:rsid w:val="001E56D2"/>
    <w:rsid w:val="001E59DD"/>
    <w:rsid w:val="001E5CD3"/>
    <w:rsid w:val="001E5E0E"/>
    <w:rsid w:val="001E6042"/>
    <w:rsid w:val="001E62CD"/>
    <w:rsid w:val="001E69ED"/>
    <w:rsid w:val="001E6E6B"/>
    <w:rsid w:val="001E6FCA"/>
    <w:rsid w:val="001E71F0"/>
    <w:rsid w:val="001E752E"/>
    <w:rsid w:val="001E75AC"/>
    <w:rsid w:val="001E76C7"/>
    <w:rsid w:val="001E7713"/>
    <w:rsid w:val="001E7D56"/>
    <w:rsid w:val="001E7F15"/>
    <w:rsid w:val="001E7F22"/>
    <w:rsid w:val="001E7F85"/>
    <w:rsid w:val="001F056A"/>
    <w:rsid w:val="001F089D"/>
    <w:rsid w:val="001F0D2A"/>
    <w:rsid w:val="001F1EA7"/>
    <w:rsid w:val="001F1F39"/>
    <w:rsid w:val="001F2258"/>
    <w:rsid w:val="001F2456"/>
    <w:rsid w:val="001F2952"/>
    <w:rsid w:val="001F2F44"/>
    <w:rsid w:val="001F2F72"/>
    <w:rsid w:val="001F340F"/>
    <w:rsid w:val="001F3471"/>
    <w:rsid w:val="001F387E"/>
    <w:rsid w:val="001F39F7"/>
    <w:rsid w:val="001F4615"/>
    <w:rsid w:val="001F52DC"/>
    <w:rsid w:val="001F5EFF"/>
    <w:rsid w:val="001F6236"/>
    <w:rsid w:val="001F6816"/>
    <w:rsid w:val="001F6AF6"/>
    <w:rsid w:val="001F7301"/>
    <w:rsid w:val="001F75DE"/>
    <w:rsid w:val="001F7F96"/>
    <w:rsid w:val="002001B4"/>
    <w:rsid w:val="00200917"/>
    <w:rsid w:val="00200B41"/>
    <w:rsid w:val="00200D58"/>
    <w:rsid w:val="00200D75"/>
    <w:rsid w:val="00200F1C"/>
    <w:rsid w:val="002013BE"/>
    <w:rsid w:val="002014F7"/>
    <w:rsid w:val="002018C2"/>
    <w:rsid w:val="00201F5D"/>
    <w:rsid w:val="00202505"/>
    <w:rsid w:val="002028A9"/>
    <w:rsid w:val="00202B84"/>
    <w:rsid w:val="00203254"/>
    <w:rsid w:val="002038E3"/>
    <w:rsid w:val="00203E8E"/>
    <w:rsid w:val="00204664"/>
    <w:rsid w:val="0020490A"/>
    <w:rsid w:val="002053E4"/>
    <w:rsid w:val="002057F2"/>
    <w:rsid w:val="00205BFE"/>
    <w:rsid w:val="00205DC5"/>
    <w:rsid w:val="0020631D"/>
    <w:rsid w:val="002063A4"/>
    <w:rsid w:val="00206933"/>
    <w:rsid w:val="00206D35"/>
    <w:rsid w:val="00206F97"/>
    <w:rsid w:val="002072BD"/>
    <w:rsid w:val="00207374"/>
    <w:rsid w:val="002075E1"/>
    <w:rsid w:val="00207715"/>
    <w:rsid w:val="0020783B"/>
    <w:rsid w:val="002078CC"/>
    <w:rsid w:val="00210217"/>
    <w:rsid w:val="0021025E"/>
    <w:rsid w:val="0021034E"/>
    <w:rsid w:val="002104DD"/>
    <w:rsid w:val="002109DF"/>
    <w:rsid w:val="0021145B"/>
    <w:rsid w:val="00211A71"/>
    <w:rsid w:val="0021233B"/>
    <w:rsid w:val="0021233E"/>
    <w:rsid w:val="00212944"/>
    <w:rsid w:val="00213366"/>
    <w:rsid w:val="002136EA"/>
    <w:rsid w:val="0021404E"/>
    <w:rsid w:val="00214277"/>
    <w:rsid w:val="0021456D"/>
    <w:rsid w:val="0021486B"/>
    <w:rsid w:val="002148CB"/>
    <w:rsid w:val="002150BE"/>
    <w:rsid w:val="00215329"/>
    <w:rsid w:val="002157A2"/>
    <w:rsid w:val="002157D7"/>
    <w:rsid w:val="00215C25"/>
    <w:rsid w:val="00215EB0"/>
    <w:rsid w:val="00216157"/>
    <w:rsid w:val="0021690B"/>
    <w:rsid w:val="002174EF"/>
    <w:rsid w:val="00217584"/>
    <w:rsid w:val="00217638"/>
    <w:rsid w:val="002179D5"/>
    <w:rsid w:val="002203E7"/>
    <w:rsid w:val="00220B4E"/>
    <w:rsid w:val="00220EA4"/>
    <w:rsid w:val="0022133A"/>
    <w:rsid w:val="00222171"/>
    <w:rsid w:val="0022218E"/>
    <w:rsid w:val="00222583"/>
    <w:rsid w:val="00222A5A"/>
    <w:rsid w:val="002231D1"/>
    <w:rsid w:val="0022366E"/>
    <w:rsid w:val="00223F45"/>
    <w:rsid w:val="002240E8"/>
    <w:rsid w:val="00224162"/>
    <w:rsid w:val="00224F53"/>
    <w:rsid w:val="002253BF"/>
    <w:rsid w:val="002254CB"/>
    <w:rsid w:val="00225A7A"/>
    <w:rsid w:val="00226059"/>
    <w:rsid w:val="00226346"/>
    <w:rsid w:val="0022670A"/>
    <w:rsid w:val="00226D9A"/>
    <w:rsid w:val="002272BD"/>
    <w:rsid w:val="0022762D"/>
    <w:rsid w:val="00230741"/>
    <w:rsid w:val="00231007"/>
    <w:rsid w:val="00231187"/>
    <w:rsid w:val="00231657"/>
    <w:rsid w:val="002317A2"/>
    <w:rsid w:val="00231A63"/>
    <w:rsid w:val="00232303"/>
    <w:rsid w:val="00232831"/>
    <w:rsid w:val="002328CC"/>
    <w:rsid w:val="00232A36"/>
    <w:rsid w:val="00233951"/>
    <w:rsid w:val="00233AD3"/>
    <w:rsid w:val="00234052"/>
    <w:rsid w:val="00234375"/>
    <w:rsid w:val="002346A0"/>
    <w:rsid w:val="00234806"/>
    <w:rsid w:val="00234EA7"/>
    <w:rsid w:val="00234F1E"/>
    <w:rsid w:val="002351DD"/>
    <w:rsid w:val="002353C4"/>
    <w:rsid w:val="00236825"/>
    <w:rsid w:val="00236D13"/>
    <w:rsid w:val="002371C8"/>
    <w:rsid w:val="0023729D"/>
    <w:rsid w:val="00237798"/>
    <w:rsid w:val="002378BD"/>
    <w:rsid w:val="002378D6"/>
    <w:rsid w:val="00237923"/>
    <w:rsid w:val="0024007E"/>
    <w:rsid w:val="00240698"/>
    <w:rsid w:val="0024094E"/>
    <w:rsid w:val="00240B36"/>
    <w:rsid w:val="00241595"/>
    <w:rsid w:val="002417A9"/>
    <w:rsid w:val="00241887"/>
    <w:rsid w:val="00241D99"/>
    <w:rsid w:val="00241EB3"/>
    <w:rsid w:val="0024323A"/>
    <w:rsid w:val="00243D36"/>
    <w:rsid w:val="00243E86"/>
    <w:rsid w:val="002443AA"/>
    <w:rsid w:val="00244CF2"/>
    <w:rsid w:val="00244EC1"/>
    <w:rsid w:val="00244F37"/>
    <w:rsid w:val="00245177"/>
    <w:rsid w:val="0024570D"/>
    <w:rsid w:val="00245B93"/>
    <w:rsid w:val="00245DED"/>
    <w:rsid w:val="00246363"/>
    <w:rsid w:val="00246721"/>
    <w:rsid w:val="00246758"/>
    <w:rsid w:val="00246E01"/>
    <w:rsid w:val="00247006"/>
    <w:rsid w:val="0024706F"/>
    <w:rsid w:val="0024754E"/>
    <w:rsid w:val="00247707"/>
    <w:rsid w:val="002503BE"/>
    <w:rsid w:val="002504AA"/>
    <w:rsid w:val="002514EE"/>
    <w:rsid w:val="00252892"/>
    <w:rsid w:val="00252958"/>
    <w:rsid w:val="00252EBA"/>
    <w:rsid w:val="00253693"/>
    <w:rsid w:val="0025376E"/>
    <w:rsid w:val="002543EB"/>
    <w:rsid w:val="00254604"/>
    <w:rsid w:val="00254606"/>
    <w:rsid w:val="002546E6"/>
    <w:rsid w:val="00254A36"/>
    <w:rsid w:val="00254A44"/>
    <w:rsid w:val="00254FB1"/>
    <w:rsid w:val="0025546F"/>
    <w:rsid w:val="00256A5B"/>
    <w:rsid w:val="00256DA4"/>
    <w:rsid w:val="00257614"/>
    <w:rsid w:val="00257755"/>
    <w:rsid w:val="00257DC2"/>
    <w:rsid w:val="00257EF5"/>
    <w:rsid w:val="002600F3"/>
    <w:rsid w:val="0026050F"/>
    <w:rsid w:val="002605C3"/>
    <w:rsid w:val="00260ABB"/>
    <w:rsid w:val="00260BE9"/>
    <w:rsid w:val="00260E7D"/>
    <w:rsid w:val="00261033"/>
    <w:rsid w:val="00261D7F"/>
    <w:rsid w:val="00261F49"/>
    <w:rsid w:val="00262D9E"/>
    <w:rsid w:val="00262E1C"/>
    <w:rsid w:val="00263171"/>
    <w:rsid w:val="002634CD"/>
    <w:rsid w:val="0026355B"/>
    <w:rsid w:val="00263C40"/>
    <w:rsid w:val="0026426E"/>
    <w:rsid w:val="00264340"/>
    <w:rsid w:val="00264D9D"/>
    <w:rsid w:val="00265495"/>
    <w:rsid w:val="00265991"/>
    <w:rsid w:val="0026644A"/>
    <w:rsid w:val="00267192"/>
    <w:rsid w:val="00267AC1"/>
    <w:rsid w:val="00267AE6"/>
    <w:rsid w:val="00267EC0"/>
    <w:rsid w:val="002704D0"/>
    <w:rsid w:val="002706BD"/>
    <w:rsid w:val="00270A38"/>
    <w:rsid w:val="00270DA8"/>
    <w:rsid w:val="00271087"/>
    <w:rsid w:val="00271421"/>
    <w:rsid w:val="00271543"/>
    <w:rsid w:val="00271BA9"/>
    <w:rsid w:val="00271D5C"/>
    <w:rsid w:val="00272357"/>
    <w:rsid w:val="00272525"/>
    <w:rsid w:val="00272563"/>
    <w:rsid w:val="002730D2"/>
    <w:rsid w:val="00273506"/>
    <w:rsid w:val="002735CE"/>
    <w:rsid w:val="00273678"/>
    <w:rsid w:val="00273BE0"/>
    <w:rsid w:val="00273F1C"/>
    <w:rsid w:val="00274337"/>
    <w:rsid w:val="002744E8"/>
    <w:rsid w:val="002749D6"/>
    <w:rsid w:val="00274A2B"/>
    <w:rsid w:val="002755CF"/>
    <w:rsid w:val="00275BDB"/>
    <w:rsid w:val="00276216"/>
    <w:rsid w:val="00276656"/>
    <w:rsid w:val="002768DF"/>
    <w:rsid w:val="00276C3E"/>
    <w:rsid w:val="00276E15"/>
    <w:rsid w:val="00277919"/>
    <w:rsid w:val="00277D9D"/>
    <w:rsid w:val="0028009B"/>
    <w:rsid w:val="002802F6"/>
    <w:rsid w:val="00280A43"/>
    <w:rsid w:val="002810F1"/>
    <w:rsid w:val="00281339"/>
    <w:rsid w:val="00282023"/>
    <w:rsid w:val="002827EF"/>
    <w:rsid w:val="00282C38"/>
    <w:rsid w:val="00282D80"/>
    <w:rsid w:val="002833F6"/>
    <w:rsid w:val="002836E6"/>
    <w:rsid w:val="00283D4B"/>
    <w:rsid w:val="00284BE4"/>
    <w:rsid w:val="00285353"/>
    <w:rsid w:val="00285444"/>
    <w:rsid w:val="002857EA"/>
    <w:rsid w:val="00285AC1"/>
    <w:rsid w:val="00286110"/>
    <w:rsid w:val="0028617E"/>
    <w:rsid w:val="00286740"/>
    <w:rsid w:val="0028689D"/>
    <w:rsid w:val="00286EA6"/>
    <w:rsid w:val="00286F08"/>
    <w:rsid w:val="00287615"/>
    <w:rsid w:val="00287B42"/>
    <w:rsid w:val="00287B6B"/>
    <w:rsid w:val="00287CC4"/>
    <w:rsid w:val="00287DA3"/>
    <w:rsid w:val="0029001C"/>
    <w:rsid w:val="00290741"/>
    <w:rsid w:val="002908DE"/>
    <w:rsid w:val="00290E06"/>
    <w:rsid w:val="00290E67"/>
    <w:rsid w:val="00291239"/>
    <w:rsid w:val="002920DD"/>
    <w:rsid w:val="002925BC"/>
    <w:rsid w:val="002929D8"/>
    <w:rsid w:val="00292C01"/>
    <w:rsid w:val="00292E78"/>
    <w:rsid w:val="0029301C"/>
    <w:rsid w:val="002935C2"/>
    <w:rsid w:val="0029383F"/>
    <w:rsid w:val="00293E95"/>
    <w:rsid w:val="00294F60"/>
    <w:rsid w:val="00295389"/>
    <w:rsid w:val="0029554C"/>
    <w:rsid w:val="00295929"/>
    <w:rsid w:val="002959F7"/>
    <w:rsid w:val="00295C95"/>
    <w:rsid w:val="002963AE"/>
    <w:rsid w:val="00296EC7"/>
    <w:rsid w:val="002974F2"/>
    <w:rsid w:val="00297C5C"/>
    <w:rsid w:val="002A00B7"/>
    <w:rsid w:val="002A0107"/>
    <w:rsid w:val="002A0E20"/>
    <w:rsid w:val="002A11CE"/>
    <w:rsid w:val="002A11F5"/>
    <w:rsid w:val="002A1372"/>
    <w:rsid w:val="002A1530"/>
    <w:rsid w:val="002A1D3A"/>
    <w:rsid w:val="002A237D"/>
    <w:rsid w:val="002A2699"/>
    <w:rsid w:val="002A2896"/>
    <w:rsid w:val="002A2B0F"/>
    <w:rsid w:val="002A2D6A"/>
    <w:rsid w:val="002A3BE4"/>
    <w:rsid w:val="002A4105"/>
    <w:rsid w:val="002A4408"/>
    <w:rsid w:val="002A46AE"/>
    <w:rsid w:val="002A4812"/>
    <w:rsid w:val="002A4A4A"/>
    <w:rsid w:val="002A4C53"/>
    <w:rsid w:val="002A4DEB"/>
    <w:rsid w:val="002A4EE2"/>
    <w:rsid w:val="002A5072"/>
    <w:rsid w:val="002A56CB"/>
    <w:rsid w:val="002A5D91"/>
    <w:rsid w:val="002A638A"/>
    <w:rsid w:val="002A649D"/>
    <w:rsid w:val="002A68E7"/>
    <w:rsid w:val="002A7872"/>
    <w:rsid w:val="002A7F84"/>
    <w:rsid w:val="002B0327"/>
    <w:rsid w:val="002B0672"/>
    <w:rsid w:val="002B0DB0"/>
    <w:rsid w:val="002B1626"/>
    <w:rsid w:val="002B1712"/>
    <w:rsid w:val="002B1B4C"/>
    <w:rsid w:val="002B2285"/>
    <w:rsid w:val="002B247F"/>
    <w:rsid w:val="002B321D"/>
    <w:rsid w:val="002B3445"/>
    <w:rsid w:val="002B3539"/>
    <w:rsid w:val="002B37B7"/>
    <w:rsid w:val="002B4624"/>
    <w:rsid w:val="002B4B4A"/>
    <w:rsid w:val="002B4C75"/>
    <w:rsid w:val="002B4D21"/>
    <w:rsid w:val="002B5246"/>
    <w:rsid w:val="002B531B"/>
    <w:rsid w:val="002B5A38"/>
    <w:rsid w:val="002B5A8A"/>
    <w:rsid w:val="002B5E38"/>
    <w:rsid w:val="002B68C7"/>
    <w:rsid w:val="002B6C2A"/>
    <w:rsid w:val="002B72B9"/>
    <w:rsid w:val="002B7F1A"/>
    <w:rsid w:val="002C0122"/>
    <w:rsid w:val="002C07A6"/>
    <w:rsid w:val="002C0D3E"/>
    <w:rsid w:val="002C0E44"/>
    <w:rsid w:val="002C0E73"/>
    <w:rsid w:val="002C10A4"/>
    <w:rsid w:val="002C13F6"/>
    <w:rsid w:val="002C145D"/>
    <w:rsid w:val="002C1895"/>
    <w:rsid w:val="002C1B74"/>
    <w:rsid w:val="002C2578"/>
    <w:rsid w:val="002C2C3E"/>
    <w:rsid w:val="002C35AB"/>
    <w:rsid w:val="002C3AB1"/>
    <w:rsid w:val="002C3AE3"/>
    <w:rsid w:val="002C3DC8"/>
    <w:rsid w:val="002C4573"/>
    <w:rsid w:val="002C4746"/>
    <w:rsid w:val="002C48A7"/>
    <w:rsid w:val="002C4ADD"/>
    <w:rsid w:val="002C4EF1"/>
    <w:rsid w:val="002C533E"/>
    <w:rsid w:val="002C5525"/>
    <w:rsid w:val="002C5B64"/>
    <w:rsid w:val="002C61B0"/>
    <w:rsid w:val="002C7B34"/>
    <w:rsid w:val="002C7B85"/>
    <w:rsid w:val="002C7CDC"/>
    <w:rsid w:val="002C7CDF"/>
    <w:rsid w:val="002C7CE6"/>
    <w:rsid w:val="002D0275"/>
    <w:rsid w:val="002D027F"/>
    <w:rsid w:val="002D0609"/>
    <w:rsid w:val="002D0FEF"/>
    <w:rsid w:val="002D104D"/>
    <w:rsid w:val="002D1242"/>
    <w:rsid w:val="002D147A"/>
    <w:rsid w:val="002D18AE"/>
    <w:rsid w:val="002D18AF"/>
    <w:rsid w:val="002D1B90"/>
    <w:rsid w:val="002D21B2"/>
    <w:rsid w:val="002D2511"/>
    <w:rsid w:val="002D312B"/>
    <w:rsid w:val="002D3912"/>
    <w:rsid w:val="002D39C6"/>
    <w:rsid w:val="002D3B72"/>
    <w:rsid w:val="002D41B8"/>
    <w:rsid w:val="002D475F"/>
    <w:rsid w:val="002D5AC7"/>
    <w:rsid w:val="002D5DF2"/>
    <w:rsid w:val="002D6782"/>
    <w:rsid w:val="002D6B59"/>
    <w:rsid w:val="002D7A85"/>
    <w:rsid w:val="002D7B60"/>
    <w:rsid w:val="002E04FA"/>
    <w:rsid w:val="002E0905"/>
    <w:rsid w:val="002E12BC"/>
    <w:rsid w:val="002E1895"/>
    <w:rsid w:val="002E19D4"/>
    <w:rsid w:val="002E1C1D"/>
    <w:rsid w:val="002E1D71"/>
    <w:rsid w:val="002E36A8"/>
    <w:rsid w:val="002E36C4"/>
    <w:rsid w:val="002E383A"/>
    <w:rsid w:val="002E3A7F"/>
    <w:rsid w:val="002E462B"/>
    <w:rsid w:val="002E6689"/>
    <w:rsid w:val="002E673C"/>
    <w:rsid w:val="002E67CC"/>
    <w:rsid w:val="002E6857"/>
    <w:rsid w:val="002E7795"/>
    <w:rsid w:val="002F01C4"/>
    <w:rsid w:val="002F01D2"/>
    <w:rsid w:val="002F0362"/>
    <w:rsid w:val="002F0B62"/>
    <w:rsid w:val="002F0FF3"/>
    <w:rsid w:val="002F1372"/>
    <w:rsid w:val="002F13DF"/>
    <w:rsid w:val="002F1A5C"/>
    <w:rsid w:val="002F22EA"/>
    <w:rsid w:val="002F24F0"/>
    <w:rsid w:val="002F39B0"/>
    <w:rsid w:val="002F3D96"/>
    <w:rsid w:val="002F3F6B"/>
    <w:rsid w:val="002F40FE"/>
    <w:rsid w:val="002F419C"/>
    <w:rsid w:val="002F4669"/>
    <w:rsid w:val="002F4761"/>
    <w:rsid w:val="002F4E1A"/>
    <w:rsid w:val="002F5626"/>
    <w:rsid w:val="002F57AC"/>
    <w:rsid w:val="002F5A76"/>
    <w:rsid w:val="002F5C79"/>
    <w:rsid w:val="002F6193"/>
    <w:rsid w:val="002F6D48"/>
    <w:rsid w:val="002F771D"/>
    <w:rsid w:val="002F77B0"/>
    <w:rsid w:val="002F7EC0"/>
    <w:rsid w:val="00300C27"/>
    <w:rsid w:val="00300F8F"/>
    <w:rsid w:val="00301495"/>
    <w:rsid w:val="00301592"/>
    <w:rsid w:val="00301867"/>
    <w:rsid w:val="003019E2"/>
    <w:rsid w:val="0030269E"/>
    <w:rsid w:val="00302758"/>
    <w:rsid w:val="00303974"/>
    <w:rsid w:val="00303ABC"/>
    <w:rsid w:val="0030453A"/>
    <w:rsid w:val="00304B16"/>
    <w:rsid w:val="00304F5B"/>
    <w:rsid w:val="003050B3"/>
    <w:rsid w:val="00305254"/>
    <w:rsid w:val="00305620"/>
    <w:rsid w:val="00305844"/>
    <w:rsid w:val="00305B26"/>
    <w:rsid w:val="00305C40"/>
    <w:rsid w:val="00306490"/>
    <w:rsid w:val="00306E39"/>
    <w:rsid w:val="0030770A"/>
    <w:rsid w:val="003079B8"/>
    <w:rsid w:val="00307CE5"/>
    <w:rsid w:val="003107FE"/>
    <w:rsid w:val="0031106E"/>
    <w:rsid w:val="0031122C"/>
    <w:rsid w:val="00311DCC"/>
    <w:rsid w:val="003120B2"/>
    <w:rsid w:val="0031214F"/>
    <w:rsid w:val="00312C31"/>
    <w:rsid w:val="00312C75"/>
    <w:rsid w:val="00312EB3"/>
    <w:rsid w:val="00313553"/>
    <w:rsid w:val="00313A18"/>
    <w:rsid w:val="0031413F"/>
    <w:rsid w:val="00314296"/>
    <w:rsid w:val="003147BE"/>
    <w:rsid w:val="003148BB"/>
    <w:rsid w:val="003153F6"/>
    <w:rsid w:val="00315922"/>
    <w:rsid w:val="00315BB4"/>
    <w:rsid w:val="00315BF5"/>
    <w:rsid w:val="00315C33"/>
    <w:rsid w:val="00315F85"/>
    <w:rsid w:val="00315FB3"/>
    <w:rsid w:val="00316046"/>
    <w:rsid w:val="0031691F"/>
    <w:rsid w:val="00317976"/>
    <w:rsid w:val="00317A15"/>
    <w:rsid w:val="00317C81"/>
    <w:rsid w:val="00320005"/>
    <w:rsid w:val="003202F9"/>
    <w:rsid w:val="00321B65"/>
    <w:rsid w:val="00321B72"/>
    <w:rsid w:val="00321E94"/>
    <w:rsid w:val="00322EDC"/>
    <w:rsid w:val="00323030"/>
    <w:rsid w:val="00323098"/>
    <w:rsid w:val="00323209"/>
    <w:rsid w:val="0032359F"/>
    <w:rsid w:val="00323885"/>
    <w:rsid w:val="00323943"/>
    <w:rsid w:val="00323CD6"/>
    <w:rsid w:val="003243B1"/>
    <w:rsid w:val="0032478A"/>
    <w:rsid w:val="00325362"/>
    <w:rsid w:val="00325F3D"/>
    <w:rsid w:val="003260F1"/>
    <w:rsid w:val="0032633D"/>
    <w:rsid w:val="0032636D"/>
    <w:rsid w:val="0032677E"/>
    <w:rsid w:val="00326FE5"/>
    <w:rsid w:val="00327052"/>
    <w:rsid w:val="00327D0A"/>
    <w:rsid w:val="00330639"/>
    <w:rsid w:val="003308B8"/>
    <w:rsid w:val="00330CA0"/>
    <w:rsid w:val="00331475"/>
    <w:rsid w:val="00331ECE"/>
    <w:rsid w:val="00332659"/>
    <w:rsid w:val="00332ECA"/>
    <w:rsid w:val="0033329E"/>
    <w:rsid w:val="003336DE"/>
    <w:rsid w:val="00333977"/>
    <w:rsid w:val="00333B3A"/>
    <w:rsid w:val="00333CD7"/>
    <w:rsid w:val="00333E80"/>
    <w:rsid w:val="0033544C"/>
    <w:rsid w:val="00335735"/>
    <w:rsid w:val="0033592C"/>
    <w:rsid w:val="00335E7C"/>
    <w:rsid w:val="00336172"/>
    <w:rsid w:val="00336A6A"/>
    <w:rsid w:val="00336B16"/>
    <w:rsid w:val="00336EE5"/>
    <w:rsid w:val="003373D9"/>
    <w:rsid w:val="00337456"/>
    <w:rsid w:val="003374AA"/>
    <w:rsid w:val="003376F6"/>
    <w:rsid w:val="00337924"/>
    <w:rsid w:val="00337DAD"/>
    <w:rsid w:val="00337F3C"/>
    <w:rsid w:val="0034023B"/>
    <w:rsid w:val="00340D23"/>
    <w:rsid w:val="00340FD8"/>
    <w:rsid w:val="003412F4"/>
    <w:rsid w:val="00341F40"/>
    <w:rsid w:val="00341F82"/>
    <w:rsid w:val="00342007"/>
    <w:rsid w:val="00342AE7"/>
    <w:rsid w:val="003436C5"/>
    <w:rsid w:val="00343905"/>
    <w:rsid w:val="00343B56"/>
    <w:rsid w:val="00343D9E"/>
    <w:rsid w:val="00343FFC"/>
    <w:rsid w:val="00344784"/>
    <w:rsid w:val="003447E1"/>
    <w:rsid w:val="003451B4"/>
    <w:rsid w:val="00345636"/>
    <w:rsid w:val="00345698"/>
    <w:rsid w:val="00345CE2"/>
    <w:rsid w:val="0034616A"/>
    <w:rsid w:val="00346558"/>
    <w:rsid w:val="0034683C"/>
    <w:rsid w:val="00346AAE"/>
    <w:rsid w:val="00347480"/>
    <w:rsid w:val="00347568"/>
    <w:rsid w:val="003504C3"/>
    <w:rsid w:val="003511F7"/>
    <w:rsid w:val="00351854"/>
    <w:rsid w:val="00351A93"/>
    <w:rsid w:val="00351CBC"/>
    <w:rsid w:val="003528FC"/>
    <w:rsid w:val="00352A25"/>
    <w:rsid w:val="0035316B"/>
    <w:rsid w:val="00353997"/>
    <w:rsid w:val="00353CFC"/>
    <w:rsid w:val="0035501B"/>
    <w:rsid w:val="00355080"/>
    <w:rsid w:val="0035580D"/>
    <w:rsid w:val="00355EA9"/>
    <w:rsid w:val="00356173"/>
    <w:rsid w:val="00356462"/>
    <w:rsid w:val="00357645"/>
    <w:rsid w:val="003578DE"/>
    <w:rsid w:val="00360151"/>
    <w:rsid w:val="00360377"/>
    <w:rsid w:val="0036055C"/>
    <w:rsid w:val="00360E0F"/>
    <w:rsid w:val="00361FB7"/>
    <w:rsid w:val="003629E7"/>
    <w:rsid w:val="00362E6C"/>
    <w:rsid w:val="0036322E"/>
    <w:rsid w:val="00363AF7"/>
    <w:rsid w:val="00363E21"/>
    <w:rsid w:val="00363FFE"/>
    <w:rsid w:val="00363FFF"/>
    <w:rsid w:val="00364072"/>
    <w:rsid w:val="003654A6"/>
    <w:rsid w:val="00365AC7"/>
    <w:rsid w:val="00365DCB"/>
    <w:rsid w:val="00365E97"/>
    <w:rsid w:val="00365F6B"/>
    <w:rsid w:val="00366251"/>
    <w:rsid w:val="00366570"/>
    <w:rsid w:val="003668AA"/>
    <w:rsid w:val="00366F20"/>
    <w:rsid w:val="00366FBD"/>
    <w:rsid w:val="00367F93"/>
    <w:rsid w:val="003701DA"/>
    <w:rsid w:val="00370637"/>
    <w:rsid w:val="00370B2F"/>
    <w:rsid w:val="00370BF9"/>
    <w:rsid w:val="00370C4C"/>
    <w:rsid w:val="00371041"/>
    <w:rsid w:val="00371340"/>
    <w:rsid w:val="00371459"/>
    <w:rsid w:val="00371566"/>
    <w:rsid w:val="00371BC2"/>
    <w:rsid w:val="0037264F"/>
    <w:rsid w:val="0037272E"/>
    <w:rsid w:val="00372E6F"/>
    <w:rsid w:val="00372ECE"/>
    <w:rsid w:val="00373143"/>
    <w:rsid w:val="003733E1"/>
    <w:rsid w:val="00373564"/>
    <w:rsid w:val="00373882"/>
    <w:rsid w:val="00373B63"/>
    <w:rsid w:val="00374018"/>
    <w:rsid w:val="0037414F"/>
    <w:rsid w:val="00375664"/>
    <w:rsid w:val="003759AB"/>
    <w:rsid w:val="003759E2"/>
    <w:rsid w:val="00375CE9"/>
    <w:rsid w:val="00375EC2"/>
    <w:rsid w:val="00375ECC"/>
    <w:rsid w:val="003760A3"/>
    <w:rsid w:val="003761B4"/>
    <w:rsid w:val="00376270"/>
    <w:rsid w:val="00376B22"/>
    <w:rsid w:val="00376F19"/>
    <w:rsid w:val="003770E9"/>
    <w:rsid w:val="0037728E"/>
    <w:rsid w:val="003776F5"/>
    <w:rsid w:val="00377AB6"/>
    <w:rsid w:val="00377C13"/>
    <w:rsid w:val="00377D6F"/>
    <w:rsid w:val="00377DFE"/>
    <w:rsid w:val="00377E04"/>
    <w:rsid w:val="00377E08"/>
    <w:rsid w:val="00380175"/>
    <w:rsid w:val="0038050A"/>
    <w:rsid w:val="00380A6C"/>
    <w:rsid w:val="00380E14"/>
    <w:rsid w:val="00381989"/>
    <w:rsid w:val="00381F1C"/>
    <w:rsid w:val="00382357"/>
    <w:rsid w:val="00382ABE"/>
    <w:rsid w:val="00382F0C"/>
    <w:rsid w:val="003834F2"/>
    <w:rsid w:val="00384017"/>
    <w:rsid w:val="003844A8"/>
    <w:rsid w:val="0038450B"/>
    <w:rsid w:val="00384B52"/>
    <w:rsid w:val="00384D21"/>
    <w:rsid w:val="0038526D"/>
    <w:rsid w:val="00385507"/>
    <w:rsid w:val="003856EB"/>
    <w:rsid w:val="0038609C"/>
    <w:rsid w:val="00386374"/>
    <w:rsid w:val="0038685E"/>
    <w:rsid w:val="00386999"/>
    <w:rsid w:val="00387886"/>
    <w:rsid w:val="00390145"/>
    <w:rsid w:val="00390F2D"/>
    <w:rsid w:val="0039196E"/>
    <w:rsid w:val="00392275"/>
    <w:rsid w:val="003928F7"/>
    <w:rsid w:val="00393163"/>
    <w:rsid w:val="00394379"/>
    <w:rsid w:val="003946EE"/>
    <w:rsid w:val="003949AF"/>
    <w:rsid w:val="0039505E"/>
    <w:rsid w:val="003952BC"/>
    <w:rsid w:val="00395F9A"/>
    <w:rsid w:val="003960E6"/>
    <w:rsid w:val="00396257"/>
    <w:rsid w:val="00396261"/>
    <w:rsid w:val="0039626F"/>
    <w:rsid w:val="003968E2"/>
    <w:rsid w:val="003970D2"/>
    <w:rsid w:val="00397223"/>
    <w:rsid w:val="00397229"/>
    <w:rsid w:val="00397287"/>
    <w:rsid w:val="0039763A"/>
    <w:rsid w:val="00397D24"/>
    <w:rsid w:val="00397EB8"/>
    <w:rsid w:val="003A0128"/>
    <w:rsid w:val="003A06EA"/>
    <w:rsid w:val="003A07AB"/>
    <w:rsid w:val="003A086E"/>
    <w:rsid w:val="003A0989"/>
    <w:rsid w:val="003A0C38"/>
    <w:rsid w:val="003A0D35"/>
    <w:rsid w:val="003A129E"/>
    <w:rsid w:val="003A13ED"/>
    <w:rsid w:val="003A2447"/>
    <w:rsid w:val="003A24B6"/>
    <w:rsid w:val="003A2677"/>
    <w:rsid w:val="003A2780"/>
    <w:rsid w:val="003A28CB"/>
    <w:rsid w:val="003A2907"/>
    <w:rsid w:val="003A2DE5"/>
    <w:rsid w:val="003A3227"/>
    <w:rsid w:val="003A35CE"/>
    <w:rsid w:val="003A37B8"/>
    <w:rsid w:val="003A3A73"/>
    <w:rsid w:val="003A3A9F"/>
    <w:rsid w:val="003A4119"/>
    <w:rsid w:val="003A437E"/>
    <w:rsid w:val="003A43FA"/>
    <w:rsid w:val="003A4D0B"/>
    <w:rsid w:val="003A4FD0"/>
    <w:rsid w:val="003A4FF6"/>
    <w:rsid w:val="003A51A3"/>
    <w:rsid w:val="003A55F9"/>
    <w:rsid w:val="003A5BE0"/>
    <w:rsid w:val="003A69D1"/>
    <w:rsid w:val="003A6BBB"/>
    <w:rsid w:val="003A6DD0"/>
    <w:rsid w:val="003A71A1"/>
    <w:rsid w:val="003A7705"/>
    <w:rsid w:val="003A77B3"/>
    <w:rsid w:val="003B07A5"/>
    <w:rsid w:val="003B08DD"/>
    <w:rsid w:val="003B0FD0"/>
    <w:rsid w:val="003B1518"/>
    <w:rsid w:val="003B1545"/>
    <w:rsid w:val="003B1675"/>
    <w:rsid w:val="003B1B93"/>
    <w:rsid w:val="003B1D0A"/>
    <w:rsid w:val="003B25C1"/>
    <w:rsid w:val="003B277A"/>
    <w:rsid w:val="003B2FD7"/>
    <w:rsid w:val="003B32D1"/>
    <w:rsid w:val="003B38CC"/>
    <w:rsid w:val="003B3E1B"/>
    <w:rsid w:val="003B4F99"/>
    <w:rsid w:val="003B54AD"/>
    <w:rsid w:val="003B560D"/>
    <w:rsid w:val="003B5F27"/>
    <w:rsid w:val="003B65B0"/>
    <w:rsid w:val="003B6B46"/>
    <w:rsid w:val="003B6BEF"/>
    <w:rsid w:val="003B76CB"/>
    <w:rsid w:val="003B7D2C"/>
    <w:rsid w:val="003C035E"/>
    <w:rsid w:val="003C054F"/>
    <w:rsid w:val="003C06DD"/>
    <w:rsid w:val="003C0B59"/>
    <w:rsid w:val="003C0D90"/>
    <w:rsid w:val="003C16A3"/>
    <w:rsid w:val="003C2B97"/>
    <w:rsid w:val="003C3267"/>
    <w:rsid w:val="003C366F"/>
    <w:rsid w:val="003C3BA9"/>
    <w:rsid w:val="003C3C52"/>
    <w:rsid w:val="003C3E57"/>
    <w:rsid w:val="003C3F9F"/>
    <w:rsid w:val="003C402C"/>
    <w:rsid w:val="003C409D"/>
    <w:rsid w:val="003C41A5"/>
    <w:rsid w:val="003C487F"/>
    <w:rsid w:val="003C49D8"/>
    <w:rsid w:val="003C56AE"/>
    <w:rsid w:val="003C59AD"/>
    <w:rsid w:val="003C5BA6"/>
    <w:rsid w:val="003C61F6"/>
    <w:rsid w:val="003C7382"/>
    <w:rsid w:val="003D004B"/>
    <w:rsid w:val="003D01D0"/>
    <w:rsid w:val="003D078D"/>
    <w:rsid w:val="003D1E2C"/>
    <w:rsid w:val="003D24DA"/>
    <w:rsid w:val="003D419D"/>
    <w:rsid w:val="003D4289"/>
    <w:rsid w:val="003D4439"/>
    <w:rsid w:val="003D47BB"/>
    <w:rsid w:val="003D62EE"/>
    <w:rsid w:val="003D63DD"/>
    <w:rsid w:val="003D6640"/>
    <w:rsid w:val="003D6663"/>
    <w:rsid w:val="003D69BB"/>
    <w:rsid w:val="003D741B"/>
    <w:rsid w:val="003D79FF"/>
    <w:rsid w:val="003D7E37"/>
    <w:rsid w:val="003D7F71"/>
    <w:rsid w:val="003E0109"/>
    <w:rsid w:val="003E013B"/>
    <w:rsid w:val="003E04FF"/>
    <w:rsid w:val="003E06AE"/>
    <w:rsid w:val="003E0DD8"/>
    <w:rsid w:val="003E138C"/>
    <w:rsid w:val="003E16F3"/>
    <w:rsid w:val="003E1E81"/>
    <w:rsid w:val="003E1EA9"/>
    <w:rsid w:val="003E2089"/>
    <w:rsid w:val="003E33BC"/>
    <w:rsid w:val="003E3512"/>
    <w:rsid w:val="003E3BE3"/>
    <w:rsid w:val="003E44A6"/>
    <w:rsid w:val="003E476D"/>
    <w:rsid w:val="003E4DCF"/>
    <w:rsid w:val="003E4E85"/>
    <w:rsid w:val="003E5234"/>
    <w:rsid w:val="003E54BD"/>
    <w:rsid w:val="003E5645"/>
    <w:rsid w:val="003E5669"/>
    <w:rsid w:val="003E5C5C"/>
    <w:rsid w:val="003E5D44"/>
    <w:rsid w:val="003E64EB"/>
    <w:rsid w:val="003E6DBD"/>
    <w:rsid w:val="003E73FE"/>
    <w:rsid w:val="003E77F2"/>
    <w:rsid w:val="003E7F77"/>
    <w:rsid w:val="003F0A58"/>
    <w:rsid w:val="003F0AE5"/>
    <w:rsid w:val="003F0E85"/>
    <w:rsid w:val="003F111F"/>
    <w:rsid w:val="003F1143"/>
    <w:rsid w:val="003F1529"/>
    <w:rsid w:val="003F1648"/>
    <w:rsid w:val="003F1965"/>
    <w:rsid w:val="003F19A6"/>
    <w:rsid w:val="003F1ACB"/>
    <w:rsid w:val="003F1B87"/>
    <w:rsid w:val="003F1CEF"/>
    <w:rsid w:val="003F1D75"/>
    <w:rsid w:val="003F202A"/>
    <w:rsid w:val="003F2D0C"/>
    <w:rsid w:val="003F31E3"/>
    <w:rsid w:val="003F4F84"/>
    <w:rsid w:val="003F4FBD"/>
    <w:rsid w:val="003F4FF0"/>
    <w:rsid w:val="003F5277"/>
    <w:rsid w:val="003F5867"/>
    <w:rsid w:val="003F5AC3"/>
    <w:rsid w:val="003F5D4D"/>
    <w:rsid w:val="003F5ED4"/>
    <w:rsid w:val="003F6224"/>
    <w:rsid w:val="003F640A"/>
    <w:rsid w:val="003F6500"/>
    <w:rsid w:val="003F731F"/>
    <w:rsid w:val="003F7784"/>
    <w:rsid w:val="003F7923"/>
    <w:rsid w:val="003F7E12"/>
    <w:rsid w:val="004006E8"/>
    <w:rsid w:val="00400C39"/>
    <w:rsid w:val="00400CE2"/>
    <w:rsid w:val="00400DEF"/>
    <w:rsid w:val="0040118E"/>
    <w:rsid w:val="004020D1"/>
    <w:rsid w:val="0040212D"/>
    <w:rsid w:val="0040362F"/>
    <w:rsid w:val="004038BE"/>
    <w:rsid w:val="00403B07"/>
    <w:rsid w:val="00404CB5"/>
    <w:rsid w:val="0040522F"/>
    <w:rsid w:val="00405251"/>
    <w:rsid w:val="00405392"/>
    <w:rsid w:val="0040556B"/>
    <w:rsid w:val="004060C0"/>
    <w:rsid w:val="004064E2"/>
    <w:rsid w:val="0040660A"/>
    <w:rsid w:val="00406675"/>
    <w:rsid w:val="00407394"/>
    <w:rsid w:val="00407442"/>
    <w:rsid w:val="00407D36"/>
    <w:rsid w:val="0041003B"/>
    <w:rsid w:val="00410B21"/>
    <w:rsid w:val="00410C55"/>
    <w:rsid w:val="00410CD7"/>
    <w:rsid w:val="00410FE8"/>
    <w:rsid w:val="00411204"/>
    <w:rsid w:val="0041191A"/>
    <w:rsid w:val="00411A2F"/>
    <w:rsid w:val="00412534"/>
    <w:rsid w:val="004127B1"/>
    <w:rsid w:val="00412A2D"/>
    <w:rsid w:val="00413B3D"/>
    <w:rsid w:val="00414252"/>
    <w:rsid w:val="004146CA"/>
    <w:rsid w:val="00414A6B"/>
    <w:rsid w:val="00414C82"/>
    <w:rsid w:val="00415044"/>
    <w:rsid w:val="004153D5"/>
    <w:rsid w:val="00415519"/>
    <w:rsid w:val="00415BA5"/>
    <w:rsid w:val="00415C6E"/>
    <w:rsid w:val="00415E46"/>
    <w:rsid w:val="00415F46"/>
    <w:rsid w:val="0041604D"/>
    <w:rsid w:val="00416854"/>
    <w:rsid w:val="00416FE5"/>
    <w:rsid w:val="00417294"/>
    <w:rsid w:val="00417725"/>
    <w:rsid w:val="0041779A"/>
    <w:rsid w:val="004179EB"/>
    <w:rsid w:val="00417B99"/>
    <w:rsid w:val="00417EC5"/>
    <w:rsid w:val="00420800"/>
    <w:rsid w:val="0042091D"/>
    <w:rsid w:val="00421E5F"/>
    <w:rsid w:val="00422277"/>
    <w:rsid w:val="0042286C"/>
    <w:rsid w:val="004228BA"/>
    <w:rsid w:val="00422DBD"/>
    <w:rsid w:val="00422E85"/>
    <w:rsid w:val="00423341"/>
    <w:rsid w:val="00423495"/>
    <w:rsid w:val="00423FF6"/>
    <w:rsid w:val="00424042"/>
    <w:rsid w:val="0042421E"/>
    <w:rsid w:val="004243EA"/>
    <w:rsid w:val="00424414"/>
    <w:rsid w:val="004247E0"/>
    <w:rsid w:val="00425B41"/>
    <w:rsid w:val="004262DA"/>
    <w:rsid w:val="0042653C"/>
    <w:rsid w:val="00426703"/>
    <w:rsid w:val="00426C40"/>
    <w:rsid w:val="00426EF9"/>
    <w:rsid w:val="004274D1"/>
    <w:rsid w:val="00427FFC"/>
    <w:rsid w:val="004301DA"/>
    <w:rsid w:val="004306F2"/>
    <w:rsid w:val="00430CBF"/>
    <w:rsid w:val="00431BA6"/>
    <w:rsid w:val="00431D5F"/>
    <w:rsid w:val="0043226E"/>
    <w:rsid w:val="0043287F"/>
    <w:rsid w:val="00432BE6"/>
    <w:rsid w:val="00432C2E"/>
    <w:rsid w:val="00432D99"/>
    <w:rsid w:val="00434807"/>
    <w:rsid w:val="00434891"/>
    <w:rsid w:val="00434AE9"/>
    <w:rsid w:val="00435076"/>
    <w:rsid w:val="004350A0"/>
    <w:rsid w:val="004356A0"/>
    <w:rsid w:val="00436A88"/>
    <w:rsid w:val="00436D32"/>
    <w:rsid w:val="00436E08"/>
    <w:rsid w:val="00437302"/>
    <w:rsid w:val="0043755C"/>
    <w:rsid w:val="00437F26"/>
    <w:rsid w:val="00437F3E"/>
    <w:rsid w:val="004407EC"/>
    <w:rsid w:val="00440C25"/>
    <w:rsid w:val="00441039"/>
    <w:rsid w:val="00442C23"/>
    <w:rsid w:val="00442D34"/>
    <w:rsid w:val="00442D64"/>
    <w:rsid w:val="00442ED3"/>
    <w:rsid w:val="004431F8"/>
    <w:rsid w:val="00443738"/>
    <w:rsid w:val="00443993"/>
    <w:rsid w:val="00443A4B"/>
    <w:rsid w:val="00443AFA"/>
    <w:rsid w:val="00443BDE"/>
    <w:rsid w:val="00444097"/>
    <w:rsid w:val="004442B5"/>
    <w:rsid w:val="00444BEA"/>
    <w:rsid w:val="00444F12"/>
    <w:rsid w:val="00445487"/>
    <w:rsid w:val="00445E02"/>
    <w:rsid w:val="0044677A"/>
    <w:rsid w:val="00446F22"/>
    <w:rsid w:val="004473D8"/>
    <w:rsid w:val="0044757E"/>
    <w:rsid w:val="00447755"/>
    <w:rsid w:val="00447DA6"/>
    <w:rsid w:val="00450005"/>
    <w:rsid w:val="004505BF"/>
    <w:rsid w:val="00450786"/>
    <w:rsid w:val="00450F48"/>
    <w:rsid w:val="00450F53"/>
    <w:rsid w:val="004513A6"/>
    <w:rsid w:val="004516E1"/>
    <w:rsid w:val="00451AE7"/>
    <w:rsid w:val="00452246"/>
    <w:rsid w:val="00452D8A"/>
    <w:rsid w:val="00452F47"/>
    <w:rsid w:val="0045375C"/>
    <w:rsid w:val="00453B42"/>
    <w:rsid w:val="00453D2A"/>
    <w:rsid w:val="00454769"/>
    <w:rsid w:val="00455532"/>
    <w:rsid w:val="00455896"/>
    <w:rsid w:val="00455B39"/>
    <w:rsid w:val="00456029"/>
    <w:rsid w:val="00456C1D"/>
    <w:rsid w:val="00456D58"/>
    <w:rsid w:val="00456F49"/>
    <w:rsid w:val="0045733E"/>
    <w:rsid w:val="00457609"/>
    <w:rsid w:val="00457B36"/>
    <w:rsid w:val="0046034D"/>
    <w:rsid w:val="0046060D"/>
    <w:rsid w:val="00460CA3"/>
    <w:rsid w:val="00460E69"/>
    <w:rsid w:val="004613DB"/>
    <w:rsid w:val="004615C2"/>
    <w:rsid w:val="004618D1"/>
    <w:rsid w:val="00462658"/>
    <w:rsid w:val="004635B4"/>
    <w:rsid w:val="0046376E"/>
    <w:rsid w:val="004637E5"/>
    <w:rsid w:val="00463E73"/>
    <w:rsid w:val="00463E74"/>
    <w:rsid w:val="00464195"/>
    <w:rsid w:val="00464656"/>
    <w:rsid w:val="00464955"/>
    <w:rsid w:val="00464FD6"/>
    <w:rsid w:val="0046543F"/>
    <w:rsid w:val="00465657"/>
    <w:rsid w:val="00465914"/>
    <w:rsid w:val="00466991"/>
    <w:rsid w:val="00466A3B"/>
    <w:rsid w:val="00467118"/>
    <w:rsid w:val="00467376"/>
    <w:rsid w:val="00467FD0"/>
    <w:rsid w:val="00470015"/>
    <w:rsid w:val="00470120"/>
    <w:rsid w:val="0047064C"/>
    <w:rsid w:val="00470B90"/>
    <w:rsid w:val="00470C32"/>
    <w:rsid w:val="00471134"/>
    <w:rsid w:val="00471611"/>
    <w:rsid w:val="00472115"/>
    <w:rsid w:val="004722E3"/>
    <w:rsid w:val="00472F6C"/>
    <w:rsid w:val="004732ED"/>
    <w:rsid w:val="004738A6"/>
    <w:rsid w:val="004738A9"/>
    <w:rsid w:val="00473A05"/>
    <w:rsid w:val="00473C39"/>
    <w:rsid w:val="00474021"/>
    <w:rsid w:val="004742F7"/>
    <w:rsid w:val="00474601"/>
    <w:rsid w:val="00474D90"/>
    <w:rsid w:val="00474FE0"/>
    <w:rsid w:val="00475291"/>
    <w:rsid w:val="00475C44"/>
    <w:rsid w:val="00475F46"/>
    <w:rsid w:val="0047651E"/>
    <w:rsid w:val="004776B8"/>
    <w:rsid w:val="004779E8"/>
    <w:rsid w:val="004779ED"/>
    <w:rsid w:val="00477AFF"/>
    <w:rsid w:val="00477D27"/>
    <w:rsid w:val="00477DEB"/>
    <w:rsid w:val="00480808"/>
    <w:rsid w:val="004808F0"/>
    <w:rsid w:val="00480F15"/>
    <w:rsid w:val="00480F26"/>
    <w:rsid w:val="00480FB9"/>
    <w:rsid w:val="00481156"/>
    <w:rsid w:val="0048118D"/>
    <w:rsid w:val="004819A3"/>
    <w:rsid w:val="00481D76"/>
    <w:rsid w:val="00481DD6"/>
    <w:rsid w:val="00481F0B"/>
    <w:rsid w:val="00482F04"/>
    <w:rsid w:val="0048300E"/>
    <w:rsid w:val="004830A2"/>
    <w:rsid w:val="00483201"/>
    <w:rsid w:val="0048328B"/>
    <w:rsid w:val="00483382"/>
    <w:rsid w:val="004834F3"/>
    <w:rsid w:val="0048352E"/>
    <w:rsid w:val="00483660"/>
    <w:rsid w:val="00483A88"/>
    <w:rsid w:val="00483AD9"/>
    <w:rsid w:val="00484496"/>
    <w:rsid w:val="004845EF"/>
    <w:rsid w:val="00484665"/>
    <w:rsid w:val="004847DF"/>
    <w:rsid w:val="0048487D"/>
    <w:rsid w:val="00484A59"/>
    <w:rsid w:val="00484C8D"/>
    <w:rsid w:val="00485994"/>
    <w:rsid w:val="00485F1A"/>
    <w:rsid w:val="004863BB"/>
    <w:rsid w:val="00486E8B"/>
    <w:rsid w:val="00486EF5"/>
    <w:rsid w:val="0048708A"/>
    <w:rsid w:val="0048712E"/>
    <w:rsid w:val="004873B0"/>
    <w:rsid w:val="004879BB"/>
    <w:rsid w:val="00487E56"/>
    <w:rsid w:val="00487E61"/>
    <w:rsid w:val="00487E93"/>
    <w:rsid w:val="00490010"/>
    <w:rsid w:val="0049001F"/>
    <w:rsid w:val="0049014E"/>
    <w:rsid w:val="004901E6"/>
    <w:rsid w:val="004908E5"/>
    <w:rsid w:val="00491BEE"/>
    <w:rsid w:val="00492119"/>
    <w:rsid w:val="00492191"/>
    <w:rsid w:val="0049280F"/>
    <w:rsid w:val="00492857"/>
    <w:rsid w:val="004931D0"/>
    <w:rsid w:val="00493244"/>
    <w:rsid w:val="004932DE"/>
    <w:rsid w:val="0049348D"/>
    <w:rsid w:val="00493B23"/>
    <w:rsid w:val="00493F5F"/>
    <w:rsid w:val="00494351"/>
    <w:rsid w:val="00494815"/>
    <w:rsid w:val="00494A50"/>
    <w:rsid w:val="004954D0"/>
    <w:rsid w:val="00495BFE"/>
    <w:rsid w:val="004960E2"/>
    <w:rsid w:val="00496B69"/>
    <w:rsid w:val="00496E99"/>
    <w:rsid w:val="00497E1B"/>
    <w:rsid w:val="00497E49"/>
    <w:rsid w:val="00497FE9"/>
    <w:rsid w:val="004A0008"/>
    <w:rsid w:val="004A017A"/>
    <w:rsid w:val="004A0A1E"/>
    <w:rsid w:val="004A0D7D"/>
    <w:rsid w:val="004A17E9"/>
    <w:rsid w:val="004A1B3A"/>
    <w:rsid w:val="004A2A8A"/>
    <w:rsid w:val="004A2BAB"/>
    <w:rsid w:val="004A34FC"/>
    <w:rsid w:val="004A3A26"/>
    <w:rsid w:val="004A3DF1"/>
    <w:rsid w:val="004A41F5"/>
    <w:rsid w:val="004A42BD"/>
    <w:rsid w:val="004A42E1"/>
    <w:rsid w:val="004A4345"/>
    <w:rsid w:val="004A4811"/>
    <w:rsid w:val="004A490D"/>
    <w:rsid w:val="004A4A35"/>
    <w:rsid w:val="004A4D07"/>
    <w:rsid w:val="004A6340"/>
    <w:rsid w:val="004A6939"/>
    <w:rsid w:val="004A69F3"/>
    <w:rsid w:val="004A6FE1"/>
    <w:rsid w:val="004A7E0A"/>
    <w:rsid w:val="004B150B"/>
    <w:rsid w:val="004B162C"/>
    <w:rsid w:val="004B19D4"/>
    <w:rsid w:val="004B21F2"/>
    <w:rsid w:val="004B2202"/>
    <w:rsid w:val="004B2503"/>
    <w:rsid w:val="004B3034"/>
    <w:rsid w:val="004B3038"/>
    <w:rsid w:val="004B3111"/>
    <w:rsid w:val="004B333E"/>
    <w:rsid w:val="004B3357"/>
    <w:rsid w:val="004B3587"/>
    <w:rsid w:val="004B3F94"/>
    <w:rsid w:val="004B4272"/>
    <w:rsid w:val="004B4E84"/>
    <w:rsid w:val="004B532B"/>
    <w:rsid w:val="004B5AB4"/>
    <w:rsid w:val="004B6463"/>
    <w:rsid w:val="004B64CF"/>
    <w:rsid w:val="004B6C42"/>
    <w:rsid w:val="004B6CF8"/>
    <w:rsid w:val="004B6F09"/>
    <w:rsid w:val="004B6F48"/>
    <w:rsid w:val="004B7029"/>
    <w:rsid w:val="004B72AA"/>
    <w:rsid w:val="004B76DC"/>
    <w:rsid w:val="004B7A72"/>
    <w:rsid w:val="004B7B37"/>
    <w:rsid w:val="004B7E0B"/>
    <w:rsid w:val="004C07CE"/>
    <w:rsid w:val="004C08B8"/>
    <w:rsid w:val="004C0A6C"/>
    <w:rsid w:val="004C1137"/>
    <w:rsid w:val="004C218A"/>
    <w:rsid w:val="004C2209"/>
    <w:rsid w:val="004C224D"/>
    <w:rsid w:val="004C3361"/>
    <w:rsid w:val="004C3DBE"/>
    <w:rsid w:val="004C43A7"/>
    <w:rsid w:val="004C475B"/>
    <w:rsid w:val="004C478A"/>
    <w:rsid w:val="004C47A0"/>
    <w:rsid w:val="004C4B7E"/>
    <w:rsid w:val="004C5BCF"/>
    <w:rsid w:val="004C5C96"/>
    <w:rsid w:val="004C5CD7"/>
    <w:rsid w:val="004C6AD3"/>
    <w:rsid w:val="004C7168"/>
    <w:rsid w:val="004C7E39"/>
    <w:rsid w:val="004D03BC"/>
    <w:rsid w:val="004D05E6"/>
    <w:rsid w:val="004D06A4"/>
    <w:rsid w:val="004D06C6"/>
    <w:rsid w:val="004D1232"/>
    <w:rsid w:val="004D1AB4"/>
    <w:rsid w:val="004D1ADE"/>
    <w:rsid w:val="004D1DCC"/>
    <w:rsid w:val="004D22C0"/>
    <w:rsid w:val="004D2520"/>
    <w:rsid w:val="004D2E70"/>
    <w:rsid w:val="004D302C"/>
    <w:rsid w:val="004D4591"/>
    <w:rsid w:val="004D4DF1"/>
    <w:rsid w:val="004D594E"/>
    <w:rsid w:val="004D59F1"/>
    <w:rsid w:val="004D5D45"/>
    <w:rsid w:val="004D5ED0"/>
    <w:rsid w:val="004D60EA"/>
    <w:rsid w:val="004D6517"/>
    <w:rsid w:val="004D6930"/>
    <w:rsid w:val="004D6C27"/>
    <w:rsid w:val="004D6F86"/>
    <w:rsid w:val="004D7985"/>
    <w:rsid w:val="004D7C92"/>
    <w:rsid w:val="004E0BAA"/>
    <w:rsid w:val="004E0DEB"/>
    <w:rsid w:val="004E18BD"/>
    <w:rsid w:val="004E1B4D"/>
    <w:rsid w:val="004E1C59"/>
    <w:rsid w:val="004E2379"/>
    <w:rsid w:val="004E318D"/>
    <w:rsid w:val="004E349D"/>
    <w:rsid w:val="004E362F"/>
    <w:rsid w:val="004E367E"/>
    <w:rsid w:val="004E39F2"/>
    <w:rsid w:val="004E3E3F"/>
    <w:rsid w:val="004E4583"/>
    <w:rsid w:val="004E4954"/>
    <w:rsid w:val="004E4BA6"/>
    <w:rsid w:val="004E504F"/>
    <w:rsid w:val="004E59D4"/>
    <w:rsid w:val="004E5AC3"/>
    <w:rsid w:val="004E5AF7"/>
    <w:rsid w:val="004E5CDE"/>
    <w:rsid w:val="004E5CF2"/>
    <w:rsid w:val="004E7914"/>
    <w:rsid w:val="004E7982"/>
    <w:rsid w:val="004E79AC"/>
    <w:rsid w:val="004E7E3A"/>
    <w:rsid w:val="004F018D"/>
    <w:rsid w:val="004F0CF6"/>
    <w:rsid w:val="004F1742"/>
    <w:rsid w:val="004F1A81"/>
    <w:rsid w:val="004F1EA6"/>
    <w:rsid w:val="004F22B8"/>
    <w:rsid w:val="004F30C7"/>
    <w:rsid w:val="004F3190"/>
    <w:rsid w:val="004F36CC"/>
    <w:rsid w:val="004F3D23"/>
    <w:rsid w:val="004F4965"/>
    <w:rsid w:val="004F49AE"/>
    <w:rsid w:val="004F4B79"/>
    <w:rsid w:val="004F4CF6"/>
    <w:rsid w:val="004F4E67"/>
    <w:rsid w:val="004F55C0"/>
    <w:rsid w:val="004F56DD"/>
    <w:rsid w:val="004F59C0"/>
    <w:rsid w:val="004F6BF7"/>
    <w:rsid w:val="004F727C"/>
    <w:rsid w:val="005009B5"/>
    <w:rsid w:val="00501194"/>
    <w:rsid w:val="0050175F"/>
    <w:rsid w:val="00502119"/>
    <w:rsid w:val="0050258F"/>
    <w:rsid w:val="00502D19"/>
    <w:rsid w:val="005031E0"/>
    <w:rsid w:val="005035D5"/>
    <w:rsid w:val="005039AC"/>
    <w:rsid w:val="00503EB9"/>
    <w:rsid w:val="00503FE9"/>
    <w:rsid w:val="005044A3"/>
    <w:rsid w:val="005046E2"/>
    <w:rsid w:val="00504C3C"/>
    <w:rsid w:val="00505177"/>
    <w:rsid w:val="005052DB"/>
    <w:rsid w:val="005058AC"/>
    <w:rsid w:val="005059E4"/>
    <w:rsid w:val="00505B12"/>
    <w:rsid w:val="00505BF7"/>
    <w:rsid w:val="0050622A"/>
    <w:rsid w:val="00506E4A"/>
    <w:rsid w:val="005070D0"/>
    <w:rsid w:val="0050739A"/>
    <w:rsid w:val="0050740A"/>
    <w:rsid w:val="00507B9A"/>
    <w:rsid w:val="00507BD6"/>
    <w:rsid w:val="0051030B"/>
    <w:rsid w:val="005105B3"/>
    <w:rsid w:val="00511034"/>
    <w:rsid w:val="005114D4"/>
    <w:rsid w:val="005126CD"/>
    <w:rsid w:val="00512C1E"/>
    <w:rsid w:val="00512FAB"/>
    <w:rsid w:val="00513A7C"/>
    <w:rsid w:val="00513D0E"/>
    <w:rsid w:val="00513F80"/>
    <w:rsid w:val="00514970"/>
    <w:rsid w:val="005149CF"/>
    <w:rsid w:val="00514A43"/>
    <w:rsid w:val="00514C35"/>
    <w:rsid w:val="0051552B"/>
    <w:rsid w:val="0051567A"/>
    <w:rsid w:val="005159E3"/>
    <w:rsid w:val="00515AC4"/>
    <w:rsid w:val="00515D14"/>
    <w:rsid w:val="00515F98"/>
    <w:rsid w:val="00516991"/>
    <w:rsid w:val="00516CE8"/>
    <w:rsid w:val="005178D9"/>
    <w:rsid w:val="00517C0E"/>
    <w:rsid w:val="0052182F"/>
    <w:rsid w:val="005218D9"/>
    <w:rsid w:val="00521915"/>
    <w:rsid w:val="005219F3"/>
    <w:rsid w:val="00521AB7"/>
    <w:rsid w:val="00522274"/>
    <w:rsid w:val="00522309"/>
    <w:rsid w:val="0052245E"/>
    <w:rsid w:val="00522CD7"/>
    <w:rsid w:val="00522F13"/>
    <w:rsid w:val="0052355D"/>
    <w:rsid w:val="0052386A"/>
    <w:rsid w:val="00523960"/>
    <w:rsid w:val="00523B2E"/>
    <w:rsid w:val="00523CB7"/>
    <w:rsid w:val="00524985"/>
    <w:rsid w:val="00524AB2"/>
    <w:rsid w:val="00524EE7"/>
    <w:rsid w:val="00524FE7"/>
    <w:rsid w:val="00525187"/>
    <w:rsid w:val="005252A6"/>
    <w:rsid w:val="0052578B"/>
    <w:rsid w:val="005261D4"/>
    <w:rsid w:val="0052655D"/>
    <w:rsid w:val="0052658C"/>
    <w:rsid w:val="005269DF"/>
    <w:rsid w:val="00526A0D"/>
    <w:rsid w:val="00527021"/>
    <w:rsid w:val="005275F9"/>
    <w:rsid w:val="005306D3"/>
    <w:rsid w:val="00531906"/>
    <w:rsid w:val="00531CF8"/>
    <w:rsid w:val="00531F1D"/>
    <w:rsid w:val="00532118"/>
    <w:rsid w:val="0053226C"/>
    <w:rsid w:val="00532409"/>
    <w:rsid w:val="0053257E"/>
    <w:rsid w:val="005326D5"/>
    <w:rsid w:val="00532E47"/>
    <w:rsid w:val="00533B33"/>
    <w:rsid w:val="00534107"/>
    <w:rsid w:val="00535A3F"/>
    <w:rsid w:val="0053607C"/>
    <w:rsid w:val="00536186"/>
    <w:rsid w:val="005362FC"/>
    <w:rsid w:val="0053679D"/>
    <w:rsid w:val="00536826"/>
    <w:rsid w:val="00536C44"/>
    <w:rsid w:val="00536CF7"/>
    <w:rsid w:val="005370D8"/>
    <w:rsid w:val="00537397"/>
    <w:rsid w:val="00537875"/>
    <w:rsid w:val="00537E81"/>
    <w:rsid w:val="00540BEB"/>
    <w:rsid w:val="00541939"/>
    <w:rsid w:val="00541A56"/>
    <w:rsid w:val="00541D82"/>
    <w:rsid w:val="00541F41"/>
    <w:rsid w:val="0054322D"/>
    <w:rsid w:val="00544BBB"/>
    <w:rsid w:val="00544CBB"/>
    <w:rsid w:val="005451D2"/>
    <w:rsid w:val="00545898"/>
    <w:rsid w:val="00545B69"/>
    <w:rsid w:val="00546EDD"/>
    <w:rsid w:val="00546EF0"/>
    <w:rsid w:val="00547EB0"/>
    <w:rsid w:val="00550518"/>
    <w:rsid w:val="005511AC"/>
    <w:rsid w:val="00551528"/>
    <w:rsid w:val="0055156E"/>
    <w:rsid w:val="005515CE"/>
    <w:rsid w:val="005517D2"/>
    <w:rsid w:val="0055203D"/>
    <w:rsid w:val="0055222A"/>
    <w:rsid w:val="0055292A"/>
    <w:rsid w:val="00552CD6"/>
    <w:rsid w:val="00552F75"/>
    <w:rsid w:val="005536A5"/>
    <w:rsid w:val="005540AF"/>
    <w:rsid w:val="005544D2"/>
    <w:rsid w:val="00554635"/>
    <w:rsid w:val="00554785"/>
    <w:rsid w:val="005549F0"/>
    <w:rsid w:val="00554B08"/>
    <w:rsid w:val="00555B41"/>
    <w:rsid w:val="00555D38"/>
    <w:rsid w:val="00555D6A"/>
    <w:rsid w:val="00556333"/>
    <w:rsid w:val="005577E1"/>
    <w:rsid w:val="005579CF"/>
    <w:rsid w:val="00557A25"/>
    <w:rsid w:val="00557E6E"/>
    <w:rsid w:val="0056008E"/>
    <w:rsid w:val="0056010D"/>
    <w:rsid w:val="00560459"/>
    <w:rsid w:val="0056068D"/>
    <w:rsid w:val="0056143D"/>
    <w:rsid w:val="005621EE"/>
    <w:rsid w:val="005622EB"/>
    <w:rsid w:val="00562651"/>
    <w:rsid w:val="005629BA"/>
    <w:rsid w:val="005635AE"/>
    <w:rsid w:val="00563CCE"/>
    <w:rsid w:val="00564286"/>
    <w:rsid w:val="0056462A"/>
    <w:rsid w:val="00564810"/>
    <w:rsid w:val="00564C09"/>
    <w:rsid w:val="00564CF3"/>
    <w:rsid w:val="005651EC"/>
    <w:rsid w:val="00565403"/>
    <w:rsid w:val="005657C4"/>
    <w:rsid w:val="005657D3"/>
    <w:rsid w:val="0056586C"/>
    <w:rsid w:val="005658B8"/>
    <w:rsid w:val="005659A1"/>
    <w:rsid w:val="00565BC1"/>
    <w:rsid w:val="00565FF3"/>
    <w:rsid w:val="005660FF"/>
    <w:rsid w:val="005663D9"/>
    <w:rsid w:val="00566A54"/>
    <w:rsid w:val="00566D3E"/>
    <w:rsid w:val="00566E50"/>
    <w:rsid w:val="005674F9"/>
    <w:rsid w:val="00567FD1"/>
    <w:rsid w:val="0057014F"/>
    <w:rsid w:val="005702EF"/>
    <w:rsid w:val="005705CA"/>
    <w:rsid w:val="00570697"/>
    <w:rsid w:val="0057081F"/>
    <w:rsid w:val="00570D4B"/>
    <w:rsid w:val="0057127E"/>
    <w:rsid w:val="00571A6E"/>
    <w:rsid w:val="0057261A"/>
    <w:rsid w:val="00572C91"/>
    <w:rsid w:val="00572F69"/>
    <w:rsid w:val="0057315F"/>
    <w:rsid w:val="00573367"/>
    <w:rsid w:val="00573692"/>
    <w:rsid w:val="00574390"/>
    <w:rsid w:val="0057488C"/>
    <w:rsid w:val="005753B8"/>
    <w:rsid w:val="00575DF1"/>
    <w:rsid w:val="00576104"/>
    <w:rsid w:val="00576C5A"/>
    <w:rsid w:val="00576F18"/>
    <w:rsid w:val="005775A2"/>
    <w:rsid w:val="00577B38"/>
    <w:rsid w:val="00577D60"/>
    <w:rsid w:val="00577EF5"/>
    <w:rsid w:val="00580438"/>
    <w:rsid w:val="00581246"/>
    <w:rsid w:val="005816A6"/>
    <w:rsid w:val="00581803"/>
    <w:rsid w:val="00581B8B"/>
    <w:rsid w:val="00581FE7"/>
    <w:rsid w:val="005822D9"/>
    <w:rsid w:val="00582C70"/>
    <w:rsid w:val="00582D07"/>
    <w:rsid w:val="00582ED4"/>
    <w:rsid w:val="00582FA4"/>
    <w:rsid w:val="005835BE"/>
    <w:rsid w:val="00583AF0"/>
    <w:rsid w:val="00583E6F"/>
    <w:rsid w:val="0058413A"/>
    <w:rsid w:val="00584843"/>
    <w:rsid w:val="00585F09"/>
    <w:rsid w:val="00586518"/>
    <w:rsid w:val="00586E4B"/>
    <w:rsid w:val="00587442"/>
    <w:rsid w:val="00587806"/>
    <w:rsid w:val="00590473"/>
    <w:rsid w:val="0059063C"/>
    <w:rsid w:val="00590A1C"/>
    <w:rsid w:val="00590A6B"/>
    <w:rsid w:val="00590B60"/>
    <w:rsid w:val="00591137"/>
    <w:rsid w:val="00591201"/>
    <w:rsid w:val="00591A82"/>
    <w:rsid w:val="00591CA0"/>
    <w:rsid w:val="005922E6"/>
    <w:rsid w:val="00592780"/>
    <w:rsid w:val="005929E3"/>
    <w:rsid w:val="00593478"/>
    <w:rsid w:val="0059354A"/>
    <w:rsid w:val="00593D04"/>
    <w:rsid w:val="005940BC"/>
    <w:rsid w:val="0059410F"/>
    <w:rsid w:val="00594621"/>
    <w:rsid w:val="00594BA0"/>
    <w:rsid w:val="00594D26"/>
    <w:rsid w:val="00594DF1"/>
    <w:rsid w:val="005950D4"/>
    <w:rsid w:val="0059578A"/>
    <w:rsid w:val="00595891"/>
    <w:rsid w:val="00595B2A"/>
    <w:rsid w:val="00595F41"/>
    <w:rsid w:val="00596057"/>
    <w:rsid w:val="005963E9"/>
    <w:rsid w:val="005967CF"/>
    <w:rsid w:val="00596959"/>
    <w:rsid w:val="00596DAD"/>
    <w:rsid w:val="005971E9"/>
    <w:rsid w:val="0059733F"/>
    <w:rsid w:val="0059752F"/>
    <w:rsid w:val="0059764C"/>
    <w:rsid w:val="005A044D"/>
    <w:rsid w:val="005A05CF"/>
    <w:rsid w:val="005A101C"/>
    <w:rsid w:val="005A1C2D"/>
    <w:rsid w:val="005A20F0"/>
    <w:rsid w:val="005A21D3"/>
    <w:rsid w:val="005A2407"/>
    <w:rsid w:val="005A2858"/>
    <w:rsid w:val="005A2F9D"/>
    <w:rsid w:val="005A3272"/>
    <w:rsid w:val="005A3865"/>
    <w:rsid w:val="005A4457"/>
    <w:rsid w:val="005A54AB"/>
    <w:rsid w:val="005A5B59"/>
    <w:rsid w:val="005A6104"/>
    <w:rsid w:val="005A61E0"/>
    <w:rsid w:val="005A6C81"/>
    <w:rsid w:val="005A6FB5"/>
    <w:rsid w:val="005A7195"/>
    <w:rsid w:val="005A7227"/>
    <w:rsid w:val="005A7414"/>
    <w:rsid w:val="005A79CA"/>
    <w:rsid w:val="005B0886"/>
    <w:rsid w:val="005B08F6"/>
    <w:rsid w:val="005B0A05"/>
    <w:rsid w:val="005B0A6F"/>
    <w:rsid w:val="005B1D26"/>
    <w:rsid w:val="005B21AE"/>
    <w:rsid w:val="005B2338"/>
    <w:rsid w:val="005B23F5"/>
    <w:rsid w:val="005B2607"/>
    <w:rsid w:val="005B2B06"/>
    <w:rsid w:val="005B34CB"/>
    <w:rsid w:val="005B3737"/>
    <w:rsid w:val="005B37AE"/>
    <w:rsid w:val="005B4D06"/>
    <w:rsid w:val="005B4D27"/>
    <w:rsid w:val="005B4D56"/>
    <w:rsid w:val="005B51EC"/>
    <w:rsid w:val="005B5DC9"/>
    <w:rsid w:val="005B7142"/>
    <w:rsid w:val="005B74E6"/>
    <w:rsid w:val="005C00B4"/>
    <w:rsid w:val="005C0479"/>
    <w:rsid w:val="005C07E3"/>
    <w:rsid w:val="005C0A0F"/>
    <w:rsid w:val="005C0DE1"/>
    <w:rsid w:val="005C0ED5"/>
    <w:rsid w:val="005C10C9"/>
    <w:rsid w:val="005C154D"/>
    <w:rsid w:val="005C1740"/>
    <w:rsid w:val="005C1A8E"/>
    <w:rsid w:val="005C1D08"/>
    <w:rsid w:val="005C227B"/>
    <w:rsid w:val="005C23E4"/>
    <w:rsid w:val="005C2E4C"/>
    <w:rsid w:val="005C30C7"/>
    <w:rsid w:val="005C33AE"/>
    <w:rsid w:val="005C3D31"/>
    <w:rsid w:val="005C4DF1"/>
    <w:rsid w:val="005C4F6A"/>
    <w:rsid w:val="005C5277"/>
    <w:rsid w:val="005C532C"/>
    <w:rsid w:val="005C5565"/>
    <w:rsid w:val="005C5733"/>
    <w:rsid w:val="005C5BD8"/>
    <w:rsid w:val="005C67C8"/>
    <w:rsid w:val="005C6F93"/>
    <w:rsid w:val="005C7081"/>
    <w:rsid w:val="005C7352"/>
    <w:rsid w:val="005C7399"/>
    <w:rsid w:val="005C7692"/>
    <w:rsid w:val="005C7A78"/>
    <w:rsid w:val="005C7B62"/>
    <w:rsid w:val="005D0099"/>
    <w:rsid w:val="005D0249"/>
    <w:rsid w:val="005D0519"/>
    <w:rsid w:val="005D07DE"/>
    <w:rsid w:val="005D0AA5"/>
    <w:rsid w:val="005D0E32"/>
    <w:rsid w:val="005D19BA"/>
    <w:rsid w:val="005D1B02"/>
    <w:rsid w:val="005D2269"/>
    <w:rsid w:val="005D274E"/>
    <w:rsid w:val="005D2843"/>
    <w:rsid w:val="005D2B4B"/>
    <w:rsid w:val="005D2F15"/>
    <w:rsid w:val="005D3D58"/>
    <w:rsid w:val="005D4088"/>
    <w:rsid w:val="005D418C"/>
    <w:rsid w:val="005D45CC"/>
    <w:rsid w:val="005D5521"/>
    <w:rsid w:val="005D57E4"/>
    <w:rsid w:val="005D5BB4"/>
    <w:rsid w:val="005D5D10"/>
    <w:rsid w:val="005D6061"/>
    <w:rsid w:val="005D628A"/>
    <w:rsid w:val="005D657F"/>
    <w:rsid w:val="005D6E8C"/>
    <w:rsid w:val="005D73EB"/>
    <w:rsid w:val="005E0574"/>
    <w:rsid w:val="005E19D1"/>
    <w:rsid w:val="005E1D49"/>
    <w:rsid w:val="005E29CE"/>
    <w:rsid w:val="005E2ADF"/>
    <w:rsid w:val="005E2B2E"/>
    <w:rsid w:val="005E2B4A"/>
    <w:rsid w:val="005E36B2"/>
    <w:rsid w:val="005E3C7A"/>
    <w:rsid w:val="005E3E4B"/>
    <w:rsid w:val="005E3FF6"/>
    <w:rsid w:val="005E4033"/>
    <w:rsid w:val="005E42DD"/>
    <w:rsid w:val="005E4365"/>
    <w:rsid w:val="005E48C2"/>
    <w:rsid w:val="005E5145"/>
    <w:rsid w:val="005E5372"/>
    <w:rsid w:val="005E59E1"/>
    <w:rsid w:val="005E5E87"/>
    <w:rsid w:val="005E5F22"/>
    <w:rsid w:val="005E6143"/>
    <w:rsid w:val="005E6221"/>
    <w:rsid w:val="005E676C"/>
    <w:rsid w:val="005E6ED1"/>
    <w:rsid w:val="005E7227"/>
    <w:rsid w:val="005E786A"/>
    <w:rsid w:val="005E7AFB"/>
    <w:rsid w:val="005E7D96"/>
    <w:rsid w:val="005F0425"/>
    <w:rsid w:val="005F0692"/>
    <w:rsid w:val="005F100C"/>
    <w:rsid w:val="005F13D5"/>
    <w:rsid w:val="005F1487"/>
    <w:rsid w:val="005F1709"/>
    <w:rsid w:val="005F1727"/>
    <w:rsid w:val="005F1A8B"/>
    <w:rsid w:val="005F2092"/>
    <w:rsid w:val="005F229D"/>
    <w:rsid w:val="005F22B9"/>
    <w:rsid w:val="005F2706"/>
    <w:rsid w:val="005F2A5F"/>
    <w:rsid w:val="005F39B4"/>
    <w:rsid w:val="005F3BF9"/>
    <w:rsid w:val="005F41A3"/>
    <w:rsid w:val="005F449E"/>
    <w:rsid w:val="005F44AE"/>
    <w:rsid w:val="005F48FC"/>
    <w:rsid w:val="005F4D55"/>
    <w:rsid w:val="005F4F61"/>
    <w:rsid w:val="005F5104"/>
    <w:rsid w:val="005F52D7"/>
    <w:rsid w:val="005F55E2"/>
    <w:rsid w:val="005F570A"/>
    <w:rsid w:val="005F5830"/>
    <w:rsid w:val="005F630A"/>
    <w:rsid w:val="005F68DA"/>
    <w:rsid w:val="005F69E3"/>
    <w:rsid w:val="005F6D80"/>
    <w:rsid w:val="005F712A"/>
    <w:rsid w:val="005F71EA"/>
    <w:rsid w:val="005F75E6"/>
    <w:rsid w:val="00600A7C"/>
    <w:rsid w:val="00600FE1"/>
    <w:rsid w:val="006014DD"/>
    <w:rsid w:val="0060257F"/>
    <w:rsid w:val="00602BD3"/>
    <w:rsid w:val="006036BD"/>
    <w:rsid w:val="00603C3B"/>
    <w:rsid w:val="00603C96"/>
    <w:rsid w:val="006042F1"/>
    <w:rsid w:val="00604354"/>
    <w:rsid w:val="006044F3"/>
    <w:rsid w:val="00604540"/>
    <w:rsid w:val="0060480D"/>
    <w:rsid w:val="00604A64"/>
    <w:rsid w:val="00604BFA"/>
    <w:rsid w:val="006061B2"/>
    <w:rsid w:val="006066FF"/>
    <w:rsid w:val="00606BBA"/>
    <w:rsid w:val="00606E75"/>
    <w:rsid w:val="00606ED4"/>
    <w:rsid w:val="00607572"/>
    <w:rsid w:val="0060773B"/>
    <w:rsid w:val="0060782B"/>
    <w:rsid w:val="0060791E"/>
    <w:rsid w:val="00607CE1"/>
    <w:rsid w:val="00607D94"/>
    <w:rsid w:val="00607E6C"/>
    <w:rsid w:val="00607F41"/>
    <w:rsid w:val="006110CE"/>
    <w:rsid w:val="006110E9"/>
    <w:rsid w:val="0061122A"/>
    <w:rsid w:val="0061162B"/>
    <w:rsid w:val="00611DD7"/>
    <w:rsid w:val="00612615"/>
    <w:rsid w:val="0061290B"/>
    <w:rsid w:val="00612BD6"/>
    <w:rsid w:val="006143B1"/>
    <w:rsid w:val="006144CF"/>
    <w:rsid w:val="0061460F"/>
    <w:rsid w:val="00614C9D"/>
    <w:rsid w:val="00614E68"/>
    <w:rsid w:val="00615285"/>
    <w:rsid w:val="006156DB"/>
    <w:rsid w:val="006157B5"/>
    <w:rsid w:val="006163C6"/>
    <w:rsid w:val="00616533"/>
    <w:rsid w:val="00616898"/>
    <w:rsid w:val="00616C30"/>
    <w:rsid w:val="00616E6E"/>
    <w:rsid w:val="00617123"/>
    <w:rsid w:val="00617304"/>
    <w:rsid w:val="0062012D"/>
    <w:rsid w:val="00620481"/>
    <w:rsid w:val="006213A5"/>
    <w:rsid w:val="006215D4"/>
    <w:rsid w:val="00621860"/>
    <w:rsid w:val="00621F8B"/>
    <w:rsid w:val="00622638"/>
    <w:rsid w:val="00622839"/>
    <w:rsid w:val="00622BC1"/>
    <w:rsid w:val="00622F0B"/>
    <w:rsid w:val="006232EA"/>
    <w:rsid w:val="00623DE6"/>
    <w:rsid w:val="006242E6"/>
    <w:rsid w:val="00624555"/>
    <w:rsid w:val="00624C11"/>
    <w:rsid w:val="00624EEF"/>
    <w:rsid w:val="00626025"/>
    <w:rsid w:val="006261FD"/>
    <w:rsid w:val="006266F5"/>
    <w:rsid w:val="00626FC6"/>
    <w:rsid w:val="006271E0"/>
    <w:rsid w:val="00627494"/>
    <w:rsid w:val="00627595"/>
    <w:rsid w:val="00627ACF"/>
    <w:rsid w:val="00627B9A"/>
    <w:rsid w:val="006303B4"/>
    <w:rsid w:val="00630EFF"/>
    <w:rsid w:val="00631328"/>
    <w:rsid w:val="00631DC3"/>
    <w:rsid w:val="006330D1"/>
    <w:rsid w:val="006331F9"/>
    <w:rsid w:val="0063321F"/>
    <w:rsid w:val="00633485"/>
    <w:rsid w:val="00633738"/>
    <w:rsid w:val="00633A57"/>
    <w:rsid w:val="00633CEB"/>
    <w:rsid w:val="00633D3D"/>
    <w:rsid w:val="00633F3A"/>
    <w:rsid w:val="00634963"/>
    <w:rsid w:val="00634B1A"/>
    <w:rsid w:val="00635057"/>
    <w:rsid w:val="006362AD"/>
    <w:rsid w:val="0063693E"/>
    <w:rsid w:val="00636F5E"/>
    <w:rsid w:val="0063748B"/>
    <w:rsid w:val="00637DA2"/>
    <w:rsid w:val="00637E4A"/>
    <w:rsid w:val="00640081"/>
    <w:rsid w:val="00640613"/>
    <w:rsid w:val="00641278"/>
    <w:rsid w:val="006412D1"/>
    <w:rsid w:val="00641703"/>
    <w:rsid w:val="0064187C"/>
    <w:rsid w:val="006418C2"/>
    <w:rsid w:val="00642195"/>
    <w:rsid w:val="0064279B"/>
    <w:rsid w:val="00642B6E"/>
    <w:rsid w:val="006431A6"/>
    <w:rsid w:val="00643C08"/>
    <w:rsid w:val="00643C89"/>
    <w:rsid w:val="00644661"/>
    <w:rsid w:val="00644793"/>
    <w:rsid w:val="00645972"/>
    <w:rsid w:val="006459F6"/>
    <w:rsid w:val="00645A0D"/>
    <w:rsid w:val="00645D94"/>
    <w:rsid w:val="006460C1"/>
    <w:rsid w:val="00646D28"/>
    <w:rsid w:val="00647099"/>
    <w:rsid w:val="006476E9"/>
    <w:rsid w:val="006477B4"/>
    <w:rsid w:val="00647C55"/>
    <w:rsid w:val="00647CD5"/>
    <w:rsid w:val="00647CDF"/>
    <w:rsid w:val="006501AD"/>
    <w:rsid w:val="006502F2"/>
    <w:rsid w:val="0065037B"/>
    <w:rsid w:val="00650B9C"/>
    <w:rsid w:val="00650ED8"/>
    <w:rsid w:val="00651084"/>
    <w:rsid w:val="00651BFA"/>
    <w:rsid w:val="006521B9"/>
    <w:rsid w:val="006523E4"/>
    <w:rsid w:val="00652710"/>
    <w:rsid w:val="006529F0"/>
    <w:rsid w:val="00652C17"/>
    <w:rsid w:val="006533B3"/>
    <w:rsid w:val="00653840"/>
    <w:rsid w:val="006540AC"/>
    <w:rsid w:val="0065478A"/>
    <w:rsid w:val="00654D3D"/>
    <w:rsid w:val="00654DDA"/>
    <w:rsid w:val="00654E0A"/>
    <w:rsid w:val="00655B20"/>
    <w:rsid w:val="00655D02"/>
    <w:rsid w:val="006561A9"/>
    <w:rsid w:val="00656604"/>
    <w:rsid w:val="006571E9"/>
    <w:rsid w:val="0065755E"/>
    <w:rsid w:val="00657F8F"/>
    <w:rsid w:val="00660010"/>
    <w:rsid w:val="00660743"/>
    <w:rsid w:val="006608C3"/>
    <w:rsid w:val="00661070"/>
    <w:rsid w:val="00661213"/>
    <w:rsid w:val="00661405"/>
    <w:rsid w:val="0066153F"/>
    <w:rsid w:val="006618F1"/>
    <w:rsid w:val="0066232E"/>
    <w:rsid w:val="006624EE"/>
    <w:rsid w:val="006626D8"/>
    <w:rsid w:val="006628B2"/>
    <w:rsid w:val="00662E5E"/>
    <w:rsid w:val="0066303B"/>
    <w:rsid w:val="006635FF"/>
    <w:rsid w:val="00663A80"/>
    <w:rsid w:val="00663D58"/>
    <w:rsid w:val="00664360"/>
    <w:rsid w:val="00664361"/>
    <w:rsid w:val="006653DD"/>
    <w:rsid w:val="00665A4B"/>
    <w:rsid w:val="00665BDE"/>
    <w:rsid w:val="0066618D"/>
    <w:rsid w:val="006667D1"/>
    <w:rsid w:val="00667018"/>
    <w:rsid w:val="0066711D"/>
    <w:rsid w:val="006676D1"/>
    <w:rsid w:val="00670526"/>
    <w:rsid w:val="006708D2"/>
    <w:rsid w:val="00670AE2"/>
    <w:rsid w:val="00670DDC"/>
    <w:rsid w:val="00671970"/>
    <w:rsid w:val="00671CB0"/>
    <w:rsid w:val="0067252E"/>
    <w:rsid w:val="00672B7B"/>
    <w:rsid w:val="0067303A"/>
    <w:rsid w:val="006731E3"/>
    <w:rsid w:val="006731FE"/>
    <w:rsid w:val="00673690"/>
    <w:rsid w:val="00673BDF"/>
    <w:rsid w:val="00674F5A"/>
    <w:rsid w:val="00675C42"/>
    <w:rsid w:val="00675E2B"/>
    <w:rsid w:val="0067776E"/>
    <w:rsid w:val="00677B64"/>
    <w:rsid w:val="00677E4A"/>
    <w:rsid w:val="00677E7A"/>
    <w:rsid w:val="00680458"/>
    <w:rsid w:val="00680FA0"/>
    <w:rsid w:val="006814A3"/>
    <w:rsid w:val="00681B4B"/>
    <w:rsid w:val="00681FD4"/>
    <w:rsid w:val="006829A4"/>
    <w:rsid w:val="00682FAF"/>
    <w:rsid w:val="006831AA"/>
    <w:rsid w:val="0068321C"/>
    <w:rsid w:val="00683281"/>
    <w:rsid w:val="00683CC3"/>
    <w:rsid w:val="00684449"/>
    <w:rsid w:val="0068492E"/>
    <w:rsid w:val="00684967"/>
    <w:rsid w:val="00684B62"/>
    <w:rsid w:val="00684F2B"/>
    <w:rsid w:val="00685499"/>
    <w:rsid w:val="0068597A"/>
    <w:rsid w:val="00685D94"/>
    <w:rsid w:val="00685DE2"/>
    <w:rsid w:val="00685F16"/>
    <w:rsid w:val="00685FFB"/>
    <w:rsid w:val="00686196"/>
    <w:rsid w:val="00686529"/>
    <w:rsid w:val="00686BEE"/>
    <w:rsid w:val="00687610"/>
    <w:rsid w:val="0068798D"/>
    <w:rsid w:val="006904BF"/>
    <w:rsid w:val="00690BEF"/>
    <w:rsid w:val="0069105C"/>
    <w:rsid w:val="0069174E"/>
    <w:rsid w:val="006918C3"/>
    <w:rsid w:val="00691CA4"/>
    <w:rsid w:val="00691D40"/>
    <w:rsid w:val="00692351"/>
    <w:rsid w:val="0069288A"/>
    <w:rsid w:val="00692E2A"/>
    <w:rsid w:val="00693E69"/>
    <w:rsid w:val="00693E70"/>
    <w:rsid w:val="00693F28"/>
    <w:rsid w:val="006951C1"/>
    <w:rsid w:val="00695313"/>
    <w:rsid w:val="00695B46"/>
    <w:rsid w:val="00695D3D"/>
    <w:rsid w:val="00695DA9"/>
    <w:rsid w:val="00696030"/>
    <w:rsid w:val="006969F7"/>
    <w:rsid w:val="00696AAF"/>
    <w:rsid w:val="00696C94"/>
    <w:rsid w:val="006974B2"/>
    <w:rsid w:val="006A0017"/>
    <w:rsid w:val="006A0CE7"/>
    <w:rsid w:val="006A0E07"/>
    <w:rsid w:val="006A131D"/>
    <w:rsid w:val="006A1830"/>
    <w:rsid w:val="006A1AED"/>
    <w:rsid w:val="006A1C69"/>
    <w:rsid w:val="006A1F05"/>
    <w:rsid w:val="006A215F"/>
    <w:rsid w:val="006A2317"/>
    <w:rsid w:val="006A253B"/>
    <w:rsid w:val="006A26C9"/>
    <w:rsid w:val="006A29F5"/>
    <w:rsid w:val="006A2DD1"/>
    <w:rsid w:val="006A2EB6"/>
    <w:rsid w:val="006A3B10"/>
    <w:rsid w:val="006A3C2F"/>
    <w:rsid w:val="006A4019"/>
    <w:rsid w:val="006A40DC"/>
    <w:rsid w:val="006A4AF0"/>
    <w:rsid w:val="006A4F68"/>
    <w:rsid w:val="006A532B"/>
    <w:rsid w:val="006A5360"/>
    <w:rsid w:val="006A5860"/>
    <w:rsid w:val="006A6B31"/>
    <w:rsid w:val="006A6E20"/>
    <w:rsid w:val="006A7043"/>
    <w:rsid w:val="006A710A"/>
    <w:rsid w:val="006A7120"/>
    <w:rsid w:val="006A76F2"/>
    <w:rsid w:val="006A7BE6"/>
    <w:rsid w:val="006B062C"/>
    <w:rsid w:val="006B0ED6"/>
    <w:rsid w:val="006B114B"/>
    <w:rsid w:val="006B12F5"/>
    <w:rsid w:val="006B1595"/>
    <w:rsid w:val="006B1B11"/>
    <w:rsid w:val="006B2472"/>
    <w:rsid w:val="006B2741"/>
    <w:rsid w:val="006B2D9E"/>
    <w:rsid w:val="006B348C"/>
    <w:rsid w:val="006B35C7"/>
    <w:rsid w:val="006B3618"/>
    <w:rsid w:val="006B4022"/>
    <w:rsid w:val="006B4698"/>
    <w:rsid w:val="006B4E5E"/>
    <w:rsid w:val="006B584E"/>
    <w:rsid w:val="006B58C0"/>
    <w:rsid w:val="006B6099"/>
    <w:rsid w:val="006B6558"/>
    <w:rsid w:val="006B78D1"/>
    <w:rsid w:val="006B790B"/>
    <w:rsid w:val="006B7A65"/>
    <w:rsid w:val="006B7B26"/>
    <w:rsid w:val="006B7C5F"/>
    <w:rsid w:val="006B7EFF"/>
    <w:rsid w:val="006C0333"/>
    <w:rsid w:val="006C0781"/>
    <w:rsid w:val="006C0786"/>
    <w:rsid w:val="006C10EA"/>
    <w:rsid w:val="006C11D5"/>
    <w:rsid w:val="006C15A6"/>
    <w:rsid w:val="006C1A1A"/>
    <w:rsid w:val="006C1ABD"/>
    <w:rsid w:val="006C24EE"/>
    <w:rsid w:val="006C2BC0"/>
    <w:rsid w:val="006C39F9"/>
    <w:rsid w:val="006C3C61"/>
    <w:rsid w:val="006C3DDA"/>
    <w:rsid w:val="006C4187"/>
    <w:rsid w:val="006C4708"/>
    <w:rsid w:val="006C4781"/>
    <w:rsid w:val="006C478E"/>
    <w:rsid w:val="006C58F3"/>
    <w:rsid w:val="006C6D0F"/>
    <w:rsid w:val="006C78DB"/>
    <w:rsid w:val="006D0188"/>
    <w:rsid w:val="006D0208"/>
    <w:rsid w:val="006D0A76"/>
    <w:rsid w:val="006D103B"/>
    <w:rsid w:val="006D1531"/>
    <w:rsid w:val="006D213C"/>
    <w:rsid w:val="006D217A"/>
    <w:rsid w:val="006D26F6"/>
    <w:rsid w:val="006D28D6"/>
    <w:rsid w:val="006D3020"/>
    <w:rsid w:val="006D3277"/>
    <w:rsid w:val="006D349E"/>
    <w:rsid w:val="006D3AFD"/>
    <w:rsid w:val="006D3F67"/>
    <w:rsid w:val="006D4EB6"/>
    <w:rsid w:val="006D500D"/>
    <w:rsid w:val="006D58A4"/>
    <w:rsid w:val="006D5CCB"/>
    <w:rsid w:val="006D6211"/>
    <w:rsid w:val="006D6C65"/>
    <w:rsid w:val="006D6C71"/>
    <w:rsid w:val="006D6F12"/>
    <w:rsid w:val="006D756B"/>
    <w:rsid w:val="006D7599"/>
    <w:rsid w:val="006D79D9"/>
    <w:rsid w:val="006D7E0D"/>
    <w:rsid w:val="006D7EB8"/>
    <w:rsid w:val="006D7EFB"/>
    <w:rsid w:val="006D7F6A"/>
    <w:rsid w:val="006E065E"/>
    <w:rsid w:val="006E0B83"/>
    <w:rsid w:val="006E1225"/>
    <w:rsid w:val="006E25CE"/>
    <w:rsid w:val="006E2BDF"/>
    <w:rsid w:val="006E2C90"/>
    <w:rsid w:val="006E307C"/>
    <w:rsid w:val="006E30BD"/>
    <w:rsid w:val="006E379B"/>
    <w:rsid w:val="006E39B3"/>
    <w:rsid w:val="006E3FB4"/>
    <w:rsid w:val="006E4353"/>
    <w:rsid w:val="006E48FA"/>
    <w:rsid w:val="006E5DBC"/>
    <w:rsid w:val="006E610F"/>
    <w:rsid w:val="006E6157"/>
    <w:rsid w:val="006E6431"/>
    <w:rsid w:val="006E6672"/>
    <w:rsid w:val="006E6722"/>
    <w:rsid w:val="006E6AB4"/>
    <w:rsid w:val="006E7A91"/>
    <w:rsid w:val="006F10F1"/>
    <w:rsid w:val="006F1CB6"/>
    <w:rsid w:val="006F1EA0"/>
    <w:rsid w:val="006F2066"/>
    <w:rsid w:val="006F2097"/>
    <w:rsid w:val="006F23B4"/>
    <w:rsid w:val="006F250A"/>
    <w:rsid w:val="006F2990"/>
    <w:rsid w:val="006F2BE0"/>
    <w:rsid w:val="006F2F39"/>
    <w:rsid w:val="006F3503"/>
    <w:rsid w:val="006F3A09"/>
    <w:rsid w:val="006F3CD2"/>
    <w:rsid w:val="006F3CE2"/>
    <w:rsid w:val="006F48C1"/>
    <w:rsid w:val="006F51F5"/>
    <w:rsid w:val="006F53DA"/>
    <w:rsid w:val="006F5764"/>
    <w:rsid w:val="006F59B6"/>
    <w:rsid w:val="006F5C22"/>
    <w:rsid w:val="006F6E19"/>
    <w:rsid w:val="006F720A"/>
    <w:rsid w:val="006F7661"/>
    <w:rsid w:val="006F7708"/>
    <w:rsid w:val="006F7783"/>
    <w:rsid w:val="006F77CA"/>
    <w:rsid w:val="006F7D3A"/>
    <w:rsid w:val="007002B9"/>
    <w:rsid w:val="00700677"/>
    <w:rsid w:val="00700770"/>
    <w:rsid w:val="00700B6B"/>
    <w:rsid w:val="00700F3E"/>
    <w:rsid w:val="007012F7"/>
    <w:rsid w:val="007019B3"/>
    <w:rsid w:val="00702183"/>
    <w:rsid w:val="007027B9"/>
    <w:rsid w:val="007028BE"/>
    <w:rsid w:val="00702BD3"/>
    <w:rsid w:val="00702D27"/>
    <w:rsid w:val="0070388E"/>
    <w:rsid w:val="00703B0C"/>
    <w:rsid w:val="00704A8B"/>
    <w:rsid w:val="00704FC3"/>
    <w:rsid w:val="007058B4"/>
    <w:rsid w:val="00705932"/>
    <w:rsid w:val="00705B53"/>
    <w:rsid w:val="00705FAA"/>
    <w:rsid w:val="00706066"/>
    <w:rsid w:val="00706262"/>
    <w:rsid w:val="007062FF"/>
    <w:rsid w:val="0070678B"/>
    <w:rsid w:val="007078C6"/>
    <w:rsid w:val="00707BFA"/>
    <w:rsid w:val="00710052"/>
    <w:rsid w:val="007103F5"/>
    <w:rsid w:val="00710CB0"/>
    <w:rsid w:val="00710EF5"/>
    <w:rsid w:val="0071118D"/>
    <w:rsid w:val="007112AE"/>
    <w:rsid w:val="0071130D"/>
    <w:rsid w:val="007114B7"/>
    <w:rsid w:val="00711B85"/>
    <w:rsid w:val="00711E22"/>
    <w:rsid w:val="007121C1"/>
    <w:rsid w:val="007125BF"/>
    <w:rsid w:val="00712CD3"/>
    <w:rsid w:val="00712EE8"/>
    <w:rsid w:val="007133B2"/>
    <w:rsid w:val="007134F1"/>
    <w:rsid w:val="00713D8F"/>
    <w:rsid w:val="00713FB4"/>
    <w:rsid w:val="007148F3"/>
    <w:rsid w:val="00714AEE"/>
    <w:rsid w:val="007152BE"/>
    <w:rsid w:val="00715A14"/>
    <w:rsid w:val="00715E88"/>
    <w:rsid w:val="007165A9"/>
    <w:rsid w:val="00716FEC"/>
    <w:rsid w:val="007174D4"/>
    <w:rsid w:val="00717B0C"/>
    <w:rsid w:val="00717B10"/>
    <w:rsid w:val="00717F91"/>
    <w:rsid w:val="00720053"/>
    <w:rsid w:val="00720819"/>
    <w:rsid w:val="007208BF"/>
    <w:rsid w:val="00720A4A"/>
    <w:rsid w:val="00720EC7"/>
    <w:rsid w:val="00721EE7"/>
    <w:rsid w:val="007222F7"/>
    <w:rsid w:val="007223C6"/>
    <w:rsid w:val="0072248F"/>
    <w:rsid w:val="00722BCF"/>
    <w:rsid w:val="00723288"/>
    <w:rsid w:val="00723B5B"/>
    <w:rsid w:val="00723B99"/>
    <w:rsid w:val="00724192"/>
    <w:rsid w:val="0072508B"/>
    <w:rsid w:val="007250E6"/>
    <w:rsid w:val="007253E6"/>
    <w:rsid w:val="00725575"/>
    <w:rsid w:val="00725C2C"/>
    <w:rsid w:val="00726097"/>
    <w:rsid w:val="00726943"/>
    <w:rsid w:val="00727E25"/>
    <w:rsid w:val="00727E2B"/>
    <w:rsid w:val="00727FDE"/>
    <w:rsid w:val="00730032"/>
    <w:rsid w:val="00730285"/>
    <w:rsid w:val="007314E0"/>
    <w:rsid w:val="00731CFD"/>
    <w:rsid w:val="00731EB0"/>
    <w:rsid w:val="007320EC"/>
    <w:rsid w:val="00732257"/>
    <w:rsid w:val="00732FF6"/>
    <w:rsid w:val="00733030"/>
    <w:rsid w:val="00733038"/>
    <w:rsid w:val="00733143"/>
    <w:rsid w:val="007335EC"/>
    <w:rsid w:val="00734375"/>
    <w:rsid w:val="00734545"/>
    <w:rsid w:val="00734CAA"/>
    <w:rsid w:val="00734ED8"/>
    <w:rsid w:val="0073544B"/>
    <w:rsid w:val="00735A68"/>
    <w:rsid w:val="00735E35"/>
    <w:rsid w:val="00735E90"/>
    <w:rsid w:val="00736583"/>
    <w:rsid w:val="00736B42"/>
    <w:rsid w:val="00736EB0"/>
    <w:rsid w:val="00737406"/>
    <w:rsid w:val="00737A02"/>
    <w:rsid w:val="00737FFD"/>
    <w:rsid w:val="00740144"/>
    <w:rsid w:val="00740223"/>
    <w:rsid w:val="00740BD5"/>
    <w:rsid w:val="00740BDD"/>
    <w:rsid w:val="00740DA2"/>
    <w:rsid w:val="007413B5"/>
    <w:rsid w:val="007413B7"/>
    <w:rsid w:val="00742486"/>
    <w:rsid w:val="00742711"/>
    <w:rsid w:val="007428A4"/>
    <w:rsid w:val="00742C69"/>
    <w:rsid w:val="007431A6"/>
    <w:rsid w:val="0074322F"/>
    <w:rsid w:val="007432BF"/>
    <w:rsid w:val="0074398E"/>
    <w:rsid w:val="00744D5E"/>
    <w:rsid w:val="00745490"/>
    <w:rsid w:val="00745524"/>
    <w:rsid w:val="00745651"/>
    <w:rsid w:val="0074576E"/>
    <w:rsid w:val="00745B1B"/>
    <w:rsid w:val="0074653A"/>
    <w:rsid w:val="007469B8"/>
    <w:rsid w:val="00746E24"/>
    <w:rsid w:val="00746E47"/>
    <w:rsid w:val="007470B4"/>
    <w:rsid w:val="00747A0D"/>
    <w:rsid w:val="00747BC6"/>
    <w:rsid w:val="0075035F"/>
    <w:rsid w:val="007508CC"/>
    <w:rsid w:val="00750AE7"/>
    <w:rsid w:val="00750EFD"/>
    <w:rsid w:val="00751015"/>
    <w:rsid w:val="00751467"/>
    <w:rsid w:val="007518E3"/>
    <w:rsid w:val="007522AE"/>
    <w:rsid w:val="007523C1"/>
    <w:rsid w:val="00752497"/>
    <w:rsid w:val="007525C6"/>
    <w:rsid w:val="007527EA"/>
    <w:rsid w:val="00752828"/>
    <w:rsid w:val="00752962"/>
    <w:rsid w:val="00752A25"/>
    <w:rsid w:val="00752BA9"/>
    <w:rsid w:val="007531B0"/>
    <w:rsid w:val="00754046"/>
    <w:rsid w:val="00754086"/>
    <w:rsid w:val="00754282"/>
    <w:rsid w:val="0075473A"/>
    <w:rsid w:val="00754C9F"/>
    <w:rsid w:val="00755106"/>
    <w:rsid w:val="0075533C"/>
    <w:rsid w:val="00756842"/>
    <w:rsid w:val="00756871"/>
    <w:rsid w:val="00756A08"/>
    <w:rsid w:val="00756E53"/>
    <w:rsid w:val="0075734F"/>
    <w:rsid w:val="00757581"/>
    <w:rsid w:val="00757D83"/>
    <w:rsid w:val="00757ED6"/>
    <w:rsid w:val="00757F99"/>
    <w:rsid w:val="00757FAD"/>
    <w:rsid w:val="00757FF6"/>
    <w:rsid w:val="007609A0"/>
    <w:rsid w:val="00760D65"/>
    <w:rsid w:val="007611A0"/>
    <w:rsid w:val="00761CB1"/>
    <w:rsid w:val="0076226B"/>
    <w:rsid w:val="00762895"/>
    <w:rsid w:val="00762AD3"/>
    <w:rsid w:val="00762DE3"/>
    <w:rsid w:val="0076343A"/>
    <w:rsid w:val="007636E8"/>
    <w:rsid w:val="00763DA3"/>
    <w:rsid w:val="00764273"/>
    <w:rsid w:val="00764607"/>
    <w:rsid w:val="00764957"/>
    <w:rsid w:val="00764B53"/>
    <w:rsid w:val="007653F3"/>
    <w:rsid w:val="007654CB"/>
    <w:rsid w:val="007657FD"/>
    <w:rsid w:val="00765804"/>
    <w:rsid w:val="007658A0"/>
    <w:rsid w:val="00765B61"/>
    <w:rsid w:val="00765E7D"/>
    <w:rsid w:val="00766708"/>
    <w:rsid w:val="007667EB"/>
    <w:rsid w:val="00766AF5"/>
    <w:rsid w:val="00766F1F"/>
    <w:rsid w:val="00767243"/>
    <w:rsid w:val="0076744D"/>
    <w:rsid w:val="0076763E"/>
    <w:rsid w:val="007702C3"/>
    <w:rsid w:val="007703F5"/>
    <w:rsid w:val="00770589"/>
    <w:rsid w:val="00771716"/>
    <w:rsid w:val="00771992"/>
    <w:rsid w:val="00771AD5"/>
    <w:rsid w:val="00771C8F"/>
    <w:rsid w:val="00771DA9"/>
    <w:rsid w:val="00771DD1"/>
    <w:rsid w:val="0077224E"/>
    <w:rsid w:val="007727F5"/>
    <w:rsid w:val="00772882"/>
    <w:rsid w:val="00772922"/>
    <w:rsid w:val="00772B09"/>
    <w:rsid w:val="00772ED3"/>
    <w:rsid w:val="0077319B"/>
    <w:rsid w:val="00773316"/>
    <w:rsid w:val="00773353"/>
    <w:rsid w:val="00773F7F"/>
    <w:rsid w:val="00774BC1"/>
    <w:rsid w:val="00774E7B"/>
    <w:rsid w:val="00775059"/>
    <w:rsid w:val="00775111"/>
    <w:rsid w:val="0077536D"/>
    <w:rsid w:val="0077574B"/>
    <w:rsid w:val="00777138"/>
    <w:rsid w:val="0077794D"/>
    <w:rsid w:val="00777A57"/>
    <w:rsid w:val="00777BD7"/>
    <w:rsid w:val="00777E8E"/>
    <w:rsid w:val="007802C1"/>
    <w:rsid w:val="00780403"/>
    <w:rsid w:val="0078044C"/>
    <w:rsid w:val="00780922"/>
    <w:rsid w:val="00781432"/>
    <w:rsid w:val="00781588"/>
    <w:rsid w:val="00781C40"/>
    <w:rsid w:val="00781DE6"/>
    <w:rsid w:val="007827A3"/>
    <w:rsid w:val="007828F3"/>
    <w:rsid w:val="007829DE"/>
    <w:rsid w:val="007829F6"/>
    <w:rsid w:val="00782AF1"/>
    <w:rsid w:val="00783907"/>
    <w:rsid w:val="00783B06"/>
    <w:rsid w:val="0078446E"/>
    <w:rsid w:val="00785036"/>
    <w:rsid w:val="007854DB"/>
    <w:rsid w:val="00785A42"/>
    <w:rsid w:val="00786E21"/>
    <w:rsid w:val="00787195"/>
    <w:rsid w:val="007876EB"/>
    <w:rsid w:val="007878A2"/>
    <w:rsid w:val="00787A97"/>
    <w:rsid w:val="0079073E"/>
    <w:rsid w:val="00790C87"/>
    <w:rsid w:val="00790EBB"/>
    <w:rsid w:val="0079171C"/>
    <w:rsid w:val="00791EC6"/>
    <w:rsid w:val="007924C3"/>
    <w:rsid w:val="00792CDD"/>
    <w:rsid w:val="00792CF5"/>
    <w:rsid w:val="00792FED"/>
    <w:rsid w:val="007937E5"/>
    <w:rsid w:val="0079427A"/>
    <w:rsid w:val="00794605"/>
    <w:rsid w:val="00794695"/>
    <w:rsid w:val="00794931"/>
    <w:rsid w:val="00795453"/>
    <w:rsid w:val="0079554F"/>
    <w:rsid w:val="0079571C"/>
    <w:rsid w:val="00795B45"/>
    <w:rsid w:val="00795CAA"/>
    <w:rsid w:val="00795D56"/>
    <w:rsid w:val="00796438"/>
    <w:rsid w:val="007964B0"/>
    <w:rsid w:val="00796779"/>
    <w:rsid w:val="00796D3F"/>
    <w:rsid w:val="00796E30"/>
    <w:rsid w:val="00797924"/>
    <w:rsid w:val="007979FE"/>
    <w:rsid w:val="00797A32"/>
    <w:rsid w:val="007A0DBF"/>
    <w:rsid w:val="007A1117"/>
    <w:rsid w:val="007A1355"/>
    <w:rsid w:val="007A1552"/>
    <w:rsid w:val="007A15C1"/>
    <w:rsid w:val="007A1683"/>
    <w:rsid w:val="007A2217"/>
    <w:rsid w:val="007A24CD"/>
    <w:rsid w:val="007A2556"/>
    <w:rsid w:val="007A2B2E"/>
    <w:rsid w:val="007A32B2"/>
    <w:rsid w:val="007A35F8"/>
    <w:rsid w:val="007A36F8"/>
    <w:rsid w:val="007A3A54"/>
    <w:rsid w:val="007A4005"/>
    <w:rsid w:val="007A48A3"/>
    <w:rsid w:val="007A4B93"/>
    <w:rsid w:val="007A4EEC"/>
    <w:rsid w:val="007A531A"/>
    <w:rsid w:val="007A5B2D"/>
    <w:rsid w:val="007A5C12"/>
    <w:rsid w:val="007A5E50"/>
    <w:rsid w:val="007A6739"/>
    <w:rsid w:val="007A6C78"/>
    <w:rsid w:val="007A7056"/>
    <w:rsid w:val="007A71BD"/>
    <w:rsid w:val="007A7B6A"/>
    <w:rsid w:val="007A7CB0"/>
    <w:rsid w:val="007A7D4C"/>
    <w:rsid w:val="007B0D2A"/>
    <w:rsid w:val="007B14BC"/>
    <w:rsid w:val="007B17BF"/>
    <w:rsid w:val="007B1DF5"/>
    <w:rsid w:val="007B1F9D"/>
    <w:rsid w:val="007B1FE5"/>
    <w:rsid w:val="007B239C"/>
    <w:rsid w:val="007B257B"/>
    <w:rsid w:val="007B26EC"/>
    <w:rsid w:val="007B2769"/>
    <w:rsid w:val="007B2A36"/>
    <w:rsid w:val="007B2BD2"/>
    <w:rsid w:val="007B2F30"/>
    <w:rsid w:val="007B3789"/>
    <w:rsid w:val="007B388E"/>
    <w:rsid w:val="007B3CC7"/>
    <w:rsid w:val="007B3D90"/>
    <w:rsid w:val="007B3D9D"/>
    <w:rsid w:val="007B4466"/>
    <w:rsid w:val="007B46AD"/>
    <w:rsid w:val="007B47CA"/>
    <w:rsid w:val="007B5921"/>
    <w:rsid w:val="007B604D"/>
    <w:rsid w:val="007B626C"/>
    <w:rsid w:val="007B68A3"/>
    <w:rsid w:val="007B6F24"/>
    <w:rsid w:val="007B7C6C"/>
    <w:rsid w:val="007C062D"/>
    <w:rsid w:val="007C0652"/>
    <w:rsid w:val="007C0DF2"/>
    <w:rsid w:val="007C0F13"/>
    <w:rsid w:val="007C1363"/>
    <w:rsid w:val="007C1586"/>
    <w:rsid w:val="007C15BB"/>
    <w:rsid w:val="007C19EB"/>
    <w:rsid w:val="007C1C4C"/>
    <w:rsid w:val="007C1EE7"/>
    <w:rsid w:val="007C205D"/>
    <w:rsid w:val="007C22AF"/>
    <w:rsid w:val="007C2439"/>
    <w:rsid w:val="007C2541"/>
    <w:rsid w:val="007C29F0"/>
    <w:rsid w:val="007C2D4C"/>
    <w:rsid w:val="007C2E53"/>
    <w:rsid w:val="007C3915"/>
    <w:rsid w:val="007C405B"/>
    <w:rsid w:val="007C494F"/>
    <w:rsid w:val="007C4C05"/>
    <w:rsid w:val="007C4FC0"/>
    <w:rsid w:val="007C547F"/>
    <w:rsid w:val="007C618D"/>
    <w:rsid w:val="007C6A5A"/>
    <w:rsid w:val="007C6AFB"/>
    <w:rsid w:val="007C7B1D"/>
    <w:rsid w:val="007D07CC"/>
    <w:rsid w:val="007D0B28"/>
    <w:rsid w:val="007D1151"/>
    <w:rsid w:val="007D1EF8"/>
    <w:rsid w:val="007D20FF"/>
    <w:rsid w:val="007D2248"/>
    <w:rsid w:val="007D2563"/>
    <w:rsid w:val="007D28FF"/>
    <w:rsid w:val="007D2ADF"/>
    <w:rsid w:val="007D2BB0"/>
    <w:rsid w:val="007D35E9"/>
    <w:rsid w:val="007D410B"/>
    <w:rsid w:val="007D460D"/>
    <w:rsid w:val="007D4F2B"/>
    <w:rsid w:val="007D5524"/>
    <w:rsid w:val="007D5703"/>
    <w:rsid w:val="007D66A8"/>
    <w:rsid w:val="007D773D"/>
    <w:rsid w:val="007D7D2E"/>
    <w:rsid w:val="007D7EE8"/>
    <w:rsid w:val="007E003F"/>
    <w:rsid w:val="007E0A21"/>
    <w:rsid w:val="007E0FAB"/>
    <w:rsid w:val="007E19BF"/>
    <w:rsid w:val="007E1A5F"/>
    <w:rsid w:val="007E23AA"/>
    <w:rsid w:val="007E2DAF"/>
    <w:rsid w:val="007E3196"/>
    <w:rsid w:val="007E4606"/>
    <w:rsid w:val="007E46C5"/>
    <w:rsid w:val="007E47F8"/>
    <w:rsid w:val="007E4BA1"/>
    <w:rsid w:val="007E4E12"/>
    <w:rsid w:val="007E53F5"/>
    <w:rsid w:val="007E55ED"/>
    <w:rsid w:val="007E5773"/>
    <w:rsid w:val="007E58BF"/>
    <w:rsid w:val="007E5A8C"/>
    <w:rsid w:val="007E5B6C"/>
    <w:rsid w:val="007E5BF5"/>
    <w:rsid w:val="007E643B"/>
    <w:rsid w:val="007E654F"/>
    <w:rsid w:val="007E68BB"/>
    <w:rsid w:val="007E6F98"/>
    <w:rsid w:val="007E7053"/>
    <w:rsid w:val="007F07A5"/>
    <w:rsid w:val="007F0A76"/>
    <w:rsid w:val="007F10D8"/>
    <w:rsid w:val="007F136E"/>
    <w:rsid w:val="007F1420"/>
    <w:rsid w:val="007F1F24"/>
    <w:rsid w:val="007F2CB5"/>
    <w:rsid w:val="007F2E01"/>
    <w:rsid w:val="007F3138"/>
    <w:rsid w:val="007F3686"/>
    <w:rsid w:val="007F3740"/>
    <w:rsid w:val="007F3870"/>
    <w:rsid w:val="007F44EC"/>
    <w:rsid w:val="007F4697"/>
    <w:rsid w:val="007F472D"/>
    <w:rsid w:val="007F5F15"/>
    <w:rsid w:val="007F6146"/>
    <w:rsid w:val="007F633B"/>
    <w:rsid w:val="007F6D8A"/>
    <w:rsid w:val="007F759A"/>
    <w:rsid w:val="008007E7"/>
    <w:rsid w:val="00800C2B"/>
    <w:rsid w:val="00800F49"/>
    <w:rsid w:val="008011FD"/>
    <w:rsid w:val="00801E50"/>
    <w:rsid w:val="008021EF"/>
    <w:rsid w:val="0080226A"/>
    <w:rsid w:val="00802431"/>
    <w:rsid w:val="00802708"/>
    <w:rsid w:val="00802E72"/>
    <w:rsid w:val="008031BB"/>
    <w:rsid w:val="00803489"/>
    <w:rsid w:val="008038A2"/>
    <w:rsid w:val="00803CE4"/>
    <w:rsid w:val="008041F6"/>
    <w:rsid w:val="00804D6D"/>
    <w:rsid w:val="00805080"/>
    <w:rsid w:val="00805A9D"/>
    <w:rsid w:val="00805E3B"/>
    <w:rsid w:val="00805EC7"/>
    <w:rsid w:val="00805F1D"/>
    <w:rsid w:val="00806284"/>
    <w:rsid w:val="0080673D"/>
    <w:rsid w:val="00806ACB"/>
    <w:rsid w:val="00807191"/>
    <w:rsid w:val="00807A24"/>
    <w:rsid w:val="00807E50"/>
    <w:rsid w:val="008105BF"/>
    <w:rsid w:val="00810BEB"/>
    <w:rsid w:val="0081134E"/>
    <w:rsid w:val="008113BF"/>
    <w:rsid w:val="00811479"/>
    <w:rsid w:val="008118B3"/>
    <w:rsid w:val="008122A0"/>
    <w:rsid w:val="0081275A"/>
    <w:rsid w:val="00812D01"/>
    <w:rsid w:val="00812D50"/>
    <w:rsid w:val="00813D73"/>
    <w:rsid w:val="00813DAD"/>
    <w:rsid w:val="00814A9C"/>
    <w:rsid w:val="00814F14"/>
    <w:rsid w:val="00814F4A"/>
    <w:rsid w:val="00815357"/>
    <w:rsid w:val="00815EE9"/>
    <w:rsid w:val="00816295"/>
    <w:rsid w:val="00816303"/>
    <w:rsid w:val="008164F2"/>
    <w:rsid w:val="00816BF4"/>
    <w:rsid w:val="00816CD6"/>
    <w:rsid w:val="00816E16"/>
    <w:rsid w:val="0081777B"/>
    <w:rsid w:val="00817F46"/>
    <w:rsid w:val="008206EE"/>
    <w:rsid w:val="008209B6"/>
    <w:rsid w:val="00821395"/>
    <w:rsid w:val="00821C18"/>
    <w:rsid w:val="008225A4"/>
    <w:rsid w:val="008225AF"/>
    <w:rsid w:val="00822D8F"/>
    <w:rsid w:val="00823049"/>
    <w:rsid w:val="0082396B"/>
    <w:rsid w:val="0082396C"/>
    <w:rsid w:val="00823E3E"/>
    <w:rsid w:val="008244D2"/>
    <w:rsid w:val="00824E6B"/>
    <w:rsid w:val="00824F94"/>
    <w:rsid w:val="008250E0"/>
    <w:rsid w:val="00825E14"/>
    <w:rsid w:val="008261DC"/>
    <w:rsid w:val="00826723"/>
    <w:rsid w:val="00826785"/>
    <w:rsid w:val="008269B0"/>
    <w:rsid w:val="00826CD1"/>
    <w:rsid w:val="0082727B"/>
    <w:rsid w:val="00827495"/>
    <w:rsid w:val="008276C7"/>
    <w:rsid w:val="0082780E"/>
    <w:rsid w:val="00827E14"/>
    <w:rsid w:val="0083034A"/>
    <w:rsid w:val="0083087B"/>
    <w:rsid w:val="00830E26"/>
    <w:rsid w:val="00831259"/>
    <w:rsid w:val="00832159"/>
    <w:rsid w:val="0083226E"/>
    <w:rsid w:val="0083295E"/>
    <w:rsid w:val="008331DF"/>
    <w:rsid w:val="00833511"/>
    <w:rsid w:val="0083394B"/>
    <w:rsid w:val="008349DB"/>
    <w:rsid w:val="00834EE4"/>
    <w:rsid w:val="00834F9A"/>
    <w:rsid w:val="00835332"/>
    <w:rsid w:val="008357B4"/>
    <w:rsid w:val="00835946"/>
    <w:rsid w:val="00835D5A"/>
    <w:rsid w:val="00836010"/>
    <w:rsid w:val="0083607E"/>
    <w:rsid w:val="008361E4"/>
    <w:rsid w:val="0083624D"/>
    <w:rsid w:val="00836391"/>
    <w:rsid w:val="008366D3"/>
    <w:rsid w:val="008367E5"/>
    <w:rsid w:val="00836A7B"/>
    <w:rsid w:val="00837139"/>
    <w:rsid w:val="00837C5A"/>
    <w:rsid w:val="00837F9B"/>
    <w:rsid w:val="00840494"/>
    <w:rsid w:val="008407A0"/>
    <w:rsid w:val="00840D6B"/>
    <w:rsid w:val="008410D8"/>
    <w:rsid w:val="00841752"/>
    <w:rsid w:val="00843576"/>
    <w:rsid w:val="008435AB"/>
    <w:rsid w:val="00843B64"/>
    <w:rsid w:val="00844043"/>
    <w:rsid w:val="00844054"/>
    <w:rsid w:val="00844325"/>
    <w:rsid w:val="00844A76"/>
    <w:rsid w:val="00844BAF"/>
    <w:rsid w:val="00845CD4"/>
    <w:rsid w:val="00845E3D"/>
    <w:rsid w:val="008470BD"/>
    <w:rsid w:val="008475B4"/>
    <w:rsid w:val="008478FC"/>
    <w:rsid w:val="00850ADB"/>
    <w:rsid w:val="00850C1B"/>
    <w:rsid w:val="00850D87"/>
    <w:rsid w:val="00850EF7"/>
    <w:rsid w:val="008510C7"/>
    <w:rsid w:val="00851BB3"/>
    <w:rsid w:val="00852239"/>
    <w:rsid w:val="00852358"/>
    <w:rsid w:val="008526D1"/>
    <w:rsid w:val="0085295E"/>
    <w:rsid w:val="00853570"/>
    <w:rsid w:val="00853AEE"/>
    <w:rsid w:val="00853FEA"/>
    <w:rsid w:val="008547D2"/>
    <w:rsid w:val="00854DB4"/>
    <w:rsid w:val="00854F9B"/>
    <w:rsid w:val="0085551E"/>
    <w:rsid w:val="00855897"/>
    <w:rsid w:val="00856BBE"/>
    <w:rsid w:val="00856E22"/>
    <w:rsid w:val="008572E3"/>
    <w:rsid w:val="00857B26"/>
    <w:rsid w:val="00857D69"/>
    <w:rsid w:val="00860166"/>
    <w:rsid w:val="00860A3B"/>
    <w:rsid w:val="00861376"/>
    <w:rsid w:val="00861C4A"/>
    <w:rsid w:val="008620EE"/>
    <w:rsid w:val="00862383"/>
    <w:rsid w:val="008624FC"/>
    <w:rsid w:val="008625FC"/>
    <w:rsid w:val="00862B3D"/>
    <w:rsid w:val="00862B85"/>
    <w:rsid w:val="00862EDA"/>
    <w:rsid w:val="0086321F"/>
    <w:rsid w:val="008634E2"/>
    <w:rsid w:val="00863CC3"/>
    <w:rsid w:val="00863E53"/>
    <w:rsid w:val="00864556"/>
    <w:rsid w:val="00864ADA"/>
    <w:rsid w:val="008655B8"/>
    <w:rsid w:val="008656F0"/>
    <w:rsid w:val="00865C18"/>
    <w:rsid w:val="00866A63"/>
    <w:rsid w:val="00866C16"/>
    <w:rsid w:val="00866D4F"/>
    <w:rsid w:val="0086712C"/>
    <w:rsid w:val="008673F4"/>
    <w:rsid w:val="00867728"/>
    <w:rsid w:val="00867964"/>
    <w:rsid w:val="00867BFF"/>
    <w:rsid w:val="0087014C"/>
    <w:rsid w:val="00870300"/>
    <w:rsid w:val="008703B9"/>
    <w:rsid w:val="008704C7"/>
    <w:rsid w:val="0087080E"/>
    <w:rsid w:val="00870D31"/>
    <w:rsid w:val="0087105C"/>
    <w:rsid w:val="0087176F"/>
    <w:rsid w:val="008717AD"/>
    <w:rsid w:val="00873505"/>
    <w:rsid w:val="0087375B"/>
    <w:rsid w:val="00873A4E"/>
    <w:rsid w:val="00873A8C"/>
    <w:rsid w:val="00873B1C"/>
    <w:rsid w:val="00873E01"/>
    <w:rsid w:val="008740F1"/>
    <w:rsid w:val="00874192"/>
    <w:rsid w:val="00874DAE"/>
    <w:rsid w:val="00874E6A"/>
    <w:rsid w:val="00875639"/>
    <w:rsid w:val="00875E37"/>
    <w:rsid w:val="0087652A"/>
    <w:rsid w:val="008766A3"/>
    <w:rsid w:val="00877C73"/>
    <w:rsid w:val="00877E1D"/>
    <w:rsid w:val="00880C01"/>
    <w:rsid w:val="008818C5"/>
    <w:rsid w:val="00882377"/>
    <w:rsid w:val="0088254C"/>
    <w:rsid w:val="008825B9"/>
    <w:rsid w:val="008826DB"/>
    <w:rsid w:val="00882E6E"/>
    <w:rsid w:val="00883199"/>
    <w:rsid w:val="00883769"/>
    <w:rsid w:val="0088420E"/>
    <w:rsid w:val="0088480A"/>
    <w:rsid w:val="00885342"/>
    <w:rsid w:val="0088535A"/>
    <w:rsid w:val="00885513"/>
    <w:rsid w:val="008859B4"/>
    <w:rsid w:val="00885A86"/>
    <w:rsid w:val="00885E33"/>
    <w:rsid w:val="008872CC"/>
    <w:rsid w:val="008874FD"/>
    <w:rsid w:val="0088757A"/>
    <w:rsid w:val="008876B0"/>
    <w:rsid w:val="00887A5E"/>
    <w:rsid w:val="00887B7F"/>
    <w:rsid w:val="00890260"/>
    <w:rsid w:val="0089066F"/>
    <w:rsid w:val="0089130F"/>
    <w:rsid w:val="00891B77"/>
    <w:rsid w:val="00891C70"/>
    <w:rsid w:val="00892383"/>
    <w:rsid w:val="00892B3C"/>
    <w:rsid w:val="00892D3E"/>
    <w:rsid w:val="008930AC"/>
    <w:rsid w:val="008937F8"/>
    <w:rsid w:val="00894570"/>
    <w:rsid w:val="00894E6B"/>
    <w:rsid w:val="008950D4"/>
    <w:rsid w:val="008953ED"/>
    <w:rsid w:val="0089578A"/>
    <w:rsid w:val="008957DD"/>
    <w:rsid w:val="0089584B"/>
    <w:rsid w:val="00895935"/>
    <w:rsid w:val="0089696F"/>
    <w:rsid w:val="00897A16"/>
    <w:rsid w:val="00897D98"/>
    <w:rsid w:val="00897EEF"/>
    <w:rsid w:val="008A05BD"/>
    <w:rsid w:val="008A0779"/>
    <w:rsid w:val="008A115C"/>
    <w:rsid w:val="008A178E"/>
    <w:rsid w:val="008A1B4B"/>
    <w:rsid w:val="008A222D"/>
    <w:rsid w:val="008A26B4"/>
    <w:rsid w:val="008A271D"/>
    <w:rsid w:val="008A2C3E"/>
    <w:rsid w:val="008A2D9C"/>
    <w:rsid w:val="008A2E05"/>
    <w:rsid w:val="008A325A"/>
    <w:rsid w:val="008A33F9"/>
    <w:rsid w:val="008A367B"/>
    <w:rsid w:val="008A3B91"/>
    <w:rsid w:val="008A417F"/>
    <w:rsid w:val="008A43DE"/>
    <w:rsid w:val="008A4850"/>
    <w:rsid w:val="008A48F7"/>
    <w:rsid w:val="008A4F3A"/>
    <w:rsid w:val="008A4FA8"/>
    <w:rsid w:val="008A501E"/>
    <w:rsid w:val="008A519B"/>
    <w:rsid w:val="008A6065"/>
    <w:rsid w:val="008A660B"/>
    <w:rsid w:val="008A66E0"/>
    <w:rsid w:val="008A6B65"/>
    <w:rsid w:val="008A6CFA"/>
    <w:rsid w:val="008A6DF2"/>
    <w:rsid w:val="008A7807"/>
    <w:rsid w:val="008A7A60"/>
    <w:rsid w:val="008A7B7F"/>
    <w:rsid w:val="008B0024"/>
    <w:rsid w:val="008B0259"/>
    <w:rsid w:val="008B0771"/>
    <w:rsid w:val="008B0D6B"/>
    <w:rsid w:val="008B22E3"/>
    <w:rsid w:val="008B23E7"/>
    <w:rsid w:val="008B28D4"/>
    <w:rsid w:val="008B2FE7"/>
    <w:rsid w:val="008B307D"/>
    <w:rsid w:val="008B31BC"/>
    <w:rsid w:val="008B3832"/>
    <w:rsid w:val="008B41A5"/>
    <w:rsid w:val="008B4224"/>
    <w:rsid w:val="008B423D"/>
    <w:rsid w:val="008B4910"/>
    <w:rsid w:val="008B4CC9"/>
    <w:rsid w:val="008B4E92"/>
    <w:rsid w:val="008B58B6"/>
    <w:rsid w:val="008B5B28"/>
    <w:rsid w:val="008B5D05"/>
    <w:rsid w:val="008B5DFE"/>
    <w:rsid w:val="008B5EA1"/>
    <w:rsid w:val="008B60E4"/>
    <w:rsid w:val="008B7447"/>
    <w:rsid w:val="008B7F7F"/>
    <w:rsid w:val="008C06BE"/>
    <w:rsid w:val="008C083F"/>
    <w:rsid w:val="008C0F3E"/>
    <w:rsid w:val="008C1167"/>
    <w:rsid w:val="008C11CB"/>
    <w:rsid w:val="008C123A"/>
    <w:rsid w:val="008C13F0"/>
    <w:rsid w:val="008C1B8B"/>
    <w:rsid w:val="008C1F1A"/>
    <w:rsid w:val="008C1FB5"/>
    <w:rsid w:val="008C2309"/>
    <w:rsid w:val="008C24AF"/>
    <w:rsid w:val="008C2515"/>
    <w:rsid w:val="008C2F1F"/>
    <w:rsid w:val="008C3695"/>
    <w:rsid w:val="008C3BCB"/>
    <w:rsid w:val="008C48E9"/>
    <w:rsid w:val="008C4B63"/>
    <w:rsid w:val="008C4DC0"/>
    <w:rsid w:val="008C4FDA"/>
    <w:rsid w:val="008C5263"/>
    <w:rsid w:val="008C5896"/>
    <w:rsid w:val="008C5EC8"/>
    <w:rsid w:val="008C6BC3"/>
    <w:rsid w:val="008C6EBD"/>
    <w:rsid w:val="008C7011"/>
    <w:rsid w:val="008C752B"/>
    <w:rsid w:val="008C793E"/>
    <w:rsid w:val="008C79A1"/>
    <w:rsid w:val="008C7F9D"/>
    <w:rsid w:val="008D0332"/>
    <w:rsid w:val="008D05FB"/>
    <w:rsid w:val="008D0DEF"/>
    <w:rsid w:val="008D1425"/>
    <w:rsid w:val="008D1989"/>
    <w:rsid w:val="008D1E82"/>
    <w:rsid w:val="008D2561"/>
    <w:rsid w:val="008D283E"/>
    <w:rsid w:val="008D36DF"/>
    <w:rsid w:val="008D379B"/>
    <w:rsid w:val="008D3AE0"/>
    <w:rsid w:val="008D3D61"/>
    <w:rsid w:val="008D41DC"/>
    <w:rsid w:val="008D4BCC"/>
    <w:rsid w:val="008D4CD4"/>
    <w:rsid w:val="008D4DE1"/>
    <w:rsid w:val="008D5084"/>
    <w:rsid w:val="008D5844"/>
    <w:rsid w:val="008D594E"/>
    <w:rsid w:val="008D5F44"/>
    <w:rsid w:val="008D63C7"/>
    <w:rsid w:val="008D6540"/>
    <w:rsid w:val="008D6CC5"/>
    <w:rsid w:val="008D6DE0"/>
    <w:rsid w:val="008D7024"/>
    <w:rsid w:val="008D78D3"/>
    <w:rsid w:val="008D7C5B"/>
    <w:rsid w:val="008D7C99"/>
    <w:rsid w:val="008E053B"/>
    <w:rsid w:val="008E0973"/>
    <w:rsid w:val="008E0F04"/>
    <w:rsid w:val="008E0FCB"/>
    <w:rsid w:val="008E149D"/>
    <w:rsid w:val="008E2A78"/>
    <w:rsid w:val="008E2DC6"/>
    <w:rsid w:val="008E2FB3"/>
    <w:rsid w:val="008E34E4"/>
    <w:rsid w:val="008E380E"/>
    <w:rsid w:val="008E3B73"/>
    <w:rsid w:val="008E3ED7"/>
    <w:rsid w:val="008E4351"/>
    <w:rsid w:val="008E495F"/>
    <w:rsid w:val="008E5331"/>
    <w:rsid w:val="008E5769"/>
    <w:rsid w:val="008E5A12"/>
    <w:rsid w:val="008E5B34"/>
    <w:rsid w:val="008E600E"/>
    <w:rsid w:val="008E616C"/>
    <w:rsid w:val="008E652F"/>
    <w:rsid w:val="008E6765"/>
    <w:rsid w:val="008E67B2"/>
    <w:rsid w:val="008E67BA"/>
    <w:rsid w:val="008E699E"/>
    <w:rsid w:val="008E704B"/>
    <w:rsid w:val="008E7F66"/>
    <w:rsid w:val="008F1177"/>
    <w:rsid w:val="008F1B67"/>
    <w:rsid w:val="008F2237"/>
    <w:rsid w:val="008F2340"/>
    <w:rsid w:val="008F246A"/>
    <w:rsid w:val="008F2914"/>
    <w:rsid w:val="008F33AF"/>
    <w:rsid w:val="008F3441"/>
    <w:rsid w:val="008F3773"/>
    <w:rsid w:val="008F38DA"/>
    <w:rsid w:val="008F3EF5"/>
    <w:rsid w:val="008F4443"/>
    <w:rsid w:val="008F4549"/>
    <w:rsid w:val="008F4637"/>
    <w:rsid w:val="008F491A"/>
    <w:rsid w:val="008F498F"/>
    <w:rsid w:val="008F4C1F"/>
    <w:rsid w:val="008F4D8F"/>
    <w:rsid w:val="008F504D"/>
    <w:rsid w:val="008F58C4"/>
    <w:rsid w:val="008F5AF2"/>
    <w:rsid w:val="008F6351"/>
    <w:rsid w:val="008F6585"/>
    <w:rsid w:val="008F65E6"/>
    <w:rsid w:val="008F6AAF"/>
    <w:rsid w:val="008F6D3B"/>
    <w:rsid w:val="008F728C"/>
    <w:rsid w:val="008F77BD"/>
    <w:rsid w:val="008F7F41"/>
    <w:rsid w:val="009001FB"/>
    <w:rsid w:val="00900422"/>
    <w:rsid w:val="009007BD"/>
    <w:rsid w:val="0090143A"/>
    <w:rsid w:val="00901962"/>
    <w:rsid w:val="00901F10"/>
    <w:rsid w:val="00902BBD"/>
    <w:rsid w:val="00902F17"/>
    <w:rsid w:val="00903918"/>
    <w:rsid w:val="00903A28"/>
    <w:rsid w:val="00903DC2"/>
    <w:rsid w:val="00903EBF"/>
    <w:rsid w:val="0090438E"/>
    <w:rsid w:val="0090472A"/>
    <w:rsid w:val="00905187"/>
    <w:rsid w:val="00905E2A"/>
    <w:rsid w:val="009063FD"/>
    <w:rsid w:val="009064AB"/>
    <w:rsid w:val="00906CBC"/>
    <w:rsid w:val="00906DE5"/>
    <w:rsid w:val="009072A6"/>
    <w:rsid w:val="00907B16"/>
    <w:rsid w:val="00907D3C"/>
    <w:rsid w:val="00907D78"/>
    <w:rsid w:val="00910894"/>
    <w:rsid w:val="00910A97"/>
    <w:rsid w:val="00910ECF"/>
    <w:rsid w:val="00911348"/>
    <w:rsid w:val="00912057"/>
    <w:rsid w:val="009125DE"/>
    <w:rsid w:val="00912CD1"/>
    <w:rsid w:val="00912F63"/>
    <w:rsid w:val="0091365E"/>
    <w:rsid w:val="00913E2A"/>
    <w:rsid w:val="009141CE"/>
    <w:rsid w:val="00914642"/>
    <w:rsid w:val="00914948"/>
    <w:rsid w:val="00914DCF"/>
    <w:rsid w:val="00914F31"/>
    <w:rsid w:val="00915243"/>
    <w:rsid w:val="009154E0"/>
    <w:rsid w:val="00915C6B"/>
    <w:rsid w:val="009166C6"/>
    <w:rsid w:val="009169B6"/>
    <w:rsid w:val="00916A3B"/>
    <w:rsid w:val="00917371"/>
    <w:rsid w:val="009173A9"/>
    <w:rsid w:val="009176D4"/>
    <w:rsid w:val="00917C86"/>
    <w:rsid w:val="00920A46"/>
    <w:rsid w:val="009216AB"/>
    <w:rsid w:val="0092178C"/>
    <w:rsid w:val="00921966"/>
    <w:rsid w:val="00921EF2"/>
    <w:rsid w:val="009221D4"/>
    <w:rsid w:val="00922A94"/>
    <w:rsid w:val="009238D0"/>
    <w:rsid w:val="00923931"/>
    <w:rsid w:val="00923B25"/>
    <w:rsid w:val="00923D45"/>
    <w:rsid w:val="00924111"/>
    <w:rsid w:val="0092493F"/>
    <w:rsid w:val="00924EED"/>
    <w:rsid w:val="00924F80"/>
    <w:rsid w:val="00924FA9"/>
    <w:rsid w:val="0092559B"/>
    <w:rsid w:val="009258D9"/>
    <w:rsid w:val="00925F1C"/>
    <w:rsid w:val="00926491"/>
    <w:rsid w:val="009265DC"/>
    <w:rsid w:val="00926741"/>
    <w:rsid w:val="00926772"/>
    <w:rsid w:val="00926BE1"/>
    <w:rsid w:val="0093021B"/>
    <w:rsid w:val="0093092A"/>
    <w:rsid w:val="009309DA"/>
    <w:rsid w:val="00930B88"/>
    <w:rsid w:val="00930C7E"/>
    <w:rsid w:val="00930F6D"/>
    <w:rsid w:val="009315FE"/>
    <w:rsid w:val="009330DC"/>
    <w:rsid w:val="00933874"/>
    <w:rsid w:val="009344CE"/>
    <w:rsid w:val="00934712"/>
    <w:rsid w:val="00934D91"/>
    <w:rsid w:val="00935A63"/>
    <w:rsid w:val="00936845"/>
    <w:rsid w:val="00936C68"/>
    <w:rsid w:val="0093745F"/>
    <w:rsid w:val="009378DC"/>
    <w:rsid w:val="00937979"/>
    <w:rsid w:val="00937ADA"/>
    <w:rsid w:val="009404DB"/>
    <w:rsid w:val="00940684"/>
    <w:rsid w:val="00940DCC"/>
    <w:rsid w:val="0094179A"/>
    <w:rsid w:val="009418C9"/>
    <w:rsid w:val="00941D5B"/>
    <w:rsid w:val="009423BF"/>
    <w:rsid w:val="00942623"/>
    <w:rsid w:val="0094352C"/>
    <w:rsid w:val="00943837"/>
    <w:rsid w:val="009439F7"/>
    <w:rsid w:val="0094405A"/>
    <w:rsid w:val="009440F5"/>
    <w:rsid w:val="0094459E"/>
    <w:rsid w:val="00944A19"/>
    <w:rsid w:val="00944B00"/>
    <w:rsid w:val="00944BA7"/>
    <w:rsid w:val="00944DBC"/>
    <w:rsid w:val="009455E8"/>
    <w:rsid w:val="009456DC"/>
    <w:rsid w:val="0094585B"/>
    <w:rsid w:val="009466A5"/>
    <w:rsid w:val="0094695B"/>
    <w:rsid w:val="009475C4"/>
    <w:rsid w:val="00947A18"/>
    <w:rsid w:val="00947CDD"/>
    <w:rsid w:val="009504A9"/>
    <w:rsid w:val="009507F7"/>
    <w:rsid w:val="00950977"/>
    <w:rsid w:val="00950C92"/>
    <w:rsid w:val="00950F07"/>
    <w:rsid w:val="0095122D"/>
    <w:rsid w:val="00951A7B"/>
    <w:rsid w:val="00951AA3"/>
    <w:rsid w:val="00951BCE"/>
    <w:rsid w:val="00952193"/>
    <w:rsid w:val="00952438"/>
    <w:rsid w:val="00952457"/>
    <w:rsid w:val="0095246C"/>
    <w:rsid w:val="00952E65"/>
    <w:rsid w:val="00953050"/>
    <w:rsid w:val="00953B22"/>
    <w:rsid w:val="00953E27"/>
    <w:rsid w:val="00953E36"/>
    <w:rsid w:val="00954C96"/>
    <w:rsid w:val="00954F59"/>
    <w:rsid w:val="0095521A"/>
    <w:rsid w:val="009552DF"/>
    <w:rsid w:val="00955541"/>
    <w:rsid w:val="00955743"/>
    <w:rsid w:val="0095599E"/>
    <w:rsid w:val="00955CFE"/>
    <w:rsid w:val="00955DB3"/>
    <w:rsid w:val="00955DE9"/>
    <w:rsid w:val="009564A6"/>
    <w:rsid w:val="0095655A"/>
    <w:rsid w:val="00956845"/>
    <w:rsid w:val="00956A2A"/>
    <w:rsid w:val="00956A61"/>
    <w:rsid w:val="009571BE"/>
    <w:rsid w:val="0096039D"/>
    <w:rsid w:val="0096054E"/>
    <w:rsid w:val="00960B41"/>
    <w:rsid w:val="00960C37"/>
    <w:rsid w:val="00960E7B"/>
    <w:rsid w:val="00961023"/>
    <w:rsid w:val="00961173"/>
    <w:rsid w:val="009614CE"/>
    <w:rsid w:val="00961A33"/>
    <w:rsid w:val="00961B1E"/>
    <w:rsid w:val="00961C3C"/>
    <w:rsid w:val="00961F2C"/>
    <w:rsid w:val="009620DA"/>
    <w:rsid w:val="00962623"/>
    <w:rsid w:val="0096280B"/>
    <w:rsid w:val="009628B9"/>
    <w:rsid w:val="00962CE0"/>
    <w:rsid w:val="009631AE"/>
    <w:rsid w:val="00963AAD"/>
    <w:rsid w:val="00963F5F"/>
    <w:rsid w:val="00963FF1"/>
    <w:rsid w:val="0096439B"/>
    <w:rsid w:val="00964465"/>
    <w:rsid w:val="0096453F"/>
    <w:rsid w:val="00964631"/>
    <w:rsid w:val="00964DC0"/>
    <w:rsid w:val="0096529B"/>
    <w:rsid w:val="00965415"/>
    <w:rsid w:val="009659A5"/>
    <w:rsid w:val="00965BB5"/>
    <w:rsid w:val="00966396"/>
    <w:rsid w:val="009669C7"/>
    <w:rsid w:val="00966D29"/>
    <w:rsid w:val="00966E80"/>
    <w:rsid w:val="00967621"/>
    <w:rsid w:val="00967C9E"/>
    <w:rsid w:val="00967E6A"/>
    <w:rsid w:val="009706C3"/>
    <w:rsid w:val="00970879"/>
    <w:rsid w:val="009714E3"/>
    <w:rsid w:val="0097185C"/>
    <w:rsid w:val="00971F81"/>
    <w:rsid w:val="00972451"/>
    <w:rsid w:val="00972700"/>
    <w:rsid w:val="0097281B"/>
    <w:rsid w:val="00972FBD"/>
    <w:rsid w:val="009736C9"/>
    <w:rsid w:val="00974616"/>
    <w:rsid w:val="0097479E"/>
    <w:rsid w:val="00974E09"/>
    <w:rsid w:val="00974F4D"/>
    <w:rsid w:val="00975075"/>
    <w:rsid w:val="009750AC"/>
    <w:rsid w:val="009758AC"/>
    <w:rsid w:val="0097617C"/>
    <w:rsid w:val="009767A1"/>
    <w:rsid w:val="00976867"/>
    <w:rsid w:val="009768FB"/>
    <w:rsid w:val="00976AE1"/>
    <w:rsid w:val="00976BC9"/>
    <w:rsid w:val="00976CC4"/>
    <w:rsid w:val="0098018E"/>
    <w:rsid w:val="0098045A"/>
    <w:rsid w:val="00980797"/>
    <w:rsid w:val="00980981"/>
    <w:rsid w:val="00980EE9"/>
    <w:rsid w:val="00981061"/>
    <w:rsid w:val="009813DC"/>
    <w:rsid w:val="009819C4"/>
    <w:rsid w:val="009825E0"/>
    <w:rsid w:val="009826BF"/>
    <w:rsid w:val="00982AEE"/>
    <w:rsid w:val="00982BCB"/>
    <w:rsid w:val="00982D15"/>
    <w:rsid w:val="009841F7"/>
    <w:rsid w:val="0098424C"/>
    <w:rsid w:val="00984317"/>
    <w:rsid w:val="009844EA"/>
    <w:rsid w:val="00984658"/>
    <w:rsid w:val="00984810"/>
    <w:rsid w:val="009849C9"/>
    <w:rsid w:val="00985469"/>
    <w:rsid w:val="009858FD"/>
    <w:rsid w:val="00985B37"/>
    <w:rsid w:val="00985DBB"/>
    <w:rsid w:val="00986A2D"/>
    <w:rsid w:val="009873AC"/>
    <w:rsid w:val="00987AB4"/>
    <w:rsid w:val="00987E6E"/>
    <w:rsid w:val="0099004D"/>
    <w:rsid w:val="009901C4"/>
    <w:rsid w:val="00990C2C"/>
    <w:rsid w:val="00991544"/>
    <w:rsid w:val="0099281F"/>
    <w:rsid w:val="009933D4"/>
    <w:rsid w:val="00993596"/>
    <w:rsid w:val="009935AC"/>
    <w:rsid w:val="0099361C"/>
    <w:rsid w:val="0099468C"/>
    <w:rsid w:val="009948AA"/>
    <w:rsid w:val="009955C6"/>
    <w:rsid w:val="009957CA"/>
    <w:rsid w:val="0099593D"/>
    <w:rsid w:val="00995A53"/>
    <w:rsid w:val="00995AF3"/>
    <w:rsid w:val="00996105"/>
    <w:rsid w:val="00996604"/>
    <w:rsid w:val="009967B0"/>
    <w:rsid w:val="009972F3"/>
    <w:rsid w:val="00997C7A"/>
    <w:rsid w:val="009A0022"/>
    <w:rsid w:val="009A00BC"/>
    <w:rsid w:val="009A0730"/>
    <w:rsid w:val="009A109E"/>
    <w:rsid w:val="009A15B4"/>
    <w:rsid w:val="009A19F5"/>
    <w:rsid w:val="009A203F"/>
    <w:rsid w:val="009A208A"/>
    <w:rsid w:val="009A29F4"/>
    <w:rsid w:val="009A3457"/>
    <w:rsid w:val="009A3EDE"/>
    <w:rsid w:val="009A4579"/>
    <w:rsid w:val="009A4594"/>
    <w:rsid w:val="009A495E"/>
    <w:rsid w:val="009A4993"/>
    <w:rsid w:val="009A4E55"/>
    <w:rsid w:val="009A4EF8"/>
    <w:rsid w:val="009A5074"/>
    <w:rsid w:val="009A53C5"/>
    <w:rsid w:val="009A5830"/>
    <w:rsid w:val="009A5860"/>
    <w:rsid w:val="009A6054"/>
    <w:rsid w:val="009A64E1"/>
    <w:rsid w:val="009A686D"/>
    <w:rsid w:val="009A68D7"/>
    <w:rsid w:val="009A6C89"/>
    <w:rsid w:val="009A73BE"/>
    <w:rsid w:val="009B07F4"/>
    <w:rsid w:val="009B0AFA"/>
    <w:rsid w:val="009B0B1C"/>
    <w:rsid w:val="009B1EFA"/>
    <w:rsid w:val="009B2292"/>
    <w:rsid w:val="009B23E2"/>
    <w:rsid w:val="009B2681"/>
    <w:rsid w:val="009B2960"/>
    <w:rsid w:val="009B2CA7"/>
    <w:rsid w:val="009B302F"/>
    <w:rsid w:val="009B33BC"/>
    <w:rsid w:val="009B359C"/>
    <w:rsid w:val="009B38FD"/>
    <w:rsid w:val="009B3AC4"/>
    <w:rsid w:val="009B3BBE"/>
    <w:rsid w:val="009B3D20"/>
    <w:rsid w:val="009B3DFA"/>
    <w:rsid w:val="009B42F9"/>
    <w:rsid w:val="009B440A"/>
    <w:rsid w:val="009B4A0F"/>
    <w:rsid w:val="009B5C9D"/>
    <w:rsid w:val="009B6022"/>
    <w:rsid w:val="009B6078"/>
    <w:rsid w:val="009B6940"/>
    <w:rsid w:val="009B6A38"/>
    <w:rsid w:val="009B6D4A"/>
    <w:rsid w:val="009B6E42"/>
    <w:rsid w:val="009B70C4"/>
    <w:rsid w:val="009B7A26"/>
    <w:rsid w:val="009C0346"/>
    <w:rsid w:val="009C0583"/>
    <w:rsid w:val="009C0B71"/>
    <w:rsid w:val="009C0FEC"/>
    <w:rsid w:val="009C11D2"/>
    <w:rsid w:val="009C12FA"/>
    <w:rsid w:val="009C21E6"/>
    <w:rsid w:val="009C2875"/>
    <w:rsid w:val="009C29CC"/>
    <w:rsid w:val="009C29EC"/>
    <w:rsid w:val="009C2C11"/>
    <w:rsid w:val="009C2E30"/>
    <w:rsid w:val="009C3348"/>
    <w:rsid w:val="009C39A4"/>
    <w:rsid w:val="009C3A3C"/>
    <w:rsid w:val="009C3B62"/>
    <w:rsid w:val="009C3D03"/>
    <w:rsid w:val="009C3F67"/>
    <w:rsid w:val="009C414F"/>
    <w:rsid w:val="009C4501"/>
    <w:rsid w:val="009C4DDC"/>
    <w:rsid w:val="009C57F8"/>
    <w:rsid w:val="009C5876"/>
    <w:rsid w:val="009C5A3D"/>
    <w:rsid w:val="009C60DE"/>
    <w:rsid w:val="009C647B"/>
    <w:rsid w:val="009C696E"/>
    <w:rsid w:val="009C6C70"/>
    <w:rsid w:val="009C6F89"/>
    <w:rsid w:val="009C70FB"/>
    <w:rsid w:val="009D0214"/>
    <w:rsid w:val="009D0836"/>
    <w:rsid w:val="009D0922"/>
    <w:rsid w:val="009D0B63"/>
    <w:rsid w:val="009D0B6F"/>
    <w:rsid w:val="009D0F56"/>
    <w:rsid w:val="009D1190"/>
    <w:rsid w:val="009D1BE5"/>
    <w:rsid w:val="009D26A4"/>
    <w:rsid w:val="009D2766"/>
    <w:rsid w:val="009D344A"/>
    <w:rsid w:val="009D3547"/>
    <w:rsid w:val="009D3E6A"/>
    <w:rsid w:val="009D3E88"/>
    <w:rsid w:val="009D3F75"/>
    <w:rsid w:val="009D44B5"/>
    <w:rsid w:val="009D46F5"/>
    <w:rsid w:val="009D476D"/>
    <w:rsid w:val="009D502A"/>
    <w:rsid w:val="009D51CB"/>
    <w:rsid w:val="009D56D1"/>
    <w:rsid w:val="009D58B5"/>
    <w:rsid w:val="009D5AA3"/>
    <w:rsid w:val="009D618C"/>
    <w:rsid w:val="009D69B7"/>
    <w:rsid w:val="009D6AEF"/>
    <w:rsid w:val="009D6CB9"/>
    <w:rsid w:val="009D703E"/>
    <w:rsid w:val="009D70A6"/>
    <w:rsid w:val="009D7619"/>
    <w:rsid w:val="009D7D78"/>
    <w:rsid w:val="009E021D"/>
    <w:rsid w:val="009E0390"/>
    <w:rsid w:val="009E0722"/>
    <w:rsid w:val="009E1690"/>
    <w:rsid w:val="009E17C4"/>
    <w:rsid w:val="009E1903"/>
    <w:rsid w:val="009E1A50"/>
    <w:rsid w:val="009E1B5B"/>
    <w:rsid w:val="009E1F4E"/>
    <w:rsid w:val="009E26C4"/>
    <w:rsid w:val="009E2E10"/>
    <w:rsid w:val="009E307E"/>
    <w:rsid w:val="009E3126"/>
    <w:rsid w:val="009E312C"/>
    <w:rsid w:val="009E3868"/>
    <w:rsid w:val="009E4263"/>
    <w:rsid w:val="009E47E3"/>
    <w:rsid w:val="009E4D63"/>
    <w:rsid w:val="009E565B"/>
    <w:rsid w:val="009E57BE"/>
    <w:rsid w:val="009E58AE"/>
    <w:rsid w:val="009E5D6E"/>
    <w:rsid w:val="009E5DC5"/>
    <w:rsid w:val="009E630C"/>
    <w:rsid w:val="009E64C2"/>
    <w:rsid w:val="009E6539"/>
    <w:rsid w:val="009E77B9"/>
    <w:rsid w:val="009E7C8C"/>
    <w:rsid w:val="009F01EA"/>
    <w:rsid w:val="009F0225"/>
    <w:rsid w:val="009F0408"/>
    <w:rsid w:val="009F05D2"/>
    <w:rsid w:val="009F10C3"/>
    <w:rsid w:val="009F17A0"/>
    <w:rsid w:val="009F1998"/>
    <w:rsid w:val="009F1B02"/>
    <w:rsid w:val="009F23FD"/>
    <w:rsid w:val="009F286F"/>
    <w:rsid w:val="009F28A2"/>
    <w:rsid w:val="009F381E"/>
    <w:rsid w:val="009F3EA5"/>
    <w:rsid w:val="009F494E"/>
    <w:rsid w:val="009F4B4D"/>
    <w:rsid w:val="009F4B8F"/>
    <w:rsid w:val="009F57BD"/>
    <w:rsid w:val="009F590A"/>
    <w:rsid w:val="009F5B27"/>
    <w:rsid w:val="009F5D66"/>
    <w:rsid w:val="009F6919"/>
    <w:rsid w:val="009F736B"/>
    <w:rsid w:val="009F77A7"/>
    <w:rsid w:val="009F7A4A"/>
    <w:rsid w:val="009F7C18"/>
    <w:rsid w:val="009F7C84"/>
    <w:rsid w:val="00A001EC"/>
    <w:rsid w:val="00A005A6"/>
    <w:rsid w:val="00A0094B"/>
    <w:rsid w:val="00A01DED"/>
    <w:rsid w:val="00A0258E"/>
    <w:rsid w:val="00A0265E"/>
    <w:rsid w:val="00A02DA8"/>
    <w:rsid w:val="00A03A4A"/>
    <w:rsid w:val="00A044E1"/>
    <w:rsid w:val="00A047F5"/>
    <w:rsid w:val="00A049B0"/>
    <w:rsid w:val="00A04D4C"/>
    <w:rsid w:val="00A04F17"/>
    <w:rsid w:val="00A051B3"/>
    <w:rsid w:val="00A0565A"/>
    <w:rsid w:val="00A058D8"/>
    <w:rsid w:val="00A05949"/>
    <w:rsid w:val="00A05A5C"/>
    <w:rsid w:val="00A05D24"/>
    <w:rsid w:val="00A05D57"/>
    <w:rsid w:val="00A05EA8"/>
    <w:rsid w:val="00A06310"/>
    <w:rsid w:val="00A07418"/>
    <w:rsid w:val="00A07823"/>
    <w:rsid w:val="00A07870"/>
    <w:rsid w:val="00A07D0A"/>
    <w:rsid w:val="00A07F19"/>
    <w:rsid w:val="00A10239"/>
    <w:rsid w:val="00A10477"/>
    <w:rsid w:val="00A10DA9"/>
    <w:rsid w:val="00A1118F"/>
    <w:rsid w:val="00A11779"/>
    <w:rsid w:val="00A12285"/>
    <w:rsid w:val="00A12413"/>
    <w:rsid w:val="00A12F3B"/>
    <w:rsid w:val="00A12F98"/>
    <w:rsid w:val="00A1348D"/>
    <w:rsid w:val="00A139B7"/>
    <w:rsid w:val="00A139CA"/>
    <w:rsid w:val="00A13B04"/>
    <w:rsid w:val="00A13EF7"/>
    <w:rsid w:val="00A14069"/>
    <w:rsid w:val="00A142D1"/>
    <w:rsid w:val="00A1489E"/>
    <w:rsid w:val="00A149B3"/>
    <w:rsid w:val="00A15F22"/>
    <w:rsid w:val="00A1619A"/>
    <w:rsid w:val="00A165BD"/>
    <w:rsid w:val="00A165CC"/>
    <w:rsid w:val="00A16D00"/>
    <w:rsid w:val="00A17B5E"/>
    <w:rsid w:val="00A17BE8"/>
    <w:rsid w:val="00A200E1"/>
    <w:rsid w:val="00A206DD"/>
    <w:rsid w:val="00A2076C"/>
    <w:rsid w:val="00A20BB6"/>
    <w:rsid w:val="00A20C44"/>
    <w:rsid w:val="00A2156E"/>
    <w:rsid w:val="00A219C4"/>
    <w:rsid w:val="00A22124"/>
    <w:rsid w:val="00A2248C"/>
    <w:rsid w:val="00A231B4"/>
    <w:rsid w:val="00A232EE"/>
    <w:rsid w:val="00A23394"/>
    <w:rsid w:val="00A239EB"/>
    <w:rsid w:val="00A23A1C"/>
    <w:rsid w:val="00A247C2"/>
    <w:rsid w:val="00A248B7"/>
    <w:rsid w:val="00A24BC6"/>
    <w:rsid w:val="00A24DED"/>
    <w:rsid w:val="00A24F31"/>
    <w:rsid w:val="00A257BD"/>
    <w:rsid w:val="00A25DF7"/>
    <w:rsid w:val="00A2617E"/>
    <w:rsid w:val="00A26809"/>
    <w:rsid w:val="00A269B5"/>
    <w:rsid w:val="00A269BE"/>
    <w:rsid w:val="00A26FF2"/>
    <w:rsid w:val="00A2706B"/>
    <w:rsid w:val="00A27070"/>
    <w:rsid w:val="00A27182"/>
    <w:rsid w:val="00A27274"/>
    <w:rsid w:val="00A279AF"/>
    <w:rsid w:val="00A27A25"/>
    <w:rsid w:val="00A27B9A"/>
    <w:rsid w:val="00A3030C"/>
    <w:rsid w:val="00A30975"/>
    <w:rsid w:val="00A30BA2"/>
    <w:rsid w:val="00A31037"/>
    <w:rsid w:val="00A310E4"/>
    <w:rsid w:val="00A3173E"/>
    <w:rsid w:val="00A3265F"/>
    <w:rsid w:val="00A32AB2"/>
    <w:rsid w:val="00A333F4"/>
    <w:rsid w:val="00A34114"/>
    <w:rsid w:val="00A34619"/>
    <w:rsid w:val="00A34F55"/>
    <w:rsid w:val="00A35116"/>
    <w:rsid w:val="00A35654"/>
    <w:rsid w:val="00A35797"/>
    <w:rsid w:val="00A364B7"/>
    <w:rsid w:val="00A402DD"/>
    <w:rsid w:val="00A40941"/>
    <w:rsid w:val="00A40F25"/>
    <w:rsid w:val="00A414A9"/>
    <w:rsid w:val="00A4175F"/>
    <w:rsid w:val="00A4176F"/>
    <w:rsid w:val="00A41BDE"/>
    <w:rsid w:val="00A41C22"/>
    <w:rsid w:val="00A423D8"/>
    <w:rsid w:val="00A43348"/>
    <w:rsid w:val="00A4343F"/>
    <w:rsid w:val="00A4394F"/>
    <w:rsid w:val="00A439C7"/>
    <w:rsid w:val="00A43B4E"/>
    <w:rsid w:val="00A44411"/>
    <w:rsid w:val="00A4467A"/>
    <w:rsid w:val="00A45594"/>
    <w:rsid w:val="00A45D69"/>
    <w:rsid w:val="00A469FA"/>
    <w:rsid w:val="00A471D2"/>
    <w:rsid w:val="00A4751B"/>
    <w:rsid w:val="00A47620"/>
    <w:rsid w:val="00A476EE"/>
    <w:rsid w:val="00A50222"/>
    <w:rsid w:val="00A5058E"/>
    <w:rsid w:val="00A505F1"/>
    <w:rsid w:val="00A50E94"/>
    <w:rsid w:val="00A51DA2"/>
    <w:rsid w:val="00A52140"/>
    <w:rsid w:val="00A5268C"/>
    <w:rsid w:val="00A5301C"/>
    <w:rsid w:val="00A534F0"/>
    <w:rsid w:val="00A53607"/>
    <w:rsid w:val="00A53645"/>
    <w:rsid w:val="00A536DE"/>
    <w:rsid w:val="00A5434A"/>
    <w:rsid w:val="00A544F6"/>
    <w:rsid w:val="00A54B6B"/>
    <w:rsid w:val="00A55B01"/>
    <w:rsid w:val="00A55F13"/>
    <w:rsid w:val="00A561B2"/>
    <w:rsid w:val="00A5624A"/>
    <w:rsid w:val="00A567ED"/>
    <w:rsid w:val="00A568F9"/>
    <w:rsid w:val="00A56B5B"/>
    <w:rsid w:val="00A56F62"/>
    <w:rsid w:val="00A571F8"/>
    <w:rsid w:val="00A577F0"/>
    <w:rsid w:val="00A600C2"/>
    <w:rsid w:val="00A601A7"/>
    <w:rsid w:val="00A60262"/>
    <w:rsid w:val="00A603A5"/>
    <w:rsid w:val="00A603FF"/>
    <w:rsid w:val="00A6096F"/>
    <w:rsid w:val="00A60992"/>
    <w:rsid w:val="00A6105B"/>
    <w:rsid w:val="00A62020"/>
    <w:rsid w:val="00A620E6"/>
    <w:rsid w:val="00A6270B"/>
    <w:rsid w:val="00A627AC"/>
    <w:rsid w:val="00A63103"/>
    <w:rsid w:val="00A633F3"/>
    <w:rsid w:val="00A63837"/>
    <w:rsid w:val="00A6445E"/>
    <w:rsid w:val="00A644DE"/>
    <w:rsid w:val="00A657DD"/>
    <w:rsid w:val="00A65B57"/>
    <w:rsid w:val="00A6616F"/>
    <w:rsid w:val="00A6664F"/>
    <w:rsid w:val="00A666A6"/>
    <w:rsid w:val="00A66C89"/>
    <w:rsid w:val="00A66E15"/>
    <w:rsid w:val="00A6750D"/>
    <w:rsid w:val="00A67593"/>
    <w:rsid w:val="00A675FD"/>
    <w:rsid w:val="00A67AE3"/>
    <w:rsid w:val="00A70011"/>
    <w:rsid w:val="00A70422"/>
    <w:rsid w:val="00A706C9"/>
    <w:rsid w:val="00A70763"/>
    <w:rsid w:val="00A70B26"/>
    <w:rsid w:val="00A70DF4"/>
    <w:rsid w:val="00A712F7"/>
    <w:rsid w:val="00A715FE"/>
    <w:rsid w:val="00A71876"/>
    <w:rsid w:val="00A72437"/>
    <w:rsid w:val="00A72600"/>
    <w:rsid w:val="00A72A50"/>
    <w:rsid w:val="00A72CA0"/>
    <w:rsid w:val="00A732F4"/>
    <w:rsid w:val="00A73402"/>
    <w:rsid w:val="00A73910"/>
    <w:rsid w:val="00A74BF3"/>
    <w:rsid w:val="00A75119"/>
    <w:rsid w:val="00A752D8"/>
    <w:rsid w:val="00A75512"/>
    <w:rsid w:val="00A75717"/>
    <w:rsid w:val="00A75E31"/>
    <w:rsid w:val="00A76164"/>
    <w:rsid w:val="00A7619B"/>
    <w:rsid w:val="00A76653"/>
    <w:rsid w:val="00A76A00"/>
    <w:rsid w:val="00A77C93"/>
    <w:rsid w:val="00A80611"/>
    <w:rsid w:val="00A80E28"/>
    <w:rsid w:val="00A827E7"/>
    <w:rsid w:val="00A8312F"/>
    <w:rsid w:val="00A83C54"/>
    <w:rsid w:val="00A83EEF"/>
    <w:rsid w:val="00A84B15"/>
    <w:rsid w:val="00A84B6C"/>
    <w:rsid w:val="00A84C16"/>
    <w:rsid w:val="00A8522E"/>
    <w:rsid w:val="00A85534"/>
    <w:rsid w:val="00A859E0"/>
    <w:rsid w:val="00A860C3"/>
    <w:rsid w:val="00A8625F"/>
    <w:rsid w:val="00A86398"/>
    <w:rsid w:val="00A86626"/>
    <w:rsid w:val="00A86C8F"/>
    <w:rsid w:val="00A86F4B"/>
    <w:rsid w:val="00A87016"/>
    <w:rsid w:val="00A87221"/>
    <w:rsid w:val="00A87952"/>
    <w:rsid w:val="00A908C4"/>
    <w:rsid w:val="00A90D21"/>
    <w:rsid w:val="00A91B71"/>
    <w:rsid w:val="00A91B78"/>
    <w:rsid w:val="00A91FB2"/>
    <w:rsid w:val="00A920F5"/>
    <w:rsid w:val="00A92A7C"/>
    <w:rsid w:val="00A92AEE"/>
    <w:rsid w:val="00A92D26"/>
    <w:rsid w:val="00A92E5D"/>
    <w:rsid w:val="00A9393D"/>
    <w:rsid w:val="00A93AF7"/>
    <w:rsid w:val="00A9491D"/>
    <w:rsid w:val="00A94C1E"/>
    <w:rsid w:val="00A950C3"/>
    <w:rsid w:val="00A9521D"/>
    <w:rsid w:val="00A95509"/>
    <w:rsid w:val="00A95802"/>
    <w:rsid w:val="00A95C9C"/>
    <w:rsid w:val="00A95D17"/>
    <w:rsid w:val="00A975F7"/>
    <w:rsid w:val="00A97C22"/>
    <w:rsid w:val="00A97C78"/>
    <w:rsid w:val="00A97DDB"/>
    <w:rsid w:val="00AA020A"/>
    <w:rsid w:val="00AA0337"/>
    <w:rsid w:val="00AA0842"/>
    <w:rsid w:val="00AA0F31"/>
    <w:rsid w:val="00AA1523"/>
    <w:rsid w:val="00AA15AF"/>
    <w:rsid w:val="00AA24BE"/>
    <w:rsid w:val="00AA265E"/>
    <w:rsid w:val="00AA2745"/>
    <w:rsid w:val="00AA29FF"/>
    <w:rsid w:val="00AA2A6E"/>
    <w:rsid w:val="00AA2A96"/>
    <w:rsid w:val="00AA2B96"/>
    <w:rsid w:val="00AA3768"/>
    <w:rsid w:val="00AA37A4"/>
    <w:rsid w:val="00AA3A31"/>
    <w:rsid w:val="00AA3CF8"/>
    <w:rsid w:val="00AA3D2A"/>
    <w:rsid w:val="00AA415C"/>
    <w:rsid w:val="00AA475D"/>
    <w:rsid w:val="00AA4CDB"/>
    <w:rsid w:val="00AA4FA0"/>
    <w:rsid w:val="00AA613C"/>
    <w:rsid w:val="00AA68DA"/>
    <w:rsid w:val="00AA6CA0"/>
    <w:rsid w:val="00AA7864"/>
    <w:rsid w:val="00AA7A8B"/>
    <w:rsid w:val="00AB035F"/>
    <w:rsid w:val="00AB0ADE"/>
    <w:rsid w:val="00AB1123"/>
    <w:rsid w:val="00AB1446"/>
    <w:rsid w:val="00AB189C"/>
    <w:rsid w:val="00AB18B7"/>
    <w:rsid w:val="00AB1F69"/>
    <w:rsid w:val="00AB21AB"/>
    <w:rsid w:val="00AB282F"/>
    <w:rsid w:val="00AB31EC"/>
    <w:rsid w:val="00AB35DC"/>
    <w:rsid w:val="00AB3691"/>
    <w:rsid w:val="00AB435A"/>
    <w:rsid w:val="00AB489D"/>
    <w:rsid w:val="00AB5340"/>
    <w:rsid w:val="00AB5539"/>
    <w:rsid w:val="00AB5580"/>
    <w:rsid w:val="00AB5F47"/>
    <w:rsid w:val="00AB6440"/>
    <w:rsid w:val="00AB6678"/>
    <w:rsid w:val="00AB714A"/>
    <w:rsid w:val="00AB767E"/>
    <w:rsid w:val="00AC010E"/>
    <w:rsid w:val="00AC01CC"/>
    <w:rsid w:val="00AC05B0"/>
    <w:rsid w:val="00AC0756"/>
    <w:rsid w:val="00AC0B0C"/>
    <w:rsid w:val="00AC15E6"/>
    <w:rsid w:val="00AC16B8"/>
    <w:rsid w:val="00AC17B6"/>
    <w:rsid w:val="00AC189C"/>
    <w:rsid w:val="00AC18A7"/>
    <w:rsid w:val="00AC2265"/>
    <w:rsid w:val="00AC2450"/>
    <w:rsid w:val="00AC24FF"/>
    <w:rsid w:val="00AC2577"/>
    <w:rsid w:val="00AC25CA"/>
    <w:rsid w:val="00AC2E08"/>
    <w:rsid w:val="00AC30CB"/>
    <w:rsid w:val="00AC36FC"/>
    <w:rsid w:val="00AC3CC2"/>
    <w:rsid w:val="00AC40AE"/>
    <w:rsid w:val="00AC469E"/>
    <w:rsid w:val="00AC4815"/>
    <w:rsid w:val="00AC5343"/>
    <w:rsid w:val="00AC53B6"/>
    <w:rsid w:val="00AC5441"/>
    <w:rsid w:val="00AC58B2"/>
    <w:rsid w:val="00AC5D09"/>
    <w:rsid w:val="00AC6CEE"/>
    <w:rsid w:val="00AC7043"/>
    <w:rsid w:val="00AC7C96"/>
    <w:rsid w:val="00AD0141"/>
    <w:rsid w:val="00AD125C"/>
    <w:rsid w:val="00AD1431"/>
    <w:rsid w:val="00AD1999"/>
    <w:rsid w:val="00AD212A"/>
    <w:rsid w:val="00AD2237"/>
    <w:rsid w:val="00AD251D"/>
    <w:rsid w:val="00AD2743"/>
    <w:rsid w:val="00AD2890"/>
    <w:rsid w:val="00AD299D"/>
    <w:rsid w:val="00AD3136"/>
    <w:rsid w:val="00AD33F7"/>
    <w:rsid w:val="00AD4704"/>
    <w:rsid w:val="00AD50DD"/>
    <w:rsid w:val="00AD545A"/>
    <w:rsid w:val="00AD55EF"/>
    <w:rsid w:val="00AD737E"/>
    <w:rsid w:val="00AD7D0A"/>
    <w:rsid w:val="00AD7DCA"/>
    <w:rsid w:val="00AE00FF"/>
    <w:rsid w:val="00AE0207"/>
    <w:rsid w:val="00AE1229"/>
    <w:rsid w:val="00AE1A97"/>
    <w:rsid w:val="00AE1F22"/>
    <w:rsid w:val="00AE237D"/>
    <w:rsid w:val="00AE2A3D"/>
    <w:rsid w:val="00AE2B20"/>
    <w:rsid w:val="00AE328A"/>
    <w:rsid w:val="00AE3480"/>
    <w:rsid w:val="00AE384C"/>
    <w:rsid w:val="00AE3942"/>
    <w:rsid w:val="00AE44A1"/>
    <w:rsid w:val="00AE4AE8"/>
    <w:rsid w:val="00AE4C05"/>
    <w:rsid w:val="00AE502A"/>
    <w:rsid w:val="00AE5090"/>
    <w:rsid w:val="00AE5ACF"/>
    <w:rsid w:val="00AE612E"/>
    <w:rsid w:val="00AE627B"/>
    <w:rsid w:val="00AE63A3"/>
    <w:rsid w:val="00AE6502"/>
    <w:rsid w:val="00AE6904"/>
    <w:rsid w:val="00AE6D42"/>
    <w:rsid w:val="00AE72EC"/>
    <w:rsid w:val="00AE7EEA"/>
    <w:rsid w:val="00AF0DF7"/>
    <w:rsid w:val="00AF1143"/>
    <w:rsid w:val="00AF133F"/>
    <w:rsid w:val="00AF15F5"/>
    <w:rsid w:val="00AF1806"/>
    <w:rsid w:val="00AF1CD6"/>
    <w:rsid w:val="00AF22F4"/>
    <w:rsid w:val="00AF236A"/>
    <w:rsid w:val="00AF2ABE"/>
    <w:rsid w:val="00AF359E"/>
    <w:rsid w:val="00AF3C42"/>
    <w:rsid w:val="00AF4206"/>
    <w:rsid w:val="00AF422E"/>
    <w:rsid w:val="00AF42F6"/>
    <w:rsid w:val="00AF4C4D"/>
    <w:rsid w:val="00AF4EEF"/>
    <w:rsid w:val="00AF5A2B"/>
    <w:rsid w:val="00AF5A55"/>
    <w:rsid w:val="00AF5AC6"/>
    <w:rsid w:val="00AF5B3A"/>
    <w:rsid w:val="00AF5C70"/>
    <w:rsid w:val="00AF60D9"/>
    <w:rsid w:val="00AF6A0F"/>
    <w:rsid w:val="00AF6E29"/>
    <w:rsid w:val="00AF6E7B"/>
    <w:rsid w:val="00AF7084"/>
    <w:rsid w:val="00AF7184"/>
    <w:rsid w:val="00AF77B4"/>
    <w:rsid w:val="00AF7911"/>
    <w:rsid w:val="00AF7C07"/>
    <w:rsid w:val="00AF7DC6"/>
    <w:rsid w:val="00B00436"/>
    <w:rsid w:val="00B00611"/>
    <w:rsid w:val="00B017D7"/>
    <w:rsid w:val="00B01D00"/>
    <w:rsid w:val="00B01EE6"/>
    <w:rsid w:val="00B022A6"/>
    <w:rsid w:val="00B02F2A"/>
    <w:rsid w:val="00B0394F"/>
    <w:rsid w:val="00B03C64"/>
    <w:rsid w:val="00B042CF"/>
    <w:rsid w:val="00B043DE"/>
    <w:rsid w:val="00B04413"/>
    <w:rsid w:val="00B0443C"/>
    <w:rsid w:val="00B054F9"/>
    <w:rsid w:val="00B05881"/>
    <w:rsid w:val="00B06821"/>
    <w:rsid w:val="00B06935"/>
    <w:rsid w:val="00B06DB8"/>
    <w:rsid w:val="00B06FA2"/>
    <w:rsid w:val="00B0713A"/>
    <w:rsid w:val="00B07FB9"/>
    <w:rsid w:val="00B1050C"/>
    <w:rsid w:val="00B110FC"/>
    <w:rsid w:val="00B1131F"/>
    <w:rsid w:val="00B11D02"/>
    <w:rsid w:val="00B120E5"/>
    <w:rsid w:val="00B12100"/>
    <w:rsid w:val="00B12634"/>
    <w:rsid w:val="00B12778"/>
    <w:rsid w:val="00B12909"/>
    <w:rsid w:val="00B12A84"/>
    <w:rsid w:val="00B12D6F"/>
    <w:rsid w:val="00B1391C"/>
    <w:rsid w:val="00B14B69"/>
    <w:rsid w:val="00B14DD6"/>
    <w:rsid w:val="00B15F7D"/>
    <w:rsid w:val="00B16261"/>
    <w:rsid w:val="00B163E3"/>
    <w:rsid w:val="00B16A70"/>
    <w:rsid w:val="00B16EDA"/>
    <w:rsid w:val="00B17BD5"/>
    <w:rsid w:val="00B17F01"/>
    <w:rsid w:val="00B20045"/>
    <w:rsid w:val="00B2023C"/>
    <w:rsid w:val="00B204F8"/>
    <w:rsid w:val="00B20A6A"/>
    <w:rsid w:val="00B20AFE"/>
    <w:rsid w:val="00B21AD1"/>
    <w:rsid w:val="00B2258A"/>
    <w:rsid w:val="00B22C93"/>
    <w:rsid w:val="00B22E2A"/>
    <w:rsid w:val="00B23056"/>
    <w:rsid w:val="00B234DD"/>
    <w:rsid w:val="00B2359D"/>
    <w:rsid w:val="00B23917"/>
    <w:rsid w:val="00B23B3C"/>
    <w:rsid w:val="00B23CB0"/>
    <w:rsid w:val="00B2439C"/>
    <w:rsid w:val="00B243A5"/>
    <w:rsid w:val="00B24504"/>
    <w:rsid w:val="00B24587"/>
    <w:rsid w:val="00B246A5"/>
    <w:rsid w:val="00B249E3"/>
    <w:rsid w:val="00B24F90"/>
    <w:rsid w:val="00B25846"/>
    <w:rsid w:val="00B25DDC"/>
    <w:rsid w:val="00B261B6"/>
    <w:rsid w:val="00B26568"/>
    <w:rsid w:val="00B26B86"/>
    <w:rsid w:val="00B26E5A"/>
    <w:rsid w:val="00B27589"/>
    <w:rsid w:val="00B2769F"/>
    <w:rsid w:val="00B27732"/>
    <w:rsid w:val="00B27912"/>
    <w:rsid w:val="00B27A21"/>
    <w:rsid w:val="00B27B02"/>
    <w:rsid w:val="00B27CF0"/>
    <w:rsid w:val="00B27E55"/>
    <w:rsid w:val="00B27EB7"/>
    <w:rsid w:val="00B27ED2"/>
    <w:rsid w:val="00B27F0B"/>
    <w:rsid w:val="00B302EB"/>
    <w:rsid w:val="00B302FA"/>
    <w:rsid w:val="00B30C08"/>
    <w:rsid w:val="00B3153A"/>
    <w:rsid w:val="00B31A93"/>
    <w:rsid w:val="00B321AC"/>
    <w:rsid w:val="00B32618"/>
    <w:rsid w:val="00B32DAE"/>
    <w:rsid w:val="00B333A5"/>
    <w:rsid w:val="00B33BF8"/>
    <w:rsid w:val="00B340FC"/>
    <w:rsid w:val="00B34DB2"/>
    <w:rsid w:val="00B34E42"/>
    <w:rsid w:val="00B3572B"/>
    <w:rsid w:val="00B36D3B"/>
    <w:rsid w:val="00B373ED"/>
    <w:rsid w:val="00B37ADC"/>
    <w:rsid w:val="00B37D06"/>
    <w:rsid w:val="00B37EF9"/>
    <w:rsid w:val="00B403A1"/>
    <w:rsid w:val="00B405B7"/>
    <w:rsid w:val="00B40F22"/>
    <w:rsid w:val="00B4149B"/>
    <w:rsid w:val="00B417AC"/>
    <w:rsid w:val="00B41AD9"/>
    <w:rsid w:val="00B41C57"/>
    <w:rsid w:val="00B41F7F"/>
    <w:rsid w:val="00B4279B"/>
    <w:rsid w:val="00B427EF"/>
    <w:rsid w:val="00B43034"/>
    <w:rsid w:val="00B4336D"/>
    <w:rsid w:val="00B43593"/>
    <w:rsid w:val="00B43B0A"/>
    <w:rsid w:val="00B43DB5"/>
    <w:rsid w:val="00B44035"/>
    <w:rsid w:val="00B443D8"/>
    <w:rsid w:val="00B4553D"/>
    <w:rsid w:val="00B45604"/>
    <w:rsid w:val="00B45E6D"/>
    <w:rsid w:val="00B45E84"/>
    <w:rsid w:val="00B46422"/>
    <w:rsid w:val="00B466BA"/>
    <w:rsid w:val="00B46736"/>
    <w:rsid w:val="00B46896"/>
    <w:rsid w:val="00B46A80"/>
    <w:rsid w:val="00B4726B"/>
    <w:rsid w:val="00B50035"/>
    <w:rsid w:val="00B5022D"/>
    <w:rsid w:val="00B5039D"/>
    <w:rsid w:val="00B504D0"/>
    <w:rsid w:val="00B50D46"/>
    <w:rsid w:val="00B519FA"/>
    <w:rsid w:val="00B52177"/>
    <w:rsid w:val="00B52222"/>
    <w:rsid w:val="00B523A2"/>
    <w:rsid w:val="00B52734"/>
    <w:rsid w:val="00B52960"/>
    <w:rsid w:val="00B53098"/>
    <w:rsid w:val="00B531C7"/>
    <w:rsid w:val="00B53474"/>
    <w:rsid w:val="00B535D5"/>
    <w:rsid w:val="00B53A97"/>
    <w:rsid w:val="00B53E26"/>
    <w:rsid w:val="00B5411D"/>
    <w:rsid w:val="00B54F8D"/>
    <w:rsid w:val="00B54FE7"/>
    <w:rsid w:val="00B553D9"/>
    <w:rsid w:val="00B556EB"/>
    <w:rsid w:val="00B5591B"/>
    <w:rsid w:val="00B565BE"/>
    <w:rsid w:val="00B5664C"/>
    <w:rsid w:val="00B56868"/>
    <w:rsid w:val="00B56DE4"/>
    <w:rsid w:val="00B57C47"/>
    <w:rsid w:val="00B60108"/>
    <w:rsid w:val="00B601D9"/>
    <w:rsid w:val="00B60BC3"/>
    <w:rsid w:val="00B610EA"/>
    <w:rsid w:val="00B61BAA"/>
    <w:rsid w:val="00B61F63"/>
    <w:rsid w:val="00B62806"/>
    <w:rsid w:val="00B62DD8"/>
    <w:rsid w:val="00B635D3"/>
    <w:rsid w:val="00B639D7"/>
    <w:rsid w:val="00B63B5F"/>
    <w:rsid w:val="00B640E0"/>
    <w:rsid w:val="00B64157"/>
    <w:rsid w:val="00B641EB"/>
    <w:rsid w:val="00B65454"/>
    <w:rsid w:val="00B6581A"/>
    <w:rsid w:val="00B65934"/>
    <w:rsid w:val="00B65C83"/>
    <w:rsid w:val="00B6657C"/>
    <w:rsid w:val="00B6681E"/>
    <w:rsid w:val="00B66901"/>
    <w:rsid w:val="00B677DA"/>
    <w:rsid w:val="00B679A5"/>
    <w:rsid w:val="00B67ED4"/>
    <w:rsid w:val="00B67FC8"/>
    <w:rsid w:val="00B70745"/>
    <w:rsid w:val="00B70EC0"/>
    <w:rsid w:val="00B71045"/>
    <w:rsid w:val="00B7104A"/>
    <w:rsid w:val="00B71169"/>
    <w:rsid w:val="00B7157F"/>
    <w:rsid w:val="00B71773"/>
    <w:rsid w:val="00B71E6D"/>
    <w:rsid w:val="00B72070"/>
    <w:rsid w:val="00B72415"/>
    <w:rsid w:val="00B72766"/>
    <w:rsid w:val="00B72F27"/>
    <w:rsid w:val="00B73080"/>
    <w:rsid w:val="00B73D99"/>
    <w:rsid w:val="00B7424C"/>
    <w:rsid w:val="00B74853"/>
    <w:rsid w:val="00B749C1"/>
    <w:rsid w:val="00B74E54"/>
    <w:rsid w:val="00B75018"/>
    <w:rsid w:val="00B766F4"/>
    <w:rsid w:val="00B76880"/>
    <w:rsid w:val="00B76902"/>
    <w:rsid w:val="00B76CB7"/>
    <w:rsid w:val="00B77261"/>
    <w:rsid w:val="00B77611"/>
    <w:rsid w:val="00B779E1"/>
    <w:rsid w:val="00B800AE"/>
    <w:rsid w:val="00B8066B"/>
    <w:rsid w:val="00B8085E"/>
    <w:rsid w:val="00B81075"/>
    <w:rsid w:val="00B8122E"/>
    <w:rsid w:val="00B8123A"/>
    <w:rsid w:val="00B813ED"/>
    <w:rsid w:val="00B81660"/>
    <w:rsid w:val="00B81858"/>
    <w:rsid w:val="00B81925"/>
    <w:rsid w:val="00B81F98"/>
    <w:rsid w:val="00B82054"/>
    <w:rsid w:val="00B820FD"/>
    <w:rsid w:val="00B8269F"/>
    <w:rsid w:val="00B8279C"/>
    <w:rsid w:val="00B8279E"/>
    <w:rsid w:val="00B829DB"/>
    <w:rsid w:val="00B833BB"/>
    <w:rsid w:val="00B83806"/>
    <w:rsid w:val="00B83E4E"/>
    <w:rsid w:val="00B840E2"/>
    <w:rsid w:val="00B84596"/>
    <w:rsid w:val="00B8465D"/>
    <w:rsid w:val="00B846A9"/>
    <w:rsid w:val="00B84A04"/>
    <w:rsid w:val="00B84AEF"/>
    <w:rsid w:val="00B84FE6"/>
    <w:rsid w:val="00B85454"/>
    <w:rsid w:val="00B85525"/>
    <w:rsid w:val="00B858E8"/>
    <w:rsid w:val="00B859A3"/>
    <w:rsid w:val="00B859DC"/>
    <w:rsid w:val="00B86DA8"/>
    <w:rsid w:val="00B86E11"/>
    <w:rsid w:val="00B86E25"/>
    <w:rsid w:val="00B86EFA"/>
    <w:rsid w:val="00B87AB2"/>
    <w:rsid w:val="00B87BFE"/>
    <w:rsid w:val="00B87C3F"/>
    <w:rsid w:val="00B87CEC"/>
    <w:rsid w:val="00B91366"/>
    <w:rsid w:val="00B91403"/>
    <w:rsid w:val="00B91634"/>
    <w:rsid w:val="00B916BD"/>
    <w:rsid w:val="00B91A0D"/>
    <w:rsid w:val="00B91EE1"/>
    <w:rsid w:val="00B91F4B"/>
    <w:rsid w:val="00B91F50"/>
    <w:rsid w:val="00B92831"/>
    <w:rsid w:val="00B9286F"/>
    <w:rsid w:val="00B92A2D"/>
    <w:rsid w:val="00B92E66"/>
    <w:rsid w:val="00B9330F"/>
    <w:rsid w:val="00B93360"/>
    <w:rsid w:val="00B9337C"/>
    <w:rsid w:val="00B93902"/>
    <w:rsid w:val="00B93E42"/>
    <w:rsid w:val="00B943FA"/>
    <w:rsid w:val="00B9472A"/>
    <w:rsid w:val="00B94C8D"/>
    <w:rsid w:val="00B958D3"/>
    <w:rsid w:val="00B959BD"/>
    <w:rsid w:val="00B968FB"/>
    <w:rsid w:val="00B97382"/>
    <w:rsid w:val="00BA0090"/>
    <w:rsid w:val="00BA044B"/>
    <w:rsid w:val="00BA0638"/>
    <w:rsid w:val="00BA0D25"/>
    <w:rsid w:val="00BA0FF8"/>
    <w:rsid w:val="00BA110E"/>
    <w:rsid w:val="00BA12A6"/>
    <w:rsid w:val="00BA12F2"/>
    <w:rsid w:val="00BA14AD"/>
    <w:rsid w:val="00BA1841"/>
    <w:rsid w:val="00BA1A67"/>
    <w:rsid w:val="00BA25CB"/>
    <w:rsid w:val="00BA340B"/>
    <w:rsid w:val="00BA3B9F"/>
    <w:rsid w:val="00BA417D"/>
    <w:rsid w:val="00BA423B"/>
    <w:rsid w:val="00BA4299"/>
    <w:rsid w:val="00BA44C5"/>
    <w:rsid w:val="00BA482D"/>
    <w:rsid w:val="00BA4CD6"/>
    <w:rsid w:val="00BA4F5F"/>
    <w:rsid w:val="00BA52BC"/>
    <w:rsid w:val="00BA553E"/>
    <w:rsid w:val="00BA58C4"/>
    <w:rsid w:val="00BA5F49"/>
    <w:rsid w:val="00BA67AC"/>
    <w:rsid w:val="00BA6AC9"/>
    <w:rsid w:val="00BA6E4D"/>
    <w:rsid w:val="00BA6FC5"/>
    <w:rsid w:val="00BA79E4"/>
    <w:rsid w:val="00BA7ADC"/>
    <w:rsid w:val="00BB0181"/>
    <w:rsid w:val="00BB0254"/>
    <w:rsid w:val="00BB0580"/>
    <w:rsid w:val="00BB0616"/>
    <w:rsid w:val="00BB0690"/>
    <w:rsid w:val="00BB0E7B"/>
    <w:rsid w:val="00BB2AC5"/>
    <w:rsid w:val="00BB2F19"/>
    <w:rsid w:val="00BB301D"/>
    <w:rsid w:val="00BB37F4"/>
    <w:rsid w:val="00BB4015"/>
    <w:rsid w:val="00BB41F7"/>
    <w:rsid w:val="00BB49DE"/>
    <w:rsid w:val="00BB4F7E"/>
    <w:rsid w:val="00BB5329"/>
    <w:rsid w:val="00BB579A"/>
    <w:rsid w:val="00BB5FBF"/>
    <w:rsid w:val="00BB6724"/>
    <w:rsid w:val="00BB6C5E"/>
    <w:rsid w:val="00BB79AA"/>
    <w:rsid w:val="00BB7A44"/>
    <w:rsid w:val="00BB7C5B"/>
    <w:rsid w:val="00BB7ECB"/>
    <w:rsid w:val="00BC0468"/>
    <w:rsid w:val="00BC07FE"/>
    <w:rsid w:val="00BC096D"/>
    <w:rsid w:val="00BC102E"/>
    <w:rsid w:val="00BC15AB"/>
    <w:rsid w:val="00BC19D1"/>
    <w:rsid w:val="00BC1E32"/>
    <w:rsid w:val="00BC1E41"/>
    <w:rsid w:val="00BC2589"/>
    <w:rsid w:val="00BC271D"/>
    <w:rsid w:val="00BC282F"/>
    <w:rsid w:val="00BC29CA"/>
    <w:rsid w:val="00BC311D"/>
    <w:rsid w:val="00BC4319"/>
    <w:rsid w:val="00BC4BC6"/>
    <w:rsid w:val="00BC4BD3"/>
    <w:rsid w:val="00BC5998"/>
    <w:rsid w:val="00BC5A50"/>
    <w:rsid w:val="00BC6570"/>
    <w:rsid w:val="00BC6BE6"/>
    <w:rsid w:val="00BC6F4F"/>
    <w:rsid w:val="00BC7657"/>
    <w:rsid w:val="00BD0163"/>
    <w:rsid w:val="00BD0624"/>
    <w:rsid w:val="00BD08E9"/>
    <w:rsid w:val="00BD0BDA"/>
    <w:rsid w:val="00BD0D4B"/>
    <w:rsid w:val="00BD1431"/>
    <w:rsid w:val="00BD159E"/>
    <w:rsid w:val="00BD1A1F"/>
    <w:rsid w:val="00BD1A9D"/>
    <w:rsid w:val="00BD1B35"/>
    <w:rsid w:val="00BD1E37"/>
    <w:rsid w:val="00BD266D"/>
    <w:rsid w:val="00BD2C1A"/>
    <w:rsid w:val="00BD331B"/>
    <w:rsid w:val="00BD39F5"/>
    <w:rsid w:val="00BD4BD3"/>
    <w:rsid w:val="00BD4C75"/>
    <w:rsid w:val="00BD5130"/>
    <w:rsid w:val="00BD521C"/>
    <w:rsid w:val="00BD547E"/>
    <w:rsid w:val="00BD5896"/>
    <w:rsid w:val="00BD59BE"/>
    <w:rsid w:val="00BD6514"/>
    <w:rsid w:val="00BD6A22"/>
    <w:rsid w:val="00BD6B4C"/>
    <w:rsid w:val="00BD6B5E"/>
    <w:rsid w:val="00BD7436"/>
    <w:rsid w:val="00BD7697"/>
    <w:rsid w:val="00BD7714"/>
    <w:rsid w:val="00BE05FB"/>
    <w:rsid w:val="00BE06D9"/>
    <w:rsid w:val="00BE0715"/>
    <w:rsid w:val="00BE09DC"/>
    <w:rsid w:val="00BE0A1C"/>
    <w:rsid w:val="00BE1272"/>
    <w:rsid w:val="00BE1518"/>
    <w:rsid w:val="00BE219F"/>
    <w:rsid w:val="00BE2BD0"/>
    <w:rsid w:val="00BE2C17"/>
    <w:rsid w:val="00BE328E"/>
    <w:rsid w:val="00BE346D"/>
    <w:rsid w:val="00BE353D"/>
    <w:rsid w:val="00BE3566"/>
    <w:rsid w:val="00BE389D"/>
    <w:rsid w:val="00BE4835"/>
    <w:rsid w:val="00BE4908"/>
    <w:rsid w:val="00BE4C7F"/>
    <w:rsid w:val="00BE4D29"/>
    <w:rsid w:val="00BE54AE"/>
    <w:rsid w:val="00BE5B5F"/>
    <w:rsid w:val="00BE6055"/>
    <w:rsid w:val="00BE692D"/>
    <w:rsid w:val="00BE7040"/>
    <w:rsid w:val="00BE7123"/>
    <w:rsid w:val="00BE715A"/>
    <w:rsid w:val="00BE72B9"/>
    <w:rsid w:val="00BE79A0"/>
    <w:rsid w:val="00BF00A1"/>
    <w:rsid w:val="00BF04B4"/>
    <w:rsid w:val="00BF074A"/>
    <w:rsid w:val="00BF1528"/>
    <w:rsid w:val="00BF1982"/>
    <w:rsid w:val="00BF19A2"/>
    <w:rsid w:val="00BF1B7F"/>
    <w:rsid w:val="00BF21CA"/>
    <w:rsid w:val="00BF220A"/>
    <w:rsid w:val="00BF32AA"/>
    <w:rsid w:val="00BF37CF"/>
    <w:rsid w:val="00BF46EB"/>
    <w:rsid w:val="00BF4785"/>
    <w:rsid w:val="00BF4BF7"/>
    <w:rsid w:val="00BF4D6B"/>
    <w:rsid w:val="00BF4F84"/>
    <w:rsid w:val="00BF56E7"/>
    <w:rsid w:val="00BF63B8"/>
    <w:rsid w:val="00BF79C6"/>
    <w:rsid w:val="00BF7B0B"/>
    <w:rsid w:val="00C0025B"/>
    <w:rsid w:val="00C00421"/>
    <w:rsid w:val="00C00437"/>
    <w:rsid w:val="00C00558"/>
    <w:rsid w:val="00C00B9C"/>
    <w:rsid w:val="00C00CA8"/>
    <w:rsid w:val="00C00CE3"/>
    <w:rsid w:val="00C012D5"/>
    <w:rsid w:val="00C01512"/>
    <w:rsid w:val="00C01598"/>
    <w:rsid w:val="00C01B5A"/>
    <w:rsid w:val="00C01C59"/>
    <w:rsid w:val="00C02047"/>
    <w:rsid w:val="00C02190"/>
    <w:rsid w:val="00C023D1"/>
    <w:rsid w:val="00C02A12"/>
    <w:rsid w:val="00C02B75"/>
    <w:rsid w:val="00C02E94"/>
    <w:rsid w:val="00C03800"/>
    <w:rsid w:val="00C03B44"/>
    <w:rsid w:val="00C03DE1"/>
    <w:rsid w:val="00C0424B"/>
    <w:rsid w:val="00C04586"/>
    <w:rsid w:val="00C047EC"/>
    <w:rsid w:val="00C0480D"/>
    <w:rsid w:val="00C04827"/>
    <w:rsid w:val="00C049C6"/>
    <w:rsid w:val="00C04C17"/>
    <w:rsid w:val="00C04C57"/>
    <w:rsid w:val="00C052C6"/>
    <w:rsid w:val="00C052EF"/>
    <w:rsid w:val="00C053CA"/>
    <w:rsid w:val="00C05655"/>
    <w:rsid w:val="00C05DC4"/>
    <w:rsid w:val="00C06500"/>
    <w:rsid w:val="00C06AE2"/>
    <w:rsid w:val="00C06F67"/>
    <w:rsid w:val="00C07576"/>
    <w:rsid w:val="00C07799"/>
    <w:rsid w:val="00C07E6D"/>
    <w:rsid w:val="00C07F75"/>
    <w:rsid w:val="00C1000B"/>
    <w:rsid w:val="00C10402"/>
    <w:rsid w:val="00C107C5"/>
    <w:rsid w:val="00C10A2E"/>
    <w:rsid w:val="00C10B06"/>
    <w:rsid w:val="00C11067"/>
    <w:rsid w:val="00C1109A"/>
    <w:rsid w:val="00C1152F"/>
    <w:rsid w:val="00C117ED"/>
    <w:rsid w:val="00C1203A"/>
    <w:rsid w:val="00C120BD"/>
    <w:rsid w:val="00C1258B"/>
    <w:rsid w:val="00C127D8"/>
    <w:rsid w:val="00C12DBD"/>
    <w:rsid w:val="00C1327E"/>
    <w:rsid w:val="00C13949"/>
    <w:rsid w:val="00C13B86"/>
    <w:rsid w:val="00C142B1"/>
    <w:rsid w:val="00C1452C"/>
    <w:rsid w:val="00C1453B"/>
    <w:rsid w:val="00C146A7"/>
    <w:rsid w:val="00C15517"/>
    <w:rsid w:val="00C15841"/>
    <w:rsid w:val="00C1605A"/>
    <w:rsid w:val="00C17283"/>
    <w:rsid w:val="00C175A1"/>
    <w:rsid w:val="00C17EF2"/>
    <w:rsid w:val="00C204BE"/>
    <w:rsid w:val="00C20BEF"/>
    <w:rsid w:val="00C20DD2"/>
    <w:rsid w:val="00C214FF"/>
    <w:rsid w:val="00C2179C"/>
    <w:rsid w:val="00C22903"/>
    <w:rsid w:val="00C23B7B"/>
    <w:rsid w:val="00C23E09"/>
    <w:rsid w:val="00C23F2E"/>
    <w:rsid w:val="00C24196"/>
    <w:rsid w:val="00C242A9"/>
    <w:rsid w:val="00C243A1"/>
    <w:rsid w:val="00C2483B"/>
    <w:rsid w:val="00C249A3"/>
    <w:rsid w:val="00C24B12"/>
    <w:rsid w:val="00C25645"/>
    <w:rsid w:val="00C26240"/>
    <w:rsid w:val="00C26A29"/>
    <w:rsid w:val="00C26F55"/>
    <w:rsid w:val="00C270BA"/>
    <w:rsid w:val="00C27667"/>
    <w:rsid w:val="00C30478"/>
    <w:rsid w:val="00C30584"/>
    <w:rsid w:val="00C30C63"/>
    <w:rsid w:val="00C31228"/>
    <w:rsid w:val="00C31386"/>
    <w:rsid w:val="00C318AA"/>
    <w:rsid w:val="00C31F14"/>
    <w:rsid w:val="00C320EC"/>
    <w:rsid w:val="00C32B37"/>
    <w:rsid w:val="00C32D50"/>
    <w:rsid w:val="00C32DB9"/>
    <w:rsid w:val="00C332BD"/>
    <w:rsid w:val="00C3336E"/>
    <w:rsid w:val="00C33524"/>
    <w:rsid w:val="00C33E78"/>
    <w:rsid w:val="00C34937"/>
    <w:rsid w:val="00C34C15"/>
    <w:rsid w:val="00C34E67"/>
    <w:rsid w:val="00C34E72"/>
    <w:rsid w:val="00C357E1"/>
    <w:rsid w:val="00C35830"/>
    <w:rsid w:val="00C3589F"/>
    <w:rsid w:val="00C35922"/>
    <w:rsid w:val="00C360B9"/>
    <w:rsid w:val="00C3659A"/>
    <w:rsid w:val="00C36B8B"/>
    <w:rsid w:val="00C3783B"/>
    <w:rsid w:val="00C37E4E"/>
    <w:rsid w:val="00C37F9F"/>
    <w:rsid w:val="00C37FA9"/>
    <w:rsid w:val="00C40ED2"/>
    <w:rsid w:val="00C41D43"/>
    <w:rsid w:val="00C420EE"/>
    <w:rsid w:val="00C4212E"/>
    <w:rsid w:val="00C423C6"/>
    <w:rsid w:val="00C428F1"/>
    <w:rsid w:val="00C42D4C"/>
    <w:rsid w:val="00C433A4"/>
    <w:rsid w:val="00C4348B"/>
    <w:rsid w:val="00C436D0"/>
    <w:rsid w:val="00C43CAB"/>
    <w:rsid w:val="00C43DD6"/>
    <w:rsid w:val="00C43E8D"/>
    <w:rsid w:val="00C440E3"/>
    <w:rsid w:val="00C44272"/>
    <w:rsid w:val="00C44538"/>
    <w:rsid w:val="00C448BA"/>
    <w:rsid w:val="00C449DC"/>
    <w:rsid w:val="00C44D1F"/>
    <w:rsid w:val="00C452D9"/>
    <w:rsid w:val="00C45E4B"/>
    <w:rsid w:val="00C46527"/>
    <w:rsid w:val="00C46F0E"/>
    <w:rsid w:val="00C47816"/>
    <w:rsid w:val="00C47DBF"/>
    <w:rsid w:val="00C5045B"/>
    <w:rsid w:val="00C5077E"/>
    <w:rsid w:val="00C51830"/>
    <w:rsid w:val="00C52626"/>
    <w:rsid w:val="00C52682"/>
    <w:rsid w:val="00C52704"/>
    <w:rsid w:val="00C529EB"/>
    <w:rsid w:val="00C53666"/>
    <w:rsid w:val="00C53D10"/>
    <w:rsid w:val="00C5411A"/>
    <w:rsid w:val="00C541D8"/>
    <w:rsid w:val="00C546E7"/>
    <w:rsid w:val="00C552FF"/>
    <w:rsid w:val="00C55484"/>
    <w:rsid w:val="00C558DA"/>
    <w:rsid w:val="00C55AF3"/>
    <w:rsid w:val="00C55B80"/>
    <w:rsid w:val="00C55FD7"/>
    <w:rsid w:val="00C563C5"/>
    <w:rsid w:val="00C567EE"/>
    <w:rsid w:val="00C57077"/>
    <w:rsid w:val="00C571D4"/>
    <w:rsid w:val="00C57426"/>
    <w:rsid w:val="00C57501"/>
    <w:rsid w:val="00C57FC7"/>
    <w:rsid w:val="00C6000B"/>
    <w:rsid w:val="00C60713"/>
    <w:rsid w:val="00C60B67"/>
    <w:rsid w:val="00C60CC6"/>
    <w:rsid w:val="00C610F0"/>
    <w:rsid w:val="00C62434"/>
    <w:rsid w:val="00C6277B"/>
    <w:rsid w:val="00C62CFA"/>
    <w:rsid w:val="00C62ED9"/>
    <w:rsid w:val="00C62F33"/>
    <w:rsid w:val="00C63AF4"/>
    <w:rsid w:val="00C63CFD"/>
    <w:rsid w:val="00C65073"/>
    <w:rsid w:val="00C65716"/>
    <w:rsid w:val="00C6582D"/>
    <w:rsid w:val="00C6584C"/>
    <w:rsid w:val="00C65C3F"/>
    <w:rsid w:val="00C66FCE"/>
    <w:rsid w:val="00C67165"/>
    <w:rsid w:val="00C67B39"/>
    <w:rsid w:val="00C70003"/>
    <w:rsid w:val="00C704E6"/>
    <w:rsid w:val="00C70A24"/>
    <w:rsid w:val="00C70B49"/>
    <w:rsid w:val="00C70F1B"/>
    <w:rsid w:val="00C712C2"/>
    <w:rsid w:val="00C71A5B"/>
    <w:rsid w:val="00C71C2F"/>
    <w:rsid w:val="00C71D0E"/>
    <w:rsid w:val="00C72142"/>
    <w:rsid w:val="00C7342B"/>
    <w:rsid w:val="00C734A3"/>
    <w:rsid w:val="00C73E65"/>
    <w:rsid w:val="00C74001"/>
    <w:rsid w:val="00C74AF9"/>
    <w:rsid w:val="00C74B8F"/>
    <w:rsid w:val="00C74BBE"/>
    <w:rsid w:val="00C74BE7"/>
    <w:rsid w:val="00C75515"/>
    <w:rsid w:val="00C75C7C"/>
    <w:rsid w:val="00C76580"/>
    <w:rsid w:val="00C76921"/>
    <w:rsid w:val="00C76EFC"/>
    <w:rsid w:val="00C7731C"/>
    <w:rsid w:val="00C7738E"/>
    <w:rsid w:val="00C774FD"/>
    <w:rsid w:val="00C81069"/>
    <w:rsid w:val="00C81180"/>
    <w:rsid w:val="00C81336"/>
    <w:rsid w:val="00C816EC"/>
    <w:rsid w:val="00C8173A"/>
    <w:rsid w:val="00C81951"/>
    <w:rsid w:val="00C81BCE"/>
    <w:rsid w:val="00C81C10"/>
    <w:rsid w:val="00C8261C"/>
    <w:rsid w:val="00C82622"/>
    <w:rsid w:val="00C82D8C"/>
    <w:rsid w:val="00C83164"/>
    <w:rsid w:val="00C83A8F"/>
    <w:rsid w:val="00C83BBC"/>
    <w:rsid w:val="00C84759"/>
    <w:rsid w:val="00C84EA5"/>
    <w:rsid w:val="00C84FE3"/>
    <w:rsid w:val="00C85002"/>
    <w:rsid w:val="00C851AE"/>
    <w:rsid w:val="00C8576D"/>
    <w:rsid w:val="00C85A28"/>
    <w:rsid w:val="00C85D7E"/>
    <w:rsid w:val="00C85DFD"/>
    <w:rsid w:val="00C8666E"/>
    <w:rsid w:val="00C8714B"/>
    <w:rsid w:val="00C875F7"/>
    <w:rsid w:val="00C8776C"/>
    <w:rsid w:val="00C879B4"/>
    <w:rsid w:val="00C87BA6"/>
    <w:rsid w:val="00C90532"/>
    <w:rsid w:val="00C905CD"/>
    <w:rsid w:val="00C90741"/>
    <w:rsid w:val="00C90AFE"/>
    <w:rsid w:val="00C91D23"/>
    <w:rsid w:val="00C91E84"/>
    <w:rsid w:val="00C928C5"/>
    <w:rsid w:val="00C92DFD"/>
    <w:rsid w:val="00C92FF4"/>
    <w:rsid w:val="00C93A5F"/>
    <w:rsid w:val="00C93E53"/>
    <w:rsid w:val="00C93E9B"/>
    <w:rsid w:val="00C94128"/>
    <w:rsid w:val="00C946F9"/>
    <w:rsid w:val="00C94C0C"/>
    <w:rsid w:val="00C950ED"/>
    <w:rsid w:val="00C95C03"/>
    <w:rsid w:val="00C95D25"/>
    <w:rsid w:val="00C97578"/>
    <w:rsid w:val="00C97BDD"/>
    <w:rsid w:val="00CA0121"/>
    <w:rsid w:val="00CA0250"/>
    <w:rsid w:val="00CA03A0"/>
    <w:rsid w:val="00CA09BE"/>
    <w:rsid w:val="00CA0DC8"/>
    <w:rsid w:val="00CA1285"/>
    <w:rsid w:val="00CA15F8"/>
    <w:rsid w:val="00CA1AB7"/>
    <w:rsid w:val="00CA26C7"/>
    <w:rsid w:val="00CA2947"/>
    <w:rsid w:val="00CA31C8"/>
    <w:rsid w:val="00CA3204"/>
    <w:rsid w:val="00CA32D6"/>
    <w:rsid w:val="00CA3388"/>
    <w:rsid w:val="00CA347A"/>
    <w:rsid w:val="00CA378E"/>
    <w:rsid w:val="00CA44AA"/>
    <w:rsid w:val="00CA4979"/>
    <w:rsid w:val="00CA5983"/>
    <w:rsid w:val="00CA67CD"/>
    <w:rsid w:val="00CA6C7F"/>
    <w:rsid w:val="00CA6F75"/>
    <w:rsid w:val="00CA6F88"/>
    <w:rsid w:val="00CA7869"/>
    <w:rsid w:val="00CA78AF"/>
    <w:rsid w:val="00CA78FE"/>
    <w:rsid w:val="00CA7E7F"/>
    <w:rsid w:val="00CB0735"/>
    <w:rsid w:val="00CB08DE"/>
    <w:rsid w:val="00CB10EB"/>
    <w:rsid w:val="00CB1177"/>
    <w:rsid w:val="00CB163A"/>
    <w:rsid w:val="00CB1ACA"/>
    <w:rsid w:val="00CB1B75"/>
    <w:rsid w:val="00CB1C9B"/>
    <w:rsid w:val="00CB1EC6"/>
    <w:rsid w:val="00CB24B6"/>
    <w:rsid w:val="00CB2651"/>
    <w:rsid w:val="00CB2AB3"/>
    <w:rsid w:val="00CB2CA2"/>
    <w:rsid w:val="00CB348D"/>
    <w:rsid w:val="00CB3665"/>
    <w:rsid w:val="00CB3DAB"/>
    <w:rsid w:val="00CB3F4C"/>
    <w:rsid w:val="00CB42E4"/>
    <w:rsid w:val="00CB4BD3"/>
    <w:rsid w:val="00CB50D7"/>
    <w:rsid w:val="00CB529E"/>
    <w:rsid w:val="00CB52EB"/>
    <w:rsid w:val="00CB53F7"/>
    <w:rsid w:val="00CB5C34"/>
    <w:rsid w:val="00CB5CE6"/>
    <w:rsid w:val="00CB5FF1"/>
    <w:rsid w:val="00CB66A7"/>
    <w:rsid w:val="00CB6813"/>
    <w:rsid w:val="00CB6BA3"/>
    <w:rsid w:val="00CB6EDF"/>
    <w:rsid w:val="00CB6F8C"/>
    <w:rsid w:val="00CB7263"/>
    <w:rsid w:val="00CB76C3"/>
    <w:rsid w:val="00CB7E0E"/>
    <w:rsid w:val="00CC0260"/>
    <w:rsid w:val="00CC0737"/>
    <w:rsid w:val="00CC08F1"/>
    <w:rsid w:val="00CC0CDB"/>
    <w:rsid w:val="00CC0F3B"/>
    <w:rsid w:val="00CC10A6"/>
    <w:rsid w:val="00CC1124"/>
    <w:rsid w:val="00CC13D8"/>
    <w:rsid w:val="00CC3426"/>
    <w:rsid w:val="00CC3881"/>
    <w:rsid w:val="00CC38EF"/>
    <w:rsid w:val="00CC397B"/>
    <w:rsid w:val="00CC5454"/>
    <w:rsid w:val="00CC609E"/>
    <w:rsid w:val="00CC65BF"/>
    <w:rsid w:val="00CC662F"/>
    <w:rsid w:val="00CC67B1"/>
    <w:rsid w:val="00CC6B5F"/>
    <w:rsid w:val="00CC71F9"/>
    <w:rsid w:val="00CC7DA5"/>
    <w:rsid w:val="00CC7FF2"/>
    <w:rsid w:val="00CD059A"/>
    <w:rsid w:val="00CD0BC4"/>
    <w:rsid w:val="00CD0D31"/>
    <w:rsid w:val="00CD164C"/>
    <w:rsid w:val="00CD175A"/>
    <w:rsid w:val="00CD1A29"/>
    <w:rsid w:val="00CD22F0"/>
    <w:rsid w:val="00CD25B0"/>
    <w:rsid w:val="00CD25D4"/>
    <w:rsid w:val="00CD2611"/>
    <w:rsid w:val="00CD2A05"/>
    <w:rsid w:val="00CD2CC9"/>
    <w:rsid w:val="00CD33AD"/>
    <w:rsid w:val="00CD3574"/>
    <w:rsid w:val="00CD3B9D"/>
    <w:rsid w:val="00CD43B4"/>
    <w:rsid w:val="00CD48AA"/>
    <w:rsid w:val="00CD4D0A"/>
    <w:rsid w:val="00CD4ED8"/>
    <w:rsid w:val="00CD506B"/>
    <w:rsid w:val="00CD5594"/>
    <w:rsid w:val="00CD5926"/>
    <w:rsid w:val="00CD5BE1"/>
    <w:rsid w:val="00CD5EB8"/>
    <w:rsid w:val="00CD6967"/>
    <w:rsid w:val="00CD6AC7"/>
    <w:rsid w:val="00CD7044"/>
    <w:rsid w:val="00CE03A3"/>
    <w:rsid w:val="00CE08B9"/>
    <w:rsid w:val="00CE0981"/>
    <w:rsid w:val="00CE0A0D"/>
    <w:rsid w:val="00CE0D89"/>
    <w:rsid w:val="00CE0E76"/>
    <w:rsid w:val="00CE20C3"/>
    <w:rsid w:val="00CE2293"/>
    <w:rsid w:val="00CE26C3"/>
    <w:rsid w:val="00CE297D"/>
    <w:rsid w:val="00CE3777"/>
    <w:rsid w:val="00CE378C"/>
    <w:rsid w:val="00CE3979"/>
    <w:rsid w:val="00CE3C68"/>
    <w:rsid w:val="00CE40B2"/>
    <w:rsid w:val="00CE4876"/>
    <w:rsid w:val="00CE4E5B"/>
    <w:rsid w:val="00CE5207"/>
    <w:rsid w:val="00CE524C"/>
    <w:rsid w:val="00CE53B0"/>
    <w:rsid w:val="00CE58A3"/>
    <w:rsid w:val="00CE5F75"/>
    <w:rsid w:val="00CE6531"/>
    <w:rsid w:val="00CE67E1"/>
    <w:rsid w:val="00CE6A35"/>
    <w:rsid w:val="00CE745C"/>
    <w:rsid w:val="00CE7944"/>
    <w:rsid w:val="00CE7B36"/>
    <w:rsid w:val="00CE7B46"/>
    <w:rsid w:val="00CF02F5"/>
    <w:rsid w:val="00CF0678"/>
    <w:rsid w:val="00CF0803"/>
    <w:rsid w:val="00CF09CE"/>
    <w:rsid w:val="00CF0E95"/>
    <w:rsid w:val="00CF101B"/>
    <w:rsid w:val="00CF141F"/>
    <w:rsid w:val="00CF1FEF"/>
    <w:rsid w:val="00CF2529"/>
    <w:rsid w:val="00CF2689"/>
    <w:rsid w:val="00CF3166"/>
    <w:rsid w:val="00CF3263"/>
    <w:rsid w:val="00CF37F1"/>
    <w:rsid w:val="00CF4777"/>
    <w:rsid w:val="00CF50B9"/>
    <w:rsid w:val="00CF5AF8"/>
    <w:rsid w:val="00CF5D1D"/>
    <w:rsid w:val="00CF5E05"/>
    <w:rsid w:val="00CF5F94"/>
    <w:rsid w:val="00CF6763"/>
    <w:rsid w:val="00CF6C8F"/>
    <w:rsid w:val="00CF6E95"/>
    <w:rsid w:val="00CF73C1"/>
    <w:rsid w:val="00D00C0C"/>
    <w:rsid w:val="00D00CFC"/>
    <w:rsid w:val="00D015A9"/>
    <w:rsid w:val="00D01ADE"/>
    <w:rsid w:val="00D01D69"/>
    <w:rsid w:val="00D02706"/>
    <w:rsid w:val="00D03B6E"/>
    <w:rsid w:val="00D03FE6"/>
    <w:rsid w:val="00D043AF"/>
    <w:rsid w:val="00D04663"/>
    <w:rsid w:val="00D04F3C"/>
    <w:rsid w:val="00D050C7"/>
    <w:rsid w:val="00D066F5"/>
    <w:rsid w:val="00D067BB"/>
    <w:rsid w:val="00D06F82"/>
    <w:rsid w:val="00D070CC"/>
    <w:rsid w:val="00D0718C"/>
    <w:rsid w:val="00D079FE"/>
    <w:rsid w:val="00D07DBD"/>
    <w:rsid w:val="00D07F37"/>
    <w:rsid w:val="00D07FBC"/>
    <w:rsid w:val="00D10472"/>
    <w:rsid w:val="00D10670"/>
    <w:rsid w:val="00D10674"/>
    <w:rsid w:val="00D119A8"/>
    <w:rsid w:val="00D11FC2"/>
    <w:rsid w:val="00D12195"/>
    <w:rsid w:val="00D123C2"/>
    <w:rsid w:val="00D12C9F"/>
    <w:rsid w:val="00D1307B"/>
    <w:rsid w:val="00D13190"/>
    <w:rsid w:val="00D1352A"/>
    <w:rsid w:val="00D13B29"/>
    <w:rsid w:val="00D13EDE"/>
    <w:rsid w:val="00D14905"/>
    <w:rsid w:val="00D155C7"/>
    <w:rsid w:val="00D1636D"/>
    <w:rsid w:val="00D16542"/>
    <w:rsid w:val="00D168F0"/>
    <w:rsid w:val="00D169AF"/>
    <w:rsid w:val="00D171C0"/>
    <w:rsid w:val="00D17473"/>
    <w:rsid w:val="00D175F2"/>
    <w:rsid w:val="00D1799E"/>
    <w:rsid w:val="00D179C7"/>
    <w:rsid w:val="00D17ACD"/>
    <w:rsid w:val="00D17F85"/>
    <w:rsid w:val="00D20219"/>
    <w:rsid w:val="00D205E9"/>
    <w:rsid w:val="00D207AB"/>
    <w:rsid w:val="00D20A49"/>
    <w:rsid w:val="00D20D06"/>
    <w:rsid w:val="00D2138C"/>
    <w:rsid w:val="00D21884"/>
    <w:rsid w:val="00D21C96"/>
    <w:rsid w:val="00D21D68"/>
    <w:rsid w:val="00D222EC"/>
    <w:rsid w:val="00D22709"/>
    <w:rsid w:val="00D228B2"/>
    <w:rsid w:val="00D22A28"/>
    <w:rsid w:val="00D23437"/>
    <w:rsid w:val="00D24059"/>
    <w:rsid w:val="00D24250"/>
    <w:rsid w:val="00D24CCF"/>
    <w:rsid w:val="00D24F56"/>
    <w:rsid w:val="00D25249"/>
    <w:rsid w:val="00D2542B"/>
    <w:rsid w:val="00D255A7"/>
    <w:rsid w:val="00D256A4"/>
    <w:rsid w:val="00D257A3"/>
    <w:rsid w:val="00D25E3E"/>
    <w:rsid w:val="00D25FB4"/>
    <w:rsid w:val="00D26063"/>
    <w:rsid w:val="00D262DB"/>
    <w:rsid w:val="00D262EE"/>
    <w:rsid w:val="00D263A3"/>
    <w:rsid w:val="00D26711"/>
    <w:rsid w:val="00D26C94"/>
    <w:rsid w:val="00D27881"/>
    <w:rsid w:val="00D27EEB"/>
    <w:rsid w:val="00D3043B"/>
    <w:rsid w:val="00D30801"/>
    <w:rsid w:val="00D30910"/>
    <w:rsid w:val="00D30D5C"/>
    <w:rsid w:val="00D30E56"/>
    <w:rsid w:val="00D31298"/>
    <w:rsid w:val="00D32501"/>
    <w:rsid w:val="00D33A44"/>
    <w:rsid w:val="00D34422"/>
    <w:rsid w:val="00D346F9"/>
    <w:rsid w:val="00D34FC7"/>
    <w:rsid w:val="00D352EB"/>
    <w:rsid w:val="00D3532D"/>
    <w:rsid w:val="00D3569D"/>
    <w:rsid w:val="00D356F2"/>
    <w:rsid w:val="00D35FBB"/>
    <w:rsid w:val="00D362D6"/>
    <w:rsid w:val="00D3671C"/>
    <w:rsid w:val="00D37D7B"/>
    <w:rsid w:val="00D37DD5"/>
    <w:rsid w:val="00D40DC9"/>
    <w:rsid w:val="00D412E3"/>
    <w:rsid w:val="00D41580"/>
    <w:rsid w:val="00D41899"/>
    <w:rsid w:val="00D419D7"/>
    <w:rsid w:val="00D420DF"/>
    <w:rsid w:val="00D42411"/>
    <w:rsid w:val="00D4269A"/>
    <w:rsid w:val="00D42988"/>
    <w:rsid w:val="00D42CEC"/>
    <w:rsid w:val="00D43897"/>
    <w:rsid w:val="00D43E1D"/>
    <w:rsid w:val="00D4405B"/>
    <w:rsid w:val="00D4413F"/>
    <w:rsid w:val="00D44172"/>
    <w:rsid w:val="00D443B5"/>
    <w:rsid w:val="00D444AD"/>
    <w:rsid w:val="00D4473F"/>
    <w:rsid w:val="00D447D4"/>
    <w:rsid w:val="00D458DF"/>
    <w:rsid w:val="00D45A45"/>
    <w:rsid w:val="00D46A5E"/>
    <w:rsid w:val="00D46AB6"/>
    <w:rsid w:val="00D46B97"/>
    <w:rsid w:val="00D46EBF"/>
    <w:rsid w:val="00D47A3C"/>
    <w:rsid w:val="00D5060B"/>
    <w:rsid w:val="00D50877"/>
    <w:rsid w:val="00D50FF3"/>
    <w:rsid w:val="00D511E3"/>
    <w:rsid w:val="00D513EF"/>
    <w:rsid w:val="00D518DD"/>
    <w:rsid w:val="00D52100"/>
    <w:rsid w:val="00D5230A"/>
    <w:rsid w:val="00D52480"/>
    <w:rsid w:val="00D52595"/>
    <w:rsid w:val="00D526D8"/>
    <w:rsid w:val="00D52989"/>
    <w:rsid w:val="00D52A35"/>
    <w:rsid w:val="00D536F4"/>
    <w:rsid w:val="00D53716"/>
    <w:rsid w:val="00D537AE"/>
    <w:rsid w:val="00D53C40"/>
    <w:rsid w:val="00D5564F"/>
    <w:rsid w:val="00D5656E"/>
    <w:rsid w:val="00D5667A"/>
    <w:rsid w:val="00D570C6"/>
    <w:rsid w:val="00D57666"/>
    <w:rsid w:val="00D576EB"/>
    <w:rsid w:val="00D57961"/>
    <w:rsid w:val="00D57A86"/>
    <w:rsid w:val="00D60190"/>
    <w:rsid w:val="00D601C9"/>
    <w:rsid w:val="00D6084E"/>
    <w:rsid w:val="00D60C0D"/>
    <w:rsid w:val="00D60F87"/>
    <w:rsid w:val="00D6100D"/>
    <w:rsid w:val="00D6121B"/>
    <w:rsid w:val="00D61256"/>
    <w:rsid w:val="00D61578"/>
    <w:rsid w:val="00D6184B"/>
    <w:rsid w:val="00D62D78"/>
    <w:rsid w:val="00D62F45"/>
    <w:rsid w:val="00D63B8C"/>
    <w:rsid w:val="00D63DBC"/>
    <w:rsid w:val="00D63EAF"/>
    <w:rsid w:val="00D6498F"/>
    <w:rsid w:val="00D6565E"/>
    <w:rsid w:val="00D65937"/>
    <w:rsid w:val="00D6604E"/>
    <w:rsid w:val="00D6641D"/>
    <w:rsid w:val="00D66B28"/>
    <w:rsid w:val="00D66BCF"/>
    <w:rsid w:val="00D66D33"/>
    <w:rsid w:val="00D671BB"/>
    <w:rsid w:val="00D6774E"/>
    <w:rsid w:val="00D6793A"/>
    <w:rsid w:val="00D70024"/>
    <w:rsid w:val="00D701AF"/>
    <w:rsid w:val="00D7039C"/>
    <w:rsid w:val="00D70D52"/>
    <w:rsid w:val="00D71061"/>
    <w:rsid w:val="00D71086"/>
    <w:rsid w:val="00D712FD"/>
    <w:rsid w:val="00D71752"/>
    <w:rsid w:val="00D71BF9"/>
    <w:rsid w:val="00D72358"/>
    <w:rsid w:val="00D729CE"/>
    <w:rsid w:val="00D729FB"/>
    <w:rsid w:val="00D72CB6"/>
    <w:rsid w:val="00D72CF1"/>
    <w:rsid w:val="00D72DDA"/>
    <w:rsid w:val="00D73077"/>
    <w:rsid w:val="00D731AC"/>
    <w:rsid w:val="00D73252"/>
    <w:rsid w:val="00D73889"/>
    <w:rsid w:val="00D73995"/>
    <w:rsid w:val="00D739CC"/>
    <w:rsid w:val="00D73B82"/>
    <w:rsid w:val="00D73C4A"/>
    <w:rsid w:val="00D73EC6"/>
    <w:rsid w:val="00D7442B"/>
    <w:rsid w:val="00D74BC3"/>
    <w:rsid w:val="00D74BF7"/>
    <w:rsid w:val="00D751D4"/>
    <w:rsid w:val="00D75378"/>
    <w:rsid w:val="00D757D4"/>
    <w:rsid w:val="00D759DD"/>
    <w:rsid w:val="00D75CB3"/>
    <w:rsid w:val="00D7606D"/>
    <w:rsid w:val="00D76877"/>
    <w:rsid w:val="00D76CC3"/>
    <w:rsid w:val="00D76D81"/>
    <w:rsid w:val="00D7708E"/>
    <w:rsid w:val="00D8093D"/>
    <w:rsid w:val="00D8108C"/>
    <w:rsid w:val="00D818BA"/>
    <w:rsid w:val="00D82427"/>
    <w:rsid w:val="00D8247C"/>
    <w:rsid w:val="00D8369D"/>
    <w:rsid w:val="00D84103"/>
    <w:rsid w:val="00D842AE"/>
    <w:rsid w:val="00D848AD"/>
    <w:rsid w:val="00D84902"/>
    <w:rsid w:val="00D849B1"/>
    <w:rsid w:val="00D85214"/>
    <w:rsid w:val="00D8539C"/>
    <w:rsid w:val="00D853BF"/>
    <w:rsid w:val="00D854CA"/>
    <w:rsid w:val="00D8581A"/>
    <w:rsid w:val="00D85DC8"/>
    <w:rsid w:val="00D85FF6"/>
    <w:rsid w:val="00D8615D"/>
    <w:rsid w:val="00D86246"/>
    <w:rsid w:val="00D87268"/>
    <w:rsid w:val="00D87354"/>
    <w:rsid w:val="00D873FD"/>
    <w:rsid w:val="00D87671"/>
    <w:rsid w:val="00D879E9"/>
    <w:rsid w:val="00D87CBD"/>
    <w:rsid w:val="00D87F46"/>
    <w:rsid w:val="00D87FA3"/>
    <w:rsid w:val="00D90638"/>
    <w:rsid w:val="00D9065F"/>
    <w:rsid w:val="00D90E29"/>
    <w:rsid w:val="00D90E58"/>
    <w:rsid w:val="00D9178C"/>
    <w:rsid w:val="00D9178F"/>
    <w:rsid w:val="00D918F6"/>
    <w:rsid w:val="00D918F9"/>
    <w:rsid w:val="00D91C19"/>
    <w:rsid w:val="00D9211C"/>
    <w:rsid w:val="00D921F8"/>
    <w:rsid w:val="00D925D0"/>
    <w:rsid w:val="00D928CE"/>
    <w:rsid w:val="00D92B62"/>
    <w:rsid w:val="00D92D3F"/>
    <w:rsid w:val="00D92DE0"/>
    <w:rsid w:val="00D92FEF"/>
    <w:rsid w:val="00D93409"/>
    <w:rsid w:val="00D93790"/>
    <w:rsid w:val="00D93A0F"/>
    <w:rsid w:val="00D93ADC"/>
    <w:rsid w:val="00D93E4B"/>
    <w:rsid w:val="00D942F5"/>
    <w:rsid w:val="00D94D86"/>
    <w:rsid w:val="00D95A4D"/>
    <w:rsid w:val="00D95DE7"/>
    <w:rsid w:val="00D9666F"/>
    <w:rsid w:val="00D9708C"/>
    <w:rsid w:val="00D9720D"/>
    <w:rsid w:val="00D97721"/>
    <w:rsid w:val="00DA0E8E"/>
    <w:rsid w:val="00DA0F99"/>
    <w:rsid w:val="00DA114D"/>
    <w:rsid w:val="00DA1649"/>
    <w:rsid w:val="00DA1848"/>
    <w:rsid w:val="00DA1BCA"/>
    <w:rsid w:val="00DA1E25"/>
    <w:rsid w:val="00DA285A"/>
    <w:rsid w:val="00DA2D15"/>
    <w:rsid w:val="00DA2E7A"/>
    <w:rsid w:val="00DA3071"/>
    <w:rsid w:val="00DA33C7"/>
    <w:rsid w:val="00DA3FFA"/>
    <w:rsid w:val="00DA4022"/>
    <w:rsid w:val="00DA4356"/>
    <w:rsid w:val="00DA45DF"/>
    <w:rsid w:val="00DA4AC6"/>
    <w:rsid w:val="00DA4DE2"/>
    <w:rsid w:val="00DA565A"/>
    <w:rsid w:val="00DA599D"/>
    <w:rsid w:val="00DA63FF"/>
    <w:rsid w:val="00DA6670"/>
    <w:rsid w:val="00DA67C6"/>
    <w:rsid w:val="00DA6AAB"/>
    <w:rsid w:val="00DA7299"/>
    <w:rsid w:val="00DA760C"/>
    <w:rsid w:val="00DA7886"/>
    <w:rsid w:val="00DB0351"/>
    <w:rsid w:val="00DB03EC"/>
    <w:rsid w:val="00DB07D9"/>
    <w:rsid w:val="00DB0C95"/>
    <w:rsid w:val="00DB1570"/>
    <w:rsid w:val="00DB1788"/>
    <w:rsid w:val="00DB1F92"/>
    <w:rsid w:val="00DB266C"/>
    <w:rsid w:val="00DB29AD"/>
    <w:rsid w:val="00DB2BC3"/>
    <w:rsid w:val="00DB2EB8"/>
    <w:rsid w:val="00DB364C"/>
    <w:rsid w:val="00DB36B7"/>
    <w:rsid w:val="00DB37C1"/>
    <w:rsid w:val="00DB3E23"/>
    <w:rsid w:val="00DB4413"/>
    <w:rsid w:val="00DB47F0"/>
    <w:rsid w:val="00DB4B8B"/>
    <w:rsid w:val="00DB4F78"/>
    <w:rsid w:val="00DB509B"/>
    <w:rsid w:val="00DB51EF"/>
    <w:rsid w:val="00DB552E"/>
    <w:rsid w:val="00DB5E98"/>
    <w:rsid w:val="00DB5EA4"/>
    <w:rsid w:val="00DB5F2B"/>
    <w:rsid w:val="00DB6464"/>
    <w:rsid w:val="00DB6897"/>
    <w:rsid w:val="00DB6C80"/>
    <w:rsid w:val="00DB7C2C"/>
    <w:rsid w:val="00DC0346"/>
    <w:rsid w:val="00DC042C"/>
    <w:rsid w:val="00DC061B"/>
    <w:rsid w:val="00DC062F"/>
    <w:rsid w:val="00DC0936"/>
    <w:rsid w:val="00DC0964"/>
    <w:rsid w:val="00DC0F55"/>
    <w:rsid w:val="00DC1A67"/>
    <w:rsid w:val="00DC1C01"/>
    <w:rsid w:val="00DC1D8C"/>
    <w:rsid w:val="00DC25B9"/>
    <w:rsid w:val="00DC2F59"/>
    <w:rsid w:val="00DC39B5"/>
    <w:rsid w:val="00DC3D21"/>
    <w:rsid w:val="00DC4665"/>
    <w:rsid w:val="00DC46A0"/>
    <w:rsid w:val="00DC46FF"/>
    <w:rsid w:val="00DC4846"/>
    <w:rsid w:val="00DC4AD7"/>
    <w:rsid w:val="00DC5254"/>
    <w:rsid w:val="00DC60B1"/>
    <w:rsid w:val="00DC6596"/>
    <w:rsid w:val="00DC7B19"/>
    <w:rsid w:val="00DC7F05"/>
    <w:rsid w:val="00DD067B"/>
    <w:rsid w:val="00DD0834"/>
    <w:rsid w:val="00DD1063"/>
    <w:rsid w:val="00DD153F"/>
    <w:rsid w:val="00DD1A4F"/>
    <w:rsid w:val="00DD1E95"/>
    <w:rsid w:val="00DD237C"/>
    <w:rsid w:val="00DD25AA"/>
    <w:rsid w:val="00DD2B47"/>
    <w:rsid w:val="00DD3107"/>
    <w:rsid w:val="00DD37CA"/>
    <w:rsid w:val="00DD3970"/>
    <w:rsid w:val="00DD3C18"/>
    <w:rsid w:val="00DD41FA"/>
    <w:rsid w:val="00DD42A7"/>
    <w:rsid w:val="00DD451A"/>
    <w:rsid w:val="00DD48C5"/>
    <w:rsid w:val="00DD4FDE"/>
    <w:rsid w:val="00DD5034"/>
    <w:rsid w:val="00DD5D78"/>
    <w:rsid w:val="00DD5EFF"/>
    <w:rsid w:val="00DD6C00"/>
    <w:rsid w:val="00DD747F"/>
    <w:rsid w:val="00DD79D4"/>
    <w:rsid w:val="00DD7C2C"/>
    <w:rsid w:val="00DD7DAA"/>
    <w:rsid w:val="00DD7E02"/>
    <w:rsid w:val="00DE01C5"/>
    <w:rsid w:val="00DE01CC"/>
    <w:rsid w:val="00DE0583"/>
    <w:rsid w:val="00DE0788"/>
    <w:rsid w:val="00DE08A6"/>
    <w:rsid w:val="00DE1441"/>
    <w:rsid w:val="00DE161B"/>
    <w:rsid w:val="00DE16BA"/>
    <w:rsid w:val="00DE18ED"/>
    <w:rsid w:val="00DE2235"/>
    <w:rsid w:val="00DE25BF"/>
    <w:rsid w:val="00DE26FF"/>
    <w:rsid w:val="00DE2946"/>
    <w:rsid w:val="00DE2BAD"/>
    <w:rsid w:val="00DE3183"/>
    <w:rsid w:val="00DE33E5"/>
    <w:rsid w:val="00DE3756"/>
    <w:rsid w:val="00DE3B2B"/>
    <w:rsid w:val="00DE3D91"/>
    <w:rsid w:val="00DE40CC"/>
    <w:rsid w:val="00DE4337"/>
    <w:rsid w:val="00DE4662"/>
    <w:rsid w:val="00DE4735"/>
    <w:rsid w:val="00DE48AE"/>
    <w:rsid w:val="00DE4C9F"/>
    <w:rsid w:val="00DE4D97"/>
    <w:rsid w:val="00DE4FAD"/>
    <w:rsid w:val="00DE5831"/>
    <w:rsid w:val="00DE6B9A"/>
    <w:rsid w:val="00DE6C56"/>
    <w:rsid w:val="00DE6E55"/>
    <w:rsid w:val="00DE7CC9"/>
    <w:rsid w:val="00DE7F36"/>
    <w:rsid w:val="00DF0074"/>
    <w:rsid w:val="00DF04B9"/>
    <w:rsid w:val="00DF0696"/>
    <w:rsid w:val="00DF0BFC"/>
    <w:rsid w:val="00DF13B5"/>
    <w:rsid w:val="00DF1866"/>
    <w:rsid w:val="00DF1AA5"/>
    <w:rsid w:val="00DF1F1B"/>
    <w:rsid w:val="00DF2B57"/>
    <w:rsid w:val="00DF2D5F"/>
    <w:rsid w:val="00DF40E8"/>
    <w:rsid w:val="00DF4F3C"/>
    <w:rsid w:val="00DF5076"/>
    <w:rsid w:val="00DF5272"/>
    <w:rsid w:val="00DF5312"/>
    <w:rsid w:val="00DF5660"/>
    <w:rsid w:val="00DF5863"/>
    <w:rsid w:val="00DF65C9"/>
    <w:rsid w:val="00DF71CA"/>
    <w:rsid w:val="00DF7B3F"/>
    <w:rsid w:val="00DF7F7A"/>
    <w:rsid w:val="00E00667"/>
    <w:rsid w:val="00E00B7C"/>
    <w:rsid w:val="00E00E4E"/>
    <w:rsid w:val="00E00F5B"/>
    <w:rsid w:val="00E018A8"/>
    <w:rsid w:val="00E01D4D"/>
    <w:rsid w:val="00E02616"/>
    <w:rsid w:val="00E027B7"/>
    <w:rsid w:val="00E029E8"/>
    <w:rsid w:val="00E02ADB"/>
    <w:rsid w:val="00E034C8"/>
    <w:rsid w:val="00E03D15"/>
    <w:rsid w:val="00E04170"/>
    <w:rsid w:val="00E04573"/>
    <w:rsid w:val="00E04A17"/>
    <w:rsid w:val="00E04D15"/>
    <w:rsid w:val="00E04E19"/>
    <w:rsid w:val="00E04EEF"/>
    <w:rsid w:val="00E051CD"/>
    <w:rsid w:val="00E053A7"/>
    <w:rsid w:val="00E0574F"/>
    <w:rsid w:val="00E06797"/>
    <w:rsid w:val="00E07668"/>
    <w:rsid w:val="00E07DEB"/>
    <w:rsid w:val="00E1066E"/>
    <w:rsid w:val="00E112F9"/>
    <w:rsid w:val="00E11AE8"/>
    <w:rsid w:val="00E12054"/>
    <w:rsid w:val="00E122BC"/>
    <w:rsid w:val="00E12386"/>
    <w:rsid w:val="00E12481"/>
    <w:rsid w:val="00E1265B"/>
    <w:rsid w:val="00E126F3"/>
    <w:rsid w:val="00E12830"/>
    <w:rsid w:val="00E129C2"/>
    <w:rsid w:val="00E12C2F"/>
    <w:rsid w:val="00E13B48"/>
    <w:rsid w:val="00E1404F"/>
    <w:rsid w:val="00E1409E"/>
    <w:rsid w:val="00E14298"/>
    <w:rsid w:val="00E144A6"/>
    <w:rsid w:val="00E1452B"/>
    <w:rsid w:val="00E14C4E"/>
    <w:rsid w:val="00E154C6"/>
    <w:rsid w:val="00E15F4A"/>
    <w:rsid w:val="00E15FF7"/>
    <w:rsid w:val="00E1696D"/>
    <w:rsid w:val="00E16F63"/>
    <w:rsid w:val="00E17967"/>
    <w:rsid w:val="00E17B25"/>
    <w:rsid w:val="00E17F34"/>
    <w:rsid w:val="00E20771"/>
    <w:rsid w:val="00E20A61"/>
    <w:rsid w:val="00E20B87"/>
    <w:rsid w:val="00E20E4F"/>
    <w:rsid w:val="00E20EFF"/>
    <w:rsid w:val="00E21275"/>
    <w:rsid w:val="00E212EF"/>
    <w:rsid w:val="00E2177C"/>
    <w:rsid w:val="00E21A1C"/>
    <w:rsid w:val="00E21C83"/>
    <w:rsid w:val="00E21EB1"/>
    <w:rsid w:val="00E22AAF"/>
    <w:rsid w:val="00E22B22"/>
    <w:rsid w:val="00E22E92"/>
    <w:rsid w:val="00E2359F"/>
    <w:rsid w:val="00E23C93"/>
    <w:rsid w:val="00E2429C"/>
    <w:rsid w:val="00E2478B"/>
    <w:rsid w:val="00E24ADA"/>
    <w:rsid w:val="00E24C30"/>
    <w:rsid w:val="00E24EA7"/>
    <w:rsid w:val="00E24FE3"/>
    <w:rsid w:val="00E251E2"/>
    <w:rsid w:val="00E25624"/>
    <w:rsid w:val="00E256F6"/>
    <w:rsid w:val="00E260CE"/>
    <w:rsid w:val="00E267C0"/>
    <w:rsid w:val="00E271C8"/>
    <w:rsid w:val="00E27CC2"/>
    <w:rsid w:val="00E30340"/>
    <w:rsid w:val="00E30B20"/>
    <w:rsid w:val="00E30C8D"/>
    <w:rsid w:val="00E30D31"/>
    <w:rsid w:val="00E30DF0"/>
    <w:rsid w:val="00E31BC2"/>
    <w:rsid w:val="00E320C1"/>
    <w:rsid w:val="00E32F59"/>
    <w:rsid w:val="00E33677"/>
    <w:rsid w:val="00E33A48"/>
    <w:rsid w:val="00E33AA5"/>
    <w:rsid w:val="00E33BC8"/>
    <w:rsid w:val="00E33D20"/>
    <w:rsid w:val="00E3407E"/>
    <w:rsid w:val="00E34508"/>
    <w:rsid w:val="00E34BB8"/>
    <w:rsid w:val="00E34DDB"/>
    <w:rsid w:val="00E35050"/>
    <w:rsid w:val="00E35FFE"/>
    <w:rsid w:val="00E36E78"/>
    <w:rsid w:val="00E374A3"/>
    <w:rsid w:val="00E37F15"/>
    <w:rsid w:val="00E40354"/>
    <w:rsid w:val="00E40537"/>
    <w:rsid w:val="00E41D9A"/>
    <w:rsid w:val="00E422E3"/>
    <w:rsid w:val="00E4259F"/>
    <w:rsid w:val="00E42D79"/>
    <w:rsid w:val="00E42F06"/>
    <w:rsid w:val="00E434CF"/>
    <w:rsid w:val="00E4389D"/>
    <w:rsid w:val="00E43AE2"/>
    <w:rsid w:val="00E43DE3"/>
    <w:rsid w:val="00E440CD"/>
    <w:rsid w:val="00E44181"/>
    <w:rsid w:val="00E44246"/>
    <w:rsid w:val="00E447C8"/>
    <w:rsid w:val="00E44803"/>
    <w:rsid w:val="00E44B1D"/>
    <w:rsid w:val="00E44B60"/>
    <w:rsid w:val="00E4553E"/>
    <w:rsid w:val="00E45CE3"/>
    <w:rsid w:val="00E46095"/>
    <w:rsid w:val="00E4692E"/>
    <w:rsid w:val="00E46D9A"/>
    <w:rsid w:val="00E47572"/>
    <w:rsid w:val="00E5017E"/>
    <w:rsid w:val="00E501C7"/>
    <w:rsid w:val="00E50215"/>
    <w:rsid w:val="00E509D1"/>
    <w:rsid w:val="00E50B70"/>
    <w:rsid w:val="00E50FD1"/>
    <w:rsid w:val="00E511A8"/>
    <w:rsid w:val="00E517CD"/>
    <w:rsid w:val="00E51E39"/>
    <w:rsid w:val="00E5237F"/>
    <w:rsid w:val="00E5245E"/>
    <w:rsid w:val="00E524C4"/>
    <w:rsid w:val="00E52605"/>
    <w:rsid w:val="00E5299C"/>
    <w:rsid w:val="00E529D4"/>
    <w:rsid w:val="00E52A16"/>
    <w:rsid w:val="00E52D1B"/>
    <w:rsid w:val="00E53319"/>
    <w:rsid w:val="00E537B6"/>
    <w:rsid w:val="00E5392F"/>
    <w:rsid w:val="00E53B70"/>
    <w:rsid w:val="00E53F9E"/>
    <w:rsid w:val="00E547BD"/>
    <w:rsid w:val="00E5492D"/>
    <w:rsid w:val="00E54B55"/>
    <w:rsid w:val="00E552A9"/>
    <w:rsid w:val="00E55621"/>
    <w:rsid w:val="00E55E3A"/>
    <w:rsid w:val="00E565FF"/>
    <w:rsid w:val="00E56EDB"/>
    <w:rsid w:val="00E570F2"/>
    <w:rsid w:val="00E57561"/>
    <w:rsid w:val="00E600D6"/>
    <w:rsid w:val="00E608AB"/>
    <w:rsid w:val="00E60AAB"/>
    <w:rsid w:val="00E60DF1"/>
    <w:rsid w:val="00E61219"/>
    <w:rsid w:val="00E61CF8"/>
    <w:rsid w:val="00E620ED"/>
    <w:rsid w:val="00E62733"/>
    <w:rsid w:val="00E6287A"/>
    <w:rsid w:val="00E629CB"/>
    <w:rsid w:val="00E6344D"/>
    <w:rsid w:val="00E6345F"/>
    <w:rsid w:val="00E63509"/>
    <w:rsid w:val="00E63BFB"/>
    <w:rsid w:val="00E63C75"/>
    <w:rsid w:val="00E63FE8"/>
    <w:rsid w:val="00E641EF"/>
    <w:rsid w:val="00E64295"/>
    <w:rsid w:val="00E64447"/>
    <w:rsid w:val="00E645D7"/>
    <w:rsid w:val="00E64C77"/>
    <w:rsid w:val="00E65130"/>
    <w:rsid w:val="00E65388"/>
    <w:rsid w:val="00E65906"/>
    <w:rsid w:val="00E65E3A"/>
    <w:rsid w:val="00E66571"/>
    <w:rsid w:val="00E66594"/>
    <w:rsid w:val="00E6663B"/>
    <w:rsid w:val="00E666EF"/>
    <w:rsid w:val="00E6673C"/>
    <w:rsid w:val="00E667C3"/>
    <w:rsid w:val="00E66932"/>
    <w:rsid w:val="00E6698E"/>
    <w:rsid w:val="00E66A76"/>
    <w:rsid w:val="00E66AD4"/>
    <w:rsid w:val="00E66C69"/>
    <w:rsid w:val="00E66C96"/>
    <w:rsid w:val="00E67833"/>
    <w:rsid w:val="00E67E84"/>
    <w:rsid w:val="00E7025E"/>
    <w:rsid w:val="00E704F0"/>
    <w:rsid w:val="00E70AB6"/>
    <w:rsid w:val="00E70D04"/>
    <w:rsid w:val="00E71450"/>
    <w:rsid w:val="00E715C3"/>
    <w:rsid w:val="00E71B74"/>
    <w:rsid w:val="00E72396"/>
    <w:rsid w:val="00E72755"/>
    <w:rsid w:val="00E7327E"/>
    <w:rsid w:val="00E74484"/>
    <w:rsid w:val="00E7456C"/>
    <w:rsid w:val="00E747D2"/>
    <w:rsid w:val="00E74ACB"/>
    <w:rsid w:val="00E74FC1"/>
    <w:rsid w:val="00E75719"/>
    <w:rsid w:val="00E75A50"/>
    <w:rsid w:val="00E75D21"/>
    <w:rsid w:val="00E75F11"/>
    <w:rsid w:val="00E760FC"/>
    <w:rsid w:val="00E76512"/>
    <w:rsid w:val="00E768B6"/>
    <w:rsid w:val="00E76C71"/>
    <w:rsid w:val="00E76D49"/>
    <w:rsid w:val="00E77B85"/>
    <w:rsid w:val="00E77D45"/>
    <w:rsid w:val="00E77D8B"/>
    <w:rsid w:val="00E77F56"/>
    <w:rsid w:val="00E80075"/>
    <w:rsid w:val="00E81929"/>
    <w:rsid w:val="00E81FDD"/>
    <w:rsid w:val="00E825A1"/>
    <w:rsid w:val="00E82668"/>
    <w:rsid w:val="00E82733"/>
    <w:rsid w:val="00E82C48"/>
    <w:rsid w:val="00E8301E"/>
    <w:rsid w:val="00E830B1"/>
    <w:rsid w:val="00E83381"/>
    <w:rsid w:val="00E83A96"/>
    <w:rsid w:val="00E83FC4"/>
    <w:rsid w:val="00E843F1"/>
    <w:rsid w:val="00E84498"/>
    <w:rsid w:val="00E8458D"/>
    <w:rsid w:val="00E84DE7"/>
    <w:rsid w:val="00E85025"/>
    <w:rsid w:val="00E85618"/>
    <w:rsid w:val="00E85B7D"/>
    <w:rsid w:val="00E85E5E"/>
    <w:rsid w:val="00E86F95"/>
    <w:rsid w:val="00E870C8"/>
    <w:rsid w:val="00E87397"/>
    <w:rsid w:val="00E878F4"/>
    <w:rsid w:val="00E87D57"/>
    <w:rsid w:val="00E90090"/>
    <w:rsid w:val="00E90355"/>
    <w:rsid w:val="00E90859"/>
    <w:rsid w:val="00E90DCE"/>
    <w:rsid w:val="00E9121B"/>
    <w:rsid w:val="00E91905"/>
    <w:rsid w:val="00E91A92"/>
    <w:rsid w:val="00E91B0B"/>
    <w:rsid w:val="00E91DAC"/>
    <w:rsid w:val="00E9205C"/>
    <w:rsid w:val="00E923CA"/>
    <w:rsid w:val="00E928F8"/>
    <w:rsid w:val="00E92EC5"/>
    <w:rsid w:val="00E93C3E"/>
    <w:rsid w:val="00E94B48"/>
    <w:rsid w:val="00E94D32"/>
    <w:rsid w:val="00E95429"/>
    <w:rsid w:val="00E9585B"/>
    <w:rsid w:val="00E95E59"/>
    <w:rsid w:val="00E96571"/>
    <w:rsid w:val="00E96614"/>
    <w:rsid w:val="00E96852"/>
    <w:rsid w:val="00E96A61"/>
    <w:rsid w:val="00E96B9F"/>
    <w:rsid w:val="00E97DBC"/>
    <w:rsid w:val="00EA04F9"/>
    <w:rsid w:val="00EA0755"/>
    <w:rsid w:val="00EA084D"/>
    <w:rsid w:val="00EA0989"/>
    <w:rsid w:val="00EA0AE2"/>
    <w:rsid w:val="00EA0C3A"/>
    <w:rsid w:val="00EA0E16"/>
    <w:rsid w:val="00EA17B4"/>
    <w:rsid w:val="00EA19F1"/>
    <w:rsid w:val="00EA1BF5"/>
    <w:rsid w:val="00EA1ECA"/>
    <w:rsid w:val="00EA261F"/>
    <w:rsid w:val="00EA292F"/>
    <w:rsid w:val="00EA2B59"/>
    <w:rsid w:val="00EA2DB7"/>
    <w:rsid w:val="00EA34EB"/>
    <w:rsid w:val="00EA355C"/>
    <w:rsid w:val="00EA39E5"/>
    <w:rsid w:val="00EA3CDD"/>
    <w:rsid w:val="00EA42EA"/>
    <w:rsid w:val="00EA46E7"/>
    <w:rsid w:val="00EA4AF6"/>
    <w:rsid w:val="00EA4DDD"/>
    <w:rsid w:val="00EA53ED"/>
    <w:rsid w:val="00EA6728"/>
    <w:rsid w:val="00EB0310"/>
    <w:rsid w:val="00EB0DF7"/>
    <w:rsid w:val="00EB1386"/>
    <w:rsid w:val="00EB13D6"/>
    <w:rsid w:val="00EB1D91"/>
    <w:rsid w:val="00EB2C9F"/>
    <w:rsid w:val="00EB2EB3"/>
    <w:rsid w:val="00EB30D4"/>
    <w:rsid w:val="00EB3106"/>
    <w:rsid w:val="00EB3160"/>
    <w:rsid w:val="00EB32BF"/>
    <w:rsid w:val="00EB34FD"/>
    <w:rsid w:val="00EB3588"/>
    <w:rsid w:val="00EB361A"/>
    <w:rsid w:val="00EB47A1"/>
    <w:rsid w:val="00EB4F9D"/>
    <w:rsid w:val="00EB56CD"/>
    <w:rsid w:val="00EB56DF"/>
    <w:rsid w:val="00EB5CF3"/>
    <w:rsid w:val="00EB5EB0"/>
    <w:rsid w:val="00EB709D"/>
    <w:rsid w:val="00EB7323"/>
    <w:rsid w:val="00EB7723"/>
    <w:rsid w:val="00EB7B05"/>
    <w:rsid w:val="00EB7BF8"/>
    <w:rsid w:val="00EB7D30"/>
    <w:rsid w:val="00EB7D4E"/>
    <w:rsid w:val="00EC145D"/>
    <w:rsid w:val="00EC160C"/>
    <w:rsid w:val="00EC1C17"/>
    <w:rsid w:val="00EC1D32"/>
    <w:rsid w:val="00EC1E58"/>
    <w:rsid w:val="00EC2603"/>
    <w:rsid w:val="00EC2830"/>
    <w:rsid w:val="00EC2B92"/>
    <w:rsid w:val="00EC2C08"/>
    <w:rsid w:val="00EC2FD5"/>
    <w:rsid w:val="00EC443F"/>
    <w:rsid w:val="00EC46F0"/>
    <w:rsid w:val="00EC52A2"/>
    <w:rsid w:val="00EC5A46"/>
    <w:rsid w:val="00EC5CB2"/>
    <w:rsid w:val="00EC5FAD"/>
    <w:rsid w:val="00EC63E2"/>
    <w:rsid w:val="00EC73AA"/>
    <w:rsid w:val="00EC742D"/>
    <w:rsid w:val="00EC7433"/>
    <w:rsid w:val="00EC7A2B"/>
    <w:rsid w:val="00EC7BBE"/>
    <w:rsid w:val="00ED0087"/>
    <w:rsid w:val="00ED0E9D"/>
    <w:rsid w:val="00ED1F3E"/>
    <w:rsid w:val="00ED2072"/>
    <w:rsid w:val="00ED24C1"/>
    <w:rsid w:val="00ED2694"/>
    <w:rsid w:val="00ED270F"/>
    <w:rsid w:val="00ED2E21"/>
    <w:rsid w:val="00ED2E7A"/>
    <w:rsid w:val="00ED3072"/>
    <w:rsid w:val="00ED3957"/>
    <w:rsid w:val="00ED3D37"/>
    <w:rsid w:val="00ED4302"/>
    <w:rsid w:val="00ED4C97"/>
    <w:rsid w:val="00ED4CD1"/>
    <w:rsid w:val="00ED510D"/>
    <w:rsid w:val="00ED571A"/>
    <w:rsid w:val="00ED574E"/>
    <w:rsid w:val="00ED5A79"/>
    <w:rsid w:val="00ED6274"/>
    <w:rsid w:val="00ED634F"/>
    <w:rsid w:val="00ED65DE"/>
    <w:rsid w:val="00ED67A1"/>
    <w:rsid w:val="00ED6F8D"/>
    <w:rsid w:val="00ED6FEF"/>
    <w:rsid w:val="00ED7B8C"/>
    <w:rsid w:val="00ED7FF4"/>
    <w:rsid w:val="00EE0169"/>
    <w:rsid w:val="00EE0248"/>
    <w:rsid w:val="00EE0E2C"/>
    <w:rsid w:val="00EE1190"/>
    <w:rsid w:val="00EE11CB"/>
    <w:rsid w:val="00EE1588"/>
    <w:rsid w:val="00EE19D7"/>
    <w:rsid w:val="00EE1AFB"/>
    <w:rsid w:val="00EE1BA8"/>
    <w:rsid w:val="00EE1E98"/>
    <w:rsid w:val="00EE219A"/>
    <w:rsid w:val="00EE2277"/>
    <w:rsid w:val="00EE2FCC"/>
    <w:rsid w:val="00EE3640"/>
    <w:rsid w:val="00EE397B"/>
    <w:rsid w:val="00EE3CE1"/>
    <w:rsid w:val="00EE41DF"/>
    <w:rsid w:val="00EE4424"/>
    <w:rsid w:val="00EE4483"/>
    <w:rsid w:val="00EE5261"/>
    <w:rsid w:val="00EE5822"/>
    <w:rsid w:val="00EE5936"/>
    <w:rsid w:val="00EE67DB"/>
    <w:rsid w:val="00EE7551"/>
    <w:rsid w:val="00EE77D7"/>
    <w:rsid w:val="00EE79F0"/>
    <w:rsid w:val="00EE7BBF"/>
    <w:rsid w:val="00EF109B"/>
    <w:rsid w:val="00EF1289"/>
    <w:rsid w:val="00EF1594"/>
    <w:rsid w:val="00EF1C1C"/>
    <w:rsid w:val="00EF1D3C"/>
    <w:rsid w:val="00EF1ED5"/>
    <w:rsid w:val="00EF22B3"/>
    <w:rsid w:val="00EF25F8"/>
    <w:rsid w:val="00EF2976"/>
    <w:rsid w:val="00EF2B8C"/>
    <w:rsid w:val="00EF2F31"/>
    <w:rsid w:val="00EF3546"/>
    <w:rsid w:val="00EF3A61"/>
    <w:rsid w:val="00EF3AF2"/>
    <w:rsid w:val="00EF429D"/>
    <w:rsid w:val="00EF469A"/>
    <w:rsid w:val="00EF4C8E"/>
    <w:rsid w:val="00EF4E7C"/>
    <w:rsid w:val="00EF4F11"/>
    <w:rsid w:val="00EF508B"/>
    <w:rsid w:val="00EF5352"/>
    <w:rsid w:val="00EF5B7F"/>
    <w:rsid w:val="00EF6034"/>
    <w:rsid w:val="00EF614B"/>
    <w:rsid w:val="00EF670F"/>
    <w:rsid w:val="00EF6ACB"/>
    <w:rsid w:val="00EF6B44"/>
    <w:rsid w:val="00EF6E07"/>
    <w:rsid w:val="00EF75F0"/>
    <w:rsid w:val="00EF7FDB"/>
    <w:rsid w:val="00F010F4"/>
    <w:rsid w:val="00F01109"/>
    <w:rsid w:val="00F014D9"/>
    <w:rsid w:val="00F01B45"/>
    <w:rsid w:val="00F02199"/>
    <w:rsid w:val="00F023CE"/>
    <w:rsid w:val="00F026BA"/>
    <w:rsid w:val="00F028B3"/>
    <w:rsid w:val="00F033D8"/>
    <w:rsid w:val="00F03B69"/>
    <w:rsid w:val="00F03BC7"/>
    <w:rsid w:val="00F0409B"/>
    <w:rsid w:val="00F0461D"/>
    <w:rsid w:val="00F04B85"/>
    <w:rsid w:val="00F04C59"/>
    <w:rsid w:val="00F04F4E"/>
    <w:rsid w:val="00F05B70"/>
    <w:rsid w:val="00F05C31"/>
    <w:rsid w:val="00F06127"/>
    <w:rsid w:val="00F0631F"/>
    <w:rsid w:val="00F0652C"/>
    <w:rsid w:val="00F066CE"/>
    <w:rsid w:val="00F07203"/>
    <w:rsid w:val="00F07978"/>
    <w:rsid w:val="00F07A50"/>
    <w:rsid w:val="00F07D92"/>
    <w:rsid w:val="00F10210"/>
    <w:rsid w:val="00F10903"/>
    <w:rsid w:val="00F10B2C"/>
    <w:rsid w:val="00F1104F"/>
    <w:rsid w:val="00F113DA"/>
    <w:rsid w:val="00F11408"/>
    <w:rsid w:val="00F11C14"/>
    <w:rsid w:val="00F129A7"/>
    <w:rsid w:val="00F1303C"/>
    <w:rsid w:val="00F13309"/>
    <w:rsid w:val="00F13500"/>
    <w:rsid w:val="00F13963"/>
    <w:rsid w:val="00F14170"/>
    <w:rsid w:val="00F145D1"/>
    <w:rsid w:val="00F14EAB"/>
    <w:rsid w:val="00F14FF6"/>
    <w:rsid w:val="00F15648"/>
    <w:rsid w:val="00F15701"/>
    <w:rsid w:val="00F15C6E"/>
    <w:rsid w:val="00F16EBF"/>
    <w:rsid w:val="00F17663"/>
    <w:rsid w:val="00F176C1"/>
    <w:rsid w:val="00F17832"/>
    <w:rsid w:val="00F20452"/>
    <w:rsid w:val="00F22125"/>
    <w:rsid w:val="00F229D4"/>
    <w:rsid w:val="00F22E2C"/>
    <w:rsid w:val="00F22FA4"/>
    <w:rsid w:val="00F23184"/>
    <w:rsid w:val="00F23952"/>
    <w:rsid w:val="00F23B1D"/>
    <w:rsid w:val="00F23EE6"/>
    <w:rsid w:val="00F2418E"/>
    <w:rsid w:val="00F248EC"/>
    <w:rsid w:val="00F2493F"/>
    <w:rsid w:val="00F24DBF"/>
    <w:rsid w:val="00F25307"/>
    <w:rsid w:val="00F2594E"/>
    <w:rsid w:val="00F25B58"/>
    <w:rsid w:val="00F25E81"/>
    <w:rsid w:val="00F25F15"/>
    <w:rsid w:val="00F26784"/>
    <w:rsid w:val="00F26AB7"/>
    <w:rsid w:val="00F27CE6"/>
    <w:rsid w:val="00F27DDA"/>
    <w:rsid w:val="00F3057D"/>
    <w:rsid w:val="00F30668"/>
    <w:rsid w:val="00F31620"/>
    <w:rsid w:val="00F31771"/>
    <w:rsid w:val="00F319FC"/>
    <w:rsid w:val="00F31D8A"/>
    <w:rsid w:val="00F3259E"/>
    <w:rsid w:val="00F3271E"/>
    <w:rsid w:val="00F33D27"/>
    <w:rsid w:val="00F33FCE"/>
    <w:rsid w:val="00F346C6"/>
    <w:rsid w:val="00F349E1"/>
    <w:rsid w:val="00F35008"/>
    <w:rsid w:val="00F35F58"/>
    <w:rsid w:val="00F360ED"/>
    <w:rsid w:val="00F36A85"/>
    <w:rsid w:val="00F3778D"/>
    <w:rsid w:val="00F37DC8"/>
    <w:rsid w:val="00F40140"/>
    <w:rsid w:val="00F40146"/>
    <w:rsid w:val="00F402A7"/>
    <w:rsid w:val="00F40E92"/>
    <w:rsid w:val="00F41581"/>
    <w:rsid w:val="00F418A0"/>
    <w:rsid w:val="00F41A41"/>
    <w:rsid w:val="00F41F7B"/>
    <w:rsid w:val="00F42641"/>
    <w:rsid w:val="00F42C38"/>
    <w:rsid w:val="00F42C6B"/>
    <w:rsid w:val="00F4345E"/>
    <w:rsid w:val="00F43698"/>
    <w:rsid w:val="00F439B3"/>
    <w:rsid w:val="00F43DEB"/>
    <w:rsid w:val="00F43FBB"/>
    <w:rsid w:val="00F44180"/>
    <w:rsid w:val="00F44B2B"/>
    <w:rsid w:val="00F44DAA"/>
    <w:rsid w:val="00F44F80"/>
    <w:rsid w:val="00F45353"/>
    <w:rsid w:val="00F45AA8"/>
    <w:rsid w:val="00F4693E"/>
    <w:rsid w:val="00F46AA7"/>
    <w:rsid w:val="00F46F2E"/>
    <w:rsid w:val="00F46FE2"/>
    <w:rsid w:val="00F47818"/>
    <w:rsid w:val="00F47920"/>
    <w:rsid w:val="00F502DD"/>
    <w:rsid w:val="00F50676"/>
    <w:rsid w:val="00F50C09"/>
    <w:rsid w:val="00F50CE6"/>
    <w:rsid w:val="00F511D5"/>
    <w:rsid w:val="00F5154A"/>
    <w:rsid w:val="00F515A6"/>
    <w:rsid w:val="00F5192A"/>
    <w:rsid w:val="00F51F33"/>
    <w:rsid w:val="00F52A1B"/>
    <w:rsid w:val="00F52E1B"/>
    <w:rsid w:val="00F53130"/>
    <w:rsid w:val="00F53501"/>
    <w:rsid w:val="00F539F0"/>
    <w:rsid w:val="00F53EF6"/>
    <w:rsid w:val="00F545DA"/>
    <w:rsid w:val="00F54E5C"/>
    <w:rsid w:val="00F55C56"/>
    <w:rsid w:val="00F55F38"/>
    <w:rsid w:val="00F569FC"/>
    <w:rsid w:val="00F575AE"/>
    <w:rsid w:val="00F575E4"/>
    <w:rsid w:val="00F57E47"/>
    <w:rsid w:val="00F60E6C"/>
    <w:rsid w:val="00F61796"/>
    <w:rsid w:val="00F61C54"/>
    <w:rsid w:val="00F62462"/>
    <w:rsid w:val="00F63347"/>
    <w:rsid w:val="00F6341B"/>
    <w:rsid w:val="00F63775"/>
    <w:rsid w:val="00F638FC"/>
    <w:rsid w:val="00F63C59"/>
    <w:rsid w:val="00F63E6E"/>
    <w:rsid w:val="00F64065"/>
    <w:rsid w:val="00F64327"/>
    <w:rsid w:val="00F64B11"/>
    <w:rsid w:val="00F64CA4"/>
    <w:rsid w:val="00F64D15"/>
    <w:rsid w:val="00F64E58"/>
    <w:rsid w:val="00F650BA"/>
    <w:rsid w:val="00F650C3"/>
    <w:rsid w:val="00F652B3"/>
    <w:rsid w:val="00F6566D"/>
    <w:rsid w:val="00F65934"/>
    <w:rsid w:val="00F65BC2"/>
    <w:rsid w:val="00F65BF2"/>
    <w:rsid w:val="00F65D7B"/>
    <w:rsid w:val="00F65D85"/>
    <w:rsid w:val="00F66428"/>
    <w:rsid w:val="00F667C5"/>
    <w:rsid w:val="00F66DEA"/>
    <w:rsid w:val="00F66E9F"/>
    <w:rsid w:val="00F671E0"/>
    <w:rsid w:val="00F67595"/>
    <w:rsid w:val="00F67B84"/>
    <w:rsid w:val="00F67E74"/>
    <w:rsid w:val="00F709D7"/>
    <w:rsid w:val="00F714E7"/>
    <w:rsid w:val="00F717C0"/>
    <w:rsid w:val="00F71DE9"/>
    <w:rsid w:val="00F72036"/>
    <w:rsid w:val="00F7203C"/>
    <w:rsid w:val="00F720F8"/>
    <w:rsid w:val="00F724DE"/>
    <w:rsid w:val="00F72D28"/>
    <w:rsid w:val="00F72DDF"/>
    <w:rsid w:val="00F72E2F"/>
    <w:rsid w:val="00F730E4"/>
    <w:rsid w:val="00F73317"/>
    <w:rsid w:val="00F73D0E"/>
    <w:rsid w:val="00F74117"/>
    <w:rsid w:val="00F74851"/>
    <w:rsid w:val="00F74A33"/>
    <w:rsid w:val="00F74C1A"/>
    <w:rsid w:val="00F75453"/>
    <w:rsid w:val="00F754FC"/>
    <w:rsid w:val="00F759B5"/>
    <w:rsid w:val="00F768CD"/>
    <w:rsid w:val="00F77EBC"/>
    <w:rsid w:val="00F8091E"/>
    <w:rsid w:val="00F80C36"/>
    <w:rsid w:val="00F80D8A"/>
    <w:rsid w:val="00F80E5D"/>
    <w:rsid w:val="00F8145A"/>
    <w:rsid w:val="00F8154A"/>
    <w:rsid w:val="00F81694"/>
    <w:rsid w:val="00F81989"/>
    <w:rsid w:val="00F82893"/>
    <w:rsid w:val="00F8303F"/>
    <w:rsid w:val="00F83D01"/>
    <w:rsid w:val="00F84027"/>
    <w:rsid w:val="00F8414F"/>
    <w:rsid w:val="00F849E7"/>
    <w:rsid w:val="00F84D19"/>
    <w:rsid w:val="00F84D3B"/>
    <w:rsid w:val="00F84D6F"/>
    <w:rsid w:val="00F85686"/>
    <w:rsid w:val="00F8615C"/>
    <w:rsid w:val="00F8639E"/>
    <w:rsid w:val="00F87049"/>
    <w:rsid w:val="00F87545"/>
    <w:rsid w:val="00F875F5"/>
    <w:rsid w:val="00F87AFE"/>
    <w:rsid w:val="00F9080C"/>
    <w:rsid w:val="00F90860"/>
    <w:rsid w:val="00F90BDD"/>
    <w:rsid w:val="00F90E6B"/>
    <w:rsid w:val="00F910A1"/>
    <w:rsid w:val="00F913B6"/>
    <w:rsid w:val="00F91D7E"/>
    <w:rsid w:val="00F91E72"/>
    <w:rsid w:val="00F922E9"/>
    <w:rsid w:val="00F9237E"/>
    <w:rsid w:val="00F92471"/>
    <w:rsid w:val="00F92604"/>
    <w:rsid w:val="00F93913"/>
    <w:rsid w:val="00F93F5F"/>
    <w:rsid w:val="00F94107"/>
    <w:rsid w:val="00F941D8"/>
    <w:rsid w:val="00F943EE"/>
    <w:rsid w:val="00F946FE"/>
    <w:rsid w:val="00F9474E"/>
    <w:rsid w:val="00F94816"/>
    <w:rsid w:val="00F94AAA"/>
    <w:rsid w:val="00F94CAD"/>
    <w:rsid w:val="00F954DC"/>
    <w:rsid w:val="00F955D2"/>
    <w:rsid w:val="00F95D3F"/>
    <w:rsid w:val="00F95E46"/>
    <w:rsid w:val="00F96372"/>
    <w:rsid w:val="00F9688D"/>
    <w:rsid w:val="00F969E5"/>
    <w:rsid w:val="00F96B6E"/>
    <w:rsid w:val="00F97AEE"/>
    <w:rsid w:val="00F97E54"/>
    <w:rsid w:val="00FA0462"/>
    <w:rsid w:val="00FA04CA"/>
    <w:rsid w:val="00FA09A8"/>
    <w:rsid w:val="00FA0B03"/>
    <w:rsid w:val="00FA1C95"/>
    <w:rsid w:val="00FA1DFA"/>
    <w:rsid w:val="00FA1E7C"/>
    <w:rsid w:val="00FA22E9"/>
    <w:rsid w:val="00FA2541"/>
    <w:rsid w:val="00FA2FDD"/>
    <w:rsid w:val="00FA364F"/>
    <w:rsid w:val="00FA4212"/>
    <w:rsid w:val="00FA4E7C"/>
    <w:rsid w:val="00FA5381"/>
    <w:rsid w:val="00FA58AC"/>
    <w:rsid w:val="00FA5AE4"/>
    <w:rsid w:val="00FA6BB0"/>
    <w:rsid w:val="00FA6C1D"/>
    <w:rsid w:val="00FA7366"/>
    <w:rsid w:val="00FA7D6B"/>
    <w:rsid w:val="00FB0B93"/>
    <w:rsid w:val="00FB0E76"/>
    <w:rsid w:val="00FB119B"/>
    <w:rsid w:val="00FB1337"/>
    <w:rsid w:val="00FB1650"/>
    <w:rsid w:val="00FB1B33"/>
    <w:rsid w:val="00FB1C79"/>
    <w:rsid w:val="00FB1DFB"/>
    <w:rsid w:val="00FB2B33"/>
    <w:rsid w:val="00FB2C89"/>
    <w:rsid w:val="00FB35B7"/>
    <w:rsid w:val="00FB397C"/>
    <w:rsid w:val="00FB4079"/>
    <w:rsid w:val="00FB4476"/>
    <w:rsid w:val="00FB44D9"/>
    <w:rsid w:val="00FB4C08"/>
    <w:rsid w:val="00FB53D6"/>
    <w:rsid w:val="00FB5546"/>
    <w:rsid w:val="00FB5AC3"/>
    <w:rsid w:val="00FB5B46"/>
    <w:rsid w:val="00FB6618"/>
    <w:rsid w:val="00FB6B53"/>
    <w:rsid w:val="00FB6D08"/>
    <w:rsid w:val="00FB6E08"/>
    <w:rsid w:val="00FB717F"/>
    <w:rsid w:val="00FB740A"/>
    <w:rsid w:val="00FB7A51"/>
    <w:rsid w:val="00FB7AE5"/>
    <w:rsid w:val="00FB7E83"/>
    <w:rsid w:val="00FC01F7"/>
    <w:rsid w:val="00FC0892"/>
    <w:rsid w:val="00FC08CF"/>
    <w:rsid w:val="00FC0A8C"/>
    <w:rsid w:val="00FC0C1B"/>
    <w:rsid w:val="00FC0E2F"/>
    <w:rsid w:val="00FC1034"/>
    <w:rsid w:val="00FC1987"/>
    <w:rsid w:val="00FC1ACD"/>
    <w:rsid w:val="00FC1C91"/>
    <w:rsid w:val="00FC1CF1"/>
    <w:rsid w:val="00FC1D8C"/>
    <w:rsid w:val="00FC2783"/>
    <w:rsid w:val="00FC2784"/>
    <w:rsid w:val="00FC2798"/>
    <w:rsid w:val="00FC2ED0"/>
    <w:rsid w:val="00FC3B6E"/>
    <w:rsid w:val="00FC40D5"/>
    <w:rsid w:val="00FC4D3A"/>
    <w:rsid w:val="00FC5494"/>
    <w:rsid w:val="00FC5693"/>
    <w:rsid w:val="00FC57DC"/>
    <w:rsid w:val="00FC5CFE"/>
    <w:rsid w:val="00FC5DD8"/>
    <w:rsid w:val="00FC648A"/>
    <w:rsid w:val="00FC6A6C"/>
    <w:rsid w:val="00FC6D49"/>
    <w:rsid w:val="00FC6F53"/>
    <w:rsid w:val="00FC7DFA"/>
    <w:rsid w:val="00FD0CA3"/>
    <w:rsid w:val="00FD0E75"/>
    <w:rsid w:val="00FD1A39"/>
    <w:rsid w:val="00FD1AE9"/>
    <w:rsid w:val="00FD1B87"/>
    <w:rsid w:val="00FD1E07"/>
    <w:rsid w:val="00FD230C"/>
    <w:rsid w:val="00FD26CE"/>
    <w:rsid w:val="00FD2A3D"/>
    <w:rsid w:val="00FD2D77"/>
    <w:rsid w:val="00FD30B3"/>
    <w:rsid w:val="00FD396F"/>
    <w:rsid w:val="00FD40CC"/>
    <w:rsid w:val="00FD4C94"/>
    <w:rsid w:val="00FD5860"/>
    <w:rsid w:val="00FD594F"/>
    <w:rsid w:val="00FD5AAE"/>
    <w:rsid w:val="00FD6429"/>
    <w:rsid w:val="00FD6BBD"/>
    <w:rsid w:val="00FD6DC4"/>
    <w:rsid w:val="00FD6E87"/>
    <w:rsid w:val="00FD70A3"/>
    <w:rsid w:val="00FD7C89"/>
    <w:rsid w:val="00FD7E87"/>
    <w:rsid w:val="00FE017E"/>
    <w:rsid w:val="00FE0A3C"/>
    <w:rsid w:val="00FE1080"/>
    <w:rsid w:val="00FE112B"/>
    <w:rsid w:val="00FE175A"/>
    <w:rsid w:val="00FE1AF0"/>
    <w:rsid w:val="00FE1B65"/>
    <w:rsid w:val="00FE1BFE"/>
    <w:rsid w:val="00FE1FDC"/>
    <w:rsid w:val="00FE21CA"/>
    <w:rsid w:val="00FE21EE"/>
    <w:rsid w:val="00FE26AC"/>
    <w:rsid w:val="00FE279F"/>
    <w:rsid w:val="00FE2CC4"/>
    <w:rsid w:val="00FE3097"/>
    <w:rsid w:val="00FE352D"/>
    <w:rsid w:val="00FE3621"/>
    <w:rsid w:val="00FE3D20"/>
    <w:rsid w:val="00FE40EB"/>
    <w:rsid w:val="00FE4517"/>
    <w:rsid w:val="00FE4695"/>
    <w:rsid w:val="00FE4B24"/>
    <w:rsid w:val="00FE4D02"/>
    <w:rsid w:val="00FE4DD2"/>
    <w:rsid w:val="00FE51C9"/>
    <w:rsid w:val="00FE54CF"/>
    <w:rsid w:val="00FE5A52"/>
    <w:rsid w:val="00FE64A4"/>
    <w:rsid w:val="00FE6B4B"/>
    <w:rsid w:val="00FE6B81"/>
    <w:rsid w:val="00FE6C4E"/>
    <w:rsid w:val="00FE7B2F"/>
    <w:rsid w:val="00FE7D62"/>
    <w:rsid w:val="00FE7FC2"/>
    <w:rsid w:val="00FF0578"/>
    <w:rsid w:val="00FF0584"/>
    <w:rsid w:val="00FF06D2"/>
    <w:rsid w:val="00FF0BA4"/>
    <w:rsid w:val="00FF0BDA"/>
    <w:rsid w:val="00FF0C86"/>
    <w:rsid w:val="00FF1505"/>
    <w:rsid w:val="00FF1814"/>
    <w:rsid w:val="00FF1AAD"/>
    <w:rsid w:val="00FF220A"/>
    <w:rsid w:val="00FF23CE"/>
    <w:rsid w:val="00FF2669"/>
    <w:rsid w:val="00FF2A0D"/>
    <w:rsid w:val="00FF2E5E"/>
    <w:rsid w:val="00FF2E81"/>
    <w:rsid w:val="00FF2FD8"/>
    <w:rsid w:val="00FF3247"/>
    <w:rsid w:val="00FF3819"/>
    <w:rsid w:val="00FF3E5A"/>
    <w:rsid w:val="00FF40DD"/>
    <w:rsid w:val="00FF5136"/>
    <w:rsid w:val="00FF5790"/>
    <w:rsid w:val="00FF5BFE"/>
    <w:rsid w:val="00FF5DB5"/>
    <w:rsid w:val="00FF6471"/>
    <w:rsid w:val="00FF64A9"/>
    <w:rsid w:val="00FF6E01"/>
    <w:rsid w:val="00FF7170"/>
    <w:rsid w:val="00FF7F58"/>
    <w:rsid w:val="03773E23"/>
    <w:rsid w:val="06C7D046"/>
    <w:rsid w:val="08A9DCEA"/>
    <w:rsid w:val="0D64D4AE"/>
    <w:rsid w:val="0F355B57"/>
    <w:rsid w:val="14979631"/>
    <w:rsid w:val="15078C29"/>
    <w:rsid w:val="15ADD131"/>
    <w:rsid w:val="17F37FC0"/>
    <w:rsid w:val="18D412AB"/>
    <w:rsid w:val="1C10D032"/>
    <w:rsid w:val="1D8F8925"/>
    <w:rsid w:val="235DA578"/>
    <w:rsid w:val="311F44A5"/>
    <w:rsid w:val="3250088D"/>
    <w:rsid w:val="3368C019"/>
    <w:rsid w:val="3721FAFB"/>
    <w:rsid w:val="3AB4C9E6"/>
    <w:rsid w:val="4097F448"/>
    <w:rsid w:val="43C3BD45"/>
    <w:rsid w:val="454F711E"/>
    <w:rsid w:val="495F4191"/>
    <w:rsid w:val="4C232FA2"/>
    <w:rsid w:val="4E807AE2"/>
    <w:rsid w:val="518DF76E"/>
    <w:rsid w:val="5369D490"/>
    <w:rsid w:val="53D6310B"/>
    <w:rsid w:val="56637354"/>
    <w:rsid w:val="57082E52"/>
    <w:rsid w:val="57B9185B"/>
    <w:rsid w:val="57B99F9B"/>
    <w:rsid w:val="5A77A99A"/>
    <w:rsid w:val="5AFDCB29"/>
    <w:rsid w:val="5F9BCC91"/>
    <w:rsid w:val="65F9B9A4"/>
    <w:rsid w:val="6A0782C1"/>
    <w:rsid w:val="6B813135"/>
    <w:rsid w:val="73328B9B"/>
    <w:rsid w:val="7361638E"/>
    <w:rsid w:val="7379E01A"/>
    <w:rsid w:val="760C6E94"/>
    <w:rsid w:val="7796BC29"/>
    <w:rsid w:val="7F4937EC"/>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B6A80B"/>
  <w15:chartTrackingRefBased/>
  <w15:docId w15:val="{321C6187-4764-4FA6-B253-DB62F16F74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rtl/>
        <w:lang w:val="en-KE" w:eastAsia="en-KE" w:bidi="ar-SA"/>
      </w:rPr>
    </w:rPrDefault>
    <w:pPrDefault>
      <w:pPr>
        <w:bidi/>
      </w:pPr>
    </w:pPrDefault>
  </w:docDefaults>
  <w:latentStyles w:defLockedState="0" w:defUIPriority="0" w:defSemiHidden="0" w:defUnhideWhenUsed="0" w:defQFormat="0" w:count="376">
    <w:lsdException w:name="Normal" w:qFormat="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semiHidden="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semiHidden="1" w:uiPriority="22"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lsdException w:name="Smart Hyperlink" w:semiHidden="1" w:uiPriority="99"/>
    <w:lsdException w:name="Hashtag" w:semiHidden="1" w:uiPriority="99"/>
    <w:lsdException w:name="Unresolved Mention" w:semiHidden="1" w:uiPriority="99"/>
    <w:lsdException w:name="Smart Link" w:semiHidden="1" w:uiPriority="99" w:unhideWhenUsed="1"/>
  </w:latentStyles>
  <w:style w:type="paragraph" w:default="1" w:styleId="Normal">
    <w:name w:val="Normal"/>
    <w:qFormat/>
    <w:rsid w:val="00C67B39"/>
    <w:pPr>
      <w:tabs>
        <w:tab w:val="left" w:pos="1247"/>
        <w:tab w:val="left" w:pos="1814"/>
        <w:tab w:val="left" w:pos="2381"/>
        <w:tab w:val="left" w:pos="2948"/>
        <w:tab w:val="left" w:pos="3515"/>
      </w:tabs>
    </w:pPr>
    <w:rPr>
      <w:rFonts w:eastAsia="Times New Roman"/>
    </w:rPr>
  </w:style>
  <w:style w:type="paragraph" w:styleId="Heading1">
    <w:name w:val="heading 1"/>
    <w:basedOn w:val="CH1"/>
    <w:next w:val="Normalnumber"/>
    <w:link w:val="Heading1Char"/>
    <w:rsid w:val="00C67B39"/>
    <w:pPr>
      <w:numPr>
        <w:numId w:val="2"/>
      </w:numPr>
      <w:tabs>
        <w:tab w:val="clear" w:pos="851"/>
        <w:tab w:val="clear" w:pos="1247"/>
        <w:tab w:val="clear" w:pos="4990"/>
      </w:tabs>
      <w:ind w:left="1248" w:right="624" w:hanging="397"/>
      <w:outlineLvl w:val="0"/>
    </w:pPr>
  </w:style>
  <w:style w:type="paragraph" w:styleId="Heading2">
    <w:name w:val="heading 2"/>
    <w:basedOn w:val="CH2"/>
    <w:next w:val="Normalnumber"/>
    <w:link w:val="Heading2Char"/>
    <w:rsid w:val="00C67B39"/>
    <w:pPr>
      <w:numPr>
        <w:numId w:val="3"/>
      </w:numPr>
      <w:tabs>
        <w:tab w:val="clear" w:pos="851"/>
        <w:tab w:val="clear" w:pos="1247"/>
        <w:tab w:val="clear" w:pos="4990"/>
      </w:tabs>
      <w:outlineLvl w:val="1"/>
    </w:pPr>
  </w:style>
  <w:style w:type="paragraph" w:styleId="Heading3">
    <w:name w:val="heading 3"/>
    <w:basedOn w:val="CH3"/>
    <w:next w:val="Normalnumber"/>
    <w:link w:val="Heading3Char"/>
    <w:rsid w:val="00C67B39"/>
    <w:pPr>
      <w:numPr>
        <w:numId w:val="4"/>
      </w:numPr>
      <w:tabs>
        <w:tab w:val="clear" w:pos="851"/>
        <w:tab w:val="clear" w:pos="1247"/>
        <w:tab w:val="clear" w:pos="4990"/>
      </w:tabs>
      <w:outlineLvl w:val="2"/>
    </w:pPr>
  </w:style>
  <w:style w:type="paragraph" w:styleId="Heading4">
    <w:name w:val="heading 4"/>
    <w:basedOn w:val="Normal"/>
    <w:next w:val="Normalnumber"/>
    <w:link w:val="Heading4Char"/>
    <w:rsid w:val="00C67B39"/>
    <w:pPr>
      <w:keepNext/>
      <w:keepLines/>
      <w:numPr>
        <w:ilvl w:val="3"/>
        <w:numId w:val="2"/>
      </w:numPr>
      <w:tabs>
        <w:tab w:val="clear" w:pos="1247"/>
      </w:tabs>
      <w:suppressAutoHyphens/>
      <w:spacing w:before="120"/>
      <w:ind w:left="1248" w:right="624" w:hanging="397"/>
      <w:outlineLvl w:val="3"/>
    </w:pPr>
    <w:rPr>
      <w:b/>
    </w:rPr>
  </w:style>
  <w:style w:type="paragraph" w:styleId="Heading5">
    <w:name w:val="heading 5"/>
    <w:basedOn w:val="CH5"/>
    <w:next w:val="Normalnumber"/>
    <w:link w:val="Heading5Char"/>
    <w:rsid w:val="00C67B39"/>
    <w:pPr>
      <w:numPr>
        <w:numId w:val="5"/>
      </w:numPr>
      <w:tabs>
        <w:tab w:val="clear" w:pos="851"/>
        <w:tab w:val="clear" w:pos="1247"/>
        <w:tab w:val="clear" w:pos="4990"/>
      </w:tabs>
      <w:ind w:left="1208" w:hanging="357"/>
      <w:outlineLvl w:val="4"/>
    </w:pPr>
  </w:style>
  <w:style w:type="paragraph" w:styleId="Heading6">
    <w:name w:val="heading 6"/>
    <w:basedOn w:val="CH5"/>
    <w:next w:val="Normalnumber"/>
    <w:link w:val="Heading6Char"/>
    <w:semiHidden/>
    <w:rsid w:val="00C67B39"/>
    <w:pPr>
      <w:numPr>
        <w:ilvl w:val="5"/>
        <w:numId w:val="2"/>
      </w:numPr>
      <w:tabs>
        <w:tab w:val="clear" w:pos="1247"/>
        <w:tab w:val="clear" w:pos="4990"/>
      </w:tabs>
      <w:outlineLvl w:val="5"/>
    </w:pPr>
    <w:rPr>
      <w:b w:val="0"/>
      <w:sz w:val="24"/>
    </w:rPr>
  </w:style>
  <w:style w:type="paragraph" w:styleId="Heading7">
    <w:name w:val="heading 7"/>
    <w:basedOn w:val="CH5"/>
    <w:next w:val="Normalnumber"/>
    <w:link w:val="Heading7Char"/>
    <w:semiHidden/>
    <w:rsid w:val="00C67B39"/>
    <w:pPr>
      <w:widowControl w:val="0"/>
      <w:numPr>
        <w:ilvl w:val="6"/>
        <w:numId w:val="2"/>
      </w:numPr>
      <w:tabs>
        <w:tab w:val="clear" w:pos="1247"/>
        <w:tab w:val="clear" w:pos="4990"/>
      </w:tabs>
      <w:jc w:val="center"/>
      <w:outlineLvl w:val="6"/>
    </w:pPr>
    <w:rPr>
      <w:snapToGrid w:val="0"/>
      <w:u w:val="single"/>
    </w:rPr>
  </w:style>
  <w:style w:type="paragraph" w:styleId="Heading8">
    <w:name w:val="heading 8"/>
    <w:basedOn w:val="CH5"/>
    <w:next w:val="Normal"/>
    <w:link w:val="Heading8Char"/>
    <w:semiHidden/>
    <w:rsid w:val="00C67B39"/>
    <w:pPr>
      <w:widowControl w:val="0"/>
      <w:numPr>
        <w:ilvl w:val="7"/>
        <w:numId w:val="2"/>
      </w:numPr>
      <w:tabs>
        <w:tab w:val="clear" w:pos="1247"/>
        <w:tab w:val="clear" w:pos="4990"/>
        <w:tab w:val="left" w:pos="-1440"/>
        <w:tab w:val="left" w:pos="-720"/>
      </w:tabs>
      <w:jc w:val="center"/>
      <w:outlineLvl w:val="7"/>
    </w:pPr>
    <w:rPr>
      <w:snapToGrid w:val="0"/>
      <w:u w:val="single"/>
    </w:rPr>
  </w:style>
  <w:style w:type="paragraph" w:styleId="Heading9">
    <w:name w:val="heading 9"/>
    <w:basedOn w:val="Normal"/>
    <w:next w:val="Normal"/>
    <w:link w:val="Heading9Char"/>
    <w:semiHidden/>
    <w:rsid w:val="00C67B39"/>
    <w:pPr>
      <w:keepNext/>
      <w:widowControl w:val="0"/>
      <w:numPr>
        <w:ilvl w:val="8"/>
        <w:numId w:val="2"/>
      </w:numPr>
      <w:tabs>
        <w:tab w:val="clear" w:pos="1247"/>
      </w:tabs>
      <w:suppressAutoHyphens/>
      <w:jc w:val="center"/>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semiHidden/>
    <w:rsid w:val="00C67B39"/>
    <w:rPr>
      <w:rFonts w:ascii="Times New Roman" w:hAnsi="Times New Roman"/>
      <w:b/>
      <w:sz w:val="18"/>
    </w:rPr>
  </w:style>
  <w:style w:type="table" w:customStyle="1" w:styleId="Tabledocright">
    <w:name w:val="Table_doc_right"/>
    <w:basedOn w:val="TableNormal"/>
    <w:rsid w:val="00C67B39"/>
    <w:pPr>
      <w:spacing w:before="40" w:after="40"/>
    </w:pPr>
    <w:rPr>
      <w:sz w:val="18"/>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semiHidden/>
    <w:rsid w:val="00C67B39"/>
    <w:pPr>
      <w:ind w:left="1000"/>
    </w:pPr>
    <w:rPr>
      <w:sz w:val="18"/>
    </w:rPr>
  </w:style>
  <w:style w:type="paragraph" w:styleId="TOC7">
    <w:name w:val="toc 7"/>
    <w:basedOn w:val="Normal"/>
    <w:next w:val="Normal"/>
    <w:autoRedefine/>
    <w:semiHidden/>
    <w:rsid w:val="00C67B39"/>
    <w:pPr>
      <w:ind w:left="1200"/>
    </w:pPr>
    <w:rPr>
      <w:sz w:val="18"/>
    </w:rPr>
  </w:style>
  <w:style w:type="paragraph" w:styleId="TOC8">
    <w:name w:val="toc 8"/>
    <w:basedOn w:val="Normal"/>
    <w:next w:val="Normal"/>
    <w:autoRedefine/>
    <w:semiHidden/>
    <w:rsid w:val="00C67B39"/>
    <w:pPr>
      <w:ind w:left="1400"/>
    </w:pPr>
    <w:rPr>
      <w:sz w:val="18"/>
    </w:rPr>
  </w:style>
  <w:style w:type="paragraph" w:styleId="TOC9">
    <w:name w:val="toc 9"/>
    <w:basedOn w:val="Normal"/>
    <w:next w:val="Normal"/>
    <w:autoRedefine/>
    <w:semiHidden/>
    <w:rsid w:val="00C67B39"/>
    <w:pPr>
      <w:ind w:left="1600"/>
    </w:pPr>
    <w:rPr>
      <w:sz w:val="18"/>
    </w:rPr>
  </w:style>
  <w:style w:type="paragraph" w:customStyle="1" w:styleId="Titlefigure">
    <w:name w:val="Title_figure"/>
    <w:basedOn w:val="Titletable"/>
    <w:next w:val="NormalNonumber"/>
    <w:rsid w:val="00C67B39"/>
    <w:pPr>
      <w:tabs>
        <w:tab w:val="clear" w:pos="4990"/>
      </w:tabs>
    </w:pPr>
  </w:style>
  <w:style w:type="paragraph" w:styleId="TableofFigures">
    <w:name w:val="table of figures"/>
    <w:basedOn w:val="Normal"/>
    <w:next w:val="Normal"/>
    <w:autoRedefine/>
    <w:semiHidden/>
    <w:rsid w:val="00C67B39"/>
    <w:pPr>
      <w:ind w:left="1814" w:hanging="567"/>
    </w:pPr>
  </w:style>
  <w:style w:type="paragraph" w:customStyle="1" w:styleId="CH1">
    <w:name w:val="CH1"/>
    <w:basedOn w:val="Normal-pool"/>
    <w:next w:val="CH2"/>
    <w:qFormat/>
    <w:rsid w:val="00C67B39"/>
    <w:pPr>
      <w:keepNext/>
      <w:keepLines/>
      <w:tabs>
        <w:tab w:val="clear" w:pos="624"/>
        <w:tab w:val="right" w:pos="851"/>
      </w:tabs>
      <w:suppressAutoHyphens/>
      <w:spacing w:before="240" w:after="120"/>
      <w:ind w:left="1247" w:right="284" w:hanging="1247"/>
    </w:pPr>
    <w:rPr>
      <w:b/>
      <w:sz w:val="28"/>
    </w:rPr>
  </w:style>
  <w:style w:type="paragraph" w:customStyle="1" w:styleId="CH2">
    <w:name w:val="CH2"/>
    <w:basedOn w:val="Normal-pool"/>
    <w:next w:val="Normalnumber"/>
    <w:link w:val="CH2Char"/>
    <w:qFormat/>
    <w:rsid w:val="00C67B39"/>
    <w:pPr>
      <w:keepNext/>
      <w:keepLines/>
      <w:tabs>
        <w:tab w:val="clear" w:pos="624"/>
        <w:tab w:val="right" w:pos="851"/>
      </w:tabs>
      <w:suppressAutoHyphens/>
      <w:spacing w:before="240" w:after="120"/>
      <w:ind w:left="1247" w:right="624" w:hanging="1247"/>
    </w:pPr>
    <w:rPr>
      <w:b/>
      <w:sz w:val="24"/>
    </w:rPr>
  </w:style>
  <w:style w:type="paragraph" w:customStyle="1" w:styleId="CH3">
    <w:name w:val="CH3"/>
    <w:basedOn w:val="Normal-pool"/>
    <w:next w:val="Normalnumber"/>
    <w:qFormat/>
    <w:rsid w:val="00C67B39"/>
    <w:pPr>
      <w:keepNext/>
      <w:keepLines/>
      <w:tabs>
        <w:tab w:val="clear" w:pos="624"/>
        <w:tab w:val="right" w:pos="851"/>
      </w:tabs>
      <w:suppressAutoHyphens/>
      <w:spacing w:before="240" w:after="120"/>
      <w:ind w:left="1247" w:right="624" w:hanging="1247"/>
    </w:pPr>
    <w:rPr>
      <w:b/>
    </w:rPr>
  </w:style>
  <w:style w:type="table" w:customStyle="1" w:styleId="Footertable">
    <w:name w:val="Footer_table"/>
    <w:basedOn w:val="TableNormal"/>
    <w:semiHidden/>
    <w:rsid w:val="00C67B39"/>
    <w:rPr>
      <w:rFonts w:ascii="Arial" w:hAnsi="Arial"/>
      <w:sz w:val="16"/>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pool"/>
    <w:next w:val="Normalnumber"/>
    <w:unhideWhenUsed/>
    <w:rsid w:val="00C67B39"/>
    <w:pPr>
      <w:keepNext/>
      <w:keepLines/>
      <w:tabs>
        <w:tab w:val="clear" w:pos="624"/>
        <w:tab w:val="right" w:pos="851"/>
        <w:tab w:val="left" w:pos="4082"/>
      </w:tabs>
      <w:suppressAutoHyphens/>
      <w:spacing w:after="120"/>
      <w:ind w:left="1247" w:right="624" w:hanging="1247"/>
    </w:pPr>
    <w:rPr>
      <w:b/>
    </w:rPr>
  </w:style>
  <w:style w:type="paragraph" w:customStyle="1" w:styleId="Footerpool">
    <w:name w:val="Footer_pool"/>
    <w:basedOn w:val="Normal"/>
    <w:next w:val="Normal"/>
    <w:semiHidden/>
    <w:rsid w:val="00C67B39"/>
    <w:pPr>
      <w:tabs>
        <w:tab w:val="left" w:pos="4321"/>
        <w:tab w:val="right" w:pos="8641"/>
      </w:tabs>
      <w:spacing w:before="60"/>
    </w:pPr>
    <w:rPr>
      <w:b/>
      <w:sz w:val="18"/>
    </w:rPr>
  </w:style>
  <w:style w:type="paragraph" w:customStyle="1" w:styleId="Footer-pool">
    <w:name w:val="Footer-pool"/>
    <w:basedOn w:val="Normal-pool"/>
    <w:next w:val="Normal-pool"/>
    <w:rsid w:val="00C67B39"/>
    <w:pPr>
      <w:tabs>
        <w:tab w:val="right" w:pos="8641"/>
      </w:tabs>
      <w:spacing w:after="120"/>
    </w:pPr>
    <w:rPr>
      <w:b/>
      <w:sz w:val="18"/>
    </w:rPr>
  </w:style>
  <w:style w:type="paragraph" w:customStyle="1" w:styleId="Header-pool">
    <w:name w:val="Header-pool"/>
    <w:basedOn w:val="Normal"/>
    <w:next w:val="Normal"/>
    <w:rsid w:val="00C67B39"/>
    <w:pPr>
      <w:pBdr>
        <w:bottom w:val="single" w:sz="4" w:space="1" w:color="auto"/>
      </w:pBdr>
      <w:tabs>
        <w:tab w:val="right" w:pos="9072"/>
      </w:tabs>
    </w:pPr>
    <w:rPr>
      <w:b/>
      <w:sz w:val="18"/>
    </w:rPr>
  </w:style>
  <w:style w:type="table" w:customStyle="1" w:styleId="AATable">
    <w:name w:val="AA_Table"/>
    <w:basedOn w:val="TableNormal"/>
    <w:semiHidden/>
    <w:rsid w:val="00C67B39"/>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rsid w:val="00C67B39"/>
    <w:pPr>
      <w:keepNext/>
      <w:keepLines/>
      <w:suppressAutoHyphens/>
    </w:pPr>
    <w:rPr>
      <w:b/>
    </w:rPr>
  </w:style>
  <w:style w:type="paragraph" w:customStyle="1" w:styleId="AATitle2">
    <w:name w:val="AA_Title2"/>
    <w:basedOn w:val="AATitle"/>
    <w:rsid w:val="00C67B39"/>
    <w:pPr>
      <w:keepNext w:val="0"/>
      <w:keepLines w:val="0"/>
      <w:tabs>
        <w:tab w:val="clear" w:pos="4990"/>
      </w:tabs>
      <w:spacing w:before="120" w:after="120"/>
    </w:pPr>
  </w:style>
  <w:style w:type="paragraph" w:customStyle="1" w:styleId="BBTitle">
    <w:name w:val="BB_Title"/>
    <w:basedOn w:val="Normal-pool"/>
    <w:link w:val="BBTitleChar"/>
    <w:qFormat/>
    <w:rsid w:val="00C67B39"/>
    <w:pPr>
      <w:keepNext/>
      <w:keepLines/>
      <w:suppressAutoHyphens/>
      <w:spacing w:before="320" w:after="240"/>
      <w:ind w:left="1247" w:right="567"/>
    </w:pPr>
    <w:rPr>
      <w:b/>
      <w:sz w:val="28"/>
    </w:rPr>
  </w:style>
  <w:style w:type="paragraph" w:customStyle="1" w:styleId="CH4">
    <w:name w:val="CH4"/>
    <w:basedOn w:val="Normal-pool"/>
    <w:next w:val="Normalnumber"/>
    <w:link w:val="FooterChar"/>
    <w:rsid w:val="00C67B39"/>
    <w:pPr>
      <w:keepNext/>
      <w:keepLines/>
      <w:tabs>
        <w:tab w:val="clear" w:pos="624"/>
        <w:tab w:val="right" w:pos="851"/>
      </w:tabs>
      <w:suppressAutoHyphens/>
      <w:spacing w:before="120" w:after="120"/>
      <w:ind w:left="1247" w:right="284" w:hanging="1247"/>
    </w:pPr>
    <w:rPr>
      <w:b/>
    </w:rPr>
  </w:style>
  <w:style w:type="paragraph" w:styleId="Header">
    <w:name w:val="header"/>
    <w:basedOn w:val="Normal"/>
    <w:next w:val="Header-pool"/>
    <w:link w:val="HeaderChar"/>
    <w:semiHidden/>
    <w:rsid w:val="00C67B39"/>
    <w:pPr>
      <w:pBdr>
        <w:bottom w:val="single" w:sz="4" w:space="1" w:color="auto"/>
      </w:pBdr>
      <w:tabs>
        <w:tab w:val="center" w:pos="4536"/>
        <w:tab w:val="right" w:pos="9072"/>
      </w:tabs>
    </w:pPr>
    <w:rPr>
      <w:b/>
      <w:sz w:val="18"/>
    </w:rPr>
  </w:style>
  <w:style w:type="character" w:styleId="Hyperlink">
    <w:name w:val="Hyperlink"/>
    <w:basedOn w:val="DefaultParagraphFont"/>
    <w:uiPriority w:val="99"/>
    <w:rsid w:val="00C67B39"/>
    <w:rPr>
      <w:color w:val="0000FF"/>
      <w:u w:val="none"/>
    </w:rPr>
  </w:style>
  <w:style w:type="numbering" w:customStyle="1" w:styleId="Normallist">
    <w:name w:val="Normal_list"/>
    <w:basedOn w:val="NoList"/>
    <w:rsid w:val="00C67B39"/>
    <w:pPr>
      <w:numPr>
        <w:numId w:val="1"/>
      </w:numPr>
    </w:pPr>
  </w:style>
  <w:style w:type="paragraph" w:customStyle="1" w:styleId="NormalNonumber">
    <w:name w:val="Normal_No_number"/>
    <w:basedOn w:val="Normal-pool"/>
    <w:link w:val="NormalNonumberChar"/>
    <w:qFormat/>
    <w:rsid w:val="00C67B39"/>
    <w:pPr>
      <w:spacing w:after="120"/>
      <w:ind w:left="1247"/>
    </w:pPr>
  </w:style>
  <w:style w:type="paragraph" w:customStyle="1" w:styleId="Normalnumber">
    <w:name w:val="Normal_number"/>
    <w:basedOn w:val="Normal"/>
    <w:link w:val="NormalnumberChar"/>
    <w:rsid w:val="00C67B39"/>
    <w:pPr>
      <w:numPr>
        <w:numId w:val="1"/>
      </w:numPr>
      <w:spacing w:after="120"/>
    </w:pPr>
  </w:style>
  <w:style w:type="paragraph" w:customStyle="1" w:styleId="Titletable">
    <w:name w:val="Title_table"/>
    <w:basedOn w:val="Normal-pool"/>
    <w:next w:val="NormalNonumber"/>
    <w:rsid w:val="00C67B39"/>
    <w:pPr>
      <w:keepNext/>
      <w:keepLines/>
      <w:suppressAutoHyphens/>
      <w:spacing w:after="60"/>
      <w:ind w:left="1247"/>
    </w:pPr>
    <w:rPr>
      <w:b/>
    </w:rPr>
  </w:style>
  <w:style w:type="paragraph" w:styleId="TOC1">
    <w:name w:val="toc 1"/>
    <w:basedOn w:val="Normal"/>
    <w:next w:val="Normal"/>
    <w:autoRedefine/>
    <w:uiPriority w:val="39"/>
    <w:unhideWhenUsed/>
    <w:rsid w:val="00C67B39"/>
    <w:pPr>
      <w:tabs>
        <w:tab w:val="right" w:leader="dot" w:pos="9486"/>
      </w:tabs>
      <w:spacing w:before="240"/>
      <w:ind w:left="1984" w:hanging="737"/>
    </w:pPr>
  </w:style>
  <w:style w:type="paragraph" w:styleId="TOC2">
    <w:name w:val="toc 2"/>
    <w:basedOn w:val="Normal"/>
    <w:next w:val="Normal"/>
    <w:uiPriority w:val="39"/>
    <w:unhideWhenUsed/>
    <w:rsid w:val="00C67B39"/>
    <w:pPr>
      <w:tabs>
        <w:tab w:val="right" w:leader="dot" w:pos="9486"/>
      </w:tabs>
      <w:spacing w:before="60"/>
      <w:ind w:left="2608" w:hanging="737"/>
    </w:pPr>
  </w:style>
  <w:style w:type="paragraph" w:styleId="TOC3">
    <w:name w:val="toc 3"/>
    <w:basedOn w:val="Normal"/>
    <w:next w:val="Normal"/>
    <w:uiPriority w:val="39"/>
    <w:unhideWhenUsed/>
    <w:rsid w:val="00C67B39"/>
    <w:pPr>
      <w:tabs>
        <w:tab w:val="right" w:leader="dot" w:pos="9486"/>
      </w:tabs>
      <w:ind w:left="3232" w:hanging="737"/>
    </w:pPr>
  </w:style>
  <w:style w:type="paragraph" w:styleId="TOC4">
    <w:name w:val="toc 4"/>
    <w:basedOn w:val="Normal"/>
    <w:next w:val="Normal"/>
    <w:uiPriority w:val="39"/>
    <w:unhideWhenUsed/>
    <w:rsid w:val="00C67B39"/>
    <w:pPr>
      <w:tabs>
        <w:tab w:val="left" w:pos="1000"/>
        <w:tab w:val="right" w:leader="dot" w:pos="9486"/>
      </w:tabs>
      <w:ind w:left="3856" w:hanging="737"/>
    </w:pPr>
  </w:style>
  <w:style w:type="paragraph" w:styleId="TOC5">
    <w:name w:val="toc 5"/>
    <w:basedOn w:val="Normal"/>
    <w:next w:val="Normal"/>
    <w:uiPriority w:val="39"/>
    <w:rsid w:val="00C67B39"/>
    <w:pPr>
      <w:tabs>
        <w:tab w:val="right" w:leader="dot" w:pos="9486"/>
      </w:tabs>
      <w:ind w:left="4479" w:hanging="737"/>
    </w:pPr>
    <w:rPr>
      <w:sz w:val="18"/>
    </w:rPr>
  </w:style>
  <w:style w:type="paragraph" w:customStyle="1" w:styleId="ZZAnxheader">
    <w:name w:val="ZZ_Anx_header"/>
    <w:basedOn w:val="Normal-pool"/>
    <w:rsid w:val="00C67B39"/>
    <w:rPr>
      <w:b/>
      <w:sz w:val="28"/>
    </w:rPr>
  </w:style>
  <w:style w:type="paragraph" w:customStyle="1" w:styleId="ZZAnxtitle">
    <w:name w:val="ZZ_Anx_title"/>
    <w:basedOn w:val="Normal-pool"/>
    <w:link w:val="ZZAnxtitleChar"/>
    <w:rsid w:val="00C67B39"/>
    <w:pPr>
      <w:spacing w:before="360" w:after="120"/>
      <w:ind w:left="1247"/>
    </w:pPr>
    <w:rPr>
      <w:b/>
      <w:sz w:val="28"/>
    </w:rPr>
  </w:style>
  <w:style w:type="paragraph" w:styleId="NormalWeb">
    <w:name w:val="Normal (Web)"/>
    <w:basedOn w:val="Normal"/>
    <w:uiPriority w:val="99"/>
    <w:semiHidden/>
    <w:unhideWhenUsed/>
    <w:rsid w:val="00C67B39"/>
    <w:pPr>
      <w:spacing w:before="100" w:beforeAutospacing="1" w:after="100" w:afterAutospacing="1"/>
    </w:pPr>
    <w:rPr>
      <w:rFonts w:eastAsiaTheme="minorEastAsia"/>
      <w:sz w:val="24"/>
    </w:rPr>
  </w:style>
  <w:style w:type="paragraph" w:customStyle="1" w:styleId="Normal-pool-Table">
    <w:name w:val="Normal-pool-Table"/>
    <w:basedOn w:val="Normal-pool"/>
    <w:rsid w:val="00C67B39"/>
    <w:pPr>
      <w:spacing w:before="40" w:after="40"/>
    </w:pPr>
    <w:rPr>
      <w:sz w:val="18"/>
    </w:rPr>
  </w:style>
  <w:style w:type="paragraph" w:customStyle="1" w:styleId="Footnote-Text">
    <w:name w:val="Footnote-Text"/>
    <w:basedOn w:val="Normal-pool"/>
    <w:rsid w:val="00C67B39"/>
    <w:pPr>
      <w:spacing w:before="20" w:after="40"/>
      <w:ind w:left="1247"/>
    </w:pPr>
    <w:rPr>
      <w:sz w:val="18"/>
    </w:rPr>
  </w:style>
  <w:style w:type="paragraph" w:customStyle="1" w:styleId="AConvName">
    <w:name w:val="A_ConvName"/>
    <w:basedOn w:val="Normal-pool"/>
    <w:next w:val="Normal-pool"/>
    <w:rsid w:val="00C67B39"/>
    <w:pPr>
      <w:spacing w:before="120" w:after="240"/>
    </w:pPr>
    <w:rPr>
      <w:rFonts w:ascii="Arial" w:hAnsi="Arial"/>
      <w:b/>
      <w:sz w:val="28"/>
    </w:rPr>
  </w:style>
  <w:style w:type="paragraph" w:customStyle="1" w:styleId="ASymbol">
    <w:name w:val="A_Symbol"/>
    <w:basedOn w:val="Normal-pool"/>
    <w:rsid w:val="00C67B39"/>
    <w:pPr>
      <w:tabs>
        <w:tab w:val="clear" w:pos="624"/>
        <w:tab w:val="clear" w:pos="1247"/>
        <w:tab w:val="right" w:pos="2920"/>
      </w:tabs>
    </w:pPr>
    <w:rPr>
      <w:rFonts w:eastAsia="SimSun"/>
    </w:rPr>
  </w:style>
  <w:style w:type="paragraph" w:customStyle="1" w:styleId="AText">
    <w:name w:val="A_Text"/>
    <w:basedOn w:val="Normal-pool"/>
    <w:rsid w:val="00C67B39"/>
    <w:pPr>
      <w:spacing w:before="120"/>
    </w:pPr>
  </w:style>
  <w:style w:type="paragraph" w:customStyle="1" w:styleId="ATwoLetters">
    <w:name w:val="A_TwoLetters"/>
    <w:basedOn w:val="Normal-pool"/>
    <w:next w:val="Normal-pool"/>
    <w:rsid w:val="00C67B39"/>
    <w:pPr>
      <w:tabs>
        <w:tab w:val="clear" w:pos="1247"/>
      </w:tabs>
      <w:jc w:val="right"/>
    </w:pPr>
    <w:rPr>
      <w:rFonts w:ascii="Arial" w:hAnsi="Arial" w:cs="Arial"/>
      <w:b/>
      <w:caps/>
      <w:sz w:val="64"/>
    </w:rPr>
  </w:style>
  <w:style w:type="paragraph" w:customStyle="1" w:styleId="AUnitedNations">
    <w:name w:val="A_United_Nations"/>
    <w:basedOn w:val="Normal-pool"/>
    <w:next w:val="Normal-pool"/>
    <w:rsid w:val="00C67B39"/>
    <w:pPr>
      <w:tabs>
        <w:tab w:val="clear" w:pos="1247"/>
      </w:tabs>
      <w:spacing w:before="20" w:after="20"/>
    </w:pPr>
    <w:rPr>
      <w:rFonts w:ascii="Arial" w:hAnsi="Arial" w:cs="Times New Roman Bold"/>
      <w:b/>
      <w:caps/>
      <w:color w:val="000000" w:themeColor="text1"/>
      <w:sz w:val="27"/>
    </w:rPr>
  </w:style>
  <w:style w:type="paragraph" w:styleId="BalloonText">
    <w:name w:val="Balloon Text"/>
    <w:basedOn w:val="Normal"/>
    <w:link w:val="BalloonTextChar"/>
    <w:unhideWhenUsed/>
    <w:rsid w:val="00C67B39"/>
    <w:rPr>
      <w:rFonts w:ascii="Tahoma" w:hAnsi="Tahoma" w:cs="Tahoma"/>
      <w:sz w:val="16"/>
    </w:rPr>
  </w:style>
  <w:style w:type="character" w:customStyle="1" w:styleId="BalloonTextChar">
    <w:name w:val="Balloon Text Char"/>
    <w:basedOn w:val="DefaultParagraphFont"/>
    <w:link w:val="BalloonText"/>
    <w:rsid w:val="00C67B39"/>
    <w:rPr>
      <w:rFonts w:ascii="Tahoma" w:eastAsia="Times New Roman" w:hAnsi="Tahoma" w:cs="Tahoma"/>
      <w:sz w:val="16"/>
    </w:rPr>
  </w:style>
  <w:style w:type="character" w:styleId="CommentReference">
    <w:name w:val="annotation reference"/>
    <w:basedOn w:val="DefaultParagraphFont"/>
    <w:semiHidden/>
    <w:unhideWhenUsed/>
    <w:rsid w:val="00C67B39"/>
    <w:rPr>
      <w:sz w:val="16"/>
    </w:rPr>
  </w:style>
  <w:style w:type="paragraph" w:styleId="CommentText">
    <w:name w:val="annotation text"/>
    <w:basedOn w:val="Normal"/>
    <w:link w:val="CommentTextChar"/>
    <w:unhideWhenUsed/>
    <w:rsid w:val="00C67B39"/>
  </w:style>
  <w:style w:type="character" w:customStyle="1" w:styleId="CommentTextChar">
    <w:name w:val="Comment Text Char"/>
    <w:basedOn w:val="DefaultParagraphFont"/>
    <w:link w:val="CommentText"/>
    <w:rsid w:val="00C67B39"/>
    <w:rPr>
      <w:rFonts w:eastAsia="Times New Roman"/>
    </w:rPr>
  </w:style>
  <w:style w:type="paragraph" w:styleId="CommentSubject">
    <w:name w:val="annotation subject"/>
    <w:basedOn w:val="CommentText"/>
    <w:next w:val="CommentText"/>
    <w:link w:val="CommentSubjectChar"/>
    <w:semiHidden/>
    <w:unhideWhenUsed/>
    <w:rsid w:val="00C67B39"/>
    <w:rPr>
      <w:b/>
    </w:rPr>
  </w:style>
  <w:style w:type="character" w:customStyle="1" w:styleId="CommentSubjectChar">
    <w:name w:val="Comment Subject Char"/>
    <w:basedOn w:val="CommentTextChar"/>
    <w:link w:val="CommentSubject"/>
    <w:semiHidden/>
    <w:rsid w:val="00C67B39"/>
    <w:rPr>
      <w:rFonts w:eastAsia="Times New Roman"/>
      <w:b/>
    </w:rPr>
  </w:style>
  <w:style w:type="character" w:styleId="FollowedHyperlink">
    <w:name w:val="FollowedHyperlink"/>
    <w:uiPriority w:val="99"/>
    <w:semiHidden/>
    <w:rsid w:val="00C67B39"/>
    <w:rPr>
      <w:color w:val="0000FF"/>
      <w:u w:val="none"/>
    </w:rPr>
  </w:style>
  <w:style w:type="character" w:customStyle="1" w:styleId="FooterChar">
    <w:name w:val="Footer Char"/>
    <w:basedOn w:val="DefaultParagraphFont"/>
    <w:link w:val="CH4"/>
    <w:rsid w:val="00C67B39"/>
    <w:rPr>
      <w:rFonts w:eastAsia="Times New Roman"/>
      <w:b/>
    </w:rPr>
  </w:style>
  <w:style w:type="character" w:customStyle="1" w:styleId="HeaderChar">
    <w:name w:val="Header Char"/>
    <w:basedOn w:val="DefaultParagraphFont"/>
    <w:link w:val="Header"/>
    <w:semiHidden/>
    <w:rsid w:val="00C67B39"/>
    <w:rPr>
      <w:rFonts w:eastAsia="Times New Roman"/>
      <w:b/>
      <w:sz w:val="18"/>
    </w:rPr>
  </w:style>
  <w:style w:type="character" w:customStyle="1" w:styleId="Heading1Char">
    <w:name w:val="Heading 1 Char"/>
    <w:basedOn w:val="DefaultParagraphFont"/>
    <w:link w:val="Heading1"/>
    <w:rsid w:val="00C67B39"/>
    <w:rPr>
      <w:rFonts w:eastAsia="Times New Roman"/>
      <w:b/>
      <w:sz w:val="28"/>
    </w:rPr>
  </w:style>
  <w:style w:type="character" w:customStyle="1" w:styleId="Heading2Char">
    <w:name w:val="Heading 2 Char"/>
    <w:basedOn w:val="DefaultParagraphFont"/>
    <w:link w:val="Heading2"/>
    <w:rsid w:val="00C67B39"/>
    <w:rPr>
      <w:rFonts w:eastAsia="Times New Roman"/>
      <w:b/>
      <w:sz w:val="24"/>
    </w:rPr>
  </w:style>
  <w:style w:type="character" w:customStyle="1" w:styleId="Heading3Char">
    <w:name w:val="Heading 3 Char"/>
    <w:basedOn w:val="DefaultParagraphFont"/>
    <w:link w:val="Heading3"/>
    <w:rsid w:val="00C67B39"/>
    <w:rPr>
      <w:rFonts w:eastAsia="Times New Roman"/>
      <w:b/>
    </w:rPr>
  </w:style>
  <w:style w:type="character" w:customStyle="1" w:styleId="Heading4Char">
    <w:name w:val="Heading 4 Char"/>
    <w:basedOn w:val="DefaultParagraphFont"/>
    <w:link w:val="Heading4"/>
    <w:rsid w:val="00C67B39"/>
    <w:rPr>
      <w:rFonts w:eastAsia="Times New Roman"/>
      <w:b/>
    </w:rPr>
  </w:style>
  <w:style w:type="character" w:customStyle="1" w:styleId="Heading5Char">
    <w:name w:val="Heading 5 Char"/>
    <w:basedOn w:val="DefaultParagraphFont"/>
    <w:link w:val="Heading5"/>
    <w:rsid w:val="00C67B39"/>
    <w:rPr>
      <w:rFonts w:eastAsia="Times New Roman"/>
      <w:b/>
    </w:rPr>
  </w:style>
  <w:style w:type="character" w:customStyle="1" w:styleId="Heading6Char">
    <w:name w:val="Heading 6 Char"/>
    <w:basedOn w:val="DefaultParagraphFont"/>
    <w:link w:val="Heading6"/>
    <w:semiHidden/>
    <w:rsid w:val="00C67B39"/>
    <w:rPr>
      <w:rFonts w:eastAsia="Times New Roman"/>
      <w:sz w:val="24"/>
    </w:rPr>
  </w:style>
  <w:style w:type="character" w:customStyle="1" w:styleId="Heading7Char">
    <w:name w:val="Heading 7 Char"/>
    <w:basedOn w:val="DefaultParagraphFont"/>
    <w:link w:val="Heading7"/>
    <w:semiHidden/>
    <w:rsid w:val="00C67B39"/>
    <w:rPr>
      <w:rFonts w:eastAsia="Times New Roman"/>
      <w:b/>
      <w:snapToGrid w:val="0"/>
      <w:u w:val="single"/>
    </w:rPr>
  </w:style>
  <w:style w:type="character" w:customStyle="1" w:styleId="Heading8Char">
    <w:name w:val="Heading 8 Char"/>
    <w:basedOn w:val="DefaultParagraphFont"/>
    <w:link w:val="Heading8"/>
    <w:semiHidden/>
    <w:rsid w:val="00C67B39"/>
    <w:rPr>
      <w:rFonts w:eastAsia="Times New Roman"/>
      <w:b/>
      <w:snapToGrid w:val="0"/>
      <w:u w:val="single"/>
    </w:rPr>
  </w:style>
  <w:style w:type="character" w:customStyle="1" w:styleId="Heading9Char">
    <w:name w:val="Heading 9 Char"/>
    <w:basedOn w:val="DefaultParagraphFont"/>
    <w:link w:val="Heading9"/>
    <w:semiHidden/>
    <w:rsid w:val="00C67B39"/>
    <w:rPr>
      <w:rFonts w:eastAsia="Times New Roman"/>
      <w:snapToGrid w:val="0"/>
      <w:u w:val="single"/>
    </w:rPr>
  </w:style>
  <w:style w:type="paragraph" w:styleId="ListParagraph">
    <w:name w:val="List Paragraph"/>
    <w:basedOn w:val="Normal"/>
    <w:uiPriority w:val="34"/>
    <w:qFormat/>
    <w:rsid w:val="00C67B39"/>
    <w:pPr>
      <w:ind w:left="720"/>
      <w:contextualSpacing/>
    </w:pPr>
  </w:style>
  <w:style w:type="paragraph" w:styleId="NoSpacing">
    <w:name w:val="No Spacing"/>
    <w:uiPriority w:val="1"/>
    <w:semiHidden/>
    <w:qFormat/>
    <w:rsid w:val="00C67B39"/>
    <w:rPr>
      <w:rFonts w:asciiTheme="minorHAnsi" w:eastAsiaTheme="minorHAnsi" w:hAnsiTheme="minorHAnsi" w:cstheme="minorBidi"/>
      <w:sz w:val="22"/>
    </w:rPr>
  </w:style>
  <w:style w:type="character" w:customStyle="1" w:styleId="NormalnumberChar">
    <w:name w:val="Normal_number Char"/>
    <w:link w:val="Normalnumber"/>
    <w:rsid w:val="00C67B39"/>
    <w:rPr>
      <w:rFonts w:eastAsia="Times New Roman"/>
    </w:rPr>
  </w:style>
  <w:style w:type="character" w:styleId="PlaceholderText">
    <w:name w:val="Placeholder Text"/>
    <w:basedOn w:val="DefaultParagraphFont"/>
    <w:uiPriority w:val="99"/>
    <w:semiHidden/>
    <w:rsid w:val="00C67B39"/>
    <w:rPr>
      <w:color w:val="808080"/>
    </w:rPr>
  </w:style>
  <w:style w:type="table" w:styleId="TableGrid">
    <w:name w:val="Table Grid"/>
    <w:basedOn w:val="TableNormal"/>
    <w:rsid w:val="00C67B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Logo">
    <w:name w:val="A_Logo"/>
    <w:basedOn w:val="Normal-pool"/>
    <w:link w:val="ALogoChar"/>
    <w:rsid w:val="00C67B39"/>
    <w:pPr>
      <w:spacing w:before="120" w:after="240"/>
    </w:pPr>
  </w:style>
  <w:style w:type="character" w:customStyle="1" w:styleId="ALogoChar">
    <w:name w:val="A_Logo Char"/>
    <w:basedOn w:val="DefaultParagraphFont"/>
    <w:link w:val="ALogo"/>
    <w:rsid w:val="00C67B39"/>
    <w:rPr>
      <w:rFonts w:eastAsia="Times New Roman"/>
    </w:rPr>
  </w:style>
  <w:style w:type="paragraph" w:customStyle="1" w:styleId="ASpacer">
    <w:name w:val="A_Spacer"/>
    <w:basedOn w:val="Normal-pool"/>
    <w:link w:val="ASpacerChar"/>
    <w:qFormat/>
    <w:rsid w:val="00C67B39"/>
    <w:rPr>
      <w:sz w:val="2"/>
    </w:rPr>
  </w:style>
  <w:style w:type="character" w:customStyle="1" w:styleId="ASpacerChar">
    <w:name w:val="A_Spacer Char"/>
    <w:basedOn w:val="DefaultParagraphFont"/>
    <w:link w:val="ASpacer"/>
    <w:rsid w:val="00C67B39"/>
    <w:rPr>
      <w:rFonts w:eastAsia="Times New Roman"/>
      <w:sz w:val="2"/>
    </w:rPr>
  </w:style>
  <w:style w:type="paragraph" w:customStyle="1" w:styleId="AATitle1">
    <w:name w:val="AA_Title1"/>
    <w:basedOn w:val="Normal-pool"/>
    <w:rsid w:val="00C67B39"/>
  </w:style>
  <w:style w:type="character" w:styleId="UnresolvedMention">
    <w:name w:val="Unresolved Mention"/>
    <w:basedOn w:val="DefaultParagraphFont"/>
    <w:uiPriority w:val="99"/>
    <w:semiHidden/>
    <w:rsid w:val="00C67B39"/>
    <w:rPr>
      <w:color w:val="605E5C"/>
      <w:shd w:val="clear" w:color="auto" w:fill="E1DFDD"/>
    </w:rPr>
  </w:style>
  <w:style w:type="paragraph" w:customStyle="1" w:styleId="ANormal">
    <w:name w:val="A_Normal"/>
    <w:basedOn w:val="Normal-pool"/>
    <w:rsid w:val="00C67B39"/>
  </w:style>
  <w:style w:type="paragraph" w:customStyle="1" w:styleId="AText0">
    <w:name w:val="A_Text0"/>
    <w:basedOn w:val="AText"/>
    <w:next w:val="AText"/>
    <w:rsid w:val="00C67B39"/>
    <w:pPr>
      <w:tabs>
        <w:tab w:val="clear" w:pos="4990"/>
      </w:tabs>
      <w:spacing w:before="0" w:after="120"/>
    </w:pPr>
  </w:style>
  <w:style w:type="paragraph" w:styleId="Footer">
    <w:name w:val="footer"/>
    <w:basedOn w:val="Normal"/>
    <w:link w:val="FooterChar1"/>
    <w:unhideWhenUsed/>
    <w:rsid w:val="00C67B39"/>
    <w:pPr>
      <w:tabs>
        <w:tab w:val="clear" w:pos="1247"/>
        <w:tab w:val="right" w:pos="8641"/>
      </w:tabs>
    </w:pPr>
    <w:rPr>
      <w:b/>
      <w:sz w:val="18"/>
    </w:rPr>
  </w:style>
  <w:style w:type="character" w:customStyle="1" w:styleId="FooterChar1">
    <w:name w:val="Footer Char1"/>
    <w:basedOn w:val="DefaultParagraphFont"/>
    <w:link w:val="Footer"/>
    <w:rsid w:val="00C67B39"/>
    <w:rPr>
      <w:rFonts w:eastAsia="Times New Roman"/>
      <w:b/>
      <w:sz w:val="18"/>
    </w:rPr>
  </w:style>
  <w:style w:type="paragraph" w:customStyle="1" w:styleId="Normal-pool">
    <w:name w:val="Normal-pool"/>
    <w:link w:val="Normal-poolChar"/>
    <w:qFormat/>
    <w:rsid w:val="00C67B39"/>
    <w:pPr>
      <w:tabs>
        <w:tab w:val="left" w:pos="624"/>
        <w:tab w:val="left" w:pos="1247"/>
        <w:tab w:val="left" w:pos="1871"/>
        <w:tab w:val="left" w:pos="2495"/>
        <w:tab w:val="left" w:pos="3119"/>
        <w:tab w:val="left" w:pos="3742"/>
        <w:tab w:val="left" w:pos="4366"/>
        <w:tab w:val="left" w:pos="4990"/>
      </w:tabs>
    </w:pPr>
    <w:rPr>
      <w:rFonts w:eastAsia="Times New Roman"/>
    </w:rPr>
  </w:style>
  <w:style w:type="paragraph" w:customStyle="1" w:styleId="Footer-jobnumber">
    <w:name w:val="Footer-jobnumber"/>
    <w:basedOn w:val="Normal-pool"/>
    <w:qFormat/>
    <w:rsid w:val="00C67B39"/>
    <w:pPr>
      <w:tabs>
        <w:tab w:val="clear" w:pos="624"/>
        <w:tab w:val="clear" w:pos="1247"/>
        <w:tab w:val="clear" w:pos="1871"/>
        <w:tab w:val="clear" w:pos="3119"/>
        <w:tab w:val="clear" w:pos="3742"/>
        <w:tab w:val="clear" w:pos="4366"/>
        <w:tab w:val="clear" w:pos="4990"/>
      </w:tabs>
    </w:pPr>
  </w:style>
  <w:style w:type="paragraph" w:customStyle="1" w:styleId="Footnote-Separator">
    <w:name w:val="Footnote-Separator"/>
    <w:basedOn w:val="Normal-pool"/>
    <w:next w:val="Normal"/>
    <w:unhideWhenUsed/>
    <w:rsid w:val="00C67B39"/>
    <w:pPr>
      <w:spacing w:before="60"/>
      <w:ind w:left="624"/>
    </w:pPr>
    <w:rPr>
      <w:rFonts w:eastAsiaTheme="minorEastAsia"/>
      <w:sz w:val="18"/>
    </w:rPr>
  </w:style>
  <w:style w:type="paragraph" w:styleId="Bibliography">
    <w:name w:val="Bibliography"/>
    <w:basedOn w:val="Normal"/>
    <w:next w:val="Normal"/>
    <w:uiPriority w:val="37"/>
    <w:semiHidden/>
    <w:rsid w:val="002C0D3E"/>
  </w:style>
  <w:style w:type="paragraph" w:styleId="BlockText">
    <w:name w:val="Block Text"/>
    <w:basedOn w:val="Normal"/>
    <w:semiHidden/>
    <w:unhideWhenUsed/>
    <w:rsid w:val="002C0D3E"/>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color w:val="4F81BD" w:themeColor="accent1"/>
    </w:rPr>
  </w:style>
  <w:style w:type="paragraph" w:styleId="BodyText">
    <w:name w:val="Body Text"/>
    <w:basedOn w:val="Normal"/>
    <w:link w:val="BodyTextChar"/>
    <w:semiHidden/>
    <w:unhideWhenUsed/>
    <w:rsid w:val="002C0D3E"/>
    <w:pPr>
      <w:spacing w:after="120"/>
    </w:pPr>
  </w:style>
  <w:style w:type="character" w:customStyle="1" w:styleId="BodyTextChar">
    <w:name w:val="Body Text Char"/>
    <w:basedOn w:val="DefaultParagraphFont"/>
    <w:link w:val="BodyText"/>
    <w:semiHidden/>
    <w:rsid w:val="002C0D3E"/>
    <w:rPr>
      <w:rFonts w:eastAsia="Times New Roman"/>
    </w:rPr>
  </w:style>
  <w:style w:type="paragraph" w:styleId="BodyText2">
    <w:name w:val="Body Text 2"/>
    <w:basedOn w:val="Normal"/>
    <w:link w:val="BodyText2Char"/>
    <w:semiHidden/>
    <w:unhideWhenUsed/>
    <w:rsid w:val="002C0D3E"/>
    <w:pPr>
      <w:spacing w:after="120" w:line="480" w:lineRule="auto"/>
    </w:pPr>
  </w:style>
  <w:style w:type="character" w:customStyle="1" w:styleId="BodyText2Char">
    <w:name w:val="Body Text 2 Char"/>
    <w:basedOn w:val="DefaultParagraphFont"/>
    <w:link w:val="BodyText2"/>
    <w:semiHidden/>
    <w:rsid w:val="002C0D3E"/>
    <w:rPr>
      <w:rFonts w:eastAsia="Times New Roman"/>
    </w:rPr>
  </w:style>
  <w:style w:type="paragraph" w:styleId="BodyText3">
    <w:name w:val="Body Text 3"/>
    <w:basedOn w:val="Normal"/>
    <w:link w:val="BodyText3Char"/>
    <w:semiHidden/>
    <w:unhideWhenUsed/>
    <w:rsid w:val="002C0D3E"/>
    <w:pPr>
      <w:spacing w:after="120"/>
    </w:pPr>
    <w:rPr>
      <w:sz w:val="16"/>
    </w:rPr>
  </w:style>
  <w:style w:type="character" w:customStyle="1" w:styleId="BodyText3Char">
    <w:name w:val="Body Text 3 Char"/>
    <w:basedOn w:val="DefaultParagraphFont"/>
    <w:link w:val="BodyText3"/>
    <w:semiHidden/>
    <w:rsid w:val="002C0D3E"/>
    <w:rPr>
      <w:rFonts w:eastAsia="Times New Roman"/>
      <w:sz w:val="16"/>
    </w:rPr>
  </w:style>
  <w:style w:type="paragraph" w:styleId="BodyTextFirstIndent">
    <w:name w:val="Body Text First Indent"/>
    <w:basedOn w:val="BodyText"/>
    <w:link w:val="BodyTextFirstIndentChar"/>
    <w:semiHidden/>
    <w:unhideWhenUsed/>
    <w:rsid w:val="002C0D3E"/>
    <w:pPr>
      <w:spacing w:after="0"/>
      <w:ind w:firstLine="360"/>
    </w:pPr>
  </w:style>
  <w:style w:type="character" w:customStyle="1" w:styleId="BodyTextFirstIndentChar">
    <w:name w:val="Body Text First Indent Char"/>
    <w:basedOn w:val="BodyTextChar"/>
    <w:link w:val="BodyTextFirstIndent"/>
    <w:semiHidden/>
    <w:rsid w:val="002C0D3E"/>
    <w:rPr>
      <w:rFonts w:eastAsia="Times New Roman"/>
    </w:rPr>
  </w:style>
  <w:style w:type="paragraph" w:styleId="BodyTextIndent">
    <w:name w:val="Body Text Indent"/>
    <w:basedOn w:val="Normal"/>
    <w:link w:val="BodyTextIndentChar"/>
    <w:semiHidden/>
    <w:unhideWhenUsed/>
    <w:rsid w:val="002C0D3E"/>
    <w:pPr>
      <w:spacing w:after="120"/>
      <w:ind w:left="283"/>
    </w:pPr>
  </w:style>
  <w:style w:type="character" w:customStyle="1" w:styleId="BodyTextIndentChar">
    <w:name w:val="Body Text Indent Char"/>
    <w:basedOn w:val="DefaultParagraphFont"/>
    <w:link w:val="BodyTextIndent"/>
    <w:semiHidden/>
    <w:rsid w:val="002C0D3E"/>
    <w:rPr>
      <w:rFonts w:eastAsia="Times New Roman"/>
    </w:rPr>
  </w:style>
  <w:style w:type="paragraph" w:styleId="BodyTextFirstIndent2">
    <w:name w:val="Body Text First Indent 2"/>
    <w:basedOn w:val="BodyTextIndent"/>
    <w:link w:val="BodyTextFirstIndent2Char"/>
    <w:semiHidden/>
    <w:unhideWhenUsed/>
    <w:rsid w:val="002C0D3E"/>
    <w:pPr>
      <w:spacing w:after="0"/>
      <w:ind w:left="360" w:firstLine="360"/>
    </w:pPr>
  </w:style>
  <w:style w:type="character" w:customStyle="1" w:styleId="BodyTextFirstIndent2Char">
    <w:name w:val="Body Text First Indent 2 Char"/>
    <w:basedOn w:val="BodyTextIndentChar"/>
    <w:link w:val="BodyTextFirstIndent2"/>
    <w:semiHidden/>
    <w:rsid w:val="002C0D3E"/>
    <w:rPr>
      <w:rFonts w:eastAsia="Times New Roman"/>
    </w:rPr>
  </w:style>
  <w:style w:type="paragraph" w:styleId="BodyTextIndent2">
    <w:name w:val="Body Text Indent 2"/>
    <w:basedOn w:val="Normal"/>
    <w:link w:val="BodyTextIndent2Char"/>
    <w:semiHidden/>
    <w:unhideWhenUsed/>
    <w:rsid w:val="002C0D3E"/>
    <w:pPr>
      <w:spacing w:after="120" w:line="480" w:lineRule="auto"/>
      <w:ind w:left="283"/>
    </w:pPr>
  </w:style>
  <w:style w:type="character" w:customStyle="1" w:styleId="BodyTextIndent2Char">
    <w:name w:val="Body Text Indent 2 Char"/>
    <w:basedOn w:val="DefaultParagraphFont"/>
    <w:link w:val="BodyTextIndent2"/>
    <w:semiHidden/>
    <w:rsid w:val="002C0D3E"/>
    <w:rPr>
      <w:rFonts w:eastAsia="Times New Roman"/>
    </w:rPr>
  </w:style>
  <w:style w:type="paragraph" w:styleId="BodyTextIndent3">
    <w:name w:val="Body Text Indent 3"/>
    <w:basedOn w:val="Normal"/>
    <w:link w:val="BodyTextIndent3Char"/>
    <w:semiHidden/>
    <w:unhideWhenUsed/>
    <w:rsid w:val="002C0D3E"/>
    <w:pPr>
      <w:spacing w:after="120"/>
      <w:ind w:left="283"/>
    </w:pPr>
    <w:rPr>
      <w:sz w:val="16"/>
    </w:rPr>
  </w:style>
  <w:style w:type="character" w:customStyle="1" w:styleId="BodyTextIndent3Char">
    <w:name w:val="Body Text Indent 3 Char"/>
    <w:basedOn w:val="DefaultParagraphFont"/>
    <w:link w:val="BodyTextIndent3"/>
    <w:semiHidden/>
    <w:rsid w:val="002C0D3E"/>
    <w:rPr>
      <w:rFonts w:eastAsia="Times New Roman"/>
      <w:sz w:val="16"/>
    </w:rPr>
  </w:style>
  <w:style w:type="character" w:styleId="BookTitle">
    <w:name w:val="Book Title"/>
    <w:basedOn w:val="DefaultParagraphFont"/>
    <w:uiPriority w:val="33"/>
    <w:semiHidden/>
    <w:qFormat/>
    <w:rsid w:val="002C0D3E"/>
    <w:rPr>
      <w:b/>
      <w:i/>
    </w:rPr>
  </w:style>
  <w:style w:type="paragraph" w:styleId="Caption">
    <w:name w:val="caption"/>
    <w:basedOn w:val="Normal"/>
    <w:next w:val="Normal"/>
    <w:semiHidden/>
    <w:unhideWhenUsed/>
    <w:qFormat/>
    <w:rsid w:val="002C0D3E"/>
    <w:pPr>
      <w:spacing w:after="200"/>
    </w:pPr>
    <w:rPr>
      <w:i/>
      <w:color w:val="1F497D" w:themeColor="text2"/>
      <w:sz w:val="18"/>
    </w:rPr>
  </w:style>
  <w:style w:type="paragraph" w:styleId="Closing">
    <w:name w:val="Closing"/>
    <w:basedOn w:val="Normal"/>
    <w:link w:val="ClosingChar"/>
    <w:semiHidden/>
    <w:unhideWhenUsed/>
    <w:rsid w:val="002C0D3E"/>
    <w:pPr>
      <w:ind w:left="4252"/>
    </w:pPr>
  </w:style>
  <w:style w:type="character" w:customStyle="1" w:styleId="ClosingChar">
    <w:name w:val="Closing Char"/>
    <w:basedOn w:val="DefaultParagraphFont"/>
    <w:link w:val="Closing"/>
    <w:semiHidden/>
    <w:rsid w:val="002C0D3E"/>
    <w:rPr>
      <w:rFonts w:eastAsia="Times New Roman"/>
    </w:rPr>
  </w:style>
  <w:style w:type="table" w:styleId="ColorfulGrid">
    <w:name w:val="Colorful Grid"/>
    <w:basedOn w:val="TableNormal"/>
    <w:uiPriority w:val="73"/>
    <w:semiHidden/>
    <w:unhideWhenUsed/>
    <w:rsid w:val="002C0D3E"/>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2C0D3E"/>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2C0D3E"/>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2C0D3E"/>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2C0D3E"/>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2C0D3E"/>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2C0D3E"/>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2C0D3E"/>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2C0D3E"/>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2C0D3E"/>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2C0D3E"/>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2C0D3E"/>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2C0D3E"/>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2C0D3E"/>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2C0D3E"/>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2C0D3E"/>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2C0D3E"/>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2C0D3E"/>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2C0D3E"/>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2C0D3E"/>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2C0D3E"/>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2C0D3E"/>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2C0D3E"/>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2C0D3E"/>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2C0D3E"/>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2C0D3E"/>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2C0D3E"/>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2C0D3E"/>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semiHidden/>
    <w:unhideWhenUsed/>
    <w:rsid w:val="002C0D3E"/>
  </w:style>
  <w:style w:type="character" w:customStyle="1" w:styleId="DateChar">
    <w:name w:val="Date Char"/>
    <w:basedOn w:val="DefaultParagraphFont"/>
    <w:link w:val="Date"/>
    <w:semiHidden/>
    <w:rsid w:val="002C0D3E"/>
    <w:rPr>
      <w:rFonts w:eastAsia="Times New Roman"/>
    </w:rPr>
  </w:style>
  <w:style w:type="paragraph" w:styleId="DocumentMap">
    <w:name w:val="Document Map"/>
    <w:basedOn w:val="Normal"/>
    <w:link w:val="DocumentMapChar"/>
    <w:semiHidden/>
    <w:unhideWhenUsed/>
    <w:rsid w:val="002C0D3E"/>
    <w:rPr>
      <w:rFonts w:ascii="Segoe UI" w:hAnsi="Segoe UI" w:cs="Segoe UI"/>
      <w:sz w:val="16"/>
    </w:rPr>
  </w:style>
  <w:style w:type="character" w:customStyle="1" w:styleId="DocumentMapChar">
    <w:name w:val="Document Map Char"/>
    <w:basedOn w:val="DefaultParagraphFont"/>
    <w:link w:val="DocumentMap"/>
    <w:semiHidden/>
    <w:rsid w:val="002C0D3E"/>
    <w:rPr>
      <w:rFonts w:ascii="Segoe UI" w:eastAsia="Times New Roman" w:hAnsi="Segoe UI" w:cs="Segoe UI"/>
      <w:sz w:val="16"/>
    </w:rPr>
  </w:style>
  <w:style w:type="paragraph" w:styleId="E-mailSignature">
    <w:name w:val="E-mail Signature"/>
    <w:basedOn w:val="Normal"/>
    <w:link w:val="E-mailSignatureChar"/>
    <w:semiHidden/>
    <w:unhideWhenUsed/>
    <w:rsid w:val="002C0D3E"/>
  </w:style>
  <w:style w:type="character" w:customStyle="1" w:styleId="E-mailSignatureChar">
    <w:name w:val="E-mail Signature Char"/>
    <w:basedOn w:val="DefaultParagraphFont"/>
    <w:link w:val="E-mailSignature"/>
    <w:semiHidden/>
    <w:rsid w:val="002C0D3E"/>
    <w:rPr>
      <w:rFonts w:eastAsia="Times New Roman"/>
    </w:rPr>
  </w:style>
  <w:style w:type="character" w:styleId="Emphasis">
    <w:name w:val="Emphasis"/>
    <w:basedOn w:val="DefaultParagraphFont"/>
    <w:semiHidden/>
    <w:qFormat/>
    <w:rsid w:val="002C0D3E"/>
    <w:rPr>
      <w:i/>
    </w:rPr>
  </w:style>
  <w:style w:type="character" w:styleId="EndnoteReference">
    <w:name w:val="endnote reference"/>
    <w:basedOn w:val="DefaultParagraphFont"/>
    <w:semiHidden/>
    <w:unhideWhenUsed/>
    <w:rsid w:val="002C0D3E"/>
    <w:rPr>
      <w:vertAlign w:val="superscript"/>
    </w:rPr>
  </w:style>
  <w:style w:type="paragraph" w:styleId="EndnoteText">
    <w:name w:val="endnote text"/>
    <w:basedOn w:val="Normal"/>
    <w:link w:val="EndnoteTextChar"/>
    <w:semiHidden/>
    <w:unhideWhenUsed/>
    <w:rsid w:val="002C0D3E"/>
  </w:style>
  <w:style w:type="character" w:customStyle="1" w:styleId="EndnoteTextChar">
    <w:name w:val="Endnote Text Char"/>
    <w:basedOn w:val="DefaultParagraphFont"/>
    <w:link w:val="EndnoteText"/>
    <w:semiHidden/>
    <w:rsid w:val="002C0D3E"/>
    <w:rPr>
      <w:rFonts w:eastAsia="Times New Roman"/>
    </w:rPr>
  </w:style>
  <w:style w:type="paragraph" w:styleId="EnvelopeAddress">
    <w:name w:val="envelope address"/>
    <w:basedOn w:val="Normal"/>
    <w:semiHidden/>
    <w:unhideWhenUsed/>
    <w:rsid w:val="002C0D3E"/>
    <w:pPr>
      <w:framePr w:w="7920" w:h="1980" w:hRule="exact" w:hSpace="180" w:wrap="auto" w:hAnchor="page" w:xAlign="center" w:yAlign="bottom"/>
      <w:ind w:left="2880"/>
    </w:pPr>
    <w:rPr>
      <w:rFonts w:asciiTheme="majorHAnsi" w:eastAsiaTheme="majorEastAsia" w:hAnsiTheme="majorHAnsi" w:cstheme="majorBidi"/>
      <w:sz w:val="24"/>
    </w:rPr>
  </w:style>
  <w:style w:type="paragraph" w:styleId="EnvelopeReturn">
    <w:name w:val="envelope return"/>
    <w:basedOn w:val="Normal"/>
    <w:semiHidden/>
    <w:unhideWhenUsed/>
    <w:rsid w:val="002C0D3E"/>
    <w:rPr>
      <w:rFonts w:asciiTheme="majorHAnsi" w:eastAsiaTheme="majorEastAsia" w:hAnsiTheme="majorHAnsi" w:cstheme="majorBidi"/>
    </w:rPr>
  </w:style>
  <w:style w:type="paragraph" w:styleId="FootnoteText">
    <w:name w:val="footnote text"/>
    <w:basedOn w:val="Normal"/>
    <w:link w:val="FootnoteTextChar"/>
    <w:uiPriority w:val="99"/>
    <w:semiHidden/>
    <w:unhideWhenUsed/>
    <w:rsid w:val="002C0D3E"/>
  </w:style>
  <w:style w:type="character" w:customStyle="1" w:styleId="FootnoteTextChar">
    <w:name w:val="Footnote Text Char"/>
    <w:basedOn w:val="DefaultParagraphFont"/>
    <w:link w:val="FootnoteText"/>
    <w:uiPriority w:val="99"/>
    <w:semiHidden/>
    <w:rsid w:val="002C0D3E"/>
    <w:rPr>
      <w:rFonts w:eastAsia="Times New Roman"/>
    </w:rPr>
  </w:style>
  <w:style w:type="table" w:styleId="GridTable1Light">
    <w:name w:val="Grid Table 1 Light"/>
    <w:basedOn w:val="TableNormal"/>
    <w:uiPriority w:val="46"/>
    <w:rsid w:val="002C0D3E"/>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2C0D3E"/>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2C0D3E"/>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2C0D3E"/>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2C0D3E"/>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2C0D3E"/>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2C0D3E"/>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2C0D3E"/>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2C0D3E"/>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2C0D3E"/>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2C0D3E"/>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2C0D3E"/>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2C0D3E"/>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2C0D3E"/>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2C0D3E"/>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2C0D3E"/>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2C0D3E"/>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2C0D3E"/>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2C0D3E"/>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2C0D3E"/>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2C0D3E"/>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2C0D3E"/>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2C0D3E"/>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2C0D3E"/>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2C0D3E"/>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2C0D3E"/>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2C0D3E"/>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2C0D3E"/>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2C0D3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2C0D3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2C0D3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2C0D3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2C0D3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2C0D3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2C0D3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2C0D3E"/>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2C0D3E"/>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2C0D3E"/>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2C0D3E"/>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2C0D3E"/>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2C0D3E"/>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2C0D3E"/>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2C0D3E"/>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2C0D3E"/>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2C0D3E"/>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2C0D3E"/>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2C0D3E"/>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2C0D3E"/>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2C0D3E"/>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rsid w:val="002C0D3E"/>
    <w:rPr>
      <w:color w:val="2B579A"/>
      <w:shd w:val="clear" w:color="auto" w:fill="E1DFDD"/>
    </w:rPr>
  </w:style>
  <w:style w:type="character" w:styleId="HTMLAcronym">
    <w:name w:val="HTML Acronym"/>
    <w:basedOn w:val="DefaultParagraphFont"/>
    <w:semiHidden/>
    <w:unhideWhenUsed/>
    <w:rsid w:val="002C0D3E"/>
  </w:style>
  <w:style w:type="paragraph" w:styleId="HTMLAddress">
    <w:name w:val="HTML Address"/>
    <w:basedOn w:val="Normal"/>
    <w:link w:val="HTMLAddressChar"/>
    <w:semiHidden/>
    <w:unhideWhenUsed/>
    <w:rsid w:val="002C0D3E"/>
    <w:rPr>
      <w:i/>
    </w:rPr>
  </w:style>
  <w:style w:type="character" w:customStyle="1" w:styleId="HTMLAddressChar">
    <w:name w:val="HTML Address Char"/>
    <w:basedOn w:val="DefaultParagraphFont"/>
    <w:link w:val="HTMLAddress"/>
    <w:semiHidden/>
    <w:rsid w:val="002C0D3E"/>
    <w:rPr>
      <w:rFonts w:eastAsia="Times New Roman"/>
      <w:i/>
    </w:rPr>
  </w:style>
  <w:style w:type="character" w:styleId="HTMLCite">
    <w:name w:val="HTML Cite"/>
    <w:basedOn w:val="DefaultParagraphFont"/>
    <w:semiHidden/>
    <w:unhideWhenUsed/>
    <w:rsid w:val="002C0D3E"/>
    <w:rPr>
      <w:i/>
    </w:rPr>
  </w:style>
  <w:style w:type="character" w:styleId="HTMLCode">
    <w:name w:val="HTML Code"/>
    <w:basedOn w:val="DefaultParagraphFont"/>
    <w:semiHidden/>
    <w:unhideWhenUsed/>
    <w:rsid w:val="002C0D3E"/>
    <w:rPr>
      <w:rFonts w:ascii="Consolas" w:hAnsi="Consolas"/>
      <w:sz w:val="20"/>
    </w:rPr>
  </w:style>
  <w:style w:type="character" w:styleId="HTMLDefinition">
    <w:name w:val="HTML Definition"/>
    <w:basedOn w:val="DefaultParagraphFont"/>
    <w:semiHidden/>
    <w:unhideWhenUsed/>
    <w:rsid w:val="002C0D3E"/>
    <w:rPr>
      <w:i/>
    </w:rPr>
  </w:style>
  <w:style w:type="character" w:styleId="HTMLKeyboard">
    <w:name w:val="HTML Keyboard"/>
    <w:basedOn w:val="DefaultParagraphFont"/>
    <w:semiHidden/>
    <w:unhideWhenUsed/>
    <w:rsid w:val="002C0D3E"/>
    <w:rPr>
      <w:rFonts w:ascii="Consolas" w:hAnsi="Consolas"/>
      <w:sz w:val="20"/>
    </w:rPr>
  </w:style>
  <w:style w:type="paragraph" w:styleId="HTMLPreformatted">
    <w:name w:val="HTML Preformatted"/>
    <w:basedOn w:val="Normal"/>
    <w:link w:val="HTMLPreformattedChar"/>
    <w:semiHidden/>
    <w:unhideWhenUsed/>
    <w:rsid w:val="002C0D3E"/>
    <w:rPr>
      <w:rFonts w:ascii="Consolas" w:hAnsi="Consolas"/>
    </w:rPr>
  </w:style>
  <w:style w:type="character" w:customStyle="1" w:styleId="HTMLPreformattedChar">
    <w:name w:val="HTML Preformatted Char"/>
    <w:basedOn w:val="DefaultParagraphFont"/>
    <w:link w:val="HTMLPreformatted"/>
    <w:semiHidden/>
    <w:rsid w:val="002C0D3E"/>
    <w:rPr>
      <w:rFonts w:ascii="Consolas" w:eastAsia="Times New Roman" w:hAnsi="Consolas"/>
    </w:rPr>
  </w:style>
  <w:style w:type="character" w:styleId="HTMLSample">
    <w:name w:val="HTML Sample"/>
    <w:basedOn w:val="DefaultParagraphFont"/>
    <w:semiHidden/>
    <w:unhideWhenUsed/>
    <w:rsid w:val="002C0D3E"/>
    <w:rPr>
      <w:rFonts w:ascii="Consolas" w:hAnsi="Consolas"/>
      <w:sz w:val="24"/>
    </w:rPr>
  </w:style>
  <w:style w:type="character" w:styleId="HTMLTypewriter">
    <w:name w:val="HTML Typewriter"/>
    <w:basedOn w:val="DefaultParagraphFont"/>
    <w:semiHidden/>
    <w:unhideWhenUsed/>
    <w:rsid w:val="002C0D3E"/>
    <w:rPr>
      <w:rFonts w:ascii="Consolas" w:hAnsi="Consolas"/>
      <w:sz w:val="20"/>
    </w:rPr>
  </w:style>
  <w:style w:type="character" w:styleId="HTMLVariable">
    <w:name w:val="HTML Variable"/>
    <w:basedOn w:val="DefaultParagraphFont"/>
    <w:semiHidden/>
    <w:unhideWhenUsed/>
    <w:rsid w:val="002C0D3E"/>
    <w:rPr>
      <w:i/>
    </w:rPr>
  </w:style>
  <w:style w:type="paragraph" w:styleId="Index1">
    <w:name w:val="index 1"/>
    <w:basedOn w:val="Normal"/>
    <w:next w:val="Normal"/>
    <w:autoRedefine/>
    <w:semiHidden/>
    <w:unhideWhenUsed/>
    <w:rsid w:val="002C0D3E"/>
    <w:pPr>
      <w:tabs>
        <w:tab w:val="clear" w:pos="1247"/>
      </w:tabs>
      <w:ind w:left="200" w:hanging="200"/>
    </w:pPr>
  </w:style>
  <w:style w:type="paragraph" w:styleId="Index2">
    <w:name w:val="index 2"/>
    <w:basedOn w:val="Normal"/>
    <w:next w:val="Normal"/>
    <w:autoRedefine/>
    <w:semiHidden/>
    <w:unhideWhenUsed/>
    <w:rsid w:val="002C0D3E"/>
    <w:pPr>
      <w:tabs>
        <w:tab w:val="clear" w:pos="1247"/>
      </w:tabs>
      <w:ind w:left="400" w:hanging="200"/>
    </w:pPr>
  </w:style>
  <w:style w:type="paragraph" w:styleId="Index3">
    <w:name w:val="index 3"/>
    <w:basedOn w:val="Normal"/>
    <w:next w:val="Normal"/>
    <w:autoRedefine/>
    <w:semiHidden/>
    <w:unhideWhenUsed/>
    <w:rsid w:val="002C0D3E"/>
    <w:pPr>
      <w:tabs>
        <w:tab w:val="clear" w:pos="1247"/>
      </w:tabs>
      <w:ind w:left="600" w:hanging="200"/>
    </w:pPr>
  </w:style>
  <w:style w:type="paragraph" w:styleId="Index4">
    <w:name w:val="index 4"/>
    <w:basedOn w:val="Normal"/>
    <w:next w:val="Normal"/>
    <w:autoRedefine/>
    <w:semiHidden/>
    <w:unhideWhenUsed/>
    <w:rsid w:val="002C0D3E"/>
    <w:pPr>
      <w:tabs>
        <w:tab w:val="clear" w:pos="1247"/>
      </w:tabs>
      <w:ind w:left="800" w:hanging="200"/>
    </w:pPr>
  </w:style>
  <w:style w:type="paragraph" w:styleId="Index5">
    <w:name w:val="index 5"/>
    <w:basedOn w:val="Normal"/>
    <w:next w:val="Normal"/>
    <w:autoRedefine/>
    <w:semiHidden/>
    <w:unhideWhenUsed/>
    <w:rsid w:val="002C0D3E"/>
    <w:pPr>
      <w:tabs>
        <w:tab w:val="clear" w:pos="1247"/>
      </w:tabs>
      <w:ind w:left="1000" w:hanging="200"/>
    </w:pPr>
  </w:style>
  <w:style w:type="paragraph" w:styleId="Index6">
    <w:name w:val="index 6"/>
    <w:basedOn w:val="Normal"/>
    <w:next w:val="Normal"/>
    <w:autoRedefine/>
    <w:semiHidden/>
    <w:unhideWhenUsed/>
    <w:rsid w:val="002C0D3E"/>
    <w:pPr>
      <w:tabs>
        <w:tab w:val="clear" w:pos="1247"/>
      </w:tabs>
      <w:ind w:left="1200" w:hanging="200"/>
    </w:pPr>
  </w:style>
  <w:style w:type="paragraph" w:styleId="Index7">
    <w:name w:val="index 7"/>
    <w:basedOn w:val="Normal"/>
    <w:next w:val="Normal"/>
    <w:autoRedefine/>
    <w:semiHidden/>
    <w:unhideWhenUsed/>
    <w:rsid w:val="002C0D3E"/>
    <w:pPr>
      <w:tabs>
        <w:tab w:val="clear" w:pos="1247"/>
      </w:tabs>
      <w:ind w:left="1400" w:hanging="200"/>
    </w:pPr>
  </w:style>
  <w:style w:type="paragraph" w:styleId="Index8">
    <w:name w:val="index 8"/>
    <w:basedOn w:val="Normal"/>
    <w:next w:val="Normal"/>
    <w:autoRedefine/>
    <w:semiHidden/>
    <w:unhideWhenUsed/>
    <w:rsid w:val="002C0D3E"/>
    <w:pPr>
      <w:tabs>
        <w:tab w:val="clear" w:pos="1247"/>
      </w:tabs>
      <w:ind w:left="1600" w:hanging="200"/>
    </w:pPr>
  </w:style>
  <w:style w:type="paragraph" w:styleId="Index9">
    <w:name w:val="index 9"/>
    <w:basedOn w:val="Normal"/>
    <w:next w:val="Normal"/>
    <w:autoRedefine/>
    <w:semiHidden/>
    <w:unhideWhenUsed/>
    <w:rsid w:val="002C0D3E"/>
    <w:pPr>
      <w:tabs>
        <w:tab w:val="clear" w:pos="1247"/>
      </w:tabs>
      <w:ind w:left="1800" w:hanging="200"/>
    </w:pPr>
  </w:style>
  <w:style w:type="paragraph" w:styleId="IndexHeading">
    <w:name w:val="index heading"/>
    <w:basedOn w:val="Normal"/>
    <w:next w:val="Index1"/>
    <w:semiHidden/>
    <w:unhideWhenUsed/>
    <w:rsid w:val="002C0D3E"/>
    <w:rPr>
      <w:rFonts w:asciiTheme="majorHAnsi" w:eastAsiaTheme="majorEastAsia" w:hAnsiTheme="majorHAnsi" w:cstheme="majorBidi"/>
      <w:b/>
    </w:rPr>
  </w:style>
  <w:style w:type="character" w:styleId="IntenseEmphasis">
    <w:name w:val="Intense Emphasis"/>
    <w:basedOn w:val="DefaultParagraphFont"/>
    <w:uiPriority w:val="21"/>
    <w:semiHidden/>
    <w:qFormat/>
    <w:rsid w:val="002C0D3E"/>
    <w:rPr>
      <w:i/>
      <w:color w:val="4F81BD" w:themeColor="accent1"/>
    </w:rPr>
  </w:style>
  <w:style w:type="paragraph" w:styleId="IntenseQuote">
    <w:name w:val="Intense Quote"/>
    <w:basedOn w:val="Normal"/>
    <w:next w:val="Normal"/>
    <w:link w:val="IntenseQuoteChar"/>
    <w:uiPriority w:val="30"/>
    <w:semiHidden/>
    <w:qFormat/>
    <w:rsid w:val="002C0D3E"/>
    <w:pPr>
      <w:pBdr>
        <w:top w:val="single" w:sz="4" w:space="10" w:color="4F81BD" w:themeColor="accent1"/>
        <w:bottom w:val="single" w:sz="4" w:space="10" w:color="4F81BD" w:themeColor="accent1"/>
      </w:pBdr>
      <w:spacing w:before="360" w:after="360"/>
      <w:ind w:left="864" w:right="864"/>
      <w:jc w:val="center"/>
    </w:pPr>
    <w:rPr>
      <w:i/>
      <w:color w:val="4F81BD" w:themeColor="accent1"/>
    </w:rPr>
  </w:style>
  <w:style w:type="character" w:customStyle="1" w:styleId="IntenseQuoteChar">
    <w:name w:val="Intense Quote Char"/>
    <w:basedOn w:val="DefaultParagraphFont"/>
    <w:link w:val="IntenseQuote"/>
    <w:uiPriority w:val="30"/>
    <w:semiHidden/>
    <w:rsid w:val="002C0D3E"/>
    <w:rPr>
      <w:rFonts w:eastAsia="Times New Roman"/>
      <w:i/>
      <w:color w:val="4F81BD" w:themeColor="accent1"/>
    </w:rPr>
  </w:style>
  <w:style w:type="character" w:styleId="IntenseReference">
    <w:name w:val="Intense Reference"/>
    <w:basedOn w:val="DefaultParagraphFont"/>
    <w:uiPriority w:val="32"/>
    <w:semiHidden/>
    <w:qFormat/>
    <w:rsid w:val="002C0D3E"/>
    <w:rPr>
      <w:b/>
      <w:smallCaps/>
      <w:color w:val="4F81BD" w:themeColor="accent1"/>
    </w:rPr>
  </w:style>
  <w:style w:type="table" w:styleId="LightGrid">
    <w:name w:val="Light Grid"/>
    <w:basedOn w:val="TableNormal"/>
    <w:uiPriority w:val="62"/>
    <w:semiHidden/>
    <w:unhideWhenUsed/>
    <w:rsid w:val="002C0D3E"/>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2C0D3E"/>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2C0D3E"/>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2C0D3E"/>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2C0D3E"/>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2C0D3E"/>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2C0D3E"/>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2C0D3E"/>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2C0D3E"/>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2C0D3E"/>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2C0D3E"/>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2C0D3E"/>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2C0D3E"/>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2C0D3E"/>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2C0D3E"/>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2C0D3E"/>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2C0D3E"/>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2C0D3E"/>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2C0D3E"/>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2C0D3E"/>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2C0D3E"/>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semiHidden/>
    <w:unhideWhenUsed/>
    <w:rsid w:val="002C0D3E"/>
  </w:style>
  <w:style w:type="paragraph" w:styleId="List">
    <w:name w:val="List"/>
    <w:basedOn w:val="Normal"/>
    <w:semiHidden/>
    <w:unhideWhenUsed/>
    <w:rsid w:val="002C0D3E"/>
    <w:pPr>
      <w:ind w:left="283" w:hanging="283"/>
      <w:contextualSpacing/>
    </w:pPr>
  </w:style>
  <w:style w:type="paragraph" w:styleId="List2">
    <w:name w:val="List 2"/>
    <w:basedOn w:val="Normal"/>
    <w:semiHidden/>
    <w:unhideWhenUsed/>
    <w:rsid w:val="002C0D3E"/>
    <w:pPr>
      <w:ind w:left="566" w:hanging="283"/>
      <w:contextualSpacing/>
    </w:pPr>
  </w:style>
  <w:style w:type="paragraph" w:styleId="List3">
    <w:name w:val="List 3"/>
    <w:basedOn w:val="Normal"/>
    <w:semiHidden/>
    <w:unhideWhenUsed/>
    <w:rsid w:val="002C0D3E"/>
    <w:pPr>
      <w:ind w:left="849" w:hanging="283"/>
      <w:contextualSpacing/>
    </w:pPr>
  </w:style>
  <w:style w:type="paragraph" w:styleId="List4">
    <w:name w:val="List 4"/>
    <w:basedOn w:val="Normal"/>
    <w:semiHidden/>
    <w:unhideWhenUsed/>
    <w:rsid w:val="002C0D3E"/>
    <w:pPr>
      <w:ind w:left="1132" w:hanging="283"/>
      <w:contextualSpacing/>
    </w:pPr>
  </w:style>
  <w:style w:type="paragraph" w:styleId="List5">
    <w:name w:val="List 5"/>
    <w:basedOn w:val="Normal"/>
    <w:semiHidden/>
    <w:unhideWhenUsed/>
    <w:rsid w:val="002C0D3E"/>
    <w:pPr>
      <w:ind w:left="1415" w:hanging="283"/>
      <w:contextualSpacing/>
    </w:pPr>
  </w:style>
  <w:style w:type="paragraph" w:styleId="ListBullet">
    <w:name w:val="List Bullet"/>
    <w:basedOn w:val="Normal"/>
    <w:semiHidden/>
    <w:rsid w:val="002C0D3E"/>
    <w:pPr>
      <w:numPr>
        <w:numId w:val="6"/>
      </w:numPr>
      <w:contextualSpacing/>
    </w:pPr>
  </w:style>
  <w:style w:type="paragraph" w:styleId="ListBullet2">
    <w:name w:val="List Bullet 2"/>
    <w:basedOn w:val="Normal"/>
    <w:semiHidden/>
    <w:unhideWhenUsed/>
    <w:rsid w:val="002C0D3E"/>
    <w:pPr>
      <w:numPr>
        <w:numId w:val="7"/>
      </w:numPr>
      <w:contextualSpacing/>
    </w:pPr>
  </w:style>
  <w:style w:type="paragraph" w:styleId="ListBullet3">
    <w:name w:val="List Bullet 3"/>
    <w:basedOn w:val="Normal"/>
    <w:semiHidden/>
    <w:unhideWhenUsed/>
    <w:rsid w:val="002C0D3E"/>
    <w:pPr>
      <w:numPr>
        <w:numId w:val="8"/>
      </w:numPr>
      <w:contextualSpacing/>
    </w:pPr>
  </w:style>
  <w:style w:type="paragraph" w:styleId="ListBullet4">
    <w:name w:val="List Bullet 4"/>
    <w:basedOn w:val="Normal"/>
    <w:semiHidden/>
    <w:unhideWhenUsed/>
    <w:rsid w:val="002C0D3E"/>
    <w:pPr>
      <w:numPr>
        <w:numId w:val="9"/>
      </w:numPr>
      <w:contextualSpacing/>
    </w:pPr>
  </w:style>
  <w:style w:type="paragraph" w:styleId="ListBullet5">
    <w:name w:val="List Bullet 5"/>
    <w:basedOn w:val="Normal"/>
    <w:semiHidden/>
    <w:unhideWhenUsed/>
    <w:rsid w:val="002C0D3E"/>
    <w:pPr>
      <w:numPr>
        <w:numId w:val="10"/>
      </w:numPr>
      <w:contextualSpacing/>
    </w:pPr>
  </w:style>
  <w:style w:type="paragraph" w:styleId="ListContinue">
    <w:name w:val="List Continue"/>
    <w:basedOn w:val="Normal"/>
    <w:semiHidden/>
    <w:unhideWhenUsed/>
    <w:rsid w:val="002C0D3E"/>
    <w:pPr>
      <w:spacing w:after="120"/>
      <w:ind w:left="283"/>
      <w:contextualSpacing/>
    </w:pPr>
  </w:style>
  <w:style w:type="paragraph" w:styleId="ListContinue2">
    <w:name w:val="List Continue 2"/>
    <w:basedOn w:val="Normal"/>
    <w:semiHidden/>
    <w:unhideWhenUsed/>
    <w:rsid w:val="002C0D3E"/>
    <w:pPr>
      <w:spacing w:after="120"/>
      <w:ind w:left="566"/>
      <w:contextualSpacing/>
    </w:pPr>
  </w:style>
  <w:style w:type="paragraph" w:styleId="ListContinue3">
    <w:name w:val="List Continue 3"/>
    <w:basedOn w:val="Normal"/>
    <w:semiHidden/>
    <w:rsid w:val="002C0D3E"/>
    <w:pPr>
      <w:spacing w:after="120"/>
      <w:ind w:left="849"/>
      <w:contextualSpacing/>
    </w:pPr>
  </w:style>
  <w:style w:type="paragraph" w:styleId="ListContinue4">
    <w:name w:val="List Continue 4"/>
    <w:basedOn w:val="Normal"/>
    <w:semiHidden/>
    <w:rsid w:val="002C0D3E"/>
    <w:pPr>
      <w:spacing w:after="120"/>
      <w:ind w:left="1132"/>
      <w:contextualSpacing/>
    </w:pPr>
  </w:style>
  <w:style w:type="paragraph" w:styleId="ListContinue5">
    <w:name w:val="List Continue 5"/>
    <w:basedOn w:val="Normal"/>
    <w:semiHidden/>
    <w:rsid w:val="002C0D3E"/>
    <w:pPr>
      <w:spacing w:after="120"/>
      <w:ind w:left="1415"/>
      <w:contextualSpacing/>
    </w:pPr>
  </w:style>
  <w:style w:type="paragraph" w:styleId="ListNumber">
    <w:name w:val="List Number"/>
    <w:basedOn w:val="Normal"/>
    <w:semiHidden/>
    <w:rsid w:val="002C0D3E"/>
    <w:pPr>
      <w:numPr>
        <w:numId w:val="11"/>
      </w:numPr>
      <w:contextualSpacing/>
    </w:pPr>
  </w:style>
  <w:style w:type="paragraph" w:styleId="ListNumber2">
    <w:name w:val="List Number 2"/>
    <w:basedOn w:val="Normal"/>
    <w:semiHidden/>
    <w:unhideWhenUsed/>
    <w:rsid w:val="002C0D3E"/>
    <w:pPr>
      <w:numPr>
        <w:numId w:val="12"/>
      </w:numPr>
      <w:contextualSpacing/>
    </w:pPr>
  </w:style>
  <w:style w:type="paragraph" w:styleId="ListNumber3">
    <w:name w:val="List Number 3"/>
    <w:basedOn w:val="Normal"/>
    <w:semiHidden/>
    <w:unhideWhenUsed/>
    <w:rsid w:val="002C0D3E"/>
    <w:pPr>
      <w:numPr>
        <w:numId w:val="13"/>
      </w:numPr>
      <w:contextualSpacing/>
    </w:pPr>
  </w:style>
  <w:style w:type="paragraph" w:styleId="ListNumber4">
    <w:name w:val="List Number 4"/>
    <w:basedOn w:val="Normal"/>
    <w:semiHidden/>
    <w:unhideWhenUsed/>
    <w:rsid w:val="002C0D3E"/>
    <w:pPr>
      <w:numPr>
        <w:numId w:val="14"/>
      </w:numPr>
      <w:contextualSpacing/>
    </w:pPr>
  </w:style>
  <w:style w:type="paragraph" w:styleId="ListNumber5">
    <w:name w:val="List Number 5"/>
    <w:basedOn w:val="Normal"/>
    <w:semiHidden/>
    <w:unhideWhenUsed/>
    <w:rsid w:val="002C0D3E"/>
    <w:pPr>
      <w:numPr>
        <w:numId w:val="15"/>
      </w:numPr>
      <w:contextualSpacing/>
    </w:pPr>
  </w:style>
  <w:style w:type="table" w:styleId="ListTable1Light">
    <w:name w:val="List Table 1 Light"/>
    <w:basedOn w:val="TableNormal"/>
    <w:uiPriority w:val="46"/>
    <w:rsid w:val="002C0D3E"/>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2C0D3E"/>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2C0D3E"/>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2C0D3E"/>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2C0D3E"/>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2C0D3E"/>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2C0D3E"/>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2C0D3E"/>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2C0D3E"/>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2C0D3E"/>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2C0D3E"/>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2C0D3E"/>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2C0D3E"/>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2C0D3E"/>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2C0D3E"/>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2C0D3E"/>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2C0D3E"/>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2C0D3E"/>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2C0D3E"/>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2C0D3E"/>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2C0D3E"/>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2C0D3E"/>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2C0D3E"/>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2C0D3E"/>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2C0D3E"/>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2C0D3E"/>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2C0D3E"/>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2C0D3E"/>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2C0D3E"/>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2C0D3E"/>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2C0D3E"/>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2C0D3E"/>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2C0D3E"/>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2C0D3E"/>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2C0D3E"/>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2C0D3E"/>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2C0D3E"/>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2C0D3E"/>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2C0D3E"/>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2C0D3E"/>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2C0D3E"/>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2C0D3E"/>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2C0D3E"/>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2C0D3E"/>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2C0D3E"/>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2C0D3E"/>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2C0D3E"/>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2C0D3E"/>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2C0D3E"/>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semiHidden/>
    <w:rsid w:val="002C0D3E"/>
    <w:pPr>
      <w:tabs>
        <w:tab w:val="left" w:pos="480"/>
        <w:tab w:val="left" w:pos="960"/>
        <w:tab w:val="left" w:pos="1440"/>
        <w:tab w:val="left" w:pos="1920"/>
        <w:tab w:val="left" w:pos="2400"/>
        <w:tab w:val="left" w:pos="2880"/>
        <w:tab w:val="left" w:pos="3360"/>
        <w:tab w:val="left" w:pos="3840"/>
        <w:tab w:val="left" w:pos="4320"/>
      </w:tabs>
      <w:adjustRightInd w:val="0"/>
      <w:snapToGrid w:val="0"/>
    </w:pPr>
    <w:rPr>
      <w:rFonts w:ascii="Consolas" w:eastAsia="Times New Roman" w:hAnsi="Consolas"/>
    </w:rPr>
  </w:style>
  <w:style w:type="character" w:customStyle="1" w:styleId="MacroTextChar">
    <w:name w:val="Macro Text Char"/>
    <w:basedOn w:val="DefaultParagraphFont"/>
    <w:link w:val="MacroText"/>
    <w:semiHidden/>
    <w:rsid w:val="002C0D3E"/>
    <w:rPr>
      <w:rFonts w:ascii="Consolas" w:eastAsia="Times New Roman" w:hAnsi="Consolas"/>
    </w:rPr>
  </w:style>
  <w:style w:type="table" w:styleId="MediumGrid1">
    <w:name w:val="Medium Grid 1"/>
    <w:basedOn w:val="TableNormal"/>
    <w:uiPriority w:val="67"/>
    <w:semiHidden/>
    <w:unhideWhenUsed/>
    <w:rsid w:val="002C0D3E"/>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2C0D3E"/>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2C0D3E"/>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2C0D3E"/>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2C0D3E"/>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2C0D3E"/>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2C0D3E"/>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2C0D3E"/>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2C0D3E"/>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2C0D3E"/>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2C0D3E"/>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2C0D3E"/>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2C0D3E"/>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2C0D3E"/>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2C0D3E"/>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2C0D3E"/>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2C0D3E"/>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2C0D3E"/>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2C0D3E"/>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2C0D3E"/>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2C0D3E"/>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2C0D3E"/>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2C0D3E"/>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2C0D3E"/>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2C0D3E"/>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2C0D3E"/>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2C0D3E"/>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2C0D3E"/>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2C0D3E"/>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2C0D3E"/>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2C0D3E"/>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2C0D3E"/>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2C0D3E"/>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2C0D3E"/>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2C0D3E"/>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2C0D3E"/>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2C0D3E"/>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2C0D3E"/>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2C0D3E"/>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2C0D3E"/>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2C0D3E"/>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2C0D3E"/>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2C0D3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2C0D3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2C0D3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2C0D3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2C0D3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2C0D3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2C0D3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rsid w:val="002C0D3E"/>
    <w:rPr>
      <w:color w:val="2B579A"/>
      <w:shd w:val="clear" w:color="auto" w:fill="E1DFDD"/>
    </w:rPr>
  </w:style>
  <w:style w:type="paragraph" w:styleId="MessageHeader">
    <w:name w:val="Message Header"/>
    <w:basedOn w:val="Normal"/>
    <w:link w:val="MessageHeaderChar"/>
    <w:semiHidden/>
    <w:rsid w:val="002C0D3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rPr>
  </w:style>
  <w:style w:type="character" w:customStyle="1" w:styleId="MessageHeaderChar">
    <w:name w:val="Message Header Char"/>
    <w:basedOn w:val="DefaultParagraphFont"/>
    <w:link w:val="MessageHeader"/>
    <w:semiHidden/>
    <w:rsid w:val="002C0D3E"/>
    <w:rPr>
      <w:rFonts w:asciiTheme="majorHAnsi" w:eastAsiaTheme="majorEastAsia" w:hAnsiTheme="majorHAnsi" w:cstheme="majorBidi"/>
      <w:sz w:val="24"/>
      <w:shd w:val="pct20" w:color="auto" w:fill="auto"/>
    </w:rPr>
  </w:style>
  <w:style w:type="paragraph" w:styleId="NormalIndent">
    <w:name w:val="Normal Indent"/>
    <w:basedOn w:val="Normal"/>
    <w:semiHidden/>
    <w:unhideWhenUsed/>
    <w:rsid w:val="002C0D3E"/>
    <w:pPr>
      <w:ind w:left="720"/>
    </w:pPr>
  </w:style>
  <w:style w:type="paragraph" w:styleId="NoteHeading">
    <w:name w:val="Note Heading"/>
    <w:basedOn w:val="Normal"/>
    <w:next w:val="Normal"/>
    <w:link w:val="NoteHeadingChar"/>
    <w:semiHidden/>
    <w:unhideWhenUsed/>
    <w:rsid w:val="002C0D3E"/>
  </w:style>
  <w:style w:type="character" w:customStyle="1" w:styleId="NoteHeadingChar">
    <w:name w:val="Note Heading Char"/>
    <w:basedOn w:val="DefaultParagraphFont"/>
    <w:link w:val="NoteHeading"/>
    <w:semiHidden/>
    <w:rsid w:val="002C0D3E"/>
    <w:rPr>
      <w:rFonts w:eastAsia="Times New Roman"/>
    </w:rPr>
  </w:style>
  <w:style w:type="table" w:styleId="PlainTable1">
    <w:name w:val="Plain Table 1"/>
    <w:basedOn w:val="TableNormal"/>
    <w:uiPriority w:val="41"/>
    <w:rsid w:val="002C0D3E"/>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2C0D3E"/>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2C0D3E"/>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2C0D3E"/>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2C0D3E"/>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semiHidden/>
    <w:unhideWhenUsed/>
    <w:rsid w:val="002C0D3E"/>
    <w:rPr>
      <w:rFonts w:ascii="Consolas" w:hAnsi="Consolas"/>
      <w:sz w:val="21"/>
    </w:rPr>
  </w:style>
  <w:style w:type="character" w:customStyle="1" w:styleId="PlainTextChar">
    <w:name w:val="Plain Text Char"/>
    <w:basedOn w:val="DefaultParagraphFont"/>
    <w:link w:val="PlainText"/>
    <w:semiHidden/>
    <w:rsid w:val="002C0D3E"/>
    <w:rPr>
      <w:rFonts w:ascii="Consolas" w:eastAsia="Times New Roman" w:hAnsi="Consolas"/>
      <w:sz w:val="21"/>
    </w:rPr>
  </w:style>
  <w:style w:type="paragraph" w:styleId="Quote">
    <w:name w:val="Quote"/>
    <w:basedOn w:val="Normal"/>
    <w:next w:val="Normal"/>
    <w:link w:val="QuoteChar"/>
    <w:uiPriority w:val="29"/>
    <w:semiHidden/>
    <w:qFormat/>
    <w:rsid w:val="002C0D3E"/>
    <w:pPr>
      <w:spacing w:before="200" w:after="160"/>
      <w:ind w:left="864" w:right="864"/>
      <w:jc w:val="center"/>
    </w:pPr>
    <w:rPr>
      <w:i/>
      <w:color w:val="404040" w:themeColor="text1" w:themeTint="BF"/>
    </w:rPr>
  </w:style>
  <w:style w:type="character" w:customStyle="1" w:styleId="QuoteChar">
    <w:name w:val="Quote Char"/>
    <w:basedOn w:val="DefaultParagraphFont"/>
    <w:link w:val="Quote"/>
    <w:uiPriority w:val="29"/>
    <w:semiHidden/>
    <w:rsid w:val="002C0D3E"/>
    <w:rPr>
      <w:rFonts w:eastAsia="Times New Roman"/>
      <w:i/>
      <w:color w:val="404040" w:themeColor="text1" w:themeTint="BF"/>
    </w:rPr>
  </w:style>
  <w:style w:type="paragraph" w:styleId="Salutation">
    <w:name w:val="Salutation"/>
    <w:basedOn w:val="Normal"/>
    <w:next w:val="Normal"/>
    <w:link w:val="SalutationChar"/>
    <w:semiHidden/>
    <w:unhideWhenUsed/>
    <w:rsid w:val="002C0D3E"/>
  </w:style>
  <w:style w:type="character" w:customStyle="1" w:styleId="SalutationChar">
    <w:name w:val="Salutation Char"/>
    <w:basedOn w:val="DefaultParagraphFont"/>
    <w:link w:val="Salutation"/>
    <w:semiHidden/>
    <w:rsid w:val="002C0D3E"/>
    <w:rPr>
      <w:rFonts w:eastAsia="Times New Roman"/>
    </w:rPr>
  </w:style>
  <w:style w:type="paragraph" w:styleId="Signature">
    <w:name w:val="Signature"/>
    <w:basedOn w:val="Normal"/>
    <w:link w:val="SignatureChar"/>
    <w:semiHidden/>
    <w:unhideWhenUsed/>
    <w:rsid w:val="002C0D3E"/>
    <w:pPr>
      <w:ind w:left="4252"/>
    </w:pPr>
  </w:style>
  <w:style w:type="character" w:customStyle="1" w:styleId="SignatureChar">
    <w:name w:val="Signature Char"/>
    <w:basedOn w:val="DefaultParagraphFont"/>
    <w:link w:val="Signature"/>
    <w:semiHidden/>
    <w:rsid w:val="002C0D3E"/>
    <w:rPr>
      <w:rFonts w:eastAsia="Times New Roman"/>
    </w:rPr>
  </w:style>
  <w:style w:type="character" w:styleId="SmartHyperlink">
    <w:name w:val="Smart Hyperlink"/>
    <w:basedOn w:val="DefaultParagraphFont"/>
    <w:uiPriority w:val="99"/>
    <w:semiHidden/>
    <w:rsid w:val="002C0D3E"/>
    <w:rPr>
      <w:u w:val="dotted"/>
    </w:rPr>
  </w:style>
  <w:style w:type="character" w:styleId="SmartLink">
    <w:name w:val="Smart Link"/>
    <w:basedOn w:val="DefaultParagraphFont"/>
    <w:uiPriority w:val="99"/>
    <w:semiHidden/>
    <w:unhideWhenUsed/>
    <w:rsid w:val="002C0D3E"/>
    <w:rPr>
      <w:color w:val="0000FF"/>
      <w:u w:val="single"/>
      <w:shd w:val="clear" w:color="auto" w:fill="F3F2F1"/>
    </w:rPr>
  </w:style>
  <w:style w:type="character" w:styleId="Strong">
    <w:name w:val="Strong"/>
    <w:basedOn w:val="DefaultParagraphFont"/>
    <w:uiPriority w:val="22"/>
    <w:qFormat/>
    <w:rsid w:val="002C0D3E"/>
    <w:rPr>
      <w:b/>
    </w:rPr>
  </w:style>
  <w:style w:type="paragraph" w:styleId="Subtitle">
    <w:name w:val="Subtitle"/>
    <w:basedOn w:val="Normal"/>
    <w:next w:val="Normal"/>
    <w:link w:val="SubtitleChar"/>
    <w:semiHidden/>
    <w:qFormat/>
    <w:rsid w:val="002C0D3E"/>
    <w:pPr>
      <w:numPr>
        <w:ilvl w:val="1"/>
      </w:numPr>
      <w:spacing w:after="160"/>
    </w:pPr>
    <w:rPr>
      <w:rFonts w:asciiTheme="minorHAnsi" w:eastAsiaTheme="minorEastAsia" w:hAnsiTheme="minorHAnsi" w:cstheme="minorBidi"/>
      <w:color w:val="5A5A5A" w:themeColor="text1" w:themeTint="A5"/>
      <w:sz w:val="22"/>
    </w:rPr>
  </w:style>
  <w:style w:type="character" w:customStyle="1" w:styleId="SubtitleChar">
    <w:name w:val="Subtitle Char"/>
    <w:basedOn w:val="DefaultParagraphFont"/>
    <w:link w:val="Subtitle"/>
    <w:semiHidden/>
    <w:rsid w:val="002C0D3E"/>
    <w:rPr>
      <w:rFonts w:asciiTheme="minorHAnsi" w:eastAsiaTheme="minorEastAsia" w:hAnsiTheme="minorHAnsi" w:cstheme="minorBidi"/>
      <w:color w:val="5A5A5A" w:themeColor="text1" w:themeTint="A5"/>
      <w:sz w:val="22"/>
    </w:rPr>
  </w:style>
  <w:style w:type="character" w:styleId="SubtleEmphasis">
    <w:name w:val="Subtle Emphasis"/>
    <w:basedOn w:val="DefaultParagraphFont"/>
    <w:uiPriority w:val="19"/>
    <w:semiHidden/>
    <w:qFormat/>
    <w:rsid w:val="002C0D3E"/>
    <w:rPr>
      <w:i/>
      <w:color w:val="404040" w:themeColor="text1" w:themeTint="BF"/>
    </w:rPr>
  </w:style>
  <w:style w:type="character" w:styleId="SubtleReference">
    <w:name w:val="Subtle Reference"/>
    <w:basedOn w:val="DefaultParagraphFont"/>
    <w:uiPriority w:val="31"/>
    <w:semiHidden/>
    <w:qFormat/>
    <w:rsid w:val="002C0D3E"/>
    <w:rPr>
      <w:smallCaps/>
      <w:color w:val="5A5A5A" w:themeColor="text1" w:themeTint="A5"/>
    </w:rPr>
  </w:style>
  <w:style w:type="table" w:styleId="Table3Deffects1">
    <w:name w:val="Table 3D effects 1"/>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rPr>
      <w:b/>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rPr>
      <w:b/>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rPr>
      <w:b/>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rPr>
      <w: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2C0D3E"/>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semiHidden/>
    <w:unhideWhenUsed/>
    <w:rsid w:val="002C0D3E"/>
    <w:pPr>
      <w:tabs>
        <w:tab w:val="clear" w:pos="1247"/>
      </w:tabs>
      <w:ind w:left="200" w:hanging="200"/>
    </w:pPr>
  </w:style>
  <w:style w:type="table" w:styleId="TableProfessional">
    <w:name w:val="Table Professional"/>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semiHidden/>
    <w:qFormat/>
    <w:rsid w:val="002C0D3E"/>
    <w:pPr>
      <w:contextualSpacing/>
    </w:pPr>
    <w:rPr>
      <w:rFonts w:asciiTheme="majorHAnsi" w:eastAsiaTheme="majorEastAsia" w:hAnsiTheme="majorHAnsi" w:cstheme="majorBidi"/>
      <w:kern w:val="28"/>
      <w:sz w:val="56"/>
    </w:rPr>
  </w:style>
  <w:style w:type="character" w:customStyle="1" w:styleId="TitleChar">
    <w:name w:val="Title Char"/>
    <w:basedOn w:val="DefaultParagraphFont"/>
    <w:link w:val="Title"/>
    <w:semiHidden/>
    <w:rsid w:val="002C0D3E"/>
    <w:rPr>
      <w:rFonts w:asciiTheme="majorHAnsi" w:eastAsiaTheme="majorEastAsia" w:hAnsiTheme="majorHAnsi" w:cstheme="majorBidi"/>
      <w:kern w:val="28"/>
      <w:sz w:val="56"/>
    </w:rPr>
  </w:style>
  <w:style w:type="paragraph" w:styleId="TOAHeading">
    <w:name w:val="toa heading"/>
    <w:basedOn w:val="Normal"/>
    <w:next w:val="Normal"/>
    <w:semiHidden/>
    <w:unhideWhenUsed/>
    <w:rsid w:val="002C0D3E"/>
    <w:pPr>
      <w:spacing w:before="120"/>
    </w:pPr>
    <w:rPr>
      <w:rFonts w:asciiTheme="majorHAnsi" w:eastAsiaTheme="majorEastAsia" w:hAnsiTheme="majorHAnsi" w:cstheme="majorBidi"/>
      <w:b/>
      <w:sz w:val="24"/>
    </w:rPr>
  </w:style>
  <w:style w:type="paragraph" w:styleId="TOCHeading">
    <w:name w:val="TOC Heading"/>
    <w:basedOn w:val="Heading1"/>
    <w:next w:val="Normal"/>
    <w:uiPriority w:val="39"/>
    <w:semiHidden/>
    <w:unhideWhenUsed/>
    <w:qFormat/>
    <w:rsid w:val="002C0D3E"/>
    <w:pPr>
      <w:numPr>
        <w:numId w:val="0"/>
      </w:numPr>
      <w:tabs>
        <w:tab w:val="left" w:pos="624"/>
        <w:tab w:val="left" w:pos="1247"/>
      </w:tabs>
      <w:suppressAutoHyphens w:val="0"/>
      <w:adjustRightInd w:val="0"/>
      <w:snapToGrid w:val="0"/>
      <w:spacing w:after="0"/>
      <w:ind w:right="0"/>
      <w:outlineLvl w:val="9"/>
    </w:pPr>
    <w:rPr>
      <w:rFonts w:asciiTheme="majorHAnsi" w:eastAsiaTheme="majorEastAsia" w:hAnsiTheme="majorHAnsi" w:cstheme="majorBidi"/>
      <w:b w:val="0"/>
      <w:color w:val="365F91" w:themeColor="accent1" w:themeShade="BF"/>
      <w:sz w:val="32"/>
    </w:rPr>
  </w:style>
  <w:style w:type="character" w:customStyle="1" w:styleId="BBTitleChar">
    <w:name w:val="BB_Title Char"/>
    <w:link w:val="BBTitle"/>
    <w:rsid w:val="001F1F39"/>
    <w:rPr>
      <w:rFonts w:eastAsia="Times New Roman"/>
      <w:b/>
      <w:sz w:val="28"/>
    </w:rPr>
  </w:style>
  <w:style w:type="character" w:customStyle="1" w:styleId="CH2Char">
    <w:name w:val="CH2 Char"/>
    <w:link w:val="CH2"/>
    <w:locked/>
    <w:rsid w:val="006215D4"/>
    <w:rPr>
      <w:rFonts w:eastAsia="Times New Roman"/>
      <w:b/>
      <w:sz w:val="24"/>
    </w:rPr>
  </w:style>
  <w:style w:type="paragraph" w:styleId="Revision">
    <w:name w:val="Revision"/>
    <w:hidden/>
    <w:uiPriority w:val="99"/>
    <w:semiHidden/>
    <w:rsid w:val="00C44D1F"/>
    <w:rPr>
      <w:rFonts w:eastAsia="Times New Roman"/>
    </w:rPr>
  </w:style>
  <w:style w:type="numbering" w:customStyle="1" w:styleId="CurrentList1">
    <w:name w:val="Current List1"/>
    <w:uiPriority w:val="99"/>
    <w:rsid w:val="009173A9"/>
    <w:pPr>
      <w:numPr>
        <w:numId w:val="16"/>
      </w:numPr>
    </w:pPr>
  </w:style>
  <w:style w:type="character" w:customStyle="1" w:styleId="ZZAnxtitleChar">
    <w:name w:val="ZZ_Anx_title Char"/>
    <w:link w:val="ZZAnxtitle"/>
    <w:rsid w:val="003511F7"/>
    <w:rPr>
      <w:rFonts w:eastAsia="Times New Roman"/>
      <w:b/>
      <w:sz w:val="28"/>
    </w:rPr>
  </w:style>
  <w:style w:type="character" w:customStyle="1" w:styleId="Normal-poolChar">
    <w:name w:val="Normal-pool Char"/>
    <w:link w:val="Normal-pool"/>
    <w:locked/>
    <w:rsid w:val="003511F7"/>
    <w:rPr>
      <w:rFonts w:eastAsia="Times New Roman"/>
    </w:rPr>
  </w:style>
  <w:style w:type="character" w:customStyle="1" w:styleId="NormalNonumberChar">
    <w:name w:val="Normal_No_number Char"/>
    <w:link w:val="NormalNonumber"/>
    <w:locked/>
    <w:rsid w:val="003511F7"/>
    <w:rPr>
      <w:rFonts w:eastAsia="Times New Roman"/>
    </w:rPr>
  </w:style>
  <w:style w:type="paragraph" w:customStyle="1" w:styleId="BVIfnrCharCharCharChar">
    <w:name w:val="BVI fnr Char Char Char Char"/>
    <w:aliases w:val=" BVI fnr Car Car Char Char Char Char,BVI fnr Car Char Char Char Char, BVI fnr Car Car Car Car Char Char Char Char, BVI fnr Car Car Car Car Char Char Char1 Char Char,BVI fnr Car Car Char Char Char Char"/>
    <w:basedOn w:val="Normal"/>
    <w:semiHidden/>
    <w:rsid w:val="00D73252"/>
    <w:pPr>
      <w:tabs>
        <w:tab w:val="clear" w:pos="1247"/>
        <w:tab w:val="clear" w:pos="1814"/>
        <w:tab w:val="clear" w:pos="2381"/>
        <w:tab w:val="clear" w:pos="2948"/>
        <w:tab w:val="clear" w:pos="3515"/>
      </w:tabs>
      <w:spacing w:before="120" w:after="160" w:line="240" w:lineRule="exact"/>
    </w:pPr>
    <w:rPr>
      <w:rFonts w:eastAsia="SimSun"/>
      <w:vertAlign w:val="superscript"/>
    </w:rPr>
  </w:style>
  <w:style w:type="paragraph" w:customStyle="1" w:styleId="P68B1DB1-Normal-pool-Table1">
    <w:name w:val="P68B1DB1-Normal-pool-Table1"/>
    <w:basedOn w:val="Normal-pool-Table"/>
    <w:rPr>
      <w:i/>
    </w:rPr>
  </w:style>
  <w:style w:type="paragraph" w:customStyle="1" w:styleId="P68B1DB1-Normal-pool-Table2">
    <w:name w:val="P68B1DB1-Normal-pool-Table2"/>
    <w:basedOn w:val="Normal-pool-Table"/>
    <w:rPr>
      <w:b/>
    </w:rPr>
  </w:style>
  <w:style w:type="paragraph" w:customStyle="1" w:styleId="P68B1DB1-Normal-pool-Table3">
    <w:name w:val="P68B1DB1-Normal-pool-Table3"/>
    <w:basedOn w:val="Normal-pool-Table"/>
    <w:rPr>
      <w:color w:val="000000" w:themeColor="text1"/>
    </w:rPr>
  </w:style>
  <w:style w:type="paragraph" w:customStyle="1" w:styleId="P68B1DB1-Normal-pool4">
    <w:name w:val="P68B1DB1-Normal-pool4"/>
    <w:basedOn w:val="Normal-pool"/>
    <w:rPr>
      <w:sz w:val="17"/>
    </w:rPr>
  </w:style>
  <w:style w:type="paragraph" w:customStyle="1" w:styleId="P68B1DB1-Normalnumber5">
    <w:name w:val="P68B1DB1-Normalnumber5"/>
    <w:basedOn w:val="Normalnumber"/>
  </w:style>
  <w:style w:type="paragraph" w:customStyle="1" w:styleId="P68B1DB1-Normal-pool-Table6">
    <w:name w:val="P68B1DB1-Normal-pool-Table6"/>
    <w:basedOn w:val="Normal-pool-Table"/>
    <w:rPr>
      <w:b/>
      <w:sz w:val="16"/>
    </w:rPr>
  </w:style>
  <w:style w:type="paragraph" w:customStyle="1" w:styleId="P68B1DB1-Normal-pool-Table7">
    <w:name w:val="P68B1DB1-Normal-pool-Table7"/>
    <w:basedOn w:val="Normal-pool-Table"/>
    <w:rPr>
      <w:sz w:val="16"/>
    </w:rPr>
  </w:style>
  <w:style w:type="paragraph" w:customStyle="1" w:styleId="P68B1DB1-Normal-pool-Table8">
    <w:name w:val="P68B1DB1-Normal-pool-Table8"/>
    <w:basedOn w:val="Normal-pool-Table"/>
    <w:rPr>
      <w:b/>
      <w:color w:val="000000"/>
    </w:rPr>
  </w:style>
  <w:style w:type="paragraph" w:customStyle="1" w:styleId="P68B1DB1-Normal-pool-Table9">
    <w:name w:val="P68B1DB1-Normal-pool-Table9"/>
    <w:basedOn w:val="Normal-pool-Table"/>
    <w:rPr>
      <w:color w:val="000000"/>
      <w:sz w:val="17"/>
    </w:rPr>
  </w:style>
  <w:style w:type="paragraph" w:customStyle="1" w:styleId="P68B1DB1-Normalnumber10">
    <w:name w:val="P68B1DB1-Normalnumber10"/>
    <w:basedOn w:val="Normalnumber"/>
    <w:rPr>
      <w:color w:val="000000" w:themeColor="text1"/>
    </w:rPr>
  </w:style>
  <w:style w:type="paragraph" w:customStyle="1" w:styleId="P68B1DB1-NormalNonumber11">
    <w:name w:val="P68B1DB1-NormalNonumber11"/>
    <w:basedOn w:val="NormalNonumber"/>
    <w:rPr>
      <w:sz w:val="17"/>
    </w:rPr>
  </w:style>
  <w:style w:type="paragraph" w:customStyle="1" w:styleId="P68B1DB1-NormalNonumber12">
    <w:name w:val="P68B1DB1-NormalNonumber12"/>
    <w:basedOn w:val="NormalNonumber"/>
    <w:rPr>
      <w:sz w:val="18"/>
    </w:rPr>
  </w:style>
  <w:style w:type="paragraph" w:customStyle="1" w:styleId="ARAATitle">
    <w:name w:val="AR_AA_Title"/>
    <w:basedOn w:val="Normal"/>
    <w:qFormat/>
    <w:rsid w:val="00BE2C17"/>
    <w:pPr>
      <w:keepNext/>
      <w:keepLines/>
      <w:tabs>
        <w:tab w:val="left" w:pos="4082"/>
      </w:tabs>
      <w:suppressAutoHyphens/>
      <w:bidi w:val="0"/>
      <w:spacing w:line="320" w:lineRule="exact"/>
    </w:pPr>
    <w:rPr>
      <w:rFonts w:ascii="Simplified Arabic" w:eastAsia="SimSun" w:hAnsi="Simplified Arabic"/>
      <w:b/>
      <w:bCs/>
      <w:sz w:val="24"/>
      <w:rtl w:val="0"/>
      <w:lang w:val="ru-RU"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4164682">
      <w:bodyDiv w:val="1"/>
      <w:marLeft w:val="0"/>
      <w:marRight w:val="0"/>
      <w:marTop w:val="0"/>
      <w:marBottom w:val="0"/>
      <w:divBdr>
        <w:top w:val="none" w:sz="0" w:space="0" w:color="auto"/>
        <w:left w:val="none" w:sz="0" w:space="0" w:color="auto"/>
        <w:bottom w:val="none" w:sz="0" w:space="0" w:color="auto"/>
        <w:right w:val="none" w:sz="0" w:space="0" w:color="auto"/>
      </w:divBdr>
    </w:div>
    <w:div w:id="1196232797">
      <w:bodyDiv w:val="1"/>
      <w:marLeft w:val="0"/>
      <w:marRight w:val="0"/>
      <w:marTop w:val="0"/>
      <w:marBottom w:val="0"/>
      <w:divBdr>
        <w:top w:val="none" w:sz="0" w:space="0" w:color="auto"/>
        <w:left w:val="none" w:sz="0" w:space="0" w:color="auto"/>
        <w:bottom w:val="none" w:sz="0" w:space="0" w:color="auto"/>
        <w:right w:val="none" w:sz="0" w:space="0" w:color="auto"/>
      </w:divBdr>
    </w:div>
    <w:div w:id="1305313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MWANZA1\OneDrive%20-%20United%20Nations\Documents%20-%20UNON%20DCS%20Templates%20Platform\EN\PlainPage\PlainPage_E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SharedContentType xmlns="Microsoft.SharePoint.Taxonomy.ContentTypeSync" SourceId="78175662-8596-484a-92c7-351d01561e22" ContentTypeId="0x010100AF687BC085C91946BC54CBDC5AB286CC" PreviousValue="false" LastSyncTimeStamp="2021-02-04T13:33:18.75Z"/>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UN Document" ma:contentTypeID="0x010100AF687BC085C91946BC54CBDC5AB286CC00C98D0C8D73AF894E997C937D021D4600" ma:contentTypeVersion="17" ma:contentTypeDescription="" ma:contentTypeScope="" ma:versionID="1a76b1596c1bdfb6c43f83c22c71e661">
  <xsd:schema xmlns:xsd="http://www.w3.org/2001/XMLSchema" xmlns:xs="http://www.w3.org/2001/XMLSchema" xmlns:p="http://schemas.microsoft.com/office/2006/metadata/properties" xmlns:ns1="http://schemas.microsoft.com/sharepoint/v3" xmlns:ns3="985ec44e-1bab-4c0b-9df0-6ba128686fc9" targetNamespace="http://schemas.microsoft.com/office/2006/metadata/properties" ma:root="true" ma:fieldsID="f7e7cfa6ed14970cbf91cc21791ed040" ns1:_="" ns3:_="">
    <xsd:import namespace="http://schemas.microsoft.com/sharepoint/v3"/>
    <xsd:import namespace="985ec44e-1bab-4c0b-9df0-6ba128686fc9"/>
    <xsd:element name="properties">
      <xsd:complexType>
        <xsd:sequence>
          <xsd:element name="documentManagement">
            <xsd:complexType>
              <xsd:all>
                <xsd:element ref="ns3:Document_x0020_Date" minOccurs="0"/>
                <xsd:element ref="ns3:Date_x0020_Received" minOccurs="0"/>
                <xsd:element ref="ns3:Date_x0020_Sent" minOccurs="0"/>
                <xsd:element ref="ns3:Security_x0020_Level" minOccurs="0"/>
                <xsd:element ref="ns3:Personal_x0020_Information_x0020__x0028_PII_x0029_" minOccurs="0"/>
                <xsd:element ref="ns3:Linked_x0020_Records" minOccurs="0"/>
                <xsd:element ref="ns1:KpiDescription" minOccurs="0"/>
                <xsd:element ref="ns3:UN_x0020_Official_x0020_Language" minOccurs="0"/>
                <xsd:element ref="ns3:Document_x0020_Type" minOccurs="0"/>
                <xsd:element ref="ns3:TaxCatchAllLabel" minOccurs="0"/>
                <xsd:element ref="ns3:gba66df640194346a5267c50f24d4797"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KpiDescription" ma:index="11" nillable="true" ma:displayName="Description" ma:internalName="KpiDescription">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Document_x0020_Date" ma:index="2" nillable="true" ma:displayName="Document Date" ma:default="[today]" ma:description="The date when the file was drafted" ma:format="DateOnly" ma:internalName="Document_x0020_Date" ma:readOnly="false">
      <xsd:simpleType>
        <xsd:restriction base="dms:DateTime"/>
      </xsd:simpleType>
    </xsd:element>
    <xsd:element name="Date_x0020_Received" ma:index="3" nillable="true" ma:displayName="Date Received" ma:default="[today]" ma:format="DateOnly" ma:internalName="Date_x0020_Received" ma:readOnly="false">
      <xsd:simpleType>
        <xsd:restriction base="dms:DateTime"/>
      </xsd:simpleType>
    </xsd:element>
    <xsd:element name="Date_x0020_Sent" ma:index="4" nillable="true" ma:displayName="Date Sent" ma:default="[today]" ma:format="DateOnly" ma:internalName="Date_x0020_Sent">
      <xsd:simpleType>
        <xsd:restriction base="dms:DateTime"/>
      </xsd:simpleType>
    </xsd:element>
    <xsd:element name="Security_x0020_Level" ma:index="7" nillable="true" ma:displayName="Security Level" ma:default="Unclassified" ma:format="RadioButtons" ma:internalName="Security_x0020_Level">
      <xsd:simpleType>
        <xsd:restriction base="dms:Choice">
          <xsd:enumeration value="Unclassified"/>
          <xsd:enumeration value="Confidential"/>
          <xsd:enumeration value="Strictly Confidential"/>
        </xsd:restriction>
      </xsd:simpleType>
    </xsd:element>
    <xsd:element name="Personal_x0020_Information_x0020__x0028_PII_x0029_" ma:index="8" nillable="true" ma:displayName="Personal Information (PI)" ma:default="0" ma:description="This field indicates whether the file contains Personal Information" ma:internalName="Personal_x0020_Information_x0020__x0028_PII_x0029_" ma:readOnly="false">
      <xsd:simpleType>
        <xsd:restriction base="dms:Boolean"/>
      </xsd:simpleType>
    </xsd:element>
    <xsd:element name="Linked_x0020_Records" ma:index="9" nillable="true" ma:displayName="Linked Records" ma:format="Hyperlink" ma:internalName="Linked_x0020_Records">
      <xsd:complexType>
        <xsd:complexContent>
          <xsd:extension base="dms:URL">
            <xsd:sequence>
              <xsd:element name="Url" type="dms:ValidUrl" minOccurs="0" nillable="true"/>
              <xsd:element name="Description" type="xsd:string" nillable="true"/>
            </xsd:sequence>
          </xsd:extension>
        </xsd:complexContent>
      </xsd:complexType>
    </xsd:element>
    <xsd:element name="UN_x0020_Official_x0020_Language" ma:index="12" nillable="true" ma:displayName="Language (UN's Official)" ma:default="English" ma:format="Dropdown" ma:internalName="UN_x0020_Official_x0020_Language" ma:readOnly="false">
      <xsd:simpleType>
        <xsd:restriction base="dms:Choice">
          <xsd:enumeration value="Arabic"/>
          <xsd:enumeration value="Chinese"/>
          <xsd:enumeration value="English"/>
          <xsd:enumeration value="French"/>
          <xsd:enumeration value="Russian"/>
          <xsd:enumeration value="Spanish"/>
        </xsd:restriction>
      </xsd:simpleType>
    </xsd:element>
    <xsd:element name="Document_x0020_Type" ma:index="13" nillable="true" ma:displayName="Document Type" ma:default="UN others" ma:format="Dropdown" ma:internalName="Document_x0020_Type" ma:readOnly="false">
      <xsd:simpleType>
        <xsd:restriction base="dms:Choice">
          <xsd:enumeration value="Code Cable"/>
          <xsd:enumeration value="Facsimile"/>
          <xsd:enumeration value="Form"/>
          <xsd:enumeration value="Letter"/>
          <xsd:enumeration value="Memorandum"/>
          <xsd:enumeration value="Note"/>
          <xsd:enumeration value="Note verbale"/>
          <xsd:enumeration value="Report"/>
          <xsd:enumeration value="Slip"/>
          <xsd:enumeration value="UN others"/>
          <xsd:enumeration value="Non-UN"/>
        </xsd:restriction>
      </xsd:simpleType>
    </xsd:element>
    <xsd:element name="TaxCatchAllLabel" ma:index="14" nillable="true" ma:displayName="Taxonomy Catch All Column1" ma:hidden="true" ma:list="{cfd9c986-1e4b-4092-83b4-ffd028e2f9b7}" ma:internalName="TaxCatchAllLabel" ma:readOnly="true" ma:showField="CatchAllDataLabel" ma:web="7882167c-b1fa-4e55-b4a5-6145aa31e8d9">
      <xsd:complexType>
        <xsd:complexContent>
          <xsd:extension base="dms:MultiChoiceLookup">
            <xsd:sequence>
              <xsd:element name="Value" type="dms:Lookup" maxOccurs="unbounded" minOccurs="0" nillable="true"/>
            </xsd:sequence>
          </xsd:extension>
        </xsd:complexContent>
      </xsd:complexType>
    </xsd:element>
    <xsd:element name="gba66df640194346a5267c50f24d4797" ma:index="20" nillable="true" ma:taxonomy="true" ma:internalName="gba66df640194346a5267c50f24d4797" ma:taxonomyFieldName="Office_x0020_of_x0020_Origin" ma:displayName="Office of origin" ma:readOnly="false" ma:default="" ma:fieldId="{0ba66df6-4019-4346-a526-7c50f24d4797}" ma:sspId="78175662-8596-484a-92c7-351d01561e22" ma:termSetId="045c6cc4-dc5e-443b-8b37-1361f130ed2a" ma:anchorId="00000000-0000-0000-0000-000000000000" ma:open="false" ma:isKeyword="false">
      <xsd:complexType>
        <xsd:sequence>
          <xsd:element ref="pc:Terms" minOccurs="0" maxOccurs="1"/>
        </xsd:sequence>
      </xsd:complexType>
    </xsd:element>
    <xsd:element name="TaxCatchAll" ma:index="21" nillable="true" ma:displayName="Taxonomy Catch All Column" ma:hidden="true" ma:list="{cfd9c986-1e4b-4092-83b4-ffd028e2f9b7}" ma:internalName="TaxCatchAll" ma:showField="CatchAllData" ma:web="7882167c-b1fa-4e55-b4a5-6145aa31e8d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1" ma:displayName="Author"/>
        <xsd:element ref="dcterms:created" minOccurs="0" maxOccurs="1"/>
        <xsd:element ref="dc:identifier" minOccurs="0" maxOccurs="1"/>
        <xsd:element name="contentType" minOccurs="0" maxOccurs="1" type="xsd:string" ma:index="22" ma:displayName="Content Type"/>
        <xsd:element ref="dc:title" minOccurs="0" maxOccurs="1" ma:index="6" ma:displayName="Title"/>
        <xsd:element ref="dc:subject" minOccurs="0" maxOccurs="1" ma:index="10"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Document_x0020_Date xmlns="985ec44e-1bab-4c0b-9df0-6ba128686fc9">2026-10-09T17:07:32+00:00</Document_x0020_Date>
    <KpiDescription xmlns="http://schemas.microsoft.com/sharepoint/v3" xsi:nil="true"/>
    <gba66df640194346a5267c50f24d4797 xmlns="985ec44e-1bab-4c0b-9df0-6ba128686fc9">
      <Terms xmlns="http://schemas.microsoft.com/office/infopath/2007/PartnerControls"/>
    </gba66df640194346a5267c50f24d4797>
    <Document_x0020_Type xmlns="985ec44e-1bab-4c0b-9df0-6ba128686fc9">UN others</Document_x0020_Type>
    <Date_x0020_Sent xmlns="985ec44e-1bab-4c0b-9df0-6ba128686fc9">2026-10-09T17:07:32+00:00</Date_x0020_Sent>
    <Personal_x0020_Information_x0020__x0028_PII_x0029_ xmlns="985ec44e-1bab-4c0b-9df0-6ba128686fc9">false</Personal_x0020_Information_x0020__x0028_PII_x0029_>
    <Date_x0020_Received xmlns="985ec44e-1bab-4c0b-9df0-6ba128686fc9">2026-10-09T17:07:32+00:00</Date_x0020_Received>
    <Linked_x0020_Records xmlns="985ec44e-1bab-4c0b-9df0-6ba128686fc9">
      <Url xsi:nil="true"/>
      <Description xsi:nil="true"/>
    </Linked_x0020_Records>
    <Security_x0020_Level xmlns="985ec44e-1bab-4c0b-9df0-6ba128686fc9">Unclassified</Security_x0020_Level>
    <UN_x0020_Official_x0020_Language xmlns="985ec44e-1bab-4c0b-9df0-6ba128686fc9">English</UN_x0020_Official_x0020_Language>
  </documentManagement>
</p:properties>
</file>

<file path=customXml/itemProps1.xml><?xml version="1.0" encoding="utf-8"?>
<ds:datastoreItem xmlns:ds="http://schemas.openxmlformats.org/officeDocument/2006/customXml" ds:itemID="{CEEA0E56-618A-4203-B9FA-F7A898F84834}">
  <ds:schemaRefs>
    <ds:schemaRef ds:uri="http://schemas.openxmlformats.org/officeDocument/2006/bibliography"/>
  </ds:schemaRefs>
</ds:datastoreItem>
</file>

<file path=customXml/itemProps2.xml><?xml version="1.0" encoding="utf-8"?>
<ds:datastoreItem xmlns:ds="http://schemas.openxmlformats.org/officeDocument/2006/customXml" ds:itemID="{B09C8646-ED4C-4B5E-A557-928637B0D4CE}">
  <ds:schemaRefs>
    <ds:schemaRef ds:uri="Microsoft.SharePoint.Taxonomy.ContentTypeSync"/>
  </ds:schemaRefs>
</ds:datastoreItem>
</file>

<file path=customXml/itemProps3.xml><?xml version="1.0" encoding="utf-8"?>
<ds:datastoreItem xmlns:ds="http://schemas.openxmlformats.org/officeDocument/2006/customXml" ds:itemID="{6840362A-3EB0-4F16-A636-13A68E2CB392}">
  <ds:schemaRefs>
    <ds:schemaRef ds:uri="http://schemas.microsoft.com/sharepoint/v3/contenttype/forms"/>
  </ds:schemaRefs>
</ds:datastoreItem>
</file>

<file path=customXml/itemProps4.xml><?xml version="1.0" encoding="utf-8"?>
<ds:datastoreItem xmlns:ds="http://schemas.openxmlformats.org/officeDocument/2006/customXml" ds:itemID="{AB0D9A77-311D-449C-8355-2B58206D28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C692DACA-6EB6-4F76-A688-787EADF6D421}">
  <ds:schemaRefs>
    <ds:schemaRef ds:uri="http://schemas.microsoft.com/office/2006/metadata/properties"/>
    <ds:schemaRef ds:uri="http://schemas.microsoft.com/office/infopath/2007/PartnerControls"/>
    <ds:schemaRef ds:uri="985ec44e-1bab-4c0b-9df0-6ba128686fc9"/>
    <ds:schemaRef ds:uri="http://schemas.microsoft.com/sharepoint/v3"/>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PlainPage_EN</Template>
  <TotalTime>352</TotalTime>
  <Pages>28</Pages>
  <Words>9615</Words>
  <Characters>54806</Characters>
  <Application>Microsoft Office Word</Application>
  <DocSecurity>0</DocSecurity>
  <PresentationFormat/>
  <Lines>456</Lines>
  <Paragraphs>128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64293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Anderson</dc:creator>
  <cp:keywords/>
  <dc:description/>
  <cp:lastModifiedBy>Julius Njenga</cp:lastModifiedBy>
  <cp:revision>30</cp:revision>
  <cp:lastPrinted>2026-10-22T12:25:00Z</cp:lastPrinted>
  <dcterms:created xsi:type="dcterms:W3CDTF">2026-10-13T13:46:00Z</dcterms:created>
  <dcterms:modified xsi:type="dcterms:W3CDTF">2026-10-22T12:27:00Z</dcterms:modified>
  <cp:category/>
  <cp:contentStatus/>
  <dc:language/>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NONDCSTES-Generator">
    <vt:lpwstr>0</vt:lpwstr>
  </property>
  <property fmtid="{D5CDD505-2E9C-101B-9397-08002B2CF9AE}" pid="3" name="UNONDCSTES-Language">
    <vt:lpwstr>EN</vt:lpwstr>
  </property>
  <property fmtid="{D5CDD505-2E9C-101B-9397-08002B2CF9AE}" pid="4" name="UNONDCSTES-Category">
    <vt:lpwstr>UNEP-OZL-PRO</vt:lpwstr>
  </property>
  <property fmtid="{D5CDD505-2E9C-101B-9397-08002B2CF9AE}" pid="5" name="UNONDCSTES-NoSymbol">
    <vt:lpwstr>1</vt:lpwstr>
  </property>
  <property fmtid="{D5CDD505-2E9C-101B-9397-08002B2CF9AE}" pid="6" name="UNONDCSTES-LangDistr">
    <vt:lpwstr>EN_AR-CH-EN-FR-RU-SP</vt:lpwstr>
  </property>
  <property fmtid="{D5CDD505-2E9C-101B-9397-08002B2CF9AE}" pid="7" name="UNONDCSTES-ReqEmail">
    <vt:lpwstr/>
  </property>
  <property fmtid="{D5CDD505-2E9C-101B-9397-08002B2CF9AE}" pid="8" name="UNONDCSTES-ReqID">
    <vt:lpwstr/>
  </property>
  <property fmtid="{D5CDD505-2E9C-101B-9397-08002B2CF9AE}" pid="9" name="UNONDCSTES-Distr">
    <vt:lpwstr>Gen</vt:lpwstr>
  </property>
  <property fmtid="{D5CDD505-2E9C-101B-9397-08002B2CF9AE}" pid="10" name="ContentTypeId">
    <vt:lpwstr>0x010100AF687BC085C91946BC54CBDC5AB286CC00C98D0C8D73AF894E997C937D021D4600</vt:lpwstr>
  </property>
  <property fmtid="{D5CDD505-2E9C-101B-9397-08002B2CF9AE}" pid="11" name="MediaServiceImageTags">
    <vt:lpwstr/>
  </property>
  <property fmtid="{D5CDD505-2E9C-101B-9397-08002B2CF9AE}" pid="12" name="Office_x0020_of_x0020_Origin">
    <vt:lpwstr/>
  </property>
  <property fmtid="{D5CDD505-2E9C-101B-9397-08002B2CF9AE}" pid="13" name="lcf76f155ced4ddcb4097134ff3c332f">
    <vt:lpwstr/>
  </property>
  <property fmtid="{D5CDD505-2E9C-101B-9397-08002B2CF9AE}" pid="14" name="Office of Origin">
    <vt:lpwstr/>
  </property>
</Properties>
</file>