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67" w:type="dxa"/>
        <w:tblLayout w:type="fixed"/>
        <w:tblLook w:val="0000" w:firstRow="0" w:lastRow="0" w:firstColumn="0" w:lastColumn="0" w:noHBand="0" w:noVBand="0"/>
      </w:tblPr>
      <w:tblGrid>
        <w:gridCol w:w="2430"/>
        <w:gridCol w:w="6520"/>
        <w:gridCol w:w="1417"/>
      </w:tblGrid>
      <w:tr w:rsidR="00361D9A" w14:paraId="4BE3D192" w14:textId="77777777" w:rsidTr="00B20C39">
        <w:trPr>
          <w:trHeight w:val="850"/>
        </w:trPr>
        <w:tc>
          <w:tcPr>
            <w:tcW w:w="2430" w:type="dxa"/>
          </w:tcPr>
          <w:p w14:paraId="7D640BA3" w14:textId="5A313541" w:rsidR="00361D9A" w:rsidRDefault="00885FCE">
            <w:pPr>
              <w:pStyle w:val="AUnitedNations"/>
            </w:pPr>
            <w:r>
              <w:t xml:space="preserve">Организация </w:t>
            </w:r>
            <w:r>
              <w:br/>
              <w:t>Объединенных Наций</w:t>
            </w:r>
          </w:p>
        </w:tc>
        <w:tc>
          <w:tcPr>
            <w:tcW w:w="6520" w:type="dxa"/>
          </w:tcPr>
          <w:p w14:paraId="021F6DEB" w14:textId="6A25BD56" w:rsidR="00361D9A" w:rsidRDefault="00B20C39">
            <w:pPr>
              <w:pStyle w:val="Normal-pool"/>
            </w:pPr>
            <w:r w:rsidRPr="002A55D4">
              <w:rPr>
                <w:noProof/>
              </w:rPr>
              <w:drawing>
                <wp:anchor distT="0" distB="0" distL="114300" distR="114300" simplePos="0" relativeHeight="251660288" behindDoc="0" locked="0" layoutInCell="1" allowOverlap="1" wp14:anchorId="44DD6F4C" wp14:editId="7E039564">
                  <wp:simplePos x="0" y="0"/>
                  <wp:positionH relativeFrom="column">
                    <wp:posOffset>-635</wp:posOffset>
                  </wp:positionH>
                  <wp:positionV relativeFrom="paragraph">
                    <wp:posOffset>3175</wp:posOffset>
                  </wp:positionV>
                  <wp:extent cx="1269153" cy="573559"/>
                  <wp:effectExtent l="0" t="0" r="0" b="0"/>
                  <wp:wrapNone/>
                  <wp:docPr id="1485736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736527" name=""/>
                          <pic:cNvPicPr/>
                        </pic:nvPicPr>
                        <pic:blipFill>
                          <a:blip r:embed="rId12">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0AC89409" w14:textId="77777777" w:rsidR="00361D9A" w:rsidRDefault="00361D9A">
            <w:pPr>
              <w:pStyle w:val="Normal-pool"/>
            </w:pPr>
          </w:p>
        </w:tc>
      </w:tr>
    </w:tbl>
    <w:p w14:paraId="3BCF9094" w14:textId="77777777" w:rsidR="00361D9A" w:rsidRDefault="00361D9A">
      <w:pPr>
        <w:pStyle w:val="ASpacer"/>
      </w:pPr>
    </w:p>
    <w:tbl>
      <w:tblPr>
        <w:tblW w:w="10408" w:type="dxa"/>
        <w:tblLook w:val="0000" w:firstRow="0" w:lastRow="0" w:firstColumn="0" w:lastColumn="0" w:noHBand="0" w:noVBand="0"/>
      </w:tblPr>
      <w:tblGrid>
        <w:gridCol w:w="7290"/>
        <w:gridCol w:w="3118"/>
      </w:tblGrid>
      <w:tr w:rsidR="00361D9A" w14:paraId="673201E7" w14:textId="77777777" w:rsidTr="00B20C39">
        <w:trPr>
          <w:trHeight w:val="340"/>
        </w:trPr>
        <w:tc>
          <w:tcPr>
            <w:tcW w:w="3502" w:type="pct"/>
            <w:vAlign w:val="bottom"/>
          </w:tcPr>
          <w:p w14:paraId="78DF50F9" w14:textId="77777777" w:rsidR="00361D9A" w:rsidRDefault="00361D9A">
            <w:pPr>
              <w:pStyle w:val="Normal-pool"/>
            </w:pPr>
          </w:p>
        </w:tc>
        <w:tc>
          <w:tcPr>
            <w:tcW w:w="1498" w:type="pct"/>
            <w:noWrap/>
            <w:vAlign w:val="bottom"/>
          </w:tcPr>
          <w:p w14:paraId="2A324FF4" w14:textId="36761E35" w:rsidR="00361D9A" w:rsidRDefault="00885FCE">
            <w:pPr>
              <w:pStyle w:val="ASymbol"/>
            </w:pPr>
            <w:r>
              <w:rPr>
                <w:b/>
                <w:sz w:val="28"/>
              </w:rPr>
              <w:t>UNEP</w:t>
            </w:r>
            <w:r>
              <w:t>/OzL.Pro.</w:t>
            </w:r>
            <w:bookmarkStart w:id="0" w:name="Symbol1A"/>
            <w:r>
              <w:t>38</w:t>
            </w:r>
            <w:bookmarkStart w:id="1" w:name="Symbol1B"/>
            <w:bookmarkEnd w:id="0"/>
            <w:r>
              <w:t>/7</w:t>
            </w:r>
            <w:bookmarkEnd w:id="1"/>
          </w:p>
        </w:tc>
      </w:tr>
    </w:tbl>
    <w:p w14:paraId="7D12B37E" w14:textId="77777777" w:rsidR="00361D9A" w:rsidRDefault="00361D9A">
      <w:pPr>
        <w:pStyle w:val="ASpacer"/>
      </w:pPr>
    </w:p>
    <w:tbl>
      <w:tblPr>
        <w:tblW w:w="10408" w:type="dxa"/>
        <w:tblBorders>
          <w:top w:val="single" w:sz="4" w:space="0" w:color="auto"/>
          <w:bottom w:val="single" w:sz="24" w:space="0" w:color="auto"/>
        </w:tblBorders>
        <w:tblLayout w:type="fixed"/>
        <w:tblLook w:val="0000" w:firstRow="0" w:lastRow="0" w:firstColumn="0" w:lastColumn="0" w:noHBand="0" w:noVBand="0"/>
      </w:tblPr>
      <w:tblGrid>
        <w:gridCol w:w="5386"/>
        <w:gridCol w:w="1904"/>
        <w:gridCol w:w="3118"/>
      </w:tblGrid>
      <w:tr w:rsidR="00361D9A" w14:paraId="11437331" w14:textId="77777777" w:rsidTr="00B20C39">
        <w:trPr>
          <w:trHeight w:val="2098"/>
        </w:trPr>
        <w:tc>
          <w:tcPr>
            <w:tcW w:w="5386" w:type="dxa"/>
          </w:tcPr>
          <w:p w14:paraId="5EBEA091" w14:textId="43FD3EEE" w:rsidR="00361D9A" w:rsidRDefault="00885FCE">
            <w:pPr>
              <w:pStyle w:val="AConvName"/>
            </w:pPr>
            <w:proofErr w:type="spellStart"/>
            <w:r>
              <w:t>Монреальский</w:t>
            </w:r>
            <w:proofErr w:type="spellEnd"/>
            <w:r>
              <w:t xml:space="preserve"> </w:t>
            </w:r>
            <w:proofErr w:type="spellStart"/>
            <w:r>
              <w:t>протокол</w:t>
            </w:r>
            <w:proofErr w:type="spellEnd"/>
            <w:r>
              <w:t xml:space="preserve"> </w:t>
            </w:r>
            <w:r>
              <w:br/>
            </w:r>
            <w:proofErr w:type="spellStart"/>
            <w:r>
              <w:t>по</w:t>
            </w:r>
            <w:proofErr w:type="spellEnd"/>
            <w:r>
              <w:t xml:space="preserve"> </w:t>
            </w:r>
            <w:proofErr w:type="spellStart"/>
            <w:r>
              <w:t>веществам</w:t>
            </w:r>
            <w:proofErr w:type="spellEnd"/>
            <w:r>
              <w:t xml:space="preserve">, </w:t>
            </w:r>
            <w:proofErr w:type="spellStart"/>
            <w:r>
              <w:t>разрушающим</w:t>
            </w:r>
            <w:proofErr w:type="spellEnd"/>
            <w:r>
              <w:t xml:space="preserve"> </w:t>
            </w:r>
            <w:proofErr w:type="spellStart"/>
            <w:r>
              <w:t>озоновый</w:t>
            </w:r>
            <w:proofErr w:type="spellEnd"/>
            <w:r>
              <w:t xml:space="preserve"> </w:t>
            </w:r>
            <w:proofErr w:type="spellStart"/>
            <w:r>
              <w:t>слой</w:t>
            </w:r>
            <w:proofErr w:type="spellEnd"/>
          </w:p>
        </w:tc>
        <w:tc>
          <w:tcPr>
            <w:tcW w:w="1904" w:type="dxa"/>
          </w:tcPr>
          <w:p w14:paraId="5222B989" w14:textId="77777777" w:rsidR="00361D9A" w:rsidRDefault="00361D9A">
            <w:pPr>
              <w:pStyle w:val="Normal-pool"/>
            </w:pPr>
          </w:p>
        </w:tc>
        <w:tc>
          <w:tcPr>
            <w:tcW w:w="3118" w:type="dxa"/>
          </w:tcPr>
          <w:p w14:paraId="46A8CF66" w14:textId="3950E73C" w:rsidR="00361D9A" w:rsidRDefault="00885FCE">
            <w:pPr>
              <w:pStyle w:val="AText"/>
            </w:pPr>
            <w:r>
              <w:t xml:space="preserve">Distr.: </w:t>
            </w:r>
            <w:bookmarkStart w:id="2" w:name="Distribution"/>
            <w:r>
              <w:t>General</w:t>
            </w:r>
            <w:bookmarkEnd w:id="2"/>
            <w:r>
              <w:t xml:space="preserve"> </w:t>
            </w:r>
          </w:p>
          <w:p w14:paraId="20F5C42E" w14:textId="6FC3AE8D" w:rsidR="00361D9A" w:rsidRDefault="00885FCE">
            <w:pPr>
              <w:pStyle w:val="AText0"/>
            </w:pPr>
            <w:bookmarkStart w:id="3" w:name="DistributionDate"/>
            <w:r>
              <w:t>5 October 2026</w:t>
            </w:r>
            <w:bookmarkEnd w:id="3"/>
            <w:r>
              <w:t xml:space="preserve"> </w:t>
            </w:r>
          </w:p>
          <w:p w14:paraId="20A13ACA" w14:textId="05092F1B" w:rsidR="00B20C39" w:rsidRDefault="00B20C39">
            <w:pPr>
              <w:pStyle w:val="AText"/>
            </w:pPr>
            <w:bookmarkStart w:id="4" w:name="DistributionLang"/>
            <w:r>
              <w:t>Russian</w:t>
            </w:r>
          </w:p>
          <w:p w14:paraId="193494F6" w14:textId="0F2BDBF0" w:rsidR="00361D9A" w:rsidRDefault="00885FCE" w:rsidP="00B20C39">
            <w:pPr>
              <w:pStyle w:val="AText"/>
              <w:spacing w:before="0"/>
            </w:pPr>
            <w:r>
              <w:t>Original: English</w:t>
            </w:r>
            <w:bookmarkEnd w:id="4"/>
          </w:p>
        </w:tc>
      </w:tr>
    </w:tbl>
    <w:p w14:paraId="3DDA0581" w14:textId="77777777" w:rsidR="00361D9A" w:rsidRDefault="00361D9A">
      <w:pPr>
        <w:pStyle w:val="ASpace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361D9A" w14:paraId="4F715CFB" w14:textId="77777777">
        <w:trPr>
          <w:trHeight w:val="57"/>
        </w:trPr>
        <w:tc>
          <w:tcPr>
            <w:tcW w:w="5301" w:type="dxa"/>
          </w:tcPr>
          <w:p w14:paraId="730DEE52" w14:textId="0196996D" w:rsidR="00361D9A" w:rsidRDefault="00885FCE">
            <w:pPr>
              <w:pStyle w:val="AATitle"/>
            </w:pPr>
            <w:bookmarkStart w:id="5" w:name="CorNot1Text"/>
            <w:r>
              <w:t xml:space="preserve">Тридцать восьмое совещание Сторон </w:t>
            </w:r>
            <w:r>
              <w:br/>
              <w:t xml:space="preserve">Монреальского протокола по веществам, </w:t>
            </w:r>
            <w:r>
              <w:br/>
              <w:t>разрушающим озоновый слой</w:t>
            </w:r>
            <w:bookmarkEnd w:id="5"/>
          </w:p>
          <w:p w14:paraId="077C9ED5" w14:textId="1220DB4F" w:rsidR="00361D9A" w:rsidRDefault="00885FCE">
            <w:pPr>
              <w:pStyle w:val="AATitle1"/>
            </w:pPr>
            <w:bookmarkStart w:id="6" w:name="CorNot1VenueDate"/>
            <w:r>
              <w:t>г. Кигали, 2–6 ноября 2026 г.</w:t>
            </w:r>
            <w:bookmarkEnd w:id="6"/>
            <w:r>
              <w:t xml:space="preserve"> </w:t>
            </w:r>
          </w:p>
          <w:p w14:paraId="1E570850" w14:textId="098891DD" w:rsidR="00361D9A" w:rsidRDefault="00885FCE">
            <w:pPr>
              <w:pStyle w:val="AATitle1"/>
            </w:pPr>
            <w:bookmarkStart w:id="7" w:name="CorNot1AgItem"/>
            <w:r>
              <w:t>Пункт 6 предварительной повестки дня</w:t>
            </w:r>
            <w:bookmarkEnd w:id="7"/>
            <w:r>
              <w:t xml:space="preserve"> подготовительного сегмента</w:t>
            </w:r>
            <w:r>
              <w:footnoteReference w:customMarkFollows="1" w:id="2"/>
              <w:sym w:font="Symbol" w:char="F02A"/>
            </w:r>
          </w:p>
          <w:p w14:paraId="5797FA15" w14:textId="575085A8" w:rsidR="00361D9A" w:rsidRDefault="00885FCE" w:rsidP="00814174">
            <w:pPr>
              <w:pStyle w:val="AATitle2"/>
              <w:spacing w:before="0" w:after="0"/>
              <w:ind w:left="1267"/>
            </w:pPr>
            <w:bookmarkStart w:id="8" w:name="CorNot1AgTitle"/>
            <w:r>
              <w:t xml:space="preserve">Обеспечение жизнеспособности деятельности в </w:t>
            </w:r>
            <w:proofErr w:type="spellStart"/>
            <w:r>
              <w:t>рамках</w:t>
            </w:r>
            <w:proofErr w:type="spellEnd"/>
            <w:r>
              <w:t xml:space="preserve"> </w:t>
            </w:r>
            <w:proofErr w:type="spellStart"/>
            <w:r>
              <w:t>Монреальского</w:t>
            </w:r>
            <w:proofErr w:type="spellEnd"/>
            <w:r>
              <w:t xml:space="preserve"> </w:t>
            </w:r>
            <w:proofErr w:type="spellStart"/>
            <w:r>
              <w:t>протокола</w:t>
            </w:r>
            <w:bookmarkEnd w:id="8"/>
            <w:proofErr w:type="spellEnd"/>
          </w:p>
        </w:tc>
        <w:tc>
          <w:tcPr>
            <w:tcW w:w="4195" w:type="dxa"/>
          </w:tcPr>
          <w:p w14:paraId="7C61CFE4" w14:textId="77777777" w:rsidR="00361D9A" w:rsidRDefault="00361D9A">
            <w:pPr>
              <w:pStyle w:val="Normal-pool"/>
            </w:pPr>
          </w:p>
        </w:tc>
      </w:tr>
    </w:tbl>
    <w:p w14:paraId="5B378469" w14:textId="4724501D" w:rsidR="00361D9A" w:rsidRDefault="00885FCE">
      <w:pPr>
        <w:pStyle w:val="BBTitle"/>
      </w:pPr>
      <w:r>
        <w:t>Обеспечение жизнеспособности деятельности в рамках Монреальского протокола: дополнительный доклад</w:t>
      </w:r>
    </w:p>
    <w:p w14:paraId="7E95241B" w14:textId="18F57C1D" w:rsidR="00361D9A" w:rsidRDefault="00885FCE">
      <w:pPr>
        <w:pStyle w:val="CH1"/>
      </w:pPr>
      <w:r>
        <w:tab/>
        <w:t>I.</w:t>
      </w:r>
      <w:r>
        <w:tab/>
        <w:t>Введение</w:t>
      </w:r>
    </w:p>
    <w:p w14:paraId="253D6477" w14:textId="588E12CE" w:rsidR="00361D9A" w:rsidRDefault="00885FCE">
      <w:pPr>
        <w:pStyle w:val="Normalnumber"/>
        <w:tabs>
          <w:tab w:val="clear" w:pos="1247"/>
          <w:tab w:val="clear" w:pos="1814"/>
          <w:tab w:val="clear" w:pos="2381"/>
          <w:tab w:val="clear" w:pos="2948"/>
          <w:tab w:val="clear" w:pos="3515"/>
          <w:tab w:val="left" w:pos="624"/>
        </w:tabs>
      </w:pPr>
      <w:r>
        <w:t>В решении XXXVII/7, принятом на тридцать седьмом совещании Сторон Монреальского протокола по веществам, разрушающим озоновый слой, Секретариату по озону было предложено подготовить доклад, посвященный вариантам внесения эффективных и рациональных изменений (с учетом соответствующих смет расходов) в отношении сроков проведения Совещаний Сторон и совещаний Рабочей группы открытого состава, Комитета по выполнению в рамках Процедуры, касающейся несоблюдения Монреальского протокола, и групп по оценке, в отношени</w:t>
      </w:r>
      <w:r>
        <w:t>и объема поддержки, оказываемой Секретариатом по озону в связи с проведением указанных мероприятий и их продолжительности, а также сроков принятия решений о пополнении средств, для рассмотрения Рабочей группой открытого состава Сторон Монреальского протокола на ее сорок восьмом совещании. Доклад был представлен в документах UNEP/OzL.Pro.WG.1/48/4 и UNEP/OzL.Pro.WG.1/48/4/Add.1.</w:t>
      </w:r>
    </w:p>
    <w:p w14:paraId="1442E77A" w14:textId="437D18A6" w:rsidR="00361D9A" w:rsidRDefault="00885FCE">
      <w:pPr>
        <w:pStyle w:val="Normalnumber"/>
        <w:tabs>
          <w:tab w:val="clear" w:pos="1247"/>
          <w:tab w:val="clear" w:pos="1814"/>
          <w:tab w:val="clear" w:pos="2381"/>
          <w:tab w:val="clear" w:pos="2948"/>
          <w:tab w:val="clear" w:pos="3515"/>
          <w:tab w:val="left" w:pos="624"/>
        </w:tabs>
        <w:ind w:left="1247"/>
      </w:pPr>
      <w:r>
        <w:t xml:space="preserve">Обсуждение этого вопроса проходило на пленарных заседаниях в ходе сорок восьмого совещания Рабочей группы открытого состава и в рамках контактной группы, сопредседателями которой выступили Алессандро Перу (Италия) и Серхио Мерино (Мексика). Краткое изложение обсуждений, состоявшихся на пленарных заседаниях, приведено в пунктах 154–164 доклада об итогах совещания (UNEP/OzL.Pro.WG.1/48/5). В рамках работы контактной группы Секретариат составил перечень всех вопросов, заданных участниками в ходе обсуждения, а </w:t>
      </w:r>
      <w:r>
        <w:t xml:space="preserve">Стороны получили возможность направить дополнительные вопросы после совещания в срок до 31 августа 2026 года. Все поднятые вопросы были включены в информационную записку, ознакомиться с которой можно на портале, посвященной тридцать восьмому совещанию Сторон. Руководствуясь решением, принятым на сорок восьмом совещании Рабочей группы открытого состава, Секретариат подготовил настоящий доклад с целью дать ответы на эти вопросы. Информация, содержащаяся в настоящем документе, дополняет сведения, которые были </w:t>
      </w:r>
      <w:r>
        <w:t>представлены в докладе, рассмотренном на сорок восьмом совещании Рабочей группы открытого состава.</w:t>
      </w:r>
    </w:p>
    <w:p w14:paraId="23586576" w14:textId="66301E2D" w:rsidR="00361D9A" w:rsidRDefault="00885FCE">
      <w:pPr>
        <w:pStyle w:val="CH1"/>
      </w:pPr>
      <w:r>
        <w:lastRenderedPageBreak/>
        <w:tab/>
        <w:t>II.</w:t>
      </w:r>
      <w:r>
        <w:tab/>
        <w:t>Сценарии, представленные в докладе, который был рассмотрен Рабочей группой открытого состава</w:t>
      </w:r>
    </w:p>
    <w:p w14:paraId="20321A0A" w14:textId="5F02890D" w:rsidR="00361D9A" w:rsidRDefault="00885FCE">
      <w:pPr>
        <w:pStyle w:val="CH2"/>
      </w:pPr>
      <w:r>
        <w:tab/>
        <w:t>A.</w:t>
      </w:r>
      <w:r>
        <w:tab/>
        <w:t>Разработка и выбор сценариев</w:t>
      </w:r>
    </w:p>
    <w:p w14:paraId="029D402A" w14:textId="552F4F1C" w:rsidR="00361D9A" w:rsidRDefault="00885FCE">
      <w:pPr>
        <w:pStyle w:val="Normalnumber"/>
        <w:tabs>
          <w:tab w:val="clear" w:pos="1247"/>
          <w:tab w:val="clear" w:pos="1814"/>
          <w:tab w:val="clear" w:pos="2381"/>
          <w:tab w:val="clear" w:pos="2948"/>
          <w:tab w:val="clear" w:pos="3515"/>
          <w:tab w:val="left" w:pos="624"/>
        </w:tabs>
        <w:ind w:left="1247"/>
      </w:pPr>
      <w:r>
        <w:t>Сценарии, представленные в документе UNEP/OzL.Pro.WG.1/48/4, были разработаны на основе параметров, изложенных в решении XXXVII/7, которые охватывают сроки проведения и продолжительность Совещаний Сторон, их вспомогательных органов и групп по оценке, а также объем поддержки, оказываемой Секретариатом в связи с проведением указанных мероприятий; и сроки принятия решений о пополнении средств Многостороннего фонда для осуществления Монреальского протокола. Сценарий A, предусматривающий сохранение текущего поло</w:t>
      </w:r>
      <w:r>
        <w:t>жения, отражает текущие рабочие циклы совещаний Сторон Монреальского протокола, Конференции Сторон Венской конвенции об охране озонового слоя и их вспомогательных органов, а также групп по оценке и цикл пополнения средств Многостороннего фонда. Взяв сценарий A за основу, Секретариат разработал два дополнительных сценария путем изменения вышеупомянутых параметров. При разработке этих вариантов Секретариат руководствовался целью, лежащей в основе решения XXXVII/7: изучить возможности повышения эффективности п</w:t>
      </w:r>
      <w:r>
        <w:t>ри сохранении результативного функционирования институтов и процессов, предусмотренных договорами по озону.</w:t>
      </w:r>
    </w:p>
    <w:p w14:paraId="55712272" w14:textId="2B6584A0" w:rsidR="00361D9A" w:rsidRDefault="00885FCE">
      <w:pPr>
        <w:pStyle w:val="Normalnumber"/>
        <w:tabs>
          <w:tab w:val="clear" w:pos="1247"/>
          <w:tab w:val="clear" w:pos="1814"/>
          <w:tab w:val="clear" w:pos="2381"/>
          <w:tab w:val="clear" w:pos="2948"/>
          <w:tab w:val="clear" w:pos="3515"/>
          <w:tab w:val="left" w:pos="624"/>
        </w:tabs>
        <w:ind w:left="1247"/>
      </w:pPr>
      <w:r>
        <w:t xml:space="preserve">Сценарий B предусматривает сохранение ежегодного Совещания Сторон, текущего ежегодного цикла принятия решений, а также циклов оценки и пополнения средств, при этом требуя внесения изменений в условия проведения совещаний Рабочей группы открытого состава и Комитета по выполнению. Сценарий C описывает более радикальные меры, в том числе предусматривающие изменение самого цикла принятия решений и проведение совещаний Сторон с периодичностью раз в два года, что потребует внесения изменений в порядок проведения </w:t>
      </w:r>
      <w:r>
        <w:t>совещаний Рабочей группы открытого состава и Комитета по выполнению, а также циклы оценки и пополнения средств. Другими словами, сценарии B и C содержат легко поддающиеся оценке и реализации корректировки текущих механизмов, отраженных в сценарии A. Оба варианта предусматривают различный масштаб изменений, но призваны обеспечить эффективное и результативное функционирование договоров по озону в будущем.</w:t>
      </w:r>
    </w:p>
    <w:p w14:paraId="5D3CADA0" w14:textId="3084F315" w:rsidR="00361D9A" w:rsidRDefault="00885FCE">
      <w:pPr>
        <w:pStyle w:val="Normalnumber"/>
        <w:tabs>
          <w:tab w:val="clear" w:pos="1247"/>
          <w:tab w:val="clear" w:pos="1814"/>
          <w:tab w:val="clear" w:pos="2381"/>
          <w:tab w:val="clear" w:pos="2948"/>
          <w:tab w:val="clear" w:pos="3515"/>
          <w:tab w:val="left" w:pos="624"/>
        </w:tabs>
        <w:ind w:left="1247"/>
      </w:pPr>
      <w:r>
        <w:t>При разработке сценариев Секретариат также рассмотрел другие возможности, в том числе те, которые предполагают дальнейшее сокращение частоты проведения совещаний, например, переход на трехлетний цикл проведения Совещаний Сторон в сочетании с уменьшением количества совещаний Рабочей группы открытого состава. Однако такие меры отражают более существенные отступления от текущей практики и могут привести к значительным сбоям в применении Монреальского протокола, что может сказаться на эффективности и устойчивос</w:t>
      </w:r>
      <w:r>
        <w:t>ти его институциональных механизмов.</w:t>
      </w:r>
    </w:p>
    <w:p w14:paraId="0F6F5235" w14:textId="5CBD5953" w:rsidR="00361D9A" w:rsidRDefault="00885FCE">
      <w:pPr>
        <w:pStyle w:val="Normalnumber"/>
        <w:tabs>
          <w:tab w:val="clear" w:pos="1247"/>
          <w:tab w:val="clear" w:pos="1814"/>
          <w:tab w:val="clear" w:pos="2381"/>
          <w:tab w:val="clear" w:pos="2948"/>
          <w:tab w:val="clear" w:pos="3515"/>
          <w:tab w:val="left" w:pos="624"/>
        </w:tabs>
        <w:ind w:left="1247"/>
      </w:pPr>
      <w:r>
        <w:t>Можно также разработать множество других вариантов порядка проведения совещаний, которые, в частности, предусматривают сокращение продолжительности очных совещаний, организацию дополнительных онлайн-встреч различной продолжительности или замену ими традиционных заседаний, а также проведение совещаний в отсутствие устного перевода. Применение различных комбинаций указанных вариантов в отношении Совещаний Сторон и совещаний вспомогательных органов позволит разработать большое количество возможных сценариев, м</w:t>
      </w:r>
      <w:r>
        <w:t>ногие из которых могут представлять собой незначительные модификации одних и тех же базовых сценариев, а не принципиально отличающиеся друг от друга подходы.</w:t>
      </w:r>
    </w:p>
    <w:p w14:paraId="3BBBD119" w14:textId="49BC6215" w:rsidR="00361D9A" w:rsidRDefault="00885FCE">
      <w:pPr>
        <w:pStyle w:val="Normalnumber"/>
        <w:tabs>
          <w:tab w:val="clear" w:pos="1247"/>
          <w:tab w:val="clear" w:pos="1814"/>
          <w:tab w:val="clear" w:pos="2381"/>
          <w:tab w:val="clear" w:pos="2948"/>
          <w:tab w:val="clear" w:pos="3515"/>
          <w:tab w:val="left" w:pos="624"/>
        </w:tabs>
        <w:ind w:left="1247"/>
      </w:pPr>
      <w:r>
        <w:t xml:space="preserve">Вместо того чтобы пытаться представить все возможные комбинации, Секретариат разработал три вышеуказанных сценария в качестве структурированной основы для рассмотрения целого ряда потенциальных механизмов. В разделе IV документа UNEP/OzL.Pro.WG.1/48/4, рассмотренного на сорок восьмом совещании Рабочей группы открытого состава, были указаны некоторые статьи расходов на проведение совещаний в различных форматах. Эти данные необходимы для того, чтобы предоставить Сторонам возможность разработать и рассмотреть </w:t>
      </w:r>
      <w:r>
        <w:t>дополнительные или альтернативные варианты сценариев и совещаний. Настоящий документ содержит обновленную смету расходов.</w:t>
      </w:r>
    </w:p>
    <w:p w14:paraId="23C98CFF" w14:textId="1B19A0FD" w:rsidR="00361D9A" w:rsidRDefault="00885FCE">
      <w:pPr>
        <w:pStyle w:val="Normalnumber"/>
        <w:tabs>
          <w:tab w:val="clear" w:pos="1247"/>
          <w:tab w:val="clear" w:pos="1814"/>
          <w:tab w:val="clear" w:pos="2381"/>
          <w:tab w:val="clear" w:pos="2948"/>
          <w:tab w:val="clear" w:pos="3515"/>
          <w:tab w:val="left" w:pos="624"/>
        </w:tabs>
        <w:ind w:left="1247"/>
      </w:pPr>
      <w:r>
        <w:t>Таким образом, сценарии, представленные в документе UNEP/OzL.Pro.WG.1/48/4, следует рассматривать не как единственный набор возможных механизмов, а как варианты, отобранные с целью продемонстрировать наиболее вероятные пути изменений, которые позволят сохранить жизнеспособность договоров по озону и послужат основой для рассмотрения дальнейших комбинаций.</w:t>
      </w:r>
    </w:p>
    <w:p w14:paraId="2BBA5482" w14:textId="206B24C7" w:rsidR="00361D9A" w:rsidRDefault="00885FCE">
      <w:pPr>
        <w:pStyle w:val="CH2"/>
      </w:pPr>
      <w:r>
        <w:lastRenderedPageBreak/>
        <w:tab/>
        <w:t>B.</w:t>
      </w:r>
      <w:r>
        <w:tab/>
        <w:t>Последствия реализации сценариев</w:t>
      </w:r>
    </w:p>
    <w:p w14:paraId="65C389B2" w14:textId="74C0B986" w:rsidR="00361D9A" w:rsidRDefault="00885FCE">
      <w:pPr>
        <w:pStyle w:val="Normalnumber"/>
        <w:tabs>
          <w:tab w:val="clear" w:pos="1247"/>
          <w:tab w:val="clear" w:pos="1814"/>
          <w:tab w:val="clear" w:pos="2381"/>
          <w:tab w:val="clear" w:pos="2948"/>
          <w:tab w:val="clear" w:pos="3515"/>
          <w:tab w:val="left" w:pos="624"/>
        </w:tabs>
        <w:ind w:left="1247"/>
      </w:pPr>
      <w:r>
        <w:t>Влияние сценариев, описанных в документе UNEP/OzL.Pro.WG.1/48/4, на процесс реализации Монреальского протокола и Кигалийской поправки к нему зависит от того, в какой степени предусмотренные ими условия изменят сроки и своевременность принятия решений, а также скажутся на способности Сторон предпринимать шаги, необходимые для дальнейшего выполнения обязательств.</w:t>
      </w:r>
    </w:p>
    <w:p w14:paraId="7D881990" w14:textId="3FAEE520" w:rsidR="00361D9A" w:rsidRDefault="00885FCE">
      <w:pPr>
        <w:pStyle w:val="Normalnumber"/>
        <w:tabs>
          <w:tab w:val="clear" w:pos="1247"/>
          <w:tab w:val="clear" w:pos="1814"/>
          <w:tab w:val="clear" w:pos="2381"/>
          <w:tab w:val="clear" w:pos="2948"/>
          <w:tab w:val="clear" w:pos="3515"/>
          <w:tab w:val="left" w:pos="624"/>
        </w:tabs>
        <w:ind w:left="1247"/>
      </w:pPr>
      <w:r>
        <w:t>Меры регулирования, предоставление данных и другие обязательства, охватываемые Монреальским протоколом, включая требования, введенные Кигалийской поправкой, будут по-прежнему применяться в соответствии с ранее установленными графиками, независимо от периодичности и других форматов проведения совещаний. Таким образом, сами сценарии не повлияют на обязательства Сторон или сроки реализации, но скажутся на периодичности совместного рассмотрения Сторонами вопросов, связанных с выполнением обязательств, а также н</w:t>
      </w:r>
      <w:r>
        <w:t>а скорости разработки и принятия политических мер реагирования. Этот аспект может оказаться особенно важным в связи с реализацией Кигалийской поправки. По мере продвижения Сторон по пути поэтапного сокращения потребления и производства гидрофторуглеродов (ГФУ) могут возникать вопросы, связанные с реализацией соответствующих мер, которые, в том числе, касаются наличия и внедрения альтернатив, стандартов безопасности, энергоэффективности, требований к техническому обслуживанию, передачи данных о ГФУ, систем л</w:t>
      </w:r>
      <w:r>
        <w:t>ицензирования и квотирования, а также финансирования. Некоторые вопросы могут потребовать учета технических аспектов и обмена мнениями между Сторонами до разработки мер реагирования или решений в области политики.</w:t>
      </w:r>
    </w:p>
    <w:p w14:paraId="126E2D01" w14:textId="769D7F40" w:rsidR="00361D9A" w:rsidRDefault="00885FCE">
      <w:pPr>
        <w:pStyle w:val="Normalnumber"/>
        <w:tabs>
          <w:tab w:val="clear" w:pos="1247"/>
          <w:tab w:val="clear" w:pos="1814"/>
          <w:tab w:val="clear" w:pos="2381"/>
          <w:tab w:val="clear" w:pos="2948"/>
          <w:tab w:val="clear" w:pos="3515"/>
          <w:tab w:val="left" w:pos="624"/>
        </w:tabs>
        <w:ind w:left="1247"/>
      </w:pPr>
      <w:r>
        <w:t xml:space="preserve">Достижения в научной, технической, технологической и прикладной сферах, а также новые и назревающие проблемы далеко не всегда привязаны к официальным циклам проведения совещаний. Текущие рабочие циклы и циклы проведения совещаний хорошо подходят для рассмотрения и решения таких вопросов на ежегодной основе: сначала в рамках Рабочей группы открытого состава, а затем на последующем Совещании Сторон. </w:t>
      </w:r>
    </w:p>
    <w:p w14:paraId="1B4DF18C" w14:textId="4EE02338" w:rsidR="00361D9A" w:rsidRDefault="00885FCE">
      <w:pPr>
        <w:pStyle w:val="Normalnumber"/>
        <w:tabs>
          <w:tab w:val="clear" w:pos="1247"/>
          <w:tab w:val="clear" w:pos="1814"/>
          <w:tab w:val="clear" w:pos="2381"/>
          <w:tab w:val="clear" w:pos="2948"/>
          <w:tab w:val="clear" w:pos="3515"/>
          <w:tab w:val="left" w:pos="624"/>
        </w:tabs>
        <w:ind w:left="1247"/>
      </w:pPr>
      <w:r>
        <w:t>Сценарий B предусматривает сохранение текущих циклов проведения совещаний и организации работы, но требует внесения изменений в формат совещаний Рабочей группы открытого состава, которые предлагается проводить в режиме онлайн, а не в очном формате. Влияние этого сценария на процесс реализации Монреальского протокола и Кигалийской поправки к нему, по всей вероятности, будет аналогичным воздействию, предусмотренному сценарием A. Проблемы, связанные с проведением онлайн-совещаний, рассматриваются в документе U</w:t>
      </w:r>
      <w:r>
        <w:t>NEP/OzL.Pro.WG.1/48/4 и упоминаются в настоящем документе, например в пункте 19. С целью компенсировать отсутствие возможности проводить обсуждения в Рабочей группе открытого состава в очном формате предлагается увеличить продолжительность Совещания Сторон. Это позволит обеспечить личное участие в важных переговорах. Первое совещание Комитета по выполнению, проводимое на ежегодной основе, также будет проходить в режиме онлайн. Предыдущий опыт проведения совещаний Комитета по выполнению в режиме онлайн во вр</w:t>
      </w:r>
      <w:r>
        <w:t xml:space="preserve">емя пандемии коронавирусной инфекции (COVID-19) оказался положительным, и все вопросы, включенные в повестку дня на тот момент, были успешно решены. Замена очных совещаний онлайн-встречами может обусловить экономию средств. </w:t>
      </w:r>
    </w:p>
    <w:p w14:paraId="4D4CB95C" w14:textId="241EAB9C" w:rsidR="00361D9A" w:rsidRDefault="00885FCE">
      <w:pPr>
        <w:pStyle w:val="Normalnumber"/>
        <w:tabs>
          <w:tab w:val="clear" w:pos="1247"/>
          <w:tab w:val="clear" w:pos="1814"/>
          <w:tab w:val="clear" w:pos="2381"/>
          <w:tab w:val="clear" w:pos="2948"/>
          <w:tab w:val="clear" w:pos="3515"/>
          <w:tab w:val="left" w:pos="624"/>
        </w:tabs>
        <w:ind w:left="1247"/>
      </w:pPr>
      <w:r>
        <w:t>В соответствии со сценарием C совещания Рабочей группы открытого состава и Совещания Сторон должны проводиться поочередно через год, а не на ежегодной основе. Основным результатом станет увеличение временного интервала между моментом первоначального рассмотрения вопросов и выработкой решений в рамках Рабочей группы открытого состава и их последующим представлением (при необходимости) на утверждение Совещанию Сторон. Таким образом, тот или иной вопрос может оставаться нерешенным вплоть до года, следующего за</w:t>
      </w:r>
      <w:r>
        <w:t xml:space="preserve"> сессией Рабочей группы открытого состава. И наоборот: вопрос, требующий срочного рассмотрения на Совещании Сторон, может возникнуть внезапно, без предварительного обсуждения в Рабочей группе открытого состава, что лишит Стороны возможности прийти к общему пониманию и выработать взвешенные предложения до принятия окончательного решения. Подходы к устранению потенциальных недостатков, связанных со сценарием C, предусматривают более тщательное планирование повесток дня на многолетний период; заблаговременное </w:t>
      </w:r>
      <w:r>
        <w:t xml:space="preserve">выявление вопросов, требующих принятия решения Совещанием Сторон; надлежащее использование межсессионных консультаций; а также сохранение возможности созыва дополнительных или чрезвычайных сессий в тех случаях, когда это оправдано. </w:t>
      </w:r>
    </w:p>
    <w:p w14:paraId="1B2E5EF0" w14:textId="7DD3A098" w:rsidR="00361D9A" w:rsidRDefault="00885FCE">
      <w:pPr>
        <w:pStyle w:val="Normalnumber"/>
        <w:tabs>
          <w:tab w:val="clear" w:pos="1247"/>
          <w:tab w:val="clear" w:pos="1814"/>
          <w:tab w:val="clear" w:pos="2381"/>
          <w:tab w:val="clear" w:pos="2948"/>
          <w:tab w:val="clear" w:pos="3515"/>
          <w:tab w:val="left" w:pos="624"/>
        </w:tabs>
        <w:ind w:left="1247"/>
      </w:pPr>
      <w:r>
        <w:t xml:space="preserve">Сценарий C может обеспечить значительную экономию средств за счет сокращения числа ежегодных совещаний и внесения изменений в рабочие циклы групп по оценке, </w:t>
      </w:r>
      <w:r>
        <w:lastRenderedPageBreak/>
        <w:t xml:space="preserve">комитетов по техническим вариантам замены и целевых подгрупп Группы по техническому обзору и экономической оценке, включая циклы, которые связаны с пополнением средств Многостороннего фонда. Однако при оценке экономии необходимо учитывать потенциальную потребность в активизации межсессионной работы и процедур, направленных на обеспечение непрерывности деятельности, а также достаточной гибкости и оперативности процессов, призванных содействовать своевременной реализации Монреальского протокола и Кигалийской </w:t>
      </w:r>
      <w:r>
        <w:t>поправки к нему, а также решению новых и назревающих проблем.</w:t>
      </w:r>
    </w:p>
    <w:p w14:paraId="349F7B21" w14:textId="4E611526" w:rsidR="00361D9A" w:rsidRDefault="00885FCE">
      <w:pPr>
        <w:pStyle w:val="Normalnumber"/>
        <w:tabs>
          <w:tab w:val="clear" w:pos="1247"/>
          <w:tab w:val="clear" w:pos="1814"/>
          <w:tab w:val="clear" w:pos="2381"/>
          <w:tab w:val="clear" w:pos="2948"/>
          <w:tab w:val="clear" w:pos="3515"/>
          <w:tab w:val="left" w:pos="624"/>
        </w:tabs>
        <w:ind w:left="1247"/>
      </w:pPr>
      <w:r>
        <w:t>В случае, если речь идет о Сторонах, действующих в рамках пункта 1 статьи 5 Монреальского протокола (Сторонах, действующих в рамках статьи 5), процесс реализации в значительной степени основан на поддержке, оказываемой Многосторонним фондом. Деятельность Фонда регулируется его Исполнительным комитетом, однако основополагающие вопросы, связанные с политикой, выносятся на рассмотрение и утверждение Совещанию Сторон. Таким образом, практические последствия принятия решений в рамках Совещания Сторон с периодичн</w:t>
      </w:r>
      <w:r>
        <w:t xml:space="preserve">остью раз в два года, а не на ежегодной основе, вряд ли окажут существенное негативное влияние на процесс реализации Монреальского протокола и Кигалийской поправки к нему Сторонами, действующими в рамках статьи 5, при условии, что Исполнительный комитет сможет продолжить свою деятельность по разработке и утверждению проектов и связанных с ними руководящих принципов.  </w:t>
      </w:r>
    </w:p>
    <w:p w14:paraId="6E101FDF" w14:textId="39CE2B03" w:rsidR="00361D9A" w:rsidRDefault="00885FCE">
      <w:pPr>
        <w:pStyle w:val="Normalnumber"/>
        <w:tabs>
          <w:tab w:val="clear" w:pos="1247"/>
          <w:tab w:val="clear" w:pos="1814"/>
          <w:tab w:val="clear" w:pos="2381"/>
          <w:tab w:val="clear" w:pos="2948"/>
          <w:tab w:val="clear" w:pos="3515"/>
          <w:tab w:val="left" w:pos="624"/>
        </w:tabs>
        <w:ind w:left="1247"/>
      </w:pPr>
      <w:r>
        <w:t>Последствия увеличения интервалов между принятием решений в рамках Совещаний Сторон зависят от характера и срочности возникающих вопросов. Многие вопросы могут по-прежнему решаться в рамках работы Секретариата, групп по оценке, Комитета по выполнению, Исполнительного комитета и других утвержденных механизмов. Межсессионные консультации и виртуальные совещания также могут способствовать обмену информацией и выработке решений в период между официальными совещаниями. В целях принятия срочных решений могут орга</w:t>
      </w:r>
      <w:r>
        <w:t>низовываться чрезвычайные Совещания Сторон или использоваться процедуры принятия решений при отсутствии возражений. Такие меры позволяют смягчить ряд последствий, связанных со сценарием C, хотя они также могут повлечь за собой дополнительную межсессионную работу и потребовать выделения новых ресурсов.</w:t>
      </w:r>
    </w:p>
    <w:p w14:paraId="622C93FC" w14:textId="77777777" w:rsidR="00361D9A" w:rsidRDefault="00885FCE">
      <w:pPr>
        <w:pStyle w:val="Normalnumber"/>
        <w:tabs>
          <w:tab w:val="clear" w:pos="1247"/>
          <w:tab w:val="clear" w:pos="1814"/>
          <w:tab w:val="clear" w:pos="2381"/>
          <w:tab w:val="clear" w:pos="2948"/>
          <w:tab w:val="clear" w:pos="3515"/>
          <w:tab w:val="left" w:pos="624"/>
        </w:tabs>
        <w:ind w:left="1247"/>
        <w:sectPr w:rsidR="00361D9A" w:rsidSect="00631328">
          <w:headerReference w:type="even" r:id="rId13"/>
          <w:headerReference w:type="default" r:id="rId14"/>
          <w:footerReference w:type="even" r:id="rId15"/>
          <w:footerReference w:type="default" r:id="rId16"/>
          <w:pgSz w:w="11907" w:h="16839" w:code="9"/>
          <w:pgMar w:top="907" w:right="992" w:bottom="1418" w:left="1418" w:header="539" w:footer="975" w:gutter="0"/>
          <w:cols w:space="539"/>
          <w:titlePg/>
          <w:docGrid w:linePitch="360"/>
        </w:sectPr>
      </w:pPr>
      <w:r>
        <w:t xml:space="preserve">В Таблице 1 описаны общие последствия реализации трех основных сценариев с учетом аспектов, рассмотренных в ходе обсуждений, и вопросов, поднятых Сторонами; некоторые из этих аспектов описаны в предыдущих пунктах. Отдельные пояснения приводятся повторно из документа UNEP/OzL.Pro.WG.1/48/4. </w:t>
      </w:r>
    </w:p>
    <w:p w14:paraId="13FE2872" w14:textId="0A223C32" w:rsidR="00361D9A" w:rsidRDefault="00885FCE">
      <w:pPr>
        <w:pStyle w:val="Titletable"/>
      </w:pPr>
      <w:r>
        <w:rPr>
          <w:b w:val="0"/>
        </w:rPr>
        <w:lastRenderedPageBreak/>
        <w:t xml:space="preserve">Таблица 1 </w:t>
      </w:r>
      <w:r>
        <w:br/>
        <w:t>Краткое описание сценариев A, B и C и последствий их реализации</w:t>
      </w:r>
    </w:p>
    <w:tbl>
      <w:tblPr>
        <w:tblW w:w="5000" w:type="pct"/>
        <w:jc w:val="right"/>
        <w:tblCellMar>
          <w:left w:w="10" w:type="dxa"/>
          <w:right w:w="10" w:type="dxa"/>
        </w:tblCellMar>
        <w:tblLook w:val="0000" w:firstRow="0" w:lastRow="0" w:firstColumn="0" w:lastColumn="0" w:noHBand="0" w:noVBand="0"/>
      </w:tblPr>
      <w:tblGrid>
        <w:gridCol w:w="2438"/>
        <w:gridCol w:w="3354"/>
        <w:gridCol w:w="4399"/>
        <w:gridCol w:w="4238"/>
      </w:tblGrid>
      <w:tr w:rsidR="00361D9A" w14:paraId="75C1C53F" w14:textId="77777777">
        <w:trPr>
          <w:trHeight w:val="57"/>
          <w:tblHeader/>
          <w:jc w:val="right"/>
        </w:trPr>
        <w:tc>
          <w:tcPr>
            <w:tcW w:w="1701" w:type="dxa"/>
            <w:tcBorders>
              <w:top w:val="single" w:sz="4" w:space="0" w:color="auto"/>
              <w:bottom w:val="single" w:sz="12" w:space="0" w:color="auto"/>
            </w:tcBorders>
            <w:tcMar>
              <w:top w:w="40" w:type="dxa"/>
              <w:left w:w="80" w:type="dxa"/>
              <w:bottom w:w="40" w:type="dxa"/>
              <w:right w:w="80" w:type="dxa"/>
            </w:tcMar>
            <w:vAlign w:val="bottom"/>
          </w:tcPr>
          <w:p w14:paraId="2A1D407D" w14:textId="77777777" w:rsidR="00361D9A" w:rsidRDefault="00885FCE">
            <w:pPr>
              <w:pStyle w:val="P68B1DB1-Normal-pool-Table1"/>
              <w:spacing w:before="20" w:after="60"/>
            </w:pPr>
            <w:r>
              <w:t>Аспект</w:t>
            </w:r>
          </w:p>
        </w:tc>
        <w:tc>
          <w:tcPr>
            <w:tcW w:w="3544" w:type="dxa"/>
            <w:tcBorders>
              <w:top w:val="single" w:sz="4" w:space="0" w:color="auto"/>
              <w:bottom w:val="single" w:sz="12" w:space="0" w:color="auto"/>
            </w:tcBorders>
            <w:tcMar>
              <w:top w:w="40" w:type="dxa"/>
              <w:left w:w="80" w:type="dxa"/>
              <w:bottom w:w="40" w:type="dxa"/>
              <w:right w:w="80" w:type="dxa"/>
            </w:tcMar>
            <w:vAlign w:val="bottom"/>
          </w:tcPr>
          <w:p w14:paraId="3F3FBEC5" w14:textId="77777777" w:rsidR="00361D9A" w:rsidRDefault="00885FCE">
            <w:pPr>
              <w:pStyle w:val="P68B1DB1-Normal-pool-Table1"/>
              <w:spacing w:before="20" w:after="60"/>
            </w:pPr>
            <w:r>
              <w:t>Сценарий А (сохранение текущего положения)</w:t>
            </w:r>
          </w:p>
        </w:tc>
        <w:tc>
          <w:tcPr>
            <w:tcW w:w="4678" w:type="dxa"/>
            <w:tcBorders>
              <w:top w:val="single" w:sz="4" w:space="0" w:color="auto"/>
              <w:bottom w:val="single" w:sz="12" w:space="0" w:color="auto"/>
            </w:tcBorders>
            <w:tcMar>
              <w:top w:w="40" w:type="dxa"/>
              <w:left w:w="80" w:type="dxa"/>
              <w:bottom w:w="40" w:type="dxa"/>
              <w:right w:w="80" w:type="dxa"/>
            </w:tcMar>
            <w:vAlign w:val="bottom"/>
          </w:tcPr>
          <w:p w14:paraId="3F9F24ED" w14:textId="32E5FB57" w:rsidR="00361D9A" w:rsidRDefault="00885FCE">
            <w:pPr>
              <w:pStyle w:val="P68B1DB1-Normal-pool-Table1"/>
              <w:spacing w:before="20" w:after="60"/>
            </w:pPr>
            <w:r>
              <w:t>Сценарий B (увеличение продолжительности ежегодного СС)</w:t>
            </w:r>
          </w:p>
        </w:tc>
        <w:tc>
          <w:tcPr>
            <w:tcW w:w="4506" w:type="dxa"/>
            <w:tcBorders>
              <w:top w:val="single" w:sz="4" w:space="0" w:color="auto"/>
              <w:bottom w:val="single" w:sz="12" w:space="0" w:color="auto"/>
            </w:tcBorders>
            <w:tcMar>
              <w:top w:w="40" w:type="dxa"/>
              <w:left w:w="80" w:type="dxa"/>
              <w:bottom w:w="40" w:type="dxa"/>
              <w:right w:w="80" w:type="dxa"/>
            </w:tcMar>
            <w:vAlign w:val="bottom"/>
          </w:tcPr>
          <w:p w14:paraId="57586905" w14:textId="77777777" w:rsidR="00361D9A" w:rsidRDefault="00885FCE">
            <w:pPr>
              <w:pStyle w:val="P68B1DB1-Normal-pool-Table1"/>
              <w:spacing w:before="20" w:after="60"/>
            </w:pPr>
            <w:r>
              <w:t>Сценарий C (проведение СС раз в два года)</w:t>
            </w:r>
          </w:p>
        </w:tc>
      </w:tr>
      <w:tr w:rsidR="00361D9A" w14:paraId="52E16E96" w14:textId="77777777">
        <w:trPr>
          <w:trHeight w:val="57"/>
          <w:jc w:val="right"/>
        </w:trPr>
        <w:tc>
          <w:tcPr>
            <w:tcW w:w="1701" w:type="dxa"/>
            <w:tcBorders>
              <w:top w:val="single" w:sz="12" w:space="0" w:color="auto"/>
              <w:bottom w:val="single" w:sz="4" w:space="0" w:color="auto"/>
            </w:tcBorders>
            <w:tcMar>
              <w:top w:w="40" w:type="dxa"/>
              <w:left w:w="80" w:type="dxa"/>
              <w:bottom w:w="40" w:type="dxa"/>
              <w:right w:w="80" w:type="dxa"/>
            </w:tcMar>
          </w:tcPr>
          <w:p w14:paraId="31FBD507" w14:textId="5E6BFC4A" w:rsidR="00361D9A" w:rsidRDefault="00885FCE">
            <w:pPr>
              <w:pStyle w:val="P68B1DB1-Normal-pool-Table2"/>
              <w:spacing w:before="20" w:after="60"/>
            </w:pPr>
            <w:r>
              <w:t>Описание элементов</w:t>
            </w:r>
            <w:r>
              <w:rPr>
                <w:i/>
                <w:vertAlign w:val="superscript"/>
              </w:rPr>
              <w:t>a</w:t>
            </w:r>
          </w:p>
        </w:tc>
        <w:tc>
          <w:tcPr>
            <w:tcW w:w="3544" w:type="dxa"/>
            <w:tcBorders>
              <w:top w:val="single" w:sz="12" w:space="0" w:color="auto"/>
              <w:bottom w:val="single" w:sz="4" w:space="0" w:color="auto"/>
            </w:tcBorders>
            <w:tcMar>
              <w:top w:w="40" w:type="dxa"/>
              <w:left w:w="80" w:type="dxa"/>
              <w:bottom w:w="40" w:type="dxa"/>
              <w:right w:w="80" w:type="dxa"/>
            </w:tcMar>
          </w:tcPr>
          <w:p w14:paraId="7C36B4AC" w14:textId="6FBA9093" w:rsidR="00361D9A" w:rsidRDefault="00885FCE">
            <w:pPr>
              <w:pStyle w:val="Normal-pool-Table"/>
              <w:spacing w:before="20" w:after="60"/>
            </w:pPr>
            <w:r>
              <w:t>Сохранение циклов и условий проведения совещаний, включая ежегодные СС и совещания РГОС; проведение двух совещаний КВ в год; сохранение четырехгодичного цикла подготовки докладов об оценке и требования о ежегодном представлении докладов о ходе работы; пополнение средств МФ с периодичностью раз в три года; дальнейшее проведение совещаний Исполнительного комитета по мере необходимости</w:t>
            </w:r>
          </w:p>
          <w:p w14:paraId="25284DE8" w14:textId="6349549B" w:rsidR="00361D9A" w:rsidRDefault="00885FCE">
            <w:pPr>
              <w:pStyle w:val="Normal-pool-Table"/>
              <w:spacing w:before="20" w:after="60"/>
            </w:pPr>
            <w:r>
              <w:t>Дальнейшее проведение совещаний РИО в рамках Венской конвенции (с заседанием Бюро КС) и совещаний КС с периодичностью раз в три года</w:t>
            </w:r>
          </w:p>
        </w:tc>
        <w:tc>
          <w:tcPr>
            <w:tcW w:w="4678" w:type="dxa"/>
            <w:tcBorders>
              <w:top w:val="single" w:sz="12" w:space="0" w:color="auto"/>
              <w:bottom w:val="single" w:sz="4" w:space="0" w:color="auto"/>
            </w:tcBorders>
            <w:tcMar>
              <w:top w:w="40" w:type="dxa"/>
              <w:left w:w="80" w:type="dxa"/>
              <w:bottom w:w="40" w:type="dxa"/>
              <w:right w:w="80" w:type="dxa"/>
            </w:tcMar>
          </w:tcPr>
          <w:p w14:paraId="3A94F3BB" w14:textId="0221CD3A" w:rsidR="00361D9A" w:rsidRDefault="00885FCE">
            <w:pPr>
              <w:pStyle w:val="Normal-pool-Table"/>
              <w:spacing w:before="20" w:after="60"/>
            </w:pPr>
            <w:r>
              <w:t>Замена очных совещаний РГОС встречами в онлайн-формате и продление СС при организации переговоров, которые невозможно провести в рамках онлайн-совещаний РГОС; проведение одного заседания Бюро СС; организация двух совещаний КВ (первое ежегодное совещание в режиме онлайн); подготовка докладов об оценке с периодичностью раз в четыре года и ежегодных докладов о ходе работы; пополнение средств МФ с периодичностью раз в три года; дальнейшее проведение совещаний Исполнительного комитета по мере необходимости</w:t>
            </w:r>
          </w:p>
          <w:p w14:paraId="16417807" w14:textId="0F5F2D04" w:rsidR="00361D9A" w:rsidRDefault="00885FCE">
            <w:pPr>
              <w:pStyle w:val="Normal-pool-Table"/>
              <w:spacing w:before="20" w:after="60"/>
            </w:pPr>
            <w:r>
              <w:t>Дальнейшее проведение совещаний РИО в рамках Венской конвенции (с заседанием Бюро КС) и совещаний КС с периодичностью раз в три года</w:t>
            </w:r>
          </w:p>
        </w:tc>
        <w:tc>
          <w:tcPr>
            <w:tcW w:w="4506" w:type="dxa"/>
            <w:tcBorders>
              <w:top w:val="single" w:sz="12" w:space="0" w:color="auto"/>
              <w:bottom w:val="single" w:sz="4" w:space="0" w:color="auto"/>
            </w:tcBorders>
            <w:tcMar>
              <w:top w:w="40" w:type="dxa"/>
              <w:left w:w="80" w:type="dxa"/>
              <w:bottom w:w="40" w:type="dxa"/>
              <w:right w:w="80" w:type="dxa"/>
            </w:tcMar>
          </w:tcPr>
          <w:p w14:paraId="1612AD82" w14:textId="669C1406" w:rsidR="00361D9A" w:rsidRDefault="00885FCE">
            <w:pPr>
              <w:pStyle w:val="Normal-pool-Table"/>
              <w:spacing w:before="20" w:after="60"/>
            </w:pPr>
            <w:r>
              <w:t>Проведение СС с периодичностью раз в два года и совещаний РГОС поочередно через год; организация заседаний Бюро СС с периодичностью раз в два года параллельно с СС; проведение совещаний КВ один раз в год; сохранение четырехгодичного цикла подготовки докладов об оценке и требования о представлении докладов о ходе работы в период между подготовкой докладов об оценке; пополнение средств МФ с периодичностью раз в четыре года; дальнейшее проведение совещаний Исполнительного комитета по мере необходимости</w:t>
            </w:r>
          </w:p>
          <w:p w14:paraId="0F770C6C" w14:textId="2021E0A2" w:rsidR="00361D9A" w:rsidRDefault="00885FCE">
            <w:pPr>
              <w:pStyle w:val="Normal-pool-Table"/>
              <w:spacing w:before="20" w:after="60"/>
            </w:pPr>
            <w:r>
              <w:t>В целях принятия срочных решений могут организовываться внеочередные СС</w:t>
            </w:r>
          </w:p>
          <w:p w14:paraId="68A6679A" w14:textId="51EFF72C" w:rsidR="00361D9A" w:rsidRDefault="00885FCE">
            <w:pPr>
              <w:pStyle w:val="Normal-pool-Table"/>
              <w:spacing w:before="20" w:after="60"/>
            </w:pPr>
            <w:r>
              <w:t xml:space="preserve">Проведение совещаний РИО в рамках Венской конвенции (с заседанием Бюро КС) и совещаний КС с периодичностью раз в четыре года </w:t>
            </w:r>
          </w:p>
        </w:tc>
      </w:tr>
      <w:tr w:rsidR="00361D9A" w14:paraId="715ACA5D"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06927144" w14:textId="41CFE771" w:rsidR="00361D9A" w:rsidRDefault="00885FCE">
            <w:pPr>
              <w:pStyle w:val="P68B1DB1-Normal-pool-Table2"/>
              <w:spacing w:before="20" w:after="60"/>
              <w:ind w:right="-57"/>
            </w:pPr>
            <w:r>
              <w:t>Влияние на работу и процесс принятия решений (преимущества/недостатки)</w:t>
            </w:r>
          </w:p>
        </w:tc>
        <w:tc>
          <w:tcPr>
            <w:tcW w:w="3544" w:type="dxa"/>
            <w:tcBorders>
              <w:top w:val="single" w:sz="4" w:space="0" w:color="auto"/>
              <w:bottom w:val="single" w:sz="4" w:space="0" w:color="auto"/>
            </w:tcBorders>
            <w:tcMar>
              <w:top w:w="40" w:type="dxa"/>
              <w:left w:w="80" w:type="dxa"/>
              <w:bottom w:w="40" w:type="dxa"/>
              <w:right w:w="80" w:type="dxa"/>
            </w:tcMar>
          </w:tcPr>
          <w:p w14:paraId="0CB800B7" w14:textId="5FEEB037" w:rsidR="00361D9A" w:rsidRDefault="00885FCE">
            <w:pPr>
              <w:pStyle w:val="Normal-pool-Table"/>
              <w:spacing w:before="20" w:after="60"/>
            </w:pPr>
            <w:r>
              <w:t>Отсутствие сбоев в текущей реализации Монреальского протокола</w:t>
            </w:r>
          </w:p>
          <w:p w14:paraId="064A5CDF" w14:textId="493B0F9A" w:rsidR="00361D9A" w:rsidRDefault="00885FCE">
            <w:pPr>
              <w:pStyle w:val="Normal-pool-Table"/>
              <w:spacing w:before="20" w:after="60"/>
            </w:pPr>
            <w:r>
              <w:t>Ежегодное принятие решений</w:t>
            </w:r>
          </w:p>
          <w:p w14:paraId="3B0FEC29" w14:textId="3C540115" w:rsidR="00361D9A" w:rsidRDefault="00885FCE">
            <w:pPr>
              <w:pStyle w:val="Normal-pool-Table"/>
              <w:spacing w:before="20" w:after="60"/>
            </w:pPr>
            <w:r>
              <w:t>Сохранение существующего высокого уровня участия Сторон и заинтересованных сторон</w:t>
            </w:r>
          </w:p>
          <w:p w14:paraId="754C2950" w14:textId="62EB29D6" w:rsidR="00361D9A" w:rsidRDefault="00361D9A">
            <w:pPr>
              <w:pStyle w:val="Normal-pool-Table"/>
              <w:spacing w:before="20" w:after="60"/>
            </w:pPr>
          </w:p>
          <w:p w14:paraId="130F1959" w14:textId="2DBE9C70" w:rsidR="00361D9A" w:rsidRDefault="00885FCE">
            <w:pPr>
              <w:pStyle w:val="Normal-pool-Table"/>
              <w:spacing w:before="20" w:after="60"/>
            </w:pPr>
            <w:r>
              <w:t xml:space="preserve">Периодически: принудительное включение пунктов в повестку дня </w:t>
            </w:r>
          </w:p>
        </w:tc>
        <w:tc>
          <w:tcPr>
            <w:tcW w:w="4678" w:type="dxa"/>
            <w:tcBorders>
              <w:top w:val="single" w:sz="4" w:space="0" w:color="auto"/>
              <w:bottom w:val="single" w:sz="4" w:space="0" w:color="auto"/>
            </w:tcBorders>
            <w:tcMar>
              <w:top w:w="40" w:type="dxa"/>
              <w:left w:w="80" w:type="dxa"/>
              <w:bottom w:w="40" w:type="dxa"/>
              <w:right w:w="80" w:type="dxa"/>
            </w:tcMar>
          </w:tcPr>
          <w:p w14:paraId="085A1B01" w14:textId="77777777" w:rsidR="00361D9A" w:rsidRDefault="00885FCE">
            <w:pPr>
              <w:pStyle w:val="Normal-pool-Table"/>
              <w:spacing w:before="20" w:after="60"/>
            </w:pPr>
            <w:r>
              <w:t>Онлайн-совещания РГОС</w:t>
            </w:r>
          </w:p>
          <w:p w14:paraId="454C3583" w14:textId="166A959C" w:rsidR="00361D9A" w:rsidRDefault="00885FCE">
            <w:pPr>
              <w:pStyle w:val="Normal-pool-Table"/>
              <w:spacing w:before="20" w:after="60"/>
            </w:pPr>
            <w:r>
              <w:t>Переговоры, проводимые в рамках расширенных СС</w:t>
            </w:r>
          </w:p>
          <w:p w14:paraId="17ADB5B0" w14:textId="11FA37D9" w:rsidR="00361D9A" w:rsidRDefault="00885FCE">
            <w:pPr>
              <w:pStyle w:val="Normal-pool-Table"/>
              <w:spacing w:before="20" w:after="60"/>
            </w:pPr>
            <w:r>
              <w:t xml:space="preserve">Рассмотрение информационных вопросов в онлайн-режиме </w:t>
            </w:r>
          </w:p>
          <w:p w14:paraId="7E1FE545" w14:textId="1A0C67E0" w:rsidR="00361D9A" w:rsidRDefault="00885FCE">
            <w:pPr>
              <w:pStyle w:val="Normal-pool-Table"/>
              <w:spacing w:before="20" w:after="60"/>
            </w:pPr>
            <w:r>
              <w:t>Необходимость в тщательном контроле над повесткой дня</w:t>
            </w:r>
          </w:p>
          <w:p w14:paraId="28AB7B15" w14:textId="72B0DA3F" w:rsidR="00361D9A" w:rsidRDefault="00361D9A">
            <w:pPr>
              <w:pStyle w:val="Normal-pool-Table"/>
              <w:spacing w:before="20" w:after="60"/>
            </w:pPr>
          </w:p>
          <w:p w14:paraId="559DA793" w14:textId="58151162" w:rsidR="00361D9A" w:rsidRDefault="00885FCE">
            <w:pPr>
              <w:pStyle w:val="Normal-pool-Table"/>
              <w:spacing w:before="20" w:after="60"/>
            </w:pPr>
            <w:r>
              <w:t xml:space="preserve">Проблемы, связанные с организацией совещаний в режиме онлайн (разница в часовых поясах, проблемы со связью, необходимость в более частом межсессионном планировании и проведении консультаций и т. д.); периодически: принудительное включение пунктов в повестку дня </w:t>
            </w:r>
          </w:p>
        </w:tc>
        <w:tc>
          <w:tcPr>
            <w:tcW w:w="4506" w:type="dxa"/>
            <w:tcBorders>
              <w:top w:val="single" w:sz="4" w:space="0" w:color="auto"/>
              <w:bottom w:val="single" w:sz="4" w:space="0" w:color="auto"/>
            </w:tcBorders>
            <w:tcMar>
              <w:top w:w="40" w:type="dxa"/>
              <w:left w:w="80" w:type="dxa"/>
              <w:bottom w:w="40" w:type="dxa"/>
              <w:right w:w="80" w:type="dxa"/>
            </w:tcMar>
          </w:tcPr>
          <w:p w14:paraId="5AAB1326" w14:textId="064CAED6" w:rsidR="00361D9A" w:rsidRDefault="00885FCE">
            <w:pPr>
              <w:pStyle w:val="Normal-pool-Table"/>
              <w:spacing w:before="20" w:after="60"/>
            </w:pPr>
            <w:r>
              <w:t>Увеличение интервалов между СС, приводящее к высокой рабочей нагрузке и принятию большего числа решений СС; тщательное планирование программы работы Сторон; формирование стратегической двухгодичной повестки дня для заседаний и обсуждений в рамках РГОС и СС</w:t>
            </w:r>
          </w:p>
          <w:p w14:paraId="700A9149" w14:textId="46DC008A" w:rsidR="00361D9A" w:rsidRDefault="00885FCE">
            <w:pPr>
              <w:pStyle w:val="Normal-pool-Table"/>
              <w:spacing w:before="20" w:after="60"/>
            </w:pPr>
            <w:r>
              <w:t>Импровизированное планирование при возникновении необходимости (например, в принятии решений, назревающих проблем)</w:t>
            </w:r>
          </w:p>
          <w:p w14:paraId="6074A0B8" w14:textId="010D7BD6" w:rsidR="00361D9A" w:rsidRDefault="00361D9A">
            <w:pPr>
              <w:pStyle w:val="Normal-pool-Table"/>
              <w:spacing w:before="20" w:after="60"/>
              <w:rPr>
                <w:sz w:val="4"/>
              </w:rPr>
            </w:pPr>
          </w:p>
          <w:p w14:paraId="2EE063A0" w14:textId="7D548214" w:rsidR="00361D9A" w:rsidRDefault="00885FCE">
            <w:pPr>
              <w:pStyle w:val="Normal-pool-Table"/>
              <w:spacing w:before="20" w:after="60"/>
            </w:pPr>
            <w:r>
              <w:t>Риск накопления нерассмотренных вопросов и вынужденного проведения внеочередных СС; возможная перегрузка повесток дня; возможное увеличение числа онлайн-брифингов и межсессионных консультаций; необходимость в тщательном планировании работы во избежание задержек в сроках проведения обсуждений и принятия решений</w:t>
            </w:r>
          </w:p>
        </w:tc>
      </w:tr>
      <w:tr w:rsidR="00361D9A" w14:paraId="7F8623D6"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43123870" w14:textId="77777777" w:rsidR="00361D9A" w:rsidRDefault="00885FCE">
            <w:pPr>
              <w:pStyle w:val="P68B1DB1-Normal-pool-Table2"/>
              <w:spacing w:before="20" w:after="60"/>
            </w:pPr>
            <w:r>
              <w:t>Работа по оценке</w:t>
            </w:r>
          </w:p>
        </w:tc>
        <w:tc>
          <w:tcPr>
            <w:tcW w:w="3544" w:type="dxa"/>
            <w:tcBorders>
              <w:top w:val="single" w:sz="4" w:space="0" w:color="auto"/>
              <w:bottom w:val="single" w:sz="4" w:space="0" w:color="auto"/>
            </w:tcBorders>
            <w:tcMar>
              <w:top w:w="40" w:type="dxa"/>
              <w:left w:w="80" w:type="dxa"/>
              <w:bottom w:w="40" w:type="dxa"/>
              <w:right w:w="80" w:type="dxa"/>
            </w:tcMar>
          </w:tcPr>
          <w:p w14:paraId="77CFF9FE" w14:textId="5EE778BB" w:rsidR="00361D9A" w:rsidRDefault="00885FCE">
            <w:pPr>
              <w:pStyle w:val="Normal-pool-Table"/>
              <w:spacing w:before="20" w:after="60"/>
            </w:pPr>
            <w:r>
              <w:t xml:space="preserve">Отсутствие изменений в рабочем цикле; ежегодное проведение совещаний групп </w:t>
            </w:r>
            <w:r>
              <w:lastRenderedPageBreak/>
              <w:t>и КТВ; ежегодное представление докладов о ходе работы; подготовка докладов об оценке с периодичностью раз в четыре года; подготовка докладов о пополнении средств с периодичностью раз в три года; выполнение конкретных ежегодных задач на основании решений СС</w:t>
            </w:r>
          </w:p>
          <w:p w14:paraId="2D0BF4D5" w14:textId="7DF9247B" w:rsidR="00361D9A" w:rsidRDefault="00885FCE">
            <w:pPr>
              <w:pStyle w:val="Normal-pool-Table"/>
              <w:spacing w:before="20" w:after="60"/>
            </w:pPr>
            <w:r>
              <w:t>Сохранение рабочих циклов в рамках текущего положения дел и предсказуемость деятельности</w:t>
            </w:r>
          </w:p>
        </w:tc>
        <w:tc>
          <w:tcPr>
            <w:tcW w:w="4678" w:type="dxa"/>
            <w:tcBorders>
              <w:top w:val="single" w:sz="4" w:space="0" w:color="auto"/>
              <w:bottom w:val="single" w:sz="4" w:space="0" w:color="auto"/>
            </w:tcBorders>
            <w:tcMar>
              <w:top w:w="40" w:type="dxa"/>
              <w:left w:w="80" w:type="dxa"/>
              <w:bottom w:w="40" w:type="dxa"/>
              <w:right w:w="80" w:type="dxa"/>
            </w:tcMar>
          </w:tcPr>
          <w:p w14:paraId="5D037C2E" w14:textId="706214CF" w:rsidR="00361D9A" w:rsidRDefault="00885FCE">
            <w:pPr>
              <w:pStyle w:val="Normal-pool-Table"/>
              <w:spacing w:before="20" w:after="60"/>
            </w:pPr>
            <w:r>
              <w:lastRenderedPageBreak/>
              <w:t xml:space="preserve">Отсутствие изменений в рабочем цикле; ежегодное проведение совещаний групп и КТВ; ежегодное </w:t>
            </w:r>
            <w:r>
              <w:lastRenderedPageBreak/>
              <w:t>представление докладов о ходе работы; подготовка докладов об оценке с периодичностью раз в четыре года; подготовка докладов о пополнении средств с периодичностью раз в три года; выполнение конкретных ежегодных задач на основании решений СС</w:t>
            </w:r>
          </w:p>
          <w:p w14:paraId="69BFC8D3" w14:textId="77E24CE0" w:rsidR="00361D9A" w:rsidRDefault="00885FCE">
            <w:pPr>
              <w:pStyle w:val="Normal-pool-Table"/>
              <w:spacing w:before="20" w:after="60"/>
            </w:pPr>
            <w:r>
              <w:t>Экономия на поездках для участия в совещаниях РГОС</w:t>
            </w:r>
          </w:p>
        </w:tc>
        <w:tc>
          <w:tcPr>
            <w:tcW w:w="4506" w:type="dxa"/>
            <w:tcBorders>
              <w:top w:val="single" w:sz="4" w:space="0" w:color="auto"/>
              <w:bottom w:val="single" w:sz="4" w:space="0" w:color="auto"/>
            </w:tcBorders>
            <w:tcMar>
              <w:top w:w="40" w:type="dxa"/>
              <w:left w:w="80" w:type="dxa"/>
              <w:bottom w:w="40" w:type="dxa"/>
              <w:right w:w="80" w:type="dxa"/>
            </w:tcMar>
          </w:tcPr>
          <w:p w14:paraId="50AF69F4" w14:textId="3570F48F" w:rsidR="00361D9A" w:rsidRDefault="00885FCE">
            <w:pPr>
              <w:pStyle w:val="Normal-pool-Table"/>
              <w:spacing w:before="20" w:after="60"/>
            </w:pPr>
            <w:r>
              <w:lastRenderedPageBreak/>
              <w:t xml:space="preserve">Подготовка докладов об оценке с периодичностью раз в четыре года; представление докладов о ходе </w:t>
            </w:r>
            <w:r>
              <w:lastRenderedPageBreak/>
              <w:t>работы с периодичностью раз в четыре года в период между подготовкой докладов об оценке; подготовка докладов о пополнении средств с периодичностью раз в четыре года; выполнение конкретных задач на основании решений СС с периодичностью раз в два года</w:t>
            </w:r>
          </w:p>
          <w:p w14:paraId="6DD42B18" w14:textId="7E39711E" w:rsidR="00361D9A" w:rsidRDefault="00885FCE">
            <w:pPr>
              <w:pStyle w:val="Normal-pool-Table"/>
              <w:spacing w:before="20" w:after="60"/>
            </w:pPr>
            <w:r>
              <w:t>Экономия за счет сокращения числа совещаний групп, КТВ и целевых групп, а также уменьшения расходов на поездки для участия в совещаниях РГОС и СС</w:t>
            </w:r>
          </w:p>
        </w:tc>
      </w:tr>
      <w:tr w:rsidR="00361D9A" w14:paraId="32DF33D7"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5819CD24" w14:textId="77777777" w:rsidR="00361D9A" w:rsidRDefault="00885FCE">
            <w:pPr>
              <w:pStyle w:val="P68B1DB1-Normal-pool-Table2"/>
              <w:spacing w:before="20" w:after="60"/>
            </w:pPr>
            <w:r>
              <w:lastRenderedPageBreak/>
              <w:t>Соответствие требованиям</w:t>
            </w:r>
          </w:p>
        </w:tc>
        <w:tc>
          <w:tcPr>
            <w:tcW w:w="3544" w:type="dxa"/>
            <w:tcBorders>
              <w:top w:val="single" w:sz="4" w:space="0" w:color="auto"/>
              <w:bottom w:val="single" w:sz="4" w:space="0" w:color="auto"/>
            </w:tcBorders>
            <w:tcMar>
              <w:top w:w="40" w:type="dxa"/>
              <w:left w:w="80" w:type="dxa"/>
              <w:bottom w:w="40" w:type="dxa"/>
              <w:right w:w="80" w:type="dxa"/>
            </w:tcMar>
          </w:tcPr>
          <w:p w14:paraId="70DFB66A" w14:textId="0F13D491" w:rsidR="00361D9A" w:rsidRDefault="00885FCE">
            <w:pPr>
              <w:pStyle w:val="Normal-pool-Table"/>
              <w:spacing w:before="20" w:after="60"/>
            </w:pPr>
            <w:r>
              <w:t>Отсутствие изменений в условиях проведения совещаний, обеспечивающее сохранение текущего положения дел при рассмотрении вопросов, связанных с соблюдением требований и представлением данных; своевременное принятие решений по этим вопросам в рамках СС</w:t>
            </w:r>
          </w:p>
        </w:tc>
        <w:tc>
          <w:tcPr>
            <w:tcW w:w="4678" w:type="dxa"/>
            <w:tcBorders>
              <w:top w:val="single" w:sz="4" w:space="0" w:color="auto"/>
              <w:bottom w:val="single" w:sz="4" w:space="0" w:color="auto"/>
            </w:tcBorders>
            <w:tcMar>
              <w:top w:w="40" w:type="dxa"/>
              <w:left w:w="80" w:type="dxa"/>
              <w:bottom w:w="40" w:type="dxa"/>
              <w:right w:w="80" w:type="dxa"/>
            </w:tcMar>
          </w:tcPr>
          <w:p w14:paraId="5D3ABEC5" w14:textId="5C9B89E1" w:rsidR="00361D9A" w:rsidRDefault="00885FCE">
            <w:pPr>
              <w:pStyle w:val="Normal-pool-Table"/>
              <w:spacing w:before="20" w:after="60"/>
            </w:pPr>
            <w:r>
              <w:t>Проведение совещаний КВ два раза в год (первое совещание должно проходить в режиме онлайн)</w:t>
            </w:r>
          </w:p>
          <w:p w14:paraId="6440E962" w14:textId="49C1FC2E" w:rsidR="00361D9A" w:rsidRDefault="00885FCE">
            <w:pPr>
              <w:pStyle w:val="Normal-pool-Table"/>
              <w:spacing w:before="20" w:after="60"/>
            </w:pPr>
            <w:r>
              <w:t>Отсутствие сбоев в рабочем цикле КВ; положительный опыт проведения совещаний КВ в онлайн-формате в 2020–2021 годах; своевременное рассмотрение вопросов, связанных с соблюдением требований, и решений СС</w:t>
            </w:r>
          </w:p>
          <w:p w14:paraId="52192DB9" w14:textId="3557E2ED" w:rsidR="00361D9A" w:rsidRDefault="00885FCE">
            <w:pPr>
              <w:pStyle w:val="Normal-pool-Table"/>
              <w:spacing w:before="20" w:after="60"/>
            </w:pPr>
            <w:r>
              <w:t>Экономия за счет сокращения расходов на поездки благодаря проведению совещаний в онлайн-формате</w:t>
            </w:r>
          </w:p>
        </w:tc>
        <w:tc>
          <w:tcPr>
            <w:tcW w:w="4506" w:type="dxa"/>
            <w:tcBorders>
              <w:top w:val="single" w:sz="4" w:space="0" w:color="auto"/>
              <w:bottom w:val="single" w:sz="4" w:space="0" w:color="auto"/>
            </w:tcBorders>
            <w:tcMar>
              <w:top w:w="40" w:type="dxa"/>
              <w:left w:w="80" w:type="dxa"/>
              <w:bottom w:w="40" w:type="dxa"/>
              <w:right w:w="80" w:type="dxa"/>
            </w:tcMar>
          </w:tcPr>
          <w:p w14:paraId="5233C08B" w14:textId="05BCDF4D" w:rsidR="00361D9A" w:rsidRDefault="00885FCE">
            <w:pPr>
              <w:pStyle w:val="Normal-pool-Table"/>
              <w:spacing w:before="20" w:after="60"/>
            </w:pPr>
            <w:r>
              <w:t>Проведение совещаний КВ один раз в год; принятие решений СС по вопросам, связанным с соблюдением требований и представлением данных, один раз в два года; разработка механизма, обеспечивающего выполнение Сторонами рекомендаций КВ, вынесенных в период между проведением СС</w:t>
            </w:r>
          </w:p>
          <w:p w14:paraId="1CD502F5" w14:textId="5F302A37" w:rsidR="00361D9A" w:rsidRDefault="00885FCE">
            <w:pPr>
              <w:pStyle w:val="Normal-pool-Table"/>
              <w:spacing w:before="20" w:after="60"/>
            </w:pPr>
            <w:r>
              <w:t>Экономия средств за счет сокращения расходов на обслуживание конференций и поездки благодаря уменьшению периодичности проведения совещаний</w:t>
            </w:r>
          </w:p>
        </w:tc>
      </w:tr>
      <w:tr w:rsidR="00361D9A" w14:paraId="76557821"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0CEAD877" w14:textId="65837502" w:rsidR="00361D9A" w:rsidRDefault="00885FCE">
            <w:pPr>
              <w:pStyle w:val="P68B1DB1-Normal-pool-Table2"/>
              <w:spacing w:after="60"/>
            </w:pPr>
            <w:r>
              <w:t>Пополнение средств</w:t>
            </w:r>
          </w:p>
        </w:tc>
        <w:tc>
          <w:tcPr>
            <w:tcW w:w="3544" w:type="dxa"/>
            <w:tcBorders>
              <w:top w:val="single" w:sz="4" w:space="0" w:color="auto"/>
              <w:bottom w:val="single" w:sz="4" w:space="0" w:color="auto"/>
            </w:tcBorders>
            <w:tcMar>
              <w:top w:w="40" w:type="dxa"/>
              <w:left w:w="80" w:type="dxa"/>
              <w:bottom w:w="40" w:type="dxa"/>
              <w:right w:w="80" w:type="dxa"/>
            </w:tcMar>
          </w:tcPr>
          <w:p w14:paraId="287EFB2A" w14:textId="6B0B39CF" w:rsidR="00361D9A" w:rsidRDefault="00885FCE">
            <w:pPr>
              <w:pStyle w:val="Normal-pool-Table"/>
              <w:spacing w:after="60"/>
            </w:pPr>
            <w:r>
              <w:t>Отсутствие изменений в цикле пополнения средств; дальнейшее проведение совещаний Исполнительного комитета по мере необходимости (в настоящее время — два раза в год)</w:t>
            </w:r>
          </w:p>
        </w:tc>
        <w:tc>
          <w:tcPr>
            <w:tcW w:w="4678" w:type="dxa"/>
            <w:tcBorders>
              <w:top w:val="single" w:sz="4" w:space="0" w:color="auto"/>
              <w:bottom w:val="single" w:sz="4" w:space="0" w:color="auto"/>
            </w:tcBorders>
            <w:tcMar>
              <w:top w:w="40" w:type="dxa"/>
              <w:left w:w="80" w:type="dxa"/>
              <w:bottom w:w="40" w:type="dxa"/>
              <w:right w:w="80" w:type="dxa"/>
            </w:tcMar>
          </w:tcPr>
          <w:p w14:paraId="2A763AFF" w14:textId="5A338769" w:rsidR="00361D9A" w:rsidRDefault="00885FCE">
            <w:pPr>
              <w:pStyle w:val="Normal-pool-Table"/>
              <w:spacing w:after="60"/>
            </w:pPr>
            <w:r>
              <w:t>Отсутствие изменений в цикле пополнения средств; дальнейшее проведение совещаний Исполнительного комитета по мере необходимости (в настоящее время — два раза в год)</w:t>
            </w:r>
          </w:p>
        </w:tc>
        <w:tc>
          <w:tcPr>
            <w:tcW w:w="4506" w:type="dxa"/>
            <w:tcBorders>
              <w:top w:val="single" w:sz="4" w:space="0" w:color="auto"/>
              <w:bottom w:val="single" w:sz="4" w:space="0" w:color="auto"/>
            </w:tcBorders>
            <w:tcMar>
              <w:top w:w="40" w:type="dxa"/>
              <w:left w:w="80" w:type="dxa"/>
              <w:bottom w:w="40" w:type="dxa"/>
              <w:right w:w="80" w:type="dxa"/>
            </w:tcMar>
          </w:tcPr>
          <w:p w14:paraId="14C22015" w14:textId="7E361C13" w:rsidR="00361D9A" w:rsidRDefault="00885FCE">
            <w:pPr>
              <w:pStyle w:val="P68B1DB1-Normal-pool-Table3"/>
              <w:spacing w:after="60"/>
            </w:pPr>
            <w:r>
              <w:t>Переход от трехлетнего к четырехлетнему циклу; изменение сроков проведения ГТОЭО исследования, посвященного пополнению средств</w:t>
            </w:r>
          </w:p>
        </w:tc>
      </w:tr>
      <w:tr w:rsidR="00361D9A" w14:paraId="68C65A08"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5215061E" w14:textId="523F398C" w:rsidR="00361D9A" w:rsidRDefault="00885FCE">
            <w:pPr>
              <w:pStyle w:val="P68B1DB1-Normal-pool-Table2"/>
              <w:spacing w:after="60"/>
            </w:pPr>
            <w:r>
              <w:t>Расходы</w:t>
            </w:r>
            <w:r>
              <w:rPr>
                <w:i/>
                <w:vertAlign w:val="superscript"/>
              </w:rPr>
              <w:t>b</w:t>
            </w:r>
          </w:p>
          <w:p w14:paraId="0B988458" w14:textId="54055FE0" w:rsidR="00361D9A" w:rsidRDefault="00885FCE">
            <w:pPr>
              <w:pStyle w:val="P68B1DB1-Normal-pool-Table2"/>
              <w:spacing w:after="60"/>
            </w:pPr>
            <w:r>
              <w:t>(среднегодовой бюджет, 2028–2031 гг.)</w:t>
            </w:r>
          </w:p>
        </w:tc>
        <w:tc>
          <w:tcPr>
            <w:tcW w:w="3544" w:type="dxa"/>
            <w:tcBorders>
              <w:top w:val="single" w:sz="4" w:space="0" w:color="auto"/>
              <w:bottom w:val="single" w:sz="4" w:space="0" w:color="auto"/>
            </w:tcBorders>
            <w:tcMar>
              <w:top w:w="40" w:type="dxa"/>
              <w:left w:w="80" w:type="dxa"/>
              <w:bottom w:w="40" w:type="dxa"/>
              <w:right w:w="80" w:type="dxa"/>
            </w:tcMar>
          </w:tcPr>
          <w:p w14:paraId="7519D678" w14:textId="77777777" w:rsidR="00361D9A" w:rsidRDefault="00885FCE">
            <w:pPr>
              <w:pStyle w:val="Normal-pool-Table"/>
              <w:spacing w:after="60"/>
            </w:pPr>
            <w:r>
              <w:t>6,18 млн долл. США</w:t>
            </w:r>
          </w:p>
        </w:tc>
        <w:tc>
          <w:tcPr>
            <w:tcW w:w="4678" w:type="dxa"/>
            <w:tcBorders>
              <w:top w:val="single" w:sz="4" w:space="0" w:color="auto"/>
              <w:bottom w:val="single" w:sz="4" w:space="0" w:color="auto"/>
            </w:tcBorders>
            <w:tcMar>
              <w:top w:w="40" w:type="dxa"/>
              <w:left w:w="80" w:type="dxa"/>
              <w:bottom w:w="40" w:type="dxa"/>
              <w:right w:w="80" w:type="dxa"/>
            </w:tcMar>
          </w:tcPr>
          <w:p w14:paraId="7B45A3C4" w14:textId="77777777" w:rsidR="00361D9A" w:rsidRDefault="00885FCE">
            <w:pPr>
              <w:pStyle w:val="Normal-pool-Table"/>
              <w:spacing w:after="60"/>
            </w:pPr>
            <w:r>
              <w:t xml:space="preserve">5,18 млн долл. США </w:t>
            </w:r>
          </w:p>
          <w:p w14:paraId="10184E24" w14:textId="35B2B6B4" w:rsidR="00361D9A" w:rsidRDefault="00885FCE">
            <w:pPr>
              <w:pStyle w:val="Normal-pool-Table"/>
              <w:spacing w:after="60"/>
            </w:pPr>
            <w:r>
              <w:t>(экономия по сравнению со сценарием A: 16% (1,01 млн долл. США))</w:t>
            </w:r>
          </w:p>
        </w:tc>
        <w:tc>
          <w:tcPr>
            <w:tcW w:w="4506" w:type="dxa"/>
            <w:tcBorders>
              <w:top w:val="single" w:sz="4" w:space="0" w:color="auto"/>
              <w:bottom w:val="single" w:sz="4" w:space="0" w:color="auto"/>
            </w:tcBorders>
            <w:tcMar>
              <w:top w:w="40" w:type="dxa"/>
              <w:left w:w="80" w:type="dxa"/>
              <w:bottom w:w="40" w:type="dxa"/>
              <w:right w:w="80" w:type="dxa"/>
            </w:tcMar>
          </w:tcPr>
          <w:p w14:paraId="0F7A6ABC" w14:textId="77777777" w:rsidR="00361D9A" w:rsidRDefault="00885FCE">
            <w:pPr>
              <w:pStyle w:val="Normal-pool-Table"/>
              <w:spacing w:after="60"/>
            </w:pPr>
            <w:r>
              <w:t xml:space="preserve">4,57 млн долл. США </w:t>
            </w:r>
          </w:p>
          <w:p w14:paraId="2A7F17F2" w14:textId="4F071CE0" w:rsidR="00361D9A" w:rsidRDefault="00885FCE">
            <w:pPr>
              <w:pStyle w:val="Normal-pool-Table"/>
              <w:spacing w:after="60"/>
            </w:pPr>
            <w:r>
              <w:t>(экономия по сравнению со сценарием A: 26% (1,61 млн долл. США))</w:t>
            </w:r>
          </w:p>
        </w:tc>
      </w:tr>
      <w:tr w:rsidR="00361D9A" w14:paraId="553B8291" w14:textId="77777777">
        <w:trPr>
          <w:jc w:val="right"/>
        </w:trPr>
        <w:tc>
          <w:tcPr>
            <w:tcW w:w="1701" w:type="dxa"/>
            <w:tcBorders>
              <w:top w:val="single" w:sz="4" w:space="0" w:color="auto"/>
              <w:bottom w:val="single" w:sz="12" w:space="0" w:color="auto"/>
            </w:tcBorders>
            <w:tcMar>
              <w:top w:w="40" w:type="dxa"/>
              <w:left w:w="80" w:type="dxa"/>
              <w:bottom w:w="40" w:type="dxa"/>
              <w:right w:w="80" w:type="dxa"/>
            </w:tcMar>
          </w:tcPr>
          <w:p w14:paraId="37D499D8" w14:textId="77777777" w:rsidR="00361D9A" w:rsidRDefault="00885FCE">
            <w:pPr>
              <w:pStyle w:val="P68B1DB1-Normal-pool-Table2"/>
              <w:spacing w:after="60"/>
            </w:pPr>
            <w:r>
              <w:t xml:space="preserve">Финансовая устойчивость </w:t>
            </w:r>
          </w:p>
        </w:tc>
        <w:tc>
          <w:tcPr>
            <w:tcW w:w="3544" w:type="dxa"/>
            <w:tcBorders>
              <w:top w:val="single" w:sz="4" w:space="0" w:color="auto"/>
              <w:bottom w:val="single" w:sz="12" w:space="0" w:color="auto"/>
            </w:tcBorders>
            <w:tcMar>
              <w:top w:w="40" w:type="dxa"/>
              <w:left w:w="80" w:type="dxa"/>
              <w:bottom w:w="40" w:type="dxa"/>
              <w:right w:w="80" w:type="dxa"/>
            </w:tcMar>
          </w:tcPr>
          <w:p w14:paraId="721ECC08" w14:textId="32BF1D71" w:rsidR="00361D9A" w:rsidRDefault="00885FCE">
            <w:pPr>
              <w:pStyle w:val="Normal-pool-Table"/>
              <w:spacing w:after="60"/>
            </w:pPr>
            <w:r>
              <w:t>Сохранение резерва до 2030 года при уровне взносов 75%</w:t>
            </w:r>
          </w:p>
        </w:tc>
        <w:tc>
          <w:tcPr>
            <w:tcW w:w="4678" w:type="dxa"/>
            <w:tcBorders>
              <w:top w:val="single" w:sz="4" w:space="0" w:color="auto"/>
              <w:bottom w:val="single" w:sz="12" w:space="0" w:color="auto"/>
            </w:tcBorders>
            <w:tcMar>
              <w:top w:w="40" w:type="dxa"/>
              <w:left w:w="80" w:type="dxa"/>
              <w:bottom w:w="40" w:type="dxa"/>
              <w:right w:w="80" w:type="dxa"/>
            </w:tcMar>
          </w:tcPr>
          <w:p w14:paraId="22864392" w14:textId="74FC1FED" w:rsidR="00361D9A" w:rsidRDefault="00885FCE">
            <w:pPr>
              <w:pStyle w:val="Normal-pool-Table"/>
              <w:spacing w:after="60"/>
            </w:pPr>
            <w:r>
              <w:t>Сохранение резерва до 2031 года при уровне взносов 75%</w:t>
            </w:r>
          </w:p>
        </w:tc>
        <w:tc>
          <w:tcPr>
            <w:tcW w:w="4506" w:type="dxa"/>
            <w:tcBorders>
              <w:top w:val="single" w:sz="4" w:space="0" w:color="auto"/>
              <w:bottom w:val="single" w:sz="12" w:space="0" w:color="auto"/>
            </w:tcBorders>
            <w:tcMar>
              <w:top w:w="40" w:type="dxa"/>
              <w:left w:w="80" w:type="dxa"/>
              <w:bottom w:w="40" w:type="dxa"/>
              <w:right w:w="80" w:type="dxa"/>
            </w:tcMar>
          </w:tcPr>
          <w:p w14:paraId="13DB0AD6" w14:textId="22B40704" w:rsidR="00361D9A" w:rsidRDefault="00885FCE">
            <w:pPr>
              <w:pStyle w:val="Normal-pool-Table"/>
              <w:spacing w:after="60"/>
            </w:pPr>
            <w:r>
              <w:t>Сохранение резерва до 2031 года при коэффициенте сбора взносов 75%, а также выделение приблизительно 500 000 долл. США на реализацию мероприятий</w:t>
            </w:r>
          </w:p>
        </w:tc>
      </w:tr>
    </w:tbl>
    <w:p w14:paraId="263AA08D" w14:textId="5FFF3BFB" w:rsidR="00361D9A" w:rsidRDefault="00885FCE">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pPr>
      <w:r>
        <w:tab/>
      </w:r>
      <w:r>
        <w:rPr>
          <w:i/>
        </w:rPr>
        <w:t>Сокращения:</w:t>
      </w:r>
      <w:r>
        <w:t xml:space="preserve"> КС — Конференция Сторон; Исполком — Исполнительный комитет; КВ — Комитет по выполнению; МФ — Многосторонний фонд; СС — Совещание Сторон; РГОС — Рабочая группа открытого состава; РИО — Руководители исследований по озону; ГТОЭО — Группа по техническому обзору и экономической оценке; КТВ — Комитет по техническим вариантам замены.</w:t>
      </w:r>
    </w:p>
    <w:p w14:paraId="51581ACA" w14:textId="6CFC267D" w:rsidR="00361D9A" w:rsidRDefault="00885FCE">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vertAlign w:val="superscript"/>
        </w:rPr>
      </w:pPr>
      <w:r>
        <w:tab/>
      </w:r>
      <w:r>
        <w:rPr>
          <w:i/>
          <w:vertAlign w:val="superscript"/>
        </w:rPr>
        <w:t>a</w:t>
      </w:r>
      <w:r>
        <w:t xml:space="preserve"> Если не указано иное, совещания будут проводиться в очном формате.</w:t>
      </w:r>
    </w:p>
    <w:p w14:paraId="35348784" w14:textId="77777777" w:rsidR="00361D9A" w:rsidRDefault="00885FCE">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sectPr w:rsidR="00361D9A" w:rsidSect="00631328">
          <w:pgSz w:w="16839" w:h="11907" w:orient="landscape" w:code="9"/>
          <w:pgMar w:top="907" w:right="992" w:bottom="1418" w:left="1418" w:header="539" w:footer="975" w:gutter="0"/>
          <w:cols w:space="539"/>
          <w:docGrid w:linePitch="360"/>
        </w:sectPr>
      </w:pPr>
      <w:r>
        <w:lastRenderedPageBreak/>
        <w:tab/>
      </w:r>
      <w:r>
        <w:rPr>
          <w:i/>
          <w:vertAlign w:val="superscript"/>
        </w:rPr>
        <w:t>b</w:t>
      </w:r>
      <w:r>
        <w:t xml:space="preserve"> Показатели расходов отражают общие бюджеты в рамках целевых фондов Монреальского протокола, указанные в таблице 3 документа UNEP/OzL.Pro.WG.1/48/4 и усредненные за период с 2028 по 2031 год.</w:t>
      </w:r>
    </w:p>
    <w:p w14:paraId="66B1B2A3" w14:textId="4264CA56" w:rsidR="00361D9A" w:rsidRDefault="00885FCE">
      <w:pPr>
        <w:pStyle w:val="CH2"/>
      </w:pPr>
      <w:r>
        <w:lastRenderedPageBreak/>
        <w:tab/>
        <w:t>C.</w:t>
      </w:r>
      <w:r>
        <w:tab/>
        <w:t>Последствия для эффективного, равноправного и инклюзивного участия</w:t>
      </w:r>
    </w:p>
    <w:p w14:paraId="444A6107" w14:textId="7AE4C292" w:rsidR="00361D9A" w:rsidRDefault="00885FCE">
      <w:pPr>
        <w:pStyle w:val="Normalnumber"/>
        <w:tabs>
          <w:tab w:val="clear" w:pos="1247"/>
          <w:tab w:val="clear" w:pos="1814"/>
          <w:tab w:val="clear" w:pos="2381"/>
          <w:tab w:val="clear" w:pos="2948"/>
          <w:tab w:val="clear" w:pos="3515"/>
          <w:tab w:val="left" w:pos="624"/>
        </w:tabs>
        <w:ind w:left="1247"/>
      </w:pPr>
      <w:r>
        <w:t>Сокращение периодичности совещаний может привести к экономии средств, но увеличит интервалы между периодами, когда у Сторон появляются возможности напрямую взаимодействовать друг с другом и прочими заинтересованными сторонами. Значимость этого последствия зависит от рабочей нагрузки в периоды между совещаниями и наличия эффективных межсессионных механизмов для проведения консультаций, обмена информацией и оказания технической поддержки.</w:t>
      </w:r>
    </w:p>
    <w:p w14:paraId="7479131F" w14:textId="40046D9E" w:rsidR="00361D9A" w:rsidRDefault="00885FCE">
      <w:pPr>
        <w:pStyle w:val="Normalnumber"/>
        <w:tabs>
          <w:tab w:val="clear" w:pos="1247"/>
          <w:tab w:val="clear" w:pos="1814"/>
          <w:tab w:val="clear" w:pos="2381"/>
          <w:tab w:val="clear" w:pos="2948"/>
          <w:tab w:val="clear" w:pos="3515"/>
          <w:tab w:val="left" w:pos="624"/>
        </w:tabs>
        <w:ind w:left="1247"/>
      </w:pPr>
      <w:r>
        <w:t>Более частое проведение встреч в онлайн-формате могло бы способствовать расширению участия Сторон, поскольку это устраняет необходимость в командировках и позволяет дополнительным государственным должностным лицам или техническим экспертам подключаться к работе дистанционно. В то же время различия, связанные с подключением, доступом к соответствующим технологиям, часовыми поясами и условиями работы, могут лишить некоторые Стороны возможности принимать полноценное участие в совещаниях. Онлайн-формат также мо</w:t>
      </w:r>
      <w:r>
        <w:t>жет осложнять проведение неофициальных консультаций и прямой обмен мнениями, что способно в значительной степени повлиять на разъяснение сложных технических и переговорных вопросов и достижение консенсуса. В случаях, когда требуется устный перевод, также необходимо обеспечить наличие надежных услуг.</w:t>
      </w:r>
    </w:p>
    <w:p w14:paraId="63DF7456" w14:textId="417A8CF8" w:rsidR="00361D9A" w:rsidRDefault="00885FCE">
      <w:pPr>
        <w:pStyle w:val="Normalnumber"/>
        <w:tabs>
          <w:tab w:val="clear" w:pos="1247"/>
          <w:tab w:val="clear" w:pos="1814"/>
          <w:tab w:val="clear" w:pos="2381"/>
          <w:tab w:val="clear" w:pos="2948"/>
          <w:tab w:val="clear" w:pos="3515"/>
          <w:tab w:val="left" w:pos="624"/>
        </w:tabs>
        <w:ind w:left="1247"/>
      </w:pPr>
      <w:r>
        <w:t>Доступ к услугам устного перевода является важным компонентом равноправного участия в межправительственных совещаниях. В связи с этим любые изменения, затрагивающие устный перевод, необходимо рассматривать не только с точки зрения финансовых последствий, но и с точки зрения их влияния на способность Сторон понимать обсуждаемые вопросы, озвучивать по ним свою позицию и вести переговоры. В настоящее время технологии устного и письменного перевода с использованием искусственного интеллекта стремительно развива</w:t>
      </w:r>
      <w:r>
        <w:t>ются (см. раздел III.C).</w:t>
      </w:r>
    </w:p>
    <w:p w14:paraId="36486063" w14:textId="3BBA1110" w:rsidR="00361D9A" w:rsidRDefault="00885FCE">
      <w:pPr>
        <w:pStyle w:val="Normalnumber"/>
        <w:tabs>
          <w:tab w:val="clear" w:pos="1247"/>
          <w:tab w:val="clear" w:pos="1814"/>
          <w:tab w:val="clear" w:pos="2381"/>
          <w:tab w:val="clear" w:pos="2948"/>
          <w:tab w:val="clear" w:pos="3515"/>
          <w:tab w:val="left" w:pos="624"/>
        </w:tabs>
        <w:ind w:left="1247"/>
      </w:pPr>
      <w:r>
        <w:t>Можно рассмотреть ряд механизмов, чтобы оградить малые страны с ограниченным институциональным и техническим потенциалом от несоразмерного воздействия мер по повышению эффективности, поскольку в межсессионные периоды такие государства могут испытывать более острую потребность в своевременном доступе к информации, техническом руководстве и наращивании потенциала. Чтобы дать делегациям, особенно малочисленным, возможность извлечь максимальную пользу из проводимой работы, необходимо принять следующие меры: изб</w:t>
      </w:r>
      <w:r>
        <w:t>егать организации одновременных переговорных сессий; обеспечивать надлежащий устный перевод во время пленарных заседаний; гарантировать предсказуемость графиков и выделение достаточного времени для региональных и неофициальных консультаций; продолжать оказывать поддержку Сторонам, действующим в рамках статьи 5, которые имеют на нее право, в организации поездок для участия в очных совещаниях; своевременно предоставлять документацию до начала совещаний; обеспечивать доступность технической поддержки в межсесс</w:t>
      </w:r>
      <w:r>
        <w:t>ионный период; а также избирательно подходить к использованию виртуальных форматов, чтобы расширять, а не ограничивать возможности участия.</w:t>
      </w:r>
    </w:p>
    <w:p w14:paraId="3AB7483D" w14:textId="0436A95C" w:rsidR="00361D9A" w:rsidRDefault="00885FCE">
      <w:pPr>
        <w:pStyle w:val="Normalnumber"/>
        <w:tabs>
          <w:tab w:val="clear" w:pos="1247"/>
          <w:tab w:val="clear" w:pos="1814"/>
          <w:tab w:val="clear" w:pos="2381"/>
          <w:tab w:val="clear" w:pos="2948"/>
          <w:tab w:val="clear" w:pos="3515"/>
          <w:tab w:val="left" w:pos="624"/>
        </w:tabs>
        <w:ind w:left="1247"/>
      </w:pPr>
      <w:r>
        <w:t>При выборе оптимальных механизмов проведения совещаний следует руководствоваться тем, что меры, направленные на повышение эффективности, должны в максимальной степени обеспечивать всем Сторонам возможность принимать эффективное и равноправное участие в работе органов, созданных в соответствии с договорами по озону, а также получать информацию и поддержку, которые требуются для выполнения их обязательств.</w:t>
      </w:r>
    </w:p>
    <w:p w14:paraId="6F2002AD" w14:textId="34030C79" w:rsidR="00361D9A" w:rsidRDefault="00885FCE">
      <w:pPr>
        <w:pStyle w:val="CH2"/>
      </w:pPr>
      <w:r>
        <w:tab/>
        <w:t>D.</w:t>
      </w:r>
      <w:r>
        <w:tab/>
        <w:t>Влияние сценариев на кадровый состав и расходы Секретариата на персонал</w:t>
      </w:r>
    </w:p>
    <w:p w14:paraId="3A13984A" w14:textId="0A8F6A5D" w:rsidR="00361D9A" w:rsidRDefault="00885FCE">
      <w:pPr>
        <w:pStyle w:val="P68B1DB1-Normalnumber5"/>
        <w:tabs>
          <w:tab w:val="clear" w:pos="1247"/>
          <w:tab w:val="clear" w:pos="1814"/>
          <w:tab w:val="clear" w:pos="2381"/>
          <w:tab w:val="clear" w:pos="2948"/>
          <w:tab w:val="clear" w:pos="3515"/>
          <w:tab w:val="left" w:pos="624"/>
        </w:tabs>
        <w:ind w:left="1247"/>
        <w:rPr>
          <w:rFonts w:eastAsiaTheme="minorEastAsia"/>
        </w:rPr>
      </w:pPr>
      <w:r>
        <w:t>В документе UNEP/OzL.Pro.WG.1/48/4 изменения в возможностях Секретариата по поддержке осуществления договоров по озону не рассматривались. Влияние сценариев на кадровый состав и расходы Секретариата на персонал зависит от характера и масштаба предполагаемых изменений. Сокращение частоты и продолжительности совещаний или изменение их формата не всегда приводит к пропорциональному снижению рабочей нагрузки Секретариата или расходов на персонал.</w:t>
      </w:r>
    </w:p>
    <w:p w14:paraId="1CC62906" w14:textId="7036DF8E" w:rsidR="00361D9A" w:rsidRDefault="00885FCE">
      <w:pPr>
        <w:pStyle w:val="Normalnumber"/>
        <w:tabs>
          <w:tab w:val="clear" w:pos="1247"/>
          <w:tab w:val="clear" w:pos="1814"/>
          <w:tab w:val="clear" w:pos="2381"/>
          <w:tab w:val="clear" w:pos="2948"/>
          <w:tab w:val="clear" w:pos="3515"/>
          <w:tab w:val="left" w:pos="624"/>
        </w:tabs>
        <w:ind w:left="1247"/>
      </w:pPr>
      <w:r>
        <w:t xml:space="preserve">Значительная часть работы Секретариата связана с выполнением функций, которые требуются независимо от числа или продолжительности совещаний. Эти функции включают оказание Сторонам поддержки в реализации и соблюдении Венской конвенции и </w:t>
      </w:r>
      <w:r>
        <w:lastRenderedPageBreak/>
        <w:t>Монреальского протокола к ней; получение, анализ и обработку данных и другой информации, представляемых Сторонами; оказание поддержки Комитету по выполнению и Бюро; обслуживание групп по оценке и других органов; подготовку и обработку документации; ведение информационных систем и институциональной отчетности; реагирование на запросы Сторон; координацию различных мероприятий с секретариатом Многостороннего фонда, учреждениями-исполнителями и другими соответствующими организациями; а также выполнение функций,</w:t>
      </w:r>
      <w:r>
        <w:t xml:space="preserve"> связанных с финансовым, административным и программным управлением. Поскольку Секретариат по озону является частью Программы Организации Объединенных Наций по окружающей среде (ЮНЕП), также необходимо обеспечить координацию его деятельности с ЮНЕП и его участие в совещаниях и мероприятиях ЮНЕП.</w:t>
      </w:r>
    </w:p>
    <w:p w14:paraId="719BC2B0" w14:textId="6AEF0F00" w:rsidR="00361D9A" w:rsidRDefault="00885FCE">
      <w:pPr>
        <w:pStyle w:val="Normalnumber"/>
        <w:tabs>
          <w:tab w:val="clear" w:pos="1247"/>
          <w:tab w:val="clear" w:pos="1814"/>
          <w:tab w:val="clear" w:pos="2381"/>
          <w:tab w:val="clear" w:pos="2948"/>
          <w:tab w:val="clear" w:pos="3515"/>
          <w:tab w:val="left" w:pos="624"/>
        </w:tabs>
        <w:ind w:left="1247"/>
      </w:pPr>
      <w:r>
        <w:t>Изменения в порядке организации совещаний в основном затронут те компоненты рабочей нагрузки Секретариата, которые связаны с проведением совещаний. Даже при сокращении продолжительности совещаний значительная часть подготовительной и последующей работы сохранится: по-прежнему будет необходимо составлять и обрабатывать документы для совещаний, проводить консультации со Сторонами и партнерами, организовывать материально-техническое обеспечение, а также готовить отчеты о совещании и осуществлять дальнейший кон</w:t>
      </w:r>
      <w:r>
        <w:t>троль. Сокращение продолжительности совещаний также может привести к тому, что часть работы будет перенесена на межсессионные консультации или виртуальные заседания, а не прекращена. Таким образом, сценарии, предусматривающие относительно незначительные изменения в продолжительности совещаний, по всей видимости, окажут более заметное непосредственное влияние на расходы, связанные с их проведением, включая затраты на обслуживание конференций, устный перевод, поездки и выплату суточных, чем на кадровый состав</w:t>
      </w:r>
      <w:r>
        <w:t xml:space="preserve"> и расходы Секретариата на персонал.</w:t>
      </w:r>
    </w:p>
    <w:p w14:paraId="0D9578A1" w14:textId="58327A63" w:rsidR="00361D9A" w:rsidRDefault="00885FCE">
      <w:pPr>
        <w:pStyle w:val="Normalnumber"/>
        <w:tabs>
          <w:tab w:val="clear" w:pos="1247"/>
          <w:tab w:val="clear" w:pos="1814"/>
          <w:tab w:val="clear" w:pos="2381"/>
          <w:tab w:val="clear" w:pos="2948"/>
          <w:tab w:val="clear" w:pos="3515"/>
          <w:tab w:val="left" w:pos="624"/>
        </w:tabs>
        <w:ind w:left="1247"/>
      </w:pPr>
      <w:r>
        <w:t>Сценарии, предусматривающие более существенное или устойчивое сокращение периодичности совещаний (например, сценарий C), могут оказывать более значительное влияние на рабочую нагрузку. Однако любые обусловленные этим последствия для кадрового состава необходимо будет оценивать путем анализа функций и рабочей нагрузки в рамках соответствующего сценария, а не путем пропорционального сокращения штата с учетом частоты и продолжительности совещаний. Сокращение численности персонала может стать возможным лишь в т</w:t>
      </w:r>
      <w:r>
        <w:t>ом случае, если устойчивое снижение рабочей нагрузки позволит упразднить или понизить класс должностей, оставить вакансии незаполненными, ограничить привлечение временного персонала или консультантов либо иным образом реструктурировать кадровый состав. При внесении таких изменений необходимо учитывать потенциал, требуемый для выполнения возложенных Сторонами на Секретариат функций, а также для обеспечения бесперебойности его операционной деятельности и предоставляемых услуг.</w:t>
      </w:r>
    </w:p>
    <w:p w14:paraId="43DCD956" w14:textId="17F54AB8" w:rsidR="00361D9A" w:rsidRDefault="00885FCE">
      <w:pPr>
        <w:pStyle w:val="CH1"/>
      </w:pPr>
      <w:r>
        <w:tab/>
        <w:t>III.</w:t>
      </w:r>
      <w:r>
        <w:tab/>
        <w:t>Обновленная и новая информация</w:t>
      </w:r>
    </w:p>
    <w:p w14:paraId="58FE96A6" w14:textId="2C910F11" w:rsidR="00361D9A" w:rsidRDefault="00885FCE">
      <w:pPr>
        <w:pStyle w:val="CH2"/>
      </w:pPr>
      <w:r>
        <w:tab/>
        <w:t>A.</w:t>
      </w:r>
      <w:r>
        <w:tab/>
        <w:t>Обновленная информация о процессе «ООН-80»</w:t>
      </w:r>
    </w:p>
    <w:p w14:paraId="34FCFA07" w14:textId="2528302B" w:rsidR="00361D9A" w:rsidRDefault="00885FCE">
      <w:pPr>
        <w:pStyle w:val="Normalnumber"/>
        <w:tabs>
          <w:tab w:val="clear" w:pos="1247"/>
          <w:tab w:val="clear" w:pos="1814"/>
          <w:tab w:val="clear" w:pos="2381"/>
          <w:tab w:val="clear" w:pos="2948"/>
          <w:tab w:val="clear" w:pos="3515"/>
          <w:tab w:val="left" w:pos="624"/>
        </w:tabs>
        <w:ind w:left="1247"/>
      </w:pPr>
      <w:r>
        <w:t>Инициатива «ООН-80» была выдвинута Генеральным секретарем Организации Объединенных Наций в марте 2025 года, в год восьмидесятилетия Организации Объединенных Наций, в качестве общесистемной реформы, направленной на повышение внутренней результативности и эффективности за счет оптимизации процессов, анализа прогресса в выполнении мандатов и изучения возможностей структурных изменений и корректировки программ в рамках всей системы Организации Объединенных Наций. Рабочий пакет 27, сформированный в рамках этой и</w:t>
      </w:r>
      <w:r>
        <w:t>нициативы, направлен на повышение согласованности, эффективности и результативности поддержки, оказываемой Организацией Объединенных Наций в области окружающей среды, а также на противодействие растущей фрагментации ее природоохранной архитектуры, несмотря на значительные достижения в этой области. Внимание уделено четырем основным областям, охватывающим экологию, управление, координацию и поддержку стран в вопросах реализации. Особый акцент сделан на возможной институциональной реструктуризации и функциона</w:t>
      </w:r>
      <w:r>
        <w:t xml:space="preserve">льной оптимизации. Рабочий пакет не содержит предложений об изменении юридических мандатов, предусмотренных многосторонними природоохранными соглашениями. Он направлен на улучшение координации и реализации мер при соблюдении автономии договорных органов. </w:t>
      </w:r>
    </w:p>
    <w:p w14:paraId="2A0EBE8C" w14:textId="16D634AE" w:rsidR="00361D9A" w:rsidRDefault="00885FCE">
      <w:pPr>
        <w:pStyle w:val="Normalnumber"/>
        <w:tabs>
          <w:tab w:val="clear" w:pos="1247"/>
          <w:tab w:val="clear" w:pos="1814"/>
          <w:tab w:val="clear" w:pos="2381"/>
          <w:tab w:val="clear" w:pos="2948"/>
          <w:tab w:val="clear" w:pos="3515"/>
          <w:tab w:val="left" w:pos="624"/>
        </w:tabs>
        <w:ind w:left="1247"/>
      </w:pPr>
      <w:r>
        <w:t xml:space="preserve">Рабочий пакет 27 возглавляют Директор-исполнитель ЮНЕП и Исполнительный секретарь Рамочной конвенции Организации Объединенных Наций об изменении климата при участии около 20 других структур, включая Секретариат по озону. Окончательный проект доклада по рабочему пакету был представлен Генеральному секретарю в июне 2026 года, после чего были проведены брифинги для государств-членов и Руководящего комитета инициативы </w:t>
      </w:r>
      <w:r>
        <w:lastRenderedPageBreak/>
        <w:t>«ООН-80». Ожидалось, что подготовка доклада, с учетом изложенных в нем целей и рекомендаций (см. вставку ниже), завершится к августу 2026 года, после чего Генеральный секретарь должен был представить информационную справку. На момент составления настоящей записки доклад еще не был опубликован.</w:t>
      </w:r>
    </w:p>
    <w:tbl>
      <w:tblPr>
        <w:tblStyle w:val="TableGrid"/>
        <w:tblW w:w="0" w:type="auto"/>
        <w:tblInd w:w="1248" w:type="dxa"/>
        <w:tblLook w:val="04A0" w:firstRow="1" w:lastRow="0" w:firstColumn="1" w:lastColumn="0" w:noHBand="0" w:noVBand="1"/>
      </w:tblPr>
      <w:tblGrid>
        <w:gridCol w:w="8239"/>
      </w:tblGrid>
      <w:tr w:rsidR="00361D9A" w14:paraId="7301BCFF" w14:textId="77777777">
        <w:tc>
          <w:tcPr>
            <w:tcW w:w="8239" w:type="dxa"/>
          </w:tcPr>
          <w:p w14:paraId="5F2658D4" w14:textId="30720E30" w:rsidR="00361D9A" w:rsidRDefault="00885FCE">
            <w:pPr>
              <w:pStyle w:val="P68B1DB1-Normal-pool-Table2"/>
              <w:spacing w:after="120"/>
            </w:pPr>
            <w:r>
              <w:t>Обзор трех целей и 10 рекомендаций, предусмотренных рабочим пакетом 27</w:t>
            </w:r>
          </w:p>
          <w:p w14:paraId="034D5969" w14:textId="3228616B" w:rsidR="00361D9A" w:rsidRDefault="00885FCE">
            <w:pPr>
              <w:pStyle w:val="P68B1DB1-Normal-pool-Table2"/>
              <w:tabs>
                <w:tab w:val="clear" w:pos="624"/>
                <w:tab w:val="clear" w:pos="1247"/>
                <w:tab w:val="left" w:pos="570"/>
              </w:tabs>
              <w:ind w:left="196"/>
            </w:pPr>
            <w:r>
              <w:t>A.</w:t>
            </w:r>
            <w:r>
              <w:tab/>
              <w:t>Повышение значимости природоохранных вопросов в многосторонней системе</w:t>
            </w:r>
          </w:p>
          <w:p w14:paraId="1345DE0E" w14:textId="0C607BF1" w:rsidR="00361D9A" w:rsidRDefault="00885FCE">
            <w:pPr>
              <w:pStyle w:val="Normal-pool-Table"/>
              <w:tabs>
                <w:tab w:val="clear" w:pos="624"/>
                <w:tab w:val="clear" w:pos="1247"/>
                <w:tab w:val="left" w:pos="1046"/>
              </w:tabs>
              <w:ind w:left="1049" w:hanging="425"/>
            </w:pPr>
            <w:r>
              <w:t>1.</w:t>
            </w:r>
            <w:r>
              <w:tab/>
              <w:t>Признание того, что здоровая окружающая среда служит основой для трех главных компонентов Устава Организации Объединенных Наций</w:t>
            </w:r>
          </w:p>
          <w:p w14:paraId="38F39119" w14:textId="01DBDDF4" w:rsidR="00361D9A" w:rsidRDefault="00885FCE">
            <w:pPr>
              <w:pStyle w:val="Normal-pool-Table"/>
              <w:tabs>
                <w:tab w:val="clear" w:pos="624"/>
                <w:tab w:val="clear" w:pos="1247"/>
                <w:tab w:val="left" w:pos="1046"/>
              </w:tabs>
              <w:ind w:left="1046" w:hanging="425"/>
            </w:pPr>
            <w:r>
              <w:t>2.</w:t>
            </w:r>
            <w:r>
              <w:tab/>
              <w:t>Обеспечение условий для раскрытия потенциала Ассамблеи Организации Объединенных Наций по окружающей среде в качестве универсального органа ООН, служащего платформой для координации общесистемных мер в экологической сфере</w:t>
            </w:r>
          </w:p>
          <w:p w14:paraId="088AE521" w14:textId="625B358A" w:rsidR="00361D9A" w:rsidRDefault="00885FCE">
            <w:pPr>
              <w:pStyle w:val="Normal-pool-Table"/>
              <w:tabs>
                <w:tab w:val="clear" w:pos="624"/>
                <w:tab w:val="clear" w:pos="1247"/>
                <w:tab w:val="left" w:pos="1046"/>
              </w:tabs>
              <w:ind w:left="1046" w:hanging="425"/>
            </w:pPr>
            <w:r>
              <w:t>3.</w:t>
            </w:r>
            <w:r>
              <w:tab/>
            </w:r>
            <w:r>
              <w:t>Превращение науки об экологии в общее достояние Организации Объединенных Наций</w:t>
            </w:r>
          </w:p>
          <w:p w14:paraId="26A9E929" w14:textId="735C5954" w:rsidR="00361D9A" w:rsidRDefault="00885FCE">
            <w:pPr>
              <w:pStyle w:val="Normal-pool-Table"/>
              <w:tabs>
                <w:tab w:val="clear" w:pos="624"/>
                <w:tab w:val="clear" w:pos="1247"/>
                <w:tab w:val="left" w:pos="1046"/>
              </w:tabs>
              <w:ind w:left="1046" w:hanging="425"/>
            </w:pPr>
            <w:r>
              <w:t>4.</w:t>
            </w:r>
            <w:r>
              <w:tab/>
              <w:t>Повышение статуса координационной функции в области окружающей среды: Группа Организации Объединенных Наций по рациональному природопользованию 2.0</w:t>
            </w:r>
          </w:p>
          <w:p w14:paraId="12198794" w14:textId="77777777" w:rsidR="00361D9A" w:rsidRDefault="00885FCE">
            <w:pPr>
              <w:pStyle w:val="P68B1DB1-Normal-pool-Table2"/>
              <w:tabs>
                <w:tab w:val="clear" w:pos="624"/>
                <w:tab w:val="clear" w:pos="1247"/>
                <w:tab w:val="left" w:pos="570"/>
              </w:tabs>
              <w:spacing w:before="120"/>
              <w:ind w:left="198"/>
            </w:pPr>
            <w:r>
              <w:t>B.</w:t>
            </w:r>
            <w:r>
              <w:tab/>
              <w:t>Укрепление механизмов многостороннего управления природоохранной деятельностью</w:t>
            </w:r>
          </w:p>
          <w:p w14:paraId="63FFACCF" w14:textId="77777777" w:rsidR="00361D9A" w:rsidRDefault="00885FCE">
            <w:pPr>
              <w:pStyle w:val="Normal-pool-Table"/>
              <w:tabs>
                <w:tab w:val="clear" w:pos="624"/>
                <w:tab w:val="clear" w:pos="1247"/>
                <w:tab w:val="left" w:pos="1046"/>
              </w:tabs>
              <w:ind w:left="1046" w:hanging="425"/>
            </w:pPr>
            <w:r>
              <w:t>5.</w:t>
            </w:r>
            <w:r>
              <w:tab/>
              <w:t>Изучение вариантов консолидации (по возможности)</w:t>
            </w:r>
          </w:p>
          <w:p w14:paraId="6CEF8A40" w14:textId="6596FB70" w:rsidR="00361D9A" w:rsidRDefault="00885FCE">
            <w:pPr>
              <w:pStyle w:val="Normal-pool-Table"/>
              <w:tabs>
                <w:tab w:val="clear" w:pos="624"/>
                <w:tab w:val="clear" w:pos="1247"/>
                <w:tab w:val="left" w:pos="1046"/>
              </w:tabs>
              <w:ind w:left="1046" w:hanging="425"/>
            </w:pPr>
            <w:r>
              <w:t>6.</w:t>
            </w:r>
            <w:r>
              <w:tab/>
              <w:t>Укрепление программной синергии между многосторонними природоохранными соглашениями</w:t>
            </w:r>
          </w:p>
          <w:p w14:paraId="5F627F18" w14:textId="02CA8D28" w:rsidR="00361D9A" w:rsidRDefault="00885FCE">
            <w:pPr>
              <w:pStyle w:val="Normal-pool-Table"/>
              <w:tabs>
                <w:tab w:val="clear" w:pos="624"/>
                <w:tab w:val="clear" w:pos="1247"/>
                <w:tab w:val="left" w:pos="1046"/>
              </w:tabs>
              <w:ind w:left="1046" w:hanging="425"/>
            </w:pPr>
            <w:r>
              <w:t>7.</w:t>
            </w:r>
            <w:r>
              <w:tab/>
            </w:r>
            <w:r>
              <w:t>Усиление административной синергии между многосторонними природоохранными соглашениями и согласование отчетности</w:t>
            </w:r>
          </w:p>
          <w:p w14:paraId="0A80E691" w14:textId="77777777" w:rsidR="00361D9A" w:rsidRDefault="00885FCE">
            <w:pPr>
              <w:pStyle w:val="P68B1DB1-Normal-pool-Table2"/>
              <w:tabs>
                <w:tab w:val="clear" w:pos="624"/>
                <w:tab w:val="clear" w:pos="1247"/>
                <w:tab w:val="left" w:pos="570"/>
              </w:tabs>
              <w:spacing w:before="120"/>
              <w:ind w:left="198"/>
            </w:pPr>
            <w:r>
              <w:t>C.</w:t>
            </w:r>
            <w:r>
              <w:tab/>
              <w:t>Расширение масштабов выполнения странами своих обязательств и приоритетных задач</w:t>
            </w:r>
          </w:p>
          <w:p w14:paraId="7B513A3E" w14:textId="2F95F8A5" w:rsidR="00361D9A" w:rsidRDefault="00885FCE">
            <w:pPr>
              <w:pStyle w:val="Normal-pool-Table"/>
              <w:tabs>
                <w:tab w:val="clear" w:pos="624"/>
                <w:tab w:val="clear" w:pos="1247"/>
                <w:tab w:val="left" w:pos="1046"/>
              </w:tabs>
              <w:ind w:left="1046" w:hanging="425"/>
            </w:pPr>
            <w:r>
              <w:t>8.</w:t>
            </w:r>
            <w:r>
              <w:tab/>
              <w:t>Создание координационной архитектуры для согласования и реализации политики в рамках всей системы Организации Объединенных Наций</w:t>
            </w:r>
          </w:p>
          <w:p w14:paraId="04E875DF" w14:textId="5B665655" w:rsidR="00361D9A" w:rsidRDefault="00885FCE">
            <w:pPr>
              <w:pStyle w:val="Normal-pool-Table"/>
              <w:tabs>
                <w:tab w:val="clear" w:pos="624"/>
                <w:tab w:val="clear" w:pos="1247"/>
                <w:tab w:val="left" w:pos="1046"/>
              </w:tabs>
              <w:ind w:left="1046" w:hanging="425"/>
            </w:pPr>
            <w:r>
              <w:t>9.</w:t>
            </w:r>
            <w:r>
              <w:tab/>
            </w:r>
            <w:r>
              <w:t>Создание центров поддержки с использованием технологий искусственного интеллекта, начиная с пилотного центра поддержки в области климата, которые будут функционировать в качестве «единых центров обслуживания» и содействовать оказанию поддержки государствам-членам в реализации их обязательств</w:t>
            </w:r>
          </w:p>
          <w:p w14:paraId="6FBAF97A" w14:textId="03E35B74" w:rsidR="00361D9A" w:rsidRDefault="00885FCE">
            <w:pPr>
              <w:pStyle w:val="Normal-pool-Table"/>
              <w:tabs>
                <w:tab w:val="clear" w:pos="624"/>
                <w:tab w:val="clear" w:pos="1247"/>
                <w:tab w:val="left" w:pos="1046"/>
              </w:tabs>
              <w:ind w:left="1046" w:hanging="425"/>
            </w:pPr>
            <w:r>
              <w:t>10.</w:t>
            </w:r>
            <w:r>
              <w:tab/>
              <w:t>Институционализация прямого взаимодействия с субъектами реального сектора экономики с целью ускорить реализацию мер и перенаправить частный капитал на достижение устойчивых результатов</w:t>
            </w:r>
          </w:p>
        </w:tc>
      </w:tr>
    </w:tbl>
    <w:p w14:paraId="7E0978CB" w14:textId="32364293" w:rsidR="00361D9A" w:rsidRDefault="00885FCE">
      <w:pPr>
        <w:pStyle w:val="Normalnumber"/>
        <w:tabs>
          <w:tab w:val="clear" w:pos="1247"/>
          <w:tab w:val="clear" w:pos="1814"/>
          <w:tab w:val="clear" w:pos="2381"/>
          <w:tab w:val="clear" w:pos="2948"/>
          <w:tab w:val="clear" w:pos="3515"/>
          <w:tab w:val="left" w:pos="624"/>
        </w:tabs>
        <w:spacing w:before="240"/>
        <w:ind w:left="1247"/>
      </w:pPr>
      <w:r>
        <w:t>Руководствуясь задачей инициативы «ООН-80», заключающейся в вышеупомянутой институциональной реструктуризации и функциональной оптимизации, ЮНЕП приступила к общесистемному анализу эффективности, направленному на оптимизацию операционной деятельности, повышение адресности и результативности программных мероприятий, с целью усиления их действенности и преодоления финансовой нестабильности, вызванной изменениями в политике и приоритетах стран. В рамках этих усилий ЮНЕП планирует объединить административные фу</w:t>
      </w:r>
      <w:r>
        <w:t>нкции своих подразделений на базе единого центра для повышения эффективности работы и снижения уровня организационной фрагментации. В настоящее время проводятся соответствующие обзоры и оценки, которые должны быть завершены в 2027 году.</w:t>
      </w:r>
    </w:p>
    <w:p w14:paraId="25A31CD7" w14:textId="37FFCE8E" w:rsidR="00361D9A" w:rsidRDefault="00885FCE">
      <w:pPr>
        <w:pStyle w:val="CH2"/>
      </w:pPr>
      <w:r>
        <w:tab/>
        <w:t>B.</w:t>
      </w:r>
      <w:r>
        <w:tab/>
        <w:t>Последствия применения различных форматов совещаний</w:t>
      </w:r>
    </w:p>
    <w:p w14:paraId="7D962F08" w14:textId="3F61D760" w:rsidR="00361D9A" w:rsidRDefault="00885FCE">
      <w:pPr>
        <w:pStyle w:val="CH3"/>
        <w:tabs>
          <w:tab w:val="left" w:pos="709"/>
        </w:tabs>
        <w:spacing w:before="0"/>
      </w:pPr>
      <w:r>
        <w:tab/>
        <w:t>1.</w:t>
      </w:r>
      <w:r>
        <w:tab/>
        <w:t>Изменение условий проведения совещаний</w:t>
      </w:r>
    </w:p>
    <w:p w14:paraId="128276CE" w14:textId="5E1F83D2" w:rsidR="00361D9A" w:rsidRDefault="00885FCE">
      <w:pPr>
        <w:pStyle w:val="Normalnumber"/>
        <w:tabs>
          <w:tab w:val="clear" w:pos="1247"/>
          <w:tab w:val="clear" w:pos="1814"/>
          <w:tab w:val="clear" w:pos="2381"/>
          <w:tab w:val="clear" w:pos="2948"/>
          <w:tab w:val="clear" w:pos="3515"/>
          <w:tab w:val="left" w:pos="624"/>
        </w:tabs>
        <w:ind w:left="1247"/>
      </w:pPr>
      <w:r>
        <w:t>Условия проведения совещаний описывают их периодичность, сроки, продолжительность и формат. Каждый из этих параметров можно скорректировать по отдельности или в сочетании друг с другом применительно к рассматриваемым в сценариях мероприятиям, что повлечет за собой различные операционные и финансовые последствия. Учитывая большое количество возможных вариантов, в этом разделе приводится лишь несколько ключевых примеров изменений, заслуживающих внимания, а также ориентировочные сметы расходов.</w:t>
      </w:r>
    </w:p>
    <w:p w14:paraId="60CE6C29" w14:textId="2C65A380" w:rsidR="00361D9A" w:rsidRDefault="00885FCE">
      <w:pPr>
        <w:pStyle w:val="Normalnumber"/>
        <w:tabs>
          <w:tab w:val="clear" w:pos="1247"/>
          <w:tab w:val="clear" w:pos="1814"/>
          <w:tab w:val="clear" w:pos="2381"/>
          <w:tab w:val="clear" w:pos="2948"/>
          <w:tab w:val="clear" w:pos="3515"/>
          <w:tab w:val="left" w:pos="624"/>
        </w:tabs>
        <w:ind w:left="1247"/>
      </w:pPr>
      <w:r>
        <w:t>В целом, расходы на проведение совещаний в значительной степени определяются следующими факторами:</w:t>
      </w:r>
    </w:p>
    <w:p w14:paraId="4243C56C" w14:textId="7A110A51" w:rsidR="00361D9A" w:rsidRDefault="00885FCE">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t>место проведения совещания, от которого зависят как расходы на использование самой площадки, так и путевые расходы участников, сотрудников Секретариата и персонала, обслуживающего конференции, включая устных переводчиков, составителей отчетов, редакторов, а также помощников по редакционной работе и управлению документацией;</w:t>
      </w:r>
    </w:p>
    <w:p w14:paraId="768A38B1" w14:textId="11B1326D" w:rsidR="00361D9A" w:rsidRDefault="00885FCE">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lastRenderedPageBreak/>
        <w:t>повестка дня, которая влияет на количество документов, подлежащих редактированию и переводу на языки совещания;</w:t>
      </w:r>
    </w:p>
    <w:p w14:paraId="102C283B" w14:textId="492CE3DE" w:rsidR="00361D9A" w:rsidRDefault="00885FCE">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t>формат (дистанционный, очный) и продолжительность совещания.</w:t>
      </w:r>
    </w:p>
    <w:p w14:paraId="58181B92" w14:textId="0FF429F3" w:rsidR="00361D9A" w:rsidRDefault="00885FCE">
      <w:pPr>
        <w:pStyle w:val="Normalnumber"/>
        <w:tabs>
          <w:tab w:val="clear" w:pos="1247"/>
          <w:tab w:val="clear" w:pos="1814"/>
          <w:tab w:val="clear" w:pos="2381"/>
          <w:tab w:val="clear" w:pos="2948"/>
          <w:tab w:val="clear" w:pos="3515"/>
          <w:tab w:val="left" w:pos="624"/>
        </w:tabs>
        <w:ind w:left="1247"/>
      </w:pPr>
      <w:r>
        <w:t>В таблице 2 представлена смета расходов на проведение Совещаний Сторон и совещаний Рабочей группы открытого состава с учетом текущего порядка их организации, изменений в продолжительности и формате этих мероприятий, а также оценочные данные о разнице в расходах:</w:t>
      </w:r>
    </w:p>
    <w:p w14:paraId="7A76AF58" w14:textId="1CED358E" w:rsidR="00361D9A" w:rsidRDefault="00885FCE">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t>В настоящее время Совещание Сторон проводится в течение пяти дней в очном формате. В таблице 2 показано увеличение расходов, обусловленное переходом на семидневное очное совещание (включающего пятидневный подготовительный этап и двухдневный сегмент высокого уровня), которое предусмотрено сценарием B.</w:t>
      </w:r>
    </w:p>
    <w:p w14:paraId="5AC55E31" w14:textId="6457042A" w:rsidR="00361D9A" w:rsidRDefault="00885FCE">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t>В настоящее время Рабочая группа открытого состава проводит пятидневные совещания в очном формате. В таблице 2 показана экономия средств, обусловленная переходом на четырехдневные и трехдневные очные совещания, а также четырехдневные и двухдневные онлайн-встречи для рассмотрения информационных пунктов повестки дня, с организацией и без организации устного перевода.</w:t>
      </w:r>
      <w:r>
        <w:br w:type="page"/>
      </w:r>
    </w:p>
    <w:p w14:paraId="2A232937" w14:textId="28EE587C" w:rsidR="00361D9A" w:rsidRDefault="00885FCE">
      <w:pPr>
        <w:pStyle w:val="Titletable"/>
        <w:spacing w:before="240"/>
      </w:pPr>
      <w:r>
        <w:rPr>
          <w:b w:val="0"/>
        </w:rPr>
        <w:lastRenderedPageBreak/>
        <w:t xml:space="preserve">Таблица 2 </w:t>
      </w:r>
      <w:r>
        <w:rPr>
          <w:b w:val="0"/>
        </w:rPr>
        <w:br/>
      </w:r>
      <w:r>
        <w:t>Смета расходов на проведение Совещаний Сторон и совещаний Рабочей группы открытого состава с учетом текущего порядка их организации и примеров его изменения</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843"/>
        <w:gridCol w:w="2126"/>
        <w:gridCol w:w="3685"/>
      </w:tblGrid>
      <w:tr w:rsidR="00361D9A" w14:paraId="079572C3" w14:textId="77777777">
        <w:trPr>
          <w:trHeight w:val="57"/>
          <w:tblHeader/>
          <w:jc w:val="right"/>
        </w:trPr>
        <w:tc>
          <w:tcPr>
            <w:tcW w:w="1843" w:type="dxa"/>
            <w:tcBorders>
              <w:top w:val="single" w:sz="4" w:space="0" w:color="auto"/>
              <w:bottom w:val="single" w:sz="12" w:space="0" w:color="auto"/>
            </w:tcBorders>
            <w:vAlign w:val="bottom"/>
            <w:hideMark/>
          </w:tcPr>
          <w:p w14:paraId="3209BC39" w14:textId="70A07F71" w:rsidR="00361D9A" w:rsidRDefault="00885FCE">
            <w:pPr>
              <w:pStyle w:val="P68B1DB1-Normal-pool-Table1"/>
              <w:spacing w:after="60"/>
            </w:pPr>
            <w:r>
              <w:t>Условия</w:t>
            </w:r>
          </w:p>
        </w:tc>
        <w:tc>
          <w:tcPr>
            <w:tcW w:w="1843" w:type="dxa"/>
            <w:tcBorders>
              <w:top w:val="single" w:sz="4" w:space="0" w:color="auto"/>
              <w:bottom w:val="single" w:sz="12" w:space="0" w:color="auto"/>
            </w:tcBorders>
            <w:vAlign w:val="bottom"/>
            <w:hideMark/>
          </w:tcPr>
          <w:p w14:paraId="3A86A65B" w14:textId="3EBDBDB6" w:rsidR="00361D9A" w:rsidRDefault="00885FCE">
            <w:pPr>
              <w:pStyle w:val="P68B1DB1-Normal-pool-Table1"/>
              <w:spacing w:after="60"/>
              <w:jc w:val="right"/>
            </w:pPr>
            <w:r>
              <w:t>Ориентировочные расходы на обслуживание конференций в расчете на одно совещание</w:t>
            </w:r>
          </w:p>
        </w:tc>
        <w:tc>
          <w:tcPr>
            <w:tcW w:w="2126" w:type="dxa"/>
            <w:tcBorders>
              <w:top w:val="single" w:sz="4" w:space="0" w:color="auto"/>
              <w:bottom w:val="single" w:sz="12" w:space="0" w:color="auto"/>
            </w:tcBorders>
            <w:vAlign w:val="bottom"/>
            <w:hideMark/>
          </w:tcPr>
          <w:p w14:paraId="5AA8CE1E" w14:textId="1029C7DB" w:rsidR="00361D9A" w:rsidRDefault="00885FCE">
            <w:pPr>
              <w:pStyle w:val="P68B1DB1-Normal-pool-Table1"/>
              <w:spacing w:after="60"/>
              <w:jc w:val="right"/>
            </w:pPr>
            <w:r>
              <w:t xml:space="preserve">Ориентировочная экономия/дополнительные расходы на обслуживание конференций в расчете на одно совещание </w:t>
            </w:r>
          </w:p>
        </w:tc>
        <w:tc>
          <w:tcPr>
            <w:tcW w:w="3685" w:type="dxa"/>
            <w:tcBorders>
              <w:top w:val="single" w:sz="4" w:space="0" w:color="auto"/>
              <w:bottom w:val="single" w:sz="12" w:space="0" w:color="auto"/>
            </w:tcBorders>
            <w:vAlign w:val="bottom"/>
            <w:hideMark/>
          </w:tcPr>
          <w:p w14:paraId="18F845AB" w14:textId="5E48F366" w:rsidR="00361D9A" w:rsidRDefault="00885FCE">
            <w:pPr>
              <w:pStyle w:val="P68B1DB1-Normal-pool-Table1"/>
              <w:spacing w:after="60"/>
            </w:pPr>
            <w:r>
              <w:t>Примечания</w:t>
            </w:r>
          </w:p>
        </w:tc>
      </w:tr>
      <w:tr w:rsidR="00361D9A" w14:paraId="2F4D82FD" w14:textId="77777777">
        <w:trPr>
          <w:trHeight w:val="57"/>
          <w:jc w:val="right"/>
        </w:trPr>
        <w:tc>
          <w:tcPr>
            <w:tcW w:w="1843" w:type="dxa"/>
            <w:tcBorders>
              <w:top w:val="single" w:sz="12" w:space="0" w:color="auto"/>
              <w:bottom w:val="single" w:sz="4" w:space="0" w:color="auto"/>
            </w:tcBorders>
          </w:tcPr>
          <w:p w14:paraId="35F3E77A" w14:textId="077F3E95" w:rsidR="00361D9A" w:rsidRDefault="00885FCE">
            <w:pPr>
              <w:pStyle w:val="P68B1DB1-Normal-pool-Table6"/>
              <w:spacing w:after="60"/>
            </w:pPr>
            <w:r>
              <w:t>Текущая практика (пятидневное СС в очном формате)</w:t>
            </w:r>
          </w:p>
        </w:tc>
        <w:tc>
          <w:tcPr>
            <w:tcW w:w="1843" w:type="dxa"/>
            <w:tcBorders>
              <w:top w:val="single" w:sz="12" w:space="0" w:color="auto"/>
              <w:bottom w:val="single" w:sz="4" w:space="0" w:color="auto"/>
            </w:tcBorders>
          </w:tcPr>
          <w:p w14:paraId="6904122D" w14:textId="5F11F079" w:rsidR="00361D9A" w:rsidRDefault="00885FCE">
            <w:pPr>
              <w:pStyle w:val="P68B1DB1-Normal-pool-Table7"/>
              <w:spacing w:after="60"/>
              <w:jc w:val="right"/>
            </w:pPr>
            <w:r>
              <w:t>600 000 долл. США</w:t>
            </w:r>
          </w:p>
        </w:tc>
        <w:tc>
          <w:tcPr>
            <w:tcW w:w="2126" w:type="dxa"/>
            <w:tcBorders>
              <w:top w:val="single" w:sz="12" w:space="0" w:color="auto"/>
              <w:bottom w:val="single" w:sz="4" w:space="0" w:color="auto"/>
            </w:tcBorders>
          </w:tcPr>
          <w:p w14:paraId="5C3A46E6" w14:textId="04CA8F10" w:rsidR="00361D9A" w:rsidRDefault="00885FCE">
            <w:pPr>
              <w:pStyle w:val="P68B1DB1-Normal-pool-Table7"/>
              <w:spacing w:after="60"/>
              <w:jc w:val="right"/>
            </w:pPr>
            <w:r>
              <w:t>Неприменимо</w:t>
            </w:r>
          </w:p>
        </w:tc>
        <w:tc>
          <w:tcPr>
            <w:tcW w:w="3685" w:type="dxa"/>
            <w:tcBorders>
              <w:top w:val="single" w:sz="12" w:space="0" w:color="auto"/>
              <w:bottom w:val="single" w:sz="4" w:space="0" w:color="auto"/>
            </w:tcBorders>
          </w:tcPr>
          <w:p w14:paraId="42BEDDBD" w14:textId="69DF06E4" w:rsidR="00361D9A" w:rsidRDefault="00885FCE">
            <w:pPr>
              <w:pStyle w:val="P68B1DB1-Normal-pool-Table7"/>
              <w:spacing w:after="60"/>
            </w:pPr>
            <w:r>
              <w:t>Оценки, составленные с учетом СС в Найроби</w:t>
            </w:r>
          </w:p>
        </w:tc>
      </w:tr>
      <w:tr w:rsidR="00361D9A" w14:paraId="3AE3F07D" w14:textId="77777777">
        <w:trPr>
          <w:trHeight w:val="57"/>
          <w:jc w:val="right"/>
        </w:trPr>
        <w:tc>
          <w:tcPr>
            <w:tcW w:w="1843" w:type="dxa"/>
            <w:tcBorders>
              <w:top w:val="single" w:sz="4" w:space="0" w:color="auto"/>
              <w:bottom w:val="single" w:sz="4" w:space="0" w:color="auto"/>
            </w:tcBorders>
          </w:tcPr>
          <w:p w14:paraId="1B96AC7F" w14:textId="2C184DDE" w:rsidR="00361D9A" w:rsidRDefault="00885FCE">
            <w:pPr>
              <w:pStyle w:val="P68B1DB1-Normal-pool-Table6"/>
              <w:spacing w:after="60"/>
            </w:pPr>
            <w:r>
              <w:t>Два дополнительных дня СС в Найроби</w:t>
            </w:r>
          </w:p>
        </w:tc>
        <w:tc>
          <w:tcPr>
            <w:tcW w:w="1843" w:type="dxa"/>
            <w:tcBorders>
              <w:top w:val="single" w:sz="4" w:space="0" w:color="auto"/>
              <w:bottom w:val="single" w:sz="4" w:space="0" w:color="auto"/>
            </w:tcBorders>
          </w:tcPr>
          <w:p w14:paraId="7E643450" w14:textId="3B700CD9" w:rsidR="00361D9A" w:rsidRDefault="00885FCE">
            <w:pPr>
              <w:pStyle w:val="P68B1DB1-Normal-pool-Table7"/>
              <w:spacing w:after="60"/>
              <w:jc w:val="right"/>
            </w:pPr>
            <w:r>
              <w:t>Неприменимо</w:t>
            </w:r>
          </w:p>
        </w:tc>
        <w:tc>
          <w:tcPr>
            <w:tcW w:w="2126" w:type="dxa"/>
            <w:tcBorders>
              <w:top w:val="single" w:sz="4" w:space="0" w:color="auto"/>
              <w:bottom w:val="single" w:sz="4" w:space="0" w:color="auto"/>
            </w:tcBorders>
          </w:tcPr>
          <w:p w14:paraId="6537D965" w14:textId="54A9BA72" w:rsidR="00361D9A" w:rsidRDefault="00885FCE">
            <w:pPr>
              <w:pStyle w:val="P68B1DB1-Normal-pool-Table7"/>
              <w:spacing w:after="60"/>
              <w:jc w:val="right"/>
            </w:pPr>
            <w:r>
              <w:t>Дополнительные расходы: 150 000 долл. США</w:t>
            </w:r>
          </w:p>
        </w:tc>
        <w:tc>
          <w:tcPr>
            <w:tcW w:w="3685" w:type="dxa"/>
            <w:tcBorders>
              <w:top w:val="single" w:sz="4" w:space="0" w:color="auto"/>
              <w:bottom w:val="single" w:sz="4" w:space="0" w:color="auto"/>
            </w:tcBorders>
          </w:tcPr>
          <w:p w14:paraId="2A9BED1B" w14:textId="409E6317" w:rsidR="00361D9A" w:rsidRDefault="00885FCE">
            <w:pPr>
              <w:pStyle w:val="P68B1DB1-Normal-pool-Table7"/>
              <w:spacing w:after="60"/>
            </w:pPr>
            <w:r>
              <w:t>Выплата суточных за два дополнительных дня 120 участникам, представляющим Стороны, которые действуют в рамках статьи 5: 70 000 долл. США</w:t>
            </w:r>
          </w:p>
        </w:tc>
      </w:tr>
      <w:tr w:rsidR="00361D9A" w14:paraId="58F50861" w14:textId="77777777">
        <w:trPr>
          <w:trHeight w:val="57"/>
          <w:jc w:val="right"/>
        </w:trPr>
        <w:tc>
          <w:tcPr>
            <w:tcW w:w="1843" w:type="dxa"/>
            <w:tcBorders>
              <w:top w:val="single" w:sz="4" w:space="0" w:color="auto"/>
              <w:bottom w:val="single" w:sz="4" w:space="0" w:color="auto"/>
            </w:tcBorders>
            <w:hideMark/>
          </w:tcPr>
          <w:p w14:paraId="0A88AB57" w14:textId="6064E8EC" w:rsidR="00361D9A" w:rsidRDefault="00885FCE">
            <w:pPr>
              <w:pStyle w:val="P68B1DB1-Normal-pool-Table6"/>
              <w:spacing w:after="60"/>
            </w:pPr>
            <w:r>
              <w:t>Текущая практика (пятидневное совещание РГОС в очном формате)</w:t>
            </w:r>
          </w:p>
        </w:tc>
        <w:tc>
          <w:tcPr>
            <w:tcW w:w="1843" w:type="dxa"/>
            <w:tcBorders>
              <w:top w:val="single" w:sz="4" w:space="0" w:color="auto"/>
              <w:bottom w:val="single" w:sz="4" w:space="0" w:color="auto"/>
            </w:tcBorders>
          </w:tcPr>
          <w:p w14:paraId="3821F0E9" w14:textId="043A5524" w:rsidR="00361D9A" w:rsidRDefault="00885FCE">
            <w:pPr>
              <w:pStyle w:val="P68B1DB1-Normal-pool-Table7"/>
              <w:spacing w:after="60"/>
              <w:jc w:val="right"/>
            </w:pPr>
            <w:r>
              <w:t>650 000 долл. США</w:t>
            </w:r>
          </w:p>
        </w:tc>
        <w:tc>
          <w:tcPr>
            <w:tcW w:w="2126" w:type="dxa"/>
            <w:tcBorders>
              <w:top w:val="single" w:sz="4" w:space="0" w:color="auto"/>
              <w:bottom w:val="single" w:sz="4" w:space="0" w:color="auto"/>
            </w:tcBorders>
          </w:tcPr>
          <w:p w14:paraId="0923FF5A" w14:textId="60790C57" w:rsidR="00361D9A" w:rsidRDefault="00885FCE">
            <w:pPr>
              <w:pStyle w:val="P68B1DB1-Normal-pool-Table7"/>
              <w:spacing w:after="60"/>
              <w:jc w:val="right"/>
            </w:pPr>
            <w:r>
              <w:t>Неприменимо</w:t>
            </w:r>
          </w:p>
        </w:tc>
        <w:tc>
          <w:tcPr>
            <w:tcW w:w="3685" w:type="dxa"/>
            <w:tcBorders>
              <w:top w:val="single" w:sz="4" w:space="0" w:color="auto"/>
              <w:bottom w:val="single" w:sz="4" w:space="0" w:color="auto"/>
            </w:tcBorders>
          </w:tcPr>
          <w:p w14:paraId="4507D7F7" w14:textId="1EDB44D7" w:rsidR="00361D9A" w:rsidRDefault="00885FCE">
            <w:pPr>
              <w:pStyle w:val="P68B1DB1-Normal-pool-Table7"/>
              <w:spacing w:after="60"/>
            </w:pPr>
            <w:r>
              <w:t>Оценки, составленные с учетом совещания РГОС в Бангкоке в соответствии с документом UNEP/OzL.Pro.38/4</w:t>
            </w:r>
          </w:p>
        </w:tc>
      </w:tr>
      <w:tr w:rsidR="00361D9A" w14:paraId="47A92628" w14:textId="77777777">
        <w:trPr>
          <w:trHeight w:val="57"/>
          <w:jc w:val="right"/>
        </w:trPr>
        <w:tc>
          <w:tcPr>
            <w:tcW w:w="1843" w:type="dxa"/>
            <w:tcBorders>
              <w:top w:val="single" w:sz="4" w:space="0" w:color="auto"/>
              <w:bottom w:val="single" w:sz="4" w:space="0" w:color="auto"/>
            </w:tcBorders>
          </w:tcPr>
          <w:p w14:paraId="4B4F4F6C" w14:textId="5CECC0C6" w:rsidR="00361D9A" w:rsidRDefault="00885FCE">
            <w:pPr>
              <w:pStyle w:val="P68B1DB1-Normal-pool-Table6"/>
              <w:spacing w:after="60"/>
            </w:pPr>
            <w:r>
              <w:t>Четырехдневное совещание РГОС в очном формате</w:t>
            </w:r>
          </w:p>
        </w:tc>
        <w:tc>
          <w:tcPr>
            <w:tcW w:w="1843" w:type="dxa"/>
            <w:tcBorders>
              <w:top w:val="single" w:sz="4" w:space="0" w:color="auto"/>
              <w:bottom w:val="single" w:sz="4" w:space="0" w:color="auto"/>
            </w:tcBorders>
          </w:tcPr>
          <w:p w14:paraId="3CA6C870" w14:textId="01AC4F83" w:rsidR="00361D9A" w:rsidRDefault="00885FCE">
            <w:pPr>
              <w:pStyle w:val="P68B1DB1-Normal-pool-Table7"/>
              <w:spacing w:after="60"/>
              <w:jc w:val="right"/>
            </w:pPr>
            <w:r>
              <w:t>545 000 долл. США</w:t>
            </w:r>
          </w:p>
        </w:tc>
        <w:tc>
          <w:tcPr>
            <w:tcW w:w="2126" w:type="dxa"/>
            <w:tcBorders>
              <w:top w:val="single" w:sz="4" w:space="0" w:color="auto"/>
              <w:bottom w:val="single" w:sz="4" w:space="0" w:color="auto"/>
            </w:tcBorders>
          </w:tcPr>
          <w:p w14:paraId="6564413C" w14:textId="3C568B57" w:rsidR="00361D9A" w:rsidRDefault="00885FCE">
            <w:pPr>
              <w:pStyle w:val="P68B1DB1-Normal-pool-Table7"/>
              <w:spacing w:after="60"/>
              <w:jc w:val="right"/>
            </w:pPr>
            <w:r>
              <w:t>105 000 долл. США</w:t>
            </w:r>
          </w:p>
        </w:tc>
        <w:tc>
          <w:tcPr>
            <w:tcW w:w="3685" w:type="dxa"/>
            <w:tcBorders>
              <w:top w:val="single" w:sz="4" w:space="0" w:color="auto"/>
              <w:bottom w:val="single" w:sz="4" w:space="0" w:color="auto"/>
            </w:tcBorders>
          </w:tcPr>
          <w:p w14:paraId="5036716D" w14:textId="605A2EA7" w:rsidR="00361D9A" w:rsidRDefault="00885FCE">
            <w:pPr>
              <w:pStyle w:val="P68B1DB1-Normal-pool-Table7"/>
              <w:spacing w:after="60"/>
            </w:pPr>
            <w:r>
              <w:t>Экономия за счет места проведения (аренда, обеспечение безопасности, коммунальные услуги) и обслуживания конференций, с учетом устного перевода, составления и редактирования отчетов (гонорары и суточные)</w:t>
            </w:r>
          </w:p>
          <w:p w14:paraId="53AA4F18" w14:textId="2663E735" w:rsidR="00361D9A" w:rsidRDefault="00885FCE">
            <w:pPr>
              <w:pStyle w:val="P68B1DB1-Normal-pool-Table7"/>
              <w:spacing w:after="60"/>
              <w:rPr>
                <w:color w:val="000000" w:themeColor="text1"/>
              </w:rPr>
            </w:pPr>
            <w:r>
              <w:t>Экономия на поездках участников, представляющих Стороны, которые действуют в рамках статьи 5, составит 35 000 долл. США (выплата суточных за один день 120 участникам)</w:t>
            </w:r>
          </w:p>
        </w:tc>
      </w:tr>
      <w:tr w:rsidR="00361D9A" w14:paraId="59BA39BD" w14:textId="77777777">
        <w:trPr>
          <w:trHeight w:val="57"/>
          <w:jc w:val="right"/>
        </w:trPr>
        <w:tc>
          <w:tcPr>
            <w:tcW w:w="1843" w:type="dxa"/>
            <w:tcBorders>
              <w:top w:val="single" w:sz="4" w:space="0" w:color="auto"/>
              <w:bottom w:val="single" w:sz="4" w:space="0" w:color="auto"/>
            </w:tcBorders>
          </w:tcPr>
          <w:p w14:paraId="3F29AF96" w14:textId="61A99C2A" w:rsidR="00361D9A" w:rsidRDefault="00885FCE">
            <w:pPr>
              <w:pStyle w:val="P68B1DB1-Normal-pool-Table6"/>
              <w:spacing w:after="60"/>
            </w:pPr>
            <w:r>
              <w:t>Трехдневное совещание РГОС в очном формате</w:t>
            </w:r>
          </w:p>
        </w:tc>
        <w:tc>
          <w:tcPr>
            <w:tcW w:w="1843" w:type="dxa"/>
            <w:tcBorders>
              <w:top w:val="single" w:sz="4" w:space="0" w:color="auto"/>
              <w:bottom w:val="single" w:sz="4" w:space="0" w:color="auto"/>
            </w:tcBorders>
          </w:tcPr>
          <w:p w14:paraId="3D41EC47" w14:textId="42D8F523" w:rsidR="00361D9A" w:rsidRDefault="00885FCE">
            <w:pPr>
              <w:pStyle w:val="P68B1DB1-Normal-pool-Table7"/>
              <w:spacing w:after="60"/>
              <w:jc w:val="right"/>
            </w:pPr>
            <w:r>
              <w:t>480 000 долл. США</w:t>
            </w:r>
          </w:p>
        </w:tc>
        <w:tc>
          <w:tcPr>
            <w:tcW w:w="2126" w:type="dxa"/>
            <w:tcBorders>
              <w:top w:val="single" w:sz="4" w:space="0" w:color="auto"/>
              <w:bottom w:val="single" w:sz="4" w:space="0" w:color="auto"/>
            </w:tcBorders>
          </w:tcPr>
          <w:p w14:paraId="25123104" w14:textId="156423EA" w:rsidR="00361D9A" w:rsidRDefault="00885FCE">
            <w:pPr>
              <w:pStyle w:val="P68B1DB1-Normal-pool-Table7"/>
              <w:spacing w:after="60"/>
              <w:jc w:val="right"/>
            </w:pPr>
            <w:r>
              <w:t>170 000 долл. США</w:t>
            </w:r>
          </w:p>
        </w:tc>
        <w:tc>
          <w:tcPr>
            <w:tcW w:w="3685" w:type="dxa"/>
            <w:tcBorders>
              <w:top w:val="single" w:sz="4" w:space="0" w:color="auto"/>
              <w:bottom w:val="single" w:sz="4" w:space="0" w:color="auto"/>
            </w:tcBorders>
          </w:tcPr>
          <w:p w14:paraId="05ECD5A6" w14:textId="79C59B25" w:rsidR="00361D9A" w:rsidRDefault="00885FCE">
            <w:pPr>
              <w:pStyle w:val="P68B1DB1-Normal-pool-Table7"/>
              <w:spacing w:after="60"/>
            </w:pPr>
            <w:r>
              <w:t>Экономия за счет места проведения (аренда, обеспечение безопасности, коммунальные услуги) и обслуживания конференций, с учетом устного перевода, составления и редактирования отчетов (гонорары и суточные)</w:t>
            </w:r>
          </w:p>
          <w:p w14:paraId="69CCE472" w14:textId="57FB7AD8" w:rsidR="00361D9A" w:rsidRDefault="00885FCE">
            <w:pPr>
              <w:pStyle w:val="P68B1DB1-Normal-pool-Table7"/>
              <w:spacing w:after="60"/>
            </w:pPr>
            <w:r>
              <w:t>Экономия на поездках участников, представляющих Стороны, которые действуют в рамках статьи 5, составит 70 000 долл. США (выплата суточных за два дня 120 участникам)</w:t>
            </w:r>
          </w:p>
          <w:p w14:paraId="7464CA85" w14:textId="54FB9E2C" w:rsidR="00361D9A" w:rsidRDefault="00885FCE">
            <w:pPr>
              <w:pStyle w:val="P68B1DB1-Normal-pool-Table7"/>
              <w:spacing w:after="60"/>
            </w:pPr>
            <w:r>
              <w:t>Риск, обусловленный невозможностью рассмотреть все пункты повестки дня</w:t>
            </w:r>
          </w:p>
        </w:tc>
      </w:tr>
      <w:tr w:rsidR="00361D9A" w14:paraId="4E918FF2" w14:textId="77777777">
        <w:trPr>
          <w:trHeight w:val="57"/>
          <w:jc w:val="right"/>
        </w:trPr>
        <w:tc>
          <w:tcPr>
            <w:tcW w:w="1843" w:type="dxa"/>
            <w:tcBorders>
              <w:top w:val="single" w:sz="4" w:space="0" w:color="auto"/>
              <w:bottom w:val="single" w:sz="4" w:space="0" w:color="auto"/>
            </w:tcBorders>
          </w:tcPr>
          <w:p w14:paraId="5845F761" w14:textId="22825D15" w:rsidR="00361D9A" w:rsidRDefault="00885FCE">
            <w:pPr>
              <w:pStyle w:val="P68B1DB1-Normal-pool-Table6"/>
              <w:spacing w:after="60"/>
            </w:pPr>
            <w:r>
              <w:t>Четырехдневное онлайн-совещание РГОС (восемь сессий продолжительностью по два часа) с организацией устного перевода</w:t>
            </w:r>
          </w:p>
        </w:tc>
        <w:tc>
          <w:tcPr>
            <w:tcW w:w="1843" w:type="dxa"/>
            <w:tcBorders>
              <w:top w:val="single" w:sz="4" w:space="0" w:color="auto"/>
              <w:bottom w:val="single" w:sz="4" w:space="0" w:color="auto"/>
            </w:tcBorders>
          </w:tcPr>
          <w:p w14:paraId="0F301769" w14:textId="0DA256C5" w:rsidR="00361D9A" w:rsidRDefault="00885FCE">
            <w:pPr>
              <w:pStyle w:val="P68B1DB1-Normal-pool-Table7"/>
              <w:spacing w:after="60"/>
              <w:jc w:val="right"/>
            </w:pPr>
            <w:r>
              <w:t>360 000 долл. США</w:t>
            </w:r>
          </w:p>
        </w:tc>
        <w:tc>
          <w:tcPr>
            <w:tcW w:w="2126" w:type="dxa"/>
            <w:tcBorders>
              <w:top w:val="single" w:sz="4" w:space="0" w:color="auto"/>
              <w:bottom w:val="single" w:sz="4" w:space="0" w:color="auto"/>
            </w:tcBorders>
          </w:tcPr>
          <w:p w14:paraId="42FEE273" w14:textId="7E39C52B" w:rsidR="00361D9A" w:rsidRDefault="00885FCE">
            <w:pPr>
              <w:pStyle w:val="P68B1DB1-Normal-pool-Table7"/>
              <w:spacing w:after="60"/>
              <w:jc w:val="right"/>
            </w:pPr>
            <w:r>
              <w:t>290 000 долл. США</w:t>
            </w:r>
          </w:p>
        </w:tc>
        <w:tc>
          <w:tcPr>
            <w:tcW w:w="3685" w:type="dxa"/>
            <w:tcBorders>
              <w:top w:val="single" w:sz="4" w:space="0" w:color="auto"/>
              <w:bottom w:val="single" w:sz="4" w:space="0" w:color="auto"/>
            </w:tcBorders>
          </w:tcPr>
          <w:p w14:paraId="2001F8B9" w14:textId="3BBBDCC4" w:rsidR="00361D9A" w:rsidRDefault="00885FCE">
            <w:pPr>
              <w:pStyle w:val="P68B1DB1-Normal-pool-Table7"/>
              <w:spacing w:after="60"/>
            </w:pPr>
            <w:r>
              <w:t>С учетом средних фактических расходов на совещания РГОС, проведенные в 2020–2021 годах, с поправкой на инфляцию</w:t>
            </w:r>
          </w:p>
          <w:p w14:paraId="51308788" w14:textId="31111037" w:rsidR="00361D9A" w:rsidRDefault="00885FCE">
            <w:pPr>
              <w:pStyle w:val="P68B1DB1-Normal-pool-Table7"/>
              <w:spacing w:after="60"/>
            </w:pPr>
            <w:r>
              <w:t>Экономия за счет места проведения (аренда, обеспечение безопасности, коммунальные услуги) и поездок персонала, обслуживающего конференции, частично компенсируется затратами на использование платформы для онлайн-совещаний</w:t>
            </w:r>
          </w:p>
          <w:p w14:paraId="4DCC480B" w14:textId="1E61C3E9" w:rsidR="00361D9A" w:rsidRDefault="00885FCE">
            <w:pPr>
              <w:pStyle w:val="P68B1DB1-Normal-pool-Table7"/>
              <w:spacing w:after="60"/>
            </w:pPr>
            <w:r>
              <w:t>Экономия на поездках участников, представляющих Стороны, которые действуют в рамках статьи 5, составит 420 000 долл. США</w:t>
            </w:r>
          </w:p>
          <w:p w14:paraId="00418173" w14:textId="29231617" w:rsidR="00361D9A" w:rsidRDefault="00885FCE">
            <w:pPr>
              <w:pStyle w:val="P68B1DB1-Normal-pool-Table7"/>
              <w:spacing w:after="60"/>
            </w:pPr>
            <w:r>
              <w:t>Экономия на поездках сотрудников Секретариата составит 100 000 долл. США</w:t>
            </w:r>
          </w:p>
          <w:p w14:paraId="4FD328BE" w14:textId="77777777" w:rsidR="00361D9A" w:rsidRDefault="00885FCE">
            <w:pPr>
              <w:pStyle w:val="P68B1DB1-Normal-pool-Table7"/>
              <w:spacing w:after="60"/>
            </w:pPr>
            <w:r>
              <w:t>Риск, обусловленный невозможностью рассмотреть все пункты повестки дня</w:t>
            </w:r>
          </w:p>
          <w:p w14:paraId="7AD9F74C" w14:textId="1991591A" w:rsidR="00361D9A" w:rsidRDefault="00885FCE">
            <w:pPr>
              <w:pStyle w:val="P68B1DB1-Normal-pool-Table7"/>
              <w:spacing w:after="60"/>
            </w:pPr>
            <w:r>
              <w:t>Невозможность проводить встречи, обсуждать вопросы и вести переговоры по ним в рамках пленарных заседаний и контактных групп</w:t>
            </w:r>
          </w:p>
          <w:p w14:paraId="47421E4F" w14:textId="2E99A730" w:rsidR="00361D9A" w:rsidRDefault="00885FCE">
            <w:pPr>
              <w:pStyle w:val="P68B1DB1-Normal-pool-Table7"/>
              <w:spacing w:after="60"/>
            </w:pPr>
            <w:r>
              <w:t>Неопределенность в отношении возможности предоставления услуг дистанционного синхронного перевода Организацией Объединенных Наций во время сессий</w:t>
            </w:r>
          </w:p>
        </w:tc>
      </w:tr>
      <w:tr w:rsidR="00361D9A" w14:paraId="36CCDBDA" w14:textId="77777777">
        <w:trPr>
          <w:trHeight w:val="57"/>
          <w:jc w:val="right"/>
        </w:trPr>
        <w:tc>
          <w:tcPr>
            <w:tcW w:w="1843" w:type="dxa"/>
            <w:tcBorders>
              <w:top w:val="single" w:sz="4" w:space="0" w:color="auto"/>
              <w:bottom w:val="single" w:sz="4" w:space="0" w:color="auto"/>
            </w:tcBorders>
          </w:tcPr>
          <w:p w14:paraId="01F7E216" w14:textId="75C22969" w:rsidR="00361D9A" w:rsidRDefault="00885FCE">
            <w:pPr>
              <w:pStyle w:val="P68B1DB1-Normal-pool-Table6"/>
              <w:spacing w:after="60"/>
            </w:pPr>
            <w:r>
              <w:t xml:space="preserve">Четырехдневное онлайн-совещание РГОС (восемь сессий продолжительностью по два часа) без </w:t>
            </w:r>
            <w:r>
              <w:lastRenderedPageBreak/>
              <w:t>организации устного перевода</w:t>
            </w:r>
          </w:p>
        </w:tc>
        <w:tc>
          <w:tcPr>
            <w:tcW w:w="1843" w:type="dxa"/>
            <w:tcBorders>
              <w:top w:val="single" w:sz="4" w:space="0" w:color="auto"/>
              <w:bottom w:val="single" w:sz="4" w:space="0" w:color="auto"/>
            </w:tcBorders>
          </w:tcPr>
          <w:p w14:paraId="1DA92289" w14:textId="3ABE9EE4" w:rsidR="00361D9A" w:rsidRDefault="00885FCE">
            <w:pPr>
              <w:pStyle w:val="P68B1DB1-Normal-pool-Table7"/>
              <w:spacing w:after="60"/>
              <w:jc w:val="right"/>
            </w:pPr>
            <w:r>
              <w:lastRenderedPageBreak/>
              <w:t>227 000 долл. США</w:t>
            </w:r>
          </w:p>
        </w:tc>
        <w:tc>
          <w:tcPr>
            <w:tcW w:w="2126" w:type="dxa"/>
            <w:tcBorders>
              <w:top w:val="single" w:sz="4" w:space="0" w:color="auto"/>
              <w:bottom w:val="single" w:sz="4" w:space="0" w:color="auto"/>
            </w:tcBorders>
          </w:tcPr>
          <w:p w14:paraId="7C9EB29E" w14:textId="1E1384F5" w:rsidR="00361D9A" w:rsidRDefault="00885FCE">
            <w:pPr>
              <w:pStyle w:val="P68B1DB1-Normal-pool-Table7"/>
              <w:spacing w:after="60"/>
              <w:jc w:val="right"/>
            </w:pPr>
            <w:r>
              <w:t>423 000 долл. США</w:t>
            </w:r>
          </w:p>
        </w:tc>
        <w:tc>
          <w:tcPr>
            <w:tcW w:w="3685" w:type="dxa"/>
            <w:tcBorders>
              <w:top w:val="single" w:sz="4" w:space="0" w:color="auto"/>
              <w:bottom w:val="single" w:sz="4" w:space="0" w:color="auto"/>
            </w:tcBorders>
          </w:tcPr>
          <w:p w14:paraId="6DBEA7AE" w14:textId="02FCDE92" w:rsidR="00361D9A" w:rsidRDefault="00885FCE">
            <w:pPr>
              <w:pStyle w:val="P68B1DB1-Normal-pool-Table7"/>
              <w:spacing w:after="60"/>
            </w:pPr>
            <w:r>
              <w:t>С учетом средних фактических расходов на совещания РГОС, проведенные в 2020–2021 годах, с поправкой на инфляцию</w:t>
            </w:r>
          </w:p>
          <w:p w14:paraId="4633C1B6" w14:textId="40278D83" w:rsidR="00361D9A" w:rsidRDefault="00885FCE">
            <w:pPr>
              <w:pStyle w:val="P68B1DB1-Normal-pool-Table7"/>
              <w:spacing w:after="60"/>
            </w:pPr>
            <w:r>
              <w:t xml:space="preserve">Экономия за счет места проведения (аренда, обеспечение безопасности, коммунальные услуги), устного перевода и поездок персонала, </w:t>
            </w:r>
            <w:r>
              <w:lastRenderedPageBreak/>
              <w:t>обслуживающего конференции, частично компенсируется затратами на использование платформы для онлайн-совещаний</w:t>
            </w:r>
          </w:p>
          <w:p w14:paraId="1BB58F40" w14:textId="0BC8E35B" w:rsidR="00361D9A" w:rsidRDefault="00885FCE">
            <w:pPr>
              <w:pStyle w:val="P68B1DB1-Normal-pool-Table7"/>
              <w:spacing w:after="60"/>
            </w:pPr>
            <w:r>
              <w:t>Экономия на поездках участников, представляющих Стороны, которые действуют в рамках статьи 5, составит 420 000 долл. США</w:t>
            </w:r>
          </w:p>
          <w:p w14:paraId="1F454572" w14:textId="06589CF4" w:rsidR="00361D9A" w:rsidRDefault="00885FCE">
            <w:pPr>
              <w:pStyle w:val="P68B1DB1-Normal-pool-Table7"/>
              <w:spacing w:after="60"/>
            </w:pPr>
            <w:r>
              <w:t>Экономия на поездках сотрудников Секретариата составит 100 000 долл. США</w:t>
            </w:r>
          </w:p>
          <w:p w14:paraId="18FEBA13" w14:textId="1089F8A9" w:rsidR="00361D9A" w:rsidRDefault="00885FCE">
            <w:pPr>
              <w:pStyle w:val="P68B1DB1-Normal-pool-Table7"/>
              <w:spacing w:after="60"/>
            </w:pPr>
            <w:r>
              <w:t xml:space="preserve">Риск, обусловленный невозможностью рассмотреть все пункты повестки дня </w:t>
            </w:r>
          </w:p>
          <w:p w14:paraId="6F3747DD" w14:textId="2D7267A4" w:rsidR="00361D9A" w:rsidRDefault="00885FCE">
            <w:pPr>
              <w:pStyle w:val="P68B1DB1-Normal-pool-Table7"/>
              <w:spacing w:after="60"/>
            </w:pPr>
            <w:r>
              <w:t>Невозможность проводить встречи, обсуждать вопросы и вести переговоры по ним в рамках пленарных заседаний и контактных групп</w:t>
            </w:r>
          </w:p>
        </w:tc>
      </w:tr>
      <w:tr w:rsidR="00361D9A" w14:paraId="3B1A6F8D" w14:textId="77777777">
        <w:trPr>
          <w:trHeight w:val="57"/>
          <w:jc w:val="right"/>
        </w:trPr>
        <w:tc>
          <w:tcPr>
            <w:tcW w:w="1843" w:type="dxa"/>
            <w:tcBorders>
              <w:top w:val="single" w:sz="4" w:space="0" w:color="auto"/>
              <w:bottom w:val="single" w:sz="4" w:space="0" w:color="auto"/>
            </w:tcBorders>
          </w:tcPr>
          <w:p w14:paraId="6EC27DEA" w14:textId="352C134D" w:rsidR="00361D9A" w:rsidRDefault="00885FCE">
            <w:pPr>
              <w:pStyle w:val="P68B1DB1-Normal-pool-Table6"/>
              <w:spacing w:after="60"/>
            </w:pPr>
            <w:r>
              <w:lastRenderedPageBreak/>
              <w:t>Двухдневное онлайн-совещание РГОС (четыре сессии продолжительностью по два часа) с организацией устного перевода</w:t>
            </w:r>
          </w:p>
        </w:tc>
        <w:tc>
          <w:tcPr>
            <w:tcW w:w="1843" w:type="dxa"/>
            <w:tcBorders>
              <w:top w:val="single" w:sz="4" w:space="0" w:color="auto"/>
              <w:bottom w:val="single" w:sz="4" w:space="0" w:color="auto"/>
            </w:tcBorders>
          </w:tcPr>
          <w:p w14:paraId="36655F3D" w14:textId="14BDE666" w:rsidR="00361D9A" w:rsidRDefault="00885FCE">
            <w:pPr>
              <w:pStyle w:val="P68B1DB1-Normal-pool-Table7"/>
              <w:spacing w:after="60"/>
              <w:jc w:val="right"/>
            </w:pPr>
            <w:r>
              <w:t>180 000 долл. США</w:t>
            </w:r>
          </w:p>
        </w:tc>
        <w:tc>
          <w:tcPr>
            <w:tcW w:w="2126" w:type="dxa"/>
            <w:tcBorders>
              <w:top w:val="single" w:sz="4" w:space="0" w:color="auto"/>
              <w:bottom w:val="single" w:sz="4" w:space="0" w:color="auto"/>
            </w:tcBorders>
          </w:tcPr>
          <w:p w14:paraId="6A0369EB" w14:textId="5E9E7FB3" w:rsidR="00361D9A" w:rsidRDefault="00885FCE">
            <w:pPr>
              <w:pStyle w:val="P68B1DB1-Normal-pool-Table7"/>
              <w:spacing w:after="60"/>
              <w:jc w:val="right"/>
            </w:pPr>
            <w:r>
              <w:t>470 000 долл. США</w:t>
            </w:r>
          </w:p>
        </w:tc>
        <w:tc>
          <w:tcPr>
            <w:tcW w:w="3685" w:type="dxa"/>
            <w:tcBorders>
              <w:top w:val="single" w:sz="4" w:space="0" w:color="auto"/>
              <w:bottom w:val="single" w:sz="4" w:space="0" w:color="auto"/>
            </w:tcBorders>
          </w:tcPr>
          <w:p w14:paraId="20035682" w14:textId="77777777" w:rsidR="00361D9A" w:rsidRDefault="00361D9A">
            <w:pPr>
              <w:pStyle w:val="Normal-pool-Table"/>
              <w:spacing w:after="60"/>
              <w:rPr>
                <w:sz w:val="16"/>
              </w:rPr>
            </w:pPr>
          </w:p>
        </w:tc>
      </w:tr>
      <w:tr w:rsidR="00361D9A" w14:paraId="0B20F3B6" w14:textId="77777777">
        <w:trPr>
          <w:trHeight w:val="57"/>
          <w:jc w:val="right"/>
        </w:trPr>
        <w:tc>
          <w:tcPr>
            <w:tcW w:w="1843" w:type="dxa"/>
            <w:tcBorders>
              <w:top w:val="single" w:sz="4" w:space="0" w:color="auto"/>
              <w:bottom w:val="single" w:sz="12" w:space="0" w:color="auto"/>
            </w:tcBorders>
          </w:tcPr>
          <w:p w14:paraId="1730A7E1" w14:textId="555F53F4" w:rsidR="00361D9A" w:rsidRDefault="00885FCE">
            <w:pPr>
              <w:pStyle w:val="P68B1DB1-Normal-pool-Table6"/>
              <w:spacing w:after="60"/>
            </w:pPr>
            <w:r>
              <w:t>Двухдневное онлайн-совещание РГОС (четыре сессии продолжительностью по два часа) без организации устного перевода</w:t>
            </w:r>
          </w:p>
        </w:tc>
        <w:tc>
          <w:tcPr>
            <w:tcW w:w="1843" w:type="dxa"/>
            <w:tcBorders>
              <w:top w:val="single" w:sz="4" w:space="0" w:color="auto"/>
              <w:bottom w:val="single" w:sz="12" w:space="0" w:color="auto"/>
            </w:tcBorders>
          </w:tcPr>
          <w:p w14:paraId="40A51C82" w14:textId="60A2A393" w:rsidR="00361D9A" w:rsidRDefault="00885FCE">
            <w:pPr>
              <w:pStyle w:val="P68B1DB1-Normal-pool-Table7"/>
              <w:spacing w:after="60"/>
              <w:jc w:val="right"/>
            </w:pPr>
            <w:r>
              <w:t>113 000 долл. США</w:t>
            </w:r>
          </w:p>
        </w:tc>
        <w:tc>
          <w:tcPr>
            <w:tcW w:w="2126" w:type="dxa"/>
            <w:tcBorders>
              <w:top w:val="single" w:sz="4" w:space="0" w:color="auto"/>
              <w:bottom w:val="single" w:sz="12" w:space="0" w:color="auto"/>
            </w:tcBorders>
          </w:tcPr>
          <w:p w14:paraId="194382CB" w14:textId="5BA565E7" w:rsidR="00361D9A" w:rsidRDefault="00885FCE">
            <w:pPr>
              <w:pStyle w:val="P68B1DB1-Normal-pool-Table7"/>
              <w:spacing w:after="60"/>
              <w:jc w:val="right"/>
            </w:pPr>
            <w:r>
              <w:t>537 000 долл. США</w:t>
            </w:r>
          </w:p>
        </w:tc>
        <w:tc>
          <w:tcPr>
            <w:tcW w:w="3685" w:type="dxa"/>
            <w:tcBorders>
              <w:top w:val="single" w:sz="4" w:space="0" w:color="auto"/>
              <w:bottom w:val="single" w:sz="12" w:space="0" w:color="auto"/>
            </w:tcBorders>
          </w:tcPr>
          <w:p w14:paraId="4DFD57DF" w14:textId="77777777" w:rsidR="00361D9A" w:rsidRDefault="00361D9A">
            <w:pPr>
              <w:pStyle w:val="Normal-pool-Table"/>
              <w:spacing w:after="60"/>
              <w:rPr>
                <w:sz w:val="16"/>
              </w:rPr>
            </w:pPr>
          </w:p>
        </w:tc>
      </w:tr>
    </w:tbl>
    <w:p w14:paraId="2A8B6CC0" w14:textId="0FF60FE8" w:rsidR="00361D9A" w:rsidRDefault="00885FCE">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pPr>
      <w:r>
        <w:tab/>
      </w:r>
      <w:r>
        <w:rPr>
          <w:i/>
        </w:rPr>
        <w:t>Сокращения:</w:t>
      </w:r>
      <w:r>
        <w:t xml:space="preserve"> СС — Совещание Сторон; РГОС — Рабочая группа открытого состава.</w:t>
      </w:r>
    </w:p>
    <w:p w14:paraId="252BBCEF" w14:textId="46F4ED9F" w:rsidR="00361D9A" w:rsidRDefault="00885FCE">
      <w:pPr>
        <w:pStyle w:val="Normalnumber"/>
        <w:tabs>
          <w:tab w:val="clear" w:pos="1247"/>
          <w:tab w:val="clear" w:pos="1814"/>
          <w:tab w:val="clear" w:pos="2381"/>
          <w:tab w:val="clear" w:pos="2948"/>
          <w:tab w:val="clear" w:pos="3515"/>
        </w:tabs>
        <w:ind w:left="1247"/>
      </w:pPr>
      <w:r>
        <w:t>Комитет по выполнению проводит совещания дважды в год одновременно с совещаниями Рабочей группы открытого состава и Совещанием Сторон. Ввиду большой рабочей нагрузки Комитета в последние годы, вызванной главным образом запросами ряда Сторон, действующих в рамках статьи 5, о пересмотре базовых уровней потребления ГФУ, продолжительность заседаний была увеличена до двух дней. Помимо факторов, определяющих расходы, которые упомянуты в пункте 31, затраты на проведение совещаний Комитета также обусловлены следующ</w:t>
      </w:r>
      <w:r>
        <w:t>ими аспектами:</w:t>
      </w:r>
    </w:p>
    <w:p w14:paraId="19FBF132" w14:textId="5E1D3996" w:rsidR="00361D9A" w:rsidRDefault="00885FCE">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t>состав участников, который влияет на количество языков для устного перевода и перевода предсессионных документов;</w:t>
      </w:r>
    </w:p>
    <w:p w14:paraId="7160D2DE" w14:textId="431BAE42" w:rsidR="00361D9A" w:rsidRDefault="00885FCE">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t>транспортные расходы участников;</w:t>
      </w:r>
    </w:p>
    <w:p w14:paraId="2A868855" w14:textId="1189DD73" w:rsidR="00361D9A" w:rsidRDefault="00885FCE">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t>количество дел, подлежащих рассмотрению Комитетом, что влияет на объем документации и (в последнее время) также на продолжительность совещания.</w:t>
      </w:r>
    </w:p>
    <w:p w14:paraId="6D71846A" w14:textId="53AB12D9" w:rsidR="00361D9A" w:rsidRDefault="00885FCE">
      <w:pPr>
        <w:pStyle w:val="Normalnumber"/>
        <w:tabs>
          <w:tab w:val="clear" w:pos="1247"/>
          <w:tab w:val="clear" w:pos="1814"/>
          <w:tab w:val="clear" w:pos="2381"/>
          <w:tab w:val="clear" w:pos="2948"/>
          <w:tab w:val="clear" w:pos="3515"/>
        </w:tabs>
        <w:ind w:left="1247"/>
      </w:pPr>
      <w:r>
        <w:t>Сводная информация о предполагаемой экономии и последствиях применения различных условий представлена в таблице 3.</w:t>
      </w:r>
    </w:p>
    <w:p w14:paraId="7E87C4F2" w14:textId="1548DCB2" w:rsidR="00361D9A" w:rsidRDefault="00885FCE">
      <w:pPr>
        <w:pStyle w:val="Titletable"/>
        <w:spacing w:before="240"/>
      </w:pPr>
      <w:r>
        <w:rPr>
          <w:b w:val="0"/>
        </w:rPr>
        <w:t xml:space="preserve">Таблица 3 </w:t>
      </w:r>
      <w:r>
        <w:rPr>
          <w:b w:val="0"/>
        </w:rPr>
        <w:br/>
      </w:r>
      <w:r>
        <w:t>Смета расходов на проведение совещаний Комитета по выполнению с учетом текущих и прочих условий их организации</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8"/>
        <w:gridCol w:w="1920"/>
        <w:gridCol w:w="2268"/>
        <w:gridCol w:w="3081"/>
      </w:tblGrid>
      <w:tr w:rsidR="00361D9A" w14:paraId="182B85CD" w14:textId="77777777">
        <w:trPr>
          <w:trHeight w:val="57"/>
          <w:tblHeader/>
          <w:jc w:val="right"/>
        </w:trPr>
        <w:tc>
          <w:tcPr>
            <w:tcW w:w="2300" w:type="dxa"/>
            <w:tcBorders>
              <w:top w:val="single" w:sz="4" w:space="0" w:color="auto"/>
              <w:bottom w:val="single" w:sz="12" w:space="0" w:color="auto"/>
            </w:tcBorders>
            <w:vAlign w:val="bottom"/>
            <w:hideMark/>
          </w:tcPr>
          <w:p w14:paraId="20A1A641" w14:textId="77777777" w:rsidR="00361D9A" w:rsidRDefault="00885FCE">
            <w:pPr>
              <w:pStyle w:val="P68B1DB1-Normal-pool-Table1"/>
              <w:spacing w:after="80"/>
            </w:pPr>
            <w:r>
              <w:t>Условия</w:t>
            </w:r>
          </w:p>
        </w:tc>
        <w:tc>
          <w:tcPr>
            <w:tcW w:w="1966" w:type="dxa"/>
            <w:tcBorders>
              <w:top w:val="single" w:sz="4" w:space="0" w:color="auto"/>
              <w:bottom w:val="single" w:sz="12" w:space="0" w:color="auto"/>
            </w:tcBorders>
            <w:vAlign w:val="bottom"/>
            <w:hideMark/>
          </w:tcPr>
          <w:p w14:paraId="7473D351" w14:textId="389556FD" w:rsidR="00361D9A" w:rsidRDefault="00885FCE">
            <w:pPr>
              <w:pStyle w:val="P68B1DB1-Normal-pool-Table1"/>
              <w:spacing w:after="80"/>
              <w:jc w:val="right"/>
            </w:pPr>
            <w:r>
              <w:t>Ориентировочные расходы на обслуживание конференций в расчете на одно совещание</w:t>
            </w:r>
          </w:p>
        </w:tc>
        <w:tc>
          <w:tcPr>
            <w:tcW w:w="1971" w:type="dxa"/>
            <w:tcBorders>
              <w:top w:val="single" w:sz="4" w:space="0" w:color="auto"/>
              <w:bottom w:val="single" w:sz="12" w:space="0" w:color="auto"/>
            </w:tcBorders>
            <w:vAlign w:val="bottom"/>
            <w:hideMark/>
          </w:tcPr>
          <w:p w14:paraId="1A7EC41D" w14:textId="0C24D6FF" w:rsidR="00361D9A" w:rsidRDefault="00885FCE">
            <w:pPr>
              <w:pStyle w:val="P68B1DB1-Normal-pool-Table1"/>
              <w:spacing w:after="80"/>
              <w:jc w:val="right"/>
            </w:pPr>
            <w:r>
              <w:t xml:space="preserve">Ориентировочная экономия/дополнительные расходы на обслуживание конференций в расчете на одно совещание </w:t>
            </w:r>
          </w:p>
        </w:tc>
        <w:tc>
          <w:tcPr>
            <w:tcW w:w="3260" w:type="dxa"/>
            <w:tcBorders>
              <w:top w:val="single" w:sz="4" w:space="0" w:color="auto"/>
              <w:bottom w:val="single" w:sz="12" w:space="0" w:color="auto"/>
            </w:tcBorders>
            <w:vAlign w:val="bottom"/>
            <w:hideMark/>
          </w:tcPr>
          <w:p w14:paraId="0C363F6A" w14:textId="50A86290" w:rsidR="00361D9A" w:rsidRDefault="00885FCE">
            <w:pPr>
              <w:pStyle w:val="P68B1DB1-Normal-pool-Table1"/>
              <w:spacing w:after="80"/>
            </w:pPr>
            <w:r>
              <w:t>Примечания</w:t>
            </w:r>
          </w:p>
        </w:tc>
      </w:tr>
      <w:tr w:rsidR="00361D9A" w14:paraId="3F086E1C" w14:textId="77777777">
        <w:trPr>
          <w:trHeight w:val="57"/>
          <w:jc w:val="right"/>
        </w:trPr>
        <w:tc>
          <w:tcPr>
            <w:tcW w:w="2300" w:type="dxa"/>
            <w:tcBorders>
              <w:top w:val="single" w:sz="12" w:space="0" w:color="auto"/>
              <w:bottom w:val="single" w:sz="4" w:space="0" w:color="auto"/>
            </w:tcBorders>
            <w:hideMark/>
          </w:tcPr>
          <w:p w14:paraId="41555209" w14:textId="59AEB0EC" w:rsidR="00361D9A" w:rsidRDefault="00885FCE">
            <w:pPr>
              <w:pStyle w:val="P68B1DB1-Normal-pool-Table6"/>
              <w:spacing w:after="80"/>
            </w:pPr>
            <w:r>
              <w:t xml:space="preserve">Текущая практика: двухдневное совещание Комитета по выполнению в очном формате с </w:t>
            </w:r>
            <w:r>
              <w:lastRenderedPageBreak/>
              <w:t>организацией устного перевода</w:t>
            </w:r>
          </w:p>
        </w:tc>
        <w:tc>
          <w:tcPr>
            <w:tcW w:w="1966" w:type="dxa"/>
            <w:tcBorders>
              <w:top w:val="single" w:sz="12" w:space="0" w:color="auto"/>
              <w:bottom w:val="single" w:sz="4" w:space="0" w:color="auto"/>
            </w:tcBorders>
            <w:hideMark/>
          </w:tcPr>
          <w:p w14:paraId="01390B33" w14:textId="34664D89" w:rsidR="00361D9A" w:rsidRDefault="00885FCE">
            <w:pPr>
              <w:pStyle w:val="P68B1DB1-Normal-pool-Table7"/>
              <w:spacing w:after="80"/>
              <w:jc w:val="right"/>
            </w:pPr>
            <w:r>
              <w:lastRenderedPageBreak/>
              <w:t xml:space="preserve">100 000 долл. США </w:t>
            </w:r>
          </w:p>
        </w:tc>
        <w:tc>
          <w:tcPr>
            <w:tcW w:w="1971" w:type="dxa"/>
            <w:tcBorders>
              <w:top w:val="single" w:sz="12" w:space="0" w:color="auto"/>
              <w:bottom w:val="single" w:sz="4" w:space="0" w:color="auto"/>
            </w:tcBorders>
            <w:hideMark/>
          </w:tcPr>
          <w:p w14:paraId="046F5489" w14:textId="1DC633F0" w:rsidR="00361D9A" w:rsidRDefault="00885FCE">
            <w:pPr>
              <w:pStyle w:val="P68B1DB1-Normal-pool-Table7"/>
              <w:spacing w:after="80"/>
              <w:jc w:val="right"/>
            </w:pPr>
            <w:r>
              <w:t>Неприменимо</w:t>
            </w:r>
          </w:p>
        </w:tc>
        <w:tc>
          <w:tcPr>
            <w:tcW w:w="3260" w:type="dxa"/>
            <w:tcBorders>
              <w:top w:val="single" w:sz="12" w:space="0" w:color="auto"/>
              <w:bottom w:val="single" w:sz="4" w:space="0" w:color="auto"/>
            </w:tcBorders>
            <w:hideMark/>
          </w:tcPr>
          <w:p w14:paraId="3C26FEC4" w14:textId="7AB0663F" w:rsidR="00361D9A" w:rsidRDefault="00885FCE">
            <w:pPr>
              <w:pStyle w:val="P68B1DB1-Normal-pool-Table7"/>
              <w:spacing w:after="80"/>
            </w:pPr>
            <w:r>
              <w:t>Оценки, составленные с учетом расходов на проведение совещаний в соответствии с документом UNEP/OzL.Pro.38/4</w:t>
            </w:r>
          </w:p>
        </w:tc>
      </w:tr>
      <w:tr w:rsidR="00361D9A" w14:paraId="3B641409" w14:textId="77777777">
        <w:trPr>
          <w:trHeight w:val="57"/>
          <w:jc w:val="right"/>
        </w:trPr>
        <w:tc>
          <w:tcPr>
            <w:tcW w:w="2300" w:type="dxa"/>
            <w:tcBorders>
              <w:top w:val="single" w:sz="4" w:space="0" w:color="auto"/>
              <w:bottom w:val="single" w:sz="4" w:space="0" w:color="auto"/>
            </w:tcBorders>
          </w:tcPr>
          <w:p w14:paraId="4174F7E5" w14:textId="729192AA" w:rsidR="00361D9A" w:rsidRDefault="00885FCE">
            <w:pPr>
              <w:pStyle w:val="P68B1DB1-Normal-pool-Table6"/>
              <w:spacing w:after="80"/>
            </w:pPr>
            <w:r>
              <w:t>Однодневное совещание Комитета по выполнению в очном формате с организацией устного перевода</w:t>
            </w:r>
          </w:p>
        </w:tc>
        <w:tc>
          <w:tcPr>
            <w:tcW w:w="1966" w:type="dxa"/>
            <w:tcBorders>
              <w:top w:val="single" w:sz="4" w:space="0" w:color="auto"/>
              <w:bottom w:val="single" w:sz="4" w:space="0" w:color="auto"/>
            </w:tcBorders>
          </w:tcPr>
          <w:p w14:paraId="3F56F039" w14:textId="7AEA9802" w:rsidR="00361D9A" w:rsidRDefault="00885FCE">
            <w:pPr>
              <w:pStyle w:val="P68B1DB1-Normal-pool-Table7"/>
              <w:spacing w:after="80"/>
              <w:jc w:val="right"/>
            </w:pPr>
            <w:r>
              <w:t xml:space="preserve">85 000 долл. США </w:t>
            </w:r>
          </w:p>
        </w:tc>
        <w:tc>
          <w:tcPr>
            <w:tcW w:w="1971" w:type="dxa"/>
            <w:tcBorders>
              <w:top w:val="single" w:sz="4" w:space="0" w:color="auto"/>
              <w:bottom w:val="single" w:sz="4" w:space="0" w:color="auto"/>
            </w:tcBorders>
          </w:tcPr>
          <w:p w14:paraId="054A80FE" w14:textId="1AB5E220" w:rsidR="00361D9A" w:rsidRDefault="00885FCE">
            <w:pPr>
              <w:pStyle w:val="P68B1DB1-Normal-pool-Table7"/>
              <w:spacing w:after="80"/>
              <w:jc w:val="right"/>
            </w:pPr>
            <w:r>
              <w:t>15 000 долл. США</w:t>
            </w:r>
          </w:p>
        </w:tc>
        <w:tc>
          <w:tcPr>
            <w:tcW w:w="3260" w:type="dxa"/>
            <w:tcBorders>
              <w:top w:val="single" w:sz="4" w:space="0" w:color="auto"/>
              <w:bottom w:val="single" w:sz="4" w:space="0" w:color="auto"/>
            </w:tcBorders>
          </w:tcPr>
          <w:p w14:paraId="1643524A" w14:textId="645D4DD0" w:rsidR="00361D9A" w:rsidRDefault="00885FCE">
            <w:pPr>
              <w:pStyle w:val="P68B1DB1-Normal-pool-Table7"/>
              <w:spacing w:after="80"/>
            </w:pPr>
            <w:r>
              <w:t>Средние расходы на одно совещание, проведенное в 2024 году, с поправкой на инфляцию применительно к совещанию 2027 года</w:t>
            </w:r>
          </w:p>
          <w:p w14:paraId="2FB89555" w14:textId="6A7F037F" w:rsidR="00361D9A" w:rsidRDefault="00885FCE">
            <w:pPr>
              <w:pStyle w:val="P68B1DB1-Normal-pool-Table7"/>
              <w:spacing w:after="80"/>
            </w:pPr>
            <w:r>
              <w:t>В 2024 году расходы на устный перевод превысили расходы на подготовку документации.</w:t>
            </w:r>
          </w:p>
          <w:p w14:paraId="5745BD69" w14:textId="22A9A3E3" w:rsidR="00361D9A" w:rsidRDefault="00885FCE">
            <w:pPr>
              <w:pStyle w:val="P68B1DB1-Normal-pool-Table7"/>
              <w:spacing w:after="80"/>
            </w:pPr>
            <w:r>
              <w:t>Экономия на устном переводе, месте проведения и количестве дней обслуживания; расходы на документацию без изменений; выплата суточных за один день (2000 долл. США для участников, представляющих Стороны, которые действуют в рамках статьи 5)</w:t>
            </w:r>
          </w:p>
          <w:p w14:paraId="298055B0" w14:textId="7DEF2D4B" w:rsidR="00361D9A" w:rsidRDefault="00885FCE">
            <w:pPr>
              <w:pStyle w:val="P68B1DB1-Normal-pool-Table7"/>
              <w:spacing w:after="80"/>
            </w:pPr>
            <w:r>
              <w:t>Риск: недостаточное количество времени в годы, характеризующиеся большой рабочей нагрузкой</w:t>
            </w:r>
          </w:p>
        </w:tc>
      </w:tr>
      <w:tr w:rsidR="00361D9A" w14:paraId="23071D79" w14:textId="77777777">
        <w:trPr>
          <w:trHeight w:val="57"/>
          <w:jc w:val="right"/>
        </w:trPr>
        <w:tc>
          <w:tcPr>
            <w:tcW w:w="2300" w:type="dxa"/>
            <w:tcBorders>
              <w:top w:val="single" w:sz="4" w:space="0" w:color="auto"/>
              <w:bottom w:val="single" w:sz="4" w:space="0" w:color="auto"/>
            </w:tcBorders>
          </w:tcPr>
          <w:p w14:paraId="0961619C" w14:textId="03D20DC9" w:rsidR="00361D9A" w:rsidRDefault="00885FCE">
            <w:pPr>
              <w:pStyle w:val="P68B1DB1-Normal-pool-Table6"/>
              <w:spacing w:after="80"/>
            </w:pPr>
            <w:r>
              <w:t>Однодневное совещание Комитета по выполнению в очном формате без организации устного перевода и без перевода предсессионных документов</w:t>
            </w:r>
          </w:p>
        </w:tc>
        <w:tc>
          <w:tcPr>
            <w:tcW w:w="1966" w:type="dxa"/>
            <w:tcBorders>
              <w:top w:val="single" w:sz="4" w:space="0" w:color="auto"/>
              <w:bottom w:val="single" w:sz="4" w:space="0" w:color="auto"/>
            </w:tcBorders>
          </w:tcPr>
          <w:p w14:paraId="77EA43F5" w14:textId="6674685B" w:rsidR="00361D9A" w:rsidRDefault="00885FCE">
            <w:pPr>
              <w:pStyle w:val="P68B1DB1-Normal-pool-Table7"/>
              <w:spacing w:after="80"/>
              <w:jc w:val="right"/>
            </w:pPr>
            <w:r>
              <w:t>54 000 долл. США</w:t>
            </w:r>
          </w:p>
        </w:tc>
        <w:tc>
          <w:tcPr>
            <w:tcW w:w="1971" w:type="dxa"/>
            <w:tcBorders>
              <w:top w:val="single" w:sz="4" w:space="0" w:color="auto"/>
              <w:bottom w:val="single" w:sz="4" w:space="0" w:color="auto"/>
            </w:tcBorders>
          </w:tcPr>
          <w:p w14:paraId="713E073C" w14:textId="041C4A1B" w:rsidR="00361D9A" w:rsidRDefault="00885FCE">
            <w:pPr>
              <w:pStyle w:val="P68B1DB1-Normal-pool-Table7"/>
              <w:spacing w:after="80"/>
              <w:jc w:val="right"/>
            </w:pPr>
            <w:r>
              <w:t>46 000 долл. США</w:t>
            </w:r>
          </w:p>
        </w:tc>
        <w:tc>
          <w:tcPr>
            <w:tcW w:w="3260" w:type="dxa"/>
            <w:tcBorders>
              <w:top w:val="single" w:sz="4" w:space="0" w:color="auto"/>
              <w:bottom w:val="single" w:sz="4" w:space="0" w:color="auto"/>
            </w:tcBorders>
          </w:tcPr>
          <w:p w14:paraId="21C5EBFD" w14:textId="21F35398" w:rsidR="00361D9A" w:rsidRDefault="00885FCE">
            <w:pPr>
              <w:pStyle w:val="P68B1DB1-Normal-pool-Table7"/>
              <w:spacing w:after="80"/>
            </w:pPr>
            <w:r>
              <w:t>Оценки, составленные с учетом расходов на проведение совещаний в соответствии с документом UNEP/OzL.Pro.38/4/Add.1</w:t>
            </w:r>
          </w:p>
          <w:p w14:paraId="73A8851A" w14:textId="59A9F24C" w:rsidR="00361D9A" w:rsidRDefault="00885FCE">
            <w:pPr>
              <w:pStyle w:val="P68B1DB1-Normal-pool-Table7"/>
              <w:spacing w:after="80"/>
            </w:pPr>
            <w:r>
              <w:t>Вышеуказанная экономия и экономия за счет отказа от перевода предсессионных документов</w:t>
            </w:r>
          </w:p>
        </w:tc>
      </w:tr>
      <w:tr w:rsidR="00361D9A" w14:paraId="5632FD37" w14:textId="77777777">
        <w:trPr>
          <w:trHeight w:val="57"/>
          <w:jc w:val="right"/>
        </w:trPr>
        <w:tc>
          <w:tcPr>
            <w:tcW w:w="2300" w:type="dxa"/>
            <w:tcBorders>
              <w:top w:val="single" w:sz="4" w:space="0" w:color="auto"/>
              <w:bottom w:val="single" w:sz="4" w:space="0" w:color="auto"/>
            </w:tcBorders>
            <w:hideMark/>
          </w:tcPr>
          <w:p w14:paraId="63027B81" w14:textId="30DE9EFF" w:rsidR="00361D9A" w:rsidRDefault="00885FCE">
            <w:pPr>
              <w:pStyle w:val="P68B1DB1-Normal-pool-Table6"/>
              <w:spacing w:after="80"/>
            </w:pPr>
            <w:r>
              <w:t>Двухдневное онлайн-совещание Комитета по выполнению (четыре сессии продолжительностью по два часа в день) с организацией устного перевода</w:t>
            </w:r>
          </w:p>
        </w:tc>
        <w:tc>
          <w:tcPr>
            <w:tcW w:w="1966" w:type="dxa"/>
            <w:tcBorders>
              <w:top w:val="single" w:sz="4" w:space="0" w:color="auto"/>
              <w:bottom w:val="single" w:sz="4" w:space="0" w:color="auto"/>
            </w:tcBorders>
            <w:hideMark/>
          </w:tcPr>
          <w:p w14:paraId="7148E7D1" w14:textId="437B2B2F" w:rsidR="00361D9A" w:rsidRDefault="00885FCE">
            <w:pPr>
              <w:pStyle w:val="P68B1DB1-Normal-pool-Table7"/>
              <w:spacing w:after="80"/>
              <w:jc w:val="right"/>
            </w:pPr>
            <w:r>
              <w:t>70 000 долл. США</w:t>
            </w:r>
          </w:p>
        </w:tc>
        <w:tc>
          <w:tcPr>
            <w:tcW w:w="1971" w:type="dxa"/>
            <w:tcBorders>
              <w:top w:val="single" w:sz="4" w:space="0" w:color="auto"/>
              <w:bottom w:val="single" w:sz="4" w:space="0" w:color="auto"/>
            </w:tcBorders>
            <w:hideMark/>
          </w:tcPr>
          <w:p w14:paraId="14F2229B" w14:textId="06BACEEF" w:rsidR="00361D9A" w:rsidRDefault="00885FCE">
            <w:pPr>
              <w:pStyle w:val="P68B1DB1-Normal-pool-Table7"/>
              <w:spacing w:after="80"/>
              <w:jc w:val="right"/>
            </w:pPr>
            <w:r>
              <w:t>30 000 долл. США</w:t>
            </w:r>
          </w:p>
        </w:tc>
        <w:tc>
          <w:tcPr>
            <w:tcW w:w="3260" w:type="dxa"/>
            <w:tcBorders>
              <w:top w:val="single" w:sz="4" w:space="0" w:color="auto"/>
              <w:bottom w:val="single" w:sz="4" w:space="0" w:color="auto"/>
            </w:tcBorders>
            <w:hideMark/>
          </w:tcPr>
          <w:p w14:paraId="28265A85" w14:textId="67866B9C" w:rsidR="00361D9A" w:rsidRDefault="00885FCE">
            <w:pPr>
              <w:pStyle w:val="P68B1DB1-Normal-pool-Table7"/>
              <w:spacing w:after="80"/>
            </w:pPr>
            <w:r>
              <w:t>С учетом фактических расходов на онлайн-совещания, проведенные в 2021 году, и поправкой на инфляцию применительно к совещанию 2027 года</w:t>
            </w:r>
          </w:p>
          <w:p w14:paraId="626B5B5C" w14:textId="16D8E3D7" w:rsidR="00361D9A" w:rsidRDefault="00885FCE">
            <w:pPr>
              <w:pStyle w:val="P68B1DB1-Normal-pool-Table7"/>
              <w:spacing w:after="80"/>
            </w:pPr>
            <w:r>
              <w:t>Опыт 2020–2021 годов показывает, что онлайн-совещания проходили успешно и не вызывали особых трудностей, если не учитывать проблему с выбором часового пояса, подходящего для всех членов Комитета.</w:t>
            </w:r>
          </w:p>
          <w:p w14:paraId="1EBC1523" w14:textId="3BA92C41" w:rsidR="00361D9A" w:rsidRDefault="00885FCE">
            <w:pPr>
              <w:pStyle w:val="P68B1DB1-Normal-pool-Table7"/>
              <w:spacing w:after="80"/>
            </w:pPr>
            <w:r>
              <w:t>Экономия на поездках участников, представляющих Стороны, которые действуют в рамках статьи 5: примерно 32 500 долл. США</w:t>
            </w:r>
          </w:p>
          <w:p w14:paraId="4B9CB75B" w14:textId="2678BF58" w:rsidR="00361D9A" w:rsidRDefault="00885FCE">
            <w:pPr>
              <w:pStyle w:val="P68B1DB1-Normal-pool-Table7"/>
              <w:spacing w:after="80"/>
            </w:pPr>
            <w:r>
              <w:t>Активизация подготовительной работы по организации онлайн-сессий</w:t>
            </w:r>
            <w:r>
              <w:rPr>
                <w:color w:val="EE0000"/>
              </w:rPr>
              <w:t xml:space="preserve"> </w:t>
            </w:r>
          </w:p>
        </w:tc>
      </w:tr>
      <w:tr w:rsidR="00361D9A" w14:paraId="357768AD" w14:textId="77777777">
        <w:trPr>
          <w:trHeight w:val="57"/>
          <w:jc w:val="right"/>
        </w:trPr>
        <w:tc>
          <w:tcPr>
            <w:tcW w:w="2300" w:type="dxa"/>
            <w:tcBorders>
              <w:top w:val="single" w:sz="4" w:space="0" w:color="auto"/>
              <w:bottom w:val="single" w:sz="4" w:space="0" w:color="auto"/>
            </w:tcBorders>
            <w:hideMark/>
          </w:tcPr>
          <w:p w14:paraId="7D291B0A" w14:textId="1D07C6BC" w:rsidR="00361D9A" w:rsidRDefault="00885FCE">
            <w:pPr>
              <w:pStyle w:val="P68B1DB1-Normal-pool-Table6"/>
              <w:spacing w:after="80"/>
            </w:pPr>
            <w:r>
              <w:t>Двухдневное онлайн-совещание Комитета по выполнению (четыре сессии продолжительностью по два часа) без организации устного перевода и без перевода предсессионных документов</w:t>
            </w:r>
          </w:p>
        </w:tc>
        <w:tc>
          <w:tcPr>
            <w:tcW w:w="1966" w:type="dxa"/>
            <w:tcBorders>
              <w:top w:val="single" w:sz="4" w:space="0" w:color="auto"/>
              <w:bottom w:val="single" w:sz="4" w:space="0" w:color="auto"/>
            </w:tcBorders>
            <w:hideMark/>
          </w:tcPr>
          <w:p w14:paraId="2CFF5CB3" w14:textId="4E5FDB7C" w:rsidR="00361D9A" w:rsidRDefault="00885FCE">
            <w:pPr>
              <w:pStyle w:val="P68B1DB1-Normal-pool-Table7"/>
              <w:spacing w:after="80"/>
              <w:jc w:val="right"/>
            </w:pPr>
            <w:r>
              <w:t>39 000 долл. США</w:t>
            </w:r>
          </w:p>
        </w:tc>
        <w:tc>
          <w:tcPr>
            <w:tcW w:w="1971" w:type="dxa"/>
            <w:tcBorders>
              <w:top w:val="single" w:sz="4" w:space="0" w:color="auto"/>
              <w:bottom w:val="single" w:sz="4" w:space="0" w:color="auto"/>
            </w:tcBorders>
            <w:hideMark/>
          </w:tcPr>
          <w:p w14:paraId="5B94017D" w14:textId="4E73FEEF" w:rsidR="00361D9A" w:rsidRDefault="00885FCE">
            <w:pPr>
              <w:pStyle w:val="P68B1DB1-Normal-pool-Table7"/>
              <w:spacing w:after="80"/>
              <w:jc w:val="right"/>
            </w:pPr>
            <w:r>
              <w:t xml:space="preserve">61 000 долл. США  </w:t>
            </w:r>
          </w:p>
        </w:tc>
        <w:tc>
          <w:tcPr>
            <w:tcW w:w="3260" w:type="dxa"/>
            <w:tcBorders>
              <w:top w:val="single" w:sz="4" w:space="0" w:color="auto"/>
              <w:bottom w:val="single" w:sz="4" w:space="0" w:color="auto"/>
            </w:tcBorders>
            <w:hideMark/>
          </w:tcPr>
          <w:p w14:paraId="5809F6AB" w14:textId="748E4592" w:rsidR="00361D9A" w:rsidRDefault="00885FCE">
            <w:pPr>
              <w:pStyle w:val="P68B1DB1-Normal-pool-Table7"/>
              <w:spacing w:after="80"/>
            </w:pPr>
            <w:r>
              <w:t>С учетом фактических расходов на онлайн-совещания, проведенные в 2020–2021 годах, и поправкой на инфляцию, а также после вычета расходов на устный перевод и письменный перевод предсессионных документов (применительно к совещанию 2027 года)</w:t>
            </w:r>
          </w:p>
          <w:p w14:paraId="1148EB4B" w14:textId="760D995B" w:rsidR="00361D9A" w:rsidRDefault="00885FCE">
            <w:pPr>
              <w:pStyle w:val="P68B1DB1-Normal-pool-Table7"/>
              <w:spacing w:after="80"/>
            </w:pPr>
            <w:r>
              <w:t>Экономия на поездках участников, представляющих Стороны, которые действуют в рамках статьи 5: примерно 32 500 долл. США</w:t>
            </w:r>
          </w:p>
        </w:tc>
      </w:tr>
      <w:tr w:rsidR="00361D9A" w14:paraId="6B478477" w14:textId="77777777">
        <w:trPr>
          <w:trHeight w:val="57"/>
          <w:jc w:val="right"/>
        </w:trPr>
        <w:tc>
          <w:tcPr>
            <w:tcW w:w="2300" w:type="dxa"/>
            <w:tcBorders>
              <w:top w:val="single" w:sz="4" w:space="0" w:color="auto"/>
              <w:bottom w:val="single" w:sz="12" w:space="0" w:color="auto"/>
            </w:tcBorders>
          </w:tcPr>
          <w:p w14:paraId="2F705671" w14:textId="1CF03775" w:rsidR="00361D9A" w:rsidRDefault="00885FCE">
            <w:pPr>
              <w:pStyle w:val="P68B1DB1-Normal-pool-Table6"/>
              <w:spacing w:after="80"/>
            </w:pPr>
            <w:r>
              <w:t>Однодневное онлайн-совещание Комитета по выполнению (две сессии продолжительностью по два часа) без организации устного перевода и без перевода предсессионных документов</w:t>
            </w:r>
          </w:p>
        </w:tc>
        <w:tc>
          <w:tcPr>
            <w:tcW w:w="1966" w:type="dxa"/>
            <w:tcBorders>
              <w:top w:val="single" w:sz="4" w:space="0" w:color="auto"/>
              <w:bottom w:val="single" w:sz="12" w:space="0" w:color="auto"/>
            </w:tcBorders>
          </w:tcPr>
          <w:p w14:paraId="03B0F19D" w14:textId="1801A670" w:rsidR="00361D9A" w:rsidRDefault="00885FCE">
            <w:pPr>
              <w:pStyle w:val="P68B1DB1-Normal-pool-Table7"/>
              <w:spacing w:after="80"/>
              <w:jc w:val="right"/>
            </w:pPr>
            <w:r>
              <w:t>30 000 долл. США</w:t>
            </w:r>
          </w:p>
        </w:tc>
        <w:tc>
          <w:tcPr>
            <w:tcW w:w="1971" w:type="dxa"/>
            <w:tcBorders>
              <w:top w:val="single" w:sz="4" w:space="0" w:color="auto"/>
              <w:bottom w:val="single" w:sz="12" w:space="0" w:color="auto"/>
            </w:tcBorders>
          </w:tcPr>
          <w:p w14:paraId="3631CF3B" w14:textId="5642CAF8" w:rsidR="00361D9A" w:rsidRDefault="00885FCE">
            <w:pPr>
              <w:pStyle w:val="P68B1DB1-Normal-pool-Table7"/>
              <w:spacing w:after="80"/>
              <w:jc w:val="right"/>
            </w:pPr>
            <w:r>
              <w:t>70 000 долл. США</w:t>
            </w:r>
          </w:p>
        </w:tc>
        <w:tc>
          <w:tcPr>
            <w:tcW w:w="3260" w:type="dxa"/>
            <w:tcBorders>
              <w:top w:val="single" w:sz="4" w:space="0" w:color="auto"/>
              <w:bottom w:val="single" w:sz="12" w:space="0" w:color="auto"/>
            </w:tcBorders>
          </w:tcPr>
          <w:p w14:paraId="4E415D9F" w14:textId="357348A4" w:rsidR="00361D9A" w:rsidRDefault="00885FCE">
            <w:pPr>
              <w:pStyle w:val="P68B1DB1-Normal-pool-Table7"/>
              <w:spacing w:after="80"/>
            </w:pPr>
            <w:r>
              <w:t xml:space="preserve">Оценки, составленные с учетом расходов за 2021 год, с поправкой на инфляцию применительно к совещанию, которое будет проведено в 2027 году </w:t>
            </w:r>
          </w:p>
          <w:p w14:paraId="2FE7D0F1" w14:textId="4D562C2B" w:rsidR="00361D9A" w:rsidRDefault="00885FCE">
            <w:pPr>
              <w:pStyle w:val="P68B1DB1-Normal-pool-Table7"/>
              <w:spacing w:after="80"/>
            </w:pPr>
            <w:r>
              <w:t xml:space="preserve">Расходы за 2021 год были скорректированы с учетом сокращения затрат на устный перевод, составление докладов и использование платформ, а </w:t>
            </w:r>
            <w:r>
              <w:lastRenderedPageBreak/>
              <w:t>также благодаря отказу от перевода предсессионных документов</w:t>
            </w:r>
          </w:p>
        </w:tc>
      </w:tr>
    </w:tbl>
    <w:p w14:paraId="50AD9FF9" w14:textId="1C260550" w:rsidR="00361D9A" w:rsidRDefault="00885FCE">
      <w:pPr>
        <w:pStyle w:val="Normalnumber"/>
        <w:keepNext/>
        <w:keepLines/>
        <w:tabs>
          <w:tab w:val="clear" w:pos="1247"/>
          <w:tab w:val="clear" w:pos="1814"/>
          <w:tab w:val="clear" w:pos="2381"/>
          <w:tab w:val="clear" w:pos="2948"/>
          <w:tab w:val="clear" w:pos="3515"/>
        </w:tabs>
        <w:spacing w:before="240"/>
        <w:ind w:left="1247"/>
      </w:pPr>
      <w:r>
        <w:lastRenderedPageBreak/>
        <w:t>Ориентировочные расходы на обслуживание конференций, указанные в таблицах 2 и 3, соответствуют расходам, предусмотренным бюджетом, который описан в документе UNEP/OzL.Pro.38/4/Add.1. Помимо ориентировочной экономии средств, указанной в двух таблицах, можно рассмотреть возможность дополнительного сокращения расходов по следующим статьям бюджета:</w:t>
      </w:r>
    </w:p>
    <w:p w14:paraId="5AC57CA7" w14:textId="50F08C49" w:rsidR="00361D9A" w:rsidRDefault="00885FCE">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t>проведение заседаний Бюро только на английском языке позволило бы сократить обычный бюджет примерно на 16 000 долларов США;</w:t>
      </w:r>
    </w:p>
    <w:p w14:paraId="22081F75" w14:textId="49079504" w:rsidR="00361D9A" w:rsidRDefault="00885FCE">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t>компонент документационного обеспечения заседаний, включающий редактирование и перевод, составляет значительную часть расходов на обслуживание конференций (примерно 25% в случае, если речь идет о совещаниях Рабочей группы открытого состава, и 35% в случае, если речь идет о Совещаниях Сторон). Таким образом, уменьшение объема редактируемой и переводимой документации приведет к сокращению расходов.</w:t>
      </w:r>
    </w:p>
    <w:p w14:paraId="3C657330" w14:textId="579E13C1" w:rsidR="00361D9A" w:rsidRDefault="00885FCE">
      <w:pPr>
        <w:pStyle w:val="Normalnumber"/>
        <w:tabs>
          <w:tab w:val="clear" w:pos="1247"/>
          <w:tab w:val="clear" w:pos="1814"/>
          <w:tab w:val="clear" w:pos="2381"/>
          <w:tab w:val="clear" w:pos="2948"/>
          <w:tab w:val="clear" w:pos="3515"/>
        </w:tabs>
        <w:ind w:left="1247"/>
      </w:pPr>
      <w:r>
        <w:t>Сокращение продолжительности совещаний, например совещаний Рабочей группы открытого состава, может быть использовано в качестве меры по повышению эффективности без последующего уменьшения периодичности, продолжительности или масштаба заседаний или других элементов институциональных механизмов, предусмотренных Монреальским протоколом. Любые последующие изменения должны по-прежнему рассматриваться и утверждаться Сторонами с учетом текущих обстоятельств.</w:t>
      </w:r>
    </w:p>
    <w:p w14:paraId="0035A709" w14:textId="5BC23BA7" w:rsidR="00361D9A" w:rsidRDefault="00885FCE">
      <w:pPr>
        <w:pStyle w:val="Normalnumber"/>
        <w:tabs>
          <w:tab w:val="clear" w:pos="1247"/>
          <w:tab w:val="clear" w:pos="1814"/>
          <w:tab w:val="clear" w:pos="2381"/>
          <w:tab w:val="clear" w:pos="2948"/>
          <w:tab w:val="clear" w:pos="3515"/>
        </w:tabs>
        <w:ind w:left="1247"/>
      </w:pPr>
      <w:r>
        <w:t>В то же время опыт, накопленный в процессе реализации такой меры, может послужить источником ценной информации для Сторон. Таким образом, по истечении соответствующего периода времени можно было бы проанализировать целесообразность сокращения продолжительности заседаний, чтобы выяснить, как это отразилось на способности Сторон рассматривать все пункты повестки дня, проводить заседания контактных групп и неофициальные консультации, обеспечивать эффективное и инклюзивное участие, а также надлежащим образом по</w:t>
      </w:r>
      <w:r>
        <w:t>дготавливать вопросы для Совещания Сторон. В рамках обзора также можно было бы оценить фактическую экономию средств и выяснить, привело ли сокращение продолжительности официального совещания к необходимости проведения дополнительной работы в межсессионный период, в виртуальном или ином формате.</w:t>
      </w:r>
    </w:p>
    <w:p w14:paraId="62FE5D00" w14:textId="582D4DD2" w:rsidR="00361D9A" w:rsidRDefault="00885FCE">
      <w:pPr>
        <w:pStyle w:val="Normalnumber"/>
        <w:tabs>
          <w:tab w:val="clear" w:pos="1247"/>
          <w:tab w:val="clear" w:pos="1814"/>
          <w:tab w:val="clear" w:pos="2381"/>
          <w:tab w:val="clear" w:pos="2948"/>
          <w:tab w:val="clear" w:pos="3515"/>
        </w:tabs>
        <w:ind w:left="1247"/>
      </w:pPr>
      <w:r>
        <w:t>В более широком плане история договоров по озону свидетельствует о том, что их институциональные механизмы развивались с учетом изменения объемов работы и возникающих требований. Как описано в разделе III.F, периодичность совещаний корректировалась на различных этапах развития Венской конвенции и Монреальского протокола. Опыт показывает, что порядок организации совещаний можно адаптировать с сохранением достаточной гибкости, необходимой для реагирования на периоды активизации переговорного процесса и увелич</w:t>
      </w:r>
      <w:r>
        <w:t>ения объема работы в научной или технической областях.</w:t>
      </w:r>
    </w:p>
    <w:p w14:paraId="35B73EA3" w14:textId="5D0F5577" w:rsidR="00361D9A" w:rsidRDefault="00885FCE">
      <w:pPr>
        <w:pStyle w:val="CH3"/>
      </w:pPr>
      <w:r>
        <w:tab/>
        <w:t>2.</w:t>
      </w:r>
      <w:r>
        <w:tab/>
        <w:t>Объем межсессионной работы и оказание поддержки Сторонам</w:t>
      </w:r>
    </w:p>
    <w:p w14:paraId="51EAB6B9" w14:textId="55E1FBB2" w:rsidR="00361D9A" w:rsidRDefault="00885FCE">
      <w:pPr>
        <w:pStyle w:val="Normalnumber"/>
        <w:tabs>
          <w:tab w:val="clear" w:pos="1247"/>
          <w:tab w:val="clear" w:pos="1814"/>
          <w:tab w:val="clear" w:pos="2381"/>
          <w:tab w:val="clear" w:pos="2948"/>
          <w:tab w:val="clear" w:pos="3515"/>
        </w:tabs>
        <w:ind w:left="1247"/>
      </w:pPr>
      <w:r>
        <w:t>Сокращение продолжительности или изменение структуры официальных совещаний может обусловить перенос работы на межсессионный период. Объем этой дополнительной рабочей нагрузки будет зависеть от сценария, количества пунктов повестки дня и их сложности, а также от того, в какой степени вопросы удастся регулировать в рамках измененного порядка проведения совещаний.</w:t>
      </w:r>
    </w:p>
    <w:p w14:paraId="3470CA4C" w14:textId="1B99BC48" w:rsidR="00361D9A" w:rsidRDefault="00885FCE">
      <w:pPr>
        <w:pStyle w:val="Normalnumber"/>
        <w:tabs>
          <w:tab w:val="clear" w:pos="1247"/>
          <w:tab w:val="clear" w:pos="1814"/>
          <w:tab w:val="clear" w:pos="2381"/>
          <w:tab w:val="clear" w:pos="2948"/>
          <w:tab w:val="clear" w:pos="3515"/>
        </w:tabs>
        <w:ind w:left="1247"/>
      </w:pPr>
      <w:r>
        <w:t>К примеру, сокращение продолжительности совещания Рабочей группы открытого состава при сохранении аналогичной повестки дня может потребовать организации дополнительной подготовительной работы, дистанционных консультаций или обсуждений до или после совещания, а также обмена письменными сообщениями. Аналогичным образом, уменьшение периодичности официальных совещаний может повысить потребность в межсессионных консультациях для решения вопросов, возникающих в период между заседаниями. Более частое проведение вс</w:t>
      </w:r>
      <w:r>
        <w:t xml:space="preserve">треч в онлайн-формате позволит сократить расходы на командировки и часть расходов, связанных с обслуживанием конференций, но по-прежнему </w:t>
      </w:r>
      <w:r>
        <w:lastRenderedPageBreak/>
        <w:t>будет сопряжено с необходимостью поддержки со стороны Секретариата в вопросах составления графиков, подготовки документации, координации и, в соответствующих случаях, организации устного перевода и технического обеспечения. Проведение совещаний в онлайн-режиме, а не в очном формате, также потребует интенсивного планирования и подготовки в межсессионные периоды.</w:t>
      </w:r>
    </w:p>
    <w:p w14:paraId="33AAD073" w14:textId="607F6938" w:rsidR="00361D9A" w:rsidRDefault="00885FCE">
      <w:pPr>
        <w:pStyle w:val="Normalnumber"/>
        <w:tabs>
          <w:tab w:val="clear" w:pos="1247"/>
          <w:tab w:val="clear" w:pos="1814"/>
          <w:tab w:val="clear" w:pos="2381"/>
          <w:tab w:val="clear" w:pos="2948"/>
          <w:tab w:val="clear" w:pos="3515"/>
        </w:tabs>
        <w:ind w:left="1247"/>
      </w:pPr>
      <w:r>
        <w:t>Дополнительная межсессионная работа также может повлиять на способность Секретариата выполнять другие возложенные на него функции и своевременно оказывать Сторонам техническую и стратегическую поддержку. Этот аспект приобретает особую актуальность по мере достижения Сторонами прогресса в реализации Кигалийской поправки и выполнения ими меняющихся требований в области практического осуществления и соблюдения.</w:t>
      </w:r>
    </w:p>
    <w:p w14:paraId="22B13FC2" w14:textId="7B5708AE" w:rsidR="00361D9A" w:rsidRDefault="00885FCE">
      <w:pPr>
        <w:pStyle w:val="Normalnumber"/>
        <w:tabs>
          <w:tab w:val="clear" w:pos="1247"/>
          <w:tab w:val="clear" w:pos="1814"/>
          <w:tab w:val="clear" w:pos="2381"/>
          <w:tab w:val="clear" w:pos="2948"/>
          <w:tab w:val="clear" w:pos="3515"/>
        </w:tabs>
        <w:ind w:left="1247"/>
      </w:pPr>
      <w:r>
        <w:t>Если Стороны примут решение о внесении изменений в порядок проведения заседаний, их последствия можно будет проанализировать по истечении соответствующего периода времени. Подобный анализ может включать оценку фактической экономии средств, объема дополнительной работы, проведенной в межсессионный период, и влияния на способность Секретариата своевременно оказывать поддержку Сторонам; его итоги позволят обосновать последующие решения относительно того, следует ли сохранить действующие механизмы, внести в них</w:t>
      </w:r>
      <w:r>
        <w:t xml:space="preserve"> дополнительные изменения или, при необходимости, восстановить их.</w:t>
      </w:r>
    </w:p>
    <w:p w14:paraId="4135F767" w14:textId="3E1A45CF" w:rsidR="00361D9A" w:rsidRDefault="00885FCE">
      <w:pPr>
        <w:pStyle w:val="CH2"/>
      </w:pPr>
      <w:r>
        <w:tab/>
        <w:t>C.</w:t>
      </w:r>
      <w:r>
        <w:tab/>
        <w:t>Использование искусственного интеллекта</w:t>
      </w:r>
    </w:p>
    <w:p w14:paraId="4E610C80" w14:textId="58A588F0" w:rsidR="00361D9A" w:rsidRDefault="00885FCE">
      <w:pPr>
        <w:pStyle w:val="CH3"/>
      </w:pPr>
      <w:r>
        <w:tab/>
        <w:t>1.</w:t>
      </w:r>
      <w:r>
        <w:tab/>
        <w:t xml:space="preserve">Использование искусственного интеллекта во время онлайн-совещаний с организацией устного перевода </w:t>
      </w:r>
    </w:p>
    <w:p w14:paraId="7C295B6B" w14:textId="34874CCD" w:rsidR="00361D9A" w:rsidRDefault="00885FCE">
      <w:pPr>
        <w:pStyle w:val="Normalnumber"/>
        <w:tabs>
          <w:tab w:val="clear" w:pos="1247"/>
          <w:tab w:val="clear" w:pos="1814"/>
          <w:tab w:val="clear" w:pos="2381"/>
          <w:tab w:val="clear" w:pos="2948"/>
          <w:tab w:val="clear" w:pos="3515"/>
        </w:tabs>
        <w:ind w:left="1247"/>
      </w:pPr>
      <w:r>
        <w:t xml:space="preserve">Для оценки практической осуществимости и стоимости обслуживания онлайн-совещаний с использованием искусственного интеллекта Секретариат провел анализ трех платформ для проведения виртуальных совещаний — Zoom, Microsoft Teams и Cisco Webex. В ходе этой работы были сопоставлены: стоимость подписки, доступность и стоимость услуг синхронного перевода и текстового дублирования речи на шести официальных языках Организации Объединенных Наций с использованием искусственного интеллекта, а также доступность платформ </w:t>
      </w:r>
      <w:r>
        <w:t>в различных странах мира. Результаты приведены в таблице 4. Единовременные расходы на оборудование зала для гибридных заседаний (от трех до пяти настольных микрофонов, две купольные камеры и вспомогательное оборудование) оцениваются примерно в 4000 долл. США (аренда или покупка). В некоторых странах ни одна из платформ не является доступной (см. пункт 46).</w:t>
      </w:r>
    </w:p>
    <w:p w14:paraId="39E376FD" w14:textId="72411B04" w:rsidR="00361D9A" w:rsidRDefault="00885FCE">
      <w:pPr>
        <w:pStyle w:val="Titletable"/>
      </w:pPr>
      <w:r>
        <w:rPr>
          <w:b w:val="0"/>
        </w:rPr>
        <w:t>Таблица 4</w:t>
      </w:r>
      <w:r>
        <w:t xml:space="preserve"> </w:t>
      </w:r>
      <w:r>
        <w:br/>
        <w:t>Сравнение стоимости подписки на Zoom, Microsoft Teams и Cisco Webex</w:t>
      </w:r>
    </w:p>
    <w:tbl>
      <w:tblPr>
        <w:tblW w:w="5000" w:type="pct"/>
        <w:jc w:val="right"/>
        <w:tblLook w:val="04A0" w:firstRow="1" w:lastRow="0" w:firstColumn="1" w:lastColumn="0" w:noHBand="0" w:noVBand="1"/>
      </w:tblPr>
      <w:tblGrid>
        <w:gridCol w:w="1063"/>
        <w:gridCol w:w="1143"/>
        <w:gridCol w:w="1044"/>
        <w:gridCol w:w="1013"/>
        <w:gridCol w:w="1304"/>
        <w:gridCol w:w="1532"/>
        <w:gridCol w:w="1041"/>
        <w:gridCol w:w="1357"/>
      </w:tblGrid>
      <w:tr w:rsidR="00361D9A" w14:paraId="1E929C88" w14:textId="77777777">
        <w:trPr>
          <w:trHeight w:val="57"/>
          <w:tblHeader/>
          <w:jc w:val="right"/>
        </w:trPr>
        <w:tc>
          <w:tcPr>
            <w:tcW w:w="1037" w:type="dxa"/>
            <w:tcBorders>
              <w:top w:val="single" w:sz="4" w:space="0" w:color="auto"/>
              <w:bottom w:val="single" w:sz="12" w:space="0" w:color="auto"/>
            </w:tcBorders>
            <w:vAlign w:val="bottom"/>
            <w:hideMark/>
          </w:tcPr>
          <w:p w14:paraId="6749769F" w14:textId="77777777" w:rsidR="00361D9A" w:rsidRDefault="00885FCE">
            <w:pPr>
              <w:pStyle w:val="P68B1DB1-Normal-pool-Table1"/>
            </w:pPr>
            <w:r>
              <w:t>Платформа</w:t>
            </w:r>
          </w:p>
        </w:tc>
        <w:tc>
          <w:tcPr>
            <w:tcW w:w="1127" w:type="dxa"/>
            <w:tcBorders>
              <w:top w:val="single" w:sz="4" w:space="0" w:color="auto"/>
              <w:bottom w:val="single" w:sz="12" w:space="0" w:color="auto"/>
            </w:tcBorders>
            <w:vAlign w:val="bottom"/>
            <w:hideMark/>
          </w:tcPr>
          <w:p w14:paraId="0858A59B" w14:textId="77777777" w:rsidR="00361D9A" w:rsidRDefault="00885FCE">
            <w:pPr>
              <w:pStyle w:val="P68B1DB1-Normal-pool-Table1"/>
            </w:pPr>
            <w:r>
              <w:t>Тарифный план</w:t>
            </w:r>
          </w:p>
        </w:tc>
        <w:tc>
          <w:tcPr>
            <w:tcW w:w="1097" w:type="dxa"/>
            <w:tcBorders>
              <w:top w:val="single" w:sz="4" w:space="0" w:color="auto"/>
              <w:bottom w:val="single" w:sz="12" w:space="0" w:color="auto"/>
            </w:tcBorders>
            <w:vAlign w:val="bottom"/>
            <w:hideMark/>
          </w:tcPr>
          <w:p w14:paraId="4BD5D7BE" w14:textId="77777777" w:rsidR="00361D9A" w:rsidRDefault="00885FCE">
            <w:pPr>
              <w:pStyle w:val="P68B1DB1-Normal-pool-Table1"/>
            </w:pPr>
            <w:r>
              <w:t>Количество участников</w:t>
            </w:r>
          </w:p>
        </w:tc>
        <w:tc>
          <w:tcPr>
            <w:tcW w:w="992" w:type="dxa"/>
            <w:tcBorders>
              <w:top w:val="single" w:sz="4" w:space="0" w:color="auto"/>
              <w:bottom w:val="single" w:sz="12" w:space="0" w:color="auto"/>
            </w:tcBorders>
            <w:vAlign w:val="bottom"/>
            <w:hideMark/>
          </w:tcPr>
          <w:p w14:paraId="65C262D9" w14:textId="06096A42" w:rsidR="00361D9A" w:rsidRDefault="00885FCE">
            <w:pPr>
              <w:pStyle w:val="P68B1DB1-Normal-pool-Table1"/>
            </w:pPr>
            <w:r>
              <w:t>Базовая стоимость (долл. США)</w:t>
            </w:r>
          </w:p>
        </w:tc>
        <w:tc>
          <w:tcPr>
            <w:tcW w:w="1276" w:type="dxa"/>
            <w:tcBorders>
              <w:top w:val="single" w:sz="4" w:space="0" w:color="auto"/>
              <w:bottom w:val="single" w:sz="12" w:space="0" w:color="auto"/>
            </w:tcBorders>
            <w:vAlign w:val="bottom"/>
            <w:hideMark/>
          </w:tcPr>
          <w:p w14:paraId="6D56FBF7" w14:textId="114F80BE" w:rsidR="00361D9A" w:rsidRDefault="00885FCE">
            <w:pPr>
              <w:pStyle w:val="P68B1DB1-Normal-pool-Table1"/>
            </w:pPr>
            <w:r>
              <w:t>Устный перевод на базе искусственного интеллекта (долл. США)</w:t>
            </w:r>
          </w:p>
        </w:tc>
        <w:tc>
          <w:tcPr>
            <w:tcW w:w="1134" w:type="dxa"/>
            <w:tcBorders>
              <w:top w:val="single" w:sz="4" w:space="0" w:color="auto"/>
              <w:bottom w:val="single" w:sz="12" w:space="0" w:color="auto"/>
            </w:tcBorders>
            <w:vAlign w:val="bottom"/>
            <w:hideMark/>
          </w:tcPr>
          <w:p w14:paraId="3D0D2A77" w14:textId="3FD6E800" w:rsidR="00361D9A" w:rsidRDefault="00885FCE">
            <w:pPr>
              <w:pStyle w:val="P68B1DB1-Normal-pool-Table1"/>
            </w:pPr>
            <w:r>
              <w:t>Субтитры/титры на базе искусственного интеллекта (долл. США)</w:t>
            </w:r>
          </w:p>
        </w:tc>
        <w:tc>
          <w:tcPr>
            <w:tcW w:w="1134" w:type="dxa"/>
            <w:tcBorders>
              <w:top w:val="single" w:sz="4" w:space="0" w:color="auto"/>
              <w:bottom w:val="single" w:sz="12" w:space="0" w:color="auto"/>
            </w:tcBorders>
            <w:vAlign w:val="bottom"/>
            <w:hideMark/>
          </w:tcPr>
          <w:p w14:paraId="3D22FB43" w14:textId="36C495C8" w:rsidR="00361D9A" w:rsidRDefault="00885FCE">
            <w:pPr>
              <w:pStyle w:val="P68B1DB1-Normal-pool-Table1"/>
            </w:pPr>
            <w:r>
              <w:t>Общие расходы (долл. США)</w:t>
            </w:r>
          </w:p>
        </w:tc>
        <w:tc>
          <w:tcPr>
            <w:tcW w:w="1700" w:type="dxa"/>
            <w:tcBorders>
              <w:top w:val="single" w:sz="4" w:space="0" w:color="auto"/>
              <w:bottom w:val="single" w:sz="12" w:space="0" w:color="auto"/>
            </w:tcBorders>
            <w:vAlign w:val="bottom"/>
            <w:hideMark/>
          </w:tcPr>
          <w:p w14:paraId="020DFFA0" w14:textId="77777777" w:rsidR="00361D9A" w:rsidRDefault="00885FCE">
            <w:pPr>
              <w:pStyle w:val="P68B1DB1-Normal-pool-Table1"/>
            </w:pPr>
            <w:r>
              <w:t>Примечания</w:t>
            </w:r>
          </w:p>
        </w:tc>
      </w:tr>
      <w:tr w:rsidR="00361D9A" w14:paraId="26E9C36F" w14:textId="77777777">
        <w:trPr>
          <w:trHeight w:val="57"/>
          <w:jc w:val="right"/>
        </w:trPr>
        <w:tc>
          <w:tcPr>
            <w:tcW w:w="1037" w:type="dxa"/>
            <w:vMerge w:val="restart"/>
            <w:tcBorders>
              <w:top w:val="single" w:sz="12" w:space="0" w:color="auto"/>
            </w:tcBorders>
            <w:noWrap/>
            <w:hideMark/>
          </w:tcPr>
          <w:p w14:paraId="798BDDA7" w14:textId="77777777" w:rsidR="00361D9A" w:rsidRDefault="00885FCE">
            <w:pPr>
              <w:pStyle w:val="P68B1DB1-Normal-pool-Table8"/>
            </w:pPr>
            <w:r>
              <w:t>Zoom</w:t>
            </w:r>
          </w:p>
        </w:tc>
        <w:tc>
          <w:tcPr>
            <w:tcW w:w="1127" w:type="dxa"/>
            <w:vMerge w:val="restart"/>
            <w:tcBorders>
              <w:top w:val="single" w:sz="12" w:space="0" w:color="auto"/>
            </w:tcBorders>
            <w:hideMark/>
          </w:tcPr>
          <w:p w14:paraId="05C33E1E" w14:textId="2EB2DE5E" w:rsidR="00361D9A" w:rsidRDefault="00885FCE">
            <w:pPr>
              <w:pStyle w:val="P68B1DB1-Normal-pool-Table3"/>
              <w:rPr>
                <w:color w:val="000000"/>
              </w:rPr>
            </w:pPr>
            <w:r>
              <w:t>Годовой безлимитный тариф</w:t>
            </w:r>
          </w:p>
        </w:tc>
        <w:tc>
          <w:tcPr>
            <w:tcW w:w="1097" w:type="dxa"/>
            <w:tcBorders>
              <w:top w:val="single" w:sz="12" w:space="0" w:color="auto"/>
            </w:tcBorders>
            <w:noWrap/>
            <w:hideMark/>
          </w:tcPr>
          <w:p w14:paraId="2E32AE7C" w14:textId="1EF4FD2E" w:rsidR="00361D9A" w:rsidRDefault="00885FCE">
            <w:pPr>
              <w:pStyle w:val="P68B1DB1-Normal-pool-Table3"/>
              <w:rPr>
                <w:color w:val="000000"/>
              </w:rPr>
            </w:pPr>
            <w:r>
              <w:t xml:space="preserve">&lt; 300 </w:t>
            </w:r>
          </w:p>
        </w:tc>
        <w:tc>
          <w:tcPr>
            <w:tcW w:w="992" w:type="dxa"/>
            <w:tcBorders>
              <w:top w:val="single" w:sz="12" w:space="0" w:color="auto"/>
            </w:tcBorders>
            <w:noWrap/>
            <w:hideMark/>
          </w:tcPr>
          <w:p w14:paraId="695C9D9E" w14:textId="25CFB957" w:rsidR="00361D9A" w:rsidRDefault="00885FCE">
            <w:pPr>
              <w:pStyle w:val="P68B1DB1-Normal-pool-Table3"/>
              <w:rPr>
                <w:color w:val="000000"/>
              </w:rPr>
            </w:pPr>
            <w:r>
              <w:t xml:space="preserve">300 </w:t>
            </w:r>
          </w:p>
        </w:tc>
        <w:tc>
          <w:tcPr>
            <w:tcW w:w="1276" w:type="dxa"/>
            <w:tcBorders>
              <w:top w:val="single" w:sz="12" w:space="0" w:color="auto"/>
            </w:tcBorders>
            <w:noWrap/>
            <w:hideMark/>
          </w:tcPr>
          <w:p w14:paraId="211796AF" w14:textId="1A1AF810" w:rsidR="00361D9A" w:rsidRDefault="00885FCE">
            <w:pPr>
              <w:pStyle w:val="P68B1DB1-Normal-pool-Table3"/>
              <w:rPr>
                <w:color w:val="000000"/>
              </w:rPr>
            </w:pPr>
            <w:r>
              <w:t xml:space="preserve">300 </w:t>
            </w:r>
          </w:p>
        </w:tc>
        <w:tc>
          <w:tcPr>
            <w:tcW w:w="1134" w:type="dxa"/>
            <w:tcBorders>
              <w:top w:val="single" w:sz="12" w:space="0" w:color="auto"/>
            </w:tcBorders>
            <w:noWrap/>
            <w:hideMark/>
          </w:tcPr>
          <w:p w14:paraId="20FC7AB6" w14:textId="6B004603" w:rsidR="00361D9A" w:rsidRDefault="00885FCE">
            <w:pPr>
              <w:pStyle w:val="P68B1DB1-Normal-pool-Table3"/>
              <w:rPr>
                <w:color w:val="000000"/>
              </w:rPr>
            </w:pPr>
            <w:r>
              <w:t xml:space="preserve">50 </w:t>
            </w:r>
          </w:p>
        </w:tc>
        <w:tc>
          <w:tcPr>
            <w:tcW w:w="1134" w:type="dxa"/>
            <w:tcBorders>
              <w:top w:val="single" w:sz="12" w:space="0" w:color="auto"/>
            </w:tcBorders>
            <w:noWrap/>
            <w:hideMark/>
          </w:tcPr>
          <w:p w14:paraId="10FC685E" w14:textId="13AED699" w:rsidR="00361D9A" w:rsidRDefault="00885FCE">
            <w:pPr>
              <w:pStyle w:val="P68B1DB1-Normal-pool-Table3"/>
              <w:rPr>
                <w:color w:val="000000"/>
              </w:rPr>
            </w:pPr>
            <w:r>
              <w:t xml:space="preserve">650 </w:t>
            </w:r>
          </w:p>
        </w:tc>
        <w:tc>
          <w:tcPr>
            <w:tcW w:w="1700" w:type="dxa"/>
            <w:vMerge w:val="restart"/>
            <w:tcBorders>
              <w:top w:val="single" w:sz="12" w:space="0" w:color="auto"/>
            </w:tcBorders>
            <w:hideMark/>
          </w:tcPr>
          <w:p w14:paraId="306DC29F" w14:textId="77777777" w:rsidR="00361D9A" w:rsidRDefault="00885FCE">
            <w:pPr>
              <w:pStyle w:val="P68B1DB1-Normal-pool-Table3"/>
              <w:rPr>
                <w:color w:val="000000"/>
              </w:rPr>
            </w:pPr>
            <w:r>
              <w:t xml:space="preserve">Неограниченное количество совещаний в течение одного года (на всех языках) </w:t>
            </w:r>
          </w:p>
          <w:p w14:paraId="3E3CA63B" w14:textId="71324429" w:rsidR="00361D9A" w:rsidRDefault="00885FCE">
            <w:pPr>
              <w:pStyle w:val="P68B1DB1-Normal-pool-Table3"/>
              <w:rPr>
                <w:color w:val="000000"/>
              </w:rPr>
            </w:pPr>
            <w:r>
              <w:t>Простая интеграция сторонних систем перевода и услуг живого устного перевода</w:t>
            </w:r>
          </w:p>
        </w:tc>
      </w:tr>
      <w:tr w:rsidR="00361D9A" w14:paraId="2C68941B" w14:textId="77777777">
        <w:trPr>
          <w:trHeight w:val="57"/>
          <w:jc w:val="right"/>
        </w:trPr>
        <w:tc>
          <w:tcPr>
            <w:tcW w:w="1037" w:type="dxa"/>
            <w:vMerge/>
            <w:hideMark/>
          </w:tcPr>
          <w:p w14:paraId="70FB3B7C" w14:textId="77777777" w:rsidR="00361D9A" w:rsidRDefault="00361D9A">
            <w:pPr>
              <w:pStyle w:val="Normal-pool-Table"/>
              <w:rPr>
                <w:color w:val="000000"/>
              </w:rPr>
            </w:pPr>
          </w:p>
        </w:tc>
        <w:tc>
          <w:tcPr>
            <w:tcW w:w="1127" w:type="dxa"/>
            <w:vMerge/>
            <w:hideMark/>
          </w:tcPr>
          <w:p w14:paraId="7125ECCB" w14:textId="77777777" w:rsidR="00361D9A" w:rsidRDefault="00361D9A">
            <w:pPr>
              <w:pStyle w:val="Normal-pool-Table"/>
              <w:rPr>
                <w:color w:val="000000"/>
              </w:rPr>
            </w:pPr>
          </w:p>
        </w:tc>
        <w:tc>
          <w:tcPr>
            <w:tcW w:w="1097" w:type="dxa"/>
            <w:noWrap/>
            <w:hideMark/>
          </w:tcPr>
          <w:p w14:paraId="56FA258D" w14:textId="3DE9A6F9" w:rsidR="00361D9A" w:rsidRDefault="00885FCE">
            <w:pPr>
              <w:pStyle w:val="P68B1DB1-Normal-pool-Table3"/>
              <w:rPr>
                <w:color w:val="000000"/>
              </w:rPr>
            </w:pPr>
            <w:r>
              <w:t xml:space="preserve">1000 </w:t>
            </w:r>
          </w:p>
        </w:tc>
        <w:tc>
          <w:tcPr>
            <w:tcW w:w="992" w:type="dxa"/>
            <w:noWrap/>
            <w:hideMark/>
          </w:tcPr>
          <w:p w14:paraId="557F6B29" w14:textId="4DD3D97A" w:rsidR="00361D9A" w:rsidRDefault="00885FCE">
            <w:pPr>
              <w:pStyle w:val="P68B1DB1-Normal-pool-Table3"/>
              <w:rPr>
                <w:color w:val="000000"/>
              </w:rPr>
            </w:pPr>
            <w:r>
              <w:t xml:space="preserve">2000 </w:t>
            </w:r>
          </w:p>
        </w:tc>
        <w:tc>
          <w:tcPr>
            <w:tcW w:w="1276" w:type="dxa"/>
            <w:noWrap/>
            <w:hideMark/>
          </w:tcPr>
          <w:p w14:paraId="143EF50A" w14:textId="1600A635" w:rsidR="00361D9A" w:rsidRDefault="00885FCE">
            <w:pPr>
              <w:pStyle w:val="P68B1DB1-Normal-pool-Table3"/>
              <w:rPr>
                <w:color w:val="000000"/>
              </w:rPr>
            </w:pPr>
            <w:r>
              <w:t xml:space="preserve">300 </w:t>
            </w:r>
          </w:p>
        </w:tc>
        <w:tc>
          <w:tcPr>
            <w:tcW w:w="1134" w:type="dxa"/>
            <w:noWrap/>
            <w:hideMark/>
          </w:tcPr>
          <w:p w14:paraId="4E4B3EBF" w14:textId="245DBB1A" w:rsidR="00361D9A" w:rsidRDefault="00885FCE">
            <w:pPr>
              <w:pStyle w:val="P68B1DB1-Normal-pool-Table3"/>
              <w:rPr>
                <w:color w:val="000000"/>
              </w:rPr>
            </w:pPr>
            <w:r>
              <w:t xml:space="preserve">50 </w:t>
            </w:r>
          </w:p>
        </w:tc>
        <w:tc>
          <w:tcPr>
            <w:tcW w:w="1134" w:type="dxa"/>
            <w:noWrap/>
            <w:hideMark/>
          </w:tcPr>
          <w:p w14:paraId="37B3157B" w14:textId="2903DA84" w:rsidR="00361D9A" w:rsidRDefault="00885FCE">
            <w:pPr>
              <w:pStyle w:val="P68B1DB1-Normal-pool-Table3"/>
              <w:rPr>
                <w:color w:val="000000"/>
              </w:rPr>
            </w:pPr>
            <w:r>
              <w:t xml:space="preserve">2350 </w:t>
            </w:r>
          </w:p>
        </w:tc>
        <w:tc>
          <w:tcPr>
            <w:tcW w:w="1700" w:type="dxa"/>
            <w:vMerge/>
            <w:hideMark/>
          </w:tcPr>
          <w:p w14:paraId="6C4BDF54" w14:textId="77777777" w:rsidR="00361D9A" w:rsidRDefault="00361D9A">
            <w:pPr>
              <w:pStyle w:val="Normal-pool-Table"/>
              <w:rPr>
                <w:color w:val="000000"/>
              </w:rPr>
            </w:pPr>
          </w:p>
        </w:tc>
      </w:tr>
      <w:tr w:rsidR="00361D9A" w14:paraId="205E58C6" w14:textId="77777777">
        <w:trPr>
          <w:trHeight w:val="57"/>
          <w:jc w:val="right"/>
        </w:trPr>
        <w:tc>
          <w:tcPr>
            <w:tcW w:w="1037" w:type="dxa"/>
            <w:vMerge/>
            <w:hideMark/>
          </w:tcPr>
          <w:p w14:paraId="177CD015" w14:textId="77777777" w:rsidR="00361D9A" w:rsidRDefault="00361D9A">
            <w:pPr>
              <w:pStyle w:val="Normal-pool-Table"/>
              <w:rPr>
                <w:color w:val="000000"/>
              </w:rPr>
            </w:pPr>
          </w:p>
        </w:tc>
        <w:tc>
          <w:tcPr>
            <w:tcW w:w="1127" w:type="dxa"/>
            <w:vMerge w:val="restart"/>
            <w:hideMark/>
          </w:tcPr>
          <w:p w14:paraId="2A4785E1" w14:textId="1F098548" w:rsidR="00361D9A" w:rsidRDefault="00885FCE">
            <w:pPr>
              <w:pStyle w:val="P68B1DB1-Normal-pool-Table3"/>
              <w:rPr>
                <w:color w:val="000000"/>
              </w:rPr>
            </w:pPr>
            <w:r>
              <w:t>Два месяца</w:t>
            </w:r>
          </w:p>
        </w:tc>
        <w:tc>
          <w:tcPr>
            <w:tcW w:w="1097" w:type="dxa"/>
            <w:noWrap/>
            <w:hideMark/>
          </w:tcPr>
          <w:p w14:paraId="14E7D0D2" w14:textId="4A99D6C6" w:rsidR="00361D9A" w:rsidRDefault="00885FCE">
            <w:pPr>
              <w:pStyle w:val="P68B1DB1-Normal-pool-Table3"/>
              <w:rPr>
                <w:color w:val="000000"/>
              </w:rPr>
            </w:pPr>
            <w:r>
              <w:t xml:space="preserve">&lt; 300 </w:t>
            </w:r>
          </w:p>
        </w:tc>
        <w:tc>
          <w:tcPr>
            <w:tcW w:w="992" w:type="dxa"/>
            <w:noWrap/>
            <w:hideMark/>
          </w:tcPr>
          <w:p w14:paraId="1C42D817" w14:textId="0EC79F9B" w:rsidR="00361D9A" w:rsidRDefault="00885FCE">
            <w:pPr>
              <w:pStyle w:val="P68B1DB1-Normal-pool-Table3"/>
              <w:rPr>
                <w:color w:val="000000"/>
              </w:rPr>
            </w:pPr>
            <w:r>
              <w:t xml:space="preserve">60 </w:t>
            </w:r>
          </w:p>
        </w:tc>
        <w:tc>
          <w:tcPr>
            <w:tcW w:w="1276" w:type="dxa"/>
            <w:noWrap/>
            <w:hideMark/>
          </w:tcPr>
          <w:p w14:paraId="4B68AEFD" w14:textId="54EB2204" w:rsidR="00361D9A" w:rsidRDefault="00885FCE">
            <w:pPr>
              <w:pStyle w:val="P68B1DB1-Normal-pool-Table3"/>
              <w:rPr>
                <w:color w:val="000000"/>
              </w:rPr>
            </w:pPr>
            <w:r>
              <w:t xml:space="preserve">Недоступно </w:t>
            </w:r>
          </w:p>
        </w:tc>
        <w:tc>
          <w:tcPr>
            <w:tcW w:w="1134" w:type="dxa"/>
            <w:noWrap/>
            <w:hideMark/>
          </w:tcPr>
          <w:p w14:paraId="0A0E0870" w14:textId="71C13149" w:rsidR="00361D9A" w:rsidRDefault="00885FCE">
            <w:pPr>
              <w:pStyle w:val="P68B1DB1-Normal-pool-Table9"/>
            </w:pPr>
            <w:r>
              <w:t>−</w:t>
            </w:r>
          </w:p>
        </w:tc>
        <w:tc>
          <w:tcPr>
            <w:tcW w:w="1134" w:type="dxa"/>
            <w:noWrap/>
            <w:hideMark/>
          </w:tcPr>
          <w:p w14:paraId="57667313" w14:textId="05A5A85A" w:rsidR="00361D9A" w:rsidRDefault="00885FCE">
            <w:pPr>
              <w:pStyle w:val="P68B1DB1-Normal-pool-Table3"/>
              <w:rPr>
                <w:color w:val="000000"/>
              </w:rPr>
            </w:pPr>
            <w:r>
              <w:t xml:space="preserve">60 </w:t>
            </w:r>
          </w:p>
        </w:tc>
        <w:tc>
          <w:tcPr>
            <w:tcW w:w="1700" w:type="dxa"/>
            <w:vMerge w:val="restart"/>
            <w:tcBorders>
              <w:bottom w:val="single" w:sz="4" w:space="0" w:color="auto"/>
            </w:tcBorders>
            <w:hideMark/>
          </w:tcPr>
          <w:p w14:paraId="10597732" w14:textId="77777777" w:rsidR="00361D9A" w:rsidRDefault="00885FCE">
            <w:pPr>
              <w:pStyle w:val="P68B1DB1-Normal-pool-Table3"/>
              <w:rPr>
                <w:color w:val="000000"/>
              </w:rPr>
            </w:pPr>
            <w:r>
              <w:t xml:space="preserve">Временная подписка на период </w:t>
            </w:r>
            <w:r>
              <w:lastRenderedPageBreak/>
              <w:t>проведения совещания</w:t>
            </w:r>
          </w:p>
        </w:tc>
      </w:tr>
      <w:tr w:rsidR="00361D9A" w14:paraId="2FB51F5C" w14:textId="77777777">
        <w:trPr>
          <w:trHeight w:val="57"/>
          <w:jc w:val="right"/>
        </w:trPr>
        <w:tc>
          <w:tcPr>
            <w:tcW w:w="1037" w:type="dxa"/>
            <w:vMerge/>
            <w:tcBorders>
              <w:bottom w:val="single" w:sz="4" w:space="0" w:color="auto"/>
            </w:tcBorders>
            <w:hideMark/>
          </w:tcPr>
          <w:p w14:paraId="5E80656A" w14:textId="77777777" w:rsidR="00361D9A" w:rsidRDefault="00361D9A">
            <w:pPr>
              <w:pStyle w:val="Normal-pool-Table"/>
              <w:rPr>
                <w:color w:val="000000"/>
              </w:rPr>
            </w:pPr>
          </w:p>
        </w:tc>
        <w:tc>
          <w:tcPr>
            <w:tcW w:w="1127" w:type="dxa"/>
            <w:vMerge/>
            <w:tcBorders>
              <w:bottom w:val="single" w:sz="4" w:space="0" w:color="auto"/>
            </w:tcBorders>
            <w:hideMark/>
          </w:tcPr>
          <w:p w14:paraId="7EBF8A44" w14:textId="77777777" w:rsidR="00361D9A" w:rsidRDefault="00361D9A">
            <w:pPr>
              <w:pStyle w:val="Normal-pool-Table"/>
              <w:rPr>
                <w:color w:val="000000"/>
              </w:rPr>
            </w:pPr>
          </w:p>
        </w:tc>
        <w:tc>
          <w:tcPr>
            <w:tcW w:w="1097" w:type="dxa"/>
            <w:tcBorders>
              <w:bottom w:val="single" w:sz="4" w:space="0" w:color="auto"/>
            </w:tcBorders>
            <w:noWrap/>
            <w:hideMark/>
          </w:tcPr>
          <w:p w14:paraId="15284F16" w14:textId="23566755" w:rsidR="00361D9A" w:rsidRDefault="00885FCE">
            <w:pPr>
              <w:pStyle w:val="P68B1DB1-Normal-pool-Table3"/>
              <w:rPr>
                <w:color w:val="000000"/>
              </w:rPr>
            </w:pPr>
            <w:r>
              <w:t xml:space="preserve">1000 </w:t>
            </w:r>
          </w:p>
        </w:tc>
        <w:tc>
          <w:tcPr>
            <w:tcW w:w="992" w:type="dxa"/>
            <w:tcBorders>
              <w:bottom w:val="single" w:sz="4" w:space="0" w:color="auto"/>
            </w:tcBorders>
            <w:noWrap/>
            <w:hideMark/>
          </w:tcPr>
          <w:p w14:paraId="466EC68C" w14:textId="16C4338F" w:rsidR="00361D9A" w:rsidRDefault="00885FCE">
            <w:pPr>
              <w:pStyle w:val="P68B1DB1-Normal-pool-Table3"/>
              <w:rPr>
                <w:color w:val="000000"/>
              </w:rPr>
            </w:pPr>
            <w:r>
              <w:t xml:space="preserve">350 </w:t>
            </w:r>
          </w:p>
        </w:tc>
        <w:tc>
          <w:tcPr>
            <w:tcW w:w="1276" w:type="dxa"/>
            <w:tcBorders>
              <w:bottom w:val="single" w:sz="4" w:space="0" w:color="auto"/>
            </w:tcBorders>
            <w:noWrap/>
            <w:hideMark/>
          </w:tcPr>
          <w:p w14:paraId="22C3D49C" w14:textId="59853961" w:rsidR="00361D9A" w:rsidRDefault="00885FCE">
            <w:pPr>
              <w:pStyle w:val="P68B1DB1-Normal-pool-Table3"/>
              <w:rPr>
                <w:color w:val="000000"/>
              </w:rPr>
            </w:pPr>
            <w:r>
              <w:t xml:space="preserve">Недоступно </w:t>
            </w:r>
          </w:p>
        </w:tc>
        <w:tc>
          <w:tcPr>
            <w:tcW w:w="1134" w:type="dxa"/>
            <w:tcBorders>
              <w:bottom w:val="single" w:sz="4" w:space="0" w:color="auto"/>
            </w:tcBorders>
            <w:noWrap/>
            <w:hideMark/>
          </w:tcPr>
          <w:p w14:paraId="4DC01FCA" w14:textId="7E439763" w:rsidR="00361D9A" w:rsidRDefault="00885FCE">
            <w:pPr>
              <w:pStyle w:val="P68B1DB1-Normal-pool-Table9"/>
            </w:pPr>
            <w:r>
              <w:t>−</w:t>
            </w:r>
          </w:p>
        </w:tc>
        <w:tc>
          <w:tcPr>
            <w:tcW w:w="1134" w:type="dxa"/>
            <w:tcBorders>
              <w:bottom w:val="single" w:sz="4" w:space="0" w:color="auto"/>
            </w:tcBorders>
            <w:noWrap/>
            <w:hideMark/>
          </w:tcPr>
          <w:p w14:paraId="5E906E49" w14:textId="54CC81A8" w:rsidR="00361D9A" w:rsidRDefault="00885FCE">
            <w:pPr>
              <w:pStyle w:val="P68B1DB1-Normal-pool-Table3"/>
              <w:rPr>
                <w:color w:val="000000"/>
              </w:rPr>
            </w:pPr>
            <w:r>
              <w:t xml:space="preserve">350 </w:t>
            </w:r>
          </w:p>
        </w:tc>
        <w:tc>
          <w:tcPr>
            <w:tcW w:w="1700" w:type="dxa"/>
            <w:vMerge/>
            <w:tcBorders>
              <w:bottom w:val="single" w:sz="4" w:space="0" w:color="auto"/>
            </w:tcBorders>
            <w:hideMark/>
          </w:tcPr>
          <w:p w14:paraId="65E3C18E" w14:textId="77777777" w:rsidR="00361D9A" w:rsidRDefault="00361D9A">
            <w:pPr>
              <w:pStyle w:val="Normal-pool-Table"/>
              <w:rPr>
                <w:color w:val="000000"/>
              </w:rPr>
            </w:pPr>
          </w:p>
        </w:tc>
      </w:tr>
      <w:tr w:rsidR="00361D9A" w14:paraId="6631F8CD" w14:textId="77777777">
        <w:trPr>
          <w:trHeight w:val="57"/>
          <w:jc w:val="right"/>
        </w:trPr>
        <w:tc>
          <w:tcPr>
            <w:tcW w:w="1037" w:type="dxa"/>
            <w:vMerge w:val="restart"/>
            <w:tcBorders>
              <w:top w:val="single" w:sz="4" w:space="0" w:color="auto"/>
              <w:bottom w:val="single" w:sz="4" w:space="0" w:color="auto"/>
            </w:tcBorders>
            <w:noWrap/>
            <w:hideMark/>
          </w:tcPr>
          <w:p w14:paraId="2F3E778C" w14:textId="562BBA1D" w:rsidR="00361D9A" w:rsidRDefault="00885FCE">
            <w:pPr>
              <w:pStyle w:val="P68B1DB1-Normal-pool-Table8"/>
            </w:pPr>
            <w:r>
              <w:t>Microsoft Teams</w:t>
            </w:r>
          </w:p>
        </w:tc>
        <w:tc>
          <w:tcPr>
            <w:tcW w:w="1127" w:type="dxa"/>
            <w:vMerge w:val="restart"/>
            <w:tcBorders>
              <w:top w:val="single" w:sz="4" w:space="0" w:color="auto"/>
              <w:bottom w:val="single" w:sz="4" w:space="0" w:color="auto"/>
            </w:tcBorders>
            <w:hideMark/>
          </w:tcPr>
          <w:p w14:paraId="0A7D00B7" w14:textId="4B4AD96C" w:rsidR="00361D9A" w:rsidRDefault="00885FCE">
            <w:pPr>
              <w:pStyle w:val="P68B1DB1-Normal-pool-Table3"/>
              <w:rPr>
                <w:color w:val="000000"/>
              </w:rPr>
            </w:pPr>
            <w:r>
              <w:t>Годовой безлимитный тариф</w:t>
            </w:r>
          </w:p>
        </w:tc>
        <w:tc>
          <w:tcPr>
            <w:tcW w:w="1097" w:type="dxa"/>
            <w:tcBorders>
              <w:top w:val="single" w:sz="4" w:space="0" w:color="auto"/>
            </w:tcBorders>
            <w:hideMark/>
          </w:tcPr>
          <w:p w14:paraId="78913190" w14:textId="0B29552D" w:rsidR="00361D9A" w:rsidRDefault="00885FCE">
            <w:pPr>
              <w:pStyle w:val="P68B1DB1-Normal-pool-Table3"/>
              <w:rPr>
                <w:color w:val="000000"/>
              </w:rPr>
            </w:pPr>
            <w:r>
              <w:t xml:space="preserve">&lt; 300  </w:t>
            </w:r>
          </w:p>
        </w:tc>
        <w:tc>
          <w:tcPr>
            <w:tcW w:w="992" w:type="dxa"/>
            <w:tcBorders>
              <w:top w:val="single" w:sz="4" w:space="0" w:color="auto"/>
            </w:tcBorders>
            <w:noWrap/>
            <w:hideMark/>
          </w:tcPr>
          <w:p w14:paraId="75274D48" w14:textId="2EBA6FD1" w:rsidR="00361D9A" w:rsidRDefault="00885FCE">
            <w:pPr>
              <w:pStyle w:val="P68B1DB1-Normal-pool-Table3"/>
              <w:rPr>
                <w:color w:val="000000"/>
              </w:rPr>
            </w:pPr>
            <w:r>
              <w:t xml:space="preserve">300 </w:t>
            </w:r>
          </w:p>
        </w:tc>
        <w:tc>
          <w:tcPr>
            <w:tcW w:w="1276" w:type="dxa"/>
            <w:tcBorders>
              <w:top w:val="single" w:sz="4" w:space="0" w:color="auto"/>
            </w:tcBorders>
            <w:noWrap/>
            <w:hideMark/>
          </w:tcPr>
          <w:p w14:paraId="7FCCB99D" w14:textId="295F9AB1" w:rsidR="00361D9A" w:rsidRDefault="00885FCE">
            <w:pPr>
              <w:pStyle w:val="P68B1DB1-Normal-pool-Table3"/>
              <w:rPr>
                <w:color w:val="000000"/>
              </w:rPr>
            </w:pPr>
            <w:r>
              <w:t xml:space="preserve">300 </w:t>
            </w:r>
          </w:p>
        </w:tc>
        <w:tc>
          <w:tcPr>
            <w:tcW w:w="1134" w:type="dxa"/>
            <w:tcBorders>
              <w:top w:val="single" w:sz="4" w:space="0" w:color="auto"/>
            </w:tcBorders>
            <w:noWrap/>
            <w:hideMark/>
          </w:tcPr>
          <w:p w14:paraId="6BF9C2FB" w14:textId="5A60B49E" w:rsidR="00361D9A" w:rsidRDefault="00885FCE">
            <w:pPr>
              <w:pStyle w:val="P68B1DB1-Normal-pool-Table3"/>
              <w:rPr>
                <w:color w:val="000000"/>
              </w:rPr>
            </w:pPr>
            <w:r>
              <w:t xml:space="preserve">Не указано </w:t>
            </w:r>
          </w:p>
        </w:tc>
        <w:tc>
          <w:tcPr>
            <w:tcW w:w="1134" w:type="dxa"/>
            <w:tcBorders>
              <w:top w:val="single" w:sz="4" w:space="0" w:color="auto"/>
            </w:tcBorders>
            <w:noWrap/>
            <w:hideMark/>
          </w:tcPr>
          <w:p w14:paraId="67B9F644" w14:textId="73633B6F" w:rsidR="00361D9A" w:rsidRDefault="00885FCE">
            <w:pPr>
              <w:pStyle w:val="P68B1DB1-Normal-pool-Table3"/>
              <w:rPr>
                <w:color w:val="000000"/>
              </w:rPr>
            </w:pPr>
            <w:r>
              <w:t xml:space="preserve">600 </w:t>
            </w:r>
          </w:p>
        </w:tc>
        <w:tc>
          <w:tcPr>
            <w:tcW w:w="1700" w:type="dxa"/>
            <w:tcBorders>
              <w:top w:val="single" w:sz="4" w:space="0" w:color="auto"/>
            </w:tcBorders>
            <w:hideMark/>
          </w:tcPr>
          <w:p w14:paraId="11658A0E" w14:textId="77777777" w:rsidR="00361D9A" w:rsidRDefault="00885FCE">
            <w:pPr>
              <w:pStyle w:val="P68B1DB1-Normal-pool-Table3"/>
              <w:rPr>
                <w:color w:val="000000"/>
              </w:rPr>
            </w:pPr>
            <w:r>
              <w:t>Неограниченное количество совещаний в течение одного года</w:t>
            </w:r>
          </w:p>
          <w:p w14:paraId="27DD7DF3" w14:textId="77777777" w:rsidR="00361D9A" w:rsidRDefault="00885FCE">
            <w:pPr>
              <w:pStyle w:val="P68B1DB1-Normal-pool-Table3"/>
              <w:rPr>
                <w:color w:val="000000"/>
              </w:rPr>
            </w:pPr>
            <w:r>
              <w:t>Может взиматься дополнительная плата</w:t>
            </w:r>
          </w:p>
          <w:p w14:paraId="64297BDF" w14:textId="1183DBE7" w:rsidR="00361D9A" w:rsidRDefault="00885FCE">
            <w:pPr>
              <w:pStyle w:val="P68B1DB1-Normal-pool-Table3"/>
              <w:rPr>
                <w:color w:val="000000"/>
              </w:rPr>
            </w:pPr>
            <w:r>
              <w:t>Требуется учетная запись Microsoft Teams Enterprise</w:t>
            </w:r>
          </w:p>
        </w:tc>
      </w:tr>
      <w:tr w:rsidR="00361D9A" w14:paraId="4BE8A682" w14:textId="77777777">
        <w:trPr>
          <w:trHeight w:val="57"/>
          <w:jc w:val="right"/>
        </w:trPr>
        <w:tc>
          <w:tcPr>
            <w:tcW w:w="1037" w:type="dxa"/>
            <w:vMerge/>
            <w:tcBorders>
              <w:top w:val="single" w:sz="4" w:space="0" w:color="auto"/>
              <w:bottom w:val="single" w:sz="4" w:space="0" w:color="auto"/>
            </w:tcBorders>
            <w:hideMark/>
          </w:tcPr>
          <w:p w14:paraId="2622B2A1" w14:textId="77777777" w:rsidR="00361D9A" w:rsidRDefault="00361D9A">
            <w:pPr>
              <w:pStyle w:val="Normal-pool-Table"/>
              <w:rPr>
                <w:color w:val="000000"/>
              </w:rPr>
            </w:pPr>
          </w:p>
        </w:tc>
        <w:tc>
          <w:tcPr>
            <w:tcW w:w="1127" w:type="dxa"/>
            <w:vMerge/>
            <w:tcBorders>
              <w:top w:val="single" w:sz="4" w:space="0" w:color="auto"/>
              <w:bottom w:val="single" w:sz="4" w:space="0" w:color="auto"/>
            </w:tcBorders>
            <w:hideMark/>
          </w:tcPr>
          <w:p w14:paraId="1C2BA262" w14:textId="77777777" w:rsidR="00361D9A" w:rsidRDefault="00361D9A">
            <w:pPr>
              <w:pStyle w:val="Normal-pool-Table"/>
              <w:rPr>
                <w:color w:val="000000"/>
              </w:rPr>
            </w:pPr>
          </w:p>
        </w:tc>
        <w:tc>
          <w:tcPr>
            <w:tcW w:w="1097" w:type="dxa"/>
            <w:tcBorders>
              <w:bottom w:val="single" w:sz="4" w:space="0" w:color="auto"/>
            </w:tcBorders>
            <w:noWrap/>
            <w:hideMark/>
          </w:tcPr>
          <w:p w14:paraId="51013F8D" w14:textId="0A97F454" w:rsidR="00361D9A" w:rsidRDefault="00885FCE">
            <w:pPr>
              <w:pStyle w:val="P68B1DB1-Normal-pool-Table3"/>
              <w:rPr>
                <w:color w:val="000000"/>
              </w:rPr>
            </w:pPr>
            <w:r>
              <w:t xml:space="preserve">1000 </w:t>
            </w:r>
          </w:p>
        </w:tc>
        <w:tc>
          <w:tcPr>
            <w:tcW w:w="992" w:type="dxa"/>
            <w:tcBorders>
              <w:bottom w:val="single" w:sz="4" w:space="0" w:color="auto"/>
            </w:tcBorders>
            <w:noWrap/>
            <w:hideMark/>
          </w:tcPr>
          <w:p w14:paraId="37EFD5AC" w14:textId="0284F1F7" w:rsidR="00361D9A" w:rsidRDefault="00885FCE">
            <w:pPr>
              <w:pStyle w:val="P68B1DB1-Normal-pool-Table3"/>
              <w:rPr>
                <w:color w:val="000000"/>
              </w:rPr>
            </w:pPr>
            <w:r>
              <w:t xml:space="preserve">1000 </w:t>
            </w:r>
          </w:p>
        </w:tc>
        <w:tc>
          <w:tcPr>
            <w:tcW w:w="1276" w:type="dxa"/>
            <w:tcBorders>
              <w:bottom w:val="single" w:sz="4" w:space="0" w:color="auto"/>
            </w:tcBorders>
            <w:noWrap/>
            <w:hideMark/>
          </w:tcPr>
          <w:p w14:paraId="06E4EBF9" w14:textId="00E58391" w:rsidR="00361D9A" w:rsidRDefault="00885FCE">
            <w:pPr>
              <w:pStyle w:val="P68B1DB1-Normal-pool-Table3"/>
              <w:rPr>
                <w:color w:val="000000"/>
              </w:rPr>
            </w:pPr>
            <w:r>
              <w:t xml:space="preserve">300 </w:t>
            </w:r>
          </w:p>
        </w:tc>
        <w:tc>
          <w:tcPr>
            <w:tcW w:w="1134" w:type="dxa"/>
            <w:tcBorders>
              <w:bottom w:val="single" w:sz="4" w:space="0" w:color="auto"/>
            </w:tcBorders>
            <w:noWrap/>
            <w:hideMark/>
          </w:tcPr>
          <w:p w14:paraId="173D63AF" w14:textId="2060B48B" w:rsidR="00361D9A" w:rsidRDefault="00885FCE">
            <w:pPr>
              <w:pStyle w:val="P68B1DB1-Normal-pool-Table3"/>
              <w:rPr>
                <w:color w:val="000000"/>
              </w:rPr>
            </w:pPr>
            <w:r>
              <w:t xml:space="preserve">Не указано </w:t>
            </w:r>
          </w:p>
        </w:tc>
        <w:tc>
          <w:tcPr>
            <w:tcW w:w="1134" w:type="dxa"/>
            <w:tcBorders>
              <w:bottom w:val="single" w:sz="4" w:space="0" w:color="auto"/>
            </w:tcBorders>
            <w:noWrap/>
            <w:hideMark/>
          </w:tcPr>
          <w:p w14:paraId="2925FB34" w14:textId="7A75E689" w:rsidR="00361D9A" w:rsidRDefault="00885FCE">
            <w:pPr>
              <w:pStyle w:val="P68B1DB1-Normal-pool-Table3"/>
              <w:rPr>
                <w:color w:val="000000"/>
              </w:rPr>
            </w:pPr>
            <w:r>
              <w:t xml:space="preserve">1300 </w:t>
            </w:r>
          </w:p>
        </w:tc>
        <w:tc>
          <w:tcPr>
            <w:tcW w:w="1700" w:type="dxa"/>
            <w:tcBorders>
              <w:bottom w:val="single" w:sz="4" w:space="0" w:color="auto"/>
            </w:tcBorders>
            <w:hideMark/>
          </w:tcPr>
          <w:p w14:paraId="3122D06F" w14:textId="3211492D" w:rsidR="00361D9A" w:rsidRDefault="00361D9A">
            <w:pPr>
              <w:pStyle w:val="Normal-pool-Table"/>
              <w:rPr>
                <w:color w:val="000000"/>
              </w:rPr>
            </w:pPr>
          </w:p>
        </w:tc>
      </w:tr>
      <w:tr w:rsidR="00361D9A" w14:paraId="0BACF96C" w14:textId="77777777">
        <w:trPr>
          <w:trHeight w:val="57"/>
          <w:jc w:val="right"/>
        </w:trPr>
        <w:tc>
          <w:tcPr>
            <w:tcW w:w="1037" w:type="dxa"/>
            <w:vMerge w:val="restart"/>
            <w:tcBorders>
              <w:top w:val="single" w:sz="4" w:space="0" w:color="auto"/>
            </w:tcBorders>
            <w:noWrap/>
            <w:hideMark/>
          </w:tcPr>
          <w:p w14:paraId="3748AD55" w14:textId="77777777" w:rsidR="00361D9A" w:rsidRDefault="00885FCE">
            <w:pPr>
              <w:pStyle w:val="P68B1DB1-Normal-pool-Table8"/>
            </w:pPr>
            <w:r>
              <w:t>Webex</w:t>
            </w:r>
          </w:p>
        </w:tc>
        <w:tc>
          <w:tcPr>
            <w:tcW w:w="1127" w:type="dxa"/>
            <w:vMerge w:val="restart"/>
            <w:tcBorders>
              <w:top w:val="single" w:sz="4" w:space="0" w:color="auto"/>
            </w:tcBorders>
            <w:hideMark/>
          </w:tcPr>
          <w:p w14:paraId="7A2E6320" w14:textId="41435417" w:rsidR="00361D9A" w:rsidRDefault="00885FCE">
            <w:pPr>
              <w:pStyle w:val="P68B1DB1-Normal-pool-Table3"/>
              <w:rPr>
                <w:color w:val="000000"/>
              </w:rPr>
            </w:pPr>
            <w:r>
              <w:t>Годовой безлимитный тариф</w:t>
            </w:r>
          </w:p>
        </w:tc>
        <w:tc>
          <w:tcPr>
            <w:tcW w:w="1097" w:type="dxa"/>
            <w:tcBorders>
              <w:top w:val="single" w:sz="4" w:space="0" w:color="auto"/>
            </w:tcBorders>
            <w:noWrap/>
            <w:hideMark/>
          </w:tcPr>
          <w:p w14:paraId="609DCD3E" w14:textId="21277ED8" w:rsidR="00361D9A" w:rsidRDefault="00885FCE">
            <w:pPr>
              <w:pStyle w:val="P68B1DB1-Normal-pool-Table3"/>
              <w:rPr>
                <w:color w:val="000000"/>
              </w:rPr>
            </w:pPr>
            <w:r>
              <w:t xml:space="preserve">200 </w:t>
            </w:r>
          </w:p>
        </w:tc>
        <w:tc>
          <w:tcPr>
            <w:tcW w:w="992" w:type="dxa"/>
            <w:tcBorders>
              <w:top w:val="single" w:sz="4" w:space="0" w:color="auto"/>
            </w:tcBorders>
            <w:noWrap/>
            <w:hideMark/>
          </w:tcPr>
          <w:p w14:paraId="20D79EDD" w14:textId="7749F09B" w:rsidR="00361D9A" w:rsidRDefault="00885FCE">
            <w:pPr>
              <w:pStyle w:val="P68B1DB1-Normal-pool-Table3"/>
              <w:rPr>
                <w:color w:val="000000"/>
              </w:rPr>
            </w:pPr>
            <w:r>
              <w:t xml:space="preserve">144 </w:t>
            </w:r>
          </w:p>
        </w:tc>
        <w:tc>
          <w:tcPr>
            <w:tcW w:w="1276" w:type="dxa"/>
            <w:tcBorders>
              <w:top w:val="single" w:sz="4" w:space="0" w:color="auto"/>
            </w:tcBorders>
            <w:noWrap/>
            <w:hideMark/>
          </w:tcPr>
          <w:p w14:paraId="0AF647E0" w14:textId="17B5CC9E" w:rsidR="00361D9A" w:rsidRDefault="00885FCE">
            <w:pPr>
              <w:pStyle w:val="P68B1DB1-Normal-pool-Table3"/>
              <w:rPr>
                <w:color w:val="000000"/>
              </w:rPr>
            </w:pPr>
            <w:r>
              <w:t xml:space="preserve">300 </w:t>
            </w:r>
          </w:p>
        </w:tc>
        <w:tc>
          <w:tcPr>
            <w:tcW w:w="1134" w:type="dxa"/>
            <w:tcBorders>
              <w:top w:val="single" w:sz="4" w:space="0" w:color="auto"/>
            </w:tcBorders>
            <w:noWrap/>
            <w:hideMark/>
          </w:tcPr>
          <w:p w14:paraId="253009B5" w14:textId="11D0FD28" w:rsidR="00361D9A" w:rsidRDefault="00885FCE">
            <w:pPr>
              <w:pStyle w:val="P68B1DB1-Normal-pool-Table3"/>
              <w:rPr>
                <w:color w:val="000000"/>
              </w:rPr>
            </w:pPr>
            <w:r>
              <w:t xml:space="preserve">Не указано </w:t>
            </w:r>
          </w:p>
        </w:tc>
        <w:tc>
          <w:tcPr>
            <w:tcW w:w="1134" w:type="dxa"/>
            <w:tcBorders>
              <w:top w:val="single" w:sz="4" w:space="0" w:color="auto"/>
            </w:tcBorders>
            <w:noWrap/>
            <w:hideMark/>
          </w:tcPr>
          <w:p w14:paraId="3EF13A79" w14:textId="6707F0ED" w:rsidR="00361D9A" w:rsidRDefault="00885FCE">
            <w:pPr>
              <w:pStyle w:val="P68B1DB1-Normal-pool-Table3"/>
              <w:rPr>
                <w:color w:val="000000"/>
              </w:rPr>
            </w:pPr>
            <w:r>
              <w:t xml:space="preserve">444 </w:t>
            </w:r>
          </w:p>
        </w:tc>
        <w:tc>
          <w:tcPr>
            <w:tcW w:w="1700" w:type="dxa"/>
            <w:tcBorders>
              <w:top w:val="single" w:sz="4" w:space="0" w:color="auto"/>
            </w:tcBorders>
            <w:hideMark/>
          </w:tcPr>
          <w:p w14:paraId="475D0601" w14:textId="4EFDDB83" w:rsidR="00361D9A" w:rsidRDefault="00885FCE">
            <w:pPr>
              <w:pStyle w:val="P68B1DB1-Normal-pool-Table3"/>
              <w:rPr>
                <w:color w:val="000000"/>
              </w:rPr>
            </w:pPr>
            <w:r>
              <w:t>Webex Meet: цена за пользователя</w:t>
            </w:r>
          </w:p>
        </w:tc>
      </w:tr>
      <w:tr w:rsidR="00361D9A" w14:paraId="4D13C125" w14:textId="77777777">
        <w:trPr>
          <w:trHeight w:val="57"/>
          <w:jc w:val="right"/>
        </w:trPr>
        <w:tc>
          <w:tcPr>
            <w:tcW w:w="1037" w:type="dxa"/>
            <w:vMerge/>
            <w:tcBorders>
              <w:bottom w:val="single" w:sz="12" w:space="0" w:color="auto"/>
            </w:tcBorders>
            <w:hideMark/>
          </w:tcPr>
          <w:p w14:paraId="05E94B80" w14:textId="77777777" w:rsidR="00361D9A" w:rsidRDefault="00361D9A">
            <w:pPr>
              <w:pStyle w:val="Normal-pool-Table"/>
              <w:rPr>
                <w:color w:val="000000"/>
              </w:rPr>
            </w:pPr>
          </w:p>
        </w:tc>
        <w:tc>
          <w:tcPr>
            <w:tcW w:w="1127" w:type="dxa"/>
            <w:vMerge/>
            <w:tcBorders>
              <w:bottom w:val="single" w:sz="12" w:space="0" w:color="auto"/>
            </w:tcBorders>
            <w:hideMark/>
          </w:tcPr>
          <w:p w14:paraId="620227DE" w14:textId="77777777" w:rsidR="00361D9A" w:rsidRDefault="00361D9A">
            <w:pPr>
              <w:pStyle w:val="Normal-pool-Table"/>
              <w:rPr>
                <w:color w:val="000000"/>
              </w:rPr>
            </w:pPr>
          </w:p>
        </w:tc>
        <w:tc>
          <w:tcPr>
            <w:tcW w:w="1097" w:type="dxa"/>
            <w:tcBorders>
              <w:bottom w:val="single" w:sz="12" w:space="0" w:color="auto"/>
            </w:tcBorders>
            <w:noWrap/>
            <w:hideMark/>
          </w:tcPr>
          <w:p w14:paraId="07C05C99" w14:textId="149B0B3C" w:rsidR="00361D9A" w:rsidRDefault="00885FCE">
            <w:pPr>
              <w:pStyle w:val="P68B1DB1-Normal-pool-Table3"/>
              <w:rPr>
                <w:color w:val="000000"/>
              </w:rPr>
            </w:pPr>
            <w:r>
              <w:t xml:space="preserve">1000 </w:t>
            </w:r>
          </w:p>
        </w:tc>
        <w:tc>
          <w:tcPr>
            <w:tcW w:w="992" w:type="dxa"/>
            <w:tcBorders>
              <w:bottom w:val="single" w:sz="12" w:space="0" w:color="auto"/>
            </w:tcBorders>
            <w:hideMark/>
          </w:tcPr>
          <w:p w14:paraId="79AD111A" w14:textId="7BDB034F" w:rsidR="00361D9A" w:rsidRDefault="00885FCE">
            <w:pPr>
              <w:pStyle w:val="P68B1DB1-Normal-pool-Table3"/>
              <w:rPr>
                <w:color w:val="000000"/>
              </w:rPr>
            </w:pPr>
            <w:r>
              <w:t xml:space="preserve">От 15 000 до 45 000  </w:t>
            </w:r>
          </w:p>
        </w:tc>
        <w:tc>
          <w:tcPr>
            <w:tcW w:w="1276" w:type="dxa"/>
            <w:tcBorders>
              <w:bottom w:val="single" w:sz="12" w:space="0" w:color="auto"/>
            </w:tcBorders>
            <w:noWrap/>
            <w:hideMark/>
          </w:tcPr>
          <w:p w14:paraId="7F760322" w14:textId="610BBE91" w:rsidR="00361D9A" w:rsidRDefault="00885FCE">
            <w:pPr>
              <w:pStyle w:val="P68B1DB1-Normal-pool-Table3"/>
              <w:rPr>
                <w:color w:val="000000"/>
              </w:rPr>
            </w:pPr>
            <w:r>
              <w:t xml:space="preserve">300 </w:t>
            </w:r>
          </w:p>
        </w:tc>
        <w:tc>
          <w:tcPr>
            <w:tcW w:w="1134" w:type="dxa"/>
            <w:tcBorders>
              <w:bottom w:val="single" w:sz="12" w:space="0" w:color="auto"/>
            </w:tcBorders>
            <w:noWrap/>
            <w:hideMark/>
          </w:tcPr>
          <w:p w14:paraId="6D6336BF" w14:textId="3B0AEA86" w:rsidR="00361D9A" w:rsidRDefault="00885FCE">
            <w:pPr>
              <w:pStyle w:val="P68B1DB1-Normal-pool-Table3"/>
              <w:rPr>
                <w:color w:val="000000"/>
              </w:rPr>
            </w:pPr>
            <w:r>
              <w:t xml:space="preserve">Не указано </w:t>
            </w:r>
          </w:p>
        </w:tc>
        <w:tc>
          <w:tcPr>
            <w:tcW w:w="1134" w:type="dxa"/>
            <w:tcBorders>
              <w:bottom w:val="single" w:sz="12" w:space="0" w:color="auto"/>
            </w:tcBorders>
            <w:hideMark/>
          </w:tcPr>
          <w:p w14:paraId="12381FEC" w14:textId="1C1ADBEC" w:rsidR="00361D9A" w:rsidRDefault="00885FCE">
            <w:pPr>
              <w:pStyle w:val="P68B1DB1-Normal-pool-Table3"/>
              <w:rPr>
                <w:color w:val="000000"/>
              </w:rPr>
            </w:pPr>
            <w:r>
              <w:t xml:space="preserve">От 15 600 до </w:t>
            </w:r>
            <w:r>
              <w:br/>
              <w:t xml:space="preserve">&gt; 45 600 </w:t>
            </w:r>
          </w:p>
        </w:tc>
        <w:tc>
          <w:tcPr>
            <w:tcW w:w="1700" w:type="dxa"/>
            <w:tcBorders>
              <w:bottom w:val="single" w:sz="12" w:space="0" w:color="auto"/>
            </w:tcBorders>
            <w:hideMark/>
          </w:tcPr>
          <w:p w14:paraId="0E2D4ED2" w14:textId="4D73A7B4" w:rsidR="00361D9A" w:rsidRDefault="00885FCE">
            <w:pPr>
              <w:pStyle w:val="P68B1DB1-Normal-pool-Table3"/>
              <w:rPr>
                <w:color w:val="000000"/>
              </w:rPr>
            </w:pPr>
            <w:r>
              <w:t>Webex Enterprise | цена для крупных предприятий &gt; 95 000 (неофициальная цена)</w:t>
            </w:r>
          </w:p>
        </w:tc>
      </w:tr>
    </w:tbl>
    <w:p w14:paraId="59A51EAA" w14:textId="0FE6CB24" w:rsidR="00361D9A" w:rsidRDefault="00885FCE">
      <w:pPr>
        <w:pStyle w:val="Normalnumber"/>
        <w:tabs>
          <w:tab w:val="clear" w:pos="1247"/>
          <w:tab w:val="clear" w:pos="1814"/>
          <w:tab w:val="clear" w:pos="2381"/>
          <w:tab w:val="clear" w:pos="2948"/>
          <w:tab w:val="clear" w:pos="3515"/>
        </w:tabs>
        <w:spacing w:before="240"/>
        <w:ind w:left="1247"/>
      </w:pPr>
      <w:r>
        <w:t>Анализ подтвердил, что годовые лицензии для двух платформ — Zoom и Microsoft Teams — можно приобрести по весьма приемлемым ценам (2350 и 1300 долларов США соответственно) в случае проведения совещаний с участием до 1000 человек с организацией синхронного перевода на все шесть официальных языков на базе искусственного интеллекта. Для сравнения: стандартная стоимость живого устного перевода составляет приблизительно 150 000 долларов США в рамках очного совещания и 130 000 долларов США в рамках онлайн-совещани</w:t>
      </w:r>
      <w:r>
        <w:t xml:space="preserve">я. </w:t>
      </w:r>
    </w:p>
    <w:p w14:paraId="2E965745" w14:textId="316964DE" w:rsidR="00361D9A" w:rsidRDefault="00885FCE">
      <w:pPr>
        <w:pStyle w:val="Normalnumber"/>
        <w:tabs>
          <w:tab w:val="clear" w:pos="1247"/>
          <w:tab w:val="clear" w:pos="1814"/>
          <w:tab w:val="clear" w:pos="2381"/>
          <w:tab w:val="clear" w:pos="2948"/>
          <w:tab w:val="clear" w:pos="3515"/>
        </w:tabs>
        <w:ind w:left="1247"/>
      </w:pPr>
      <w:r>
        <w:t>Решающим фактором по-прежнему остается качество. Наиболее тщательная оценка, предусмотренная системой Организации Объединенных Наций, была проведена Всемирной организацией здравоохранения. По ее результатам был сделан вывод о том, что данная технология пока не подходит для проведения совещаний с участием внешних заинтересованных сторон. В случае, если речь идет о переговорах, во время которых крайне важно точно передавать формулировки, изложенные в договорах, позиции стран и техническую терминологию, устный</w:t>
      </w:r>
      <w:r>
        <w:t xml:space="preserve"> перевод на базе искусственного интеллекта в настоящее время не может заменить переводчиков-людей.</w:t>
      </w:r>
    </w:p>
    <w:p w14:paraId="589EC10A" w14:textId="5B1815F4" w:rsidR="00361D9A" w:rsidRDefault="00885FCE">
      <w:pPr>
        <w:pStyle w:val="Normalnumber"/>
        <w:tabs>
          <w:tab w:val="clear" w:pos="1247"/>
          <w:tab w:val="clear" w:pos="1814"/>
          <w:tab w:val="clear" w:pos="2381"/>
          <w:tab w:val="clear" w:pos="2948"/>
          <w:tab w:val="clear" w:pos="3515"/>
        </w:tabs>
        <w:ind w:left="1247"/>
      </w:pPr>
      <w:r>
        <w:t>Исследование показало, что все три платформы подпадают под определенные ограничения в ряде стран, включая Кубу, Корейскую Народно-Демократическую Республику, Исламскую Республику Иран, Судан и Сирийскую Арабскую Республику. Для проведения официального онлайн-заседания на базе одной из этих платформ в указанных странах потребуются альтернативные решения (например, организация телефонных мостов или получение специальных лицензий) в целях обеспечения равноправного и инклюзивного участия.</w:t>
      </w:r>
    </w:p>
    <w:p w14:paraId="5D6087B4" w14:textId="0B1FD2A1" w:rsidR="00361D9A" w:rsidRDefault="00885FCE">
      <w:pPr>
        <w:pStyle w:val="Normalnumber"/>
        <w:tabs>
          <w:tab w:val="clear" w:pos="1247"/>
          <w:tab w:val="clear" w:pos="1814"/>
          <w:tab w:val="clear" w:pos="2381"/>
          <w:tab w:val="clear" w:pos="2948"/>
          <w:tab w:val="clear" w:pos="3515"/>
        </w:tabs>
        <w:ind w:left="1247"/>
      </w:pPr>
      <w:r>
        <w:t xml:space="preserve">В связи с этим предлагается периодически проводить аудит данных платформ по мере совершенствования технологий, принимая во внимание тот факт, что Секретариат уже </w:t>
      </w:r>
      <w:r>
        <w:lastRenderedPageBreak/>
        <w:t>неофициально использует искусственный интеллект для подготовки стенограмм, сводок и поиска документов (см. также UNEP/OzL.Pro.WG.1/48/4, пункт 41).</w:t>
      </w:r>
    </w:p>
    <w:p w14:paraId="5B42F3E2" w14:textId="4D832242" w:rsidR="00361D9A" w:rsidRDefault="00885FCE">
      <w:pPr>
        <w:pStyle w:val="CH3"/>
      </w:pPr>
      <w:r>
        <w:tab/>
        <w:t>2.</w:t>
      </w:r>
      <w:r>
        <w:tab/>
        <w:t>Использование искусственного интеллекта для перевода документов совещаний</w:t>
      </w:r>
    </w:p>
    <w:p w14:paraId="329309BB" w14:textId="76CA14FE" w:rsidR="00361D9A" w:rsidRDefault="00885FCE">
      <w:pPr>
        <w:pStyle w:val="Normalnumber"/>
        <w:tabs>
          <w:tab w:val="clear" w:pos="1247"/>
          <w:tab w:val="clear" w:pos="1814"/>
          <w:tab w:val="clear" w:pos="2381"/>
          <w:tab w:val="clear" w:pos="2948"/>
          <w:tab w:val="clear" w:pos="3515"/>
        </w:tabs>
        <w:ind w:left="1247"/>
      </w:pPr>
      <w:r>
        <w:t xml:space="preserve">Секретариат изучил коммерческий инструмент перевода на базе искусственного интеллекта DeepL, который поддерживает все шесть официальных языков Организации Объединенных Наций и предлагается в рамках тарифных планов. Полученная информация приведена в обобщенном виде в таблице 5 с учетом данных о количестве символов в документации, подготовленной для двух последних Совещаний Сторон. </w:t>
      </w:r>
    </w:p>
    <w:p w14:paraId="21657605" w14:textId="66C3283B" w:rsidR="00361D9A" w:rsidRDefault="00885FCE">
      <w:pPr>
        <w:pStyle w:val="Titletable"/>
        <w:spacing w:before="240"/>
      </w:pPr>
      <w:r>
        <w:rPr>
          <w:b w:val="0"/>
        </w:rPr>
        <w:t>Таблица 5</w:t>
      </w:r>
      <w:r>
        <w:t xml:space="preserve"> </w:t>
      </w:r>
      <w:r>
        <w:br/>
        <w:t>Сравнение тарифных планов на использование DeepL для перевода документов</w:t>
      </w:r>
    </w:p>
    <w:tbl>
      <w:tblPr>
        <w:tblW w:w="8307" w:type="dxa"/>
        <w:jc w:val="right"/>
        <w:tblLayout w:type="fixed"/>
        <w:tblLook w:val="04A0" w:firstRow="1" w:lastRow="0" w:firstColumn="1" w:lastColumn="0" w:noHBand="0" w:noVBand="1"/>
      </w:tblPr>
      <w:tblGrid>
        <w:gridCol w:w="983"/>
        <w:gridCol w:w="1144"/>
        <w:gridCol w:w="1559"/>
        <w:gridCol w:w="1276"/>
        <w:gridCol w:w="1504"/>
        <w:gridCol w:w="1841"/>
      </w:tblGrid>
      <w:tr w:rsidR="00361D9A" w14:paraId="7992B9F5" w14:textId="77777777">
        <w:trPr>
          <w:trHeight w:val="290"/>
          <w:jc w:val="right"/>
        </w:trPr>
        <w:tc>
          <w:tcPr>
            <w:tcW w:w="983" w:type="dxa"/>
            <w:vMerge w:val="restart"/>
            <w:tcBorders>
              <w:top w:val="single" w:sz="4" w:space="0" w:color="auto"/>
            </w:tcBorders>
            <w:noWrap/>
            <w:vAlign w:val="bottom"/>
            <w:hideMark/>
          </w:tcPr>
          <w:p w14:paraId="1D44C538" w14:textId="6FADDE57" w:rsidR="00361D9A" w:rsidRDefault="00885FCE">
            <w:pPr>
              <w:pStyle w:val="P68B1DB1-Normal-pool-Table1"/>
            </w:pPr>
            <w:r>
              <w:t>Тарифный план DeepL</w:t>
            </w:r>
          </w:p>
        </w:tc>
        <w:tc>
          <w:tcPr>
            <w:tcW w:w="1144" w:type="dxa"/>
            <w:vMerge w:val="restart"/>
            <w:tcBorders>
              <w:top w:val="single" w:sz="4" w:space="0" w:color="auto"/>
            </w:tcBorders>
            <w:noWrap/>
            <w:vAlign w:val="bottom"/>
            <w:hideMark/>
          </w:tcPr>
          <w:p w14:paraId="724EBB19" w14:textId="7C37B3A0" w:rsidR="00361D9A" w:rsidRDefault="00885FCE">
            <w:pPr>
              <w:pStyle w:val="P68B1DB1-Normal-pool-Table1"/>
              <w:jc w:val="right"/>
            </w:pPr>
            <w:r>
              <w:t>Годовая плата (долл. США)</w:t>
            </w:r>
          </w:p>
        </w:tc>
        <w:tc>
          <w:tcPr>
            <w:tcW w:w="1559" w:type="dxa"/>
            <w:vMerge w:val="restart"/>
            <w:tcBorders>
              <w:top w:val="single" w:sz="4" w:space="0" w:color="auto"/>
            </w:tcBorders>
            <w:vAlign w:val="bottom"/>
            <w:hideMark/>
          </w:tcPr>
          <w:p w14:paraId="516CB268" w14:textId="54DA0129" w:rsidR="00361D9A" w:rsidRDefault="00885FCE">
            <w:pPr>
              <w:pStyle w:val="P68B1DB1-Normal-pool-Table1"/>
              <w:jc w:val="right"/>
            </w:pPr>
            <w:r>
              <w:t>Лимит (кол-во символов в месяц)</w:t>
            </w:r>
          </w:p>
        </w:tc>
        <w:tc>
          <w:tcPr>
            <w:tcW w:w="1276" w:type="dxa"/>
            <w:vMerge w:val="restart"/>
            <w:tcBorders>
              <w:top w:val="single" w:sz="4" w:space="0" w:color="auto"/>
            </w:tcBorders>
            <w:vAlign w:val="bottom"/>
            <w:hideMark/>
          </w:tcPr>
          <w:p w14:paraId="5205113A" w14:textId="27945635" w:rsidR="00361D9A" w:rsidRDefault="00885FCE">
            <w:pPr>
              <w:pStyle w:val="P68B1DB1-Normal-pool-Table1"/>
              <w:jc w:val="right"/>
            </w:pPr>
            <w:r>
              <w:t>Лимит (кол-во файлов в месяц)</w:t>
            </w:r>
          </w:p>
        </w:tc>
        <w:tc>
          <w:tcPr>
            <w:tcW w:w="3345" w:type="dxa"/>
            <w:gridSpan w:val="2"/>
            <w:tcBorders>
              <w:top w:val="single" w:sz="4" w:space="0" w:color="auto"/>
              <w:bottom w:val="single" w:sz="4" w:space="0" w:color="auto"/>
            </w:tcBorders>
            <w:vAlign w:val="bottom"/>
            <w:hideMark/>
          </w:tcPr>
          <w:p w14:paraId="2772C8EB" w14:textId="77777777" w:rsidR="00361D9A" w:rsidRDefault="00885FCE">
            <w:pPr>
              <w:pStyle w:val="P68B1DB1-Normal-pool-Table1"/>
              <w:jc w:val="center"/>
            </w:pPr>
            <w:r>
              <w:t>Количество символов</w:t>
            </w:r>
          </w:p>
        </w:tc>
      </w:tr>
      <w:tr w:rsidR="00361D9A" w14:paraId="49BDCA11" w14:textId="77777777">
        <w:trPr>
          <w:trHeight w:val="290"/>
          <w:jc w:val="right"/>
        </w:trPr>
        <w:tc>
          <w:tcPr>
            <w:tcW w:w="983" w:type="dxa"/>
            <w:vMerge/>
            <w:tcBorders>
              <w:bottom w:val="single" w:sz="12" w:space="0" w:color="auto"/>
            </w:tcBorders>
            <w:vAlign w:val="bottom"/>
            <w:hideMark/>
          </w:tcPr>
          <w:p w14:paraId="0CF4DD00" w14:textId="77777777" w:rsidR="00361D9A" w:rsidRDefault="00361D9A">
            <w:pPr>
              <w:pStyle w:val="Normal-pool-Table"/>
              <w:rPr>
                <w:i/>
              </w:rPr>
            </w:pPr>
          </w:p>
        </w:tc>
        <w:tc>
          <w:tcPr>
            <w:tcW w:w="1144" w:type="dxa"/>
            <w:vMerge/>
            <w:tcBorders>
              <w:bottom w:val="single" w:sz="12" w:space="0" w:color="auto"/>
            </w:tcBorders>
            <w:vAlign w:val="bottom"/>
            <w:hideMark/>
          </w:tcPr>
          <w:p w14:paraId="28CEF92E" w14:textId="77777777" w:rsidR="00361D9A" w:rsidRDefault="00361D9A">
            <w:pPr>
              <w:pStyle w:val="Normal-pool-Table"/>
              <w:jc w:val="right"/>
              <w:rPr>
                <w:i/>
              </w:rPr>
            </w:pPr>
          </w:p>
        </w:tc>
        <w:tc>
          <w:tcPr>
            <w:tcW w:w="1559" w:type="dxa"/>
            <w:vMerge/>
            <w:tcBorders>
              <w:bottom w:val="single" w:sz="12" w:space="0" w:color="auto"/>
            </w:tcBorders>
            <w:vAlign w:val="bottom"/>
            <w:hideMark/>
          </w:tcPr>
          <w:p w14:paraId="273A2BAF" w14:textId="77777777" w:rsidR="00361D9A" w:rsidRDefault="00361D9A">
            <w:pPr>
              <w:pStyle w:val="Normal-pool-Table"/>
              <w:jc w:val="right"/>
              <w:rPr>
                <w:i/>
              </w:rPr>
            </w:pPr>
          </w:p>
        </w:tc>
        <w:tc>
          <w:tcPr>
            <w:tcW w:w="1276" w:type="dxa"/>
            <w:vMerge/>
            <w:tcBorders>
              <w:bottom w:val="single" w:sz="12" w:space="0" w:color="auto"/>
            </w:tcBorders>
            <w:vAlign w:val="bottom"/>
            <w:hideMark/>
          </w:tcPr>
          <w:p w14:paraId="7DAAA778" w14:textId="77777777" w:rsidR="00361D9A" w:rsidRDefault="00361D9A">
            <w:pPr>
              <w:pStyle w:val="Normal-pool-Table"/>
              <w:jc w:val="right"/>
              <w:rPr>
                <w:i/>
              </w:rPr>
            </w:pPr>
          </w:p>
        </w:tc>
        <w:tc>
          <w:tcPr>
            <w:tcW w:w="1504" w:type="dxa"/>
            <w:tcBorders>
              <w:top w:val="single" w:sz="4" w:space="0" w:color="auto"/>
              <w:bottom w:val="single" w:sz="12" w:space="0" w:color="auto"/>
            </w:tcBorders>
            <w:vAlign w:val="bottom"/>
            <w:hideMark/>
          </w:tcPr>
          <w:p w14:paraId="16E7B110" w14:textId="77777777" w:rsidR="00361D9A" w:rsidRDefault="00885FCE">
            <w:pPr>
              <w:pStyle w:val="P68B1DB1-Normal-pool-Table1"/>
              <w:jc w:val="right"/>
            </w:pPr>
            <w:r>
              <w:t xml:space="preserve">РГОС-48 </w:t>
            </w:r>
          </w:p>
        </w:tc>
        <w:tc>
          <w:tcPr>
            <w:tcW w:w="1841" w:type="dxa"/>
            <w:tcBorders>
              <w:top w:val="single" w:sz="4" w:space="0" w:color="auto"/>
              <w:bottom w:val="single" w:sz="12" w:space="0" w:color="auto"/>
            </w:tcBorders>
            <w:vAlign w:val="bottom"/>
            <w:hideMark/>
          </w:tcPr>
          <w:p w14:paraId="51808010" w14:textId="77777777" w:rsidR="00361D9A" w:rsidRDefault="00885FCE">
            <w:pPr>
              <w:pStyle w:val="P68B1DB1-Normal-pool-Table1"/>
              <w:jc w:val="right"/>
            </w:pPr>
            <w:r>
              <w:t>СС-37</w:t>
            </w:r>
          </w:p>
        </w:tc>
      </w:tr>
      <w:tr w:rsidR="00361D9A" w14:paraId="4BF4A3B2" w14:textId="77777777">
        <w:trPr>
          <w:trHeight w:val="290"/>
          <w:jc w:val="right"/>
        </w:trPr>
        <w:tc>
          <w:tcPr>
            <w:tcW w:w="983" w:type="dxa"/>
            <w:tcBorders>
              <w:top w:val="single" w:sz="12" w:space="0" w:color="auto"/>
            </w:tcBorders>
            <w:noWrap/>
            <w:vAlign w:val="bottom"/>
            <w:hideMark/>
          </w:tcPr>
          <w:p w14:paraId="10FDC95E" w14:textId="77777777" w:rsidR="00361D9A" w:rsidRDefault="00885FCE">
            <w:pPr>
              <w:pStyle w:val="P68B1DB1-Normal-pool-Table3"/>
              <w:rPr>
                <w:color w:val="000000"/>
              </w:rPr>
            </w:pPr>
            <w:r>
              <w:t>Индивидуальный</w:t>
            </w:r>
          </w:p>
        </w:tc>
        <w:tc>
          <w:tcPr>
            <w:tcW w:w="1144" w:type="dxa"/>
            <w:tcBorders>
              <w:top w:val="single" w:sz="12" w:space="0" w:color="auto"/>
            </w:tcBorders>
            <w:noWrap/>
            <w:vAlign w:val="bottom"/>
            <w:hideMark/>
          </w:tcPr>
          <w:p w14:paraId="7322D0CB" w14:textId="77777777" w:rsidR="00361D9A" w:rsidRDefault="00885FCE">
            <w:pPr>
              <w:pStyle w:val="P68B1DB1-Normal-pool-Table3"/>
              <w:jc w:val="right"/>
              <w:rPr>
                <w:color w:val="000000"/>
              </w:rPr>
            </w:pPr>
            <w:r>
              <w:t>105</w:t>
            </w:r>
          </w:p>
        </w:tc>
        <w:tc>
          <w:tcPr>
            <w:tcW w:w="1559" w:type="dxa"/>
            <w:tcBorders>
              <w:top w:val="single" w:sz="12" w:space="0" w:color="auto"/>
            </w:tcBorders>
            <w:noWrap/>
            <w:vAlign w:val="bottom"/>
            <w:hideMark/>
          </w:tcPr>
          <w:p w14:paraId="19B0FE0D" w14:textId="75678658" w:rsidR="00361D9A" w:rsidRDefault="00885FCE">
            <w:pPr>
              <w:pStyle w:val="P68B1DB1-Normal-pool-Table3"/>
              <w:jc w:val="right"/>
              <w:rPr>
                <w:color w:val="000000"/>
              </w:rPr>
            </w:pPr>
            <w:r>
              <w:t xml:space="preserve">300 000 </w:t>
            </w:r>
          </w:p>
        </w:tc>
        <w:tc>
          <w:tcPr>
            <w:tcW w:w="1276" w:type="dxa"/>
            <w:tcBorders>
              <w:top w:val="single" w:sz="12" w:space="0" w:color="auto"/>
            </w:tcBorders>
            <w:noWrap/>
            <w:vAlign w:val="bottom"/>
            <w:hideMark/>
          </w:tcPr>
          <w:p w14:paraId="360EE767" w14:textId="77777777" w:rsidR="00361D9A" w:rsidRDefault="00885FCE">
            <w:pPr>
              <w:pStyle w:val="P68B1DB1-Normal-pool-Table3"/>
              <w:jc w:val="right"/>
              <w:rPr>
                <w:color w:val="000000"/>
              </w:rPr>
            </w:pPr>
            <w:r>
              <w:t>3</w:t>
            </w:r>
          </w:p>
        </w:tc>
        <w:tc>
          <w:tcPr>
            <w:tcW w:w="1504" w:type="dxa"/>
            <w:tcBorders>
              <w:top w:val="single" w:sz="12" w:space="0" w:color="auto"/>
            </w:tcBorders>
            <w:noWrap/>
            <w:vAlign w:val="center"/>
            <w:hideMark/>
          </w:tcPr>
          <w:p w14:paraId="74D03A79" w14:textId="7FF3036C" w:rsidR="00361D9A" w:rsidRDefault="00885FCE">
            <w:pPr>
              <w:pStyle w:val="P68B1DB1-Normal-pool-Table3"/>
              <w:jc w:val="right"/>
              <w:rPr>
                <w:color w:val="000000"/>
              </w:rPr>
            </w:pPr>
            <w:r>
              <w:t>Неприменимо</w:t>
            </w:r>
          </w:p>
        </w:tc>
        <w:tc>
          <w:tcPr>
            <w:tcW w:w="1841" w:type="dxa"/>
            <w:tcBorders>
              <w:top w:val="single" w:sz="12" w:space="0" w:color="auto"/>
            </w:tcBorders>
            <w:noWrap/>
            <w:vAlign w:val="center"/>
            <w:hideMark/>
          </w:tcPr>
          <w:p w14:paraId="73602EE9" w14:textId="28D741A5" w:rsidR="00361D9A" w:rsidRDefault="00885FCE">
            <w:pPr>
              <w:pStyle w:val="P68B1DB1-Normal-pool-Table3"/>
              <w:jc w:val="right"/>
              <w:rPr>
                <w:color w:val="000000"/>
              </w:rPr>
            </w:pPr>
            <w:r>
              <w:t>Неприменимо</w:t>
            </w:r>
          </w:p>
        </w:tc>
      </w:tr>
      <w:tr w:rsidR="00361D9A" w14:paraId="5410EFB0" w14:textId="77777777">
        <w:trPr>
          <w:trHeight w:val="290"/>
          <w:jc w:val="right"/>
        </w:trPr>
        <w:tc>
          <w:tcPr>
            <w:tcW w:w="983" w:type="dxa"/>
            <w:noWrap/>
            <w:vAlign w:val="bottom"/>
            <w:hideMark/>
          </w:tcPr>
          <w:p w14:paraId="0338B1AB" w14:textId="77777777" w:rsidR="00361D9A" w:rsidRDefault="00885FCE">
            <w:pPr>
              <w:pStyle w:val="P68B1DB1-Normal-pool-Table3"/>
              <w:rPr>
                <w:color w:val="000000"/>
              </w:rPr>
            </w:pPr>
            <w:r>
              <w:t>Коллективный</w:t>
            </w:r>
          </w:p>
        </w:tc>
        <w:tc>
          <w:tcPr>
            <w:tcW w:w="1144" w:type="dxa"/>
            <w:noWrap/>
            <w:vAlign w:val="bottom"/>
            <w:hideMark/>
          </w:tcPr>
          <w:p w14:paraId="3104A3F8" w14:textId="77777777" w:rsidR="00361D9A" w:rsidRDefault="00885FCE">
            <w:pPr>
              <w:pStyle w:val="P68B1DB1-Normal-pool-Table3"/>
              <w:jc w:val="right"/>
              <w:rPr>
                <w:color w:val="000000"/>
              </w:rPr>
            </w:pPr>
            <w:r>
              <w:t>345</w:t>
            </w:r>
          </w:p>
        </w:tc>
        <w:tc>
          <w:tcPr>
            <w:tcW w:w="1559" w:type="dxa"/>
            <w:noWrap/>
            <w:vAlign w:val="bottom"/>
            <w:hideMark/>
          </w:tcPr>
          <w:p w14:paraId="1A133970" w14:textId="47F75D90" w:rsidR="00361D9A" w:rsidRDefault="00885FCE">
            <w:pPr>
              <w:pStyle w:val="P68B1DB1-Normal-pool-Table3"/>
              <w:jc w:val="right"/>
              <w:rPr>
                <w:color w:val="000000"/>
              </w:rPr>
            </w:pPr>
            <w:r>
              <w:t xml:space="preserve">1 000 000 </w:t>
            </w:r>
          </w:p>
        </w:tc>
        <w:tc>
          <w:tcPr>
            <w:tcW w:w="1276" w:type="dxa"/>
            <w:noWrap/>
            <w:vAlign w:val="bottom"/>
            <w:hideMark/>
          </w:tcPr>
          <w:p w14:paraId="6E8F4E15" w14:textId="77777777" w:rsidR="00361D9A" w:rsidRDefault="00885FCE">
            <w:pPr>
              <w:pStyle w:val="P68B1DB1-Normal-pool-Table3"/>
              <w:jc w:val="right"/>
              <w:rPr>
                <w:color w:val="000000"/>
              </w:rPr>
            </w:pPr>
            <w:r>
              <w:t>20</w:t>
            </w:r>
          </w:p>
        </w:tc>
        <w:tc>
          <w:tcPr>
            <w:tcW w:w="1504" w:type="dxa"/>
            <w:noWrap/>
            <w:vAlign w:val="bottom"/>
            <w:hideMark/>
          </w:tcPr>
          <w:p w14:paraId="0AB37803" w14:textId="28E94470" w:rsidR="00361D9A" w:rsidRDefault="00885FCE">
            <w:pPr>
              <w:pStyle w:val="P68B1DB1-Normal-pool-Table3"/>
              <w:jc w:val="right"/>
              <w:rPr>
                <w:color w:val="000000"/>
              </w:rPr>
            </w:pPr>
            <w:r>
              <w:t>598 290</w:t>
            </w:r>
          </w:p>
        </w:tc>
        <w:tc>
          <w:tcPr>
            <w:tcW w:w="1841" w:type="dxa"/>
            <w:noWrap/>
            <w:vAlign w:val="bottom"/>
            <w:hideMark/>
          </w:tcPr>
          <w:p w14:paraId="220FD2A6" w14:textId="44D0FB2E" w:rsidR="00361D9A" w:rsidRDefault="00885FCE">
            <w:pPr>
              <w:pStyle w:val="P68B1DB1-Normal-pool-Table3"/>
              <w:jc w:val="right"/>
              <w:rPr>
                <w:color w:val="000000"/>
              </w:rPr>
            </w:pPr>
            <w:r>
              <w:t>734 580</w:t>
            </w:r>
          </w:p>
        </w:tc>
      </w:tr>
      <w:tr w:rsidR="00361D9A" w14:paraId="7365876E" w14:textId="77777777">
        <w:trPr>
          <w:trHeight w:val="290"/>
          <w:jc w:val="right"/>
        </w:trPr>
        <w:tc>
          <w:tcPr>
            <w:tcW w:w="983" w:type="dxa"/>
            <w:tcBorders>
              <w:bottom w:val="single" w:sz="12" w:space="0" w:color="auto"/>
            </w:tcBorders>
            <w:noWrap/>
            <w:vAlign w:val="bottom"/>
            <w:hideMark/>
          </w:tcPr>
          <w:p w14:paraId="28C8146C" w14:textId="77777777" w:rsidR="00361D9A" w:rsidRDefault="00885FCE">
            <w:pPr>
              <w:pStyle w:val="P68B1DB1-Normal-pool-Table3"/>
              <w:rPr>
                <w:color w:val="000000"/>
              </w:rPr>
            </w:pPr>
            <w:r>
              <w:t>Для бизнеса</w:t>
            </w:r>
          </w:p>
        </w:tc>
        <w:tc>
          <w:tcPr>
            <w:tcW w:w="1144" w:type="dxa"/>
            <w:tcBorders>
              <w:bottom w:val="single" w:sz="12" w:space="0" w:color="auto"/>
            </w:tcBorders>
            <w:noWrap/>
            <w:vAlign w:val="bottom"/>
            <w:hideMark/>
          </w:tcPr>
          <w:p w14:paraId="1EC432C7" w14:textId="77777777" w:rsidR="00361D9A" w:rsidRDefault="00885FCE">
            <w:pPr>
              <w:pStyle w:val="P68B1DB1-Normal-pool-Table3"/>
              <w:jc w:val="right"/>
              <w:rPr>
                <w:color w:val="000000"/>
              </w:rPr>
            </w:pPr>
            <w:r>
              <w:t>689</w:t>
            </w:r>
          </w:p>
        </w:tc>
        <w:tc>
          <w:tcPr>
            <w:tcW w:w="1559" w:type="dxa"/>
            <w:tcBorders>
              <w:bottom w:val="single" w:sz="12" w:space="0" w:color="auto"/>
            </w:tcBorders>
            <w:noWrap/>
            <w:vAlign w:val="bottom"/>
            <w:hideMark/>
          </w:tcPr>
          <w:p w14:paraId="67DCB0F7" w14:textId="6F019C10" w:rsidR="00361D9A" w:rsidRDefault="00885FCE">
            <w:pPr>
              <w:pStyle w:val="P68B1DB1-Normal-pool-Table3"/>
              <w:jc w:val="right"/>
              <w:rPr>
                <w:color w:val="000000"/>
              </w:rPr>
            </w:pPr>
            <w:r>
              <w:t xml:space="preserve">Без лимита </w:t>
            </w:r>
          </w:p>
        </w:tc>
        <w:tc>
          <w:tcPr>
            <w:tcW w:w="1276" w:type="dxa"/>
            <w:tcBorders>
              <w:bottom w:val="single" w:sz="12" w:space="0" w:color="auto"/>
            </w:tcBorders>
            <w:noWrap/>
            <w:vAlign w:val="bottom"/>
            <w:hideMark/>
          </w:tcPr>
          <w:p w14:paraId="187DE82C" w14:textId="77777777" w:rsidR="00361D9A" w:rsidRDefault="00885FCE">
            <w:pPr>
              <w:pStyle w:val="P68B1DB1-Normal-pool-Table3"/>
              <w:jc w:val="right"/>
              <w:rPr>
                <w:color w:val="000000"/>
              </w:rPr>
            </w:pPr>
            <w:r>
              <w:t>100</w:t>
            </w:r>
          </w:p>
        </w:tc>
        <w:tc>
          <w:tcPr>
            <w:tcW w:w="1504" w:type="dxa"/>
            <w:tcBorders>
              <w:bottom w:val="single" w:sz="12" w:space="0" w:color="auto"/>
            </w:tcBorders>
            <w:noWrap/>
            <w:vAlign w:val="bottom"/>
            <w:hideMark/>
          </w:tcPr>
          <w:p w14:paraId="31409DCD" w14:textId="64FE10B6" w:rsidR="00361D9A" w:rsidRDefault="00885FCE">
            <w:pPr>
              <w:pStyle w:val="P68B1DB1-Normal-pool-Table3"/>
              <w:jc w:val="right"/>
              <w:rPr>
                <w:color w:val="000000"/>
              </w:rPr>
            </w:pPr>
            <w:r>
              <w:t>Неприменимо</w:t>
            </w:r>
          </w:p>
        </w:tc>
        <w:tc>
          <w:tcPr>
            <w:tcW w:w="1841" w:type="dxa"/>
            <w:tcBorders>
              <w:bottom w:val="single" w:sz="12" w:space="0" w:color="auto"/>
            </w:tcBorders>
            <w:noWrap/>
            <w:vAlign w:val="bottom"/>
            <w:hideMark/>
          </w:tcPr>
          <w:p w14:paraId="16F295B2" w14:textId="01D3F1AF" w:rsidR="00361D9A" w:rsidRDefault="00885FCE">
            <w:pPr>
              <w:pStyle w:val="P68B1DB1-Normal-pool-Table3"/>
              <w:jc w:val="right"/>
              <w:rPr>
                <w:color w:val="000000"/>
              </w:rPr>
            </w:pPr>
            <w:r>
              <w:t>Неприменимо</w:t>
            </w:r>
          </w:p>
        </w:tc>
      </w:tr>
    </w:tbl>
    <w:p w14:paraId="4DE92299" w14:textId="0BCB4756" w:rsidR="00361D9A" w:rsidRDefault="00885FCE">
      <w:pPr>
        <w:pStyle w:val="Normalnumber"/>
        <w:tabs>
          <w:tab w:val="clear" w:pos="1247"/>
          <w:tab w:val="clear" w:pos="1814"/>
          <w:tab w:val="clear" w:pos="2381"/>
          <w:tab w:val="clear" w:pos="2948"/>
          <w:tab w:val="clear" w:pos="3515"/>
        </w:tabs>
        <w:spacing w:before="240"/>
        <w:ind w:left="1247"/>
      </w:pPr>
      <w:r>
        <w:t xml:space="preserve">Оценка показывает, что технологические затраты на машинный перевод стали незначительными: стоимость корпоративной подписки, покрывающей всю документацию Совещания Сторон и совещания Рабочей группы открытого состава на шести языках Организации Объединенных Наций, составит 689 долларов США в год; расходы на письменный перевод, выполненный людьми в рамках тридцать седьмого Совещания Сторон, составили приблизительно 150 000 долларов США. Сам перевод может быть выполнен на базе искусственного интеллекта, однако </w:t>
      </w:r>
      <w:r>
        <w:t xml:space="preserve">для его проверки, исправления и доработки по-прежнему потребуется участие специалистов. </w:t>
      </w:r>
    </w:p>
    <w:p w14:paraId="03E1355B" w14:textId="6388ADB5" w:rsidR="00361D9A" w:rsidRDefault="00885FCE">
      <w:pPr>
        <w:pStyle w:val="Normalnumber"/>
        <w:tabs>
          <w:tab w:val="clear" w:pos="1247"/>
          <w:tab w:val="clear" w:pos="1814"/>
          <w:tab w:val="clear" w:pos="2381"/>
          <w:tab w:val="clear" w:pos="2948"/>
          <w:tab w:val="clear" w:pos="3515"/>
        </w:tabs>
        <w:ind w:left="1247"/>
      </w:pPr>
      <w:r>
        <w:t>Эта модель машинного перевода, включающая проверку, постредактирование и доработку текста человеком, уже внедрена в систему Организации Объединенных Наций. Департамент по делам Генеральной Ассамблеи и конференционному управлению использует пакет eLUNa/gText, который включает инструменты машинного и автоматизированного перевода, функционирующие на базе корпуса документов Организации Объединенных Наций на всех шести официальных языках. Однако службы конференционного управления не предоставляют отдельные услуг</w:t>
      </w:r>
      <w:r>
        <w:t xml:space="preserve">и постредактирования в отношении документов, переведенных Секретариатом с помощью искусственного интеллекта. </w:t>
      </w:r>
    </w:p>
    <w:p w14:paraId="71C89B81" w14:textId="60494F02" w:rsidR="00361D9A" w:rsidRDefault="00885FCE">
      <w:pPr>
        <w:pStyle w:val="Normalnumber"/>
        <w:tabs>
          <w:tab w:val="clear" w:pos="1247"/>
          <w:tab w:val="clear" w:pos="1814"/>
          <w:tab w:val="clear" w:pos="2381"/>
          <w:tab w:val="clear" w:pos="2948"/>
          <w:tab w:val="clear" w:pos="3515"/>
        </w:tabs>
        <w:ind w:left="1247"/>
      </w:pPr>
      <w:r>
        <w:t>Меры, которые Секретариат мог бы принять для расширения масштабов использования искусственного интеллекта, включают:</w:t>
      </w:r>
    </w:p>
    <w:p w14:paraId="38028D97" w14:textId="1146499D" w:rsidR="00361D9A" w:rsidRDefault="00885FCE">
      <w:pPr>
        <w:pStyle w:val="Normalnumber"/>
        <w:numPr>
          <w:ilvl w:val="0"/>
          <w:numId w:val="19"/>
        </w:numPr>
        <w:tabs>
          <w:tab w:val="clear" w:pos="1247"/>
          <w:tab w:val="clear" w:pos="1814"/>
          <w:tab w:val="clear" w:pos="2381"/>
          <w:tab w:val="clear" w:pos="2948"/>
          <w:tab w:val="clear" w:pos="3515"/>
        </w:tabs>
        <w:ind w:left="1276" w:firstLine="567"/>
      </w:pPr>
      <w:r>
        <w:t>пилотное тестирование коммерческого инструмента для перевода таких документов, как информационные записки к совещаниям и материалы для веб-сайтов, стоимостью от 345 до 689 долларов США;</w:t>
      </w:r>
    </w:p>
    <w:p w14:paraId="1CFD672B" w14:textId="58895384" w:rsidR="00361D9A" w:rsidRDefault="00885FCE">
      <w:pPr>
        <w:pStyle w:val="Normalnumber"/>
        <w:numPr>
          <w:ilvl w:val="0"/>
          <w:numId w:val="19"/>
        </w:numPr>
        <w:tabs>
          <w:tab w:val="clear" w:pos="1247"/>
          <w:tab w:val="clear" w:pos="1814"/>
          <w:tab w:val="clear" w:pos="2381"/>
          <w:tab w:val="clear" w:pos="2948"/>
          <w:tab w:val="clear" w:pos="3515"/>
        </w:tabs>
        <w:ind w:left="1276" w:firstLine="567"/>
      </w:pPr>
      <w:r>
        <w:t>включение в выбранный инструмент глоссария по озону (например, терминов, описывающих регулируемые вещества, формулировок договоров, названий учреждений);</w:t>
      </w:r>
    </w:p>
    <w:p w14:paraId="4635B3E5" w14:textId="13479413" w:rsidR="00361D9A" w:rsidRDefault="00885FCE">
      <w:pPr>
        <w:pStyle w:val="Normalnumber"/>
        <w:numPr>
          <w:ilvl w:val="0"/>
          <w:numId w:val="19"/>
        </w:numPr>
        <w:tabs>
          <w:tab w:val="clear" w:pos="1247"/>
          <w:tab w:val="clear" w:pos="1814"/>
          <w:tab w:val="clear" w:pos="2381"/>
          <w:tab w:val="clear" w:pos="2948"/>
          <w:tab w:val="clear" w:pos="3515"/>
        </w:tabs>
        <w:ind w:left="1276" w:firstLine="567"/>
      </w:pPr>
      <w:r>
        <w:t>привлечение внешних подрядчиков для оказания услуг по постредактированию всех переведенных документов или их части (например, текстов решений, документов, связанных с соблюдением требований, и докладов о совещаниях).</w:t>
      </w:r>
    </w:p>
    <w:p w14:paraId="2E38D87E" w14:textId="3120B677" w:rsidR="00361D9A" w:rsidRDefault="00885FCE">
      <w:pPr>
        <w:pStyle w:val="Normalnumber"/>
        <w:tabs>
          <w:tab w:val="clear" w:pos="1247"/>
          <w:tab w:val="clear" w:pos="1814"/>
          <w:tab w:val="clear" w:pos="2381"/>
          <w:tab w:val="clear" w:pos="2948"/>
          <w:tab w:val="clear" w:pos="3515"/>
        </w:tabs>
        <w:ind w:left="1247"/>
      </w:pPr>
      <w:r>
        <w:t>Учитывая вышеизложенное, использование искусственного интеллекта для письменного перевода документов представляет собой доступную меру повышения эффективности, сопряженную с меньшим риском, по сравнению с устным переводом на базе искусственного интеллекта, который в настоящее время остается технологией, требующей мониторинга, а не полноценного внедрения на официальных совещаниях.</w:t>
      </w:r>
    </w:p>
    <w:p w14:paraId="44918AE8" w14:textId="29FDE9CF" w:rsidR="00361D9A" w:rsidRDefault="00885FCE">
      <w:pPr>
        <w:pStyle w:val="CH2"/>
      </w:pPr>
      <w:r>
        <w:lastRenderedPageBreak/>
        <w:tab/>
        <w:t>D.</w:t>
      </w:r>
      <w:r>
        <w:tab/>
        <w:t>Меры, касающиеся взносов</w:t>
      </w:r>
    </w:p>
    <w:p w14:paraId="1409F5CB" w14:textId="6FDF800A" w:rsidR="00361D9A" w:rsidRDefault="00885FCE">
      <w:pPr>
        <w:pStyle w:val="Normalnumber"/>
        <w:tabs>
          <w:tab w:val="clear" w:pos="1247"/>
          <w:tab w:val="clear" w:pos="1814"/>
          <w:tab w:val="clear" w:pos="2381"/>
          <w:tab w:val="clear" w:pos="2948"/>
          <w:tab w:val="clear" w:pos="3515"/>
        </w:tabs>
        <w:ind w:left="1247"/>
      </w:pPr>
      <w:r>
        <w:t>Секретариат направляет Сторонам счета-фактуры два раза в год с напоминанием о необходимости внесения взносов в целевые фонды Венской конвенции и Монреальского протокола. Кроме того, Секретариат ежегодно передает Сторонам отчеты о статусе взносов по состоянию на 30 апреля, 30 сентября и 31 декабря. В целях согласования своей практики с деятельностью ЮНЕП и других многосторонних природоохранных соглашений, администрируемых ЮНЕП, Секретариат начал публиковать на своем веб-сайте ежемесячно обновляемые доклады о</w:t>
      </w:r>
      <w:r>
        <w:t xml:space="preserve"> состоянии взносов.</w:t>
      </w:r>
    </w:p>
    <w:p w14:paraId="1A47AFA0" w14:textId="5988C42A" w:rsidR="00361D9A" w:rsidRDefault="00885FCE">
      <w:pPr>
        <w:pStyle w:val="Normalnumber"/>
        <w:tabs>
          <w:tab w:val="clear" w:pos="1247"/>
          <w:tab w:val="clear" w:pos="1814"/>
          <w:tab w:val="clear" w:pos="2381"/>
          <w:tab w:val="clear" w:pos="2948"/>
          <w:tab w:val="clear" w:pos="3515"/>
        </w:tabs>
        <w:ind w:left="1247"/>
      </w:pPr>
      <w:r>
        <w:t>В соответствии с решениями по бюджету, принятыми Конференцией Сторон Венской конвенции и Совещаниями Сторон, Секретариат совместно с Председателем Конференции Сторон реализует меры в отношении Сторон Венской конвенции и Монреальского протокола, имеющих задолженность по взносам за два года или более длительный период, путем направления в их адрес писем с призывом погасить задолженность с последующим проведением двусторонних консультаций. Несмотря на мнение Секретариата о том, что принятые меры способствовали</w:t>
      </w:r>
      <w:r>
        <w:t xml:space="preserve"> погашению задолженности по взносам, оценка того, привели ли они к долгосрочному повышению показателей уплаты взносов, не проводилась.</w:t>
      </w:r>
    </w:p>
    <w:p w14:paraId="1B7CDFC2" w14:textId="23FC1A3B" w:rsidR="00361D9A" w:rsidRDefault="00885FCE">
      <w:pPr>
        <w:pStyle w:val="Normalnumber"/>
        <w:tabs>
          <w:tab w:val="clear" w:pos="1247"/>
          <w:tab w:val="clear" w:pos="1814"/>
          <w:tab w:val="clear" w:pos="2381"/>
          <w:tab w:val="clear" w:pos="2948"/>
          <w:tab w:val="clear" w:pos="3515"/>
        </w:tabs>
        <w:ind w:left="1247"/>
      </w:pPr>
      <w:r>
        <w:t>Практика и подходы, применяемые в рамках других многосторонних природоохранных соглашений в отношении задолженности по взносам, предусматривают как отправку напоминаний и составление графиков платежей, так и введение ограничений на право членства в Бюро и других органах, получение финансовой поддержки для покрытия расходов на поездки и реализацию прав голоса. Примеры:</w:t>
      </w:r>
    </w:p>
    <w:p w14:paraId="0041D9A3" w14:textId="3B15B05B" w:rsidR="00361D9A" w:rsidRDefault="00885FCE">
      <w:pPr>
        <w:pStyle w:val="P68B1DB1-Normalnumber10"/>
        <w:numPr>
          <w:ilvl w:val="0"/>
          <w:numId w:val="20"/>
        </w:numPr>
        <w:tabs>
          <w:tab w:val="clear" w:pos="1247"/>
          <w:tab w:val="clear" w:pos="1814"/>
          <w:tab w:val="clear" w:pos="2381"/>
          <w:tab w:val="clear" w:pos="2948"/>
          <w:tab w:val="clear" w:pos="3515"/>
        </w:tabs>
        <w:ind w:left="1276" w:firstLine="567"/>
      </w:pPr>
      <w:r>
        <w:t>В соответствии с Конвенцией о биологическом разнообразии Стороны, имеющие задолженность по взносам за два года или более длительный период, лишаются права на членство в Бюро и вспомогательных органах и не могут выдвигать кандидатов в состав комитетов по соблюдению обязательств.</w:t>
      </w:r>
    </w:p>
    <w:p w14:paraId="0F10787F" w14:textId="4A1B7331" w:rsidR="00361D9A" w:rsidRDefault="00885FCE">
      <w:pPr>
        <w:pStyle w:val="Normalnumber"/>
        <w:numPr>
          <w:ilvl w:val="0"/>
          <w:numId w:val="20"/>
        </w:numPr>
        <w:tabs>
          <w:tab w:val="clear" w:pos="1247"/>
          <w:tab w:val="clear" w:pos="1814"/>
          <w:tab w:val="clear" w:pos="2381"/>
          <w:tab w:val="clear" w:pos="2948"/>
          <w:tab w:val="clear" w:pos="3515"/>
        </w:tabs>
        <w:ind w:left="1276" w:firstLine="567"/>
        <w:rPr>
          <w:color w:val="000000" w:themeColor="text1"/>
        </w:rPr>
      </w:pPr>
      <w:r>
        <w:rPr>
          <w:color w:val="000000" w:themeColor="text1"/>
        </w:rPr>
        <w:t xml:space="preserve">В соответствии с Конвенцией по </w:t>
      </w:r>
      <w:r>
        <w:t xml:space="preserve">сохранению </w:t>
      </w:r>
      <w:r>
        <w:rPr>
          <w:color w:val="000000" w:themeColor="text1"/>
        </w:rPr>
        <w:t xml:space="preserve">мигрирующих видов </w:t>
      </w:r>
      <w:r>
        <w:t>диких животных</w:t>
      </w:r>
      <w:r>
        <w:rPr>
          <w:color w:val="000000" w:themeColor="text1"/>
        </w:rPr>
        <w:t xml:space="preserve"> неуплата взносов в течение трех или более лет может привести к утрате права голоса и права занимать должности в органах, связанных с Конвенцией.</w:t>
      </w:r>
    </w:p>
    <w:p w14:paraId="24AB7966" w14:textId="4EF5938E" w:rsidR="00361D9A" w:rsidRDefault="00885FCE">
      <w:pPr>
        <w:pStyle w:val="P68B1DB1-Normalnumber10"/>
        <w:numPr>
          <w:ilvl w:val="0"/>
          <w:numId w:val="20"/>
        </w:numPr>
        <w:tabs>
          <w:tab w:val="clear" w:pos="1247"/>
          <w:tab w:val="clear" w:pos="1814"/>
          <w:tab w:val="clear" w:pos="2381"/>
          <w:tab w:val="clear" w:pos="2948"/>
          <w:tab w:val="clear" w:pos="3515"/>
        </w:tabs>
        <w:ind w:left="1276" w:firstLine="567"/>
      </w:pPr>
      <w:r>
        <w:t>В соответствии с Базельской конвенцией о контроле за трансграничной перевозкой опасных отходов и их удалением, Роттердамской конвенцией о процедуре предварительного обоснованного согласия в отношении отдельных опасных химических веществ и пестицидов в международной торговле и Стокгольмской конвенцией о стойких органических загрязнителях Стороны, имеющие задолженность по взносам за два года или более длительный период, могут утратить право на избрание в состав Бюро соответствующей Конференции Сторон или связ</w:t>
      </w:r>
      <w:r>
        <w:t>анные с ней вспомогательные органы; задолженность по взносам за четыре года или более длительный период может привести к утрате права голоса и права на получение финансовой поддержки для покрытия расходов на поездки, связанные с участием в некоторых межсессионных мероприятиях.</w:t>
      </w:r>
    </w:p>
    <w:p w14:paraId="5CAA2A00" w14:textId="3E2A8C06" w:rsidR="00361D9A" w:rsidRDefault="00885FCE">
      <w:pPr>
        <w:pStyle w:val="P68B1DB1-Normalnumber10"/>
        <w:numPr>
          <w:ilvl w:val="0"/>
          <w:numId w:val="20"/>
        </w:numPr>
        <w:tabs>
          <w:tab w:val="clear" w:pos="1247"/>
          <w:tab w:val="clear" w:pos="1814"/>
          <w:tab w:val="clear" w:pos="2381"/>
          <w:tab w:val="clear" w:pos="2948"/>
          <w:tab w:val="clear" w:pos="3515"/>
        </w:tabs>
        <w:ind w:left="1276" w:firstLine="567"/>
      </w:pPr>
      <w:r>
        <w:t>В соответствии с Минаматской конвенцией о ртути Конференция Сторон должна рассмотреть вопрос о принятии надлежащих мер в определенных случаях, связанных с наличием просроченной задолженности за период более двух лет.</w:t>
      </w:r>
    </w:p>
    <w:p w14:paraId="64A8499C" w14:textId="462FA263" w:rsidR="00361D9A" w:rsidRDefault="00885FCE">
      <w:pPr>
        <w:pStyle w:val="Normalnumber"/>
        <w:tabs>
          <w:tab w:val="clear" w:pos="1247"/>
          <w:tab w:val="clear" w:pos="1814"/>
          <w:tab w:val="clear" w:pos="2381"/>
          <w:tab w:val="clear" w:pos="2948"/>
          <w:tab w:val="clear" w:pos="3515"/>
        </w:tabs>
        <w:ind w:left="1247"/>
      </w:pPr>
      <w:r>
        <w:rPr>
          <w:color w:val="000000" w:themeColor="text1"/>
        </w:rPr>
        <w:t xml:space="preserve">В настоящее время Венская конвенция и Монреальский протокол к ней не предусматривают таких </w:t>
      </w:r>
      <w:r>
        <w:t>последствий за неуплату взносов.</w:t>
      </w:r>
    </w:p>
    <w:p w14:paraId="0926A442" w14:textId="73BD1776" w:rsidR="00361D9A" w:rsidRDefault="00885FCE">
      <w:pPr>
        <w:pStyle w:val="Normalnumber"/>
        <w:tabs>
          <w:tab w:val="clear" w:pos="1247"/>
          <w:tab w:val="clear" w:pos="1814"/>
          <w:tab w:val="clear" w:pos="2381"/>
          <w:tab w:val="clear" w:pos="2948"/>
          <w:tab w:val="clear" w:pos="3515"/>
        </w:tabs>
        <w:ind w:left="1247"/>
      </w:pPr>
      <w:r>
        <w:t>Секретариат готов изучить возможности мобилизации средств из других источников, включая благотворительные организации или частный сектор. Такое финансирование могло бы обеспечить поддержку конкретных мероприятий,</w:t>
      </w:r>
      <w:r>
        <w:rPr>
          <w:color w:val="000000" w:themeColor="text1"/>
        </w:rPr>
        <w:t xml:space="preserve"> соответствующих мандатам, которые были утверждены </w:t>
      </w:r>
      <w:r>
        <w:t>Сторонами. Эти средства будут дополнять взносы Сторон на основные виды деятельности Секретариата. Такое финансирование должно утверждаться и регулироваться в соответствии с действующими Финансовыми правилами и положениями Организации Объединенных Наций, политикой и процедурами Программы Организации Объединенных Наций по окружающей среде в области партнерства, а также с учетом надлежащих мер предосторожности, касающихся конфликта интересов, подотчетности и независимости.</w:t>
      </w:r>
    </w:p>
    <w:p w14:paraId="51D3E0D4" w14:textId="3839F7E6" w:rsidR="00361D9A" w:rsidRDefault="00885FCE">
      <w:pPr>
        <w:pStyle w:val="Normalnumber"/>
        <w:tabs>
          <w:tab w:val="clear" w:pos="1247"/>
          <w:tab w:val="clear" w:pos="1814"/>
          <w:tab w:val="clear" w:pos="2381"/>
          <w:tab w:val="clear" w:pos="2948"/>
          <w:tab w:val="clear" w:pos="3515"/>
        </w:tabs>
        <w:ind w:left="1247"/>
      </w:pPr>
      <w:r>
        <w:t>При условии соблюдения соответствующих гарантий финансирование со стороны благотворительных организаций и частного сектора позволило бы привлечь новые ресурсы для проведения мероприятий в дополнение к финансированию основных и предусмотренных мандатом функций Секретариата.</w:t>
      </w:r>
    </w:p>
    <w:p w14:paraId="49683EBA" w14:textId="3C94C054" w:rsidR="00361D9A" w:rsidRDefault="00885FCE">
      <w:pPr>
        <w:pStyle w:val="CH2"/>
      </w:pPr>
      <w:r>
        <w:lastRenderedPageBreak/>
        <w:tab/>
        <w:t>E.</w:t>
      </w:r>
      <w:r>
        <w:tab/>
        <w:t xml:space="preserve">Группы по оценке </w:t>
      </w:r>
    </w:p>
    <w:p w14:paraId="3E7DD2FC" w14:textId="5EC27045" w:rsidR="00361D9A" w:rsidRDefault="00885FCE">
      <w:pPr>
        <w:pStyle w:val="CH3"/>
      </w:pPr>
      <w:r>
        <w:tab/>
        <w:t>1.</w:t>
      </w:r>
      <w:r>
        <w:tab/>
        <w:t>Влияние периодичности работы и совещаний групп по оценке на качество оценок</w:t>
      </w:r>
    </w:p>
    <w:p w14:paraId="7C13DB05" w14:textId="3A7802E8" w:rsidR="00361D9A" w:rsidRDefault="00885FCE">
      <w:pPr>
        <w:pStyle w:val="Normalnumber"/>
        <w:tabs>
          <w:tab w:val="clear" w:pos="1247"/>
          <w:tab w:val="clear" w:pos="1814"/>
          <w:tab w:val="clear" w:pos="2381"/>
          <w:tab w:val="clear" w:pos="2948"/>
          <w:tab w:val="clear" w:pos="3515"/>
        </w:tabs>
        <w:ind w:left="1247"/>
      </w:pPr>
      <w:r>
        <w:t xml:space="preserve">Периодичность проведения совещаний и других совместных мероприятий группами по оценке является одним из факторов, способных повлиять на подготовку, качество и своевременность таких оценок. Однако характер деятельности и методы работы Группы по научной оценке, Группы по техническому обзору и экономической оценке и ее комитетов по техническим вариантам замены, а также Группы по оценке экологических последствий различаются, в связи с чем последствия изменения регулярности или формата их деятельности не всегда </w:t>
      </w:r>
      <w:r>
        <w:t>будут одинаковыми.</w:t>
      </w:r>
    </w:p>
    <w:p w14:paraId="20C647FA" w14:textId="305664F2" w:rsidR="00361D9A" w:rsidRDefault="00885FCE">
      <w:pPr>
        <w:pStyle w:val="Normalnumber"/>
        <w:tabs>
          <w:tab w:val="clear" w:pos="1247"/>
          <w:tab w:val="clear" w:pos="1814"/>
          <w:tab w:val="clear" w:pos="2381"/>
          <w:tab w:val="clear" w:pos="2948"/>
          <w:tab w:val="clear" w:pos="3515"/>
        </w:tabs>
        <w:ind w:left="1247"/>
      </w:pPr>
      <w:r>
        <w:t>Подготовка экспертного заключения представляет собой итеративный процесс, предусматривающий, помимо прочего, определение круга вопросов, обзор литературы, составление проектов, обмен мнениями и их анализ, согласование различных экспертных позиций, объединение материалов по главам или областям знаний, коллегиальный обзор и доработку. Некоторые из этих мер могут эффективно осуществляться в рамках электронной переписки и виртуальных совещаний. Что касается других этапов, в частности тех, которые связаны с обоб</w:t>
      </w:r>
      <w:r>
        <w:t>щением выводов, решением сложных научных или технических вопросов и достижением консенсуса среди экспертов, значительную пользу может принести активное личное взаимодействие.</w:t>
      </w:r>
    </w:p>
    <w:p w14:paraId="71C410B8" w14:textId="6DD5FC10" w:rsidR="00361D9A" w:rsidRDefault="00885FCE">
      <w:pPr>
        <w:pStyle w:val="Normalnumber"/>
        <w:tabs>
          <w:tab w:val="clear" w:pos="1247"/>
          <w:tab w:val="clear" w:pos="1814"/>
          <w:tab w:val="clear" w:pos="2381"/>
          <w:tab w:val="clear" w:pos="2948"/>
          <w:tab w:val="clear" w:pos="3515"/>
        </w:tabs>
        <w:ind w:left="1247"/>
      </w:pPr>
      <w:r>
        <w:t xml:space="preserve">Группа по техническому обзору и экономической оценке, ее комитеты по техническим вариантам замены и Группа по оценке экологических последствий, как правило, проводят очные совещания один раз в год с целью подготовки ежегодных докладов о ходе работы и других докладов, запрошенных Сторонами. В случае необходимости заседания в связи с подготовкой четырехлетних докладов об оценке могут проводиться дважды в год. Группа по научной оценке организует отдельные совещания для авторов глав и рецензентов, которые, как </w:t>
      </w:r>
      <w:r>
        <w:t>правило, проводятся на протяжении заключительных двух лет четырехлетнего периода подготовки доклада об оценке. В целях подготовки докладов о ходе работы и специальных докладов сопредседатели Группы по научной оценке проводят консультации друг с другом и с ведущими учеными без организации официальных совещаний. Сокращение числа или периодичности совещаний не всегда приводит к снижению качества докладов об оценке при условии сохранения достаточных возможностей для взаимодействия экспертов, рецензирования и ко</w:t>
      </w:r>
      <w:r>
        <w:t>нтроля качества с помощью других средств, включая онлайн-встречи. Тем не менее существует определенный предел, после которого дальнейшее сокращение числа или периодичности совещаний может негативно сказаться на способности групп проводить оценки на том уровне качества и оперативности, которого ожидают от них Стороны.</w:t>
      </w:r>
    </w:p>
    <w:p w14:paraId="5EAA056A" w14:textId="27030EDB" w:rsidR="00361D9A" w:rsidRDefault="00885FCE">
      <w:pPr>
        <w:pStyle w:val="Normalnumber"/>
        <w:tabs>
          <w:tab w:val="clear" w:pos="1247"/>
          <w:tab w:val="clear" w:pos="1814"/>
          <w:tab w:val="clear" w:pos="2381"/>
          <w:tab w:val="clear" w:pos="2948"/>
          <w:tab w:val="clear" w:pos="3515"/>
        </w:tabs>
        <w:ind w:left="1247"/>
      </w:pPr>
      <w:r>
        <w:t>Сокращение периодичности очных совещаний имело бы смысл, если бы оно сопровождалось уменьшением числа докладов, которые группы и комитеты по техническим вариантам замены должны подготавливать по запросу Сторон. К примеру, вместо ежегодных докладов о ходе работы группы и комитеты по техническим вариантам замены могли бы готовить двухгодичные доклады о ходе работы или краткие доклады при возникновении неотложных вопросов в соответствующих секторах, входящих в компетенцию этих комитетов, а в периоды между подг</w:t>
      </w:r>
      <w:r>
        <w:t>отовкой четырехлетних докладов об оценке — вообще не представлять доклады о ходе работы. Увеличение интервала между выпусками докладов о ходе работы может привести к уменьшению расходов и объема ресурсов, требуемых в течение определенного периода, однако это также способно значительно задержать публикацию наиболее актуальной и только появляющейся информации, особенно если в областях, охватываемых группами и комитетами по техническим вариантам замены, научные знания развиваются стремительно.</w:t>
      </w:r>
    </w:p>
    <w:p w14:paraId="7D28A586" w14:textId="59B21B9A" w:rsidR="00361D9A" w:rsidRDefault="00885FCE">
      <w:pPr>
        <w:pStyle w:val="Normalnumber"/>
        <w:tabs>
          <w:tab w:val="clear" w:pos="1247"/>
          <w:tab w:val="clear" w:pos="1814"/>
          <w:tab w:val="clear" w:pos="2381"/>
          <w:tab w:val="clear" w:pos="2948"/>
          <w:tab w:val="clear" w:pos="3515"/>
        </w:tabs>
        <w:ind w:left="1247"/>
      </w:pPr>
      <w:r>
        <w:t>Замена очных совещаний встречами в онлайн-формате позволила бы сэкономить средства, но также привела бы к изменению рабочей нагрузки, связанной с подготовкой докладов об оценке. Например, работу, которая в ином случае выполнялась бы коллективно во время заседаний, возможно, пришлось бы проводить в рамках дополнительных виртуальных встреч, обмена корреспонденцией или индивидуальной межсессионной работы. Такие меры могут сказаться на рабочей нагрузке и условиях участия членов групп, включая экспертов, которые</w:t>
      </w:r>
      <w:r>
        <w:t xml:space="preserve"> работают в разных часовых поясах или обладают разными уровнями институциональной и технической поддержки.</w:t>
      </w:r>
    </w:p>
    <w:p w14:paraId="2E459DA1" w14:textId="3B5DA872" w:rsidR="00361D9A" w:rsidRDefault="00885FCE">
      <w:pPr>
        <w:pStyle w:val="Normalnumber"/>
        <w:tabs>
          <w:tab w:val="clear" w:pos="1247"/>
          <w:tab w:val="clear" w:pos="1814"/>
          <w:tab w:val="clear" w:pos="2381"/>
          <w:tab w:val="clear" w:pos="2948"/>
          <w:tab w:val="clear" w:pos="3515"/>
        </w:tabs>
        <w:ind w:left="1247"/>
      </w:pPr>
      <w:r>
        <w:t xml:space="preserve">В связи с этим при рассмотрении изменений в рабочих циклах групп по оценке и форматах проведения их совещаний необходимо обеспечивать баланс между потенциальной эффективностью и сохранением высокого научно-технического уровня, независимости, </w:t>
      </w:r>
      <w:r>
        <w:lastRenderedPageBreak/>
        <w:t>всеобъемлющего характера и своевременности оценок, равно как и их практической ценности с точки содействия Сторонам в принятии решений.</w:t>
      </w:r>
    </w:p>
    <w:p w14:paraId="1727E0AD" w14:textId="01BBF660" w:rsidR="00361D9A" w:rsidRDefault="00885FCE">
      <w:pPr>
        <w:pStyle w:val="CH3"/>
      </w:pPr>
      <w:r>
        <w:tab/>
        <w:t>2.</w:t>
      </w:r>
      <w:r>
        <w:tab/>
        <w:t>Расходы на проведение совещаний Группы по техническому обзору и экономической оценке и комитетов по техническим вариантам замены</w:t>
      </w:r>
    </w:p>
    <w:p w14:paraId="08AAF83F" w14:textId="3DDE91D8" w:rsidR="00361D9A" w:rsidRDefault="00885FCE">
      <w:pPr>
        <w:pStyle w:val="Normalnumber"/>
        <w:tabs>
          <w:tab w:val="clear" w:pos="1247"/>
          <w:tab w:val="clear" w:pos="1814"/>
          <w:tab w:val="clear" w:pos="2381"/>
          <w:tab w:val="clear" w:pos="2948"/>
          <w:tab w:val="clear" w:pos="3515"/>
        </w:tabs>
        <w:ind w:left="1247"/>
      </w:pPr>
      <w:r>
        <w:t>Анализ расходов на проведение совещаний Группы по техническому обзору и экономической оценке и комитетов по техническим вариантам замены за последние четыре года показал, что средняя стоимость одного очного совещания, включая расходы на аренду помещения и путевые расходы как минимум восьми экспертов, действующих в соответствии со Статьей 5, составила приблизительно 33 000 и 32 000 долларов США соответственно. Эти расходы представлены в таблицах 6 и 7.</w:t>
      </w:r>
    </w:p>
    <w:p w14:paraId="458CE529" w14:textId="26D190AC" w:rsidR="00361D9A" w:rsidRDefault="00885FCE">
      <w:pPr>
        <w:pStyle w:val="Normalnumber"/>
        <w:tabs>
          <w:tab w:val="clear" w:pos="1247"/>
          <w:tab w:val="clear" w:pos="1814"/>
          <w:tab w:val="clear" w:pos="2381"/>
          <w:tab w:val="clear" w:pos="2948"/>
          <w:tab w:val="clear" w:pos="3515"/>
        </w:tabs>
        <w:ind w:left="1247"/>
      </w:pPr>
      <w:r>
        <w:t>В случае проведения совещаний комитетов по техническим вариантам замены в режиме онлайн для их организации могли бы использоваться платформы Microsoft Teams или Webex, предоставленные Секретариатом. Это позволило бы избежать расходов на аренду помещений и поездки участников. Организация заседаний комитетов по техническим вариантам замены непосредственно до или после совещаний Группы по техническому обзору и экономической оценке позволила бы сэкономить на авиабилетах примерно для шести сопредседателей, что у</w:t>
      </w:r>
      <w:r>
        <w:t xml:space="preserve">меньшило бы расходы примерно на 10 000 долларов США. </w:t>
      </w:r>
    </w:p>
    <w:p w14:paraId="4EC3A3A6" w14:textId="39D3A967" w:rsidR="00361D9A" w:rsidRDefault="00885FCE">
      <w:pPr>
        <w:pStyle w:val="Titletable"/>
        <w:spacing w:before="240"/>
      </w:pPr>
      <w:r>
        <w:rPr>
          <w:b w:val="0"/>
        </w:rPr>
        <w:t xml:space="preserve">Таблица 6 </w:t>
      </w:r>
      <w:r>
        <w:rPr>
          <w:b w:val="0"/>
        </w:rPr>
        <w:br/>
      </w:r>
      <w:r>
        <w:t>Расходы на проведение совещаний комитетов по техническим вариантам замены, 2023–2026 гг.</w:t>
      </w:r>
    </w:p>
    <w:tbl>
      <w:tblPr>
        <w:tblW w:w="8307" w:type="dxa"/>
        <w:jc w:val="right"/>
        <w:tblLook w:val="04A0" w:firstRow="1" w:lastRow="0" w:firstColumn="1" w:lastColumn="0" w:noHBand="0" w:noVBand="1"/>
      </w:tblPr>
      <w:tblGrid>
        <w:gridCol w:w="2263"/>
        <w:gridCol w:w="1139"/>
        <w:gridCol w:w="1276"/>
        <w:gridCol w:w="1701"/>
        <w:gridCol w:w="1928"/>
      </w:tblGrid>
      <w:tr w:rsidR="00361D9A" w14:paraId="510FFBF9" w14:textId="77777777">
        <w:trPr>
          <w:trHeight w:val="57"/>
          <w:jc w:val="right"/>
        </w:trPr>
        <w:tc>
          <w:tcPr>
            <w:tcW w:w="2263" w:type="dxa"/>
            <w:tcBorders>
              <w:top w:val="single" w:sz="4" w:space="0" w:color="auto"/>
              <w:bottom w:val="single" w:sz="12" w:space="0" w:color="auto"/>
            </w:tcBorders>
            <w:noWrap/>
            <w:vAlign w:val="bottom"/>
            <w:hideMark/>
          </w:tcPr>
          <w:p w14:paraId="688A6E18" w14:textId="77777777" w:rsidR="00361D9A" w:rsidRDefault="00885FCE">
            <w:pPr>
              <w:pStyle w:val="P68B1DB1-Normal-pool-Table1"/>
              <w:spacing w:before="20"/>
            </w:pPr>
            <w:r>
              <w:t>Год</w:t>
            </w:r>
          </w:p>
        </w:tc>
        <w:tc>
          <w:tcPr>
            <w:tcW w:w="1139" w:type="dxa"/>
            <w:tcBorders>
              <w:top w:val="single" w:sz="4" w:space="0" w:color="auto"/>
              <w:bottom w:val="single" w:sz="12" w:space="0" w:color="auto"/>
            </w:tcBorders>
            <w:noWrap/>
            <w:vAlign w:val="bottom"/>
            <w:hideMark/>
          </w:tcPr>
          <w:p w14:paraId="21AE7C1E" w14:textId="69C324AA" w:rsidR="00361D9A" w:rsidRDefault="00885FCE">
            <w:pPr>
              <w:pStyle w:val="P68B1DB1-Normal-pool-Table1"/>
              <w:spacing w:before="20"/>
              <w:jc w:val="right"/>
            </w:pPr>
            <w:r>
              <w:t>Количество заседаний</w:t>
            </w:r>
          </w:p>
        </w:tc>
        <w:tc>
          <w:tcPr>
            <w:tcW w:w="1276" w:type="dxa"/>
            <w:tcBorders>
              <w:top w:val="single" w:sz="4" w:space="0" w:color="auto"/>
              <w:bottom w:val="single" w:sz="12" w:space="0" w:color="auto"/>
            </w:tcBorders>
            <w:noWrap/>
            <w:vAlign w:val="bottom"/>
            <w:hideMark/>
          </w:tcPr>
          <w:p w14:paraId="3DDC45DE" w14:textId="7E626EC9" w:rsidR="00361D9A" w:rsidRDefault="00885FCE">
            <w:pPr>
              <w:pStyle w:val="P68B1DB1-Normal-pool-Table1"/>
              <w:spacing w:before="20"/>
              <w:jc w:val="right"/>
            </w:pPr>
            <w:r>
              <w:t>Затраты на аренду помещения</w:t>
            </w:r>
            <w:r>
              <w:rPr>
                <w:vertAlign w:val="superscript"/>
              </w:rPr>
              <w:t>a</w:t>
            </w:r>
          </w:p>
        </w:tc>
        <w:tc>
          <w:tcPr>
            <w:tcW w:w="1701" w:type="dxa"/>
            <w:tcBorders>
              <w:top w:val="single" w:sz="4" w:space="0" w:color="auto"/>
              <w:bottom w:val="single" w:sz="12" w:space="0" w:color="auto"/>
            </w:tcBorders>
            <w:noWrap/>
            <w:vAlign w:val="bottom"/>
            <w:hideMark/>
          </w:tcPr>
          <w:p w14:paraId="46712D9D" w14:textId="21411DD7" w:rsidR="00361D9A" w:rsidRDefault="00885FCE">
            <w:pPr>
              <w:pStyle w:val="P68B1DB1-Normal-pool-Table1"/>
              <w:spacing w:before="20"/>
              <w:jc w:val="right"/>
            </w:pPr>
            <w:r>
              <w:t>Количество участников, представляющих Стороны, действующих в рамках статьи 5, чьи расходы были оплачены</w:t>
            </w:r>
          </w:p>
        </w:tc>
        <w:tc>
          <w:tcPr>
            <w:tcW w:w="1928" w:type="dxa"/>
            <w:tcBorders>
              <w:top w:val="single" w:sz="4" w:space="0" w:color="auto"/>
              <w:bottom w:val="single" w:sz="12" w:space="0" w:color="auto"/>
            </w:tcBorders>
            <w:vAlign w:val="bottom"/>
          </w:tcPr>
          <w:p w14:paraId="7EEFC350" w14:textId="7AC79CCB" w:rsidR="00361D9A" w:rsidRDefault="00885FCE">
            <w:pPr>
              <w:pStyle w:val="P68B1DB1-Normal-pool-Table1"/>
              <w:spacing w:before="20"/>
              <w:jc w:val="right"/>
            </w:pPr>
            <w:r>
              <w:t xml:space="preserve">Путевые расходы участников, представляющих Стороны, действующих в рамках статьи 5 </w:t>
            </w:r>
          </w:p>
        </w:tc>
      </w:tr>
      <w:tr w:rsidR="00361D9A" w14:paraId="642E7C91" w14:textId="77777777">
        <w:trPr>
          <w:trHeight w:val="57"/>
          <w:jc w:val="right"/>
        </w:trPr>
        <w:tc>
          <w:tcPr>
            <w:tcW w:w="2263" w:type="dxa"/>
            <w:tcBorders>
              <w:top w:val="single" w:sz="12" w:space="0" w:color="auto"/>
            </w:tcBorders>
            <w:noWrap/>
            <w:vAlign w:val="bottom"/>
            <w:hideMark/>
          </w:tcPr>
          <w:p w14:paraId="46C35119" w14:textId="77777777" w:rsidR="00361D9A" w:rsidRDefault="00885FCE">
            <w:pPr>
              <w:pStyle w:val="Normal-pool-Table"/>
              <w:spacing w:before="20"/>
            </w:pPr>
            <w:r>
              <w:t>2026</w:t>
            </w:r>
          </w:p>
        </w:tc>
        <w:tc>
          <w:tcPr>
            <w:tcW w:w="1139" w:type="dxa"/>
            <w:tcBorders>
              <w:top w:val="single" w:sz="12" w:space="0" w:color="auto"/>
            </w:tcBorders>
            <w:noWrap/>
            <w:vAlign w:val="bottom"/>
            <w:hideMark/>
          </w:tcPr>
          <w:p w14:paraId="4E0B1581" w14:textId="77777777" w:rsidR="00361D9A" w:rsidRDefault="00885FCE">
            <w:pPr>
              <w:pStyle w:val="Normal-pool-Table"/>
              <w:spacing w:before="20"/>
              <w:jc w:val="right"/>
            </w:pPr>
            <w:r>
              <w:t>5</w:t>
            </w:r>
          </w:p>
        </w:tc>
        <w:tc>
          <w:tcPr>
            <w:tcW w:w="1276" w:type="dxa"/>
            <w:tcBorders>
              <w:top w:val="single" w:sz="12" w:space="0" w:color="auto"/>
            </w:tcBorders>
            <w:noWrap/>
            <w:vAlign w:val="bottom"/>
            <w:hideMark/>
          </w:tcPr>
          <w:p w14:paraId="1A44E582" w14:textId="22CC5990" w:rsidR="00361D9A" w:rsidRDefault="00885FCE">
            <w:pPr>
              <w:pStyle w:val="Normal-pool-Table"/>
              <w:spacing w:before="20"/>
              <w:jc w:val="right"/>
            </w:pPr>
            <w:r>
              <w:t xml:space="preserve">22 314 </w:t>
            </w:r>
          </w:p>
        </w:tc>
        <w:tc>
          <w:tcPr>
            <w:tcW w:w="1701" w:type="dxa"/>
            <w:tcBorders>
              <w:top w:val="single" w:sz="12" w:space="0" w:color="auto"/>
            </w:tcBorders>
            <w:noWrap/>
            <w:vAlign w:val="bottom"/>
            <w:hideMark/>
          </w:tcPr>
          <w:p w14:paraId="6025786D" w14:textId="77777777" w:rsidR="00361D9A" w:rsidRDefault="00885FCE">
            <w:pPr>
              <w:pStyle w:val="Normal-pool-Table"/>
              <w:spacing w:before="20"/>
              <w:jc w:val="right"/>
            </w:pPr>
            <w:r>
              <w:t>35</w:t>
            </w:r>
          </w:p>
        </w:tc>
        <w:tc>
          <w:tcPr>
            <w:tcW w:w="1928" w:type="dxa"/>
            <w:tcBorders>
              <w:top w:val="single" w:sz="12" w:space="0" w:color="auto"/>
            </w:tcBorders>
            <w:noWrap/>
            <w:vAlign w:val="bottom"/>
            <w:hideMark/>
          </w:tcPr>
          <w:p w14:paraId="7CE5151E" w14:textId="6B25139F" w:rsidR="00361D9A" w:rsidRDefault="00885FCE">
            <w:pPr>
              <w:pStyle w:val="Normal-pool-Table"/>
              <w:spacing w:before="20"/>
              <w:jc w:val="right"/>
            </w:pPr>
            <w:r>
              <w:t xml:space="preserve">117 923 </w:t>
            </w:r>
          </w:p>
        </w:tc>
      </w:tr>
      <w:tr w:rsidR="00361D9A" w14:paraId="2D7F944A" w14:textId="77777777">
        <w:trPr>
          <w:trHeight w:val="57"/>
          <w:jc w:val="right"/>
        </w:trPr>
        <w:tc>
          <w:tcPr>
            <w:tcW w:w="2263" w:type="dxa"/>
            <w:noWrap/>
            <w:vAlign w:val="bottom"/>
            <w:hideMark/>
          </w:tcPr>
          <w:p w14:paraId="666DBD96" w14:textId="77777777" w:rsidR="00361D9A" w:rsidRDefault="00885FCE">
            <w:pPr>
              <w:pStyle w:val="Normal-pool-Table"/>
              <w:spacing w:before="20"/>
            </w:pPr>
            <w:r>
              <w:t>2025</w:t>
            </w:r>
          </w:p>
        </w:tc>
        <w:tc>
          <w:tcPr>
            <w:tcW w:w="1139" w:type="dxa"/>
            <w:noWrap/>
            <w:vAlign w:val="bottom"/>
            <w:hideMark/>
          </w:tcPr>
          <w:p w14:paraId="1B0F0773" w14:textId="77777777" w:rsidR="00361D9A" w:rsidRDefault="00885FCE">
            <w:pPr>
              <w:pStyle w:val="Normal-pool-Table"/>
              <w:spacing w:before="20"/>
              <w:jc w:val="right"/>
            </w:pPr>
            <w:r>
              <w:t>6</w:t>
            </w:r>
          </w:p>
        </w:tc>
        <w:tc>
          <w:tcPr>
            <w:tcW w:w="1276" w:type="dxa"/>
            <w:noWrap/>
            <w:vAlign w:val="bottom"/>
            <w:hideMark/>
          </w:tcPr>
          <w:p w14:paraId="2A9D8618" w14:textId="0E6F694C" w:rsidR="00361D9A" w:rsidRDefault="00885FCE">
            <w:pPr>
              <w:pStyle w:val="Normal-pool-Table"/>
              <w:spacing w:before="20"/>
              <w:jc w:val="right"/>
            </w:pPr>
            <w:r>
              <w:t xml:space="preserve">2008 </w:t>
            </w:r>
          </w:p>
        </w:tc>
        <w:tc>
          <w:tcPr>
            <w:tcW w:w="1701" w:type="dxa"/>
            <w:noWrap/>
            <w:vAlign w:val="bottom"/>
            <w:hideMark/>
          </w:tcPr>
          <w:p w14:paraId="782E0CD9" w14:textId="77777777" w:rsidR="00361D9A" w:rsidRDefault="00885FCE">
            <w:pPr>
              <w:pStyle w:val="Normal-pool-Table"/>
              <w:spacing w:before="20"/>
              <w:jc w:val="right"/>
            </w:pPr>
            <w:r>
              <w:t>60</w:t>
            </w:r>
          </w:p>
        </w:tc>
        <w:tc>
          <w:tcPr>
            <w:tcW w:w="1928" w:type="dxa"/>
            <w:noWrap/>
            <w:vAlign w:val="bottom"/>
            <w:hideMark/>
          </w:tcPr>
          <w:p w14:paraId="0B6FE6FC" w14:textId="318A76D7" w:rsidR="00361D9A" w:rsidRDefault="00885FCE">
            <w:pPr>
              <w:pStyle w:val="Normal-pool-Table"/>
              <w:spacing w:before="20"/>
              <w:jc w:val="right"/>
            </w:pPr>
            <w:r>
              <w:t xml:space="preserve">232 369 </w:t>
            </w:r>
          </w:p>
        </w:tc>
      </w:tr>
      <w:tr w:rsidR="00361D9A" w14:paraId="61EB5832" w14:textId="77777777">
        <w:trPr>
          <w:trHeight w:val="57"/>
          <w:jc w:val="right"/>
        </w:trPr>
        <w:tc>
          <w:tcPr>
            <w:tcW w:w="2263" w:type="dxa"/>
            <w:noWrap/>
            <w:vAlign w:val="bottom"/>
            <w:hideMark/>
          </w:tcPr>
          <w:p w14:paraId="1268B134" w14:textId="77777777" w:rsidR="00361D9A" w:rsidRDefault="00885FCE">
            <w:pPr>
              <w:pStyle w:val="Normal-pool-Table"/>
              <w:spacing w:before="20"/>
            </w:pPr>
            <w:r>
              <w:t>2024</w:t>
            </w:r>
          </w:p>
        </w:tc>
        <w:tc>
          <w:tcPr>
            <w:tcW w:w="1139" w:type="dxa"/>
            <w:noWrap/>
            <w:vAlign w:val="bottom"/>
            <w:hideMark/>
          </w:tcPr>
          <w:p w14:paraId="5562D4F5" w14:textId="77777777" w:rsidR="00361D9A" w:rsidRDefault="00885FCE">
            <w:pPr>
              <w:pStyle w:val="Normal-pool-Table"/>
              <w:spacing w:before="20"/>
              <w:jc w:val="right"/>
            </w:pPr>
            <w:r>
              <w:t>6</w:t>
            </w:r>
          </w:p>
        </w:tc>
        <w:tc>
          <w:tcPr>
            <w:tcW w:w="1276" w:type="dxa"/>
            <w:noWrap/>
            <w:vAlign w:val="bottom"/>
            <w:hideMark/>
          </w:tcPr>
          <w:p w14:paraId="4B909644" w14:textId="400636EA" w:rsidR="00361D9A" w:rsidRDefault="00885FCE">
            <w:pPr>
              <w:pStyle w:val="Normal-pool-Table"/>
              <w:spacing w:before="20"/>
              <w:jc w:val="right"/>
            </w:pPr>
            <w:r>
              <w:t xml:space="preserve">12 820 </w:t>
            </w:r>
          </w:p>
        </w:tc>
        <w:tc>
          <w:tcPr>
            <w:tcW w:w="1701" w:type="dxa"/>
            <w:noWrap/>
            <w:vAlign w:val="bottom"/>
            <w:hideMark/>
          </w:tcPr>
          <w:p w14:paraId="04E191B0" w14:textId="77777777" w:rsidR="00361D9A" w:rsidRDefault="00885FCE">
            <w:pPr>
              <w:pStyle w:val="Normal-pool-Table"/>
              <w:spacing w:before="20"/>
              <w:jc w:val="right"/>
            </w:pPr>
            <w:r>
              <w:t>43</w:t>
            </w:r>
          </w:p>
        </w:tc>
        <w:tc>
          <w:tcPr>
            <w:tcW w:w="1928" w:type="dxa"/>
            <w:noWrap/>
            <w:vAlign w:val="bottom"/>
            <w:hideMark/>
          </w:tcPr>
          <w:p w14:paraId="50FAD7AC" w14:textId="4E200850" w:rsidR="00361D9A" w:rsidRDefault="00885FCE">
            <w:pPr>
              <w:pStyle w:val="Normal-pool-Table"/>
              <w:spacing w:before="20"/>
              <w:jc w:val="right"/>
            </w:pPr>
            <w:r>
              <w:t xml:space="preserve">132 682 </w:t>
            </w:r>
          </w:p>
        </w:tc>
      </w:tr>
      <w:tr w:rsidR="00361D9A" w14:paraId="79038D1A" w14:textId="77777777">
        <w:trPr>
          <w:trHeight w:val="57"/>
          <w:jc w:val="right"/>
        </w:trPr>
        <w:tc>
          <w:tcPr>
            <w:tcW w:w="2263" w:type="dxa"/>
            <w:noWrap/>
            <w:vAlign w:val="bottom"/>
            <w:hideMark/>
          </w:tcPr>
          <w:p w14:paraId="1CA35447" w14:textId="77777777" w:rsidR="00361D9A" w:rsidRDefault="00885FCE">
            <w:pPr>
              <w:pStyle w:val="Normal-pool-Table"/>
              <w:spacing w:before="20"/>
            </w:pPr>
            <w:r>
              <w:t>2023</w:t>
            </w:r>
          </w:p>
        </w:tc>
        <w:tc>
          <w:tcPr>
            <w:tcW w:w="1139" w:type="dxa"/>
            <w:noWrap/>
            <w:vAlign w:val="bottom"/>
            <w:hideMark/>
          </w:tcPr>
          <w:p w14:paraId="40E4E0AA" w14:textId="77777777" w:rsidR="00361D9A" w:rsidRDefault="00885FCE">
            <w:pPr>
              <w:pStyle w:val="Normal-pool-Table"/>
              <w:spacing w:before="20"/>
              <w:jc w:val="right"/>
            </w:pPr>
            <w:r>
              <w:t>4</w:t>
            </w:r>
          </w:p>
        </w:tc>
        <w:tc>
          <w:tcPr>
            <w:tcW w:w="1276" w:type="dxa"/>
            <w:noWrap/>
            <w:vAlign w:val="bottom"/>
            <w:hideMark/>
          </w:tcPr>
          <w:p w14:paraId="278BAE6E" w14:textId="49BD49D8" w:rsidR="00361D9A" w:rsidRDefault="00885FCE">
            <w:pPr>
              <w:pStyle w:val="Normal-pool-Table"/>
              <w:spacing w:before="20"/>
              <w:jc w:val="right"/>
            </w:pPr>
            <w:r>
              <w:t xml:space="preserve">7291 </w:t>
            </w:r>
          </w:p>
        </w:tc>
        <w:tc>
          <w:tcPr>
            <w:tcW w:w="1701" w:type="dxa"/>
            <w:noWrap/>
            <w:vAlign w:val="bottom"/>
            <w:hideMark/>
          </w:tcPr>
          <w:p w14:paraId="34AF6F2E" w14:textId="77777777" w:rsidR="00361D9A" w:rsidRDefault="00885FCE">
            <w:pPr>
              <w:pStyle w:val="Normal-pool-Table"/>
              <w:spacing w:before="20"/>
              <w:jc w:val="right"/>
            </w:pPr>
            <w:r>
              <w:t>34</w:t>
            </w:r>
          </w:p>
        </w:tc>
        <w:tc>
          <w:tcPr>
            <w:tcW w:w="1928" w:type="dxa"/>
            <w:noWrap/>
            <w:vAlign w:val="bottom"/>
            <w:hideMark/>
          </w:tcPr>
          <w:p w14:paraId="0FC0A79A" w14:textId="59D84C26" w:rsidR="00361D9A" w:rsidRDefault="00885FCE">
            <w:pPr>
              <w:pStyle w:val="Normal-pool-Table"/>
              <w:spacing w:before="20"/>
              <w:jc w:val="right"/>
            </w:pPr>
            <w:r>
              <w:t xml:space="preserve">147 146 </w:t>
            </w:r>
          </w:p>
        </w:tc>
      </w:tr>
      <w:tr w:rsidR="00361D9A" w14:paraId="3B3388D4" w14:textId="77777777">
        <w:trPr>
          <w:trHeight w:val="57"/>
          <w:jc w:val="right"/>
        </w:trPr>
        <w:tc>
          <w:tcPr>
            <w:tcW w:w="2263" w:type="dxa"/>
            <w:tcBorders>
              <w:top w:val="single" w:sz="4" w:space="0" w:color="auto"/>
              <w:bottom w:val="single" w:sz="4" w:space="0" w:color="auto"/>
            </w:tcBorders>
            <w:vAlign w:val="bottom"/>
            <w:hideMark/>
          </w:tcPr>
          <w:p w14:paraId="4587693A" w14:textId="086EAC48" w:rsidR="00361D9A" w:rsidRDefault="00885FCE">
            <w:pPr>
              <w:pStyle w:val="Normal-pool-Table"/>
              <w:spacing w:before="20"/>
              <w:rPr>
                <w:b/>
              </w:rPr>
            </w:pPr>
            <w:r>
              <w:rPr>
                <w:b/>
              </w:rPr>
              <w:t>Среднее значение за 4 года</w:t>
            </w:r>
            <w:r>
              <w:rPr>
                <w:i/>
                <w:vertAlign w:val="superscript"/>
              </w:rPr>
              <w:t>b</w:t>
            </w:r>
          </w:p>
        </w:tc>
        <w:tc>
          <w:tcPr>
            <w:tcW w:w="1139" w:type="dxa"/>
            <w:tcBorders>
              <w:top w:val="single" w:sz="4" w:space="0" w:color="auto"/>
              <w:bottom w:val="single" w:sz="4" w:space="0" w:color="auto"/>
            </w:tcBorders>
            <w:noWrap/>
            <w:vAlign w:val="bottom"/>
            <w:hideMark/>
          </w:tcPr>
          <w:p w14:paraId="76DCA5F1" w14:textId="2DEA984A" w:rsidR="00361D9A" w:rsidRDefault="00885FCE">
            <w:pPr>
              <w:pStyle w:val="Normal-pool-Table"/>
              <w:spacing w:before="20"/>
              <w:jc w:val="right"/>
            </w:pPr>
            <w:r>
              <w:t xml:space="preserve">5 </w:t>
            </w:r>
          </w:p>
        </w:tc>
        <w:tc>
          <w:tcPr>
            <w:tcW w:w="1276" w:type="dxa"/>
            <w:tcBorders>
              <w:top w:val="single" w:sz="4" w:space="0" w:color="auto"/>
              <w:bottom w:val="single" w:sz="4" w:space="0" w:color="auto"/>
            </w:tcBorders>
            <w:noWrap/>
            <w:vAlign w:val="bottom"/>
            <w:hideMark/>
          </w:tcPr>
          <w:p w14:paraId="09D70085" w14:textId="23987D6B" w:rsidR="00361D9A" w:rsidRDefault="00885FCE">
            <w:pPr>
              <w:pStyle w:val="Normal-pool-Table"/>
              <w:spacing w:before="20"/>
              <w:jc w:val="right"/>
            </w:pPr>
            <w:r>
              <w:t xml:space="preserve">11 108 </w:t>
            </w:r>
          </w:p>
        </w:tc>
        <w:tc>
          <w:tcPr>
            <w:tcW w:w="1701" w:type="dxa"/>
            <w:tcBorders>
              <w:top w:val="single" w:sz="4" w:space="0" w:color="auto"/>
              <w:bottom w:val="single" w:sz="4" w:space="0" w:color="auto"/>
            </w:tcBorders>
            <w:noWrap/>
            <w:vAlign w:val="bottom"/>
            <w:hideMark/>
          </w:tcPr>
          <w:p w14:paraId="183BAC6F" w14:textId="3085A2F9" w:rsidR="00361D9A" w:rsidRDefault="00885FCE">
            <w:pPr>
              <w:pStyle w:val="Normal-pool-Table"/>
              <w:spacing w:before="20"/>
              <w:jc w:val="right"/>
            </w:pPr>
            <w:r>
              <w:t xml:space="preserve">43 </w:t>
            </w:r>
          </w:p>
        </w:tc>
        <w:tc>
          <w:tcPr>
            <w:tcW w:w="1928" w:type="dxa"/>
            <w:tcBorders>
              <w:top w:val="single" w:sz="4" w:space="0" w:color="auto"/>
              <w:bottom w:val="single" w:sz="4" w:space="0" w:color="auto"/>
            </w:tcBorders>
            <w:noWrap/>
            <w:vAlign w:val="bottom"/>
            <w:hideMark/>
          </w:tcPr>
          <w:p w14:paraId="3B9D30BC" w14:textId="17D5DC93" w:rsidR="00361D9A" w:rsidRDefault="00885FCE">
            <w:pPr>
              <w:pStyle w:val="Normal-pool-Table"/>
              <w:spacing w:before="20"/>
              <w:jc w:val="right"/>
            </w:pPr>
            <w:r>
              <w:t xml:space="preserve">157 530 </w:t>
            </w:r>
          </w:p>
        </w:tc>
      </w:tr>
      <w:tr w:rsidR="00361D9A" w14:paraId="23802436" w14:textId="77777777">
        <w:trPr>
          <w:trHeight w:val="57"/>
          <w:jc w:val="right"/>
        </w:trPr>
        <w:tc>
          <w:tcPr>
            <w:tcW w:w="2263" w:type="dxa"/>
            <w:tcBorders>
              <w:top w:val="single" w:sz="4" w:space="0" w:color="auto"/>
              <w:bottom w:val="single" w:sz="4" w:space="0" w:color="auto"/>
            </w:tcBorders>
            <w:noWrap/>
            <w:vAlign w:val="bottom"/>
            <w:hideMark/>
          </w:tcPr>
          <w:p w14:paraId="4314EEA7" w14:textId="047AA880" w:rsidR="00361D9A" w:rsidRDefault="00885FCE">
            <w:pPr>
              <w:pStyle w:val="Normal-pool-Table"/>
              <w:spacing w:before="20"/>
            </w:pPr>
            <w:r>
              <w:t>Затраты/совещание</w:t>
            </w:r>
          </w:p>
        </w:tc>
        <w:tc>
          <w:tcPr>
            <w:tcW w:w="1139" w:type="dxa"/>
            <w:tcBorders>
              <w:top w:val="single" w:sz="4" w:space="0" w:color="auto"/>
              <w:bottom w:val="single" w:sz="4" w:space="0" w:color="auto"/>
            </w:tcBorders>
            <w:noWrap/>
            <w:vAlign w:val="bottom"/>
            <w:hideMark/>
          </w:tcPr>
          <w:p w14:paraId="15145B01" w14:textId="55BFA381" w:rsidR="00361D9A" w:rsidRDefault="00361D9A">
            <w:pPr>
              <w:pStyle w:val="Normal-pool-Table"/>
              <w:spacing w:before="20"/>
              <w:jc w:val="right"/>
            </w:pPr>
          </w:p>
        </w:tc>
        <w:tc>
          <w:tcPr>
            <w:tcW w:w="1276" w:type="dxa"/>
            <w:tcBorders>
              <w:top w:val="single" w:sz="4" w:space="0" w:color="auto"/>
              <w:bottom w:val="single" w:sz="4" w:space="0" w:color="auto"/>
            </w:tcBorders>
            <w:noWrap/>
            <w:vAlign w:val="bottom"/>
            <w:hideMark/>
          </w:tcPr>
          <w:p w14:paraId="48F40323" w14:textId="6F055889" w:rsidR="00361D9A" w:rsidRDefault="00885FCE">
            <w:pPr>
              <w:pStyle w:val="Normal-pool-Table"/>
              <w:spacing w:before="20"/>
              <w:jc w:val="right"/>
            </w:pPr>
            <w:r>
              <w:t xml:space="preserve">2116 </w:t>
            </w:r>
          </w:p>
        </w:tc>
        <w:tc>
          <w:tcPr>
            <w:tcW w:w="1701" w:type="dxa"/>
            <w:tcBorders>
              <w:top w:val="single" w:sz="4" w:space="0" w:color="auto"/>
              <w:bottom w:val="single" w:sz="4" w:space="0" w:color="auto"/>
            </w:tcBorders>
            <w:noWrap/>
            <w:vAlign w:val="bottom"/>
            <w:hideMark/>
          </w:tcPr>
          <w:p w14:paraId="54294462" w14:textId="77777777" w:rsidR="00361D9A" w:rsidRDefault="00885FCE">
            <w:pPr>
              <w:pStyle w:val="Normal-pool-Table"/>
              <w:spacing w:before="20"/>
              <w:jc w:val="right"/>
            </w:pPr>
            <w:r>
              <w:t>8</w:t>
            </w:r>
          </w:p>
        </w:tc>
        <w:tc>
          <w:tcPr>
            <w:tcW w:w="1928" w:type="dxa"/>
            <w:tcBorders>
              <w:top w:val="single" w:sz="4" w:space="0" w:color="auto"/>
              <w:bottom w:val="single" w:sz="4" w:space="0" w:color="auto"/>
            </w:tcBorders>
            <w:noWrap/>
            <w:vAlign w:val="bottom"/>
            <w:hideMark/>
          </w:tcPr>
          <w:p w14:paraId="53AFB6F8" w14:textId="027BBF3C" w:rsidR="00361D9A" w:rsidRDefault="00885FCE">
            <w:pPr>
              <w:pStyle w:val="Normal-pool-Table"/>
              <w:spacing w:before="20"/>
              <w:jc w:val="right"/>
            </w:pPr>
            <w:r>
              <w:t xml:space="preserve">30 006 </w:t>
            </w:r>
          </w:p>
        </w:tc>
      </w:tr>
      <w:tr w:rsidR="00361D9A" w14:paraId="3FB900BD" w14:textId="77777777">
        <w:trPr>
          <w:trHeight w:val="57"/>
          <w:jc w:val="right"/>
        </w:trPr>
        <w:tc>
          <w:tcPr>
            <w:tcW w:w="2263" w:type="dxa"/>
            <w:tcBorders>
              <w:top w:val="single" w:sz="4" w:space="0" w:color="auto"/>
              <w:bottom w:val="single" w:sz="12" w:space="0" w:color="auto"/>
            </w:tcBorders>
            <w:noWrap/>
            <w:vAlign w:val="bottom"/>
          </w:tcPr>
          <w:p w14:paraId="2F05835B" w14:textId="29FB04D2" w:rsidR="00361D9A" w:rsidRDefault="00885FCE">
            <w:pPr>
              <w:pStyle w:val="P68B1DB1-Normal-pool-Table2"/>
              <w:spacing w:before="20"/>
            </w:pPr>
            <w:r>
              <w:t>Общие расходы на одно совещание, включая затраты на аренду помещения и проезд</w:t>
            </w:r>
          </w:p>
        </w:tc>
        <w:tc>
          <w:tcPr>
            <w:tcW w:w="1139" w:type="dxa"/>
            <w:tcBorders>
              <w:top w:val="single" w:sz="4" w:space="0" w:color="auto"/>
              <w:bottom w:val="single" w:sz="12" w:space="0" w:color="auto"/>
            </w:tcBorders>
            <w:noWrap/>
            <w:vAlign w:val="bottom"/>
          </w:tcPr>
          <w:p w14:paraId="018CF9C0" w14:textId="77777777" w:rsidR="00361D9A" w:rsidRDefault="00361D9A">
            <w:pPr>
              <w:pStyle w:val="Normal-pool-Table"/>
              <w:spacing w:before="20"/>
              <w:jc w:val="right"/>
              <w:rPr>
                <w:b/>
              </w:rPr>
            </w:pPr>
          </w:p>
        </w:tc>
        <w:tc>
          <w:tcPr>
            <w:tcW w:w="1276" w:type="dxa"/>
            <w:tcBorders>
              <w:top w:val="single" w:sz="4" w:space="0" w:color="auto"/>
              <w:bottom w:val="single" w:sz="12" w:space="0" w:color="auto"/>
            </w:tcBorders>
            <w:noWrap/>
            <w:vAlign w:val="bottom"/>
          </w:tcPr>
          <w:p w14:paraId="1855FD5D" w14:textId="77777777" w:rsidR="00361D9A" w:rsidRDefault="00361D9A">
            <w:pPr>
              <w:pStyle w:val="Normal-pool-Table"/>
              <w:spacing w:before="20"/>
              <w:jc w:val="right"/>
              <w:rPr>
                <w:b/>
              </w:rPr>
            </w:pPr>
          </w:p>
        </w:tc>
        <w:tc>
          <w:tcPr>
            <w:tcW w:w="1701" w:type="dxa"/>
            <w:tcBorders>
              <w:top w:val="single" w:sz="4" w:space="0" w:color="auto"/>
              <w:bottom w:val="single" w:sz="12" w:space="0" w:color="auto"/>
            </w:tcBorders>
            <w:noWrap/>
            <w:vAlign w:val="bottom"/>
          </w:tcPr>
          <w:p w14:paraId="35E59E9F" w14:textId="77777777" w:rsidR="00361D9A" w:rsidRDefault="00361D9A">
            <w:pPr>
              <w:pStyle w:val="Normal-pool-Table"/>
              <w:spacing w:before="20"/>
              <w:jc w:val="right"/>
              <w:rPr>
                <w:b/>
              </w:rPr>
            </w:pPr>
          </w:p>
        </w:tc>
        <w:tc>
          <w:tcPr>
            <w:tcW w:w="1928" w:type="dxa"/>
            <w:tcBorders>
              <w:top w:val="single" w:sz="4" w:space="0" w:color="auto"/>
              <w:bottom w:val="single" w:sz="12" w:space="0" w:color="auto"/>
            </w:tcBorders>
            <w:noWrap/>
            <w:vAlign w:val="bottom"/>
          </w:tcPr>
          <w:p w14:paraId="1FB6B7E1" w14:textId="444C2EE6" w:rsidR="00361D9A" w:rsidRDefault="00885FCE">
            <w:pPr>
              <w:pStyle w:val="P68B1DB1-Normal-pool-Table2"/>
              <w:spacing w:before="20"/>
              <w:jc w:val="right"/>
            </w:pPr>
            <w:r>
              <w:t>32 122</w:t>
            </w:r>
          </w:p>
        </w:tc>
      </w:tr>
    </w:tbl>
    <w:p w14:paraId="4536B54D" w14:textId="56678880" w:rsidR="00361D9A" w:rsidRDefault="00885FCE">
      <w:pPr>
        <w:pStyle w:val="P68B1DB1-NormalNonumber11"/>
        <w:spacing w:before="60"/>
      </w:pPr>
      <w:r>
        <w:tab/>
      </w:r>
      <w:r>
        <w:rPr>
          <w:i/>
          <w:vertAlign w:val="superscript"/>
        </w:rPr>
        <w:t>а</w:t>
      </w:r>
      <w:r>
        <w:t xml:space="preserve"> Комитеты по техническим вариантам замены находят бесплатные или недорогие места для проведения совещаний, которые часто предоставляются организациями системы ООН, такими как ЮНЕП, или организациями, сотрудниками которых являются члены этих комитетов. </w:t>
      </w:r>
    </w:p>
    <w:p w14:paraId="4AE1EABA" w14:textId="74768AE5" w:rsidR="00361D9A" w:rsidRDefault="00885FCE">
      <w:pPr>
        <w:pStyle w:val="P68B1DB1-NormalNonumber11"/>
      </w:pPr>
      <w:r>
        <w:tab/>
      </w:r>
      <w:r>
        <w:rPr>
          <w:i/>
          <w:vertAlign w:val="superscript"/>
        </w:rPr>
        <w:t>b</w:t>
      </w:r>
      <w:r>
        <w:t xml:space="preserve"> В 2025 году расходы на аренду помещений оказались очень низкими, поскольку несколько совещаний были проведены на бесплатных площадках (например, принадлежащих Международной морской организации), в то время как транспортные расходы остались высокими из-за того, что в этих местах действовали повышенные ставки суточных.</w:t>
      </w:r>
    </w:p>
    <w:p w14:paraId="796FAEA3" w14:textId="52B39144" w:rsidR="00361D9A" w:rsidRDefault="00885FCE">
      <w:pPr>
        <w:pStyle w:val="Titletable"/>
        <w:spacing w:before="240"/>
      </w:pPr>
      <w:r>
        <w:rPr>
          <w:b w:val="0"/>
        </w:rPr>
        <w:t xml:space="preserve">Таблица 7 </w:t>
      </w:r>
      <w:r>
        <w:br/>
        <w:t>Расходы на проведение совещаний Группы по техническому обзору и экономической оценке, 2023–2026 гг.</w:t>
      </w:r>
    </w:p>
    <w:p w14:paraId="2DA12A69" w14:textId="0E218D34" w:rsidR="00361D9A" w:rsidRDefault="00885FCE">
      <w:pPr>
        <w:pStyle w:val="P68B1DB1-NormalNonumber12"/>
      </w:pPr>
      <w:r>
        <w:t>(долл. США)</w:t>
      </w:r>
    </w:p>
    <w:tbl>
      <w:tblPr>
        <w:tblW w:w="8307" w:type="dxa"/>
        <w:jc w:val="right"/>
        <w:tblLook w:val="04A0" w:firstRow="1" w:lastRow="0" w:firstColumn="1" w:lastColumn="0" w:noHBand="0" w:noVBand="1"/>
      </w:tblPr>
      <w:tblGrid>
        <w:gridCol w:w="2835"/>
        <w:gridCol w:w="1560"/>
        <w:gridCol w:w="1984"/>
        <w:gridCol w:w="1928"/>
      </w:tblGrid>
      <w:tr w:rsidR="00361D9A" w14:paraId="01CCE678" w14:textId="77777777">
        <w:trPr>
          <w:trHeight w:val="724"/>
          <w:jc w:val="right"/>
        </w:trPr>
        <w:tc>
          <w:tcPr>
            <w:tcW w:w="2835" w:type="dxa"/>
            <w:tcBorders>
              <w:top w:val="single" w:sz="4" w:space="0" w:color="auto"/>
            </w:tcBorders>
            <w:noWrap/>
            <w:vAlign w:val="bottom"/>
            <w:hideMark/>
          </w:tcPr>
          <w:p w14:paraId="58A8477E" w14:textId="62FFE735" w:rsidR="00361D9A" w:rsidRDefault="00885FCE">
            <w:pPr>
              <w:pStyle w:val="P68B1DB1-Normal-pool-Table1"/>
            </w:pPr>
            <w:r>
              <w:t>Год</w:t>
            </w:r>
          </w:p>
        </w:tc>
        <w:tc>
          <w:tcPr>
            <w:tcW w:w="1560" w:type="dxa"/>
            <w:tcBorders>
              <w:top w:val="single" w:sz="4" w:space="0" w:color="auto"/>
            </w:tcBorders>
            <w:noWrap/>
            <w:vAlign w:val="bottom"/>
            <w:hideMark/>
          </w:tcPr>
          <w:p w14:paraId="0078DE5D" w14:textId="77777777" w:rsidR="00361D9A" w:rsidRDefault="00885FCE">
            <w:pPr>
              <w:pStyle w:val="P68B1DB1-Normal-pool-Table1"/>
              <w:jc w:val="right"/>
            </w:pPr>
            <w:r>
              <w:t>Расходы на аренду помещения</w:t>
            </w:r>
          </w:p>
        </w:tc>
        <w:tc>
          <w:tcPr>
            <w:tcW w:w="1984" w:type="dxa"/>
            <w:tcBorders>
              <w:top w:val="single" w:sz="4" w:space="0" w:color="auto"/>
            </w:tcBorders>
            <w:noWrap/>
            <w:vAlign w:val="bottom"/>
            <w:hideMark/>
          </w:tcPr>
          <w:p w14:paraId="37F73508" w14:textId="4DD8AEA0" w:rsidR="00361D9A" w:rsidRDefault="00885FCE">
            <w:pPr>
              <w:pStyle w:val="P68B1DB1-Normal-pool-Table1"/>
              <w:jc w:val="right"/>
            </w:pPr>
            <w:r>
              <w:t>Количество участников, представляющих Стороны, действующих в рамках статьи 5, чьи расходы были оплачены</w:t>
            </w:r>
          </w:p>
        </w:tc>
        <w:tc>
          <w:tcPr>
            <w:tcW w:w="1928" w:type="dxa"/>
            <w:tcBorders>
              <w:top w:val="single" w:sz="4" w:space="0" w:color="auto"/>
            </w:tcBorders>
            <w:vAlign w:val="bottom"/>
          </w:tcPr>
          <w:p w14:paraId="21BA43EF" w14:textId="7B270AD2" w:rsidR="00361D9A" w:rsidRDefault="00885FCE">
            <w:pPr>
              <w:pStyle w:val="P68B1DB1-Normal-pool-Table1"/>
              <w:jc w:val="right"/>
            </w:pPr>
            <w:r>
              <w:t>Путевые расходы участников, представляющих Стороны, действующих в рамках статьи 5</w:t>
            </w:r>
          </w:p>
        </w:tc>
      </w:tr>
      <w:tr w:rsidR="00361D9A" w14:paraId="5EDD8347" w14:textId="77777777">
        <w:trPr>
          <w:trHeight w:val="57"/>
          <w:jc w:val="right"/>
        </w:trPr>
        <w:tc>
          <w:tcPr>
            <w:tcW w:w="2835" w:type="dxa"/>
            <w:tcBorders>
              <w:top w:val="single" w:sz="12" w:space="0" w:color="auto"/>
            </w:tcBorders>
            <w:noWrap/>
            <w:vAlign w:val="bottom"/>
            <w:hideMark/>
          </w:tcPr>
          <w:p w14:paraId="7A6583DF" w14:textId="77777777" w:rsidR="00361D9A" w:rsidRDefault="00885FCE">
            <w:pPr>
              <w:pStyle w:val="Normal-pool-Table"/>
            </w:pPr>
            <w:r>
              <w:lastRenderedPageBreak/>
              <w:t>2026</w:t>
            </w:r>
          </w:p>
        </w:tc>
        <w:tc>
          <w:tcPr>
            <w:tcW w:w="1560" w:type="dxa"/>
            <w:tcBorders>
              <w:top w:val="single" w:sz="12" w:space="0" w:color="auto"/>
            </w:tcBorders>
            <w:noWrap/>
            <w:vAlign w:val="bottom"/>
            <w:hideMark/>
          </w:tcPr>
          <w:p w14:paraId="2686D202" w14:textId="4B32A9A1" w:rsidR="00361D9A" w:rsidRDefault="00885FCE">
            <w:pPr>
              <w:pStyle w:val="Normal-pool-Table"/>
              <w:jc w:val="right"/>
            </w:pPr>
            <w:r>
              <w:t xml:space="preserve">1500 </w:t>
            </w:r>
          </w:p>
        </w:tc>
        <w:tc>
          <w:tcPr>
            <w:tcW w:w="1984" w:type="dxa"/>
            <w:tcBorders>
              <w:top w:val="single" w:sz="12" w:space="0" w:color="auto"/>
            </w:tcBorders>
            <w:noWrap/>
            <w:vAlign w:val="bottom"/>
            <w:hideMark/>
          </w:tcPr>
          <w:p w14:paraId="1D334BEE" w14:textId="399F2187" w:rsidR="00361D9A" w:rsidRDefault="00885FCE">
            <w:pPr>
              <w:pStyle w:val="Normal-pool-Table"/>
              <w:jc w:val="right"/>
            </w:pPr>
            <w:r>
              <w:t xml:space="preserve">13 </w:t>
            </w:r>
          </w:p>
        </w:tc>
        <w:tc>
          <w:tcPr>
            <w:tcW w:w="1928" w:type="dxa"/>
            <w:tcBorders>
              <w:top w:val="single" w:sz="12" w:space="0" w:color="auto"/>
            </w:tcBorders>
            <w:noWrap/>
            <w:vAlign w:val="bottom"/>
            <w:hideMark/>
          </w:tcPr>
          <w:p w14:paraId="6A01B72F" w14:textId="2A7F1D57" w:rsidR="00361D9A" w:rsidRDefault="00885FCE">
            <w:pPr>
              <w:pStyle w:val="Normal-pool-Table"/>
              <w:jc w:val="right"/>
            </w:pPr>
            <w:r>
              <w:t xml:space="preserve">43 800 </w:t>
            </w:r>
          </w:p>
        </w:tc>
      </w:tr>
      <w:tr w:rsidR="00361D9A" w14:paraId="4D39ECAD" w14:textId="77777777">
        <w:trPr>
          <w:trHeight w:val="57"/>
          <w:jc w:val="right"/>
        </w:trPr>
        <w:tc>
          <w:tcPr>
            <w:tcW w:w="2835" w:type="dxa"/>
            <w:noWrap/>
            <w:vAlign w:val="bottom"/>
            <w:hideMark/>
          </w:tcPr>
          <w:p w14:paraId="730228A3" w14:textId="77777777" w:rsidR="00361D9A" w:rsidRDefault="00885FCE">
            <w:pPr>
              <w:pStyle w:val="Normal-pool-Table"/>
            </w:pPr>
            <w:r>
              <w:t>2025</w:t>
            </w:r>
          </w:p>
        </w:tc>
        <w:tc>
          <w:tcPr>
            <w:tcW w:w="1560" w:type="dxa"/>
            <w:noWrap/>
            <w:vAlign w:val="bottom"/>
            <w:hideMark/>
          </w:tcPr>
          <w:p w14:paraId="3E00CAF4" w14:textId="6ECCAFAD" w:rsidR="00361D9A" w:rsidRDefault="00885FCE">
            <w:pPr>
              <w:pStyle w:val="Normal-pool-Table"/>
              <w:jc w:val="right"/>
            </w:pPr>
            <w:r>
              <w:t xml:space="preserve">12 940 </w:t>
            </w:r>
          </w:p>
        </w:tc>
        <w:tc>
          <w:tcPr>
            <w:tcW w:w="1984" w:type="dxa"/>
            <w:noWrap/>
            <w:vAlign w:val="bottom"/>
            <w:hideMark/>
          </w:tcPr>
          <w:p w14:paraId="3F76B8C6" w14:textId="6A1EF698" w:rsidR="00361D9A" w:rsidRDefault="00885FCE">
            <w:pPr>
              <w:pStyle w:val="Normal-pool-Table"/>
              <w:jc w:val="right"/>
            </w:pPr>
            <w:r>
              <w:t xml:space="preserve">6 </w:t>
            </w:r>
          </w:p>
        </w:tc>
        <w:tc>
          <w:tcPr>
            <w:tcW w:w="1928" w:type="dxa"/>
            <w:noWrap/>
            <w:vAlign w:val="bottom"/>
            <w:hideMark/>
          </w:tcPr>
          <w:p w14:paraId="0B801F35" w14:textId="1CC16EB8" w:rsidR="00361D9A" w:rsidRDefault="00885FCE">
            <w:pPr>
              <w:pStyle w:val="Normal-pool-Table"/>
              <w:jc w:val="right"/>
            </w:pPr>
            <w:r>
              <w:t xml:space="preserve">23 237 </w:t>
            </w:r>
          </w:p>
        </w:tc>
      </w:tr>
      <w:tr w:rsidR="00361D9A" w14:paraId="38BD79AC" w14:textId="77777777">
        <w:trPr>
          <w:trHeight w:val="57"/>
          <w:jc w:val="right"/>
        </w:trPr>
        <w:tc>
          <w:tcPr>
            <w:tcW w:w="2835" w:type="dxa"/>
            <w:noWrap/>
            <w:vAlign w:val="bottom"/>
            <w:hideMark/>
          </w:tcPr>
          <w:p w14:paraId="42397A12" w14:textId="77777777" w:rsidR="00361D9A" w:rsidRDefault="00885FCE">
            <w:pPr>
              <w:pStyle w:val="Normal-pool-Table"/>
            </w:pPr>
            <w:r>
              <w:t>2024</w:t>
            </w:r>
          </w:p>
        </w:tc>
        <w:tc>
          <w:tcPr>
            <w:tcW w:w="1560" w:type="dxa"/>
            <w:noWrap/>
            <w:vAlign w:val="bottom"/>
            <w:hideMark/>
          </w:tcPr>
          <w:p w14:paraId="322687A3" w14:textId="1A95DD52" w:rsidR="00361D9A" w:rsidRDefault="00885FCE">
            <w:pPr>
              <w:pStyle w:val="Normal-pool-Table"/>
              <w:jc w:val="right"/>
            </w:pPr>
            <w:r>
              <w:t xml:space="preserve">4860 </w:t>
            </w:r>
          </w:p>
        </w:tc>
        <w:tc>
          <w:tcPr>
            <w:tcW w:w="1984" w:type="dxa"/>
            <w:noWrap/>
            <w:vAlign w:val="bottom"/>
            <w:hideMark/>
          </w:tcPr>
          <w:p w14:paraId="0B2E41B9" w14:textId="58D32E43" w:rsidR="00361D9A" w:rsidRDefault="00885FCE">
            <w:pPr>
              <w:pStyle w:val="Normal-pool-Table"/>
              <w:jc w:val="right"/>
            </w:pPr>
            <w:r>
              <w:t xml:space="preserve">6 </w:t>
            </w:r>
          </w:p>
        </w:tc>
        <w:tc>
          <w:tcPr>
            <w:tcW w:w="1928" w:type="dxa"/>
            <w:noWrap/>
            <w:vAlign w:val="bottom"/>
            <w:hideMark/>
          </w:tcPr>
          <w:p w14:paraId="664323B3" w14:textId="49075EC1" w:rsidR="00361D9A" w:rsidRDefault="00885FCE">
            <w:pPr>
              <w:pStyle w:val="Normal-pool-Table"/>
              <w:jc w:val="right"/>
            </w:pPr>
            <w:r>
              <w:t xml:space="preserve">18 514 </w:t>
            </w:r>
          </w:p>
        </w:tc>
      </w:tr>
      <w:tr w:rsidR="00361D9A" w14:paraId="431C713D" w14:textId="77777777">
        <w:trPr>
          <w:trHeight w:val="57"/>
          <w:jc w:val="right"/>
        </w:trPr>
        <w:tc>
          <w:tcPr>
            <w:tcW w:w="2835" w:type="dxa"/>
            <w:noWrap/>
            <w:vAlign w:val="bottom"/>
            <w:hideMark/>
          </w:tcPr>
          <w:p w14:paraId="57F187AF" w14:textId="77777777" w:rsidR="00361D9A" w:rsidRDefault="00885FCE">
            <w:pPr>
              <w:pStyle w:val="Normal-pool-Table"/>
            </w:pPr>
            <w:r>
              <w:t>2023</w:t>
            </w:r>
          </w:p>
        </w:tc>
        <w:tc>
          <w:tcPr>
            <w:tcW w:w="1560" w:type="dxa"/>
            <w:noWrap/>
            <w:vAlign w:val="bottom"/>
            <w:hideMark/>
          </w:tcPr>
          <w:p w14:paraId="5F9EC9F1" w14:textId="1023DDD8" w:rsidR="00361D9A" w:rsidRDefault="00885FCE">
            <w:pPr>
              <w:pStyle w:val="Normal-pool-Table"/>
              <w:jc w:val="right"/>
            </w:pPr>
            <w:r>
              <w:t xml:space="preserve">7121 </w:t>
            </w:r>
          </w:p>
        </w:tc>
        <w:tc>
          <w:tcPr>
            <w:tcW w:w="1984" w:type="dxa"/>
            <w:noWrap/>
            <w:vAlign w:val="bottom"/>
            <w:hideMark/>
          </w:tcPr>
          <w:p w14:paraId="69B5F951" w14:textId="1FA9EE01" w:rsidR="00361D9A" w:rsidRDefault="00885FCE">
            <w:pPr>
              <w:pStyle w:val="Normal-pool-Table"/>
              <w:jc w:val="right"/>
            </w:pPr>
            <w:r>
              <w:t xml:space="preserve">5 </w:t>
            </w:r>
          </w:p>
        </w:tc>
        <w:tc>
          <w:tcPr>
            <w:tcW w:w="1928" w:type="dxa"/>
            <w:noWrap/>
            <w:vAlign w:val="bottom"/>
            <w:hideMark/>
          </w:tcPr>
          <w:p w14:paraId="4A6295DF" w14:textId="4B6A9A09" w:rsidR="00361D9A" w:rsidRDefault="00885FCE">
            <w:pPr>
              <w:pStyle w:val="Normal-pool-Table"/>
              <w:jc w:val="right"/>
            </w:pPr>
            <w:r>
              <w:t xml:space="preserve">21 639 </w:t>
            </w:r>
          </w:p>
        </w:tc>
      </w:tr>
      <w:tr w:rsidR="00361D9A" w14:paraId="7547E47D" w14:textId="77777777">
        <w:trPr>
          <w:trHeight w:val="57"/>
          <w:jc w:val="right"/>
        </w:trPr>
        <w:tc>
          <w:tcPr>
            <w:tcW w:w="2835" w:type="dxa"/>
            <w:tcBorders>
              <w:bottom w:val="single" w:sz="4" w:space="0" w:color="auto"/>
            </w:tcBorders>
            <w:vAlign w:val="bottom"/>
            <w:hideMark/>
          </w:tcPr>
          <w:p w14:paraId="35311A36" w14:textId="684B1647" w:rsidR="00361D9A" w:rsidRDefault="00885FCE">
            <w:pPr>
              <w:pStyle w:val="P68B1DB1-Normal-pool-Table2"/>
            </w:pPr>
            <w:r>
              <w:t>Среднее значение за 4 года</w:t>
            </w:r>
          </w:p>
        </w:tc>
        <w:tc>
          <w:tcPr>
            <w:tcW w:w="1560" w:type="dxa"/>
            <w:tcBorders>
              <w:bottom w:val="single" w:sz="4" w:space="0" w:color="auto"/>
            </w:tcBorders>
            <w:noWrap/>
            <w:vAlign w:val="bottom"/>
            <w:hideMark/>
          </w:tcPr>
          <w:p w14:paraId="754B27AD" w14:textId="4AE5EC50" w:rsidR="00361D9A" w:rsidRDefault="00885FCE">
            <w:pPr>
              <w:pStyle w:val="Normal-pool-Table"/>
              <w:jc w:val="right"/>
            </w:pPr>
            <w:r>
              <w:t xml:space="preserve">6605 </w:t>
            </w:r>
          </w:p>
        </w:tc>
        <w:tc>
          <w:tcPr>
            <w:tcW w:w="1984" w:type="dxa"/>
            <w:tcBorders>
              <w:bottom w:val="single" w:sz="4" w:space="0" w:color="auto"/>
            </w:tcBorders>
            <w:noWrap/>
            <w:vAlign w:val="bottom"/>
            <w:hideMark/>
          </w:tcPr>
          <w:p w14:paraId="5F3E0BC3" w14:textId="2E361BA7" w:rsidR="00361D9A" w:rsidRDefault="00885FCE">
            <w:pPr>
              <w:pStyle w:val="Normal-pool-Table"/>
              <w:jc w:val="right"/>
            </w:pPr>
            <w:r>
              <w:t xml:space="preserve">8 </w:t>
            </w:r>
          </w:p>
        </w:tc>
        <w:tc>
          <w:tcPr>
            <w:tcW w:w="1928" w:type="dxa"/>
            <w:tcBorders>
              <w:bottom w:val="single" w:sz="4" w:space="0" w:color="auto"/>
            </w:tcBorders>
            <w:noWrap/>
            <w:vAlign w:val="bottom"/>
            <w:hideMark/>
          </w:tcPr>
          <w:p w14:paraId="02F111E3" w14:textId="1A0E833A" w:rsidR="00361D9A" w:rsidRDefault="00885FCE">
            <w:pPr>
              <w:pStyle w:val="Normal-pool-Table"/>
              <w:jc w:val="right"/>
            </w:pPr>
            <w:r>
              <w:t xml:space="preserve">26 797 </w:t>
            </w:r>
          </w:p>
        </w:tc>
      </w:tr>
      <w:tr w:rsidR="00361D9A" w14:paraId="193F71B1" w14:textId="77777777">
        <w:trPr>
          <w:trHeight w:val="57"/>
          <w:jc w:val="right"/>
        </w:trPr>
        <w:tc>
          <w:tcPr>
            <w:tcW w:w="2835" w:type="dxa"/>
            <w:tcBorders>
              <w:top w:val="single" w:sz="4" w:space="0" w:color="auto"/>
              <w:bottom w:val="single" w:sz="12" w:space="0" w:color="auto"/>
            </w:tcBorders>
            <w:noWrap/>
            <w:vAlign w:val="bottom"/>
            <w:hideMark/>
          </w:tcPr>
          <w:p w14:paraId="62158400" w14:textId="5D552D13" w:rsidR="00361D9A" w:rsidRDefault="00885FCE">
            <w:pPr>
              <w:pStyle w:val="P68B1DB1-Normal-pool-Table2"/>
            </w:pPr>
            <w:r>
              <w:t>Общие расходы на одно совещание, включая затраты на аренду помещения и проезд</w:t>
            </w:r>
          </w:p>
        </w:tc>
        <w:tc>
          <w:tcPr>
            <w:tcW w:w="1560" w:type="dxa"/>
            <w:tcBorders>
              <w:top w:val="single" w:sz="4" w:space="0" w:color="auto"/>
              <w:bottom w:val="single" w:sz="12" w:space="0" w:color="auto"/>
            </w:tcBorders>
            <w:noWrap/>
            <w:vAlign w:val="bottom"/>
            <w:hideMark/>
          </w:tcPr>
          <w:p w14:paraId="39BF7342" w14:textId="6160EB90" w:rsidR="00361D9A" w:rsidRDefault="00361D9A">
            <w:pPr>
              <w:pStyle w:val="Normal-pool-Table"/>
              <w:jc w:val="right"/>
              <w:rPr>
                <w:b/>
              </w:rPr>
            </w:pPr>
          </w:p>
        </w:tc>
        <w:tc>
          <w:tcPr>
            <w:tcW w:w="1984" w:type="dxa"/>
            <w:tcBorders>
              <w:top w:val="single" w:sz="4" w:space="0" w:color="auto"/>
              <w:bottom w:val="single" w:sz="12" w:space="0" w:color="auto"/>
            </w:tcBorders>
            <w:noWrap/>
            <w:vAlign w:val="bottom"/>
            <w:hideMark/>
          </w:tcPr>
          <w:p w14:paraId="00B588B7" w14:textId="7B0ED507" w:rsidR="00361D9A" w:rsidRDefault="00361D9A">
            <w:pPr>
              <w:pStyle w:val="Normal-pool-Table"/>
              <w:jc w:val="right"/>
              <w:rPr>
                <w:b/>
              </w:rPr>
            </w:pPr>
          </w:p>
        </w:tc>
        <w:tc>
          <w:tcPr>
            <w:tcW w:w="1928" w:type="dxa"/>
            <w:tcBorders>
              <w:top w:val="single" w:sz="4" w:space="0" w:color="auto"/>
              <w:bottom w:val="single" w:sz="12" w:space="0" w:color="auto"/>
            </w:tcBorders>
            <w:noWrap/>
            <w:vAlign w:val="bottom"/>
            <w:hideMark/>
          </w:tcPr>
          <w:p w14:paraId="7AA4A449" w14:textId="34539924" w:rsidR="00361D9A" w:rsidRDefault="00885FCE">
            <w:pPr>
              <w:pStyle w:val="P68B1DB1-Normal-pool-Table2"/>
              <w:jc w:val="right"/>
            </w:pPr>
            <w:r>
              <w:t xml:space="preserve">33 403 </w:t>
            </w:r>
          </w:p>
        </w:tc>
      </w:tr>
    </w:tbl>
    <w:p w14:paraId="52C31E2F" w14:textId="171FB399" w:rsidR="00361D9A" w:rsidRDefault="00885FCE">
      <w:pPr>
        <w:pStyle w:val="P68B1DB1-Normalnumber5"/>
        <w:spacing w:before="240"/>
        <w:ind w:left="1247"/>
        <w:rPr>
          <w:rFonts w:eastAsiaTheme="minorHAnsi"/>
        </w:rPr>
      </w:pPr>
      <w:r>
        <w:t xml:space="preserve">Две таблицы, представленные в документе UNEP/OzL.Pro.WG.1/48/4/Add.1, а именно таблица 3 («Расходы, понесенные в связи с организацией совещаний групп по оценке и комитетов по техническим вариантам замены в период с 2022 по 2025 год») и таблица 4 («Расходы, понесенные в связи с участием сопредседателей и ключевых экспертов, представляющих Стороны, действующих в рамках статьи 5, в совещаниях Рабочей группы открытого состава и Руководителей исследований по озону, а также в Совещаниях Сторон в период с 2022 по </w:t>
      </w:r>
      <w:r>
        <w:t xml:space="preserve">2025 год»), были объединены в одну и обновлены с учетом данных за 2026 год. Обновленная таблица представлена в виде отдельной информационной записки на портале, посвященном тридцать восьмому совещанию Сторон. </w:t>
      </w:r>
    </w:p>
    <w:p w14:paraId="6E90F523" w14:textId="3639A61C" w:rsidR="00361D9A" w:rsidRDefault="00885FCE">
      <w:pPr>
        <w:pStyle w:val="CH2"/>
      </w:pPr>
      <w:r>
        <w:tab/>
        <w:t>F.</w:t>
      </w:r>
      <w:r>
        <w:tab/>
        <w:t>Опыт, накопленный в связи с изменением периодичности совещаний</w:t>
      </w:r>
    </w:p>
    <w:p w14:paraId="4A1933DA" w14:textId="703CF179" w:rsidR="00361D9A" w:rsidRDefault="00885FCE">
      <w:pPr>
        <w:pStyle w:val="Normalnumber"/>
        <w:tabs>
          <w:tab w:val="clear" w:pos="1247"/>
          <w:tab w:val="clear" w:pos="1814"/>
          <w:tab w:val="clear" w:pos="2381"/>
          <w:tab w:val="clear" w:pos="2948"/>
          <w:tab w:val="clear" w:pos="3515"/>
        </w:tabs>
        <w:ind w:left="1247"/>
      </w:pPr>
      <w:r>
        <w:t>На своем первом совещании, состоявшемся в 1989 году, Конференция Сторон Венской конвенции утвердила правила процедуры, предусматривающие проведение очередных совещаний один раз в два года при условии, что Стороны не примут иного решения. На своем втором совещании в 1991 году Конференция постановила, что начиная с третьей сессии в 1993 году подобные мероприятия будут созываться с периодичностью раз в три года. С тех пор этот трехлетний цикл сохраняется. Это изменение отражало характер и сроки выполнения рабо</w:t>
      </w:r>
      <w:r>
        <w:t>ты в рамках Конвенции, а также позволило установить оптимальную периодичность созыва, что обеспечило регулярное рассмотрение Конференцией вопросов, касающихся научных исследований, систематических наблюдений, сотрудничества и управления Конвенцией при условии непрерывного ведения соответствующей деятельности в межсессионные периоды.</w:t>
      </w:r>
    </w:p>
    <w:p w14:paraId="43E72104" w14:textId="36C078B4" w:rsidR="00361D9A" w:rsidRDefault="00885FCE">
      <w:pPr>
        <w:pStyle w:val="Normalnumber"/>
        <w:tabs>
          <w:tab w:val="clear" w:pos="1247"/>
          <w:tab w:val="clear" w:pos="1814"/>
          <w:tab w:val="clear" w:pos="2381"/>
          <w:tab w:val="clear" w:pos="2948"/>
          <w:tab w:val="clear" w:pos="3515"/>
        </w:tabs>
        <w:ind w:left="1247"/>
      </w:pPr>
      <w:r>
        <w:t>Периодичность совещаний Рабочей группы открытого состава также менялась на протяжении всей истории реализации Монреальского протокола. В первые годы Рабочая группа открытого состава собиралась часто, поскольку Стороны разрабатывали важные элементы режима. Первое совещание состоялось в августе 1989 года, а к июню 1990 года было проведено уже четыре заседания, состоявших из нескольких сессий. На втором Совещании Сторон в июне 1990 года Секретариату было поручено созвать при необходимости до шести заседаний Ра</w:t>
      </w:r>
      <w:r>
        <w:t>бочей группы открытого состава до проведения третьего Совещания Сторон. В тот период Рабочая группа открытого состава рассматривала ряд важных вопросов, в том числе касающихся учреждения механизма финансирования, внесения корректировок и поправок в Протокол, подготовки планов работы в рамках статей 9 и 10, а также применения торговых положений Протокола. В период между вторым и третьим Совещаниями Сторон было проведено всего одно заседание, а в период между третьим и четвертым Совещаниями Сторон — три встре</w:t>
      </w:r>
      <w:r>
        <w:t>чи.</w:t>
      </w:r>
    </w:p>
    <w:p w14:paraId="14EA62BC" w14:textId="34B0AC38" w:rsidR="00361D9A" w:rsidRDefault="00885FCE">
      <w:pPr>
        <w:pStyle w:val="Normalnumber"/>
        <w:tabs>
          <w:tab w:val="clear" w:pos="1247"/>
          <w:tab w:val="clear" w:pos="1814"/>
          <w:tab w:val="clear" w:pos="2381"/>
          <w:tab w:val="clear" w:pos="2948"/>
          <w:tab w:val="clear" w:pos="3515"/>
        </w:tabs>
        <w:ind w:left="1247"/>
      </w:pPr>
      <w:r>
        <w:t>По мере становления этих институциональных механизмов и изменения характера деятельности необходимость в столь частых совещаниях Рабочей группы открытого состава отпала. В результате сложился текущий порядок работы, при котором очередное заседание Рабочей группы открытого состава обычно проводится один раз в год — в преддверии ежегодного Совещания Сторон. В ходе переговоров по Кигалийской поправке в 2015 и 2016 годах число заседаний Рабочей группы открытого состава вновь возросло в связи с проведением неско</w:t>
      </w:r>
      <w:r>
        <w:t>льких возобновленных сессий Рабочей группы открытого состава. Во время пандемии COVID-19, когда все мероприятия были переведены в онлайн-формат, количество совещаний Рабочей группы открытого состава также увеличилось. Каждое из них проходило в формате информационного брифинга с сессиями вопросов и ответов по различным докладам Группы по техническому обзору и экономической оценке, которые были посвящены, в частности, пополнению средств, проблематике ХФУ-11 и повышению энергоэффективности.</w:t>
      </w:r>
    </w:p>
    <w:p w14:paraId="6552B84B" w14:textId="1FE36D54" w:rsidR="00361D9A" w:rsidRDefault="00885FCE">
      <w:pPr>
        <w:pStyle w:val="Normalnumber"/>
        <w:tabs>
          <w:tab w:val="clear" w:pos="1247"/>
          <w:tab w:val="clear" w:pos="1814"/>
          <w:tab w:val="clear" w:pos="2381"/>
          <w:tab w:val="clear" w:pos="2948"/>
          <w:tab w:val="clear" w:pos="3515"/>
        </w:tabs>
        <w:ind w:left="1247"/>
      </w:pPr>
      <w:r>
        <w:t xml:space="preserve">Периодичность совещаний Исполнительного комитета Многостороннего фонда также менялась с учетом объема его работы. В первые годы существования Фонда Исполнительный комитет собирался часто (в частности, четыре раза в 1994 году), после чего установился график, предусматривающий проведение трех заседаний в год. В последующем вопрос о </w:t>
      </w:r>
      <w:r>
        <w:lastRenderedPageBreak/>
        <w:t>сокращении их числа поднимался неоднократно. В периоды высокой рабочей нагрузки — в том числе во время разработки и анализа политики и планов по поэтапному отказу от гидрохлорфторуглеродов (ГХФУ) — этот трехлетний график сохранялся. В 2014 году Исполнительный комитет в порядке эксперимента перешел на проведение двух совещаний в год, сохранив возможность организации дополнительного межсессионного заседания в случае возникновения неотложных вопросов. В дальнейшем проведение двух совещаний в год стало стандарт</w:t>
      </w:r>
      <w:r>
        <w:t>ной практикой. Круг полномочий Исполнительного комитета по-прежнему обеспечивает гибкость, позволяя проводить два или три заседания ежегодно.</w:t>
      </w:r>
    </w:p>
    <w:p w14:paraId="7EDA7653" w14:textId="087F7E67" w:rsidR="00361D9A" w:rsidRDefault="00885FCE">
      <w:pPr>
        <w:pStyle w:val="Normalnumber"/>
        <w:tabs>
          <w:tab w:val="clear" w:pos="1247"/>
          <w:tab w:val="clear" w:pos="1814"/>
          <w:tab w:val="clear" w:pos="2381"/>
          <w:tab w:val="clear" w:pos="2948"/>
          <w:tab w:val="clear" w:pos="3515"/>
        </w:tabs>
        <w:ind w:left="1247"/>
      </w:pPr>
      <w:r>
        <w:t>Накопленный опыт свидетельствует о том, что периодичность совещаний в рамках договоров по озону со временем корректировалась с учетом характера и объема работы, а также институциональных потребностей. Сокращение частоты заседаний не привело к автоматическому снижению эффективности режима. Напротив, в тех случаях, когда объем и неотложность задач это позволяли, совещания проводились реже, поскольку основная содержательная, научно-техническая и административная деятельность непрерывно продолжалась в межсессио</w:t>
      </w:r>
      <w:r>
        <w:t>нные периоды.</w:t>
      </w:r>
    </w:p>
    <w:p w14:paraId="1DFA388E" w14:textId="6D3D85C3" w:rsidR="00361D9A" w:rsidRDefault="00885FCE">
      <w:pPr>
        <w:pStyle w:val="Normalnumber"/>
        <w:tabs>
          <w:tab w:val="clear" w:pos="1247"/>
          <w:tab w:val="clear" w:pos="1814"/>
          <w:tab w:val="clear" w:pos="2381"/>
          <w:tab w:val="clear" w:pos="2948"/>
          <w:tab w:val="clear" w:pos="3515"/>
        </w:tabs>
        <w:ind w:left="1247"/>
      </w:pPr>
      <w:r>
        <w:t>В то же время накопленный опыт также свидетельствует о важности сохранения гибкости. Периоды активной разработки политики или ведения переговоров требовали более частого проведения совещаний и консультаций. В связи с этим при изменении периодичности заседаний в будущем необходимо учитывать ожидаемый объем работы и предусматривать достаточную гибкость для увеличения их частоты или продолжительности.</w:t>
      </w:r>
    </w:p>
    <w:p w14:paraId="07D5B356" w14:textId="1B5A77DA" w:rsidR="00361D9A" w:rsidRDefault="00885FCE">
      <w:pPr>
        <w:pStyle w:val="CH2"/>
      </w:pPr>
      <w:r>
        <w:tab/>
        <w:t>G.</w:t>
      </w:r>
      <w:r>
        <w:tab/>
      </w:r>
      <w:r>
        <w:t>Краткое сравнение графиков и периодичности проведения совещаний в рамках других многосторонних природоохранных соглашений</w:t>
      </w:r>
    </w:p>
    <w:p w14:paraId="0C6C1C21" w14:textId="5B6AB8A4" w:rsidR="00361D9A" w:rsidRDefault="00885FCE">
      <w:pPr>
        <w:pStyle w:val="Normalnumber"/>
        <w:tabs>
          <w:tab w:val="clear" w:pos="1247"/>
          <w:tab w:val="clear" w:pos="1814"/>
          <w:tab w:val="clear" w:pos="2381"/>
          <w:tab w:val="clear" w:pos="2948"/>
          <w:tab w:val="clear" w:pos="3515"/>
        </w:tabs>
        <w:ind w:left="1247"/>
      </w:pPr>
      <w:r>
        <w:t>В информационных целях Секретариат подготовил сравнительный анализ графика и периодичности совещаний руководящих и вспомогательных органов в рамках других многосторонних природоохранных соглашений:</w:t>
      </w:r>
    </w:p>
    <w:p w14:paraId="2CD88416" w14:textId="5E75D9BF" w:rsidR="00361D9A" w:rsidRDefault="00885FCE">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t>В рамках Базельской, Роттердамской и Стокгольмской конвенций Конференции Сторон, как правило, проводятся раз в два года, однако в их структуре также действует разветвленный аппарат вспомогательных органов и механизмов межсессионной работы. В контексте сопоставления с Монреальским протоколом особого внимания заслуживает тот факт, что Рабочая группа открытого состава Сторон Базельской конвенции обычно собирается раз в год, когда Конференция Сторон этой Конвенции не проводится. Комитеты по соблюдению и техниче</w:t>
      </w:r>
      <w:r>
        <w:t xml:space="preserve">ские комитеты в рамках трех конвенций проводят свои заседания ежегодно или по мере накопления работы, сочетая очный и дистанционный форматы. Объединенный секретариат трех конвенций насчитывает около 65 сотрудников. </w:t>
      </w:r>
    </w:p>
    <w:p w14:paraId="0F95BB51" w14:textId="6512F622" w:rsidR="00361D9A" w:rsidRDefault="00885FCE">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t>Минаматская конвенция о ртути наглядно показывает, как может меняться частота проведения совещаний по мере становления международного договора. Первые пять совещаний Конференции Сторон проводились практически ежегодно, после чего очередные совещания Конференции стали организовываться раз в два года. Работа Конференции дополняется региональными подготовительными встречами, заседаниями Бюро, ежегодными совещаниями Комитета по осуществлению и соблюдению, а также научной и экспертной работой. В состав секретари</w:t>
      </w:r>
      <w:r>
        <w:t>ата Конвенции входят 13 сотрудников.</w:t>
      </w:r>
    </w:p>
    <w:p w14:paraId="5B3FE6E2" w14:textId="4B86E878" w:rsidR="00361D9A" w:rsidRDefault="00885FCE">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t>В рамках Конвенции о международной торговле видами дикой фауны и флоры, находящимися под угрозой исчезновения, и Конвенции по мигрирующим видам совещания руководящих органов проводятся значительно реже. Начиная с 2004 года заседания Конференции Сторон Конвенции о международной торговле видами дикой фауны и флоры, находящимися под угрозой исчезновения, обычно созываются раз в три года, при этом ее Постоянный комитет выполняет важные функции в межсессионный период, а Комитет по животным и Комитет по растениям</w:t>
      </w:r>
      <w:r>
        <w:t xml:space="preserve"> проводят по два совещания в период между Конференциями Сторон. В секретариате Конвенции работают около 39 сотрудников. Конвенция по мигрирующим видам также функционирует на основе трехлетнего цикла, который поддерживается ежегодными межсессионными совещаниями ее Постоянного комитета и периодическими заседаниями ее Научного совета. Секретариат Конвенции насчитывает около 35 сотрудников. </w:t>
      </w:r>
    </w:p>
    <w:p w14:paraId="19D90762" w14:textId="11ADEF52" w:rsidR="00361D9A" w:rsidRDefault="00885FCE">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t xml:space="preserve">В 2000 году Конвенция о биологическом разнообразии перешла от ежегодных совещаний Конференции Сторон к двухлетнему циклу заседаний. Руководящие органы Картахенского и Нагойского протоколов также собираются раз в два года одновременно с </w:t>
      </w:r>
      <w:r>
        <w:lastRenderedPageBreak/>
        <w:t>Конференцией Сторон. Тем не менее, в периоды между совещаниями Конференции Сторон продолжается активная работа: ее Вспомогательный орган по научным, техническим и технологическим консультациям с 2010 года, как правило, проводит заседания ежегодно, Вспомогательный орган по осуществлению ведет деятельность в межсессионный период, а Бюро организует встречи в режиме онлайн, а также во время сессий вспомогательных органов. В состав секретариата Конвенции о биологическом разнообразии входит около 110 сотрудников.</w:t>
      </w:r>
      <w:r>
        <w:t xml:space="preserve"> </w:t>
      </w:r>
    </w:p>
    <w:p w14:paraId="3D894411" w14:textId="4B85BE07" w:rsidR="00361D9A" w:rsidRDefault="00885FCE">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t>В рамках Конвенции Организации Объединенных Наций по борьбе с опустыниванием в тех странах, которые испытывают серьезную засуху и (или) опустынивание, особенно в Африке, сессии Конференции Сторон с 2001 года проводятся раз в два года, а встречи ее основных вспомогательных органов также созываются раз в два года. Важно отметить, что ее бюро сохраняют активность в период между сессиями и могут проводить совещания в дистанционном или очном формате, в то время как межправительственные рабочие группы ведут профи</w:t>
      </w:r>
      <w:r>
        <w:t>льную аналитическую деятельность в межсессионные периоды. В секретариате работает примерно 31 сотрудник.</w:t>
      </w:r>
    </w:p>
    <w:p w14:paraId="2D95A427" w14:textId="6F3D3126" w:rsidR="00361D9A" w:rsidRDefault="00885FCE">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t xml:space="preserve">Система Рамочной конвенции Организации Объединенных Наций об изменении климата предусматривает наибольшее число совещаний в сравнении с прочими рассмотренными системами. Заседания ее руководящих органов проходят ежегодно. Два ее основных вспомогательных органа проводят свои встречи два раза в год, при этом в рамках ее структуры функционирует множество учрежденных органов. Их деятельность обеспечивает самый крупный из рассматриваемых секретариатов, штат которого насчитывает около 450 сотрудников. </w:t>
      </w:r>
    </w:p>
    <w:p w14:paraId="610E2384" w14:textId="341778FE" w:rsidR="00361D9A" w:rsidRDefault="00885FCE">
      <w:pPr>
        <w:pStyle w:val="Normalnumber"/>
        <w:tabs>
          <w:tab w:val="clear" w:pos="1247"/>
          <w:tab w:val="clear" w:pos="1814"/>
          <w:tab w:val="clear" w:pos="2381"/>
          <w:tab w:val="clear" w:pos="2948"/>
          <w:tab w:val="clear" w:pos="3515"/>
        </w:tabs>
        <w:ind w:left="1247"/>
      </w:pPr>
      <w:r>
        <w:t>Сравнение с Монреальским протоколом и Венской конвенцией позволяет сделать вывод о том, что текущий порядок работы в рамках договоров по озону предусматривает относительно высокую интенсивность заседаний на уровне руководящих органов. В рамках Монреальского протокола ежегодно проводятся Совещание Сторон и заседание Рабочей группы открытого состава, при этом большинство из рассмотренных зрелых многосторонних природоохранных соглашений — Конвенция о биологическом разнообразии, Конвенция по борьбе с опустынива</w:t>
      </w:r>
      <w:r>
        <w:t>нием, Базельская, Роттердамская и Стокгольмская конвенции, а также Минаматская конвенция о ртути — предусматривают проведение Конференций Сторон раз в два года. В свою очередь, Конвенция о международной торговле видами дикой фауны и флоры, находящимися под угрозой исчезновения, и Конвенция по мигрирующим видам, как и Венская конвенция, требуют организации Конференции Сторон с периодичностью раз в три года. В целом прослеживается очевидная взаимосвязь между институциональной сложностью структуры, объемом раб</w:t>
      </w:r>
      <w:r>
        <w:t>очей нагрузки и численностью штата секретариата.</w:t>
      </w:r>
    </w:p>
    <w:p w14:paraId="7C5671C5" w14:textId="04A2D762" w:rsidR="00361D9A" w:rsidRDefault="00885FCE">
      <w:pPr>
        <w:pStyle w:val="Normalnumber"/>
        <w:tabs>
          <w:tab w:val="clear" w:pos="1247"/>
          <w:tab w:val="clear" w:pos="1814"/>
          <w:tab w:val="clear" w:pos="2381"/>
          <w:tab w:val="clear" w:pos="2948"/>
          <w:tab w:val="clear" w:pos="3515"/>
        </w:tabs>
        <w:ind w:left="1247"/>
      </w:pPr>
      <w:r>
        <w:t xml:space="preserve">Снижение частоты проведения Конференции Сторон не влияет на непрерывность управления; в рамках соответствующих многосторонних природоохранных соглашений межсессионная деятельность руководящих органов продолжается, в том числе за счет функционирования бюро, постоянных, научно-технических комитетов, органов по соблюдению, групп экспертов, а также проведения виртуальных консультаций и других межсессионных процессов. </w:t>
      </w:r>
    </w:p>
    <w:p w14:paraId="7BB5499C" w14:textId="5E44503A" w:rsidR="00361D9A" w:rsidRDefault="00885FCE">
      <w:pPr>
        <w:pStyle w:val="Normalnumber"/>
        <w:tabs>
          <w:tab w:val="clear" w:pos="1247"/>
          <w:tab w:val="clear" w:pos="1814"/>
          <w:tab w:val="clear" w:pos="2381"/>
          <w:tab w:val="clear" w:pos="2948"/>
          <w:tab w:val="clear" w:pos="3515"/>
        </w:tabs>
        <w:ind w:left="1247"/>
      </w:pPr>
      <w:r>
        <w:t>Опыт применения других многосторонних природоохранных соглашений показывает, что снижение периодичности совещаний руководящих органов вполне совместимо с эффективной деятельностью в рамках договоров при наличии вспомогательных органов и механизмов межсессионной работы. Целесообразность оптимизации частоты заседаний по Монреальскому протоколу может оцениваться с учетом возникающей межсессионной нагрузки, потребностей в принятии решений и потенциала Секретариата. Работа в рамках Протокола ведется с высокой ин</w:t>
      </w:r>
      <w:r>
        <w:t>тенсивностью при поддержке немногочисленного штата Секретариата, состоящего из девяти сотрудников категории специалистов и выше, а также восьми сотрудников категории общего обслуживания и смежных категорий.</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361D9A" w14:paraId="4D555506" w14:textId="77777777">
        <w:trPr>
          <w:trHeight w:val="438"/>
        </w:trPr>
        <w:tc>
          <w:tcPr>
            <w:tcW w:w="1897" w:type="dxa"/>
          </w:tcPr>
          <w:p w14:paraId="6F1C93A6" w14:textId="77777777" w:rsidR="00361D9A" w:rsidRDefault="00361D9A">
            <w:pPr>
              <w:pStyle w:val="Normal-pool"/>
              <w:spacing w:before="520"/>
            </w:pPr>
          </w:p>
        </w:tc>
        <w:tc>
          <w:tcPr>
            <w:tcW w:w="1897" w:type="dxa"/>
          </w:tcPr>
          <w:p w14:paraId="365931C7" w14:textId="77777777" w:rsidR="00361D9A" w:rsidRDefault="00361D9A">
            <w:pPr>
              <w:pStyle w:val="Normal-pool"/>
              <w:spacing w:before="520"/>
            </w:pPr>
          </w:p>
        </w:tc>
        <w:tc>
          <w:tcPr>
            <w:tcW w:w="1897" w:type="dxa"/>
            <w:tcBorders>
              <w:bottom w:val="single" w:sz="4" w:space="0" w:color="auto"/>
            </w:tcBorders>
          </w:tcPr>
          <w:p w14:paraId="16D77D7B" w14:textId="77777777" w:rsidR="00361D9A" w:rsidRDefault="00361D9A">
            <w:pPr>
              <w:pStyle w:val="Normal-pool"/>
              <w:spacing w:before="520"/>
            </w:pPr>
          </w:p>
        </w:tc>
        <w:tc>
          <w:tcPr>
            <w:tcW w:w="1898" w:type="dxa"/>
          </w:tcPr>
          <w:p w14:paraId="63F59785" w14:textId="77777777" w:rsidR="00361D9A" w:rsidRDefault="00361D9A">
            <w:pPr>
              <w:pStyle w:val="Normal-pool"/>
              <w:spacing w:before="520"/>
            </w:pPr>
          </w:p>
        </w:tc>
        <w:tc>
          <w:tcPr>
            <w:tcW w:w="1898" w:type="dxa"/>
          </w:tcPr>
          <w:p w14:paraId="5FC2C03A" w14:textId="77777777" w:rsidR="00361D9A" w:rsidRDefault="00361D9A">
            <w:pPr>
              <w:pStyle w:val="Normal-pool"/>
              <w:spacing w:before="520"/>
            </w:pPr>
          </w:p>
        </w:tc>
      </w:tr>
    </w:tbl>
    <w:p w14:paraId="404F6B52" w14:textId="77777777" w:rsidR="00361D9A" w:rsidRDefault="00361D9A">
      <w:pPr>
        <w:pStyle w:val="Normal-pool"/>
      </w:pPr>
    </w:p>
    <w:sectPr w:rsidR="00361D9A">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378B4" w14:textId="77777777" w:rsidR="00885FCE" w:rsidRDefault="00885FCE">
      <w:r>
        <w:separator/>
      </w:r>
    </w:p>
  </w:endnote>
  <w:endnote w:type="continuationSeparator" w:id="0">
    <w:p w14:paraId="3C964399" w14:textId="77777777" w:rsidR="00885FCE" w:rsidRDefault="00885FCE">
      <w:r>
        <w:continuationSeparator/>
      </w:r>
    </w:p>
  </w:endnote>
  <w:endnote w:type="continuationNotice" w:id="1">
    <w:p w14:paraId="41A8657C" w14:textId="77777777" w:rsidR="00885FCE" w:rsidRDefault="00885F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5FA3" w14:textId="33839735" w:rsidR="00361D9A" w:rsidRDefault="00885FCE">
    <w:pPr>
      <w:pStyle w:val="Footer-pool"/>
    </w:pPr>
    <w:r>
      <w:rPr>
        <w:rStyle w:val="PageNumber"/>
        <w:b/>
      </w:rPr>
      <w:fldChar w:fldCharType="begin"/>
    </w:r>
    <w:r>
      <w:rPr>
        <w:rStyle w:val="PageNumber"/>
        <w:b/>
      </w:rPr>
      <w:instrText xml:space="preserve"> PAGE </w:instrText>
    </w:r>
    <w:r>
      <w:rPr>
        <w:rStyle w:val="PageNumber"/>
        <w:b/>
      </w:rPr>
      <w:fldChar w:fldCharType="separate"/>
    </w:r>
    <w:r>
      <w:rPr>
        <w:rStyle w:val="PageNumber"/>
        <w:b/>
      </w:rPr>
      <w:t>1</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89425" w14:textId="678D0892" w:rsidR="00361D9A" w:rsidRDefault="00885FCE">
    <w:pPr>
      <w:pStyle w:val="Footer-pool"/>
      <w:jc w:val="right"/>
    </w:pPr>
    <w:r>
      <w:rPr>
        <w:rStyle w:val="PageNumber"/>
        <w:b/>
      </w:rPr>
      <w:fldChar w:fldCharType="begin"/>
    </w:r>
    <w:r>
      <w:rPr>
        <w:rStyle w:val="PageNumber"/>
        <w:b/>
      </w:rPr>
      <w:instrText xml:space="preserve"> PAGE \* MERGEFORMAT </w:instrText>
    </w:r>
    <w:r>
      <w:rPr>
        <w:rStyle w:val="PageNumber"/>
        <w:b/>
      </w:rPr>
      <w:fldChar w:fldCharType="separate"/>
    </w:r>
    <w:r>
      <w:rPr>
        <w:rStyle w:val="PageNumber"/>
        <w:b/>
      </w:rPr>
      <w:t>1</w:t>
    </w:r>
    <w:r>
      <w:rPr>
        <w:rStyle w:val="PageNumbe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C1A40" w14:textId="77777777" w:rsidR="00885FCE" w:rsidRDefault="00885FCE">
      <w:pPr>
        <w:pStyle w:val="Footnote-Separator"/>
      </w:pPr>
      <w:r>
        <w:separator/>
      </w:r>
    </w:p>
  </w:footnote>
  <w:footnote w:type="continuationSeparator" w:id="0">
    <w:p w14:paraId="11D91316" w14:textId="77777777" w:rsidR="00885FCE" w:rsidRDefault="00885FCE">
      <w:pPr>
        <w:pStyle w:val="Footnote-Separator"/>
      </w:pPr>
      <w:r>
        <w:continuationSeparator/>
      </w:r>
    </w:p>
  </w:footnote>
  <w:footnote w:type="continuationNotice" w:id="1">
    <w:p w14:paraId="43115D56" w14:textId="77777777" w:rsidR="00885FCE" w:rsidRDefault="00885FCE">
      <w:pPr>
        <w:pStyle w:val="ASpacer"/>
      </w:pPr>
    </w:p>
  </w:footnote>
  <w:footnote w:id="2">
    <w:p w14:paraId="4E290C72" w14:textId="1EF309A8" w:rsidR="00361D9A" w:rsidRDefault="00885FCE">
      <w:pPr>
        <w:pStyle w:val="Footnote-Text"/>
      </w:pPr>
      <w:r>
        <w:sym w:font="Symbol" w:char="F02A"/>
      </w:r>
      <w:r>
        <w:t xml:space="preserve"> UNEP/OzL.Pro.38/1.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F3BE" w14:textId="0A2D4F7D" w:rsidR="00361D9A" w:rsidRDefault="00885FCE">
    <w:pPr>
      <w:pStyle w:val="Header-pool"/>
    </w:pPr>
    <w:r>
      <w:fldChar w:fldCharType="begin"/>
    </w:r>
    <w:r>
      <w:instrText xml:space="preserve"> StyleRef A_Symbol </w:instrText>
    </w:r>
    <w:r>
      <w:fldChar w:fldCharType="separate"/>
    </w:r>
    <w:r w:rsidR="00E33406">
      <w:rPr>
        <w:noProof/>
      </w:rPr>
      <w:t>UNEP/OzL.Pro.38/7</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71B3" w14:textId="535D3954" w:rsidR="00361D9A" w:rsidRDefault="00885FCE">
    <w:pPr>
      <w:pStyle w:val="Header-pool"/>
      <w:jc w:val="right"/>
    </w:pPr>
    <w:r>
      <w:fldChar w:fldCharType="begin"/>
    </w:r>
    <w:r>
      <w:instrText xml:space="preserve"> StyleRef A_Symbol </w:instrText>
    </w:r>
    <w:r>
      <w:fldChar w:fldCharType="separate"/>
    </w:r>
    <w:r w:rsidR="00E33406">
      <w:rPr>
        <w:noProof/>
      </w:rPr>
      <w:t>UNEP/OzL.Pro.38/7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FE49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68B0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5C80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B673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249A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AA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66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38CE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804B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5C01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63254C8"/>
    <w:multiLevelType w:val="hybridMultilevel"/>
    <w:tmpl w:val="2C647902"/>
    <w:lvl w:ilvl="0" w:tplc="024EA328">
      <w:start w:val="3"/>
      <w:numFmt w:val="upperLetter"/>
      <w:lvlText w:val="%1."/>
      <w:lvlJc w:val="left"/>
      <w:pPr>
        <w:ind w:left="1211" w:hanging="360"/>
      </w:pPr>
      <w:rPr>
        <w:rFonts w:hint="default"/>
      </w:rPr>
    </w:lvl>
    <w:lvl w:ilvl="1" w:tplc="E0FA819E">
      <w:start w:val="1"/>
      <w:numFmt w:val="lowerLetter"/>
      <w:lvlText w:val="(%2)"/>
      <w:lvlJc w:val="left"/>
      <w:pPr>
        <w:ind w:left="2141" w:hanging="570"/>
      </w:pPr>
      <w:rPr>
        <w:rFonts w:hint="default"/>
      </w:r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10873212"/>
    <w:multiLevelType w:val="hybridMultilevel"/>
    <w:tmpl w:val="C3CC1B24"/>
    <w:lvl w:ilvl="0" w:tplc="B5E6DE74">
      <w:start w:val="3"/>
      <w:numFmt w:val="upperLetter"/>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F803128"/>
    <w:multiLevelType w:val="multilevel"/>
    <w:tmpl w:val="077ED942"/>
    <w:styleLink w:val="CurrentList1"/>
    <w:lvl w:ilvl="0">
      <w:start w:val="1"/>
      <w:numFmt w:val="decimal"/>
      <w:lvlText w:val="%1."/>
      <w:lvlJc w:val="left"/>
      <w:pPr>
        <w:ind w:left="1967" w:hanging="360"/>
      </w:pPr>
    </w:lvl>
    <w:lvl w:ilvl="1">
      <w:start w:val="1"/>
      <w:numFmt w:val="lowerLetter"/>
      <w:lvlText w:val="%2."/>
      <w:lvlJc w:val="left"/>
      <w:pPr>
        <w:ind w:left="2687" w:hanging="360"/>
      </w:pPr>
    </w:lvl>
    <w:lvl w:ilvl="2">
      <w:start w:val="1"/>
      <w:numFmt w:val="lowerRoman"/>
      <w:lvlText w:val="%3."/>
      <w:lvlJc w:val="right"/>
      <w:pPr>
        <w:ind w:left="3407" w:hanging="180"/>
      </w:pPr>
    </w:lvl>
    <w:lvl w:ilvl="3">
      <w:start w:val="1"/>
      <w:numFmt w:val="decimal"/>
      <w:lvlText w:val="%4."/>
      <w:lvlJc w:val="left"/>
      <w:pPr>
        <w:ind w:left="4127" w:hanging="360"/>
      </w:pPr>
    </w:lvl>
    <w:lvl w:ilvl="4">
      <w:start w:val="1"/>
      <w:numFmt w:val="lowerLetter"/>
      <w:lvlText w:val="%5."/>
      <w:lvlJc w:val="left"/>
      <w:pPr>
        <w:ind w:left="4847" w:hanging="360"/>
      </w:pPr>
    </w:lvl>
    <w:lvl w:ilvl="5">
      <w:start w:val="1"/>
      <w:numFmt w:val="lowerRoman"/>
      <w:lvlText w:val="%6."/>
      <w:lvlJc w:val="right"/>
      <w:pPr>
        <w:ind w:left="5567" w:hanging="180"/>
      </w:pPr>
    </w:lvl>
    <w:lvl w:ilvl="6">
      <w:start w:val="1"/>
      <w:numFmt w:val="decimal"/>
      <w:lvlText w:val="%7."/>
      <w:lvlJc w:val="left"/>
      <w:pPr>
        <w:ind w:left="6287" w:hanging="360"/>
      </w:pPr>
    </w:lvl>
    <w:lvl w:ilvl="7">
      <w:start w:val="1"/>
      <w:numFmt w:val="lowerLetter"/>
      <w:lvlText w:val="%8."/>
      <w:lvlJc w:val="left"/>
      <w:pPr>
        <w:ind w:left="7007" w:hanging="360"/>
      </w:pPr>
    </w:lvl>
    <w:lvl w:ilvl="8">
      <w:start w:val="1"/>
      <w:numFmt w:val="lowerRoman"/>
      <w:lvlText w:val="%9."/>
      <w:lvlJc w:val="right"/>
      <w:pPr>
        <w:ind w:left="7727" w:hanging="180"/>
      </w:p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A0440A6"/>
    <w:multiLevelType w:val="hybridMultilevel"/>
    <w:tmpl w:val="B762BC72"/>
    <w:lvl w:ilvl="0" w:tplc="FFFFFFFF">
      <w:start w:val="1"/>
      <w:numFmt w:val="lowerLetter"/>
      <w:lvlText w:val="(%1)"/>
      <w:lvlJc w:val="left"/>
      <w:pPr>
        <w:ind w:left="1610" w:hanging="360"/>
      </w:pPr>
      <w:rPr>
        <w:rFonts w:ascii="Times New Roman" w:eastAsia="Times New Roman" w:hAnsi="Times New Roman" w:cs="Times New Roman"/>
      </w:rPr>
    </w:lvl>
    <w:lvl w:ilvl="1" w:tplc="FFFFFFFF" w:tentative="1">
      <w:start w:val="1"/>
      <w:numFmt w:val="lowerLetter"/>
      <w:lvlText w:val="%2."/>
      <w:lvlJc w:val="left"/>
      <w:pPr>
        <w:ind w:left="2330" w:hanging="360"/>
      </w:pPr>
    </w:lvl>
    <w:lvl w:ilvl="2" w:tplc="FFFFFFFF" w:tentative="1">
      <w:start w:val="1"/>
      <w:numFmt w:val="lowerRoman"/>
      <w:lvlText w:val="%3."/>
      <w:lvlJc w:val="right"/>
      <w:pPr>
        <w:ind w:left="3050" w:hanging="180"/>
      </w:pPr>
    </w:lvl>
    <w:lvl w:ilvl="3" w:tplc="FFFFFFFF" w:tentative="1">
      <w:start w:val="1"/>
      <w:numFmt w:val="decimal"/>
      <w:lvlText w:val="%4."/>
      <w:lvlJc w:val="left"/>
      <w:pPr>
        <w:ind w:left="3770" w:hanging="360"/>
      </w:pPr>
    </w:lvl>
    <w:lvl w:ilvl="4" w:tplc="FFFFFFFF" w:tentative="1">
      <w:start w:val="1"/>
      <w:numFmt w:val="lowerLetter"/>
      <w:lvlText w:val="%5."/>
      <w:lvlJc w:val="left"/>
      <w:pPr>
        <w:ind w:left="4490" w:hanging="360"/>
      </w:pPr>
    </w:lvl>
    <w:lvl w:ilvl="5" w:tplc="FFFFFFFF" w:tentative="1">
      <w:start w:val="1"/>
      <w:numFmt w:val="lowerRoman"/>
      <w:lvlText w:val="%6."/>
      <w:lvlJc w:val="right"/>
      <w:pPr>
        <w:ind w:left="5210" w:hanging="180"/>
      </w:pPr>
    </w:lvl>
    <w:lvl w:ilvl="6" w:tplc="FFFFFFFF" w:tentative="1">
      <w:start w:val="1"/>
      <w:numFmt w:val="decimal"/>
      <w:lvlText w:val="%7."/>
      <w:lvlJc w:val="left"/>
      <w:pPr>
        <w:ind w:left="5930" w:hanging="360"/>
      </w:pPr>
    </w:lvl>
    <w:lvl w:ilvl="7" w:tplc="FFFFFFFF" w:tentative="1">
      <w:start w:val="1"/>
      <w:numFmt w:val="lowerLetter"/>
      <w:lvlText w:val="%8."/>
      <w:lvlJc w:val="left"/>
      <w:pPr>
        <w:ind w:left="6650" w:hanging="360"/>
      </w:pPr>
    </w:lvl>
    <w:lvl w:ilvl="8" w:tplc="FFFFFFFF" w:tentative="1">
      <w:start w:val="1"/>
      <w:numFmt w:val="lowerRoman"/>
      <w:lvlText w:val="%9."/>
      <w:lvlJc w:val="right"/>
      <w:pPr>
        <w:ind w:left="7370"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813077F"/>
    <w:multiLevelType w:val="hybridMultilevel"/>
    <w:tmpl w:val="0ECC2834"/>
    <w:lvl w:ilvl="0" w:tplc="08090001">
      <w:start w:val="1"/>
      <w:numFmt w:val="bullet"/>
      <w:lvlText w:val=""/>
      <w:lvlJc w:val="left"/>
      <w:pPr>
        <w:ind w:left="2174" w:hanging="360"/>
      </w:pPr>
      <w:rPr>
        <w:rFonts w:ascii="Symbol" w:hAnsi="Symbol" w:hint="default"/>
      </w:rPr>
    </w:lvl>
    <w:lvl w:ilvl="1" w:tplc="08090003" w:tentative="1">
      <w:start w:val="1"/>
      <w:numFmt w:val="bullet"/>
      <w:lvlText w:val="o"/>
      <w:lvlJc w:val="left"/>
      <w:pPr>
        <w:ind w:left="2894" w:hanging="360"/>
      </w:pPr>
      <w:rPr>
        <w:rFonts w:ascii="Courier New" w:hAnsi="Courier New" w:cs="Courier New" w:hint="default"/>
      </w:rPr>
    </w:lvl>
    <w:lvl w:ilvl="2" w:tplc="08090005" w:tentative="1">
      <w:start w:val="1"/>
      <w:numFmt w:val="bullet"/>
      <w:lvlText w:val=""/>
      <w:lvlJc w:val="left"/>
      <w:pPr>
        <w:ind w:left="3614" w:hanging="360"/>
      </w:pPr>
      <w:rPr>
        <w:rFonts w:ascii="Wingdings" w:hAnsi="Wingdings" w:hint="default"/>
      </w:rPr>
    </w:lvl>
    <w:lvl w:ilvl="3" w:tplc="08090001" w:tentative="1">
      <w:start w:val="1"/>
      <w:numFmt w:val="bullet"/>
      <w:lvlText w:val=""/>
      <w:lvlJc w:val="left"/>
      <w:pPr>
        <w:ind w:left="4334" w:hanging="360"/>
      </w:pPr>
      <w:rPr>
        <w:rFonts w:ascii="Symbol" w:hAnsi="Symbol" w:hint="default"/>
      </w:rPr>
    </w:lvl>
    <w:lvl w:ilvl="4" w:tplc="08090003" w:tentative="1">
      <w:start w:val="1"/>
      <w:numFmt w:val="bullet"/>
      <w:lvlText w:val="o"/>
      <w:lvlJc w:val="left"/>
      <w:pPr>
        <w:ind w:left="5054" w:hanging="360"/>
      </w:pPr>
      <w:rPr>
        <w:rFonts w:ascii="Courier New" w:hAnsi="Courier New" w:cs="Courier New" w:hint="default"/>
      </w:rPr>
    </w:lvl>
    <w:lvl w:ilvl="5" w:tplc="08090005" w:tentative="1">
      <w:start w:val="1"/>
      <w:numFmt w:val="bullet"/>
      <w:lvlText w:val=""/>
      <w:lvlJc w:val="left"/>
      <w:pPr>
        <w:ind w:left="5774" w:hanging="360"/>
      </w:pPr>
      <w:rPr>
        <w:rFonts w:ascii="Wingdings" w:hAnsi="Wingdings" w:hint="default"/>
      </w:rPr>
    </w:lvl>
    <w:lvl w:ilvl="6" w:tplc="08090001" w:tentative="1">
      <w:start w:val="1"/>
      <w:numFmt w:val="bullet"/>
      <w:lvlText w:val=""/>
      <w:lvlJc w:val="left"/>
      <w:pPr>
        <w:ind w:left="6494" w:hanging="360"/>
      </w:pPr>
      <w:rPr>
        <w:rFonts w:ascii="Symbol" w:hAnsi="Symbol" w:hint="default"/>
      </w:rPr>
    </w:lvl>
    <w:lvl w:ilvl="7" w:tplc="08090003" w:tentative="1">
      <w:start w:val="1"/>
      <w:numFmt w:val="bullet"/>
      <w:lvlText w:val="o"/>
      <w:lvlJc w:val="left"/>
      <w:pPr>
        <w:ind w:left="7214" w:hanging="360"/>
      </w:pPr>
      <w:rPr>
        <w:rFonts w:ascii="Courier New" w:hAnsi="Courier New" w:cs="Courier New" w:hint="default"/>
      </w:rPr>
    </w:lvl>
    <w:lvl w:ilvl="8" w:tplc="08090005" w:tentative="1">
      <w:start w:val="1"/>
      <w:numFmt w:val="bullet"/>
      <w:lvlText w:val=""/>
      <w:lvlJc w:val="left"/>
      <w:pPr>
        <w:ind w:left="7934" w:hanging="360"/>
      </w:pPr>
      <w:rPr>
        <w:rFonts w:ascii="Wingdings" w:hAnsi="Wingdings" w:hint="default"/>
      </w:rPr>
    </w:lvl>
  </w:abstractNum>
  <w:abstractNum w:abstractNumId="19" w15:restartNumberingAfterBreak="0">
    <w:nsid w:val="5DA134D8"/>
    <w:multiLevelType w:val="hybridMultilevel"/>
    <w:tmpl w:val="B762BC72"/>
    <w:lvl w:ilvl="0" w:tplc="FFFFFFFF">
      <w:start w:val="1"/>
      <w:numFmt w:val="lowerLetter"/>
      <w:lvlText w:val="(%1)"/>
      <w:lvlJc w:val="left"/>
      <w:pPr>
        <w:ind w:left="1610" w:hanging="360"/>
      </w:pPr>
      <w:rPr>
        <w:rFonts w:ascii="Times New Roman" w:eastAsia="Times New Roman" w:hAnsi="Times New Roman" w:cs="Times New Roman"/>
      </w:rPr>
    </w:lvl>
    <w:lvl w:ilvl="1" w:tplc="FFFFFFFF" w:tentative="1">
      <w:start w:val="1"/>
      <w:numFmt w:val="lowerLetter"/>
      <w:lvlText w:val="%2."/>
      <w:lvlJc w:val="left"/>
      <w:pPr>
        <w:ind w:left="2330" w:hanging="360"/>
      </w:pPr>
    </w:lvl>
    <w:lvl w:ilvl="2" w:tplc="FFFFFFFF" w:tentative="1">
      <w:start w:val="1"/>
      <w:numFmt w:val="lowerRoman"/>
      <w:lvlText w:val="%3."/>
      <w:lvlJc w:val="right"/>
      <w:pPr>
        <w:ind w:left="3050" w:hanging="180"/>
      </w:pPr>
    </w:lvl>
    <w:lvl w:ilvl="3" w:tplc="FFFFFFFF" w:tentative="1">
      <w:start w:val="1"/>
      <w:numFmt w:val="decimal"/>
      <w:lvlText w:val="%4."/>
      <w:lvlJc w:val="left"/>
      <w:pPr>
        <w:ind w:left="3770" w:hanging="360"/>
      </w:pPr>
    </w:lvl>
    <w:lvl w:ilvl="4" w:tplc="FFFFFFFF" w:tentative="1">
      <w:start w:val="1"/>
      <w:numFmt w:val="lowerLetter"/>
      <w:lvlText w:val="%5."/>
      <w:lvlJc w:val="left"/>
      <w:pPr>
        <w:ind w:left="4490" w:hanging="360"/>
      </w:pPr>
    </w:lvl>
    <w:lvl w:ilvl="5" w:tplc="FFFFFFFF" w:tentative="1">
      <w:start w:val="1"/>
      <w:numFmt w:val="lowerRoman"/>
      <w:lvlText w:val="%6."/>
      <w:lvlJc w:val="right"/>
      <w:pPr>
        <w:ind w:left="5210" w:hanging="180"/>
      </w:pPr>
    </w:lvl>
    <w:lvl w:ilvl="6" w:tplc="FFFFFFFF" w:tentative="1">
      <w:start w:val="1"/>
      <w:numFmt w:val="decimal"/>
      <w:lvlText w:val="%7."/>
      <w:lvlJc w:val="left"/>
      <w:pPr>
        <w:ind w:left="5930" w:hanging="360"/>
      </w:pPr>
    </w:lvl>
    <w:lvl w:ilvl="7" w:tplc="FFFFFFFF" w:tentative="1">
      <w:start w:val="1"/>
      <w:numFmt w:val="lowerLetter"/>
      <w:lvlText w:val="%8."/>
      <w:lvlJc w:val="left"/>
      <w:pPr>
        <w:ind w:left="6650" w:hanging="360"/>
      </w:pPr>
    </w:lvl>
    <w:lvl w:ilvl="8" w:tplc="FFFFFFFF" w:tentative="1">
      <w:start w:val="1"/>
      <w:numFmt w:val="lowerRoman"/>
      <w:lvlText w:val="%9."/>
      <w:lvlJc w:val="right"/>
      <w:pPr>
        <w:ind w:left="7370" w:hanging="180"/>
      </w:pPr>
    </w:lvl>
  </w:abstractNum>
  <w:abstractNum w:abstractNumId="20"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20"/>
  </w:num>
  <w:num w:numId="3" w16cid:durableId="1933662228">
    <w:abstractNumId w:val="15"/>
  </w:num>
  <w:num w:numId="4" w16cid:durableId="1991909117">
    <w:abstractNumId w:val="10"/>
  </w:num>
  <w:num w:numId="5" w16cid:durableId="1138956019">
    <w:abstractNumId w:val="13"/>
  </w:num>
  <w:num w:numId="6" w16cid:durableId="1541893823">
    <w:abstractNumId w:val="9"/>
  </w:num>
  <w:num w:numId="7" w16cid:durableId="1705908734">
    <w:abstractNumId w:val="7"/>
  </w:num>
  <w:num w:numId="8" w16cid:durableId="669941145">
    <w:abstractNumId w:val="6"/>
  </w:num>
  <w:num w:numId="9" w16cid:durableId="1399128221">
    <w:abstractNumId w:val="5"/>
  </w:num>
  <w:num w:numId="10" w16cid:durableId="1539925865">
    <w:abstractNumId w:val="4"/>
  </w:num>
  <w:num w:numId="11" w16cid:durableId="369307452">
    <w:abstractNumId w:val="8"/>
  </w:num>
  <w:num w:numId="12" w16cid:durableId="1608343922">
    <w:abstractNumId w:val="3"/>
  </w:num>
  <w:num w:numId="13" w16cid:durableId="1326398188">
    <w:abstractNumId w:val="2"/>
  </w:num>
  <w:num w:numId="14" w16cid:durableId="906497301">
    <w:abstractNumId w:val="1"/>
  </w:num>
  <w:num w:numId="15" w16cid:durableId="1902211671">
    <w:abstractNumId w:val="0"/>
  </w:num>
  <w:num w:numId="16" w16cid:durableId="427972397">
    <w:abstractNumId w:val="14"/>
  </w:num>
  <w:num w:numId="17" w16cid:durableId="686713729">
    <w:abstractNumId w:val="11"/>
  </w:num>
  <w:num w:numId="18" w16cid:durableId="800685069">
    <w:abstractNumId w:val="12"/>
  </w:num>
  <w:num w:numId="19" w16cid:durableId="1841432745">
    <w:abstractNumId w:val="19"/>
  </w:num>
  <w:num w:numId="20" w16cid:durableId="1399939494">
    <w:abstractNumId w:val="16"/>
  </w:num>
  <w:num w:numId="21" w16cid:durableId="1028020677">
    <w:abstractNumId w:val="17"/>
  </w:num>
  <w:num w:numId="22" w16cid:durableId="138001423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AU" w:vendorID="64" w:dllVersion="0" w:nlCheck="1" w:checkStyle="0"/>
  <w:activeWritingStyle w:appName="MSWord" w:lang="en-US" w:vendorID="64" w:dllVersion="4096"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3E"/>
    <w:rsid w:val="0000068B"/>
    <w:rsid w:val="000008A9"/>
    <w:rsid w:val="00000F35"/>
    <w:rsid w:val="00000FEA"/>
    <w:rsid w:val="0000154E"/>
    <w:rsid w:val="000015B5"/>
    <w:rsid w:val="000016E0"/>
    <w:rsid w:val="00002236"/>
    <w:rsid w:val="000026E7"/>
    <w:rsid w:val="0000293D"/>
    <w:rsid w:val="0000304E"/>
    <w:rsid w:val="000030D6"/>
    <w:rsid w:val="00003111"/>
    <w:rsid w:val="0000322F"/>
    <w:rsid w:val="000034F4"/>
    <w:rsid w:val="00003855"/>
    <w:rsid w:val="00003AC5"/>
    <w:rsid w:val="00003ED1"/>
    <w:rsid w:val="0000452E"/>
    <w:rsid w:val="0000477D"/>
    <w:rsid w:val="00004BDD"/>
    <w:rsid w:val="00004E32"/>
    <w:rsid w:val="00005DEC"/>
    <w:rsid w:val="00005F66"/>
    <w:rsid w:val="000060F8"/>
    <w:rsid w:val="000066D2"/>
    <w:rsid w:val="00006857"/>
    <w:rsid w:val="00006C57"/>
    <w:rsid w:val="00006D6A"/>
    <w:rsid w:val="00007C3C"/>
    <w:rsid w:val="0001001A"/>
    <w:rsid w:val="00010970"/>
    <w:rsid w:val="00010A59"/>
    <w:rsid w:val="00010AF4"/>
    <w:rsid w:val="00010D47"/>
    <w:rsid w:val="00010F6A"/>
    <w:rsid w:val="00011C5D"/>
    <w:rsid w:val="00012734"/>
    <w:rsid w:val="00012D15"/>
    <w:rsid w:val="00012DCF"/>
    <w:rsid w:val="00013D89"/>
    <w:rsid w:val="00014085"/>
    <w:rsid w:val="000141C8"/>
    <w:rsid w:val="000149E6"/>
    <w:rsid w:val="00014E29"/>
    <w:rsid w:val="00014FE3"/>
    <w:rsid w:val="0001568B"/>
    <w:rsid w:val="00015E68"/>
    <w:rsid w:val="00016899"/>
    <w:rsid w:val="000169AA"/>
    <w:rsid w:val="00016AF3"/>
    <w:rsid w:val="00016E61"/>
    <w:rsid w:val="00016F3F"/>
    <w:rsid w:val="00017213"/>
    <w:rsid w:val="0001759B"/>
    <w:rsid w:val="00017AEA"/>
    <w:rsid w:val="00017DC9"/>
    <w:rsid w:val="00017F2F"/>
    <w:rsid w:val="0002018F"/>
    <w:rsid w:val="0002033D"/>
    <w:rsid w:val="0002035E"/>
    <w:rsid w:val="00020524"/>
    <w:rsid w:val="000207CD"/>
    <w:rsid w:val="000207FD"/>
    <w:rsid w:val="000208C8"/>
    <w:rsid w:val="00020CFA"/>
    <w:rsid w:val="00020FE1"/>
    <w:rsid w:val="00021060"/>
    <w:rsid w:val="0002181A"/>
    <w:rsid w:val="00021BA7"/>
    <w:rsid w:val="00021F87"/>
    <w:rsid w:val="0002202A"/>
    <w:rsid w:val="00022307"/>
    <w:rsid w:val="00022801"/>
    <w:rsid w:val="00022B31"/>
    <w:rsid w:val="00023300"/>
    <w:rsid w:val="000233B2"/>
    <w:rsid w:val="00023420"/>
    <w:rsid w:val="0002381F"/>
    <w:rsid w:val="00023C3B"/>
    <w:rsid w:val="000247B0"/>
    <w:rsid w:val="00024955"/>
    <w:rsid w:val="00024D15"/>
    <w:rsid w:val="00024FB5"/>
    <w:rsid w:val="000251D5"/>
    <w:rsid w:val="000254F8"/>
    <w:rsid w:val="000255D9"/>
    <w:rsid w:val="00025692"/>
    <w:rsid w:val="00025A6E"/>
    <w:rsid w:val="00025B0D"/>
    <w:rsid w:val="00025EA3"/>
    <w:rsid w:val="00026740"/>
    <w:rsid w:val="00026872"/>
    <w:rsid w:val="00026997"/>
    <w:rsid w:val="00026C16"/>
    <w:rsid w:val="00026C38"/>
    <w:rsid w:val="00027586"/>
    <w:rsid w:val="00027591"/>
    <w:rsid w:val="00027676"/>
    <w:rsid w:val="000276C0"/>
    <w:rsid w:val="00027E4C"/>
    <w:rsid w:val="00030549"/>
    <w:rsid w:val="00030854"/>
    <w:rsid w:val="000317CD"/>
    <w:rsid w:val="00031D91"/>
    <w:rsid w:val="00031E9C"/>
    <w:rsid w:val="00031F5B"/>
    <w:rsid w:val="00032389"/>
    <w:rsid w:val="00032D57"/>
    <w:rsid w:val="00032DF9"/>
    <w:rsid w:val="00032F1B"/>
    <w:rsid w:val="00032FD6"/>
    <w:rsid w:val="00033E0B"/>
    <w:rsid w:val="00033F1C"/>
    <w:rsid w:val="00034887"/>
    <w:rsid w:val="0003499B"/>
    <w:rsid w:val="00034D8A"/>
    <w:rsid w:val="00035984"/>
    <w:rsid w:val="00035EDE"/>
    <w:rsid w:val="00036958"/>
    <w:rsid w:val="00037014"/>
    <w:rsid w:val="00037415"/>
    <w:rsid w:val="000374E1"/>
    <w:rsid w:val="000405BB"/>
    <w:rsid w:val="000409F1"/>
    <w:rsid w:val="00040B09"/>
    <w:rsid w:val="00040D49"/>
    <w:rsid w:val="00041C46"/>
    <w:rsid w:val="00042105"/>
    <w:rsid w:val="00042350"/>
    <w:rsid w:val="000423AA"/>
    <w:rsid w:val="000428C3"/>
    <w:rsid w:val="00042CA7"/>
    <w:rsid w:val="00043640"/>
    <w:rsid w:val="00043D52"/>
    <w:rsid w:val="00045042"/>
    <w:rsid w:val="00045F00"/>
    <w:rsid w:val="000467DA"/>
    <w:rsid w:val="00047503"/>
    <w:rsid w:val="000475E1"/>
    <w:rsid w:val="000477CE"/>
    <w:rsid w:val="00047BC2"/>
    <w:rsid w:val="00047F82"/>
    <w:rsid w:val="000500F0"/>
    <w:rsid w:val="000509B4"/>
    <w:rsid w:val="00050B61"/>
    <w:rsid w:val="00050CA5"/>
    <w:rsid w:val="000514DD"/>
    <w:rsid w:val="00051DBF"/>
    <w:rsid w:val="000520DD"/>
    <w:rsid w:val="00053AD8"/>
    <w:rsid w:val="000548F0"/>
    <w:rsid w:val="00054B48"/>
    <w:rsid w:val="00055102"/>
    <w:rsid w:val="000555B4"/>
    <w:rsid w:val="000555D2"/>
    <w:rsid w:val="000559AA"/>
    <w:rsid w:val="00055AB0"/>
    <w:rsid w:val="00056018"/>
    <w:rsid w:val="000565E5"/>
    <w:rsid w:val="00056B03"/>
    <w:rsid w:val="00056B2C"/>
    <w:rsid w:val="000576D5"/>
    <w:rsid w:val="00057889"/>
    <w:rsid w:val="000602FF"/>
    <w:rsid w:val="0006032B"/>
    <w:rsid w:val="0006035B"/>
    <w:rsid w:val="00060A3C"/>
    <w:rsid w:val="0006120B"/>
    <w:rsid w:val="0006138C"/>
    <w:rsid w:val="00062348"/>
    <w:rsid w:val="00062380"/>
    <w:rsid w:val="0006253E"/>
    <w:rsid w:val="00062B18"/>
    <w:rsid w:val="00062DDA"/>
    <w:rsid w:val="00063060"/>
    <w:rsid w:val="00063390"/>
    <w:rsid w:val="0006382A"/>
    <w:rsid w:val="00064292"/>
    <w:rsid w:val="00064C1D"/>
    <w:rsid w:val="00065F8A"/>
    <w:rsid w:val="000662A3"/>
    <w:rsid w:val="00067150"/>
    <w:rsid w:val="000674D5"/>
    <w:rsid w:val="00070390"/>
    <w:rsid w:val="000704E6"/>
    <w:rsid w:val="00070547"/>
    <w:rsid w:val="00070719"/>
    <w:rsid w:val="0007166E"/>
    <w:rsid w:val="00071886"/>
    <w:rsid w:val="00071A51"/>
    <w:rsid w:val="000727AF"/>
    <w:rsid w:val="000729A9"/>
    <w:rsid w:val="00072AB1"/>
    <w:rsid w:val="00072C4A"/>
    <w:rsid w:val="00072E97"/>
    <w:rsid w:val="0007351B"/>
    <w:rsid w:val="00073715"/>
    <w:rsid w:val="00073884"/>
    <w:rsid w:val="00073FF0"/>
    <w:rsid w:val="000742BC"/>
    <w:rsid w:val="000742DB"/>
    <w:rsid w:val="00074444"/>
    <w:rsid w:val="000763D2"/>
    <w:rsid w:val="00076AC2"/>
    <w:rsid w:val="00076EEF"/>
    <w:rsid w:val="00077E98"/>
    <w:rsid w:val="00077EAF"/>
    <w:rsid w:val="00080045"/>
    <w:rsid w:val="0008041D"/>
    <w:rsid w:val="00080454"/>
    <w:rsid w:val="000804FB"/>
    <w:rsid w:val="0008104D"/>
    <w:rsid w:val="0008122A"/>
    <w:rsid w:val="000816F0"/>
    <w:rsid w:val="00081F26"/>
    <w:rsid w:val="00082003"/>
    <w:rsid w:val="00082424"/>
    <w:rsid w:val="00082451"/>
    <w:rsid w:val="000828BF"/>
    <w:rsid w:val="00082A0C"/>
    <w:rsid w:val="00082DCD"/>
    <w:rsid w:val="00082E11"/>
    <w:rsid w:val="00082F5E"/>
    <w:rsid w:val="00083016"/>
    <w:rsid w:val="000833C7"/>
    <w:rsid w:val="00083504"/>
    <w:rsid w:val="00083530"/>
    <w:rsid w:val="0008371A"/>
    <w:rsid w:val="00083E2D"/>
    <w:rsid w:val="0008452B"/>
    <w:rsid w:val="000846B2"/>
    <w:rsid w:val="000848C6"/>
    <w:rsid w:val="0008490F"/>
    <w:rsid w:val="00084F8A"/>
    <w:rsid w:val="00085223"/>
    <w:rsid w:val="000855B9"/>
    <w:rsid w:val="00085F7A"/>
    <w:rsid w:val="000863FA"/>
    <w:rsid w:val="00086AC9"/>
    <w:rsid w:val="00086F44"/>
    <w:rsid w:val="0008710B"/>
    <w:rsid w:val="0008718B"/>
    <w:rsid w:val="000874C3"/>
    <w:rsid w:val="00087630"/>
    <w:rsid w:val="00087B54"/>
    <w:rsid w:val="00087B6C"/>
    <w:rsid w:val="00087C99"/>
    <w:rsid w:val="00087EA0"/>
    <w:rsid w:val="0009026A"/>
    <w:rsid w:val="00090B42"/>
    <w:rsid w:val="00090C39"/>
    <w:rsid w:val="0009125D"/>
    <w:rsid w:val="00091536"/>
    <w:rsid w:val="00091579"/>
    <w:rsid w:val="000916E9"/>
    <w:rsid w:val="00091DF6"/>
    <w:rsid w:val="00091E56"/>
    <w:rsid w:val="00091FB0"/>
    <w:rsid w:val="000920C0"/>
    <w:rsid w:val="000921D4"/>
    <w:rsid w:val="00092523"/>
    <w:rsid w:val="00092FD0"/>
    <w:rsid w:val="00093564"/>
    <w:rsid w:val="00093860"/>
    <w:rsid w:val="0009397A"/>
    <w:rsid w:val="000946C7"/>
    <w:rsid w:val="000947F0"/>
    <w:rsid w:val="00094E34"/>
    <w:rsid w:val="00095422"/>
    <w:rsid w:val="00095D9B"/>
    <w:rsid w:val="00096050"/>
    <w:rsid w:val="0009640C"/>
    <w:rsid w:val="00096CC4"/>
    <w:rsid w:val="00096ED2"/>
    <w:rsid w:val="00097F16"/>
    <w:rsid w:val="00097FD0"/>
    <w:rsid w:val="000A1530"/>
    <w:rsid w:val="000A1B51"/>
    <w:rsid w:val="000A22D9"/>
    <w:rsid w:val="000A2498"/>
    <w:rsid w:val="000A3003"/>
    <w:rsid w:val="000A3C4D"/>
    <w:rsid w:val="000A4BD2"/>
    <w:rsid w:val="000A4D45"/>
    <w:rsid w:val="000A5122"/>
    <w:rsid w:val="000A52BD"/>
    <w:rsid w:val="000A538F"/>
    <w:rsid w:val="000A58A8"/>
    <w:rsid w:val="000A5D6B"/>
    <w:rsid w:val="000A61D8"/>
    <w:rsid w:val="000A7217"/>
    <w:rsid w:val="000A761F"/>
    <w:rsid w:val="000A7945"/>
    <w:rsid w:val="000A7A02"/>
    <w:rsid w:val="000A7CD5"/>
    <w:rsid w:val="000A7F8B"/>
    <w:rsid w:val="000B0121"/>
    <w:rsid w:val="000B01F5"/>
    <w:rsid w:val="000B0477"/>
    <w:rsid w:val="000B053E"/>
    <w:rsid w:val="000B05CA"/>
    <w:rsid w:val="000B0792"/>
    <w:rsid w:val="000B0D0E"/>
    <w:rsid w:val="000B0DF5"/>
    <w:rsid w:val="000B1613"/>
    <w:rsid w:val="000B173E"/>
    <w:rsid w:val="000B1954"/>
    <w:rsid w:val="000B1BE1"/>
    <w:rsid w:val="000B20A6"/>
    <w:rsid w:val="000B21D5"/>
    <w:rsid w:val="000B22A2"/>
    <w:rsid w:val="000B2767"/>
    <w:rsid w:val="000B2CB2"/>
    <w:rsid w:val="000B2EDE"/>
    <w:rsid w:val="000B38EC"/>
    <w:rsid w:val="000B56CA"/>
    <w:rsid w:val="000B6307"/>
    <w:rsid w:val="000B6BA4"/>
    <w:rsid w:val="000B6DA9"/>
    <w:rsid w:val="000B7147"/>
    <w:rsid w:val="000C017C"/>
    <w:rsid w:val="000C08A7"/>
    <w:rsid w:val="000C09C2"/>
    <w:rsid w:val="000C0F51"/>
    <w:rsid w:val="000C138A"/>
    <w:rsid w:val="000C16CD"/>
    <w:rsid w:val="000C173F"/>
    <w:rsid w:val="000C1E68"/>
    <w:rsid w:val="000C20FE"/>
    <w:rsid w:val="000C2A52"/>
    <w:rsid w:val="000C3118"/>
    <w:rsid w:val="000C3509"/>
    <w:rsid w:val="000C385A"/>
    <w:rsid w:val="000C3EAA"/>
    <w:rsid w:val="000C412E"/>
    <w:rsid w:val="000C46A9"/>
    <w:rsid w:val="000C48AC"/>
    <w:rsid w:val="000C4A4B"/>
    <w:rsid w:val="000C5AB2"/>
    <w:rsid w:val="000C5B6C"/>
    <w:rsid w:val="000C6027"/>
    <w:rsid w:val="000C7E53"/>
    <w:rsid w:val="000D13BF"/>
    <w:rsid w:val="000D1474"/>
    <w:rsid w:val="000D1510"/>
    <w:rsid w:val="000D1DFF"/>
    <w:rsid w:val="000D2336"/>
    <w:rsid w:val="000D2F42"/>
    <w:rsid w:val="000D30A7"/>
    <w:rsid w:val="000D31B0"/>
    <w:rsid w:val="000D31CB"/>
    <w:rsid w:val="000D33B1"/>
    <w:rsid w:val="000D33C0"/>
    <w:rsid w:val="000D35D7"/>
    <w:rsid w:val="000D362A"/>
    <w:rsid w:val="000D3884"/>
    <w:rsid w:val="000D4E8E"/>
    <w:rsid w:val="000D548D"/>
    <w:rsid w:val="000D5884"/>
    <w:rsid w:val="000D5BEB"/>
    <w:rsid w:val="000D61A5"/>
    <w:rsid w:val="000D6941"/>
    <w:rsid w:val="000D71B6"/>
    <w:rsid w:val="000D747C"/>
    <w:rsid w:val="000D786A"/>
    <w:rsid w:val="000D7C4A"/>
    <w:rsid w:val="000D7C5F"/>
    <w:rsid w:val="000E01FD"/>
    <w:rsid w:val="000E03CB"/>
    <w:rsid w:val="000E0405"/>
    <w:rsid w:val="000E086D"/>
    <w:rsid w:val="000E087F"/>
    <w:rsid w:val="000E08C3"/>
    <w:rsid w:val="000E0D21"/>
    <w:rsid w:val="000E1149"/>
    <w:rsid w:val="000E1339"/>
    <w:rsid w:val="000E1DF6"/>
    <w:rsid w:val="000E1FBF"/>
    <w:rsid w:val="000E26BC"/>
    <w:rsid w:val="000E30D4"/>
    <w:rsid w:val="000E3433"/>
    <w:rsid w:val="000E39AF"/>
    <w:rsid w:val="000E3B31"/>
    <w:rsid w:val="000E45C9"/>
    <w:rsid w:val="000E4A72"/>
    <w:rsid w:val="000E53C8"/>
    <w:rsid w:val="000E54A2"/>
    <w:rsid w:val="000E56D2"/>
    <w:rsid w:val="000E58B0"/>
    <w:rsid w:val="000E590B"/>
    <w:rsid w:val="000E5AF1"/>
    <w:rsid w:val="000E5D03"/>
    <w:rsid w:val="000E6021"/>
    <w:rsid w:val="000E61C9"/>
    <w:rsid w:val="000E629D"/>
    <w:rsid w:val="000E71E8"/>
    <w:rsid w:val="000E7B70"/>
    <w:rsid w:val="000E7C58"/>
    <w:rsid w:val="000E7E16"/>
    <w:rsid w:val="000E7F39"/>
    <w:rsid w:val="000F023E"/>
    <w:rsid w:val="000F0279"/>
    <w:rsid w:val="000F02C0"/>
    <w:rsid w:val="000F06D3"/>
    <w:rsid w:val="000F0ABA"/>
    <w:rsid w:val="000F0DE2"/>
    <w:rsid w:val="000F0E9C"/>
    <w:rsid w:val="000F116D"/>
    <w:rsid w:val="000F1206"/>
    <w:rsid w:val="000F120F"/>
    <w:rsid w:val="000F128D"/>
    <w:rsid w:val="000F163D"/>
    <w:rsid w:val="000F1684"/>
    <w:rsid w:val="000F181B"/>
    <w:rsid w:val="000F25D5"/>
    <w:rsid w:val="000F3920"/>
    <w:rsid w:val="000F392F"/>
    <w:rsid w:val="000F3DB0"/>
    <w:rsid w:val="000F3E20"/>
    <w:rsid w:val="000F3FEB"/>
    <w:rsid w:val="000F4286"/>
    <w:rsid w:val="000F44C9"/>
    <w:rsid w:val="000F4E98"/>
    <w:rsid w:val="000F53BE"/>
    <w:rsid w:val="000F541A"/>
    <w:rsid w:val="000F573D"/>
    <w:rsid w:val="000F6577"/>
    <w:rsid w:val="000F695E"/>
    <w:rsid w:val="000F6A81"/>
    <w:rsid w:val="000F6CFF"/>
    <w:rsid w:val="000F7301"/>
    <w:rsid w:val="000F74AF"/>
    <w:rsid w:val="000F75BE"/>
    <w:rsid w:val="0010023D"/>
    <w:rsid w:val="00100525"/>
    <w:rsid w:val="00100BE2"/>
    <w:rsid w:val="00100CC8"/>
    <w:rsid w:val="001016FC"/>
    <w:rsid w:val="001017B8"/>
    <w:rsid w:val="001018E4"/>
    <w:rsid w:val="00101AEA"/>
    <w:rsid w:val="00101D77"/>
    <w:rsid w:val="00102140"/>
    <w:rsid w:val="0010225A"/>
    <w:rsid w:val="001022E7"/>
    <w:rsid w:val="001023DD"/>
    <w:rsid w:val="00102440"/>
    <w:rsid w:val="00102A0A"/>
    <w:rsid w:val="00102D9A"/>
    <w:rsid w:val="001037E1"/>
    <w:rsid w:val="00103B9F"/>
    <w:rsid w:val="00103F01"/>
    <w:rsid w:val="001040FC"/>
    <w:rsid w:val="001044A1"/>
    <w:rsid w:val="00104887"/>
    <w:rsid w:val="00104CE4"/>
    <w:rsid w:val="00104E8E"/>
    <w:rsid w:val="001050E5"/>
    <w:rsid w:val="00105F68"/>
    <w:rsid w:val="0010611A"/>
    <w:rsid w:val="00106D0B"/>
    <w:rsid w:val="00106D36"/>
    <w:rsid w:val="00106F04"/>
    <w:rsid w:val="00106F13"/>
    <w:rsid w:val="0010709D"/>
    <w:rsid w:val="0010712B"/>
    <w:rsid w:val="0010753E"/>
    <w:rsid w:val="001078B8"/>
    <w:rsid w:val="001078C4"/>
    <w:rsid w:val="0011068B"/>
    <w:rsid w:val="00110969"/>
    <w:rsid w:val="00110EFC"/>
    <w:rsid w:val="001110B8"/>
    <w:rsid w:val="0011164D"/>
    <w:rsid w:val="001119C4"/>
    <w:rsid w:val="001119F3"/>
    <w:rsid w:val="00112385"/>
    <w:rsid w:val="00112458"/>
    <w:rsid w:val="00112A91"/>
    <w:rsid w:val="00113360"/>
    <w:rsid w:val="00113EDB"/>
    <w:rsid w:val="001140D6"/>
    <w:rsid w:val="00115011"/>
    <w:rsid w:val="00115442"/>
    <w:rsid w:val="00115F73"/>
    <w:rsid w:val="0011716B"/>
    <w:rsid w:val="001173B4"/>
    <w:rsid w:val="001175A3"/>
    <w:rsid w:val="0011795F"/>
    <w:rsid w:val="001202E3"/>
    <w:rsid w:val="00120A59"/>
    <w:rsid w:val="00120B8A"/>
    <w:rsid w:val="00121656"/>
    <w:rsid w:val="001217F6"/>
    <w:rsid w:val="00121840"/>
    <w:rsid w:val="001218BF"/>
    <w:rsid w:val="00121DD5"/>
    <w:rsid w:val="001225D4"/>
    <w:rsid w:val="001225DA"/>
    <w:rsid w:val="001227E3"/>
    <w:rsid w:val="00123487"/>
    <w:rsid w:val="00123699"/>
    <w:rsid w:val="0012435A"/>
    <w:rsid w:val="0012484B"/>
    <w:rsid w:val="00124CD7"/>
    <w:rsid w:val="00124F91"/>
    <w:rsid w:val="001258DD"/>
    <w:rsid w:val="001265C5"/>
    <w:rsid w:val="00126C6B"/>
    <w:rsid w:val="001273D9"/>
    <w:rsid w:val="0012745E"/>
    <w:rsid w:val="001275AA"/>
    <w:rsid w:val="00127613"/>
    <w:rsid w:val="00127725"/>
    <w:rsid w:val="0013059D"/>
    <w:rsid w:val="00130D50"/>
    <w:rsid w:val="00131010"/>
    <w:rsid w:val="001311D5"/>
    <w:rsid w:val="00131215"/>
    <w:rsid w:val="001317F6"/>
    <w:rsid w:val="0013192B"/>
    <w:rsid w:val="001321B7"/>
    <w:rsid w:val="001327F8"/>
    <w:rsid w:val="00132818"/>
    <w:rsid w:val="00132B43"/>
    <w:rsid w:val="001333F2"/>
    <w:rsid w:val="00133DE3"/>
    <w:rsid w:val="00133FCC"/>
    <w:rsid w:val="00133FDF"/>
    <w:rsid w:val="00134358"/>
    <w:rsid w:val="001345D0"/>
    <w:rsid w:val="001345F5"/>
    <w:rsid w:val="00134885"/>
    <w:rsid w:val="00134CBF"/>
    <w:rsid w:val="00136045"/>
    <w:rsid w:val="00136415"/>
    <w:rsid w:val="00136B71"/>
    <w:rsid w:val="00136F5A"/>
    <w:rsid w:val="00137297"/>
    <w:rsid w:val="001372F0"/>
    <w:rsid w:val="00137609"/>
    <w:rsid w:val="00137760"/>
    <w:rsid w:val="001378E9"/>
    <w:rsid w:val="00137B15"/>
    <w:rsid w:val="001402E0"/>
    <w:rsid w:val="0014083A"/>
    <w:rsid w:val="00140970"/>
    <w:rsid w:val="0014174B"/>
    <w:rsid w:val="001417FE"/>
    <w:rsid w:val="0014184A"/>
    <w:rsid w:val="00141A55"/>
    <w:rsid w:val="00141D67"/>
    <w:rsid w:val="00141F2F"/>
    <w:rsid w:val="001421F7"/>
    <w:rsid w:val="001425B9"/>
    <w:rsid w:val="00143095"/>
    <w:rsid w:val="0014337A"/>
    <w:rsid w:val="00143555"/>
    <w:rsid w:val="0014439B"/>
    <w:rsid w:val="00144544"/>
    <w:rsid w:val="00144693"/>
    <w:rsid w:val="001446A3"/>
    <w:rsid w:val="001449A8"/>
    <w:rsid w:val="001456A6"/>
    <w:rsid w:val="00146481"/>
    <w:rsid w:val="0014665F"/>
    <w:rsid w:val="00146A52"/>
    <w:rsid w:val="00146AF3"/>
    <w:rsid w:val="00146BEB"/>
    <w:rsid w:val="00146C18"/>
    <w:rsid w:val="001501E0"/>
    <w:rsid w:val="00150343"/>
    <w:rsid w:val="00150663"/>
    <w:rsid w:val="001510E3"/>
    <w:rsid w:val="001511A7"/>
    <w:rsid w:val="00151B63"/>
    <w:rsid w:val="00152ACF"/>
    <w:rsid w:val="00152BC4"/>
    <w:rsid w:val="00152DF8"/>
    <w:rsid w:val="00152EDD"/>
    <w:rsid w:val="001530B1"/>
    <w:rsid w:val="00153317"/>
    <w:rsid w:val="00153422"/>
    <w:rsid w:val="00153798"/>
    <w:rsid w:val="00153891"/>
    <w:rsid w:val="001545F3"/>
    <w:rsid w:val="0015483D"/>
    <w:rsid w:val="00154856"/>
    <w:rsid w:val="00155395"/>
    <w:rsid w:val="001553D1"/>
    <w:rsid w:val="0015550F"/>
    <w:rsid w:val="00155C61"/>
    <w:rsid w:val="001560AA"/>
    <w:rsid w:val="0015716C"/>
    <w:rsid w:val="001576F5"/>
    <w:rsid w:val="00157B1F"/>
    <w:rsid w:val="00157DD5"/>
    <w:rsid w:val="00157F37"/>
    <w:rsid w:val="00160426"/>
    <w:rsid w:val="00160984"/>
    <w:rsid w:val="00160C27"/>
    <w:rsid w:val="00160C55"/>
    <w:rsid w:val="00160C98"/>
    <w:rsid w:val="00161041"/>
    <w:rsid w:val="00161468"/>
    <w:rsid w:val="001623B6"/>
    <w:rsid w:val="00162702"/>
    <w:rsid w:val="00162B1C"/>
    <w:rsid w:val="00162B3C"/>
    <w:rsid w:val="00163496"/>
    <w:rsid w:val="00163632"/>
    <w:rsid w:val="0016407A"/>
    <w:rsid w:val="00164113"/>
    <w:rsid w:val="0016483C"/>
    <w:rsid w:val="00164D6A"/>
    <w:rsid w:val="00164F43"/>
    <w:rsid w:val="00165889"/>
    <w:rsid w:val="00165D28"/>
    <w:rsid w:val="00166677"/>
    <w:rsid w:val="00166996"/>
    <w:rsid w:val="00166B1C"/>
    <w:rsid w:val="00167301"/>
    <w:rsid w:val="001675BB"/>
    <w:rsid w:val="00167A50"/>
    <w:rsid w:val="001702C7"/>
    <w:rsid w:val="00171460"/>
    <w:rsid w:val="00172317"/>
    <w:rsid w:val="001725EA"/>
    <w:rsid w:val="00172E6C"/>
    <w:rsid w:val="00172E89"/>
    <w:rsid w:val="001733D6"/>
    <w:rsid w:val="00173931"/>
    <w:rsid w:val="00173941"/>
    <w:rsid w:val="00173D27"/>
    <w:rsid w:val="00173F33"/>
    <w:rsid w:val="00174739"/>
    <w:rsid w:val="001758B3"/>
    <w:rsid w:val="001760E8"/>
    <w:rsid w:val="001762D0"/>
    <w:rsid w:val="00176629"/>
    <w:rsid w:val="00176C78"/>
    <w:rsid w:val="00176CAF"/>
    <w:rsid w:val="001777F0"/>
    <w:rsid w:val="00177883"/>
    <w:rsid w:val="00177AFD"/>
    <w:rsid w:val="00177D52"/>
    <w:rsid w:val="00177DA7"/>
    <w:rsid w:val="00177DE4"/>
    <w:rsid w:val="00180095"/>
    <w:rsid w:val="00180676"/>
    <w:rsid w:val="00180789"/>
    <w:rsid w:val="001809D4"/>
    <w:rsid w:val="00181005"/>
    <w:rsid w:val="0018127C"/>
    <w:rsid w:val="001816A9"/>
    <w:rsid w:val="00181EC7"/>
    <w:rsid w:val="00181EC8"/>
    <w:rsid w:val="00181FC0"/>
    <w:rsid w:val="00182232"/>
    <w:rsid w:val="00183C3A"/>
    <w:rsid w:val="00184349"/>
    <w:rsid w:val="001846DD"/>
    <w:rsid w:val="00184756"/>
    <w:rsid w:val="00184858"/>
    <w:rsid w:val="00184D84"/>
    <w:rsid w:val="00184E97"/>
    <w:rsid w:val="0018585C"/>
    <w:rsid w:val="0018695A"/>
    <w:rsid w:val="00187524"/>
    <w:rsid w:val="0018753B"/>
    <w:rsid w:val="00187B86"/>
    <w:rsid w:val="00187BE4"/>
    <w:rsid w:val="001900F5"/>
    <w:rsid w:val="00190A4E"/>
    <w:rsid w:val="00190BA3"/>
    <w:rsid w:val="00190C35"/>
    <w:rsid w:val="00190C36"/>
    <w:rsid w:val="001913DF"/>
    <w:rsid w:val="0019161E"/>
    <w:rsid w:val="0019168B"/>
    <w:rsid w:val="00191E3D"/>
    <w:rsid w:val="0019235D"/>
    <w:rsid w:val="00192629"/>
    <w:rsid w:val="001929A9"/>
    <w:rsid w:val="0019390B"/>
    <w:rsid w:val="00193A1B"/>
    <w:rsid w:val="00193BC1"/>
    <w:rsid w:val="00193EAF"/>
    <w:rsid w:val="00194BBE"/>
    <w:rsid w:val="001953CF"/>
    <w:rsid w:val="001954E7"/>
    <w:rsid w:val="0019560A"/>
    <w:rsid w:val="001958A3"/>
    <w:rsid w:val="00195B72"/>
    <w:rsid w:val="00195C37"/>
    <w:rsid w:val="00195D05"/>
    <w:rsid w:val="00195F33"/>
    <w:rsid w:val="00196053"/>
    <w:rsid w:val="00197040"/>
    <w:rsid w:val="001970F5"/>
    <w:rsid w:val="00197425"/>
    <w:rsid w:val="00197C63"/>
    <w:rsid w:val="00197F0A"/>
    <w:rsid w:val="001A05F4"/>
    <w:rsid w:val="001A07E0"/>
    <w:rsid w:val="001A17B8"/>
    <w:rsid w:val="001A1996"/>
    <w:rsid w:val="001A2478"/>
    <w:rsid w:val="001A24DD"/>
    <w:rsid w:val="001A289D"/>
    <w:rsid w:val="001A2B0D"/>
    <w:rsid w:val="001A2CF7"/>
    <w:rsid w:val="001A2DE4"/>
    <w:rsid w:val="001A327C"/>
    <w:rsid w:val="001A38DA"/>
    <w:rsid w:val="001A38E4"/>
    <w:rsid w:val="001A3FB1"/>
    <w:rsid w:val="001A4FE9"/>
    <w:rsid w:val="001A51C5"/>
    <w:rsid w:val="001A5EE1"/>
    <w:rsid w:val="001A6143"/>
    <w:rsid w:val="001A6702"/>
    <w:rsid w:val="001A742B"/>
    <w:rsid w:val="001A7703"/>
    <w:rsid w:val="001A7784"/>
    <w:rsid w:val="001A78EF"/>
    <w:rsid w:val="001A7FF9"/>
    <w:rsid w:val="001B05C2"/>
    <w:rsid w:val="001B0C80"/>
    <w:rsid w:val="001B0EA1"/>
    <w:rsid w:val="001B1617"/>
    <w:rsid w:val="001B1E92"/>
    <w:rsid w:val="001B1FC8"/>
    <w:rsid w:val="001B2005"/>
    <w:rsid w:val="001B237E"/>
    <w:rsid w:val="001B2696"/>
    <w:rsid w:val="001B3194"/>
    <w:rsid w:val="001B3A62"/>
    <w:rsid w:val="001B504B"/>
    <w:rsid w:val="001B5A69"/>
    <w:rsid w:val="001B5D34"/>
    <w:rsid w:val="001B5DF4"/>
    <w:rsid w:val="001B600E"/>
    <w:rsid w:val="001B619E"/>
    <w:rsid w:val="001B6A87"/>
    <w:rsid w:val="001B6FDF"/>
    <w:rsid w:val="001C0A7C"/>
    <w:rsid w:val="001C0D8C"/>
    <w:rsid w:val="001C1731"/>
    <w:rsid w:val="001C17C5"/>
    <w:rsid w:val="001C1B06"/>
    <w:rsid w:val="001C1EE8"/>
    <w:rsid w:val="001C29FC"/>
    <w:rsid w:val="001C2C1E"/>
    <w:rsid w:val="001C2D36"/>
    <w:rsid w:val="001C2F00"/>
    <w:rsid w:val="001C303E"/>
    <w:rsid w:val="001C303F"/>
    <w:rsid w:val="001C34F2"/>
    <w:rsid w:val="001C3BB1"/>
    <w:rsid w:val="001C49C4"/>
    <w:rsid w:val="001C49C9"/>
    <w:rsid w:val="001C4A78"/>
    <w:rsid w:val="001C4AEF"/>
    <w:rsid w:val="001C4DF7"/>
    <w:rsid w:val="001C5036"/>
    <w:rsid w:val="001C5273"/>
    <w:rsid w:val="001C6243"/>
    <w:rsid w:val="001C6447"/>
    <w:rsid w:val="001C681F"/>
    <w:rsid w:val="001C6E4C"/>
    <w:rsid w:val="001C74E2"/>
    <w:rsid w:val="001C7637"/>
    <w:rsid w:val="001C764E"/>
    <w:rsid w:val="001C7C22"/>
    <w:rsid w:val="001C7CBD"/>
    <w:rsid w:val="001D060B"/>
    <w:rsid w:val="001D0743"/>
    <w:rsid w:val="001D0C66"/>
    <w:rsid w:val="001D0C99"/>
    <w:rsid w:val="001D0D88"/>
    <w:rsid w:val="001D13B3"/>
    <w:rsid w:val="001D21F2"/>
    <w:rsid w:val="001D248C"/>
    <w:rsid w:val="001D26DD"/>
    <w:rsid w:val="001D285D"/>
    <w:rsid w:val="001D2868"/>
    <w:rsid w:val="001D2A5F"/>
    <w:rsid w:val="001D3874"/>
    <w:rsid w:val="001D3A1B"/>
    <w:rsid w:val="001D41FA"/>
    <w:rsid w:val="001D4D1E"/>
    <w:rsid w:val="001D4F5E"/>
    <w:rsid w:val="001D51B7"/>
    <w:rsid w:val="001D52BD"/>
    <w:rsid w:val="001D5344"/>
    <w:rsid w:val="001D605F"/>
    <w:rsid w:val="001D6079"/>
    <w:rsid w:val="001D63DE"/>
    <w:rsid w:val="001D68F8"/>
    <w:rsid w:val="001D73BC"/>
    <w:rsid w:val="001D770A"/>
    <w:rsid w:val="001D78A2"/>
    <w:rsid w:val="001D7E75"/>
    <w:rsid w:val="001E0173"/>
    <w:rsid w:val="001E031D"/>
    <w:rsid w:val="001E045D"/>
    <w:rsid w:val="001E086A"/>
    <w:rsid w:val="001E0AD0"/>
    <w:rsid w:val="001E0E87"/>
    <w:rsid w:val="001E0F3F"/>
    <w:rsid w:val="001E1093"/>
    <w:rsid w:val="001E143D"/>
    <w:rsid w:val="001E20A5"/>
    <w:rsid w:val="001E22D1"/>
    <w:rsid w:val="001E2332"/>
    <w:rsid w:val="001E2795"/>
    <w:rsid w:val="001E3253"/>
    <w:rsid w:val="001E4FC5"/>
    <w:rsid w:val="001E55FC"/>
    <w:rsid w:val="001E56D2"/>
    <w:rsid w:val="001E59DD"/>
    <w:rsid w:val="001E5CD3"/>
    <w:rsid w:val="001E5E0E"/>
    <w:rsid w:val="001E6042"/>
    <w:rsid w:val="001E62CD"/>
    <w:rsid w:val="001E69ED"/>
    <w:rsid w:val="001E6E6B"/>
    <w:rsid w:val="001E6FCA"/>
    <w:rsid w:val="001E71F0"/>
    <w:rsid w:val="001E752E"/>
    <w:rsid w:val="001E75AC"/>
    <w:rsid w:val="001E76C7"/>
    <w:rsid w:val="001E7713"/>
    <w:rsid w:val="001E7D56"/>
    <w:rsid w:val="001E7F15"/>
    <w:rsid w:val="001E7F22"/>
    <w:rsid w:val="001E7F85"/>
    <w:rsid w:val="001F089D"/>
    <w:rsid w:val="001F0D2A"/>
    <w:rsid w:val="001F1EA7"/>
    <w:rsid w:val="001F1F39"/>
    <w:rsid w:val="001F2258"/>
    <w:rsid w:val="001F2456"/>
    <w:rsid w:val="001F2952"/>
    <w:rsid w:val="001F2F44"/>
    <w:rsid w:val="001F2F72"/>
    <w:rsid w:val="001F340F"/>
    <w:rsid w:val="001F3471"/>
    <w:rsid w:val="001F387E"/>
    <w:rsid w:val="001F39F7"/>
    <w:rsid w:val="001F4615"/>
    <w:rsid w:val="001F52DC"/>
    <w:rsid w:val="001F5EFF"/>
    <w:rsid w:val="001F6236"/>
    <w:rsid w:val="001F6816"/>
    <w:rsid w:val="001F6AF6"/>
    <w:rsid w:val="001F7301"/>
    <w:rsid w:val="001F75DE"/>
    <w:rsid w:val="001F7F96"/>
    <w:rsid w:val="002001B4"/>
    <w:rsid w:val="00200917"/>
    <w:rsid w:val="00200B41"/>
    <w:rsid w:val="00200D58"/>
    <w:rsid w:val="00200D75"/>
    <w:rsid w:val="00200F1C"/>
    <w:rsid w:val="002013BE"/>
    <w:rsid w:val="002014F7"/>
    <w:rsid w:val="002018C2"/>
    <w:rsid w:val="00201F5D"/>
    <w:rsid w:val="00202505"/>
    <w:rsid w:val="002028A9"/>
    <w:rsid w:val="00202B84"/>
    <w:rsid w:val="00203254"/>
    <w:rsid w:val="002038E3"/>
    <w:rsid w:val="00203E8E"/>
    <w:rsid w:val="00204664"/>
    <w:rsid w:val="0020490A"/>
    <w:rsid w:val="002053E4"/>
    <w:rsid w:val="002057F2"/>
    <w:rsid w:val="00205BFE"/>
    <w:rsid w:val="00205DC5"/>
    <w:rsid w:val="0020631D"/>
    <w:rsid w:val="002063A4"/>
    <w:rsid w:val="00206933"/>
    <w:rsid w:val="00206D35"/>
    <w:rsid w:val="00206F97"/>
    <w:rsid w:val="002072BD"/>
    <w:rsid w:val="00207374"/>
    <w:rsid w:val="002075E1"/>
    <w:rsid w:val="00207715"/>
    <w:rsid w:val="0020783B"/>
    <w:rsid w:val="002078CC"/>
    <w:rsid w:val="00210217"/>
    <w:rsid w:val="0021025E"/>
    <w:rsid w:val="0021034E"/>
    <w:rsid w:val="002104DD"/>
    <w:rsid w:val="002109DF"/>
    <w:rsid w:val="0021145B"/>
    <w:rsid w:val="00211A71"/>
    <w:rsid w:val="0021233B"/>
    <w:rsid w:val="0021233E"/>
    <w:rsid w:val="00212944"/>
    <w:rsid w:val="00213366"/>
    <w:rsid w:val="002136EA"/>
    <w:rsid w:val="0021404E"/>
    <w:rsid w:val="00214277"/>
    <w:rsid w:val="0021456D"/>
    <w:rsid w:val="0021486B"/>
    <w:rsid w:val="002148CB"/>
    <w:rsid w:val="002150BE"/>
    <w:rsid w:val="00215329"/>
    <w:rsid w:val="002157D7"/>
    <w:rsid w:val="00215C25"/>
    <w:rsid w:val="00215EB0"/>
    <w:rsid w:val="00216157"/>
    <w:rsid w:val="0021690B"/>
    <w:rsid w:val="002174EF"/>
    <w:rsid w:val="00217584"/>
    <w:rsid w:val="00217638"/>
    <w:rsid w:val="002179D5"/>
    <w:rsid w:val="002203E7"/>
    <w:rsid w:val="00220B4E"/>
    <w:rsid w:val="00220EA4"/>
    <w:rsid w:val="0022133A"/>
    <w:rsid w:val="00222171"/>
    <w:rsid w:val="0022218E"/>
    <w:rsid w:val="00222583"/>
    <w:rsid w:val="00222A5A"/>
    <w:rsid w:val="002231D1"/>
    <w:rsid w:val="0022366E"/>
    <w:rsid w:val="00223F45"/>
    <w:rsid w:val="002240E8"/>
    <w:rsid w:val="00224162"/>
    <w:rsid w:val="00224F53"/>
    <w:rsid w:val="002253BF"/>
    <w:rsid w:val="002254CB"/>
    <w:rsid w:val="00225A7A"/>
    <w:rsid w:val="00226059"/>
    <w:rsid w:val="00226346"/>
    <w:rsid w:val="0022670A"/>
    <w:rsid w:val="00226D9A"/>
    <w:rsid w:val="002272BD"/>
    <w:rsid w:val="0022762D"/>
    <w:rsid w:val="00230741"/>
    <w:rsid w:val="00231007"/>
    <w:rsid w:val="00231187"/>
    <w:rsid w:val="00231657"/>
    <w:rsid w:val="002317A2"/>
    <w:rsid w:val="00231A63"/>
    <w:rsid w:val="00232303"/>
    <w:rsid w:val="00232831"/>
    <w:rsid w:val="002328CC"/>
    <w:rsid w:val="00232A36"/>
    <w:rsid w:val="00233951"/>
    <w:rsid w:val="00233AD3"/>
    <w:rsid w:val="00234052"/>
    <w:rsid w:val="00234375"/>
    <w:rsid w:val="002346A0"/>
    <w:rsid w:val="00234806"/>
    <w:rsid w:val="00234EA7"/>
    <w:rsid w:val="00234F1E"/>
    <w:rsid w:val="002351DD"/>
    <w:rsid w:val="002353C4"/>
    <w:rsid w:val="00236825"/>
    <w:rsid w:val="00236D13"/>
    <w:rsid w:val="002371C8"/>
    <w:rsid w:val="0023729D"/>
    <w:rsid w:val="00237798"/>
    <w:rsid w:val="002378BD"/>
    <w:rsid w:val="002378D6"/>
    <w:rsid w:val="00237923"/>
    <w:rsid w:val="0024007E"/>
    <w:rsid w:val="00240698"/>
    <w:rsid w:val="0024094E"/>
    <w:rsid w:val="00240B36"/>
    <w:rsid w:val="00241595"/>
    <w:rsid w:val="002417A9"/>
    <w:rsid w:val="00241887"/>
    <w:rsid w:val="00241D99"/>
    <w:rsid w:val="00241EB3"/>
    <w:rsid w:val="0024323A"/>
    <w:rsid w:val="00243D36"/>
    <w:rsid w:val="00243E86"/>
    <w:rsid w:val="002443AA"/>
    <w:rsid w:val="00244CF2"/>
    <w:rsid w:val="00244EC1"/>
    <w:rsid w:val="00244F37"/>
    <w:rsid w:val="00245177"/>
    <w:rsid w:val="0024570D"/>
    <w:rsid w:val="00245B93"/>
    <w:rsid w:val="00245DED"/>
    <w:rsid w:val="00246363"/>
    <w:rsid w:val="00246721"/>
    <w:rsid w:val="00246758"/>
    <w:rsid w:val="00246E01"/>
    <w:rsid w:val="00247006"/>
    <w:rsid w:val="0024706F"/>
    <w:rsid w:val="0024754E"/>
    <w:rsid w:val="00247707"/>
    <w:rsid w:val="002503BE"/>
    <w:rsid w:val="002504AA"/>
    <w:rsid w:val="002514EE"/>
    <w:rsid w:val="00252892"/>
    <w:rsid w:val="00252958"/>
    <w:rsid w:val="00252EBA"/>
    <w:rsid w:val="00253693"/>
    <w:rsid w:val="0025376E"/>
    <w:rsid w:val="002543EB"/>
    <w:rsid w:val="00254604"/>
    <w:rsid w:val="00254606"/>
    <w:rsid w:val="002546E6"/>
    <w:rsid w:val="00254A36"/>
    <w:rsid w:val="00254A44"/>
    <w:rsid w:val="00254FB1"/>
    <w:rsid w:val="0025546F"/>
    <w:rsid w:val="00256A5B"/>
    <w:rsid w:val="00256DA4"/>
    <w:rsid w:val="00257614"/>
    <w:rsid w:val="00257755"/>
    <w:rsid w:val="00257DC2"/>
    <w:rsid w:val="00257EF5"/>
    <w:rsid w:val="002600F3"/>
    <w:rsid w:val="0026050F"/>
    <w:rsid w:val="002605C3"/>
    <w:rsid w:val="00260ABB"/>
    <w:rsid w:val="00260BE9"/>
    <w:rsid w:val="00260E7D"/>
    <w:rsid w:val="00261033"/>
    <w:rsid w:val="00261D7F"/>
    <w:rsid w:val="00261F49"/>
    <w:rsid w:val="00262D9E"/>
    <w:rsid w:val="00262E1C"/>
    <w:rsid w:val="00263171"/>
    <w:rsid w:val="002634CD"/>
    <w:rsid w:val="0026355B"/>
    <w:rsid w:val="00263C40"/>
    <w:rsid w:val="0026426E"/>
    <w:rsid w:val="00264340"/>
    <w:rsid w:val="00264D9D"/>
    <w:rsid w:val="00265495"/>
    <w:rsid w:val="00265991"/>
    <w:rsid w:val="0026644A"/>
    <w:rsid w:val="00267192"/>
    <w:rsid w:val="00267AC1"/>
    <w:rsid w:val="00267AE6"/>
    <w:rsid w:val="00267EC0"/>
    <w:rsid w:val="002704D0"/>
    <w:rsid w:val="002706BD"/>
    <w:rsid w:val="00270A38"/>
    <w:rsid w:val="00270DA8"/>
    <w:rsid w:val="00271087"/>
    <w:rsid w:val="00271421"/>
    <w:rsid w:val="00271543"/>
    <w:rsid w:val="00271BA9"/>
    <w:rsid w:val="00271D5C"/>
    <w:rsid w:val="00272357"/>
    <w:rsid w:val="00272525"/>
    <w:rsid w:val="00272563"/>
    <w:rsid w:val="002730D2"/>
    <w:rsid w:val="00273506"/>
    <w:rsid w:val="002735CE"/>
    <w:rsid w:val="00273678"/>
    <w:rsid w:val="00273BE0"/>
    <w:rsid w:val="00273F1C"/>
    <w:rsid w:val="00274337"/>
    <w:rsid w:val="002744E8"/>
    <w:rsid w:val="002749D6"/>
    <w:rsid w:val="00274A2B"/>
    <w:rsid w:val="002755CF"/>
    <w:rsid w:val="00275BDB"/>
    <w:rsid w:val="00276216"/>
    <w:rsid w:val="00276656"/>
    <w:rsid w:val="002768DF"/>
    <w:rsid w:val="00276C3E"/>
    <w:rsid w:val="00276E15"/>
    <w:rsid w:val="00277919"/>
    <w:rsid w:val="00277D9D"/>
    <w:rsid w:val="0028009B"/>
    <w:rsid w:val="002802F6"/>
    <w:rsid w:val="00280A43"/>
    <w:rsid w:val="002810F1"/>
    <w:rsid w:val="00281339"/>
    <w:rsid w:val="00282023"/>
    <w:rsid w:val="002827EF"/>
    <w:rsid w:val="00282C38"/>
    <w:rsid w:val="00282D80"/>
    <w:rsid w:val="002833F6"/>
    <w:rsid w:val="002836E6"/>
    <w:rsid w:val="00283D4B"/>
    <w:rsid w:val="00284BE4"/>
    <w:rsid w:val="00285353"/>
    <w:rsid w:val="00285444"/>
    <w:rsid w:val="002857EA"/>
    <w:rsid w:val="00285AC1"/>
    <w:rsid w:val="00286110"/>
    <w:rsid w:val="0028617E"/>
    <w:rsid w:val="00286740"/>
    <w:rsid w:val="0028689D"/>
    <w:rsid w:val="00286EA6"/>
    <w:rsid w:val="00286F08"/>
    <w:rsid w:val="00287615"/>
    <w:rsid w:val="00287B42"/>
    <w:rsid w:val="00287B6B"/>
    <w:rsid w:val="00287CC4"/>
    <w:rsid w:val="00287DA3"/>
    <w:rsid w:val="0029001C"/>
    <w:rsid w:val="00290741"/>
    <w:rsid w:val="002908DE"/>
    <w:rsid w:val="00290E06"/>
    <w:rsid w:val="00290E67"/>
    <w:rsid w:val="00291239"/>
    <w:rsid w:val="002920DD"/>
    <w:rsid w:val="002925BC"/>
    <w:rsid w:val="002929D8"/>
    <w:rsid w:val="00292C01"/>
    <w:rsid w:val="00292E78"/>
    <w:rsid w:val="0029301C"/>
    <w:rsid w:val="002935C2"/>
    <w:rsid w:val="0029383F"/>
    <w:rsid w:val="00293E95"/>
    <w:rsid w:val="00294F60"/>
    <w:rsid w:val="00295389"/>
    <w:rsid w:val="0029554C"/>
    <w:rsid w:val="00295929"/>
    <w:rsid w:val="002959F7"/>
    <w:rsid w:val="00295C95"/>
    <w:rsid w:val="002963AE"/>
    <w:rsid w:val="00296EC7"/>
    <w:rsid w:val="002974F2"/>
    <w:rsid w:val="00297C5C"/>
    <w:rsid w:val="002A00B7"/>
    <w:rsid w:val="002A0107"/>
    <w:rsid w:val="002A0E20"/>
    <w:rsid w:val="002A11CE"/>
    <w:rsid w:val="002A11F5"/>
    <w:rsid w:val="002A1372"/>
    <w:rsid w:val="002A1530"/>
    <w:rsid w:val="002A1D3A"/>
    <w:rsid w:val="002A237D"/>
    <w:rsid w:val="002A2699"/>
    <w:rsid w:val="002A2896"/>
    <w:rsid w:val="002A2B0F"/>
    <w:rsid w:val="002A2D6A"/>
    <w:rsid w:val="002A3BE4"/>
    <w:rsid w:val="002A4105"/>
    <w:rsid w:val="002A4408"/>
    <w:rsid w:val="002A46AE"/>
    <w:rsid w:val="002A4812"/>
    <w:rsid w:val="002A4A4A"/>
    <w:rsid w:val="002A4C53"/>
    <w:rsid w:val="002A4DEB"/>
    <w:rsid w:val="002A4EE2"/>
    <w:rsid w:val="002A5072"/>
    <w:rsid w:val="002A56CB"/>
    <w:rsid w:val="002A5D91"/>
    <w:rsid w:val="002A638A"/>
    <w:rsid w:val="002A649D"/>
    <w:rsid w:val="002A68E7"/>
    <w:rsid w:val="002A7872"/>
    <w:rsid w:val="002A7F84"/>
    <w:rsid w:val="002B0327"/>
    <w:rsid w:val="002B0672"/>
    <w:rsid w:val="002B0DB0"/>
    <w:rsid w:val="002B1626"/>
    <w:rsid w:val="002B1712"/>
    <w:rsid w:val="002B1B4C"/>
    <w:rsid w:val="002B2285"/>
    <w:rsid w:val="002B247F"/>
    <w:rsid w:val="002B321D"/>
    <w:rsid w:val="002B3445"/>
    <w:rsid w:val="002B3539"/>
    <w:rsid w:val="002B37B7"/>
    <w:rsid w:val="002B4624"/>
    <w:rsid w:val="002B4B4A"/>
    <w:rsid w:val="002B4C75"/>
    <w:rsid w:val="002B4D21"/>
    <w:rsid w:val="002B5246"/>
    <w:rsid w:val="002B531B"/>
    <w:rsid w:val="002B5A38"/>
    <w:rsid w:val="002B5A8A"/>
    <w:rsid w:val="002B5E38"/>
    <w:rsid w:val="002B68C7"/>
    <w:rsid w:val="002B6C2A"/>
    <w:rsid w:val="002B72B9"/>
    <w:rsid w:val="002B7F1A"/>
    <w:rsid w:val="002C07A6"/>
    <w:rsid w:val="002C0D3E"/>
    <w:rsid w:val="002C0E73"/>
    <w:rsid w:val="002C10A4"/>
    <w:rsid w:val="002C13F6"/>
    <w:rsid w:val="002C145D"/>
    <w:rsid w:val="002C1895"/>
    <w:rsid w:val="002C1B74"/>
    <w:rsid w:val="002C2578"/>
    <w:rsid w:val="002C2C3E"/>
    <w:rsid w:val="002C35AB"/>
    <w:rsid w:val="002C3AB1"/>
    <w:rsid w:val="002C3AE3"/>
    <w:rsid w:val="002C3DC8"/>
    <w:rsid w:val="002C4573"/>
    <w:rsid w:val="002C4746"/>
    <w:rsid w:val="002C48A7"/>
    <w:rsid w:val="002C4ADD"/>
    <w:rsid w:val="002C4EF1"/>
    <w:rsid w:val="002C533E"/>
    <w:rsid w:val="002C5525"/>
    <w:rsid w:val="002C5B64"/>
    <w:rsid w:val="002C61B0"/>
    <w:rsid w:val="002C7B34"/>
    <w:rsid w:val="002C7B85"/>
    <w:rsid w:val="002C7CDC"/>
    <w:rsid w:val="002C7CDF"/>
    <w:rsid w:val="002C7CE6"/>
    <w:rsid w:val="002D0275"/>
    <w:rsid w:val="002D027F"/>
    <w:rsid w:val="002D0609"/>
    <w:rsid w:val="002D0FEF"/>
    <w:rsid w:val="002D104D"/>
    <w:rsid w:val="002D1242"/>
    <w:rsid w:val="002D147A"/>
    <w:rsid w:val="002D18AE"/>
    <w:rsid w:val="002D18AF"/>
    <w:rsid w:val="002D1B90"/>
    <w:rsid w:val="002D21B2"/>
    <w:rsid w:val="002D2511"/>
    <w:rsid w:val="002D312B"/>
    <w:rsid w:val="002D3912"/>
    <w:rsid w:val="002D39C6"/>
    <w:rsid w:val="002D3B72"/>
    <w:rsid w:val="002D41B8"/>
    <w:rsid w:val="002D475F"/>
    <w:rsid w:val="002D5AC7"/>
    <w:rsid w:val="002D5DF2"/>
    <w:rsid w:val="002D6782"/>
    <w:rsid w:val="002D6B59"/>
    <w:rsid w:val="002D7A85"/>
    <w:rsid w:val="002D7B60"/>
    <w:rsid w:val="002E04FA"/>
    <w:rsid w:val="002E0905"/>
    <w:rsid w:val="002E12BC"/>
    <w:rsid w:val="002E1895"/>
    <w:rsid w:val="002E19D4"/>
    <w:rsid w:val="002E1C1D"/>
    <w:rsid w:val="002E1D71"/>
    <w:rsid w:val="002E36A8"/>
    <w:rsid w:val="002E36C4"/>
    <w:rsid w:val="002E383A"/>
    <w:rsid w:val="002E3A7F"/>
    <w:rsid w:val="002E462B"/>
    <w:rsid w:val="002E6689"/>
    <w:rsid w:val="002E673C"/>
    <w:rsid w:val="002E67CC"/>
    <w:rsid w:val="002E6857"/>
    <w:rsid w:val="002E7795"/>
    <w:rsid w:val="002F01C4"/>
    <w:rsid w:val="002F01D2"/>
    <w:rsid w:val="002F0362"/>
    <w:rsid w:val="002F0B62"/>
    <w:rsid w:val="002F0FF3"/>
    <w:rsid w:val="002F1372"/>
    <w:rsid w:val="002F13DF"/>
    <w:rsid w:val="002F1A5C"/>
    <w:rsid w:val="002F22EA"/>
    <w:rsid w:val="002F24F0"/>
    <w:rsid w:val="002F39B0"/>
    <w:rsid w:val="002F3D96"/>
    <w:rsid w:val="002F40FE"/>
    <w:rsid w:val="002F419C"/>
    <w:rsid w:val="002F4669"/>
    <w:rsid w:val="002F4761"/>
    <w:rsid w:val="002F4E1A"/>
    <w:rsid w:val="002F5626"/>
    <w:rsid w:val="002F57AC"/>
    <w:rsid w:val="002F5A76"/>
    <w:rsid w:val="002F5C79"/>
    <w:rsid w:val="002F6193"/>
    <w:rsid w:val="002F6D48"/>
    <w:rsid w:val="002F771D"/>
    <w:rsid w:val="002F77B0"/>
    <w:rsid w:val="002F7EC0"/>
    <w:rsid w:val="00300C27"/>
    <w:rsid w:val="00300F8F"/>
    <w:rsid w:val="00301495"/>
    <w:rsid w:val="00301592"/>
    <w:rsid w:val="00301867"/>
    <w:rsid w:val="003019E2"/>
    <w:rsid w:val="0030269E"/>
    <w:rsid w:val="00302758"/>
    <w:rsid w:val="00303974"/>
    <w:rsid w:val="00303ABC"/>
    <w:rsid w:val="0030453A"/>
    <w:rsid w:val="00304B16"/>
    <w:rsid w:val="00304F5B"/>
    <w:rsid w:val="003050B3"/>
    <w:rsid w:val="00305254"/>
    <w:rsid w:val="00305620"/>
    <w:rsid w:val="00305844"/>
    <w:rsid w:val="00305B26"/>
    <w:rsid w:val="00305C40"/>
    <w:rsid w:val="00306490"/>
    <w:rsid w:val="00306E39"/>
    <w:rsid w:val="0030770A"/>
    <w:rsid w:val="003079B8"/>
    <w:rsid w:val="00307CE5"/>
    <w:rsid w:val="003107FE"/>
    <w:rsid w:val="0031106E"/>
    <w:rsid w:val="0031122C"/>
    <w:rsid w:val="00311DCC"/>
    <w:rsid w:val="003120B2"/>
    <w:rsid w:val="0031214F"/>
    <w:rsid w:val="00312C31"/>
    <w:rsid w:val="00312C75"/>
    <w:rsid w:val="00312EB3"/>
    <w:rsid w:val="00313553"/>
    <w:rsid w:val="00313A18"/>
    <w:rsid w:val="0031413F"/>
    <w:rsid w:val="00314296"/>
    <w:rsid w:val="003147BE"/>
    <w:rsid w:val="003148BB"/>
    <w:rsid w:val="003153F6"/>
    <w:rsid w:val="00315922"/>
    <w:rsid w:val="00315BB4"/>
    <w:rsid w:val="00315BF5"/>
    <w:rsid w:val="00315C33"/>
    <w:rsid w:val="00315F85"/>
    <w:rsid w:val="00315FB3"/>
    <w:rsid w:val="00316046"/>
    <w:rsid w:val="0031691F"/>
    <w:rsid w:val="00317976"/>
    <w:rsid w:val="00317A15"/>
    <w:rsid w:val="00317C81"/>
    <w:rsid w:val="00320005"/>
    <w:rsid w:val="003202F9"/>
    <w:rsid w:val="00321B65"/>
    <w:rsid w:val="00321B72"/>
    <w:rsid w:val="00321E94"/>
    <w:rsid w:val="00322EDC"/>
    <w:rsid w:val="00323030"/>
    <w:rsid w:val="00323098"/>
    <w:rsid w:val="00323209"/>
    <w:rsid w:val="0032359F"/>
    <w:rsid w:val="00323885"/>
    <w:rsid w:val="00323943"/>
    <w:rsid w:val="00323CD6"/>
    <w:rsid w:val="003243B1"/>
    <w:rsid w:val="0032478A"/>
    <w:rsid w:val="00325362"/>
    <w:rsid w:val="00325F3D"/>
    <w:rsid w:val="003260F1"/>
    <w:rsid w:val="0032633D"/>
    <w:rsid w:val="0032636D"/>
    <w:rsid w:val="0032677E"/>
    <w:rsid w:val="00326FE5"/>
    <w:rsid w:val="00327052"/>
    <w:rsid w:val="00327D0A"/>
    <w:rsid w:val="00330639"/>
    <w:rsid w:val="003308B8"/>
    <w:rsid w:val="00330CA0"/>
    <w:rsid w:val="00331475"/>
    <w:rsid w:val="00331ECE"/>
    <w:rsid w:val="00332659"/>
    <w:rsid w:val="00332ECA"/>
    <w:rsid w:val="0033329E"/>
    <w:rsid w:val="003336DE"/>
    <w:rsid w:val="00333977"/>
    <w:rsid w:val="00333B3A"/>
    <w:rsid w:val="00333CD7"/>
    <w:rsid w:val="00333E80"/>
    <w:rsid w:val="0033544C"/>
    <w:rsid w:val="00335735"/>
    <w:rsid w:val="0033592C"/>
    <w:rsid w:val="00335E7C"/>
    <w:rsid w:val="00336172"/>
    <w:rsid w:val="00336A6A"/>
    <w:rsid w:val="00336B16"/>
    <w:rsid w:val="00336EE5"/>
    <w:rsid w:val="003373D9"/>
    <w:rsid w:val="00337456"/>
    <w:rsid w:val="003374AA"/>
    <w:rsid w:val="003376F6"/>
    <w:rsid w:val="00337924"/>
    <w:rsid w:val="00337DAD"/>
    <w:rsid w:val="00337F3C"/>
    <w:rsid w:val="0034023B"/>
    <w:rsid w:val="00340D23"/>
    <w:rsid w:val="00340FD8"/>
    <w:rsid w:val="003412F4"/>
    <w:rsid w:val="00341F40"/>
    <w:rsid w:val="00341F82"/>
    <w:rsid w:val="00342007"/>
    <w:rsid w:val="00342AE7"/>
    <w:rsid w:val="003436C5"/>
    <w:rsid w:val="00343905"/>
    <w:rsid w:val="00343B56"/>
    <w:rsid w:val="00343D9E"/>
    <w:rsid w:val="00343FFC"/>
    <w:rsid w:val="00344784"/>
    <w:rsid w:val="003447E1"/>
    <w:rsid w:val="003451B4"/>
    <w:rsid w:val="00345636"/>
    <w:rsid w:val="00345698"/>
    <w:rsid w:val="00345CE2"/>
    <w:rsid w:val="0034616A"/>
    <w:rsid w:val="00346558"/>
    <w:rsid w:val="0034683C"/>
    <w:rsid w:val="00346AAE"/>
    <w:rsid w:val="00347480"/>
    <w:rsid w:val="00347568"/>
    <w:rsid w:val="003504C3"/>
    <w:rsid w:val="003511F7"/>
    <w:rsid w:val="00351854"/>
    <w:rsid w:val="00351A93"/>
    <w:rsid w:val="00351CBC"/>
    <w:rsid w:val="003528FC"/>
    <w:rsid w:val="00352A25"/>
    <w:rsid w:val="0035316B"/>
    <w:rsid w:val="00353997"/>
    <w:rsid w:val="00353CFC"/>
    <w:rsid w:val="0035501B"/>
    <w:rsid w:val="00355080"/>
    <w:rsid w:val="0035580D"/>
    <w:rsid w:val="00355EA9"/>
    <w:rsid w:val="00356173"/>
    <w:rsid w:val="00356462"/>
    <w:rsid w:val="00357645"/>
    <w:rsid w:val="003578DE"/>
    <w:rsid w:val="00360151"/>
    <w:rsid w:val="00360377"/>
    <w:rsid w:val="0036055C"/>
    <w:rsid w:val="00360E0F"/>
    <w:rsid w:val="00361D9A"/>
    <w:rsid w:val="00361FB7"/>
    <w:rsid w:val="003629E7"/>
    <w:rsid w:val="00362E6C"/>
    <w:rsid w:val="0036322E"/>
    <w:rsid w:val="00363AF7"/>
    <w:rsid w:val="00363E21"/>
    <w:rsid w:val="00363FFE"/>
    <w:rsid w:val="00363FFF"/>
    <w:rsid w:val="00364072"/>
    <w:rsid w:val="003654A6"/>
    <w:rsid w:val="00365AC7"/>
    <w:rsid w:val="00365DCB"/>
    <w:rsid w:val="00365E97"/>
    <w:rsid w:val="00365F6B"/>
    <w:rsid w:val="00366251"/>
    <w:rsid w:val="00366570"/>
    <w:rsid w:val="003668AA"/>
    <w:rsid w:val="00366F20"/>
    <w:rsid w:val="00366FBD"/>
    <w:rsid w:val="00367F93"/>
    <w:rsid w:val="003701DA"/>
    <w:rsid w:val="00370637"/>
    <w:rsid w:val="00370B2F"/>
    <w:rsid w:val="00370BF9"/>
    <w:rsid w:val="00370C4C"/>
    <w:rsid w:val="00371041"/>
    <w:rsid w:val="00371340"/>
    <w:rsid w:val="00371459"/>
    <w:rsid w:val="00371566"/>
    <w:rsid w:val="00371BC2"/>
    <w:rsid w:val="0037264F"/>
    <w:rsid w:val="0037272E"/>
    <w:rsid w:val="00372E6F"/>
    <w:rsid w:val="00372ECE"/>
    <w:rsid w:val="00373143"/>
    <w:rsid w:val="003733E1"/>
    <w:rsid w:val="00373564"/>
    <w:rsid w:val="00373882"/>
    <w:rsid w:val="00373B63"/>
    <w:rsid w:val="00374018"/>
    <w:rsid w:val="0037414F"/>
    <w:rsid w:val="00375664"/>
    <w:rsid w:val="003759AB"/>
    <w:rsid w:val="003759E2"/>
    <w:rsid w:val="00375CE9"/>
    <w:rsid w:val="00375EC2"/>
    <w:rsid w:val="00375ECC"/>
    <w:rsid w:val="003760A3"/>
    <w:rsid w:val="003761B4"/>
    <w:rsid w:val="00376270"/>
    <w:rsid w:val="00376B22"/>
    <w:rsid w:val="00376F19"/>
    <w:rsid w:val="003770E9"/>
    <w:rsid w:val="0037728E"/>
    <w:rsid w:val="003776F5"/>
    <w:rsid w:val="00377AB6"/>
    <w:rsid w:val="00377C13"/>
    <w:rsid w:val="00377D6F"/>
    <w:rsid w:val="00377DFE"/>
    <w:rsid w:val="00377E04"/>
    <w:rsid w:val="00377E08"/>
    <w:rsid w:val="00380175"/>
    <w:rsid w:val="0038050A"/>
    <w:rsid w:val="00380A6C"/>
    <w:rsid w:val="00380E14"/>
    <w:rsid w:val="00381989"/>
    <w:rsid w:val="00381F1C"/>
    <w:rsid w:val="00382357"/>
    <w:rsid w:val="00382ABE"/>
    <w:rsid w:val="00382F0C"/>
    <w:rsid w:val="003834F2"/>
    <w:rsid w:val="00384017"/>
    <w:rsid w:val="003844A8"/>
    <w:rsid w:val="0038450B"/>
    <w:rsid w:val="00384B52"/>
    <w:rsid w:val="00384D21"/>
    <w:rsid w:val="0038526D"/>
    <w:rsid w:val="00385507"/>
    <w:rsid w:val="003856EB"/>
    <w:rsid w:val="0038609C"/>
    <w:rsid w:val="00386374"/>
    <w:rsid w:val="0038685E"/>
    <w:rsid w:val="00386999"/>
    <w:rsid w:val="00387886"/>
    <w:rsid w:val="00390145"/>
    <w:rsid w:val="00390F2D"/>
    <w:rsid w:val="0039196E"/>
    <w:rsid w:val="00392275"/>
    <w:rsid w:val="003928F7"/>
    <w:rsid w:val="00393163"/>
    <w:rsid w:val="00394379"/>
    <w:rsid w:val="003946EE"/>
    <w:rsid w:val="003949AF"/>
    <w:rsid w:val="0039505E"/>
    <w:rsid w:val="003952BC"/>
    <w:rsid w:val="00395F9A"/>
    <w:rsid w:val="003960E6"/>
    <w:rsid w:val="00396257"/>
    <w:rsid w:val="00396261"/>
    <w:rsid w:val="0039626F"/>
    <w:rsid w:val="003968E2"/>
    <w:rsid w:val="003970D2"/>
    <w:rsid w:val="00397223"/>
    <w:rsid w:val="00397229"/>
    <w:rsid w:val="00397287"/>
    <w:rsid w:val="0039763A"/>
    <w:rsid w:val="00397D24"/>
    <w:rsid w:val="00397EB8"/>
    <w:rsid w:val="003A0128"/>
    <w:rsid w:val="003A06EA"/>
    <w:rsid w:val="003A07AB"/>
    <w:rsid w:val="003A086E"/>
    <w:rsid w:val="003A0989"/>
    <w:rsid w:val="003A0C38"/>
    <w:rsid w:val="003A0D35"/>
    <w:rsid w:val="003A129E"/>
    <w:rsid w:val="003A13ED"/>
    <w:rsid w:val="003A2447"/>
    <w:rsid w:val="003A24B6"/>
    <w:rsid w:val="003A2677"/>
    <w:rsid w:val="003A2780"/>
    <w:rsid w:val="003A28CB"/>
    <w:rsid w:val="003A2907"/>
    <w:rsid w:val="003A2DE5"/>
    <w:rsid w:val="003A3227"/>
    <w:rsid w:val="003A35CE"/>
    <w:rsid w:val="003A37B8"/>
    <w:rsid w:val="003A3A73"/>
    <w:rsid w:val="003A3A9F"/>
    <w:rsid w:val="003A4119"/>
    <w:rsid w:val="003A437E"/>
    <w:rsid w:val="003A43FA"/>
    <w:rsid w:val="003A4D0B"/>
    <w:rsid w:val="003A4FD0"/>
    <w:rsid w:val="003A4FF6"/>
    <w:rsid w:val="003A51A3"/>
    <w:rsid w:val="003A55F9"/>
    <w:rsid w:val="003A5BE0"/>
    <w:rsid w:val="003A69D1"/>
    <w:rsid w:val="003A6BBB"/>
    <w:rsid w:val="003A6DD0"/>
    <w:rsid w:val="003A71A1"/>
    <w:rsid w:val="003A7705"/>
    <w:rsid w:val="003A77B3"/>
    <w:rsid w:val="003B07A5"/>
    <w:rsid w:val="003B08DD"/>
    <w:rsid w:val="003B0FD0"/>
    <w:rsid w:val="003B1518"/>
    <w:rsid w:val="003B1545"/>
    <w:rsid w:val="003B1675"/>
    <w:rsid w:val="003B1B93"/>
    <w:rsid w:val="003B1D0A"/>
    <w:rsid w:val="003B25C1"/>
    <w:rsid w:val="003B277A"/>
    <w:rsid w:val="003B2FD7"/>
    <w:rsid w:val="003B32D1"/>
    <w:rsid w:val="003B38CC"/>
    <w:rsid w:val="003B3E1B"/>
    <w:rsid w:val="003B4F99"/>
    <w:rsid w:val="003B54AD"/>
    <w:rsid w:val="003B560D"/>
    <w:rsid w:val="003B5F27"/>
    <w:rsid w:val="003B65B0"/>
    <w:rsid w:val="003B6BEF"/>
    <w:rsid w:val="003B76CB"/>
    <w:rsid w:val="003B7D2C"/>
    <w:rsid w:val="003C035E"/>
    <w:rsid w:val="003C054F"/>
    <w:rsid w:val="003C06DD"/>
    <w:rsid w:val="003C0B59"/>
    <w:rsid w:val="003C0D90"/>
    <w:rsid w:val="003C16A3"/>
    <w:rsid w:val="003C2B97"/>
    <w:rsid w:val="003C3267"/>
    <w:rsid w:val="003C366F"/>
    <w:rsid w:val="003C3BA9"/>
    <w:rsid w:val="003C3C52"/>
    <w:rsid w:val="003C3E57"/>
    <w:rsid w:val="003C3F9F"/>
    <w:rsid w:val="003C402C"/>
    <w:rsid w:val="003C409D"/>
    <w:rsid w:val="003C41A5"/>
    <w:rsid w:val="003C487F"/>
    <w:rsid w:val="003C49D8"/>
    <w:rsid w:val="003C56AE"/>
    <w:rsid w:val="003C59AD"/>
    <w:rsid w:val="003C5BA6"/>
    <w:rsid w:val="003C61F6"/>
    <w:rsid w:val="003D004B"/>
    <w:rsid w:val="003D01D0"/>
    <w:rsid w:val="003D078D"/>
    <w:rsid w:val="003D1E2C"/>
    <w:rsid w:val="003D24DA"/>
    <w:rsid w:val="003D419D"/>
    <w:rsid w:val="003D4289"/>
    <w:rsid w:val="003D4439"/>
    <w:rsid w:val="003D47BB"/>
    <w:rsid w:val="003D62EE"/>
    <w:rsid w:val="003D63DD"/>
    <w:rsid w:val="003D6640"/>
    <w:rsid w:val="003D6663"/>
    <w:rsid w:val="003D69BB"/>
    <w:rsid w:val="003D741B"/>
    <w:rsid w:val="003D79FF"/>
    <w:rsid w:val="003D7E37"/>
    <w:rsid w:val="003D7F71"/>
    <w:rsid w:val="003E0109"/>
    <w:rsid w:val="003E013B"/>
    <w:rsid w:val="003E04FF"/>
    <w:rsid w:val="003E06AE"/>
    <w:rsid w:val="003E0DD8"/>
    <w:rsid w:val="003E138C"/>
    <w:rsid w:val="003E16F3"/>
    <w:rsid w:val="003E1E81"/>
    <w:rsid w:val="003E1EA9"/>
    <w:rsid w:val="003E2089"/>
    <w:rsid w:val="003E33BC"/>
    <w:rsid w:val="003E3512"/>
    <w:rsid w:val="003E3BE3"/>
    <w:rsid w:val="003E44A6"/>
    <w:rsid w:val="003E476D"/>
    <w:rsid w:val="003E4DCF"/>
    <w:rsid w:val="003E4E85"/>
    <w:rsid w:val="003E5234"/>
    <w:rsid w:val="003E54BD"/>
    <w:rsid w:val="003E5645"/>
    <w:rsid w:val="003E5669"/>
    <w:rsid w:val="003E5C5C"/>
    <w:rsid w:val="003E5D44"/>
    <w:rsid w:val="003E64EB"/>
    <w:rsid w:val="003E6DBD"/>
    <w:rsid w:val="003E73FE"/>
    <w:rsid w:val="003E77F2"/>
    <w:rsid w:val="003E7F77"/>
    <w:rsid w:val="003F0A58"/>
    <w:rsid w:val="003F0AE5"/>
    <w:rsid w:val="003F0E85"/>
    <w:rsid w:val="003F111F"/>
    <w:rsid w:val="003F1143"/>
    <w:rsid w:val="003F1529"/>
    <w:rsid w:val="003F1648"/>
    <w:rsid w:val="003F1965"/>
    <w:rsid w:val="003F19A6"/>
    <w:rsid w:val="003F1ACB"/>
    <w:rsid w:val="003F1B87"/>
    <w:rsid w:val="003F1CEF"/>
    <w:rsid w:val="003F1D75"/>
    <w:rsid w:val="003F202A"/>
    <w:rsid w:val="003F2D0C"/>
    <w:rsid w:val="003F31E3"/>
    <w:rsid w:val="003F4F84"/>
    <w:rsid w:val="003F4FBD"/>
    <w:rsid w:val="003F4FF0"/>
    <w:rsid w:val="003F5277"/>
    <w:rsid w:val="003F5867"/>
    <w:rsid w:val="003F5AC3"/>
    <w:rsid w:val="003F5D4D"/>
    <w:rsid w:val="003F5ED4"/>
    <w:rsid w:val="003F6224"/>
    <w:rsid w:val="003F640A"/>
    <w:rsid w:val="003F6500"/>
    <w:rsid w:val="003F731F"/>
    <w:rsid w:val="003F7784"/>
    <w:rsid w:val="003F7923"/>
    <w:rsid w:val="004006E8"/>
    <w:rsid w:val="00400C39"/>
    <w:rsid w:val="00400CE2"/>
    <w:rsid w:val="00400DEF"/>
    <w:rsid w:val="0040118E"/>
    <w:rsid w:val="004020D1"/>
    <w:rsid w:val="0040212D"/>
    <w:rsid w:val="0040362F"/>
    <w:rsid w:val="004038BE"/>
    <w:rsid w:val="00403B07"/>
    <w:rsid w:val="00404CB5"/>
    <w:rsid w:val="0040522F"/>
    <w:rsid w:val="00405251"/>
    <w:rsid w:val="00405392"/>
    <w:rsid w:val="0040556B"/>
    <w:rsid w:val="004060C0"/>
    <w:rsid w:val="004064E2"/>
    <w:rsid w:val="0040660A"/>
    <w:rsid w:val="00406675"/>
    <w:rsid w:val="00407394"/>
    <w:rsid w:val="00407442"/>
    <w:rsid w:val="00407D36"/>
    <w:rsid w:val="0041003B"/>
    <w:rsid w:val="00410B21"/>
    <w:rsid w:val="00410C55"/>
    <w:rsid w:val="00410CD7"/>
    <w:rsid w:val="00410FE8"/>
    <w:rsid w:val="00411204"/>
    <w:rsid w:val="0041191A"/>
    <w:rsid w:val="00411A2F"/>
    <w:rsid w:val="00412534"/>
    <w:rsid w:val="004127B1"/>
    <w:rsid w:val="00413B3D"/>
    <w:rsid w:val="00414252"/>
    <w:rsid w:val="004146CA"/>
    <w:rsid w:val="00414A6B"/>
    <w:rsid w:val="00414C82"/>
    <w:rsid w:val="00415044"/>
    <w:rsid w:val="004153D5"/>
    <w:rsid w:val="00415519"/>
    <w:rsid w:val="00415BA5"/>
    <w:rsid w:val="00415C6E"/>
    <w:rsid w:val="00415E46"/>
    <w:rsid w:val="00415F46"/>
    <w:rsid w:val="0041604D"/>
    <w:rsid w:val="00416854"/>
    <w:rsid w:val="00416FE5"/>
    <w:rsid w:val="00417294"/>
    <w:rsid w:val="00417725"/>
    <w:rsid w:val="0041779A"/>
    <w:rsid w:val="004179EB"/>
    <w:rsid w:val="00417B99"/>
    <w:rsid w:val="00417EC5"/>
    <w:rsid w:val="00420800"/>
    <w:rsid w:val="0042091D"/>
    <w:rsid w:val="00421E5F"/>
    <w:rsid w:val="00422277"/>
    <w:rsid w:val="0042286C"/>
    <w:rsid w:val="004228BA"/>
    <w:rsid w:val="00422DBD"/>
    <w:rsid w:val="00422E85"/>
    <w:rsid w:val="00423341"/>
    <w:rsid w:val="00423495"/>
    <w:rsid w:val="00423FF6"/>
    <w:rsid w:val="00424042"/>
    <w:rsid w:val="0042421E"/>
    <w:rsid w:val="004243EA"/>
    <w:rsid w:val="00424414"/>
    <w:rsid w:val="004247E0"/>
    <w:rsid w:val="00425B41"/>
    <w:rsid w:val="004262DA"/>
    <w:rsid w:val="0042653C"/>
    <w:rsid w:val="00426703"/>
    <w:rsid w:val="00426C40"/>
    <w:rsid w:val="00426EF9"/>
    <w:rsid w:val="004274D1"/>
    <w:rsid w:val="00427FFC"/>
    <w:rsid w:val="004301DA"/>
    <w:rsid w:val="004306F2"/>
    <w:rsid w:val="00430CBF"/>
    <w:rsid w:val="00431BA6"/>
    <w:rsid w:val="00431D5F"/>
    <w:rsid w:val="0043226E"/>
    <w:rsid w:val="0043287F"/>
    <w:rsid w:val="00432BE6"/>
    <w:rsid w:val="00432C2E"/>
    <w:rsid w:val="00432D99"/>
    <w:rsid w:val="00434807"/>
    <w:rsid w:val="00434891"/>
    <w:rsid w:val="00434AE9"/>
    <w:rsid w:val="00435076"/>
    <w:rsid w:val="004350A0"/>
    <w:rsid w:val="004356A0"/>
    <w:rsid w:val="00436A88"/>
    <w:rsid w:val="00436D32"/>
    <w:rsid w:val="00436E08"/>
    <w:rsid w:val="00437302"/>
    <w:rsid w:val="0043755C"/>
    <w:rsid w:val="00437F26"/>
    <w:rsid w:val="00437F3E"/>
    <w:rsid w:val="004407EC"/>
    <w:rsid w:val="00440C25"/>
    <w:rsid w:val="00441039"/>
    <w:rsid w:val="00442C23"/>
    <w:rsid w:val="00442D34"/>
    <w:rsid w:val="00442D64"/>
    <w:rsid w:val="004431F8"/>
    <w:rsid w:val="00443738"/>
    <w:rsid w:val="00443993"/>
    <w:rsid w:val="00443A4B"/>
    <w:rsid w:val="00443AFA"/>
    <w:rsid w:val="00443BDE"/>
    <w:rsid w:val="00444097"/>
    <w:rsid w:val="004442B5"/>
    <w:rsid w:val="00444BEA"/>
    <w:rsid w:val="00444F12"/>
    <w:rsid w:val="00445487"/>
    <w:rsid w:val="00445E02"/>
    <w:rsid w:val="0044677A"/>
    <w:rsid w:val="00446F22"/>
    <w:rsid w:val="004473D8"/>
    <w:rsid w:val="0044757E"/>
    <w:rsid w:val="00447755"/>
    <w:rsid w:val="00447DA6"/>
    <w:rsid w:val="00450005"/>
    <w:rsid w:val="004505BF"/>
    <w:rsid w:val="00450786"/>
    <w:rsid w:val="00450F48"/>
    <w:rsid w:val="00450F53"/>
    <w:rsid w:val="004513A6"/>
    <w:rsid w:val="004516E1"/>
    <w:rsid w:val="00451AE7"/>
    <w:rsid w:val="00452246"/>
    <w:rsid w:val="00452D8A"/>
    <w:rsid w:val="00452F47"/>
    <w:rsid w:val="0045375C"/>
    <w:rsid w:val="00453B42"/>
    <w:rsid w:val="00453D2A"/>
    <w:rsid w:val="00454769"/>
    <w:rsid w:val="00455532"/>
    <w:rsid w:val="00455896"/>
    <w:rsid w:val="00455B39"/>
    <w:rsid w:val="00456029"/>
    <w:rsid w:val="00456C1D"/>
    <w:rsid w:val="00456D58"/>
    <w:rsid w:val="00456F49"/>
    <w:rsid w:val="0045733E"/>
    <w:rsid w:val="00457609"/>
    <w:rsid w:val="00457B36"/>
    <w:rsid w:val="0046034D"/>
    <w:rsid w:val="0046060D"/>
    <w:rsid w:val="00460CA3"/>
    <w:rsid w:val="00460E69"/>
    <w:rsid w:val="004613DB"/>
    <w:rsid w:val="004615C2"/>
    <w:rsid w:val="004618D1"/>
    <w:rsid w:val="00462658"/>
    <w:rsid w:val="004635B4"/>
    <w:rsid w:val="0046376E"/>
    <w:rsid w:val="004637E5"/>
    <w:rsid w:val="00463E73"/>
    <w:rsid w:val="00463E74"/>
    <w:rsid w:val="00464195"/>
    <w:rsid w:val="00464656"/>
    <w:rsid w:val="00464955"/>
    <w:rsid w:val="00464FD6"/>
    <w:rsid w:val="0046543F"/>
    <w:rsid w:val="00465657"/>
    <w:rsid w:val="00465914"/>
    <w:rsid w:val="00466991"/>
    <w:rsid w:val="00466A3B"/>
    <w:rsid w:val="00467118"/>
    <w:rsid w:val="00467376"/>
    <w:rsid w:val="00467FD0"/>
    <w:rsid w:val="00470015"/>
    <w:rsid w:val="00470120"/>
    <w:rsid w:val="0047064C"/>
    <w:rsid w:val="00470B90"/>
    <w:rsid w:val="00470C32"/>
    <w:rsid w:val="00471134"/>
    <w:rsid w:val="00471611"/>
    <w:rsid w:val="00472115"/>
    <w:rsid w:val="004722E3"/>
    <w:rsid w:val="00472F6C"/>
    <w:rsid w:val="004732ED"/>
    <w:rsid w:val="004738A6"/>
    <w:rsid w:val="004738A9"/>
    <w:rsid w:val="00473A05"/>
    <w:rsid w:val="00473C39"/>
    <w:rsid w:val="00474021"/>
    <w:rsid w:val="004742F7"/>
    <w:rsid w:val="00474601"/>
    <w:rsid w:val="00474D90"/>
    <w:rsid w:val="00474FE0"/>
    <w:rsid w:val="00475291"/>
    <w:rsid w:val="00475C44"/>
    <w:rsid w:val="00475F46"/>
    <w:rsid w:val="0047651E"/>
    <w:rsid w:val="004776B8"/>
    <w:rsid w:val="004779E8"/>
    <w:rsid w:val="004779ED"/>
    <w:rsid w:val="00477AFF"/>
    <w:rsid w:val="00477D27"/>
    <w:rsid w:val="00477DEB"/>
    <w:rsid w:val="00480808"/>
    <w:rsid w:val="004808F0"/>
    <w:rsid w:val="00480F15"/>
    <w:rsid w:val="00480F26"/>
    <w:rsid w:val="00480FB9"/>
    <w:rsid w:val="00481156"/>
    <w:rsid w:val="0048118D"/>
    <w:rsid w:val="004819A3"/>
    <w:rsid w:val="00481D76"/>
    <w:rsid w:val="00481DD6"/>
    <w:rsid w:val="00481F0B"/>
    <w:rsid w:val="00482F04"/>
    <w:rsid w:val="0048300E"/>
    <w:rsid w:val="004830A2"/>
    <w:rsid w:val="00483201"/>
    <w:rsid w:val="0048328B"/>
    <w:rsid w:val="00483382"/>
    <w:rsid w:val="004834F3"/>
    <w:rsid w:val="0048352E"/>
    <w:rsid w:val="00483660"/>
    <w:rsid w:val="00483A88"/>
    <w:rsid w:val="00483AD9"/>
    <w:rsid w:val="00484496"/>
    <w:rsid w:val="004845EF"/>
    <w:rsid w:val="00484665"/>
    <w:rsid w:val="004847DF"/>
    <w:rsid w:val="0048487D"/>
    <w:rsid w:val="00484A59"/>
    <w:rsid w:val="00484C8D"/>
    <w:rsid w:val="00485994"/>
    <w:rsid w:val="00485F1A"/>
    <w:rsid w:val="004863BB"/>
    <w:rsid w:val="00486E8B"/>
    <w:rsid w:val="00486EF5"/>
    <w:rsid w:val="0048708A"/>
    <w:rsid w:val="0048712E"/>
    <w:rsid w:val="004873B0"/>
    <w:rsid w:val="004879BB"/>
    <w:rsid w:val="00487E56"/>
    <w:rsid w:val="00487E61"/>
    <w:rsid w:val="00487E93"/>
    <w:rsid w:val="00490010"/>
    <w:rsid w:val="0049001F"/>
    <w:rsid w:val="0049014E"/>
    <w:rsid w:val="004901E6"/>
    <w:rsid w:val="004908E5"/>
    <w:rsid w:val="00491BEE"/>
    <w:rsid w:val="00492119"/>
    <w:rsid w:val="00492191"/>
    <w:rsid w:val="0049280F"/>
    <w:rsid w:val="00492857"/>
    <w:rsid w:val="004931D0"/>
    <w:rsid w:val="00493244"/>
    <w:rsid w:val="004932DE"/>
    <w:rsid w:val="0049348D"/>
    <w:rsid w:val="00493B23"/>
    <w:rsid w:val="00493F5F"/>
    <w:rsid w:val="00494351"/>
    <w:rsid w:val="00494815"/>
    <w:rsid w:val="00494A50"/>
    <w:rsid w:val="004954D0"/>
    <w:rsid w:val="00495BFE"/>
    <w:rsid w:val="004960E2"/>
    <w:rsid w:val="00496B69"/>
    <w:rsid w:val="00496E99"/>
    <w:rsid w:val="00497E1B"/>
    <w:rsid w:val="00497E49"/>
    <w:rsid w:val="00497FE9"/>
    <w:rsid w:val="004A0008"/>
    <w:rsid w:val="004A017A"/>
    <w:rsid w:val="004A0A1E"/>
    <w:rsid w:val="004A0D7D"/>
    <w:rsid w:val="004A17E9"/>
    <w:rsid w:val="004A1B3A"/>
    <w:rsid w:val="004A2A8A"/>
    <w:rsid w:val="004A2BAB"/>
    <w:rsid w:val="004A34FC"/>
    <w:rsid w:val="004A3A26"/>
    <w:rsid w:val="004A3DF1"/>
    <w:rsid w:val="004A41F5"/>
    <w:rsid w:val="004A42BD"/>
    <w:rsid w:val="004A42E1"/>
    <w:rsid w:val="004A4345"/>
    <w:rsid w:val="004A4811"/>
    <w:rsid w:val="004A490D"/>
    <w:rsid w:val="004A4A35"/>
    <w:rsid w:val="004A4D07"/>
    <w:rsid w:val="004A6340"/>
    <w:rsid w:val="004A6939"/>
    <w:rsid w:val="004A69F3"/>
    <w:rsid w:val="004A6FE1"/>
    <w:rsid w:val="004A7E0A"/>
    <w:rsid w:val="004B150B"/>
    <w:rsid w:val="004B162C"/>
    <w:rsid w:val="004B19D4"/>
    <w:rsid w:val="004B21F2"/>
    <w:rsid w:val="004B2202"/>
    <w:rsid w:val="004B2503"/>
    <w:rsid w:val="004B3034"/>
    <w:rsid w:val="004B3038"/>
    <w:rsid w:val="004B3111"/>
    <w:rsid w:val="004B333E"/>
    <w:rsid w:val="004B3357"/>
    <w:rsid w:val="004B3587"/>
    <w:rsid w:val="004B3F94"/>
    <w:rsid w:val="004B4272"/>
    <w:rsid w:val="004B4E84"/>
    <w:rsid w:val="004B532B"/>
    <w:rsid w:val="004B5AB4"/>
    <w:rsid w:val="004B6463"/>
    <w:rsid w:val="004B64CF"/>
    <w:rsid w:val="004B6C42"/>
    <w:rsid w:val="004B6CF8"/>
    <w:rsid w:val="004B6F09"/>
    <w:rsid w:val="004B6F48"/>
    <w:rsid w:val="004B7029"/>
    <w:rsid w:val="004B72AA"/>
    <w:rsid w:val="004B76DC"/>
    <w:rsid w:val="004B7A72"/>
    <w:rsid w:val="004B7B37"/>
    <w:rsid w:val="004B7E0B"/>
    <w:rsid w:val="004C07CE"/>
    <w:rsid w:val="004C08B8"/>
    <w:rsid w:val="004C0A6C"/>
    <w:rsid w:val="004C1137"/>
    <w:rsid w:val="004C218A"/>
    <w:rsid w:val="004C2209"/>
    <w:rsid w:val="004C224D"/>
    <w:rsid w:val="004C3361"/>
    <w:rsid w:val="004C3DBE"/>
    <w:rsid w:val="004C43A7"/>
    <w:rsid w:val="004C475B"/>
    <w:rsid w:val="004C478A"/>
    <w:rsid w:val="004C47A0"/>
    <w:rsid w:val="004C4B7E"/>
    <w:rsid w:val="004C5BCF"/>
    <w:rsid w:val="004C5C96"/>
    <w:rsid w:val="004C5CD7"/>
    <w:rsid w:val="004C6AD3"/>
    <w:rsid w:val="004C7168"/>
    <w:rsid w:val="004C7E39"/>
    <w:rsid w:val="004D03BC"/>
    <w:rsid w:val="004D05E6"/>
    <w:rsid w:val="004D06A4"/>
    <w:rsid w:val="004D06C6"/>
    <w:rsid w:val="004D1232"/>
    <w:rsid w:val="004D1AB4"/>
    <w:rsid w:val="004D1ADE"/>
    <w:rsid w:val="004D1DCC"/>
    <w:rsid w:val="004D22C0"/>
    <w:rsid w:val="004D2520"/>
    <w:rsid w:val="004D2E70"/>
    <w:rsid w:val="004D302C"/>
    <w:rsid w:val="004D4591"/>
    <w:rsid w:val="004D4DF1"/>
    <w:rsid w:val="004D594E"/>
    <w:rsid w:val="004D59F1"/>
    <w:rsid w:val="004D5D45"/>
    <w:rsid w:val="004D5ED0"/>
    <w:rsid w:val="004D60EA"/>
    <w:rsid w:val="004D6517"/>
    <w:rsid w:val="004D6930"/>
    <w:rsid w:val="004D6C27"/>
    <w:rsid w:val="004D6F86"/>
    <w:rsid w:val="004D7985"/>
    <w:rsid w:val="004D7C92"/>
    <w:rsid w:val="004E0BAA"/>
    <w:rsid w:val="004E0DEB"/>
    <w:rsid w:val="004E18BD"/>
    <w:rsid w:val="004E1B4D"/>
    <w:rsid w:val="004E1C59"/>
    <w:rsid w:val="004E2379"/>
    <w:rsid w:val="004E318D"/>
    <w:rsid w:val="004E349D"/>
    <w:rsid w:val="004E362F"/>
    <w:rsid w:val="004E367E"/>
    <w:rsid w:val="004E39F2"/>
    <w:rsid w:val="004E3E3F"/>
    <w:rsid w:val="004E4583"/>
    <w:rsid w:val="004E4954"/>
    <w:rsid w:val="004E4BA6"/>
    <w:rsid w:val="004E504F"/>
    <w:rsid w:val="004E59D4"/>
    <w:rsid w:val="004E5AC3"/>
    <w:rsid w:val="004E5AF7"/>
    <w:rsid w:val="004E5CDE"/>
    <w:rsid w:val="004E5CF2"/>
    <w:rsid w:val="004E7914"/>
    <w:rsid w:val="004E7982"/>
    <w:rsid w:val="004E79AC"/>
    <w:rsid w:val="004E7E3A"/>
    <w:rsid w:val="004F018D"/>
    <w:rsid w:val="004F0CF6"/>
    <w:rsid w:val="004F1742"/>
    <w:rsid w:val="004F1A81"/>
    <w:rsid w:val="004F1EA6"/>
    <w:rsid w:val="004F22B8"/>
    <w:rsid w:val="004F30C7"/>
    <w:rsid w:val="004F3190"/>
    <w:rsid w:val="004F36CC"/>
    <w:rsid w:val="004F3D23"/>
    <w:rsid w:val="004F4965"/>
    <w:rsid w:val="004F49AE"/>
    <w:rsid w:val="004F4B79"/>
    <w:rsid w:val="004F4CF6"/>
    <w:rsid w:val="004F4E67"/>
    <w:rsid w:val="004F55C0"/>
    <w:rsid w:val="004F56DD"/>
    <w:rsid w:val="004F59C0"/>
    <w:rsid w:val="004F6BF7"/>
    <w:rsid w:val="004F727C"/>
    <w:rsid w:val="005009B5"/>
    <w:rsid w:val="00501194"/>
    <w:rsid w:val="0050175F"/>
    <w:rsid w:val="00502119"/>
    <w:rsid w:val="0050258F"/>
    <w:rsid w:val="00502D19"/>
    <w:rsid w:val="005031E0"/>
    <w:rsid w:val="005035D5"/>
    <w:rsid w:val="005039AC"/>
    <w:rsid w:val="00503EB9"/>
    <w:rsid w:val="00503FE9"/>
    <w:rsid w:val="005044A3"/>
    <w:rsid w:val="005046E2"/>
    <w:rsid w:val="00504C3C"/>
    <w:rsid w:val="00505177"/>
    <w:rsid w:val="005052DB"/>
    <w:rsid w:val="005058AC"/>
    <w:rsid w:val="005059E4"/>
    <w:rsid w:val="00505B12"/>
    <w:rsid w:val="00505BF7"/>
    <w:rsid w:val="0050622A"/>
    <w:rsid w:val="00506E4A"/>
    <w:rsid w:val="005070D0"/>
    <w:rsid w:val="0050739A"/>
    <w:rsid w:val="0050740A"/>
    <w:rsid w:val="00507B9A"/>
    <w:rsid w:val="00507BD6"/>
    <w:rsid w:val="0051030B"/>
    <w:rsid w:val="005105B3"/>
    <w:rsid w:val="00511034"/>
    <w:rsid w:val="005114D4"/>
    <w:rsid w:val="005126CD"/>
    <w:rsid w:val="00512C1E"/>
    <w:rsid w:val="00512FAB"/>
    <w:rsid w:val="00513A7C"/>
    <w:rsid w:val="00513D0E"/>
    <w:rsid w:val="00513F80"/>
    <w:rsid w:val="00514970"/>
    <w:rsid w:val="005149CF"/>
    <w:rsid w:val="00514A43"/>
    <w:rsid w:val="00514C35"/>
    <w:rsid w:val="0051552B"/>
    <w:rsid w:val="0051567A"/>
    <w:rsid w:val="005159E3"/>
    <w:rsid w:val="00515AC4"/>
    <w:rsid w:val="00515D14"/>
    <w:rsid w:val="00515F98"/>
    <w:rsid w:val="00516991"/>
    <w:rsid w:val="00516CE8"/>
    <w:rsid w:val="005178D9"/>
    <w:rsid w:val="00517C0E"/>
    <w:rsid w:val="0052182F"/>
    <w:rsid w:val="005218D9"/>
    <w:rsid w:val="00521915"/>
    <w:rsid w:val="005219F3"/>
    <w:rsid w:val="00521AB7"/>
    <w:rsid w:val="00522274"/>
    <w:rsid w:val="00522309"/>
    <w:rsid w:val="0052245E"/>
    <w:rsid w:val="00522CD7"/>
    <w:rsid w:val="00522F13"/>
    <w:rsid w:val="0052355D"/>
    <w:rsid w:val="0052386A"/>
    <w:rsid w:val="00523960"/>
    <w:rsid w:val="00523B2E"/>
    <w:rsid w:val="00523CB7"/>
    <w:rsid w:val="00524985"/>
    <w:rsid w:val="00524AB2"/>
    <w:rsid w:val="00524EE7"/>
    <w:rsid w:val="00524FE7"/>
    <w:rsid w:val="00525187"/>
    <w:rsid w:val="005252A6"/>
    <w:rsid w:val="0052578B"/>
    <w:rsid w:val="005261D4"/>
    <w:rsid w:val="0052655D"/>
    <w:rsid w:val="0052658C"/>
    <w:rsid w:val="005269DF"/>
    <w:rsid w:val="00526A0D"/>
    <w:rsid w:val="00527021"/>
    <w:rsid w:val="005275F9"/>
    <w:rsid w:val="005306D3"/>
    <w:rsid w:val="00531906"/>
    <w:rsid w:val="00531CF8"/>
    <w:rsid w:val="00531F1D"/>
    <w:rsid w:val="00532118"/>
    <w:rsid w:val="0053226C"/>
    <w:rsid w:val="00532409"/>
    <w:rsid w:val="0053257E"/>
    <w:rsid w:val="005326D5"/>
    <w:rsid w:val="00532E47"/>
    <w:rsid w:val="00533B33"/>
    <w:rsid w:val="00534107"/>
    <w:rsid w:val="00535A3F"/>
    <w:rsid w:val="0053607C"/>
    <w:rsid w:val="00536186"/>
    <w:rsid w:val="005362FC"/>
    <w:rsid w:val="0053679D"/>
    <w:rsid w:val="00536826"/>
    <w:rsid w:val="00536C44"/>
    <w:rsid w:val="00536CF7"/>
    <w:rsid w:val="005370D8"/>
    <w:rsid w:val="00537397"/>
    <w:rsid w:val="00537875"/>
    <w:rsid w:val="00537E81"/>
    <w:rsid w:val="00540BEB"/>
    <w:rsid w:val="00541939"/>
    <w:rsid w:val="00541A56"/>
    <w:rsid w:val="00541D82"/>
    <w:rsid w:val="00541F41"/>
    <w:rsid w:val="0054322D"/>
    <w:rsid w:val="00544BBB"/>
    <w:rsid w:val="00544CBB"/>
    <w:rsid w:val="005451D2"/>
    <w:rsid w:val="00545898"/>
    <w:rsid w:val="00545B69"/>
    <w:rsid w:val="00546EDD"/>
    <w:rsid w:val="00546EF0"/>
    <w:rsid w:val="00547EB0"/>
    <w:rsid w:val="00550518"/>
    <w:rsid w:val="00551528"/>
    <w:rsid w:val="0055156E"/>
    <w:rsid w:val="005515CE"/>
    <w:rsid w:val="005517D2"/>
    <w:rsid w:val="0055203D"/>
    <w:rsid w:val="0055222A"/>
    <w:rsid w:val="0055292A"/>
    <w:rsid w:val="00552CD6"/>
    <w:rsid w:val="00552F75"/>
    <w:rsid w:val="005536A5"/>
    <w:rsid w:val="005540AF"/>
    <w:rsid w:val="005544D2"/>
    <w:rsid w:val="00554635"/>
    <w:rsid w:val="00554785"/>
    <w:rsid w:val="005549F0"/>
    <w:rsid w:val="00554B08"/>
    <w:rsid w:val="00555B41"/>
    <w:rsid w:val="00555D38"/>
    <w:rsid w:val="00555D6A"/>
    <w:rsid w:val="00556333"/>
    <w:rsid w:val="005577E1"/>
    <w:rsid w:val="005579CF"/>
    <w:rsid w:val="00557A25"/>
    <w:rsid w:val="00557E6E"/>
    <w:rsid w:val="0056008E"/>
    <w:rsid w:val="0056010D"/>
    <w:rsid w:val="00560459"/>
    <w:rsid w:val="0056068D"/>
    <w:rsid w:val="0056143D"/>
    <w:rsid w:val="005621EE"/>
    <w:rsid w:val="005622EB"/>
    <w:rsid w:val="00562651"/>
    <w:rsid w:val="005629BA"/>
    <w:rsid w:val="005635AE"/>
    <w:rsid w:val="00563CCE"/>
    <w:rsid w:val="00564286"/>
    <w:rsid w:val="0056462A"/>
    <w:rsid w:val="00564810"/>
    <w:rsid w:val="00564C09"/>
    <w:rsid w:val="00564CF3"/>
    <w:rsid w:val="005651EC"/>
    <w:rsid w:val="00565403"/>
    <w:rsid w:val="005657C4"/>
    <w:rsid w:val="005657D3"/>
    <w:rsid w:val="0056586C"/>
    <w:rsid w:val="005658B8"/>
    <w:rsid w:val="005659A1"/>
    <w:rsid w:val="00565BC1"/>
    <w:rsid w:val="00565FF3"/>
    <w:rsid w:val="005660FF"/>
    <w:rsid w:val="005663D9"/>
    <w:rsid w:val="00566A54"/>
    <w:rsid w:val="00566D3E"/>
    <w:rsid w:val="00566E50"/>
    <w:rsid w:val="005674F9"/>
    <w:rsid w:val="00567FD1"/>
    <w:rsid w:val="0057014F"/>
    <w:rsid w:val="005702EF"/>
    <w:rsid w:val="005705CA"/>
    <w:rsid w:val="00570697"/>
    <w:rsid w:val="0057081F"/>
    <w:rsid w:val="00570D4B"/>
    <w:rsid w:val="0057127E"/>
    <w:rsid w:val="00571A6E"/>
    <w:rsid w:val="0057261A"/>
    <w:rsid w:val="00572C91"/>
    <w:rsid w:val="00572F69"/>
    <w:rsid w:val="0057315F"/>
    <w:rsid w:val="00573367"/>
    <w:rsid w:val="00573692"/>
    <w:rsid w:val="00574390"/>
    <w:rsid w:val="0057488C"/>
    <w:rsid w:val="005753B8"/>
    <w:rsid w:val="00575DF1"/>
    <w:rsid w:val="00576104"/>
    <w:rsid w:val="00576C5A"/>
    <w:rsid w:val="00576F18"/>
    <w:rsid w:val="005775A2"/>
    <w:rsid w:val="00577B38"/>
    <w:rsid w:val="00577D60"/>
    <w:rsid w:val="00577EF5"/>
    <w:rsid w:val="00580438"/>
    <w:rsid w:val="00581246"/>
    <w:rsid w:val="005816A6"/>
    <w:rsid w:val="00581803"/>
    <w:rsid w:val="00581B8B"/>
    <w:rsid w:val="00581FE7"/>
    <w:rsid w:val="005822D9"/>
    <w:rsid w:val="00582C70"/>
    <w:rsid w:val="00582D07"/>
    <w:rsid w:val="00582ED4"/>
    <w:rsid w:val="00582FA4"/>
    <w:rsid w:val="005835BE"/>
    <w:rsid w:val="00583AF0"/>
    <w:rsid w:val="00583E6F"/>
    <w:rsid w:val="0058413A"/>
    <w:rsid w:val="00584843"/>
    <w:rsid w:val="00585F09"/>
    <w:rsid w:val="00586518"/>
    <w:rsid w:val="00586E4B"/>
    <w:rsid w:val="00587442"/>
    <w:rsid w:val="00587806"/>
    <w:rsid w:val="00590473"/>
    <w:rsid w:val="0059063C"/>
    <w:rsid w:val="00590A1C"/>
    <w:rsid w:val="00590A6B"/>
    <w:rsid w:val="00590B60"/>
    <w:rsid w:val="00591137"/>
    <w:rsid w:val="00591201"/>
    <w:rsid w:val="00591A82"/>
    <w:rsid w:val="00591CA0"/>
    <w:rsid w:val="005922E6"/>
    <w:rsid w:val="00592780"/>
    <w:rsid w:val="005929E3"/>
    <w:rsid w:val="00593478"/>
    <w:rsid w:val="0059354A"/>
    <w:rsid w:val="00593D04"/>
    <w:rsid w:val="005940BC"/>
    <w:rsid w:val="0059410F"/>
    <w:rsid w:val="00594621"/>
    <w:rsid w:val="00594BA0"/>
    <w:rsid w:val="00594D26"/>
    <w:rsid w:val="00594DF1"/>
    <w:rsid w:val="005950D4"/>
    <w:rsid w:val="0059578A"/>
    <w:rsid w:val="00595891"/>
    <w:rsid w:val="00595B2A"/>
    <w:rsid w:val="00595F41"/>
    <w:rsid w:val="00596057"/>
    <w:rsid w:val="005963E9"/>
    <w:rsid w:val="005967CF"/>
    <w:rsid w:val="00596959"/>
    <w:rsid w:val="00596DAD"/>
    <w:rsid w:val="005971E9"/>
    <w:rsid w:val="0059733F"/>
    <w:rsid w:val="0059752F"/>
    <w:rsid w:val="0059764C"/>
    <w:rsid w:val="005A044D"/>
    <w:rsid w:val="005A05CF"/>
    <w:rsid w:val="005A101C"/>
    <w:rsid w:val="005A1C2D"/>
    <w:rsid w:val="005A20F0"/>
    <w:rsid w:val="005A21D3"/>
    <w:rsid w:val="005A2407"/>
    <w:rsid w:val="005A2858"/>
    <w:rsid w:val="005A2F9D"/>
    <w:rsid w:val="005A3272"/>
    <w:rsid w:val="005A3865"/>
    <w:rsid w:val="005A4457"/>
    <w:rsid w:val="005A54AB"/>
    <w:rsid w:val="005A5B59"/>
    <w:rsid w:val="005A6104"/>
    <w:rsid w:val="005A61E0"/>
    <w:rsid w:val="005A6C81"/>
    <w:rsid w:val="005A6FB5"/>
    <w:rsid w:val="005A7195"/>
    <w:rsid w:val="005A7227"/>
    <w:rsid w:val="005A7414"/>
    <w:rsid w:val="005A79CA"/>
    <w:rsid w:val="005B0886"/>
    <w:rsid w:val="005B08F6"/>
    <w:rsid w:val="005B0A05"/>
    <w:rsid w:val="005B0A6F"/>
    <w:rsid w:val="005B1D26"/>
    <w:rsid w:val="005B21AE"/>
    <w:rsid w:val="005B2338"/>
    <w:rsid w:val="005B23F5"/>
    <w:rsid w:val="005B2607"/>
    <w:rsid w:val="005B2B06"/>
    <w:rsid w:val="005B34CB"/>
    <w:rsid w:val="005B3737"/>
    <w:rsid w:val="005B37AE"/>
    <w:rsid w:val="005B4D06"/>
    <w:rsid w:val="005B4D27"/>
    <w:rsid w:val="005B4D56"/>
    <w:rsid w:val="005B51EC"/>
    <w:rsid w:val="005B5DC9"/>
    <w:rsid w:val="005B7142"/>
    <w:rsid w:val="005B74E6"/>
    <w:rsid w:val="005C00B4"/>
    <w:rsid w:val="005C0479"/>
    <w:rsid w:val="005C07E3"/>
    <w:rsid w:val="005C0A0F"/>
    <w:rsid w:val="005C0DE1"/>
    <w:rsid w:val="005C0ED5"/>
    <w:rsid w:val="005C10C9"/>
    <w:rsid w:val="005C154D"/>
    <w:rsid w:val="005C1740"/>
    <w:rsid w:val="005C1A8E"/>
    <w:rsid w:val="005C1D08"/>
    <w:rsid w:val="005C227B"/>
    <w:rsid w:val="005C23E4"/>
    <w:rsid w:val="005C2E4C"/>
    <w:rsid w:val="005C30C7"/>
    <w:rsid w:val="005C33AE"/>
    <w:rsid w:val="005C3D31"/>
    <w:rsid w:val="005C4DF1"/>
    <w:rsid w:val="005C4F6A"/>
    <w:rsid w:val="005C5277"/>
    <w:rsid w:val="005C532C"/>
    <w:rsid w:val="005C5565"/>
    <w:rsid w:val="005C5733"/>
    <w:rsid w:val="005C5BD8"/>
    <w:rsid w:val="005C67C8"/>
    <w:rsid w:val="005C6F93"/>
    <w:rsid w:val="005C7081"/>
    <w:rsid w:val="005C7352"/>
    <w:rsid w:val="005C7399"/>
    <w:rsid w:val="005C7692"/>
    <w:rsid w:val="005C7A78"/>
    <w:rsid w:val="005C7B62"/>
    <w:rsid w:val="005D0099"/>
    <w:rsid w:val="005D0249"/>
    <w:rsid w:val="005D0519"/>
    <w:rsid w:val="005D07DE"/>
    <w:rsid w:val="005D0AA5"/>
    <w:rsid w:val="005D0E32"/>
    <w:rsid w:val="005D19BA"/>
    <w:rsid w:val="005D1B02"/>
    <w:rsid w:val="005D2269"/>
    <w:rsid w:val="005D274E"/>
    <w:rsid w:val="005D2843"/>
    <w:rsid w:val="005D2B4B"/>
    <w:rsid w:val="005D2F15"/>
    <w:rsid w:val="005D3D58"/>
    <w:rsid w:val="005D4088"/>
    <w:rsid w:val="005D418C"/>
    <w:rsid w:val="005D45CC"/>
    <w:rsid w:val="005D5521"/>
    <w:rsid w:val="005D57E4"/>
    <w:rsid w:val="005D5BB4"/>
    <w:rsid w:val="005D5D10"/>
    <w:rsid w:val="005D6061"/>
    <w:rsid w:val="005D628A"/>
    <w:rsid w:val="005D657F"/>
    <w:rsid w:val="005D6E8C"/>
    <w:rsid w:val="005D73EB"/>
    <w:rsid w:val="005E0574"/>
    <w:rsid w:val="005E19D1"/>
    <w:rsid w:val="005E1D49"/>
    <w:rsid w:val="005E29CE"/>
    <w:rsid w:val="005E2ADF"/>
    <w:rsid w:val="005E2B2E"/>
    <w:rsid w:val="005E2B4A"/>
    <w:rsid w:val="005E36B2"/>
    <w:rsid w:val="005E3C7A"/>
    <w:rsid w:val="005E3E4B"/>
    <w:rsid w:val="005E3FF6"/>
    <w:rsid w:val="005E4033"/>
    <w:rsid w:val="005E42DD"/>
    <w:rsid w:val="005E4365"/>
    <w:rsid w:val="005E48C2"/>
    <w:rsid w:val="005E5145"/>
    <w:rsid w:val="005E5372"/>
    <w:rsid w:val="005E59E1"/>
    <w:rsid w:val="005E5E87"/>
    <w:rsid w:val="005E5F22"/>
    <w:rsid w:val="005E6143"/>
    <w:rsid w:val="005E6221"/>
    <w:rsid w:val="005E676C"/>
    <w:rsid w:val="005E6ED1"/>
    <w:rsid w:val="005E786A"/>
    <w:rsid w:val="005E7AFB"/>
    <w:rsid w:val="005E7D96"/>
    <w:rsid w:val="005F0425"/>
    <w:rsid w:val="005F0692"/>
    <w:rsid w:val="005F100C"/>
    <w:rsid w:val="005F13D5"/>
    <w:rsid w:val="005F1487"/>
    <w:rsid w:val="005F1709"/>
    <w:rsid w:val="005F1A8B"/>
    <w:rsid w:val="005F2092"/>
    <w:rsid w:val="005F229D"/>
    <w:rsid w:val="005F22B9"/>
    <w:rsid w:val="005F2706"/>
    <w:rsid w:val="005F2A5F"/>
    <w:rsid w:val="005F39B4"/>
    <w:rsid w:val="005F3BF9"/>
    <w:rsid w:val="005F41A3"/>
    <w:rsid w:val="005F449E"/>
    <w:rsid w:val="005F44AE"/>
    <w:rsid w:val="005F48FC"/>
    <w:rsid w:val="005F4D55"/>
    <w:rsid w:val="005F4F61"/>
    <w:rsid w:val="005F5104"/>
    <w:rsid w:val="005F52D7"/>
    <w:rsid w:val="005F55E2"/>
    <w:rsid w:val="005F570A"/>
    <w:rsid w:val="005F5830"/>
    <w:rsid w:val="005F630A"/>
    <w:rsid w:val="005F68DA"/>
    <w:rsid w:val="005F69E3"/>
    <w:rsid w:val="005F6D80"/>
    <w:rsid w:val="005F712A"/>
    <w:rsid w:val="005F71EA"/>
    <w:rsid w:val="005F75E6"/>
    <w:rsid w:val="00600A7C"/>
    <w:rsid w:val="00600FE1"/>
    <w:rsid w:val="006014DD"/>
    <w:rsid w:val="0060257F"/>
    <w:rsid w:val="00602BD3"/>
    <w:rsid w:val="006036BD"/>
    <w:rsid w:val="00603C3B"/>
    <w:rsid w:val="00603C96"/>
    <w:rsid w:val="006042F1"/>
    <w:rsid w:val="00604354"/>
    <w:rsid w:val="006044F3"/>
    <w:rsid w:val="00604540"/>
    <w:rsid w:val="0060480D"/>
    <w:rsid w:val="00604A64"/>
    <w:rsid w:val="00604BFA"/>
    <w:rsid w:val="006061B2"/>
    <w:rsid w:val="006066FF"/>
    <w:rsid w:val="00606BBA"/>
    <w:rsid w:val="00606E75"/>
    <w:rsid w:val="00606ED4"/>
    <w:rsid w:val="00607572"/>
    <w:rsid w:val="0060773B"/>
    <w:rsid w:val="0060782B"/>
    <w:rsid w:val="0060791E"/>
    <w:rsid w:val="00607CE1"/>
    <w:rsid w:val="00607D94"/>
    <w:rsid w:val="00607E6C"/>
    <w:rsid w:val="00607F41"/>
    <w:rsid w:val="006110CE"/>
    <w:rsid w:val="006110E9"/>
    <w:rsid w:val="0061122A"/>
    <w:rsid w:val="0061162B"/>
    <w:rsid w:val="00611DD7"/>
    <w:rsid w:val="00612615"/>
    <w:rsid w:val="0061290B"/>
    <w:rsid w:val="00612BD6"/>
    <w:rsid w:val="006143B1"/>
    <w:rsid w:val="006144CF"/>
    <w:rsid w:val="0061460F"/>
    <w:rsid w:val="00614C9D"/>
    <w:rsid w:val="00614E68"/>
    <w:rsid w:val="00615285"/>
    <w:rsid w:val="006156DB"/>
    <w:rsid w:val="006157B5"/>
    <w:rsid w:val="006163C6"/>
    <w:rsid w:val="00616533"/>
    <w:rsid w:val="00616898"/>
    <w:rsid w:val="00616C30"/>
    <w:rsid w:val="00616E6E"/>
    <w:rsid w:val="00617123"/>
    <w:rsid w:val="00617304"/>
    <w:rsid w:val="0062012D"/>
    <w:rsid w:val="00620481"/>
    <w:rsid w:val="006213A5"/>
    <w:rsid w:val="006215D4"/>
    <w:rsid w:val="00621860"/>
    <w:rsid w:val="00621F8B"/>
    <w:rsid w:val="00622638"/>
    <w:rsid w:val="00622839"/>
    <w:rsid w:val="00622BC1"/>
    <w:rsid w:val="00622F0B"/>
    <w:rsid w:val="006232EA"/>
    <w:rsid w:val="00623DE6"/>
    <w:rsid w:val="006242E6"/>
    <w:rsid w:val="00624555"/>
    <w:rsid w:val="00624C11"/>
    <w:rsid w:val="00624EEF"/>
    <w:rsid w:val="00626025"/>
    <w:rsid w:val="006261FD"/>
    <w:rsid w:val="006266F5"/>
    <w:rsid w:val="00626FC6"/>
    <w:rsid w:val="006271E0"/>
    <w:rsid w:val="00627494"/>
    <w:rsid w:val="00627595"/>
    <w:rsid w:val="00627ACF"/>
    <w:rsid w:val="00627B9A"/>
    <w:rsid w:val="006303B4"/>
    <w:rsid w:val="00630EFF"/>
    <w:rsid w:val="00631328"/>
    <w:rsid w:val="00631DC3"/>
    <w:rsid w:val="006330D1"/>
    <w:rsid w:val="006331F9"/>
    <w:rsid w:val="0063321F"/>
    <w:rsid w:val="00633485"/>
    <w:rsid w:val="00633738"/>
    <w:rsid w:val="00633A57"/>
    <w:rsid w:val="00633CEB"/>
    <w:rsid w:val="00633D3D"/>
    <w:rsid w:val="00633F3A"/>
    <w:rsid w:val="00634963"/>
    <w:rsid w:val="00634B1A"/>
    <w:rsid w:val="00635057"/>
    <w:rsid w:val="006362AD"/>
    <w:rsid w:val="0063693E"/>
    <w:rsid w:val="00636F5E"/>
    <w:rsid w:val="0063748B"/>
    <w:rsid w:val="00637DA2"/>
    <w:rsid w:val="00637E4A"/>
    <w:rsid w:val="00640081"/>
    <w:rsid w:val="00640613"/>
    <w:rsid w:val="00641278"/>
    <w:rsid w:val="006412D1"/>
    <w:rsid w:val="00641703"/>
    <w:rsid w:val="0064187C"/>
    <w:rsid w:val="006418C2"/>
    <w:rsid w:val="00642195"/>
    <w:rsid w:val="0064279B"/>
    <w:rsid w:val="00642B6E"/>
    <w:rsid w:val="006431A6"/>
    <w:rsid w:val="00643C08"/>
    <w:rsid w:val="00643C89"/>
    <w:rsid w:val="00644661"/>
    <w:rsid w:val="00644793"/>
    <w:rsid w:val="00645972"/>
    <w:rsid w:val="006459F6"/>
    <w:rsid w:val="00645A0D"/>
    <w:rsid w:val="00645D94"/>
    <w:rsid w:val="006460C1"/>
    <w:rsid w:val="00646D28"/>
    <w:rsid w:val="00647099"/>
    <w:rsid w:val="006476E9"/>
    <w:rsid w:val="006477B4"/>
    <w:rsid w:val="00647C55"/>
    <w:rsid w:val="00647CD5"/>
    <w:rsid w:val="00647CDF"/>
    <w:rsid w:val="006501AD"/>
    <w:rsid w:val="006502F2"/>
    <w:rsid w:val="0065037B"/>
    <w:rsid w:val="00650B9C"/>
    <w:rsid w:val="00650ED8"/>
    <w:rsid w:val="00651084"/>
    <w:rsid w:val="00651BFA"/>
    <w:rsid w:val="006521B9"/>
    <w:rsid w:val="006523E4"/>
    <w:rsid w:val="00652710"/>
    <w:rsid w:val="006529F0"/>
    <w:rsid w:val="00652C17"/>
    <w:rsid w:val="006533B3"/>
    <w:rsid w:val="00653840"/>
    <w:rsid w:val="006540AC"/>
    <w:rsid w:val="0065478A"/>
    <w:rsid w:val="00654D3D"/>
    <w:rsid w:val="00654DDA"/>
    <w:rsid w:val="00654E0A"/>
    <w:rsid w:val="00655B20"/>
    <w:rsid w:val="00655D02"/>
    <w:rsid w:val="006561A9"/>
    <w:rsid w:val="00656604"/>
    <w:rsid w:val="006571E9"/>
    <w:rsid w:val="0065755E"/>
    <w:rsid w:val="00657F8F"/>
    <w:rsid w:val="00660010"/>
    <w:rsid w:val="00660743"/>
    <w:rsid w:val="006608C3"/>
    <w:rsid w:val="00661070"/>
    <w:rsid w:val="00661213"/>
    <w:rsid w:val="00661405"/>
    <w:rsid w:val="0066153F"/>
    <w:rsid w:val="006618F1"/>
    <w:rsid w:val="0066232E"/>
    <w:rsid w:val="006624EE"/>
    <w:rsid w:val="006626D8"/>
    <w:rsid w:val="006628B2"/>
    <w:rsid w:val="00662E5E"/>
    <w:rsid w:val="0066303B"/>
    <w:rsid w:val="006635FF"/>
    <w:rsid w:val="00663A80"/>
    <w:rsid w:val="00663D58"/>
    <w:rsid w:val="00664360"/>
    <w:rsid w:val="00664361"/>
    <w:rsid w:val="006653DD"/>
    <w:rsid w:val="00665A4B"/>
    <w:rsid w:val="00665BDE"/>
    <w:rsid w:val="0066618D"/>
    <w:rsid w:val="006667D1"/>
    <w:rsid w:val="00667018"/>
    <w:rsid w:val="0066711D"/>
    <w:rsid w:val="006676D1"/>
    <w:rsid w:val="00670526"/>
    <w:rsid w:val="006708D2"/>
    <w:rsid w:val="00670AE2"/>
    <w:rsid w:val="00670DDC"/>
    <w:rsid w:val="00671970"/>
    <w:rsid w:val="00671CB0"/>
    <w:rsid w:val="0067252E"/>
    <w:rsid w:val="00672B7B"/>
    <w:rsid w:val="0067303A"/>
    <w:rsid w:val="006731E3"/>
    <w:rsid w:val="006731FE"/>
    <w:rsid w:val="00673690"/>
    <w:rsid w:val="00673BDF"/>
    <w:rsid w:val="00674F5A"/>
    <w:rsid w:val="00675C42"/>
    <w:rsid w:val="00675E2B"/>
    <w:rsid w:val="0067776E"/>
    <w:rsid w:val="00677B64"/>
    <w:rsid w:val="00677E4A"/>
    <w:rsid w:val="00677E7A"/>
    <w:rsid w:val="00680458"/>
    <w:rsid w:val="00680FA0"/>
    <w:rsid w:val="006814A3"/>
    <w:rsid w:val="00681B4B"/>
    <w:rsid w:val="00681FD4"/>
    <w:rsid w:val="006829A4"/>
    <w:rsid w:val="00682FAF"/>
    <w:rsid w:val="006831AA"/>
    <w:rsid w:val="0068321C"/>
    <w:rsid w:val="00683281"/>
    <w:rsid w:val="00683CC3"/>
    <w:rsid w:val="00684449"/>
    <w:rsid w:val="0068492E"/>
    <w:rsid w:val="00684967"/>
    <w:rsid w:val="00684B62"/>
    <w:rsid w:val="00684F2B"/>
    <w:rsid w:val="00685499"/>
    <w:rsid w:val="0068597A"/>
    <w:rsid w:val="00685D94"/>
    <w:rsid w:val="00685DE2"/>
    <w:rsid w:val="00685F16"/>
    <w:rsid w:val="00685FFB"/>
    <w:rsid w:val="00686196"/>
    <w:rsid w:val="00686529"/>
    <w:rsid w:val="00686BEE"/>
    <w:rsid w:val="00687610"/>
    <w:rsid w:val="0068798D"/>
    <w:rsid w:val="006904BF"/>
    <w:rsid w:val="00690BEF"/>
    <w:rsid w:val="0069105C"/>
    <w:rsid w:val="0069174E"/>
    <w:rsid w:val="006918C3"/>
    <w:rsid w:val="00691CA4"/>
    <w:rsid w:val="00691D40"/>
    <w:rsid w:val="00692351"/>
    <w:rsid w:val="0069288A"/>
    <w:rsid w:val="00692E2A"/>
    <w:rsid w:val="00693E69"/>
    <w:rsid w:val="00693E70"/>
    <w:rsid w:val="00693F28"/>
    <w:rsid w:val="006951C1"/>
    <w:rsid w:val="00695313"/>
    <w:rsid w:val="00695B46"/>
    <w:rsid w:val="00695D3D"/>
    <w:rsid w:val="00695DA9"/>
    <w:rsid w:val="00696030"/>
    <w:rsid w:val="006969F7"/>
    <w:rsid w:val="00696AAF"/>
    <w:rsid w:val="00696C94"/>
    <w:rsid w:val="006974B2"/>
    <w:rsid w:val="006A0017"/>
    <w:rsid w:val="006A0CE7"/>
    <w:rsid w:val="006A0E07"/>
    <w:rsid w:val="006A131D"/>
    <w:rsid w:val="006A1830"/>
    <w:rsid w:val="006A1AED"/>
    <w:rsid w:val="006A1C69"/>
    <w:rsid w:val="006A1F05"/>
    <w:rsid w:val="006A215F"/>
    <w:rsid w:val="006A2317"/>
    <w:rsid w:val="006A253B"/>
    <w:rsid w:val="006A26C9"/>
    <w:rsid w:val="006A29F5"/>
    <w:rsid w:val="006A2DD1"/>
    <w:rsid w:val="006A2EB6"/>
    <w:rsid w:val="006A3B10"/>
    <w:rsid w:val="006A3C2F"/>
    <w:rsid w:val="006A4019"/>
    <w:rsid w:val="006A40DC"/>
    <w:rsid w:val="006A4AF0"/>
    <w:rsid w:val="006A4F68"/>
    <w:rsid w:val="006A532B"/>
    <w:rsid w:val="006A5360"/>
    <w:rsid w:val="006A5860"/>
    <w:rsid w:val="006A6B31"/>
    <w:rsid w:val="006A6E20"/>
    <w:rsid w:val="006A7043"/>
    <w:rsid w:val="006A710A"/>
    <w:rsid w:val="006A7120"/>
    <w:rsid w:val="006A76F2"/>
    <w:rsid w:val="006A7BE6"/>
    <w:rsid w:val="006B062C"/>
    <w:rsid w:val="006B0ED6"/>
    <w:rsid w:val="006B114B"/>
    <w:rsid w:val="006B12F5"/>
    <w:rsid w:val="006B1595"/>
    <w:rsid w:val="006B1B11"/>
    <w:rsid w:val="006B2472"/>
    <w:rsid w:val="006B2741"/>
    <w:rsid w:val="006B2D9E"/>
    <w:rsid w:val="006B348C"/>
    <w:rsid w:val="006B35C7"/>
    <w:rsid w:val="006B3618"/>
    <w:rsid w:val="006B4022"/>
    <w:rsid w:val="006B4698"/>
    <w:rsid w:val="006B4E5E"/>
    <w:rsid w:val="006B584E"/>
    <w:rsid w:val="006B58C0"/>
    <w:rsid w:val="006B6099"/>
    <w:rsid w:val="006B6558"/>
    <w:rsid w:val="006B78D1"/>
    <w:rsid w:val="006B790B"/>
    <w:rsid w:val="006B7A65"/>
    <w:rsid w:val="006B7B26"/>
    <w:rsid w:val="006B7C5F"/>
    <w:rsid w:val="006B7EFF"/>
    <w:rsid w:val="006C0333"/>
    <w:rsid w:val="006C0781"/>
    <w:rsid w:val="006C0786"/>
    <w:rsid w:val="006C10EA"/>
    <w:rsid w:val="006C11D5"/>
    <w:rsid w:val="006C15A6"/>
    <w:rsid w:val="006C1A1A"/>
    <w:rsid w:val="006C1ABD"/>
    <w:rsid w:val="006C24EE"/>
    <w:rsid w:val="006C2BC0"/>
    <w:rsid w:val="006C39F9"/>
    <w:rsid w:val="006C3C61"/>
    <w:rsid w:val="006C3DDA"/>
    <w:rsid w:val="006C4187"/>
    <w:rsid w:val="006C4708"/>
    <w:rsid w:val="006C4781"/>
    <w:rsid w:val="006C478E"/>
    <w:rsid w:val="006C58F3"/>
    <w:rsid w:val="006C6D0F"/>
    <w:rsid w:val="006C78DB"/>
    <w:rsid w:val="006D0188"/>
    <w:rsid w:val="006D0208"/>
    <w:rsid w:val="006D0A76"/>
    <w:rsid w:val="006D103B"/>
    <w:rsid w:val="006D1531"/>
    <w:rsid w:val="006D213C"/>
    <w:rsid w:val="006D217A"/>
    <w:rsid w:val="006D26F6"/>
    <w:rsid w:val="006D28D6"/>
    <w:rsid w:val="006D3020"/>
    <w:rsid w:val="006D3277"/>
    <w:rsid w:val="006D349E"/>
    <w:rsid w:val="006D3AFD"/>
    <w:rsid w:val="006D3F67"/>
    <w:rsid w:val="006D4EB6"/>
    <w:rsid w:val="006D500D"/>
    <w:rsid w:val="006D58A4"/>
    <w:rsid w:val="006D5CCB"/>
    <w:rsid w:val="006D6211"/>
    <w:rsid w:val="006D6C65"/>
    <w:rsid w:val="006D6C71"/>
    <w:rsid w:val="006D6F12"/>
    <w:rsid w:val="006D756B"/>
    <w:rsid w:val="006D7599"/>
    <w:rsid w:val="006D79D9"/>
    <w:rsid w:val="006D7E0D"/>
    <w:rsid w:val="006D7EB8"/>
    <w:rsid w:val="006D7EFB"/>
    <w:rsid w:val="006D7F6A"/>
    <w:rsid w:val="006E065E"/>
    <w:rsid w:val="006E0B83"/>
    <w:rsid w:val="006E1225"/>
    <w:rsid w:val="006E25CE"/>
    <w:rsid w:val="006E2BDF"/>
    <w:rsid w:val="006E2C90"/>
    <w:rsid w:val="006E307C"/>
    <w:rsid w:val="006E30BD"/>
    <w:rsid w:val="006E379B"/>
    <w:rsid w:val="006E39B3"/>
    <w:rsid w:val="006E3FB4"/>
    <w:rsid w:val="006E4353"/>
    <w:rsid w:val="006E48FA"/>
    <w:rsid w:val="006E5DBC"/>
    <w:rsid w:val="006E610F"/>
    <w:rsid w:val="006E6157"/>
    <w:rsid w:val="006E6431"/>
    <w:rsid w:val="006E6672"/>
    <w:rsid w:val="006E6722"/>
    <w:rsid w:val="006E6AB4"/>
    <w:rsid w:val="006E7A91"/>
    <w:rsid w:val="006F10F1"/>
    <w:rsid w:val="006F1CB6"/>
    <w:rsid w:val="006F1EA0"/>
    <w:rsid w:val="006F2066"/>
    <w:rsid w:val="006F2097"/>
    <w:rsid w:val="006F23B4"/>
    <w:rsid w:val="006F250A"/>
    <w:rsid w:val="006F2990"/>
    <w:rsid w:val="006F2BE0"/>
    <w:rsid w:val="006F2F39"/>
    <w:rsid w:val="006F3503"/>
    <w:rsid w:val="006F3A09"/>
    <w:rsid w:val="006F3CD2"/>
    <w:rsid w:val="006F3CE2"/>
    <w:rsid w:val="006F48C1"/>
    <w:rsid w:val="006F51F5"/>
    <w:rsid w:val="006F53DA"/>
    <w:rsid w:val="006F5764"/>
    <w:rsid w:val="006F59B6"/>
    <w:rsid w:val="006F5C22"/>
    <w:rsid w:val="006F6E19"/>
    <w:rsid w:val="006F720A"/>
    <w:rsid w:val="006F7661"/>
    <w:rsid w:val="006F7708"/>
    <w:rsid w:val="006F7783"/>
    <w:rsid w:val="006F77CA"/>
    <w:rsid w:val="006F7D3A"/>
    <w:rsid w:val="007002B9"/>
    <w:rsid w:val="00700677"/>
    <w:rsid w:val="00700770"/>
    <w:rsid w:val="00700B6B"/>
    <w:rsid w:val="00700F3E"/>
    <w:rsid w:val="007012F7"/>
    <w:rsid w:val="007019B3"/>
    <w:rsid w:val="00702183"/>
    <w:rsid w:val="007027B9"/>
    <w:rsid w:val="007028BE"/>
    <w:rsid w:val="00702BD3"/>
    <w:rsid w:val="00702D27"/>
    <w:rsid w:val="0070388E"/>
    <w:rsid w:val="00703B0C"/>
    <w:rsid w:val="00704A8B"/>
    <w:rsid w:val="00704FC3"/>
    <w:rsid w:val="007058B4"/>
    <w:rsid w:val="00705932"/>
    <w:rsid w:val="00705B53"/>
    <w:rsid w:val="00705FAA"/>
    <w:rsid w:val="00706066"/>
    <w:rsid w:val="00706262"/>
    <w:rsid w:val="007062FF"/>
    <w:rsid w:val="0070678B"/>
    <w:rsid w:val="007078C6"/>
    <w:rsid w:val="00707BFA"/>
    <w:rsid w:val="00710052"/>
    <w:rsid w:val="007103F5"/>
    <w:rsid w:val="00710CB0"/>
    <w:rsid w:val="00710EF5"/>
    <w:rsid w:val="0071118D"/>
    <w:rsid w:val="007112AE"/>
    <w:rsid w:val="0071130D"/>
    <w:rsid w:val="007114B7"/>
    <w:rsid w:val="00711B85"/>
    <w:rsid w:val="00711E22"/>
    <w:rsid w:val="007121C1"/>
    <w:rsid w:val="007125BF"/>
    <w:rsid w:val="00712CD3"/>
    <w:rsid w:val="00712EE8"/>
    <w:rsid w:val="007133B2"/>
    <w:rsid w:val="007134F1"/>
    <w:rsid w:val="00713D8F"/>
    <w:rsid w:val="00713FB4"/>
    <w:rsid w:val="007148F3"/>
    <w:rsid w:val="00714AEE"/>
    <w:rsid w:val="007152BE"/>
    <w:rsid w:val="00715A14"/>
    <w:rsid w:val="00715E88"/>
    <w:rsid w:val="007165A9"/>
    <w:rsid w:val="00716FEC"/>
    <w:rsid w:val="007174D4"/>
    <w:rsid w:val="00717B0C"/>
    <w:rsid w:val="00717B10"/>
    <w:rsid w:val="00717F91"/>
    <w:rsid w:val="00720053"/>
    <w:rsid w:val="00720819"/>
    <w:rsid w:val="007208BF"/>
    <w:rsid w:val="00720A4A"/>
    <w:rsid w:val="00720EC7"/>
    <w:rsid w:val="00721EE7"/>
    <w:rsid w:val="007222F7"/>
    <w:rsid w:val="007223C6"/>
    <w:rsid w:val="0072248F"/>
    <w:rsid w:val="00722BCF"/>
    <w:rsid w:val="00723288"/>
    <w:rsid w:val="00723B5B"/>
    <w:rsid w:val="00723B99"/>
    <w:rsid w:val="00724192"/>
    <w:rsid w:val="0072508B"/>
    <w:rsid w:val="007250E6"/>
    <w:rsid w:val="007253E6"/>
    <w:rsid w:val="00725575"/>
    <w:rsid w:val="00725C2C"/>
    <w:rsid w:val="00726097"/>
    <w:rsid w:val="00726943"/>
    <w:rsid w:val="00727E25"/>
    <w:rsid w:val="00727E2B"/>
    <w:rsid w:val="00727FDE"/>
    <w:rsid w:val="00730032"/>
    <w:rsid w:val="00730285"/>
    <w:rsid w:val="007314E0"/>
    <w:rsid w:val="00731CFD"/>
    <w:rsid w:val="00731EB0"/>
    <w:rsid w:val="007320EC"/>
    <w:rsid w:val="00732257"/>
    <w:rsid w:val="00732FF6"/>
    <w:rsid w:val="00733030"/>
    <w:rsid w:val="00733038"/>
    <w:rsid w:val="00733143"/>
    <w:rsid w:val="007335EC"/>
    <w:rsid w:val="00734375"/>
    <w:rsid w:val="00734545"/>
    <w:rsid w:val="00734CAA"/>
    <w:rsid w:val="00734ED8"/>
    <w:rsid w:val="0073544B"/>
    <w:rsid w:val="00735A68"/>
    <w:rsid w:val="00735E35"/>
    <w:rsid w:val="00735E90"/>
    <w:rsid w:val="00736583"/>
    <w:rsid w:val="00736B42"/>
    <w:rsid w:val="00736EB0"/>
    <w:rsid w:val="00737406"/>
    <w:rsid w:val="00737A02"/>
    <w:rsid w:val="00737FFD"/>
    <w:rsid w:val="00740144"/>
    <w:rsid w:val="00740223"/>
    <w:rsid w:val="00740BD5"/>
    <w:rsid w:val="00740BDD"/>
    <w:rsid w:val="00740DA2"/>
    <w:rsid w:val="007413B5"/>
    <w:rsid w:val="007413B7"/>
    <w:rsid w:val="00742486"/>
    <w:rsid w:val="00742711"/>
    <w:rsid w:val="007428A4"/>
    <w:rsid w:val="00742C69"/>
    <w:rsid w:val="007431A6"/>
    <w:rsid w:val="0074322F"/>
    <w:rsid w:val="007432BF"/>
    <w:rsid w:val="0074398E"/>
    <w:rsid w:val="00744D5E"/>
    <w:rsid w:val="00745490"/>
    <w:rsid w:val="00745524"/>
    <w:rsid w:val="00745651"/>
    <w:rsid w:val="0074576E"/>
    <w:rsid w:val="00745B1B"/>
    <w:rsid w:val="0074653A"/>
    <w:rsid w:val="007469B8"/>
    <w:rsid w:val="00746E24"/>
    <w:rsid w:val="00746E47"/>
    <w:rsid w:val="007470B4"/>
    <w:rsid w:val="00747A0D"/>
    <w:rsid w:val="00747BC6"/>
    <w:rsid w:val="0075035F"/>
    <w:rsid w:val="007508CC"/>
    <w:rsid w:val="00750AE7"/>
    <w:rsid w:val="00750EFD"/>
    <w:rsid w:val="00751015"/>
    <w:rsid w:val="00751467"/>
    <w:rsid w:val="007518E3"/>
    <w:rsid w:val="007522AE"/>
    <w:rsid w:val="007523C1"/>
    <w:rsid w:val="00752497"/>
    <w:rsid w:val="007525C6"/>
    <w:rsid w:val="007527EA"/>
    <w:rsid w:val="00752828"/>
    <w:rsid w:val="00752962"/>
    <w:rsid w:val="00752A25"/>
    <w:rsid w:val="00752BA9"/>
    <w:rsid w:val="007531B0"/>
    <w:rsid w:val="00754046"/>
    <w:rsid w:val="00754086"/>
    <w:rsid w:val="00754282"/>
    <w:rsid w:val="0075473A"/>
    <w:rsid w:val="00754C9F"/>
    <w:rsid w:val="00755106"/>
    <w:rsid w:val="0075533C"/>
    <w:rsid w:val="00756871"/>
    <w:rsid w:val="00756A08"/>
    <w:rsid w:val="00756E53"/>
    <w:rsid w:val="0075734F"/>
    <w:rsid w:val="00757581"/>
    <w:rsid w:val="00757D83"/>
    <w:rsid w:val="00757ED6"/>
    <w:rsid w:val="00757F99"/>
    <w:rsid w:val="00757FAD"/>
    <w:rsid w:val="00757FF6"/>
    <w:rsid w:val="007609A0"/>
    <w:rsid w:val="00760D65"/>
    <w:rsid w:val="007611A0"/>
    <w:rsid w:val="00761CB1"/>
    <w:rsid w:val="0076226B"/>
    <w:rsid w:val="00762895"/>
    <w:rsid w:val="00762AD3"/>
    <w:rsid w:val="00762DE3"/>
    <w:rsid w:val="0076343A"/>
    <w:rsid w:val="007636E8"/>
    <w:rsid w:val="00763DA3"/>
    <w:rsid w:val="00764273"/>
    <w:rsid w:val="00764607"/>
    <w:rsid w:val="00764957"/>
    <w:rsid w:val="00764B53"/>
    <w:rsid w:val="007653F3"/>
    <w:rsid w:val="007654CB"/>
    <w:rsid w:val="007657FD"/>
    <w:rsid w:val="00765804"/>
    <w:rsid w:val="007658A0"/>
    <w:rsid w:val="00765B61"/>
    <w:rsid w:val="00765E7D"/>
    <w:rsid w:val="00766708"/>
    <w:rsid w:val="007667EB"/>
    <w:rsid w:val="00766AF5"/>
    <w:rsid w:val="00766F1F"/>
    <w:rsid w:val="00767243"/>
    <w:rsid w:val="0076744D"/>
    <w:rsid w:val="0076763E"/>
    <w:rsid w:val="007702C3"/>
    <w:rsid w:val="007703F5"/>
    <w:rsid w:val="00770589"/>
    <w:rsid w:val="00771716"/>
    <w:rsid w:val="00771992"/>
    <w:rsid w:val="00771AD5"/>
    <w:rsid w:val="00771C8F"/>
    <w:rsid w:val="00771DA9"/>
    <w:rsid w:val="00771DD1"/>
    <w:rsid w:val="0077224E"/>
    <w:rsid w:val="007727F5"/>
    <w:rsid w:val="00772882"/>
    <w:rsid w:val="00772922"/>
    <w:rsid w:val="00772B09"/>
    <w:rsid w:val="00772ED3"/>
    <w:rsid w:val="0077319B"/>
    <w:rsid w:val="00773316"/>
    <w:rsid w:val="00773353"/>
    <w:rsid w:val="00773F7F"/>
    <w:rsid w:val="00774BC1"/>
    <w:rsid w:val="00774E7B"/>
    <w:rsid w:val="00775059"/>
    <w:rsid w:val="00775111"/>
    <w:rsid w:val="0077574B"/>
    <w:rsid w:val="00777138"/>
    <w:rsid w:val="0077794D"/>
    <w:rsid w:val="00777A57"/>
    <w:rsid w:val="00777BD7"/>
    <w:rsid w:val="00777E8E"/>
    <w:rsid w:val="007802C1"/>
    <w:rsid w:val="00780403"/>
    <w:rsid w:val="0078044C"/>
    <w:rsid w:val="00780922"/>
    <w:rsid w:val="00781432"/>
    <w:rsid w:val="00781588"/>
    <w:rsid w:val="00781C40"/>
    <w:rsid w:val="00781DE6"/>
    <w:rsid w:val="007827A3"/>
    <w:rsid w:val="007828F3"/>
    <w:rsid w:val="007829DE"/>
    <w:rsid w:val="007829F6"/>
    <w:rsid w:val="00782AF1"/>
    <w:rsid w:val="00783907"/>
    <w:rsid w:val="00783B06"/>
    <w:rsid w:val="0078446E"/>
    <w:rsid w:val="00785036"/>
    <w:rsid w:val="007854DB"/>
    <w:rsid w:val="00785A42"/>
    <w:rsid w:val="00786E21"/>
    <w:rsid w:val="00787195"/>
    <w:rsid w:val="007876EB"/>
    <w:rsid w:val="007878A2"/>
    <w:rsid w:val="00787A97"/>
    <w:rsid w:val="0079073E"/>
    <w:rsid w:val="00790C87"/>
    <w:rsid w:val="00790EBB"/>
    <w:rsid w:val="0079171C"/>
    <w:rsid w:val="00791EC6"/>
    <w:rsid w:val="007924C3"/>
    <w:rsid w:val="00792CDD"/>
    <w:rsid w:val="00792CF5"/>
    <w:rsid w:val="00792FED"/>
    <w:rsid w:val="007937E5"/>
    <w:rsid w:val="0079427A"/>
    <w:rsid w:val="00794605"/>
    <w:rsid w:val="00794695"/>
    <w:rsid w:val="00794931"/>
    <w:rsid w:val="00795453"/>
    <w:rsid w:val="0079554F"/>
    <w:rsid w:val="0079571C"/>
    <w:rsid w:val="00795B45"/>
    <w:rsid w:val="00795CAA"/>
    <w:rsid w:val="00795D56"/>
    <w:rsid w:val="00796438"/>
    <w:rsid w:val="007964B0"/>
    <w:rsid w:val="00796779"/>
    <w:rsid w:val="00796D3F"/>
    <w:rsid w:val="00796E30"/>
    <w:rsid w:val="00797924"/>
    <w:rsid w:val="007979FE"/>
    <w:rsid w:val="00797A32"/>
    <w:rsid w:val="007A0DBF"/>
    <w:rsid w:val="007A1117"/>
    <w:rsid w:val="007A1355"/>
    <w:rsid w:val="007A1552"/>
    <w:rsid w:val="007A15C1"/>
    <w:rsid w:val="007A1683"/>
    <w:rsid w:val="007A2217"/>
    <w:rsid w:val="007A24CD"/>
    <w:rsid w:val="007A2556"/>
    <w:rsid w:val="007A2B2E"/>
    <w:rsid w:val="007A32B2"/>
    <w:rsid w:val="007A35F8"/>
    <w:rsid w:val="007A36F8"/>
    <w:rsid w:val="007A3A54"/>
    <w:rsid w:val="007A4005"/>
    <w:rsid w:val="007A48A3"/>
    <w:rsid w:val="007A4B93"/>
    <w:rsid w:val="007A4EEC"/>
    <w:rsid w:val="007A531A"/>
    <w:rsid w:val="007A5B2D"/>
    <w:rsid w:val="007A5C12"/>
    <w:rsid w:val="007A5E50"/>
    <w:rsid w:val="007A6739"/>
    <w:rsid w:val="007A6C78"/>
    <w:rsid w:val="007A7056"/>
    <w:rsid w:val="007A71BD"/>
    <w:rsid w:val="007A7B6A"/>
    <w:rsid w:val="007A7CB0"/>
    <w:rsid w:val="007A7D4C"/>
    <w:rsid w:val="007B0D2A"/>
    <w:rsid w:val="007B14BC"/>
    <w:rsid w:val="007B17BF"/>
    <w:rsid w:val="007B1DF5"/>
    <w:rsid w:val="007B1F9D"/>
    <w:rsid w:val="007B1FE5"/>
    <w:rsid w:val="007B239C"/>
    <w:rsid w:val="007B257B"/>
    <w:rsid w:val="007B26EC"/>
    <w:rsid w:val="007B2769"/>
    <w:rsid w:val="007B2A36"/>
    <w:rsid w:val="007B2BD2"/>
    <w:rsid w:val="007B2F30"/>
    <w:rsid w:val="007B3789"/>
    <w:rsid w:val="007B388E"/>
    <w:rsid w:val="007B3CC7"/>
    <w:rsid w:val="007B3D90"/>
    <w:rsid w:val="007B3D9D"/>
    <w:rsid w:val="007B4466"/>
    <w:rsid w:val="007B46AD"/>
    <w:rsid w:val="007B47CA"/>
    <w:rsid w:val="007B5921"/>
    <w:rsid w:val="007B604D"/>
    <w:rsid w:val="007B626C"/>
    <w:rsid w:val="007B68A3"/>
    <w:rsid w:val="007B6F24"/>
    <w:rsid w:val="007B7C6C"/>
    <w:rsid w:val="007C062D"/>
    <w:rsid w:val="007C0652"/>
    <w:rsid w:val="007C0DF2"/>
    <w:rsid w:val="007C0F13"/>
    <w:rsid w:val="007C1363"/>
    <w:rsid w:val="007C1586"/>
    <w:rsid w:val="007C15BB"/>
    <w:rsid w:val="007C19EB"/>
    <w:rsid w:val="007C1C4C"/>
    <w:rsid w:val="007C1EE7"/>
    <w:rsid w:val="007C205D"/>
    <w:rsid w:val="007C22AF"/>
    <w:rsid w:val="007C2439"/>
    <w:rsid w:val="007C2541"/>
    <w:rsid w:val="007C29F0"/>
    <w:rsid w:val="007C2D4C"/>
    <w:rsid w:val="007C2E53"/>
    <w:rsid w:val="007C3915"/>
    <w:rsid w:val="007C405B"/>
    <w:rsid w:val="007C494F"/>
    <w:rsid w:val="007C4C05"/>
    <w:rsid w:val="007C4FC0"/>
    <w:rsid w:val="007C547F"/>
    <w:rsid w:val="007C618D"/>
    <w:rsid w:val="007C6A5A"/>
    <w:rsid w:val="007C6AFB"/>
    <w:rsid w:val="007C7B1D"/>
    <w:rsid w:val="007D07CC"/>
    <w:rsid w:val="007D0B28"/>
    <w:rsid w:val="007D1151"/>
    <w:rsid w:val="007D1EF8"/>
    <w:rsid w:val="007D20FF"/>
    <w:rsid w:val="007D2248"/>
    <w:rsid w:val="007D2563"/>
    <w:rsid w:val="007D28FF"/>
    <w:rsid w:val="007D2ADF"/>
    <w:rsid w:val="007D2BB0"/>
    <w:rsid w:val="007D35E9"/>
    <w:rsid w:val="007D410B"/>
    <w:rsid w:val="007D460D"/>
    <w:rsid w:val="007D4F2B"/>
    <w:rsid w:val="007D5524"/>
    <w:rsid w:val="007D5703"/>
    <w:rsid w:val="007D66A8"/>
    <w:rsid w:val="007D773D"/>
    <w:rsid w:val="007D7D2E"/>
    <w:rsid w:val="007D7EE8"/>
    <w:rsid w:val="007E003F"/>
    <w:rsid w:val="007E0A21"/>
    <w:rsid w:val="007E0FAB"/>
    <w:rsid w:val="007E19BF"/>
    <w:rsid w:val="007E1A5F"/>
    <w:rsid w:val="007E23AA"/>
    <w:rsid w:val="007E2DAF"/>
    <w:rsid w:val="007E3196"/>
    <w:rsid w:val="007E4606"/>
    <w:rsid w:val="007E46C5"/>
    <w:rsid w:val="007E47F8"/>
    <w:rsid w:val="007E4BA1"/>
    <w:rsid w:val="007E4E12"/>
    <w:rsid w:val="007E53F5"/>
    <w:rsid w:val="007E55ED"/>
    <w:rsid w:val="007E5773"/>
    <w:rsid w:val="007E58BF"/>
    <w:rsid w:val="007E5A8C"/>
    <w:rsid w:val="007E5B6C"/>
    <w:rsid w:val="007E5BF5"/>
    <w:rsid w:val="007E643B"/>
    <w:rsid w:val="007E654F"/>
    <w:rsid w:val="007E68BB"/>
    <w:rsid w:val="007E6F98"/>
    <w:rsid w:val="007E7053"/>
    <w:rsid w:val="007F07A5"/>
    <w:rsid w:val="007F0A76"/>
    <w:rsid w:val="007F10D8"/>
    <w:rsid w:val="007F136E"/>
    <w:rsid w:val="007F1420"/>
    <w:rsid w:val="007F1F24"/>
    <w:rsid w:val="007F2CB5"/>
    <w:rsid w:val="007F2E01"/>
    <w:rsid w:val="007F3138"/>
    <w:rsid w:val="007F3686"/>
    <w:rsid w:val="007F3740"/>
    <w:rsid w:val="007F3870"/>
    <w:rsid w:val="007F44EC"/>
    <w:rsid w:val="007F4697"/>
    <w:rsid w:val="007F472D"/>
    <w:rsid w:val="007F5F15"/>
    <w:rsid w:val="007F6146"/>
    <w:rsid w:val="007F633B"/>
    <w:rsid w:val="007F6D8A"/>
    <w:rsid w:val="007F759A"/>
    <w:rsid w:val="008007E7"/>
    <w:rsid w:val="00800C2B"/>
    <w:rsid w:val="00800F49"/>
    <w:rsid w:val="008011FD"/>
    <w:rsid w:val="00801E50"/>
    <w:rsid w:val="008021EF"/>
    <w:rsid w:val="0080226A"/>
    <w:rsid w:val="00802431"/>
    <w:rsid w:val="00802708"/>
    <w:rsid w:val="00802E72"/>
    <w:rsid w:val="008031BB"/>
    <w:rsid w:val="00803489"/>
    <w:rsid w:val="008038A2"/>
    <w:rsid w:val="00803CE4"/>
    <w:rsid w:val="008041F6"/>
    <w:rsid w:val="00804D6D"/>
    <w:rsid w:val="00805080"/>
    <w:rsid w:val="00805A9D"/>
    <w:rsid w:val="00805E3B"/>
    <w:rsid w:val="00805EC7"/>
    <w:rsid w:val="00805F1D"/>
    <w:rsid w:val="00806284"/>
    <w:rsid w:val="0080673D"/>
    <w:rsid w:val="00806ACB"/>
    <w:rsid w:val="00807191"/>
    <w:rsid w:val="00807A24"/>
    <w:rsid w:val="00807E50"/>
    <w:rsid w:val="008105BF"/>
    <w:rsid w:val="0081134E"/>
    <w:rsid w:val="008113BF"/>
    <w:rsid w:val="00811479"/>
    <w:rsid w:val="008118B3"/>
    <w:rsid w:val="008122A0"/>
    <w:rsid w:val="0081275A"/>
    <w:rsid w:val="00812D01"/>
    <w:rsid w:val="00812D50"/>
    <w:rsid w:val="00813D73"/>
    <w:rsid w:val="00813DAD"/>
    <w:rsid w:val="00814174"/>
    <w:rsid w:val="00814A9C"/>
    <w:rsid w:val="00814F14"/>
    <w:rsid w:val="00814F4A"/>
    <w:rsid w:val="00815357"/>
    <w:rsid w:val="00815EE9"/>
    <w:rsid w:val="00816295"/>
    <w:rsid w:val="00816303"/>
    <w:rsid w:val="008164F2"/>
    <w:rsid w:val="00816BF4"/>
    <w:rsid w:val="00816CD6"/>
    <w:rsid w:val="00816E16"/>
    <w:rsid w:val="0081777B"/>
    <w:rsid w:val="00817F46"/>
    <w:rsid w:val="008206EE"/>
    <w:rsid w:val="008209B6"/>
    <w:rsid w:val="00821395"/>
    <w:rsid w:val="00821C18"/>
    <w:rsid w:val="008225A4"/>
    <w:rsid w:val="008225AF"/>
    <w:rsid w:val="00822D8F"/>
    <w:rsid w:val="00823049"/>
    <w:rsid w:val="0082396B"/>
    <w:rsid w:val="0082396C"/>
    <w:rsid w:val="00823E3E"/>
    <w:rsid w:val="008244D2"/>
    <w:rsid w:val="00824E6B"/>
    <w:rsid w:val="00824F94"/>
    <w:rsid w:val="008250E0"/>
    <w:rsid w:val="00825E14"/>
    <w:rsid w:val="008261DC"/>
    <w:rsid w:val="00826723"/>
    <w:rsid w:val="00826785"/>
    <w:rsid w:val="008269B0"/>
    <w:rsid w:val="00826CD1"/>
    <w:rsid w:val="0082727B"/>
    <w:rsid w:val="00827495"/>
    <w:rsid w:val="008276C7"/>
    <w:rsid w:val="0082780E"/>
    <w:rsid w:val="00827E14"/>
    <w:rsid w:val="0083034A"/>
    <w:rsid w:val="0083087B"/>
    <w:rsid w:val="00830E26"/>
    <w:rsid w:val="00831259"/>
    <w:rsid w:val="00832159"/>
    <w:rsid w:val="0083226E"/>
    <w:rsid w:val="0083295E"/>
    <w:rsid w:val="008331DF"/>
    <w:rsid w:val="00833511"/>
    <w:rsid w:val="0083394B"/>
    <w:rsid w:val="008349DB"/>
    <w:rsid w:val="00834EE4"/>
    <w:rsid w:val="00834F9A"/>
    <w:rsid w:val="00835332"/>
    <w:rsid w:val="008357B4"/>
    <w:rsid w:val="00835946"/>
    <w:rsid w:val="00835D5A"/>
    <w:rsid w:val="00836010"/>
    <w:rsid w:val="0083607E"/>
    <w:rsid w:val="008361E4"/>
    <w:rsid w:val="0083624D"/>
    <w:rsid w:val="00836391"/>
    <w:rsid w:val="008366D3"/>
    <w:rsid w:val="008367E5"/>
    <w:rsid w:val="00836A7B"/>
    <w:rsid w:val="00837139"/>
    <w:rsid w:val="00837C5A"/>
    <w:rsid w:val="00837F9B"/>
    <w:rsid w:val="00840494"/>
    <w:rsid w:val="008407A0"/>
    <w:rsid w:val="00840D6B"/>
    <w:rsid w:val="008410D8"/>
    <w:rsid w:val="00841752"/>
    <w:rsid w:val="00843576"/>
    <w:rsid w:val="008435AB"/>
    <w:rsid w:val="00843B64"/>
    <w:rsid w:val="00844043"/>
    <w:rsid w:val="00844054"/>
    <w:rsid w:val="00844325"/>
    <w:rsid w:val="00844A76"/>
    <w:rsid w:val="00844BAF"/>
    <w:rsid w:val="00845CD4"/>
    <w:rsid w:val="00845E3D"/>
    <w:rsid w:val="008470BD"/>
    <w:rsid w:val="008475B4"/>
    <w:rsid w:val="008478FC"/>
    <w:rsid w:val="00850ADB"/>
    <w:rsid w:val="00850C1B"/>
    <w:rsid w:val="00850D87"/>
    <w:rsid w:val="00850EF7"/>
    <w:rsid w:val="008510C7"/>
    <w:rsid w:val="00851BB3"/>
    <w:rsid w:val="00852239"/>
    <w:rsid w:val="00852358"/>
    <w:rsid w:val="008526D1"/>
    <w:rsid w:val="0085295E"/>
    <w:rsid w:val="00853570"/>
    <w:rsid w:val="00853AEE"/>
    <w:rsid w:val="00853FEA"/>
    <w:rsid w:val="008547D2"/>
    <w:rsid w:val="00854DB4"/>
    <w:rsid w:val="00854F9B"/>
    <w:rsid w:val="0085551E"/>
    <w:rsid w:val="00855897"/>
    <w:rsid w:val="00856BBE"/>
    <w:rsid w:val="00856E22"/>
    <w:rsid w:val="008572E3"/>
    <w:rsid w:val="00857B26"/>
    <w:rsid w:val="00857D69"/>
    <w:rsid w:val="00860166"/>
    <w:rsid w:val="00861376"/>
    <w:rsid w:val="00861C4A"/>
    <w:rsid w:val="008620EE"/>
    <w:rsid w:val="00862383"/>
    <w:rsid w:val="008624FC"/>
    <w:rsid w:val="008625FC"/>
    <w:rsid w:val="00862B3D"/>
    <w:rsid w:val="00862B85"/>
    <w:rsid w:val="00862EDA"/>
    <w:rsid w:val="0086321F"/>
    <w:rsid w:val="008634E2"/>
    <w:rsid w:val="00863CC3"/>
    <w:rsid w:val="00863E53"/>
    <w:rsid w:val="00864556"/>
    <w:rsid w:val="00864ADA"/>
    <w:rsid w:val="008655B8"/>
    <w:rsid w:val="008656F0"/>
    <w:rsid w:val="00865C18"/>
    <w:rsid w:val="00866A63"/>
    <w:rsid w:val="00866C16"/>
    <w:rsid w:val="00866D4F"/>
    <w:rsid w:val="0086712C"/>
    <w:rsid w:val="008673F4"/>
    <w:rsid w:val="00867728"/>
    <w:rsid w:val="00867964"/>
    <w:rsid w:val="00867BFF"/>
    <w:rsid w:val="0087014C"/>
    <w:rsid w:val="00870300"/>
    <w:rsid w:val="008703B9"/>
    <w:rsid w:val="008704C7"/>
    <w:rsid w:val="0087080E"/>
    <w:rsid w:val="00870D31"/>
    <w:rsid w:val="0087105C"/>
    <w:rsid w:val="0087176F"/>
    <w:rsid w:val="008717AD"/>
    <w:rsid w:val="00873505"/>
    <w:rsid w:val="0087375B"/>
    <w:rsid w:val="00873A4E"/>
    <w:rsid w:val="00873A8C"/>
    <w:rsid w:val="00873B1C"/>
    <w:rsid w:val="00873E01"/>
    <w:rsid w:val="008740F1"/>
    <w:rsid w:val="00874192"/>
    <w:rsid w:val="00874DAE"/>
    <w:rsid w:val="00874E6A"/>
    <w:rsid w:val="00875639"/>
    <w:rsid w:val="00875E37"/>
    <w:rsid w:val="0087652A"/>
    <w:rsid w:val="008766A3"/>
    <w:rsid w:val="00877C73"/>
    <w:rsid w:val="00877E1D"/>
    <w:rsid w:val="00880C01"/>
    <w:rsid w:val="008818C5"/>
    <w:rsid w:val="00882377"/>
    <w:rsid w:val="0088254C"/>
    <w:rsid w:val="008825B9"/>
    <w:rsid w:val="008826DB"/>
    <w:rsid w:val="00882E6E"/>
    <w:rsid w:val="00883199"/>
    <w:rsid w:val="00883769"/>
    <w:rsid w:val="0088420E"/>
    <w:rsid w:val="0088480A"/>
    <w:rsid w:val="00885342"/>
    <w:rsid w:val="0088535A"/>
    <w:rsid w:val="00885513"/>
    <w:rsid w:val="008859B4"/>
    <w:rsid w:val="00885A86"/>
    <w:rsid w:val="00885E33"/>
    <w:rsid w:val="00885FCE"/>
    <w:rsid w:val="008872CC"/>
    <w:rsid w:val="008874FD"/>
    <w:rsid w:val="0088757A"/>
    <w:rsid w:val="008876B0"/>
    <w:rsid w:val="00887A5E"/>
    <w:rsid w:val="00887B7F"/>
    <w:rsid w:val="00890260"/>
    <w:rsid w:val="0089066F"/>
    <w:rsid w:val="0089130F"/>
    <w:rsid w:val="00891B77"/>
    <w:rsid w:val="00891C70"/>
    <w:rsid w:val="00892383"/>
    <w:rsid w:val="00892B3C"/>
    <w:rsid w:val="00892D3E"/>
    <w:rsid w:val="008930AC"/>
    <w:rsid w:val="008937F8"/>
    <w:rsid w:val="00894570"/>
    <w:rsid w:val="00894E6B"/>
    <w:rsid w:val="008950D4"/>
    <w:rsid w:val="008953ED"/>
    <w:rsid w:val="0089578A"/>
    <w:rsid w:val="008957DD"/>
    <w:rsid w:val="0089584B"/>
    <w:rsid w:val="00895935"/>
    <w:rsid w:val="0089696F"/>
    <w:rsid w:val="00897A16"/>
    <w:rsid w:val="00897D98"/>
    <w:rsid w:val="00897EEF"/>
    <w:rsid w:val="008A05BD"/>
    <w:rsid w:val="008A0779"/>
    <w:rsid w:val="008A115C"/>
    <w:rsid w:val="008A178E"/>
    <w:rsid w:val="008A1B4B"/>
    <w:rsid w:val="008A222D"/>
    <w:rsid w:val="008A26B4"/>
    <w:rsid w:val="008A271D"/>
    <w:rsid w:val="008A2C3E"/>
    <w:rsid w:val="008A2D9C"/>
    <w:rsid w:val="008A2E05"/>
    <w:rsid w:val="008A325A"/>
    <w:rsid w:val="008A33F9"/>
    <w:rsid w:val="008A367B"/>
    <w:rsid w:val="008A3B91"/>
    <w:rsid w:val="008A417F"/>
    <w:rsid w:val="008A43DE"/>
    <w:rsid w:val="008A4850"/>
    <w:rsid w:val="008A48F7"/>
    <w:rsid w:val="008A4F3A"/>
    <w:rsid w:val="008A4FA8"/>
    <w:rsid w:val="008A501E"/>
    <w:rsid w:val="008A519B"/>
    <w:rsid w:val="008A6065"/>
    <w:rsid w:val="008A660B"/>
    <w:rsid w:val="008A66E0"/>
    <w:rsid w:val="008A6B65"/>
    <w:rsid w:val="008A6CFA"/>
    <w:rsid w:val="008A6DF2"/>
    <w:rsid w:val="008A7807"/>
    <w:rsid w:val="008A7A60"/>
    <w:rsid w:val="008A7B7F"/>
    <w:rsid w:val="008B0024"/>
    <w:rsid w:val="008B0259"/>
    <w:rsid w:val="008B0771"/>
    <w:rsid w:val="008B0D6B"/>
    <w:rsid w:val="008B22E3"/>
    <w:rsid w:val="008B23E7"/>
    <w:rsid w:val="008B28D4"/>
    <w:rsid w:val="008B2FE7"/>
    <w:rsid w:val="008B307D"/>
    <w:rsid w:val="008B31BC"/>
    <w:rsid w:val="008B3832"/>
    <w:rsid w:val="008B41A5"/>
    <w:rsid w:val="008B4224"/>
    <w:rsid w:val="008B423D"/>
    <w:rsid w:val="008B4910"/>
    <w:rsid w:val="008B4CC9"/>
    <w:rsid w:val="008B4E92"/>
    <w:rsid w:val="008B58B6"/>
    <w:rsid w:val="008B5B28"/>
    <w:rsid w:val="008B5D05"/>
    <w:rsid w:val="008B5DFE"/>
    <w:rsid w:val="008B5EA1"/>
    <w:rsid w:val="008B7447"/>
    <w:rsid w:val="008B7F7F"/>
    <w:rsid w:val="008C06BE"/>
    <w:rsid w:val="008C083F"/>
    <w:rsid w:val="008C0F3E"/>
    <w:rsid w:val="008C1167"/>
    <w:rsid w:val="008C11CB"/>
    <w:rsid w:val="008C123A"/>
    <w:rsid w:val="008C13F0"/>
    <w:rsid w:val="008C1B8B"/>
    <w:rsid w:val="008C1F1A"/>
    <w:rsid w:val="008C1FB5"/>
    <w:rsid w:val="008C2309"/>
    <w:rsid w:val="008C24AF"/>
    <w:rsid w:val="008C2515"/>
    <w:rsid w:val="008C2F1F"/>
    <w:rsid w:val="008C3695"/>
    <w:rsid w:val="008C3BCB"/>
    <w:rsid w:val="008C48E9"/>
    <w:rsid w:val="008C4B63"/>
    <w:rsid w:val="008C4DC0"/>
    <w:rsid w:val="008C4FDA"/>
    <w:rsid w:val="008C5263"/>
    <w:rsid w:val="008C5896"/>
    <w:rsid w:val="008C5EC8"/>
    <w:rsid w:val="008C6BC3"/>
    <w:rsid w:val="008C6EBD"/>
    <w:rsid w:val="008C7011"/>
    <w:rsid w:val="008C752B"/>
    <w:rsid w:val="008C793E"/>
    <w:rsid w:val="008C79A1"/>
    <w:rsid w:val="008C7F9D"/>
    <w:rsid w:val="008D0332"/>
    <w:rsid w:val="008D05FB"/>
    <w:rsid w:val="008D0DEF"/>
    <w:rsid w:val="008D1425"/>
    <w:rsid w:val="008D1989"/>
    <w:rsid w:val="008D1E82"/>
    <w:rsid w:val="008D2561"/>
    <w:rsid w:val="008D283E"/>
    <w:rsid w:val="008D36DF"/>
    <w:rsid w:val="008D379B"/>
    <w:rsid w:val="008D3AE0"/>
    <w:rsid w:val="008D3D61"/>
    <w:rsid w:val="008D41DC"/>
    <w:rsid w:val="008D4BCC"/>
    <w:rsid w:val="008D4CD4"/>
    <w:rsid w:val="008D4DE1"/>
    <w:rsid w:val="008D5084"/>
    <w:rsid w:val="008D5844"/>
    <w:rsid w:val="008D594E"/>
    <w:rsid w:val="008D5F44"/>
    <w:rsid w:val="008D6540"/>
    <w:rsid w:val="008D6CC5"/>
    <w:rsid w:val="008D6DE0"/>
    <w:rsid w:val="008D7024"/>
    <w:rsid w:val="008D78D3"/>
    <w:rsid w:val="008D7C5B"/>
    <w:rsid w:val="008D7C99"/>
    <w:rsid w:val="008E053B"/>
    <w:rsid w:val="008E0973"/>
    <w:rsid w:val="008E0F04"/>
    <w:rsid w:val="008E0FCB"/>
    <w:rsid w:val="008E149D"/>
    <w:rsid w:val="008E2A78"/>
    <w:rsid w:val="008E2DC6"/>
    <w:rsid w:val="008E2FB3"/>
    <w:rsid w:val="008E34E4"/>
    <w:rsid w:val="008E380E"/>
    <w:rsid w:val="008E3B73"/>
    <w:rsid w:val="008E3ED7"/>
    <w:rsid w:val="008E4351"/>
    <w:rsid w:val="008E495F"/>
    <w:rsid w:val="008E5331"/>
    <w:rsid w:val="008E5769"/>
    <w:rsid w:val="008E5A12"/>
    <w:rsid w:val="008E5B34"/>
    <w:rsid w:val="008E600E"/>
    <w:rsid w:val="008E616C"/>
    <w:rsid w:val="008E652F"/>
    <w:rsid w:val="008E6765"/>
    <w:rsid w:val="008E67B2"/>
    <w:rsid w:val="008E67BA"/>
    <w:rsid w:val="008E699E"/>
    <w:rsid w:val="008E704B"/>
    <w:rsid w:val="008E7F66"/>
    <w:rsid w:val="008F1177"/>
    <w:rsid w:val="008F1B67"/>
    <w:rsid w:val="008F2237"/>
    <w:rsid w:val="008F2340"/>
    <w:rsid w:val="008F246A"/>
    <w:rsid w:val="008F2914"/>
    <w:rsid w:val="008F33AF"/>
    <w:rsid w:val="008F3441"/>
    <w:rsid w:val="008F3773"/>
    <w:rsid w:val="008F38DA"/>
    <w:rsid w:val="008F3EF5"/>
    <w:rsid w:val="008F4443"/>
    <w:rsid w:val="008F4549"/>
    <w:rsid w:val="008F4637"/>
    <w:rsid w:val="008F491A"/>
    <w:rsid w:val="008F498F"/>
    <w:rsid w:val="008F4C1F"/>
    <w:rsid w:val="008F4D8F"/>
    <w:rsid w:val="008F504D"/>
    <w:rsid w:val="008F58C4"/>
    <w:rsid w:val="008F5AF2"/>
    <w:rsid w:val="008F6351"/>
    <w:rsid w:val="008F6585"/>
    <w:rsid w:val="008F65E6"/>
    <w:rsid w:val="008F6AAF"/>
    <w:rsid w:val="008F6D3B"/>
    <w:rsid w:val="008F728C"/>
    <w:rsid w:val="008F77BD"/>
    <w:rsid w:val="008F7F41"/>
    <w:rsid w:val="009001FB"/>
    <w:rsid w:val="00900422"/>
    <w:rsid w:val="009007BD"/>
    <w:rsid w:val="0090143A"/>
    <w:rsid w:val="00901962"/>
    <w:rsid w:val="00901F10"/>
    <w:rsid w:val="00902BBD"/>
    <w:rsid w:val="00902F17"/>
    <w:rsid w:val="00903918"/>
    <w:rsid w:val="00903A28"/>
    <w:rsid w:val="00903DC2"/>
    <w:rsid w:val="00903EBF"/>
    <w:rsid w:val="0090438E"/>
    <w:rsid w:val="0090472A"/>
    <w:rsid w:val="00905187"/>
    <w:rsid w:val="00905E2A"/>
    <w:rsid w:val="009063FD"/>
    <w:rsid w:val="009064AB"/>
    <w:rsid w:val="00906CBC"/>
    <w:rsid w:val="00906DE5"/>
    <w:rsid w:val="009072A6"/>
    <w:rsid w:val="00907B16"/>
    <w:rsid w:val="00907D3C"/>
    <w:rsid w:val="00907D78"/>
    <w:rsid w:val="00910894"/>
    <w:rsid w:val="00910A97"/>
    <w:rsid w:val="00910ECF"/>
    <w:rsid w:val="00911348"/>
    <w:rsid w:val="00912057"/>
    <w:rsid w:val="009125DE"/>
    <w:rsid w:val="00912CD1"/>
    <w:rsid w:val="00912F63"/>
    <w:rsid w:val="0091365E"/>
    <w:rsid w:val="00913E2A"/>
    <w:rsid w:val="009141CE"/>
    <w:rsid w:val="00914642"/>
    <w:rsid w:val="00914948"/>
    <w:rsid w:val="00914DCF"/>
    <w:rsid w:val="00914F31"/>
    <w:rsid w:val="00915243"/>
    <w:rsid w:val="009154E0"/>
    <w:rsid w:val="00915C6B"/>
    <w:rsid w:val="009166C6"/>
    <w:rsid w:val="009169B6"/>
    <w:rsid w:val="00916A3B"/>
    <w:rsid w:val="00917371"/>
    <w:rsid w:val="009173A9"/>
    <w:rsid w:val="009176D4"/>
    <w:rsid w:val="00917C86"/>
    <w:rsid w:val="00920A46"/>
    <w:rsid w:val="009216AB"/>
    <w:rsid w:val="0092178C"/>
    <w:rsid w:val="00921966"/>
    <w:rsid w:val="00921EF2"/>
    <w:rsid w:val="009221D4"/>
    <w:rsid w:val="00922A94"/>
    <w:rsid w:val="009238D0"/>
    <w:rsid w:val="00923931"/>
    <w:rsid w:val="00923B25"/>
    <w:rsid w:val="00923D45"/>
    <w:rsid w:val="00924111"/>
    <w:rsid w:val="0092493F"/>
    <w:rsid w:val="00924EED"/>
    <w:rsid w:val="00924F80"/>
    <w:rsid w:val="00924FA9"/>
    <w:rsid w:val="0092559B"/>
    <w:rsid w:val="009258D9"/>
    <w:rsid w:val="00925F1C"/>
    <w:rsid w:val="00926491"/>
    <w:rsid w:val="009265DC"/>
    <w:rsid w:val="00926741"/>
    <w:rsid w:val="00926772"/>
    <w:rsid w:val="00926BE1"/>
    <w:rsid w:val="0093021B"/>
    <w:rsid w:val="0093092A"/>
    <w:rsid w:val="009309DA"/>
    <w:rsid w:val="00930B88"/>
    <w:rsid w:val="00930C7E"/>
    <w:rsid w:val="00930F6D"/>
    <w:rsid w:val="009315FE"/>
    <w:rsid w:val="009330DC"/>
    <w:rsid w:val="00933874"/>
    <w:rsid w:val="009344CE"/>
    <w:rsid w:val="00934712"/>
    <w:rsid w:val="00934D91"/>
    <w:rsid w:val="00935A63"/>
    <w:rsid w:val="00936845"/>
    <w:rsid w:val="00936C68"/>
    <w:rsid w:val="0093745F"/>
    <w:rsid w:val="009378DC"/>
    <w:rsid w:val="00937979"/>
    <w:rsid w:val="00937ADA"/>
    <w:rsid w:val="009404DB"/>
    <w:rsid w:val="00940684"/>
    <w:rsid w:val="00940DCC"/>
    <w:rsid w:val="0094179A"/>
    <w:rsid w:val="009418C9"/>
    <w:rsid w:val="00941D5B"/>
    <w:rsid w:val="009423BF"/>
    <w:rsid w:val="00942623"/>
    <w:rsid w:val="0094352C"/>
    <w:rsid w:val="00943837"/>
    <w:rsid w:val="009439F7"/>
    <w:rsid w:val="0094405A"/>
    <w:rsid w:val="009440F5"/>
    <w:rsid w:val="0094459E"/>
    <w:rsid w:val="00944A19"/>
    <w:rsid w:val="00944B00"/>
    <w:rsid w:val="00944BA7"/>
    <w:rsid w:val="00944DBC"/>
    <w:rsid w:val="009455E8"/>
    <w:rsid w:val="009456DC"/>
    <w:rsid w:val="0094585B"/>
    <w:rsid w:val="009466A5"/>
    <w:rsid w:val="0094695B"/>
    <w:rsid w:val="009475C4"/>
    <w:rsid w:val="00947A18"/>
    <w:rsid w:val="00947CDD"/>
    <w:rsid w:val="009504A9"/>
    <w:rsid w:val="009507F7"/>
    <w:rsid w:val="00950977"/>
    <w:rsid w:val="00950C92"/>
    <w:rsid w:val="00950F07"/>
    <w:rsid w:val="0095122D"/>
    <w:rsid w:val="00951A7B"/>
    <w:rsid w:val="00951AA3"/>
    <w:rsid w:val="00951BCE"/>
    <w:rsid w:val="00952193"/>
    <w:rsid w:val="00952438"/>
    <w:rsid w:val="00952457"/>
    <w:rsid w:val="0095246C"/>
    <w:rsid w:val="00952E65"/>
    <w:rsid w:val="00953050"/>
    <w:rsid w:val="00953B22"/>
    <w:rsid w:val="00953E27"/>
    <w:rsid w:val="00953E36"/>
    <w:rsid w:val="00954C96"/>
    <w:rsid w:val="00954F59"/>
    <w:rsid w:val="0095521A"/>
    <w:rsid w:val="009552DF"/>
    <w:rsid w:val="00955541"/>
    <w:rsid w:val="00955743"/>
    <w:rsid w:val="0095599E"/>
    <w:rsid w:val="00955CFE"/>
    <w:rsid w:val="00955DB3"/>
    <w:rsid w:val="00955DE9"/>
    <w:rsid w:val="009564A6"/>
    <w:rsid w:val="0095655A"/>
    <w:rsid w:val="00956845"/>
    <w:rsid w:val="00956A2A"/>
    <w:rsid w:val="00956A61"/>
    <w:rsid w:val="009571BE"/>
    <w:rsid w:val="0096039D"/>
    <w:rsid w:val="0096054E"/>
    <w:rsid w:val="00960B41"/>
    <w:rsid w:val="00960C37"/>
    <w:rsid w:val="00960E7B"/>
    <w:rsid w:val="00961023"/>
    <w:rsid w:val="00961173"/>
    <w:rsid w:val="009614CE"/>
    <w:rsid w:val="00961A33"/>
    <w:rsid w:val="00961B1E"/>
    <w:rsid w:val="00961C3C"/>
    <w:rsid w:val="00961F2C"/>
    <w:rsid w:val="009620DA"/>
    <w:rsid w:val="00962623"/>
    <w:rsid w:val="0096280B"/>
    <w:rsid w:val="009628B9"/>
    <w:rsid w:val="00962CE0"/>
    <w:rsid w:val="009631AE"/>
    <w:rsid w:val="00963AAD"/>
    <w:rsid w:val="00963F5F"/>
    <w:rsid w:val="00963FF1"/>
    <w:rsid w:val="0096439B"/>
    <w:rsid w:val="00964465"/>
    <w:rsid w:val="0096453F"/>
    <w:rsid w:val="00964631"/>
    <w:rsid w:val="00964DC0"/>
    <w:rsid w:val="0096529B"/>
    <w:rsid w:val="00965415"/>
    <w:rsid w:val="009659A5"/>
    <w:rsid w:val="00965BB5"/>
    <w:rsid w:val="00966396"/>
    <w:rsid w:val="009669C7"/>
    <w:rsid w:val="00966D29"/>
    <w:rsid w:val="00966E80"/>
    <w:rsid w:val="00967621"/>
    <w:rsid w:val="00967C9E"/>
    <w:rsid w:val="00967E6A"/>
    <w:rsid w:val="009706C3"/>
    <w:rsid w:val="00970879"/>
    <w:rsid w:val="009714E3"/>
    <w:rsid w:val="0097185C"/>
    <w:rsid w:val="00971F81"/>
    <w:rsid w:val="00972451"/>
    <w:rsid w:val="00972700"/>
    <w:rsid w:val="0097281B"/>
    <w:rsid w:val="00972FBD"/>
    <w:rsid w:val="009736C9"/>
    <w:rsid w:val="00974616"/>
    <w:rsid w:val="0097479E"/>
    <w:rsid w:val="00974E09"/>
    <w:rsid w:val="00974F4D"/>
    <w:rsid w:val="00975075"/>
    <w:rsid w:val="009750AC"/>
    <w:rsid w:val="009758AC"/>
    <w:rsid w:val="0097617C"/>
    <w:rsid w:val="009767A1"/>
    <w:rsid w:val="00976867"/>
    <w:rsid w:val="009768FB"/>
    <w:rsid w:val="00976AE1"/>
    <w:rsid w:val="00976BC9"/>
    <w:rsid w:val="00976CC4"/>
    <w:rsid w:val="0098018E"/>
    <w:rsid w:val="0098045A"/>
    <w:rsid w:val="00980797"/>
    <w:rsid w:val="00980981"/>
    <w:rsid w:val="00980EE9"/>
    <w:rsid w:val="00981061"/>
    <w:rsid w:val="009813DC"/>
    <w:rsid w:val="009819C4"/>
    <w:rsid w:val="009825E0"/>
    <w:rsid w:val="009826BF"/>
    <w:rsid w:val="00982AEE"/>
    <w:rsid w:val="00982BCB"/>
    <w:rsid w:val="00982D15"/>
    <w:rsid w:val="009841F7"/>
    <w:rsid w:val="0098424C"/>
    <w:rsid w:val="00984317"/>
    <w:rsid w:val="009844EA"/>
    <w:rsid w:val="00984658"/>
    <w:rsid w:val="00984810"/>
    <w:rsid w:val="009849C9"/>
    <w:rsid w:val="00985469"/>
    <w:rsid w:val="009858FD"/>
    <w:rsid w:val="00985B37"/>
    <w:rsid w:val="00985DBB"/>
    <w:rsid w:val="00986A2D"/>
    <w:rsid w:val="009873AC"/>
    <w:rsid w:val="00987AB4"/>
    <w:rsid w:val="00987E6E"/>
    <w:rsid w:val="0099004D"/>
    <w:rsid w:val="009901C4"/>
    <w:rsid w:val="00990C2C"/>
    <w:rsid w:val="00991544"/>
    <w:rsid w:val="0099281F"/>
    <w:rsid w:val="009933D4"/>
    <w:rsid w:val="00993596"/>
    <w:rsid w:val="009935AC"/>
    <w:rsid w:val="0099361C"/>
    <w:rsid w:val="0099468C"/>
    <w:rsid w:val="009948AA"/>
    <w:rsid w:val="009955C6"/>
    <w:rsid w:val="009957CA"/>
    <w:rsid w:val="0099593D"/>
    <w:rsid w:val="00995A53"/>
    <w:rsid w:val="00995AF3"/>
    <w:rsid w:val="00996105"/>
    <w:rsid w:val="00996604"/>
    <w:rsid w:val="009967B0"/>
    <w:rsid w:val="009972F3"/>
    <w:rsid w:val="00997C7A"/>
    <w:rsid w:val="009A0022"/>
    <w:rsid w:val="009A00BC"/>
    <w:rsid w:val="009A0730"/>
    <w:rsid w:val="009A109E"/>
    <w:rsid w:val="009A15B4"/>
    <w:rsid w:val="009A19F5"/>
    <w:rsid w:val="009A203F"/>
    <w:rsid w:val="009A208A"/>
    <w:rsid w:val="009A246E"/>
    <w:rsid w:val="009A29F4"/>
    <w:rsid w:val="009A3457"/>
    <w:rsid w:val="009A3EDE"/>
    <w:rsid w:val="009A4579"/>
    <w:rsid w:val="009A4594"/>
    <w:rsid w:val="009A495E"/>
    <w:rsid w:val="009A4993"/>
    <w:rsid w:val="009A4E55"/>
    <w:rsid w:val="009A4EF8"/>
    <w:rsid w:val="009A5074"/>
    <w:rsid w:val="009A53C5"/>
    <w:rsid w:val="009A5830"/>
    <w:rsid w:val="009A5860"/>
    <w:rsid w:val="009A6054"/>
    <w:rsid w:val="009A64E1"/>
    <w:rsid w:val="009A686D"/>
    <w:rsid w:val="009A68D7"/>
    <w:rsid w:val="009A6C89"/>
    <w:rsid w:val="009A73BE"/>
    <w:rsid w:val="009B07F4"/>
    <w:rsid w:val="009B0AFA"/>
    <w:rsid w:val="009B0B1C"/>
    <w:rsid w:val="009B1EFA"/>
    <w:rsid w:val="009B2292"/>
    <w:rsid w:val="009B23E2"/>
    <w:rsid w:val="009B2681"/>
    <w:rsid w:val="009B2960"/>
    <w:rsid w:val="009B2CA7"/>
    <w:rsid w:val="009B302F"/>
    <w:rsid w:val="009B33BC"/>
    <w:rsid w:val="009B359C"/>
    <w:rsid w:val="009B38FD"/>
    <w:rsid w:val="009B3AC4"/>
    <w:rsid w:val="009B3BBE"/>
    <w:rsid w:val="009B3D20"/>
    <w:rsid w:val="009B3DFA"/>
    <w:rsid w:val="009B42F9"/>
    <w:rsid w:val="009B440A"/>
    <w:rsid w:val="009B4A0F"/>
    <w:rsid w:val="009B5C9D"/>
    <w:rsid w:val="009B6022"/>
    <w:rsid w:val="009B6078"/>
    <w:rsid w:val="009B6940"/>
    <w:rsid w:val="009B6A38"/>
    <w:rsid w:val="009B6D4A"/>
    <w:rsid w:val="009B6E42"/>
    <w:rsid w:val="009B70C4"/>
    <w:rsid w:val="009B7A26"/>
    <w:rsid w:val="009C0346"/>
    <w:rsid w:val="009C0583"/>
    <w:rsid w:val="009C0B71"/>
    <w:rsid w:val="009C0FEC"/>
    <w:rsid w:val="009C11D2"/>
    <w:rsid w:val="009C12FA"/>
    <w:rsid w:val="009C21E6"/>
    <w:rsid w:val="009C2875"/>
    <w:rsid w:val="009C29CC"/>
    <w:rsid w:val="009C29EC"/>
    <w:rsid w:val="009C2C11"/>
    <w:rsid w:val="009C2E30"/>
    <w:rsid w:val="009C3348"/>
    <w:rsid w:val="009C39A4"/>
    <w:rsid w:val="009C3A3C"/>
    <w:rsid w:val="009C3B62"/>
    <w:rsid w:val="009C3D03"/>
    <w:rsid w:val="009C3F67"/>
    <w:rsid w:val="009C414F"/>
    <w:rsid w:val="009C4501"/>
    <w:rsid w:val="009C4DDC"/>
    <w:rsid w:val="009C57F8"/>
    <w:rsid w:val="009C5876"/>
    <w:rsid w:val="009C5A3D"/>
    <w:rsid w:val="009C60DE"/>
    <w:rsid w:val="009C647B"/>
    <w:rsid w:val="009C696E"/>
    <w:rsid w:val="009C6C70"/>
    <w:rsid w:val="009C6F89"/>
    <w:rsid w:val="009C70FB"/>
    <w:rsid w:val="009D0214"/>
    <w:rsid w:val="009D0836"/>
    <w:rsid w:val="009D0922"/>
    <w:rsid w:val="009D0B63"/>
    <w:rsid w:val="009D0B6F"/>
    <w:rsid w:val="009D0F56"/>
    <w:rsid w:val="009D1190"/>
    <w:rsid w:val="009D1BE5"/>
    <w:rsid w:val="009D26A4"/>
    <w:rsid w:val="009D2766"/>
    <w:rsid w:val="009D344A"/>
    <w:rsid w:val="009D3547"/>
    <w:rsid w:val="009D3E6A"/>
    <w:rsid w:val="009D3E88"/>
    <w:rsid w:val="009D3F75"/>
    <w:rsid w:val="009D44B5"/>
    <w:rsid w:val="009D46F5"/>
    <w:rsid w:val="009D502A"/>
    <w:rsid w:val="009D51CB"/>
    <w:rsid w:val="009D56D1"/>
    <w:rsid w:val="009D58B5"/>
    <w:rsid w:val="009D5AA3"/>
    <w:rsid w:val="009D618C"/>
    <w:rsid w:val="009D69B7"/>
    <w:rsid w:val="009D6AEF"/>
    <w:rsid w:val="009D6CB9"/>
    <w:rsid w:val="009D703E"/>
    <w:rsid w:val="009D70A6"/>
    <w:rsid w:val="009D7619"/>
    <w:rsid w:val="009D7D78"/>
    <w:rsid w:val="009E021D"/>
    <w:rsid w:val="009E0390"/>
    <w:rsid w:val="009E0722"/>
    <w:rsid w:val="009E1690"/>
    <w:rsid w:val="009E17C4"/>
    <w:rsid w:val="009E1903"/>
    <w:rsid w:val="009E1A50"/>
    <w:rsid w:val="009E1B5B"/>
    <w:rsid w:val="009E1F4E"/>
    <w:rsid w:val="009E26C4"/>
    <w:rsid w:val="009E2E10"/>
    <w:rsid w:val="009E307E"/>
    <w:rsid w:val="009E3126"/>
    <w:rsid w:val="009E312C"/>
    <w:rsid w:val="009E3868"/>
    <w:rsid w:val="009E4263"/>
    <w:rsid w:val="009E47E3"/>
    <w:rsid w:val="009E4D63"/>
    <w:rsid w:val="009E565B"/>
    <w:rsid w:val="009E57BE"/>
    <w:rsid w:val="009E58AE"/>
    <w:rsid w:val="009E5D6E"/>
    <w:rsid w:val="009E5DC5"/>
    <w:rsid w:val="009E630C"/>
    <w:rsid w:val="009E64C2"/>
    <w:rsid w:val="009E6539"/>
    <w:rsid w:val="009E77B9"/>
    <w:rsid w:val="009E7C8C"/>
    <w:rsid w:val="009F01EA"/>
    <w:rsid w:val="009F0225"/>
    <w:rsid w:val="009F0408"/>
    <w:rsid w:val="009F05D2"/>
    <w:rsid w:val="009F10C3"/>
    <w:rsid w:val="009F17A0"/>
    <w:rsid w:val="009F1998"/>
    <w:rsid w:val="009F1B02"/>
    <w:rsid w:val="009F23FD"/>
    <w:rsid w:val="009F286F"/>
    <w:rsid w:val="009F28A2"/>
    <w:rsid w:val="009F381E"/>
    <w:rsid w:val="009F3EA5"/>
    <w:rsid w:val="009F494E"/>
    <w:rsid w:val="009F4B4D"/>
    <w:rsid w:val="009F4B8F"/>
    <w:rsid w:val="009F57BD"/>
    <w:rsid w:val="009F590A"/>
    <w:rsid w:val="009F5B27"/>
    <w:rsid w:val="009F5D66"/>
    <w:rsid w:val="009F6919"/>
    <w:rsid w:val="009F736B"/>
    <w:rsid w:val="009F77A7"/>
    <w:rsid w:val="009F7A4A"/>
    <w:rsid w:val="009F7C18"/>
    <w:rsid w:val="009F7C84"/>
    <w:rsid w:val="00A001EC"/>
    <w:rsid w:val="00A005A6"/>
    <w:rsid w:val="00A0094B"/>
    <w:rsid w:val="00A01DED"/>
    <w:rsid w:val="00A0258E"/>
    <w:rsid w:val="00A0265E"/>
    <w:rsid w:val="00A02DA8"/>
    <w:rsid w:val="00A03A4A"/>
    <w:rsid w:val="00A044E1"/>
    <w:rsid w:val="00A047F5"/>
    <w:rsid w:val="00A049B0"/>
    <w:rsid w:val="00A04D4C"/>
    <w:rsid w:val="00A04F17"/>
    <w:rsid w:val="00A051B3"/>
    <w:rsid w:val="00A0565A"/>
    <w:rsid w:val="00A058D8"/>
    <w:rsid w:val="00A05949"/>
    <w:rsid w:val="00A05A5C"/>
    <w:rsid w:val="00A05D24"/>
    <w:rsid w:val="00A05D57"/>
    <w:rsid w:val="00A05EA8"/>
    <w:rsid w:val="00A06310"/>
    <w:rsid w:val="00A07418"/>
    <w:rsid w:val="00A07823"/>
    <w:rsid w:val="00A07870"/>
    <w:rsid w:val="00A07D0A"/>
    <w:rsid w:val="00A07F19"/>
    <w:rsid w:val="00A10239"/>
    <w:rsid w:val="00A10477"/>
    <w:rsid w:val="00A10DA9"/>
    <w:rsid w:val="00A1118F"/>
    <w:rsid w:val="00A11779"/>
    <w:rsid w:val="00A12285"/>
    <w:rsid w:val="00A12413"/>
    <w:rsid w:val="00A12F3B"/>
    <w:rsid w:val="00A12F98"/>
    <w:rsid w:val="00A1348D"/>
    <w:rsid w:val="00A139B7"/>
    <w:rsid w:val="00A139CA"/>
    <w:rsid w:val="00A13B04"/>
    <w:rsid w:val="00A13EF7"/>
    <w:rsid w:val="00A14069"/>
    <w:rsid w:val="00A142D1"/>
    <w:rsid w:val="00A1489E"/>
    <w:rsid w:val="00A149B3"/>
    <w:rsid w:val="00A15F22"/>
    <w:rsid w:val="00A1619A"/>
    <w:rsid w:val="00A165BD"/>
    <w:rsid w:val="00A165CC"/>
    <w:rsid w:val="00A16D00"/>
    <w:rsid w:val="00A17B5E"/>
    <w:rsid w:val="00A17BE8"/>
    <w:rsid w:val="00A200E1"/>
    <w:rsid w:val="00A206DD"/>
    <w:rsid w:val="00A2076C"/>
    <w:rsid w:val="00A20BB6"/>
    <w:rsid w:val="00A20C44"/>
    <w:rsid w:val="00A2156E"/>
    <w:rsid w:val="00A219C4"/>
    <w:rsid w:val="00A22124"/>
    <w:rsid w:val="00A2248C"/>
    <w:rsid w:val="00A231B4"/>
    <w:rsid w:val="00A232EE"/>
    <w:rsid w:val="00A23394"/>
    <w:rsid w:val="00A239EB"/>
    <w:rsid w:val="00A23A1C"/>
    <w:rsid w:val="00A247C2"/>
    <w:rsid w:val="00A248B7"/>
    <w:rsid w:val="00A24BC6"/>
    <w:rsid w:val="00A24DED"/>
    <w:rsid w:val="00A24F31"/>
    <w:rsid w:val="00A257BD"/>
    <w:rsid w:val="00A25DF7"/>
    <w:rsid w:val="00A2617E"/>
    <w:rsid w:val="00A26809"/>
    <w:rsid w:val="00A269B5"/>
    <w:rsid w:val="00A269BE"/>
    <w:rsid w:val="00A26FF2"/>
    <w:rsid w:val="00A2706B"/>
    <w:rsid w:val="00A27070"/>
    <w:rsid w:val="00A27182"/>
    <w:rsid w:val="00A27274"/>
    <w:rsid w:val="00A279AF"/>
    <w:rsid w:val="00A27A25"/>
    <w:rsid w:val="00A27B9A"/>
    <w:rsid w:val="00A3030C"/>
    <w:rsid w:val="00A30975"/>
    <w:rsid w:val="00A30BA2"/>
    <w:rsid w:val="00A31037"/>
    <w:rsid w:val="00A310E4"/>
    <w:rsid w:val="00A3173E"/>
    <w:rsid w:val="00A3265F"/>
    <w:rsid w:val="00A32AB2"/>
    <w:rsid w:val="00A333F4"/>
    <w:rsid w:val="00A34114"/>
    <w:rsid w:val="00A34619"/>
    <w:rsid w:val="00A34F55"/>
    <w:rsid w:val="00A35116"/>
    <w:rsid w:val="00A35654"/>
    <w:rsid w:val="00A35797"/>
    <w:rsid w:val="00A364B7"/>
    <w:rsid w:val="00A402DD"/>
    <w:rsid w:val="00A40941"/>
    <w:rsid w:val="00A40F25"/>
    <w:rsid w:val="00A414A9"/>
    <w:rsid w:val="00A4175F"/>
    <w:rsid w:val="00A4176F"/>
    <w:rsid w:val="00A41BDE"/>
    <w:rsid w:val="00A41C22"/>
    <w:rsid w:val="00A423D8"/>
    <w:rsid w:val="00A43348"/>
    <w:rsid w:val="00A4343F"/>
    <w:rsid w:val="00A4394F"/>
    <w:rsid w:val="00A439C7"/>
    <w:rsid w:val="00A43B4E"/>
    <w:rsid w:val="00A44411"/>
    <w:rsid w:val="00A4467A"/>
    <w:rsid w:val="00A45594"/>
    <w:rsid w:val="00A45D69"/>
    <w:rsid w:val="00A469FA"/>
    <w:rsid w:val="00A471D2"/>
    <w:rsid w:val="00A4751B"/>
    <w:rsid w:val="00A47620"/>
    <w:rsid w:val="00A476EE"/>
    <w:rsid w:val="00A50222"/>
    <w:rsid w:val="00A5058E"/>
    <w:rsid w:val="00A505F1"/>
    <w:rsid w:val="00A50E94"/>
    <w:rsid w:val="00A51DA2"/>
    <w:rsid w:val="00A52140"/>
    <w:rsid w:val="00A5268C"/>
    <w:rsid w:val="00A5301C"/>
    <w:rsid w:val="00A534F0"/>
    <w:rsid w:val="00A53607"/>
    <w:rsid w:val="00A53645"/>
    <w:rsid w:val="00A536DE"/>
    <w:rsid w:val="00A5434A"/>
    <w:rsid w:val="00A544F6"/>
    <w:rsid w:val="00A54B6B"/>
    <w:rsid w:val="00A55B01"/>
    <w:rsid w:val="00A55F13"/>
    <w:rsid w:val="00A561B2"/>
    <w:rsid w:val="00A5624A"/>
    <w:rsid w:val="00A567ED"/>
    <w:rsid w:val="00A568F9"/>
    <w:rsid w:val="00A56B5B"/>
    <w:rsid w:val="00A56F62"/>
    <w:rsid w:val="00A571F8"/>
    <w:rsid w:val="00A577F0"/>
    <w:rsid w:val="00A600C2"/>
    <w:rsid w:val="00A601A7"/>
    <w:rsid w:val="00A60262"/>
    <w:rsid w:val="00A603A5"/>
    <w:rsid w:val="00A603FF"/>
    <w:rsid w:val="00A6096F"/>
    <w:rsid w:val="00A60992"/>
    <w:rsid w:val="00A6105B"/>
    <w:rsid w:val="00A62020"/>
    <w:rsid w:val="00A620E6"/>
    <w:rsid w:val="00A6270B"/>
    <w:rsid w:val="00A627AC"/>
    <w:rsid w:val="00A63103"/>
    <w:rsid w:val="00A633F3"/>
    <w:rsid w:val="00A63837"/>
    <w:rsid w:val="00A6445E"/>
    <w:rsid w:val="00A644DE"/>
    <w:rsid w:val="00A657DD"/>
    <w:rsid w:val="00A65B57"/>
    <w:rsid w:val="00A6616F"/>
    <w:rsid w:val="00A6664F"/>
    <w:rsid w:val="00A666A6"/>
    <w:rsid w:val="00A66C89"/>
    <w:rsid w:val="00A66E15"/>
    <w:rsid w:val="00A6750D"/>
    <w:rsid w:val="00A67593"/>
    <w:rsid w:val="00A675FD"/>
    <w:rsid w:val="00A67AE3"/>
    <w:rsid w:val="00A70011"/>
    <w:rsid w:val="00A70422"/>
    <w:rsid w:val="00A706C9"/>
    <w:rsid w:val="00A70763"/>
    <w:rsid w:val="00A70B26"/>
    <w:rsid w:val="00A70DF4"/>
    <w:rsid w:val="00A712F7"/>
    <w:rsid w:val="00A715FE"/>
    <w:rsid w:val="00A71876"/>
    <w:rsid w:val="00A72437"/>
    <w:rsid w:val="00A72600"/>
    <w:rsid w:val="00A72A50"/>
    <w:rsid w:val="00A72CA0"/>
    <w:rsid w:val="00A732F4"/>
    <w:rsid w:val="00A73402"/>
    <w:rsid w:val="00A73910"/>
    <w:rsid w:val="00A75119"/>
    <w:rsid w:val="00A752D8"/>
    <w:rsid w:val="00A75512"/>
    <w:rsid w:val="00A75717"/>
    <w:rsid w:val="00A75E31"/>
    <w:rsid w:val="00A76164"/>
    <w:rsid w:val="00A7619B"/>
    <w:rsid w:val="00A76653"/>
    <w:rsid w:val="00A76A00"/>
    <w:rsid w:val="00A77C93"/>
    <w:rsid w:val="00A80611"/>
    <w:rsid w:val="00A80E28"/>
    <w:rsid w:val="00A827E7"/>
    <w:rsid w:val="00A8312F"/>
    <w:rsid w:val="00A83C54"/>
    <w:rsid w:val="00A83EEF"/>
    <w:rsid w:val="00A84B15"/>
    <w:rsid w:val="00A84B6C"/>
    <w:rsid w:val="00A84C16"/>
    <w:rsid w:val="00A8522E"/>
    <w:rsid w:val="00A85534"/>
    <w:rsid w:val="00A859E0"/>
    <w:rsid w:val="00A860C3"/>
    <w:rsid w:val="00A8625F"/>
    <w:rsid w:val="00A86398"/>
    <w:rsid w:val="00A86626"/>
    <w:rsid w:val="00A86C8F"/>
    <w:rsid w:val="00A86F4B"/>
    <w:rsid w:val="00A87016"/>
    <w:rsid w:val="00A87221"/>
    <w:rsid w:val="00A87952"/>
    <w:rsid w:val="00A908C4"/>
    <w:rsid w:val="00A90D21"/>
    <w:rsid w:val="00A91B71"/>
    <w:rsid w:val="00A91B78"/>
    <w:rsid w:val="00A91FB2"/>
    <w:rsid w:val="00A920F5"/>
    <w:rsid w:val="00A92A7C"/>
    <w:rsid w:val="00A92AEE"/>
    <w:rsid w:val="00A92D26"/>
    <w:rsid w:val="00A92E5D"/>
    <w:rsid w:val="00A9393D"/>
    <w:rsid w:val="00A93AF7"/>
    <w:rsid w:val="00A9491D"/>
    <w:rsid w:val="00A94C1E"/>
    <w:rsid w:val="00A950C3"/>
    <w:rsid w:val="00A9521D"/>
    <w:rsid w:val="00A95509"/>
    <w:rsid w:val="00A95802"/>
    <w:rsid w:val="00A95C9C"/>
    <w:rsid w:val="00A95D17"/>
    <w:rsid w:val="00A975F7"/>
    <w:rsid w:val="00A97C22"/>
    <w:rsid w:val="00A97C78"/>
    <w:rsid w:val="00A97DDB"/>
    <w:rsid w:val="00AA020A"/>
    <w:rsid w:val="00AA0337"/>
    <w:rsid w:val="00AA0842"/>
    <w:rsid w:val="00AA0F31"/>
    <w:rsid w:val="00AA1523"/>
    <w:rsid w:val="00AA15AF"/>
    <w:rsid w:val="00AA24BE"/>
    <w:rsid w:val="00AA265E"/>
    <w:rsid w:val="00AA2745"/>
    <w:rsid w:val="00AA2A6E"/>
    <w:rsid w:val="00AA2A96"/>
    <w:rsid w:val="00AA2B96"/>
    <w:rsid w:val="00AA3768"/>
    <w:rsid w:val="00AA37A4"/>
    <w:rsid w:val="00AA3A31"/>
    <w:rsid w:val="00AA3CF8"/>
    <w:rsid w:val="00AA3D2A"/>
    <w:rsid w:val="00AA415C"/>
    <w:rsid w:val="00AA475D"/>
    <w:rsid w:val="00AA4CDB"/>
    <w:rsid w:val="00AA4FA0"/>
    <w:rsid w:val="00AA613C"/>
    <w:rsid w:val="00AA68DA"/>
    <w:rsid w:val="00AA6CA0"/>
    <w:rsid w:val="00AA7864"/>
    <w:rsid w:val="00AA7A8B"/>
    <w:rsid w:val="00AB035F"/>
    <w:rsid w:val="00AB0ADE"/>
    <w:rsid w:val="00AB1123"/>
    <w:rsid w:val="00AB1446"/>
    <w:rsid w:val="00AB189C"/>
    <w:rsid w:val="00AB18B7"/>
    <w:rsid w:val="00AB1F69"/>
    <w:rsid w:val="00AB21AB"/>
    <w:rsid w:val="00AB282F"/>
    <w:rsid w:val="00AB31EC"/>
    <w:rsid w:val="00AB35DC"/>
    <w:rsid w:val="00AB3691"/>
    <w:rsid w:val="00AB435A"/>
    <w:rsid w:val="00AB489D"/>
    <w:rsid w:val="00AB5340"/>
    <w:rsid w:val="00AB5539"/>
    <w:rsid w:val="00AB5580"/>
    <w:rsid w:val="00AB5F47"/>
    <w:rsid w:val="00AB6440"/>
    <w:rsid w:val="00AB6678"/>
    <w:rsid w:val="00AB714A"/>
    <w:rsid w:val="00AB767E"/>
    <w:rsid w:val="00AC010E"/>
    <w:rsid w:val="00AC01CC"/>
    <w:rsid w:val="00AC05B0"/>
    <w:rsid w:val="00AC0756"/>
    <w:rsid w:val="00AC0B0C"/>
    <w:rsid w:val="00AC15E6"/>
    <w:rsid w:val="00AC16B8"/>
    <w:rsid w:val="00AC17B6"/>
    <w:rsid w:val="00AC189C"/>
    <w:rsid w:val="00AC18A7"/>
    <w:rsid w:val="00AC2265"/>
    <w:rsid w:val="00AC2450"/>
    <w:rsid w:val="00AC24FF"/>
    <w:rsid w:val="00AC2577"/>
    <w:rsid w:val="00AC25CA"/>
    <w:rsid w:val="00AC2E08"/>
    <w:rsid w:val="00AC30CB"/>
    <w:rsid w:val="00AC36FC"/>
    <w:rsid w:val="00AC3CC2"/>
    <w:rsid w:val="00AC40AE"/>
    <w:rsid w:val="00AC469E"/>
    <w:rsid w:val="00AC4815"/>
    <w:rsid w:val="00AC5343"/>
    <w:rsid w:val="00AC53B6"/>
    <w:rsid w:val="00AC5441"/>
    <w:rsid w:val="00AC58B2"/>
    <w:rsid w:val="00AC5D09"/>
    <w:rsid w:val="00AC6CEE"/>
    <w:rsid w:val="00AC7043"/>
    <w:rsid w:val="00AC7C96"/>
    <w:rsid w:val="00AD125C"/>
    <w:rsid w:val="00AD1431"/>
    <w:rsid w:val="00AD1999"/>
    <w:rsid w:val="00AD212A"/>
    <w:rsid w:val="00AD2237"/>
    <w:rsid w:val="00AD251D"/>
    <w:rsid w:val="00AD2743"/>
    <w:rsid w:val="00AD2890"/>
    <w:rsid w:val="00AD299D"/>
    <w:rsid w:val="00AD33F7"/>
    <w:rsid w:val="00AD4704"/>
    <w:rsid w:val="00AD50DD"/>
    <w:rsid w:val="00AD545A"/>
    <w:rsid w:val="00AD55EF"/>
    <w:rsid w:val="00AD737E"/>
    <w:rsid w:val="00AD7D0A"/>
    <w:rsid w:val="00AD7DCA"/>
    <w:rsid w:val="00AE00FF"/>
    <w:rsid w:val="00AE0207"/>
    <w:rsid w:val="00AE1229"/>
    <w:rsid w:val="00AE1A97"/>
    <w:rsid w:val="00AE1F22"/>
    <w:rsid w:val="00AE237D"/>
    <w:rsid w:val="00AE2A3D"/>
    <w:rsid w:val="00AE2B20"/>
    <w:rsid w:val="00AE328A"/>
    <w:rsid w:val="00AE3480"/>
    <w:rsid w:val="00AE384C"/>
    <w:rsid w:val="00AE3942"/>
    <w:rsid w:val="00AE44A1"/>
    <w:rsid w:val="00AE4AE8"/>
    <w:rsid w:val="00AE4C05"/>
    <w:rsid w:val="00AE502A"/>
    <w:rsid w:val="00AE5090"/>
    <w:rsid w:val="00AE5ACF"/>
    <w:rsid w:val="00AE612E"/>
    <w:rsid w:val="00AE627B"/>
    <w:rsid w:val="00AE63A3"/>
    <w:rsid w:val="00AE6502"/>
    <w:rsid w:val="00AE6904"/>
    <w:rsid w:val="00AE6D42"/>
    <w:rsid w:val="00AE72EC"/>
    <w:rsid w:val="00AE7EEA"/>
    <w:rsid w:val="00AF0DF7"/>
    <w:rsid w:val="00AF1143"/>
    <w:rsid w:val="00AF133F"/>
    <w:rsid w:val="00AF15F5"/>
    <w:rsid w:val="00AF1806"/>
    <w:rsid w:val="00AF1CD6"/>
    <w:rsid w:val="00AF22F4"/>
    <w:rsid w:val="00AF236A"/>
    <w:rsid w:val="00AF2ABE"/>
    <w:rsid w:val="00AF359E"/>
    <w:rsid w:val="00AF3C42"/>
    <w:rsid w:val="00AF4206"/>
    <w:rsid w:val="00AF422E"/>
    <w:rsid w:val="00AF42F6"/>
    <w:rsid w:val="00AF4C4D"/>
    <w:rsid w:val="00AF4EEF"/>
    <w:rsid w:val="00AF5A2B"/>
    <w:rsid w:val="00AF5A55"/>
    <w:rsid w:val="00AF5AC6"/>
    <w:rsid w:val="00AF5B3A"/>
    <w:rsid w:val="00AF5C70"/>
    <w:rsid w:val="00AF60D9"/>
    <w:rsid w:val="00AF6A0F"/>
    <w:rsid w:val="00AF6E7B"/>
    <w:rsid w:val="00AF7084"/>
    <w:rsid w:val="00AF7184"/>
    <w:rsid w:val="00AF77B4"/>
    <w:rsid w:val="00AF7911"/>
    <w:rsid w:val="00AF7C07"/>
    <w:rsid w:val="00AF7DC6"/>
    <w:rsid w:val="00B00436"/>
    <w:rsid w:val="00B00611"/>
    <w:rsid w:val="00B017D7"/>
    <w:rsid w:val="00B01D00"/>
    <w:rsid w:val="00B01EE6"/>
    <w:rsid w:val="00B022A6"/>
    <w:rsid w:val="00B02F2A"/>
    <w:rsid w:val="00B0394F"/>
    <w:rsid w:val="00B03C64"/>
    <w:rsid w:val="00B042CF"/>
    <w:rsid w:val="00B043DE"/>
    <w:rsid w:val="00B04413"/>
    <w:rsid w:val="00B0443C"/>
    <w:rsid w:val="00B054F9"/>
    <w:rsid w:val="00B05881"/>
    <w:rsid w:val="00B06821"/>
    <w:rsid w:val="00B06935"/>
    <w:rsid w:val="00B06DB8"/>
    <w:rsid w:val="00B06FA2"/>
    <w:rsid w:val="00B0713A"/>
    <w:rsid w:val="00B07FB9"/>
    <w:rsid w:val="00B1050C"/>
    <w:rsid w:val="00B110FC"/>
    <w:rsid w:val="00B1131F"/>
    <w:rsid w:val="00B11D02"/>
    <w:rsid w:val="00B120E5"/>
    <w:rsid w:val="00B12100"/>
    <w:rsid w:val="00B12634"/>
    <w:rsid w:val="00B12778"/>
    <w:rsid w:val="00B12909"/>
    <w:rsid w:val="00B12A84"/>
    <w:rsid w:val="00B12D6F"/>
    <w:rsid w:val="00B1391C"/>
    <w:rsid w:val="00B14B69"/>
    <w:rsid w:val="00B14DD6"/>
    <w:rsid w:val="00B15F7D"/>
    <w:rsid w:val="00B16261"/>
    <w:rsid w:val="00B163E3"/>
    <w:rsid w:val="00B16A70"/>
    <w:rsid w:val="00B16EDA"/>
    <w:rsid w:val="00B17BD5"/>
    <w:rsid w:val="00B17F01"/>
    <w:rsid w:val="00B20045"/>
    <w:rsid w:val="00B2023C"/>
    <w:rsid w:val="00B204F8"/>
    <w:rsid w:val="00B20A6A"/>
    <w:rsid w:val="00B20AFE"/>
    <w:rsid w:val="00B20C39"/>
    <w:rsid w:val="00B21AD1"/>
    <w:rsid w:val="00B2258A"/>
    <w:rsid w:val="00B22C93"/>
    <w:rsid w:val="00B22E2A"/>
    <w:rsid w:val="00B23056"/>
    <w:rsid w:val="00B234DD"/>
    <w:rsid w:val="00B2359D"/>
    <w:rsid w:val="00B23917"/>
    <w:rsid w:val="00B23B3C"/>
    <w:rsid w:val="00B23CB0"/>
    <w:rsid w:val="00B2439C"/>
    <w:rsid w:val="00B243A5"/>
    <w:rsid w:val="00B24504"/>
    <w:rsid w:val="00B24587"/>
    <w:rsid w:val="00B246A5"/>
    <w:rsid w:val="00B249E3"/>
    <w:rsid w:val="00B24F90"/>
    <w:rsid w:val="00B25846"/>
    <w:rsid w:val="00B25DDC"/>
    <w:rsid w:val="00B261B6"/>
    <w:rsid w:val="00B26568"/>
    <w:rsid w:val="00B26B86"/>
    <w:rsid w:val="00B26E5A"/>
    <w:rsid w:val="00B27589"/>
    <w:rsid w:val="00B2769F"/>
    <w:rsid w:val="00B27732"/>
    <w:rsid w:val="00B27912"/>
    <w:rsid w:val="00B27A21"/>
    <w:rsid w:val="00B27B02"/>
    <w:rsid w:val="00B27CF0"/>
    <w:rsid w:val="00B27E55"/>
    <w:rsid w:val="00B27EB7"/>
    <w:rsid w:val="00B27ED2"/>
    <w:rsid w:val="00B27F0B"/>
    <w:rsid w:val="00B302EB"/>
    <w:rsid w:val="00B302FA"/>
    <w:rsid w:val="00B30C08"/>
    <w:rsid w:val="00B3153A"/>
    <w:rsid w:val="00B31A93"/>
    <w:rsid w:val="00B321AC"/>
    <w:rsid w:val="00B32618"/>
    <w:rsid w:val="00B32DAE"/>
    <w:rsid w:val="00B333A5"/>
    <w:rsid w:val="00B33BF8"/>
    <w:rsid w:val="00B340FC"/>
    <w:rsid w:val="00B34DB2"/>
    <w:rsid w:val="00B34E42"/>
    <w:rsid w:val="00B3572B"/>
    <w:rsid w:val="00B36D3B"/>
    <w:rsid w:val="00B373ED"/>
    <w:rsid w:val="00B37ADC"/>
    <w:rsid w:val="00B37D06"/>
    <w:rsid w:val="00B37EF9"/>
    <w:rsid w:val="00B403A1"/>
    <w:rsid w:val="00B405B7"/>
    <w:rsid w:val="00B40F22"/>
    <w:rsid w:val="00B4149B"/>
    <w:rsid w:val="00B417AC"/>
    <w:rsid w:val="00B41AD9"/>
    <w:rsid w:val="00B41C57"/>
    <w:rsid w:val="00B41F7F"/>
    <w:rsid w:val="00B4279B"/>
    <w:rsid w:val="00B427EF"/>
    <w:rsid w:val="00B43034"/>
    <w:rsid w:val="00B4336D"/>
    <w:rsid w:val="00B43593"/>
    <w:rsid w:val="00B43B0A"/>
    <w:rsid w:val="00B43DB5"/>
    <w:rsid w:val="00B44035"/>
    <w:rsid w:val="00B443D8"/>
    <w:rsid w:val="00B4553D"/>
    <w:rsid w:val="00B45604"/>
    <w:rsid w:val="00B45E6D"/>
    <w:rsid w:val="00B45E84"/>
    <w:rsid w:val="00B46422"/>
    <w:rsid w:val="00B466BA"/>
    <w:rsid w:val="00B46736"/>
    <w:rsid w:val="00B46896"/>
    <w:rsid w:val="00B46A80"/>
    <w:rsid w:val="00B4726B"/>
    <w:rsid w:val="00B50035"/>
    <w:rsid w:val="00B5022D"/>
    <w:rsid w:val="00B5039D"/>
    <w:rsid w:val="00B504D0"/>
    <w:rsid w:val="00B50D46"/>
    <w:rsid w:val="00B519FA"/>
    <w:rsid w:val="00B52177"/>
    <w:rsid w:val="00B52222"/>
    <w:rsid w:val="00B523A2"/>
    <w:rsid w:val="00B52734"/>
    <w:rsid w:val="00B52960"/>
    <w:rsid w:val="00B53098"/>
    <w:rsid w:val="00B531C7"/>
    <w:rsid w:val="00B53474"/>
    <w:rsid w:val="00B535D5"/>
    <w:rsid w:val="00B53A97"/>
    <w:rsid w:val="00B53E26"/>
    <w:rsid w:val="00B5411D"/>
    <w:rsid w:val="00B54F8D"/>
    <w:rsid w:val="00B54FE7"/>
    <w:rsid w:val="00B553D9"/>
    <w:rsid w:val="00B556EB"/>
    <w:rsid w:val="00B5591B"/>
    <w:rsid w:val="00B565BE"/>
    <w:rsid w:val="00B5664C"/>
    <w:rsid w:val="00B56868"/>
    <w:rsid w:val="00B56DE4"/>
    <w:rsid w:val="00B57C47"/>
    <w:rsid w:val="00B60108"/>
    <w:rsid w:val="00B601D9"/>
    <w:rsid w:val="00B60BC3"/>
    <w:rsid w:val="00B610EA"/>
    <w:rsid w:val="00B61BAA"/>
    <w:rsid w:val="00B61F63"/>
    <w:rsid w:val="00B62806"/>
    <w:rsid w:val="00B62DD8"/>
    <w:rsid w:val="00B635D3"/>
    <w:rsid w:val="00B639D7"/>
    <w:rsid w:val="00B63B5F"/>
    <w:rsid w:val="00B640E0"/>
    <w:rsid w:val="00B64157"/>
    <w:rsid w:val="00B641EB"/>
    <w:rsid w:val="00B65454"/>
    <w:rsid w:val="00B6581A"/>
    <w:rsid w:val="00B65934"/>
    <w:rsid w:val="00B65C83"/>
    <w:rsid w:val="00B6657C"/>
    <w:rsid w:val="00B6681E"/>
    <w:rsid w:val="00B66901"/>
    <w:rsid w:val="00B677DA"/>
    <w:rsid w:val="00B679A5"/>
    <w:rsid w:val="00B67ED4"/>
    <w:rsid w:val="00B67FC8"/>
    <w:rsid w:val="00B70745"/>
    <w:rsid w:val="00B70EC0"/>
    <w:rsid w:val="00B71045"/>
    <w:rsid w:val="00B7104A"/>
    <w:rsid w:val="00B71169"/>
    <w:rsid w:val="00B7157F"/>
    <w:rsid w:val="00B71773"/>
    <w:rsid w:val="00B71E6D"/>
    <w:rsid w:val="00B72070"/>
    <w:rsid w:val="00B72415"/>
    <w:rsid w:val="00B72766"/>
    <w:rsid w:val="00B72F27"/>
    <w:rsid w:val="00B73080"/>
    <w:rsid w:val="00B73D99"/>
    <w:rsid w:val="00B7424C"/>
    <w:rsid w:val="00B74853"/>
    <w:rsid w:val="00B749C1"/>
    <w:rsid w:val="00B74E54"/>
    <w:rsid w:val="00B75018"/>
    <w:rsid w:val="00B766F4"/>
    <w:rsid w:val="00B76880"/>
    <w:rsid w:val="00B76902"/>
    <w:rsid w:val="00B76CB7"/>
    <w:rsid w:val="00B77611"/>
    <w:rsid w:val="00B779E1"/>
    <w:rsid w:val="00B800AE"/>
    <w:rsid w:val="00B8066B"/>
    <w:rsid w:val="00B8085E"/>
    <w:rsid w:val="00B81075"/>
    <w:rsid w:val="00B8122E"/>
    <w:rsid w:val="00B8123A"/>
    <w:rsid w:val="00B813ED"/>
    <w:rsid w:val="00B81660"/>
    <w:rsid w:val="00B81858"/>
    <w:rsid w:val="00B81925"/>
    <w:rsid w:val="00B81F98"/>
    <w:rsid w:val="00B82054"/>
    <w:rsid w:val="00B820FD"/>
    <w:rsid w:val="00B8269F"/>
    <w:rsid w:val="00B8279C"/>
    <w:rsid w:val="00B8279E"/>
    <w:rsid w:val="00B829DB"/>
    <w:rsid w:val="00B833BB"/>
    <w:rsid w:val="00B83806"/>
    <w:rsid w:val="00B83E4E"/>
    <w:rsid w:val="00B840E2"/>
    <w:rsid w:val="00B84596"/>
    <w:rsid w:val="00B8465D"/>
    <w:rsid w:val="00B846A9"/>
    <w:rsid w:val="00B84A04"/>
    <w:rsid w:val="00B84AEF"/>
    <w:rsid w:val="00B84FE6"/>
    <w:rsid w:val="00B85454"/>
    <w:rsid w:val="00B85525"/>
    <w:rsid w:val="00B858E8"/>
    <w:rsid w:val="00B859A3"/>
    <w:rsid w:val="00B859DC"/>
    <w:rsid w:val="00B86DA8"/>
    <w:rsid w:val="00B86E11"/>
    <w:rsid w:val="00B86E25"/>
    <w:rsid w:val="00B86EFA"/>
    <w:rsid w:val="00B87AB2"/>
    <w:rsid w:val="00B87BFE"/>
    <w:rsid w:val="00B87C3F"/>
    <w:rsid w:val="00B87CEC"/>
    <w:rsid w:val="00B91366"/>
    <w:rsid w:val="00B91403"/>
    <w:rsid w:val="00B91634"/>
    <w:rsid w:val="00B916BD"/>
    <w:rsid w:val="00B91A0D"/>
    <w:rsid w:val="00B91EE1"/>
    <w:rsid w:val="00B91F4B"/>
    <w:rsid w:val="00B91F50"/>
    <w:rsid w:val="00B92831"/>
    <w:rsid w:val="00B9286F"/>
    <w:rsid w:val="00B92A2D"/>
    <w:rsid w:val="00B92E66"/>
    <w:rsid w:val="00B9330F"/>
    <w:rsid w:val="00B93360"/>
    <w:rsid w:val="00B9337C"/>
    <w:rsid w:val="00B93902"/>
    <w:rsid w:val="00B93E42"/>
    <w:rsid w:val="00B943FA"/>
    <w:rsid w:val="00B9472A"/>
    <w:rsid w:val="00B94C8D"/>
    <w:rsid w:val="00B958D3"/>
    <w:rsid w:val="00B959BD"/>
    <w:rsid w:val="00B968FB"/>
    <w:rsid w:val="00B97382"/>
    <w:rsid w:val="00BA0090"/>
    <w:rsid w:val="00BA044B"/>
    <w:rsid w:val="00BA0638"/>
    <w:rsid w:val="00BA0D25"/>
    <w:rsid w:val="00BA0FF8"/>
    <w:rsid w:val="00BA110E"/>
    <w:rsid w:val="00BA12A6"/>
    <w:rsid w:val="00BA12F2"/>
    <w:rsid w:val="00BA14AD"/>
    <w:rsid w:val="00BA1841"/>
    <w:rsid w:val="00BA1A67"/>
    <w:rsid w:val="00BA25CB"/>
    <w:rsid w:val="00BA340B"/>
    <w:rsid w:val="00BA3B9F"/>
    <w:rsid w:val="00BA417D"/>
    <w:rsid w:val="00BA423B"/>
    <w:rsid w:val="00BA4299"/>
    <w:rsid w:val="00BA44C5"/>
    <w:rsid w:val="00BA482D"/>
    <w:rsid w:val="00BA4CD6"/>
    <w:rsid w:val="00BA4F5F"/>
    <w:rsid w:val="00BA52BC"/>
    <w:rsid w:val="00BA553E"/>
    <w:rsid w:val="00BA58C4"/>
    <w:rsid w:val="00BA5F49"/>
    <w:rsid w:val="00BA67AC"/>
    <w:rsid w:val="00BA6AC9"/>
    <w:rsid w:val="00BA6E4D"/>
    <w:rsid w:val="00BA6FC5"/>
    <w:rsid w:val="00BA79E4"/>
    <w:rsid w:val="00BA7ADC"/>
    <w:rsid w:val="00BB0181"/>
    <w:rsid w:val="00BB0254"/>
    <w:rsid w:val="00BB0580"/>
    <w:rsid w:val="00BB0616"/>
    <w:rsid w:val="00BB0690"/>
    <w:rsid w:val="00BB0E7B"/>
    <w:rsid w:val="00BB2AC5"/>
    <w:rsid w:val="00BB2F19"/>
    <w:rsid w:val="00BB301D"/>
    <w:rsid w:val="00BB37F4"/>
    <w:rsid w:val="00BB4015"/>
    <w:rsid w:val="00BB41F7"/>
    <w:rsid w:val="00BB49DE"/>
    <w:rsid w:val="00BB4F7E"/>
    <w:rsid w:val="00BB5329"/>
    <w:rsid w:val="00BB579A"/>
    <w:rsid w:val="00BB6724"/>
    <w:rsid w:val="00BB6C5E"/>
    <w:rsid w:val="00BB79AA"/>
    <w:rsid w:val="00BB7A44"/>
    <w:rsid w:val="00BB7C5B"/>
    <w:rsid w:val="00BB7ECB"/>
    <w:rsid w:val="00BC0468"/>
    <w:rsid w:val="00BC07FE"/>
    <w:rsid w:val="00BC096D"/>
    <w:rsid w:val="00BC102E"/>
    <w:rsid w:val="00BC15AB"/>
    <w:rsid w:val="00BC19D1"/>
    <w:rsid w:val="00BC1E32"/>
    <w:rsid w:val="00BC1E41"/>
    <w:rsid w:val="00BC2589"/>
    <w:rsid w:val="00BC271D"/>
    <w:rsid w:val="00BC282F"/>
    <w:rsid w:val="00BC29CA"/>
    <w:rsid w:val="00BC311D"/>
    <w:rsid w:val="00BC4319"/>
    <w:rsid w:val="00BC4BC6"/>
    <w:rsid w:val="00BC4BD3"/>
    <w:rsid w:val="00BC5998"/>
    <w:rsid w:val="00BC5A50"/>
    <w:rsid w:val="00BC6570"/>
    <w:rsid w:val="00BC6BE6"/>
    <w:rsid w:val="00BC6F4F"/>
    <w:rsid w:val="00BC7657"/>
    <w:rsid w:val="00BD0163"/>
    <w:rsid w:val="00BD0624"/>
    <w:rsid w:val="00BD08E9"/>
    <w:rsid w:val="00BD0BDA"/>
    <w:rsid w:val="00BD0D4B"/>
    <w:rsid w:val="00BD1431"/>
    <w:rsid w:val="00BD159E"/>
    <w:rsid w:val="00BD1A1F"/>
    <w:rsid w:val="00BD1A9D"/>
    <w:rsid w:val="00BD1B35"/>
    <w:rsid w:val="00BD1E37"/>
    <w:rsid w:val="00BD266D"/>
    <w:rsid w:val="00BD2C1A"/>
    <w:rsid w:val="00BD331B"/>
    <w:rsid w:val="00BD39F5"/>
    <w:rsid w:val="00BD4BD3"/>
    <w:rsid w:val="00BD4C75"/>
    <w:rsid w:val="00BD5130"/>
    <w:rsid w:val="00BD521C"/>
    <w:rsid w:val="00BD547E"/>
    <w:rsid w:val="00BD5896"/>
    <w:rsid w:val="00BD59BE"/>
    <w:rsid w:val="00BD6514"/>
    <w:rsid w:val="00BD6A22"/>
    <w:rsid w:val="00BD6B4C"/>
    <w:rsid w:val="00BD6B5E"/>
    <w:rsid w:val="00BD7436"/>
    <w:rsid w:val="00BD7697"/>
    <w:rsid w:val="00BD7714"/>
    <w:rsid w:val="00BE05FB"/>
    <w:rsid w:val="00BE06D9"/>
    <w:rsid w:val="00BE0715"/>
    <w:rsid w:val="00BE09DC"/>
    <w:rsid w:val="00BE0A1C"/>
    <w:rsid w:val="00BE1272"/>
    <w:rsid w:val="00BE1518"/>
    <w:rsid w:val="00BE219F"/>
    <w:rsid w:val="00BE2BD0"/>
    <w:rsid w:val="00BE328E"/>
    <w:rsid w:val="00BE346D"/>
    <w:rsid w:val="00BE353D"/>
    <w:rsid w:val="00BE3566"/>
    <w:rsid w:val="00BE389D"/>
    <w:rsid w:val="00BE4835"/>
    <w:rsid w:val="00BE4908"/>
    <w:rsid w:val="00BE4C7F"/>
    <w:rsid w:val="00BE4D29"/>
    <w:rsid w:val="00BE54AE"/>
    <w:rsid w:val="00BE5B5F"/>
    <w:rsid w:val="00BE6055"/>
    <w:rsid w:val="00BE692D"/>
    <w:rsid w:val="00BE7040"/>
    <w:rsid w:val="00BE7123"/>
    <w:rsid w:val="00BE715A"/>
    <w:rsid w:val="00BE72B9"/>
    <w:rsid w:val="00BE79A0"/>
    <w:rsid w:val="00BF00A1"/>
    <w:rsid w:val="00BF04B4"/>
    <w:rsid w:val="00BF074A"/>
    <w:rsid w:val="00BF1528"/>
    <w:rsid w:val="00BF1982"/>
    <w:rsid w:val="00BF19A2"/>
    <w:rsid w:val="00BF1B7F"/>
    <w:rsid w:val="00BF21CA"/>
    <w:rsid w:val="00BF220A"/>
    <w:rsid w:val="00BF32AA"/>
    <w:rsid w:val="00BF37CF"/>
    <w:rsid w:val="00BF46EB"/>
    <w:rsid w:val="00BF4785"/>
    <w:rsid w:val="00BF4BF7"/>
    <w:rsid w:val="00BF4D6B"/>
    <w:rsid w:val="00BF4F84"/>
    <w:rsid w:val="00BF56E7"/>
    <w:rsid w:val="00BF63B8"/>
    <w:rsid w:val="00BF79C6"/>
    <w:rsid w:val="00BF7B0B"/>
    <w:rsid w:val="00C0025B"/>
    <w:rsid w:val="00C00437"/>
    <w:rsid w:val="00C00558"/>
    <w:rsid w:val="00C00B9C"/>
    <w:rsid w:val="00C00CA8"/>
    <w:rsid w:val="00C00CE3"/>
    <w:rsid w:val="00C012D5"/>
    <w:rsid w:val="00C01512"/>
    <w:rsid w:val="00C01598"/>
    <w:rsid w:val="00C01B5A"/>
    <w:rsid w:val="00C01C59"/>
    <w:rsid w:val="00C02047"/>
    <w:rsid w:val="00C02190"/>
    <w:rsid w:val="00C023D1"/>
    <w:rsid w:val="00C02A12"/>
    <w:rsid w:val="00C02B75"/>
    <w:rsid w:val="00C02E94"/>
    <w:rsid w:val="00C03800"/>
    <w:rsid w:val="00C03B44"/>
    <w:rsid w:val="00C03DE1"/>
    <w:rsid w:val="00C0424B"/>
    <w:rsid w:val="00C04586"/>
    <w:rsid w:val="00C047EC"/>
    <w:rsid w:val="00C0480D"/>
    <w:rsid w:val="00C04827"/>
    <w:rsid w:val="00C049C6"/>
    <w:rsid w:val="00C04C17"/>
    <w:rsid w:val="00C04C57"/>
    <w:rsid w:val="00C052C6"/>
    <w:rsid w:val="00C052EF"/>
    <w:rsid w:val="00C053CA"/>
    <w:rsid w:val="00C05655"/>
    <w:rsid w:val="00C05DC4"/>
    <w:rsid w:val="00C06500"/>
    <w:rsid w:val="00C06AE2"/>
    <w:rsid w:val="00C06F67"/>
    <w:rsid w:val="00C07576"/>
    <w:rsid w:val="00C07799"/>
    <w:rsid w:val="00C07E6D"/>
    <w:rsid w:val="00C07F75"/>
    <w:rsid w:val="00C1000B"/>
    <w:rsid w:val="00C10402"/>
    <w:rsid w:val="00C107C5"/>
    <w:rsid w:val="00C10A2E"/>
    <w:rsid w:val="00C10B06"/>
    <w:rsid w:val="00C11067"/>
    <w:rsid w:val="00C1109A"/>
    <w:rsid w:val="00C1152F"/>
    <w:rsid w:val="00C117ED"/>
    <w:rsid w:val="00C1203A"/>
    <w:rsid w:val="00C120BD"/>
    <w:rsid w:val="00C1258B"/>
    <w:rsid w:val="00C127D8"/>
    <w:rsid w:val="00C12DBD"/>
    <w:rsid w:val="00C1327E"/>
    <w:rsid w:val="00C13949"/>
    <w:rsid w:val="00C13B86"/>
    <w:rsid w:val="00C142B1"/>
    <w:rsid w:val="00C1452C"/>
    <w:rsid w:val="00C1453B"/>
    <w:rsid w:val="00C146A7"/>
    <w:rsid w:val="00C15517"/>
    <w:rsid w:val="00C15841"/>
    <w:rsid w:val="00C1605A"/>
    <w:rsid w:val="00C17283"/>
    <w:rsid w:val="00C175A1"/>
    <w:rsid w:val="00C17EF2"/>
    <w:rsid w:val="00C204BE"/>
    <w:rsid w:val="00C20BEF"/>
    <w:rsid w:val="00C20DD2"/>
    <w:rsid w:val="00C214FF"/>
    <w:rsid w:val="00C2179C"/>
    <w:rsid w:val="00C22903"/>
    <w:rsid w:val="00C23B7B"/>
    <w:rsid w:val="00C23E09"/>
    <w:rsid w:val="00C23F2E"/>
    <w:rsid w:val="00C24196"/>
    <w:rsid w:val="00C242A9"/>
    <w:rsid w:val="00C243A1"/>
    <w:rsid w:val="00C2483B"/>
    <w:rsid w:val="00C249A3"/>
    <w:rsid w:val="00C24B12"/>
    <w:rsid w:val="00C25645"/>
    <w:rsid w:val="00C26240"/>
    <w:rsid w:val="00C26A29"/>
    <w:rsid w:val="00C26F55"/>
    <w:rsid w:val="00C270BA"/>
    <w:rsid w:val="00C27667"/>
    <w:rsid w:val="00C30478"/>
    <w:rsid w:val="00C30584"/>
    <w:rsid w:val="00C30C63"/>
    <w:rsid w:val="00C31228"/>
    <w:rsid w:val="00C31386"/>
    <w:rsid w:val="00C318AA"/>
    <w:rsid w:val="00C31F14"/>
    <w:rsid w:val="00C320EC"/>
    <w:rsid w:val="00C32B37"/>
    <w:rsid w:val="00C32D50"/>
    <w:rsid w:val="00C32DB9"/>
    <w:rsid w:val="00C332BD"/>
    <w:rsid w:val="00C3336E"/>
    <w:rsid w:val="00C33524"/>
    <w:rsid w:val="00C33E78"/>
    <w:rsid w:val="00C34937"/>
    <w:rsid w:val="00C34C15"/>
    <w:rsid w:val="00C34E67"/>
    <w:rsid w:val="00C34E72"/>
    <w:rsid w:val="00C357E1"/>
    <w:rsid w:val="00C35830"/>
    <w:rsid w:val="00C3589F"/>
    <w:rsid w:val="00C35922"/>
    <w:rsid w:val="00C360B9"/>
    <w:rsid w:val="00C3659A"/>
    <w:rsid w:val="00C36B8B"/>
    <w:rsid w:val="00C3783B"/>
    <w:rsid w:val="00C37E4E"/>
    <w:rsid w:val="00C37F9F"/>
    <w:rsid w:val="00C37FA9"/>
    <w:rsid w:val="00C40ED2"/>
    <w:rsid w:val="00C41D43"/>
    <w:rsid w:val="00C420EE"/>
    <w:rsid w:val="00C4212E"/>
    <w:rsid w:val="00C423C6"/>
    <w:rsid w:val="00C428F1"/>
    <w:rsid w:val="00C42D4C"/>
    <w:rsid w:val="00C433A4"/>
    <w:rsid w:val="00C4348B"/>
    <w:rsid w:val="00C436D0"/>
    <w:rsid w:val="00C43CAB"/>
    <w:rsid w:val="00C43DD6"/>
    <w:rsid w:val="00C43E8D"/>
    <w:rsid w:val="00C440E3"/>
    <w:rsid w:val="00C44272"/>
    <w:rsid w:val="00C44538"/>
    <w:rsid w:val="00C448BA"/>
    <w:rsid w:val="00C449DC"/>
    <w:rsid w:val="00C44D1F"/>
    <w:rsid w:val="00C452D9"/>
    <w:rsid w:val="00C45E4B"/>
    <w:rsid w:val="00C46527"/>
    <w:rsid w:val="00C46F0E"/>
    <w:rsid w:val="00C47816"/>
    <w:rsid w:val="00C47DBF"/>
    <w:rsid w:val="00C5045B"/>
    <w:rsid w:val="00C5077E"/>
    <w:rsid w:val="00C51830"/>
    <w:rsid w:val="00C52626"/>
    <w:rsid w:val="00C52682"/>
    <w:rsid w:val="00C52704"/>
    <w:rsid w:val="00C529EB"/>
    <w:rsid w:val="00C53666"/>
    <w:rsid w:val="00C53D10"/>
    <w:rsid w:val="00C5411A"/>
    <w:rsid w:val="00C541D8"/>
    <w:rsid w:val="00C546E7"/>
    <w:rsid w:val="00C552FF"/>
    <w:rsid w:val="00C55484"/>
    <w:rsid w:val="00C558DA"/>
    <w:rsid w:val="00C55AF3"/>
    <w:rsid w:val="00C55B80"/>
    <w:rsid w:val="00C55FD7"/>
    <w:rsid w:val="00C563C5"/>
    <w:rsid w:val="00C567EE"/>
    <w:rsid w:val="00C57077"/>
    <w:rsid w:val="00C571D4"/>
    <w:rsid w:val="00C57426"/>
    <w:rsid w:val="00C57501"/>
    <w:rsid w:val="00C57FC7"/>
    <w:rsid w:val="00C6000B"/>
    <w:rsid w:val="00C60713"/>
    <w:rsid w:val="00C60B67"/>
    <w:rsid w:val="00C60CC6"/>
    <w:rsid w:val="00C610F0"/>
    <w:rsid w:val="00C62434"/>
    <w:rsid w:val="00C6277B"/>
    <w:rsid w:val="00C62CFA"/>
    <w:rsid w:val="00C62ED9"/>
    <w:rsid w:val="00C62F33"/>
    <w:rsid w:val="00C63AF4"/>
    <w:rsid w:val="00C63CFD"/>
    <w:rsid w:val="00C65073"/>
    <w:rsid w:val="00C65716"/>
    <w:rsid w:val="00C6582D"/>
    <w:rsid w:val="00C6584C"/>
    <w:rsid w:val="00C65C3F"/>
    <w:rsid w:val="00C66FCE"/>
    <w:rsid w:val="00C67165"/>
    <w:rsid w:val="00C67B39"/>
    <w:rsid w:val="00C70003"/>
    <w:rsid w:val="00C704E6"/>
    <w:rsid w:val="00C70A24"/>
    <w:rsid w:val="00C70B49"/>
    <w:rsid w:val="00C70F1B"/>
    <w:rsid w:val="00C712C2"/>
    <w:rsid w:val="00C71A5B"/>
    <w:rsid w:val="00C71C2F"/>
    <w:rsid w:val="00C71D0E"/>
    <w:rsid w:val="00C72142"/>
    <w:rsid w:val="00C7342B"/>
    <w:rsid w:val="00C734A3"/>
    <w:rsid w:val="00C73E65"/>
    <w:rsid w:val="00C74001"/>
    <w:rsid w:val="00C74AF9"/>
    <w:rsid w:val="00C74B8F"/>
    <w:rsid w:val="00C74BBE"/>
    <w:rsid w:val="00C74BE7"/>
    <w:rsid w:val="00C75515"/>
    <w:rsid w:val="00C75C7C"/>
    <w:rsid w:val="00C76580"/>
    <w:rsid w:val="00C76921"/>
    <w:rsid w:val="00C76EFC"/>
    <w:rsid w:val="00C7731C"/>
    <w:rsid w:val="00C7738E"/>
    <w:rsid w:val="00C774FD"/>
    <w:rsid w:val="00C81069"/>
    <w:rsid w:val="00C81180"/>
    <w:rsid w:val="00C81336"/>
    <w:rsid w:val="00C816EC"/>
    <w:rsid w:val="00C8173A"/>
    <w:rsid w:val="00C81951"/>
    <w:rsid w:val="00C81BCE"/>
    <w:rsid w:val="00C81C10"/>
    <w:rsid w:val="00C8261C"/>
    <w:rsid w:val="00C82622"/>
    <w:rsid w:val="00C82D8C"/>
    <w:rsid w:val="00C83164"/>
    <w:rsid w:val="00C83A8F"/>
    <w:rsid w:val="00C83BBC"/>
    <w:rsid w:val="00C84759"/>
    <w:rsid w:val="00C84EA5"/>
    <w:rsid w:val="00C84FE3"/>
    <w:rsid w:val="00C85002"/>
    <w:rsid w:val="00C851AE"/>
    <w:rsid w:val="00C8576D"/>
    <w:rsid w:val="00C85A28"/>
    <w:rsid w:val="00C85D7E"/>
    <w:rsid w:val="00C85DFD"/>
    <w:rsid w:val="00C8666E"/>
    <w:rsid w:val="00C8714B"/>
    <w:rsid w:val="00C875F7"/>
    <w:rsid w:val="00C8776C"/>
    <w:rsid w:val="00C879B4"/>
    <w:rsid w:val="00C87BA6"/>
    <w:rsid w:val="00C90532"/>
    <w:rsid w:val="00C905CD"/>
    <w:rsid w:val="00C90741"/>
    <w:rsid w:val="00C90AFE"/>
    <w:rsid w:val="00C91D23"/>
    <w:rsid w:val="00C91E84"/>
    <w:rsid w:val="00C928C5"/>
    <w:rsid w:val="00C92DFD"/>
    <w:rsid w:val="00C92FF4"/>
    <w:rsid w:val="00C93A5F"/>
    <w:rsid w:val="00C93E53"/>
    <w:rsid w:val="00C93E9B"/>
    <w:rsid w:val="00C94128"/>
    <w:rsid w:val="00C946F9"/>
    <w:rsid w:val="00C94C0C"/>
    <w:rsid w:val="00C950ED"/>
    <w:rsid w:val="00C95C03"/>
    <w:rsid w:val="00C95D25"/>
    <w:rsid w:val="00C97578"/>
    <w:rsid w:val="00C97BDD"/>
    <w:rsid w:val="00CA0121"/>
    <w:rsid w:val="00CA0250"/>
    <w:rsid w:val="00CA03A0"/>
    <w:rsid w:val="00CA09BE"/>
    <w:rsid w:val="00CA0DC8"/>
    <w:rsid w:val="00CA1285"/>
    <w:rsid w:val="00CA15F8"/>
    <w:rsid w:val="00CA1AB7"/>
    <w:rsid w:val="00CA26C7"/>
    <w:rsid w:val="00CA2947"/>
    <w:rsid w:val="00CA31C8"/>
    <w:rsid w:val="00CA3204"/>
    <w:rsid w:val="00CA32D6"/>
    <w:rsid w:val="00CA3388"/>
    <w:rsid w:val="00CA347A"/>
    <w:rsid w:val="00CA378E"/>
    <w:rsid w:val="00CA44AA"/>
    <w:rsid w:val="00CA4979"/>
    <w:rsid w:val="00CA5983"/>
    <w:rsid w:val="00CA67CD"/>
    <w:rsid w:val="00CA6C7F"/>
    <w:rsid w:val="00CA6F75"/>
    <w:rsid w:val="00CA6F88"/>
    <w:rsid w:val="00CA7869"/>
    <w:rsid w:val="00CA78AF"/>
    <w:rsid w:val="00CA78FE"/>
    <w:rsid w:val="00CA7E7F"/>
    <w:rsid w:val="00CB0735"/>
    <w:rsid w:val="00CB08DE"/>
    <w:rsid w:val="00CB10EB"/>
    <w:rsid w:val="00CB1177"/>
    <w:rsid w:val="00CB163A"/>
    <w:rsid w:val="00CB1ACA"/>
    <w:rsid w:val="00CB1B75"/>
    <w:rsid w:val="00CB1C9B"/>
    <w:rsid w:val="00CB1EC6"/>
    <w:rsid w:val="00CB24B6"/>
    <w:rsid w:val="00CB2651"/>
    <w:rsid w:val="00CB2AB3"/>
    <w:rsid w:val="00CB2CA2"/>
    <w:rsid w:val="00CB348D"/>
    <w:rsid w:val="00CB3665"/>
    <w:rsid w:val="00CB3DAB"/>
    <w:rsid w:val="00CB3F4C"/>
    <w:rsid w:val="00CB42E4"/>
    <w:rsid w:val="00CB4BD3"/>
    <w:rsid w:val="00CB50D7"/>
    <w:rsid w:val="00CB529E"/>
    <w:rsid w:val="00CB52EB"/>
    <w:rsid w:val="00CB53F7"/>
    <w:rsid w:val="00CB5C34"/>
    <w:rsid w:val="00CB5CE6"/>
    <w:rsid w:val="00CB5FF1"/>
    <w:rsid w:val="00CB66A7"/>
    <w:rsid w:val="00CB6813"/>
    <w:rsid w:val="00CB6BA3"/>
    <w:rsid w:val="00CB6EDF"/>
    <w:rsid w:val="00CB6F8C"/>
    <w:rsid w:val="00CB7263"/>
    <w:rsid w:val="00CB76C3"/>
    <w:rsid w:val="00CB7E0E"/>
    <w:rsid w:val="00CC0260"/>
    <w:rsid w:val="00CC0737"/>
    <w:rsid w:val="00CC08F1"/>
    <w:rsid w:val="00CC0CDB"/>
    <w:rsid w:val="00CC0F3B"/>
    <w:rsid w:val="00CC10A6"/>
    <w:rsid w:val="00CC1124"/>
    <w:rsid w:val="00CC13D8"/>
    <w:rsid w:val="00CC3426"/>
    <w:rsid w:val="00CC3881"/>
    <w:rsid w:val="00CC38EF"/>
    <w:rsid w:val="00CC397B"/>
    <w:rsid w:val="00CC5454"/>
    <w:rsid w:val="00CC609E"/>
    <w:rsid w:val="00CC65BF"/>
    <w:rsid w:val="00CC662F"/>
    <w:rsid w:val="00CC67B1"/>
    <w:rsid w:val="00CC6B5F"/>
    <w:rsid w:val="00CC71F9"/>
    <w:rsid w:val="00CC7DA5"/>
    <w:rsid w:val="00CC7FF2"/>
    <w:rsid w:val="00CD059A"/>
    <w:rsid w:val="00CD0BC4"/>
    <w:rsid w:val="00CD0D31"/>
    <w:rsid w:val="00CD164C"/>
    <w:rsid w:val="00CD175A"/>
    <w:rsid w:val="00CD1A29"/>
    <w:rsid w:val="00CD22F0"/>
    <w:rsid w:val="00CD25B0"/>
    <w:rsid w:val="00CD25D4"/>
    <w:rsid w:val="00CD2611"/>
    <w:rsid w:val="00CD2A05"/>
    <w:rsid w:val="00CD2CC9"/>
    <w:rsid w:val="00CD33AD"/>
    <w:rsid w:val="00CD3574"/>
    <w:rsid w:val="00CD3B9D"/>
    <w:rsid w:val="00CD43B4"/>
    <w:rsid w:val="00CD48AA"/>
    <w:rsid w:val="00CD4D0A"/>
    <w:rsid w:val="00CD4ED8"/>
    <w:rsid w:val="00CD506B"/>
    <w:rsid w:val="00CD5594"/>
    <w:rsid w:val="00CD5926"/>
    <w:rsid w:val="00CD5BE1"/>
    <w:rsid w:val="00CD5EB8"/>
    <w:rsid w:val="00CD6967"/>
    <w:rsid w:val="00CD6AC7"/>
    <w:rsid w:val="00CD7044"/>
    <w:rsid w:val="00CE03A3"/>
    <w:rsid w:val="00CE08B9"/>
    <w:rsid w:val="00CE0981"/>
    <w:rsid w:val="00CE0A0D"/>
    <w:rsid w:val="00CE0D89"/>
    <w:rsid w:val="00CE0E76"/>
    <w:rsid w:val="00CE20C3"/>
    <w:rsid w:val="00CE2293"/>
    <w:rsid w:val="00CE26C3"/>
    <w:rsid w:val="00CE297D"/>
    <w:rsid w:val="00CE3777"/>
    <w:rsid w:val="00CE378C"/>
    <w:rsid w:val="00CE3979"/>
    <w:rsid w:val="00CE3C68"/>
    <w:rsid w:val="00CE40B2"/>
    <w:rsid w:val="00CE4876"/>
    <w:rsid w:val="00CE4E5B"/>
    <w:rsid w:val="00CE5207"/>
    <w:rsid w:val="00CE524C"/>
    <w:rsid w:val="00CE53B0"/>
    <w:rsid w:val="00CE58A3"/>
    <w:rsid w:val="00CE5F75"/>
    <w:rsid w:val="00CE6531"/>
    <w:rsid w:val="00CE67E1"/>
    <w:rsid w:val="00CE6A35"/>
    <w:rsid w:val="00CE745C"/>
    <w:rsid w:val="00CE7944"/>
    <w:rsid w:val="00CE7B36"/>
    <w:rsid w:val="00CE7B46"/>
    <w:rsid w:val="00CF02F5"/>
    <w:rsid w:val="00CF0678"/>
    <w:rsid w:val="00CF0803"/>
    <w:rsid w:val="00CF09CE"/>
    <w:rsid w:val="00CF0E95"/>
    <w:rsid w:val="00CF101B"/>
    <w:rsid w:val="00CF141F"/>
    <w:rsid w:val="00CF1FEF"/>
    <w:rsid w:val="00CF2529"/>
    <w:rsid w:val="00CF2689"/>
    <w:rsid w:val="00CF3166"/>
    <w:rsid w:val="00CF37F1"/>
    <w:rsid w:val="00CF4777"/>
    <w:rsid w:val="00CF50B9"/>
    <w:rsid w:val="00CF5AF8"/>
    <w:rsid w:val="00CF5D1D"/>
    <w:rsid w:val="00CF5E05"/>
    <w:rsid w:val="00CF5F94"/>
    <w:rsid w:val="00CF6763"/>
    <w:rsid w:val="00CF6C8F"/>
    <w:rsid w:val="00CF6E95"/>
    <w:rsid w:val="00CF73C1"/>
    <w:rsid w:val="00D00C0C"/>
    <w:rsid w:val="00D00CFC"/>
    <w:rsid w:val="00D015A9"/>
    <w:rsid w:val="00D01ADE"/>
    <w:rsid w:val="00D01D69"/>
    <w:rsid w:val="00D02706"/>
    <w:rsid w:val="00D03B6E"/>
    <w:rsid w:val="00D03FE6"/>
    <w:rsid w:val="00D043AF"/>
    <w:rsid w:val="00D04663"/>
    <w:rsid w:val="00D04F3C"/>
    <w:rsid w:val="00D050C7"/>
    <w:rsid w:val="00D066F5"/>
    <w:rsid w:val="00D067BB"/>
    <w:rsid w:val="00D06F82"/>
    <w:rsid w:val="00D070CC"/>
    <w:rsid w:val="00D0718C"/>
    <w:rsid w:val="00D079FE"/>
    <w:rsid w:val="00D07DBD"/>
    <w:rsid w:val="00D07F37"/>
    <w:rsid w:val="00D07FBC"/>
    <w:rsid w:val="00D10472"/>
    <w:rsid w:val="00D10670"/>
    <w:rsid w:val="00D10674"/>
    <w:rsid w:val="00D119A8"/>
    <w:rsid w:val="00D11FC2"/>
    <w:rsid w:val="00D12195"/>
    <w:rsid w:val="00D123C2"/>
    <w:rsid w:val="00D12C9F"/>
    <w:rsid w:val="00D1307B"/>
    <w:rsid w:val="00D13190"/>
    <w:rsid w:val="00D1352A"/>
    <w:rsid w:val="00D13B29"/>
    <w:rsid w:val="00D13EDE"/>
    <w:rsid w:val="00D14905"/>
    <w:rsid w:val="00D155C7"/>
    <w:rsid w:val="00D1636D"/>
    <w:rsid w:val="00D16542"/>
    <w:rsid w:val="00D168F0"/>
    <w:rsid w:val="00D169AF"/>
    <w:rsid w:val="00D171C0"/>
    <w:rsid w:val="00D17473"/>
    <w:rsid w:val="00D175F2"/>
    <w:rsid w:val="00D1799E"/>
    <w:rsid w:val="00D179C7"/>
    <w:rsid w:val="00D17ACD"/>
    <w:rsid w:val="00D17F85"/>
    <w:rsid w:val="00D20219"/>
    <w:rsid w:val="00D205E9"/>
    <w:rsid w:val="00D207AB"/>
    <w:rsid w:val="00D20A49"/>
    <w:rsid w:val="00D20D06"/>
    <w:rsid w:val="00D2138C"/>
    <w:rsid w:val="00D21884"/>
    <w:rsid w:val="00D21C96"/>
    <w:rsid w:val="00D21D68"/>
    <w:rsid w:val="00D222EC"/>
    <w:rsid w:val="00D22709"/>
    <w:rsid w:val="00D228B2"/>
    <w:rsid w:val="00D22A28"/>
    <w:rsid w:val="00D23437"/>
    <w:rsid w:val="00D24059"/>
    <w:rsid w:val="00D24250"/>
    <w:rsid w:val="00D24CCF"/>
    <w:rsid w:val="00D24F56"/>
    <w:rsid w:val="00D25249"/>
    <w:rsid w:val="00D2542B"/>
    <w:rsid w:val="00D255A7"/>
    <w:rsid w:val="00D256A4"/>
    <w:rsid w:val="00D257A3"/>
    <w:rsid w:val="00D25FB4"/>
    <w:rsid w:val="00D26063"/>
    <w:rsid w:val="00D262DB"/>
    <w:rsid w:val="00D262EE"/>
    <w:rsid w:val="00D263A3"/>
    <w:rsid w:val="00D26711"/>
    <w:rsid w:val="00D26C94"/>
    <w:rsid w:val="00D27881"/>
    <w:rsid w:val="00D27EEB"/>
    <w:rsid w:val="00D3043B"/>
    <w:rsid w:val="00D30801"/>
    <w:rsid w:val="00D30910"/>
    <w:rsid w:val="00D30D5C"/>
    <w:rsid w:val="00D30E56"/>
    <w:rsid w:val="00D31298"/>
    <w:rsid w:val="00D32501"/>
    <w:rsid w:val="00D33A44"/>
    <w:rsid w:val="00D34422"/>
    <w:rsid w:val="00D346F9"/>
    <w:rsid w:val="00D34FC7"/>
    <w:rsid w:val="00D352EB"/>
    <w:rsid w:val="00D3532D"/>
    <w:rsid w:val="00D3569D"/>
    <w:rsid w:val="00D356F2"/>
    <w:rsid w:val="00D35FBB"/>
    <w:rsid w:val="00D362D6"/>
    <w:rsid w:val="00D3671C"/>
    <w:rsid w:val="00D37D7B"/>
    <w:rsid w:val="00D37DD5"/>
    <w:rsid w:val="00D40DC9"/>
    <w:rsid w:val="00D412E3"/>
    <w:rsid w:val="00D41580"/>
    <w:rsid w:val="00D41899"/>
    <w:rsid w:val="00D419D7"/>
    <w:rsid w:val="00D420DF"/>
    <w:rsid w:val="00D42411"/>
    <w:rsid w:val="00D4269A"/>
    <w:rsid w:val="00D42988"/>
    <w:rsid w:val="00D42CEC"/>
    <w:rsid w:val="00D43897"/>
    <w:rsid w:val="00D43E1D"/>
    <w:rsid w:val="00D4405B"/>
    <w:rsid w:val="00D4413F"/>
    <w:rsid w:val="00D44172"/>
    <w:rsid w:val="00D443B5"/>
    <w:rsid w:val="00D444AD"/>
    <w:rsid w:val="00D4473F"/>
    <w:rsid w:val="00D447D4"/>
    <w:rsid w:val="00D458DF"/>
    <w:rsid w:val="00D45A45"/>
    <w:rsid w:val="00D46A5E"/>
    <w:rsid w:val="00D46AB6"/>
    <w:rsid w:val="00D46EBF"/>
    <w:rsid w:val="00D47A3C"/>
    <w:rsid w:val="00D5060B"/>
    <w:rsid w:val="00D50877"/>
    <w:rsid w:val="00D50FF3"/>
    <w:rsid w:val="00D511E3"/>
    <w:rsid w:val="00D513EF"/>
    <w:rsid w:val="00D518DD"/>
    <w:rsid w:val="00D52100"/>
    <w:rsid w:val="00D5230A"/>
    <w:rsid w:val="00D52480"/>
    <w:rsid w:val="00D52595"/>
    <w:rsid w:val="00D526D8"/>
    <w:rsid w:val="00D52989"/>
    <w:rsid w:val="00D52A35"/>
    <w:rsid w:val="00D536F4"/>
    <w:rsid w:val="00D53716"/>
    <w:rsid w:val="00D537AE"/>
    <w:rsid w:val="00D53C40"/>
    <w:rsid w:val="00D5564F"/>
    <w:rsid w:val="00D5656E"/>
    <w:rsid w:val="00D5667A"/>
    <w:rsid w:val="00D570C6"/>
    <w:rsid w:val="00D57666"/>
    <w:rsid w:val="00D576EB"/>
    <w:rsid w:val="00D57961"/>
    <w:rsid w:val="00D57A86"/>
    <w:rsid w:val="00D60190"/>
    <w:rsid w:val="00D601C9"/>
    <w:rsid w:val="00D6084E"/>
    <w:rsid w:val="00D60C0D"/>
    <w:rsid w:val="00D60F87"/>
    <w:rsid w:val="00D6100D"/>
    <w:rsid w:val="00D6121B"/>
    <w:rsid w:val="00D61256"/>
    <w:rsid w:val="00D61578"/>
    <w:rsid w:val="00D6184B"/>
    <w:rsid w:val="00D62D78"/>
    <w:rsid w:val="00D62F45"/>
    <w:rsid w:val="00D63B8C"/>
    <w:rsid w:val="00D63DBC"/>
    <w:rsid w:val="00D63EAF"/>
    <w:rsid w:val="00D6498F"/>
    <w:rsid w:val="00D6565E"/>
    <w:rsid w:val="00D65937"/>
    <w:rsid w:val="00D6604E"/>
    <w:rsid w:val="00D6641D"/>
    <w:rsid w:val="00D66B28"/>
    <w:rsid w:val="00D66BCF"/>
    <w:rsid w:val="00D66D33"/>
    <w:rsid w:val="00D671BB"/>
    <w:rsid w:val="00D6774E"/>
    <w:rsid w:val="00D6793A"/>
    <w:rsid w:val="00D70024"/>
    <w:rsid w:val="00D701AF"/>
    <w:rsid w:val="00D7039C"/>
    <w:rsid w:val="00D70D52"/>
    <w:rsid w:val="00D71061"/>
    <w:rsid w:val="00D71086"/>
    <w:rsid w:val="00D712FD"/>
    <w:rsid w:val="00D71752"/>
    <w:rsid w:val="00D71BF9"/>
    <w:rsid w:val="00D72358"/>
    <w:rsid w:val="00D729CE"/>
    <w:rsid w:val="00D729FB"/>
    <w:rsid w:val="00D72CB6"/>
    <w:rsid w:val="00D72CF1"/>
    <w:rsid w:val="00D72DDA"/>
    <w:rsid w:val="00D73077"/>
    <w:rsid w:val="00D731AC"/>
    <w:rsid w:val="00D73252"/>
    <w:rsid w:val="00D73889"/>
    <w:rsid w:val="00D73995"/>
    <w:rsid w:val="00D739CC"/>
    <w:rsid w:val="00D73B82"/>
    <w:rsid w:val="00D73C4A"/>
    <w:rsid w:val="00D73EC6"/>
    <w:rsid w:val="00D7442B"/>
    <w:rsid w:val="00D74BC3"/>
    <w:rsid w:val="00D74BF7"/>
    <w:rsid w:val="00D751D4"/>
    <w:rsid w:val="00D75378"/>
    <w:rsid w:val="00D757D4"/>
    <w:rsid w:val="00D759DD"/>
    <w:rsid w:val="00D75CB3"/>
    <w:rsid w:val="00D7606D"/>
    <w:rsid w:val="00D76877"/>
    <w:rsid w:val="00D76CC3"/>
    <w:rsid w:val="00D76D81"/>
    <w:rsid w:val="00D7708E"/>
    <w:rsid w:val="00D8093D"/>
    <w:rsid w:val="00D8108C"/>
    <w:rsid w:val="00D818BA"/>
    <w:rsid w:val="00D82427"/>
    <w:rsid w:val="00D8247C"/>
    <w:rsid w:val="00D8369D"/>
    <w:rsid w:val="00D84103"/>
    <w:rsid w:val="00D842AE"/>
    <w:rsid w:val="00D848AD"/>
    <w:rsid w:val="00D84902"/>
    <w:rsid w:val="00D849B1"/>
    <w:rsid w:val="00D85214"/>
    <w:rsid w:val="00D8539C"/>
    <w:rsid w:val="00D853BF"/>
    <w:rsid w:val="00D854CA"/>
    <w:rsid w:val="00D8581A"/>
    <w:rsid w:val="00D85DC8"/>
    <w:rsid w:val="00D85FF6"/>
    <w:rsid w:val="00D8615D"/>
    <w:rsid w:val="00D86246"/>
    <w:rsid w:val="00D87268"/>
    <w:rsid w:val="00D87354"/>
    <w:rsid w:val="00D873FD"/>
    <w:rsid w:val="00D87671"/>
    <w:rsid w:val="00D879E9"/>
    <w:rsid w:val="00D87CBD"/>
    <w:rsid w:val="00D87F46"/>
    <w:rsid w:val="00D87FA3"/>
    <w:rsid w:val="00D90638"/>
    <w:rsid w:val="00D9065F"/>
    <w:rsid w:val="00D90E29"/>
    <w:rsid w:val="00D90E58"/>
    <w:rsid w:val="00D9178C"/>
    <w:rsid w:val="00D9178F"/>
    <w:rsid w:val="00D918F6"/>
    <w:rsid w:val="00D918F9"/>
    <w:rsid w:val="00D91C19"/>
    <w:rsid w:val="00D9211C"/>
    <w:rsid w:val="00D921F8"/>
    <w:rsid w:val="00D925D0"/>
    <w:rsid w:val="00D928CE"/>
    <w:rsid w:val="00D92B62"/>
    <w:rsid w:val="00D92D3F"/>
    <w:rsid w:val="00D92DE0"/>
    <w:rsid w:val="00D92FEF"/>
    <w:rsid w:val="00D93409"/>
    <w:rsid w:val="00D93790"/>
    <w:rsid w:val="00D93A0F"/>
    <w:rsid w:val="00D93ADC"/>
    <w:rsid w:val="00D93E4B"/>
    <w:rsid w:val="00D942F5"/>
    <w:rsid w:val="00D94D86"/>
    <w:rsid w:val="00D95A4D"/>
    <w:rsid w:val="00D95DE7"/>
    <w:rsid w:val="00D9666F"/>
    <w:rsid w:val="00D9708C"/>
    <w:rsid w:val="00D9720D"/>
    <w:rsid w:val="00D97721"/>
    <w:rsid w:val="00DA0E8E"/>
    <w:rsid w:val="00DA0F99"/>
    <w:rsid w:val="00DA114D"/>
    <w:rsid w:val="00DA1649"/>
    <w:rsid w:val="00DA1848"/>
    <w:rsid w:val="00DA1BCA"/>
    <w:rsid w:val="00DA1E25"/>
    <w:rsid w:val="00DA285A"/>
    <w:rsid w:val="00DA2D15"/>
    <w:rsid w:val="00DA2E7A"/>
    <w:rsid w:val="00DA3071"/>
    <w:rsid w:val="00DA33C7"/>
    <w:rsid w:val="00DA3FFA"/>
    <w:rsid w:val="00DA4022"/>
    <w:rsid w:val="00DA4356"/>
    <w:rsid w:val="00DA45DF"/>
    <w:rsid w:val="00DA4AC6"/>
    <w:rsid w:val="00DA4DE2"/>
    <w:rsid w:val="00DA565A"/>
    <w:rsid w:val="00DA599D"/>
    <w:rsid w:val="00DA63FF"/>
    <w:rsid w:val="00DA6670"/>
    <w:rsid w:val="00DA67C6"/>
    <w:rsid w:val="00DA6AAB"/>
    <w:rsid w:val="00DA7299"/>
    <w:rsid w:val="00DA760C"/>
    <w:rsid w:val="00DA7886"/>
    <w:rsid w:val="00DB0351"/>
    <w:rsid w:val="00DB03EC"/>
    <w:rsid w:val="00DB07D9"/>
    <w:rsid w:val="00DB0C95"/>
    <w:rsid w:val="00DB1570"/>
    <w:rsid w:val="00DB1788"/>
    <w:rsid w:val="00DB1F92"/>
    <w:rsid w:val="00DB266C"/>
    <w:rsid w:val="00DB29AD"/>
    <w:rsid w:val="00DB2BC3"/>
    <w:rsid w:val="00DB2EB8"/>
    <w:rsid w:val="00DB364C"/>
    <w:rsid w:val="00DB36B7"/>
    <w:rsid w:val="00DB37C1"/>
    <w:rsid w:val="00DB3E23"/>
    <w:rsid w:val="00DB4413"/>
    <w:rsid w:val="00DB47F0"/>
    <w:rsid w:val="00DB4B8B"/>
    <w:rsid w:val="00DB4F78"/>
    <w:rsid w:val="00DB509B"/>
    <w:rsid w:val="00DB51EF"/>
    <w:rsid w:val="00DB552E"/>
    <w:rsid w:val="00DB5E98"/>
    <w:rsid w:val="00DB5EA4"/>
    <w:rsid w:val="00DB5F2B"/>
    <w:rsid w:val="00DB6464"/>
    <w:rsid w:val="00DB6897"/>
    <w:rsid w:val="00DB6C80"/>
    <w:rsid w:val="00DB7C2C"/>
    <w:rsid w:val="00DC0346"/>
    <w:rsid w:val="00DC042C"/>
    <w:rsid w:val="00DC061B"/>
    <w:rsid w:val="00DC062F"/>
    <w:rsid w:val="00DC0936"/>
    <w:rsid w:val="00DC0964"/>
    <w:rsid w:val="00DC0F55"/>
    <w:rsid w:val="00DC1A67"/>
    <w:rsid w:val="00DC1C01"/>
    <w:rsid w:val="00DC1D8C"/>
    <w:rsid w:val="00DC25B9"/>
    <w:rsid w:val="00DC2F59"/>
    <w:rsid w:val="00DC39B5"/>
    <w:rsid w:val="00DC3D21"/>
    <w:rsid w:val="00DC4665"/>
    <w:rsid w:val="00DC46A0"/>
    <w:rsid w:val="00DC46FF"/>
    <w:rsid w:val="00DC4846"/>
    <w:rsid w:val="00DC4AD7"/>
    <w:rsid w:val="00DC5254"/>
    <w:rsid w:val="00DC60B1"/>
    <w:rsid w:val="00DC6596"/>
    <w:rsid w:val="00DC7B19"/>
    <w:rsid w:val="00DC7F05"/>
    <w:rsid w:val="00DD067B"/>
    <w:rsid w:val="00DD0834"/>
    <w:rsid w:val="00DD1063"/>
    <w:rsid w:val="00DD153F"/>
    <w:rsid w:val="00DD1A4F"/>
    <w:rsid w:val="00DD1E95"/>
    <w:rsid w:val="00DD237C"/>
    <w:rsid w:val="00DD25AA"/>
    <w:rsid w:val="00DD2B47"/>
    <w:rsid w:val="00DD3107"/>
    <w:rsid w:val="00DD37CA"/>
    <w:rsid w:val="00DD3970"/>
    <w:rsid w:val="00DD3C18"/>
    <w:rsid w:val="00DD41FA"/>
    <w:rsid w:val="00DD42A7"/>
    <w:rsid w:val="00DD451A"/>
    <w:rsid w:val="00DD48C5"/>
    <w:rsid w:val="00DD4FDE"/>
    <w:rsid w:val="00DD5034"/>
    <w:rsid w:val="00DD5D78"/>
    <w:rsid w:val="00DD5EFF"/>
    <w:rsid w:val="00DD6C00"/>
    <w:rsid w:val="00DD747F"/>
    <w:rsid w:val="00DD79D4"/>
    <w:rsid w:val="00DD7C2C"/>
    <w:rsid w:val="00DD7DAA"/>
    <w:rsid w:val="00DD7E02"/>
    <w:rsid w:val="00DE01C5"/>
    <w:rsid w:val="00DE01CC"/>
    <w:rsid w:val="00DE0583"/>
    <w:rsid w:val="00DE0788"/>
    <w:rsid w:val="00DE08A6"/>
    <w:rsid w:val="00DE1441"/>
    <w:rsid w:val="00DE161B"/>
    <w:rsid w:val="00DE16BA"/>
    <w:rsid w:val="00DE18ED"/>
    <w:rsid w:val="00DE2235"/>
    <w:rsid w:val="00DE25BF"/>
    <w:rsid w:val="00DE26FF"/>
    <w:rsid w:val="00DE2946"/>
    <w:rsid w:val="00DE2BAD"/>
    <w:rsid w:val="00DE3183"/>
    <w:rsid w:val="00DE33E5"/>
    <w:rsid w:val="00DE3756"/>
    <w:rsid w:val="00DE3B2B"/>
    <w:rsid w:val="00DE3D91"/>
    <w:rsid w:val="00DE40CC"/>
    <w:rsid w:val="00DE4337"/>
    <w:rsid w:val="00DE4662"/>
    <w:rsid w:val="00DE4735"/>
    <w:rsid w:val="00DE48AE"/>
    <w:rsid w:val="00DE4C9F"/>
    <w:rsid w:val="00DE4D97"/>
    <w:rsid w:val="00DE4FAD"/>
    <w:rsid w:val="00DE5831"/>
    <w:rsid w:val="00DE6B9A"/>
    <w:rsid w:val="00DE6C56"/>
    <w:rsid w:val="00DE6E55"/>
    <w:rsid w:val="00DE7CC9"/>
    <w:rsid w:val="00DE7F36"/>
    <w:rsid w:val="00DF0074"/>
    <w:rsid w:val="00DF04B9"/>
    <w:rsid w:val="00DF0696"/>
    <w:rsid w:val="00DF0BFC"/>
    <w:rsid w:val="00DF13B5"/>
    <w:rsid w:val="00DF1866"/>
    <w:rsid w:val="00DF1AA5"/>
    <w:rsid w:val="00DF1F1B"/>
    <w:rsid w:val="00DF2B57"/>
    <w:rsid w:val="00DF2D5F"/>
    <w:rsid w:val="00DF40E8"/>
    <w:rsid w:val="00DF4F3C"/>
    <w:rsid w:val="00DF5076"/>
    <w:rsid w:val="00DF5272"/>
    <w:rsid w:val="00DF5312"/>
    <w:rsid w:val="00DF5660"/>
    <w:rsid w:val="00DF5863"/>
    <w:rsid w:val="00DF65C9"/>
    <w:rsid w:val="00DF71CA"/>
    <w:rsid w:val="00DF7B3F"/>
    <w:rsid w:val="00DF7F7A"/>
    <w:rsid w:val="00E00667"/>
    <w:rsid w:val="00E00B7C"/>
    <w:rsid w:val="00E00E4E"/>
    <w:rsid w:val="00E00F5B"/>
    <w:rsid w:val="00E018A8"/>
    <w:rsid w:val="00E01D4D"/>
    <w:rsid w:val="00E02616"/>
    <w:rsid w:val="00E027B7"/>
    <w:rsid w:val="00E029E8"/>
    <w:rsid w:val="00E02ADB"/>
    <w:rsid w:val="00E034C8"/>
    <w:rsid w:val="00E03D15"/>
    <w:rsid w:val="00E04170"/>
    <w:rsid w:val="00E04573"/>
    <w:rsid w:val="00E04A17"/>
    <w:rsid w:val="00E04D15"/>
    <w:rsid w:val="00E04E19"/>
    <w:rsid w:val="00E04EEF"/>
    <w:rsid w:val="00E051CD"/>
    <w:rsid w:val="00E053A7"/>
    <w:rsid w:val="00E0574F"/>
    <w:rsid w:val="00E06797"/>
    <w:rsid w:val="00E07668"/>
    <w:rsid w:val="00E07DEB"/>
    <w:rsid w:val="00E1066E"/>
    <w:rsid w:val="00E112F9"/>
    <w:rsid w:val="00E11AE8"/>
    <w:rsid w:val="00E12054"/>
    <w:rsid w:val="00E122BC"/>
    <w:rsid w:val="00E12386"/>
    <w:rsid w:val="00E12481"/>
    <w:rsid w:val="00E1265B"/>
    <w:rsid w:val="00E126F3"/>
    <w:rsid w:val="00E12830"/>
    <w:rsid w:val="00E129C2"/>
    <w:rsid w:val="00E12C2F"/>
    <w:rsid w:val="00E13B48"/>
    <w:rsid w:val="00E1404F"/>
    <w:rsid w:val="00E1409E"/>
    <w:rsid w:val="00E14298"/>
    <w:rsid w:val="00E144A6"/>
    <w:rsid w:val="00E1452B"/>
    <w:rsid w:val="00E14C4E"/>
    <w:rsid w:val="00E154C6"/>
    <w:rsid w:val="00E15F4A"/>
    <w:rsid w:val="00E15FF7"/>
    <w:rsid w:val="00E1696D"/>
    <w:rsid w:val="00E16F63"/>
    <w:rsid w:val="00E17967"/>
    <w:rsid w:val="00E17B25"/>
    <w:rsid w:val="00E17F34"/>
    <w:rsid w:val="00E20771"/>
    <w:rsid w:val="00E20A61"/>
    <w:rsid w:val="00E20B87"/>
    <w:rsid w:val="00E20E4F"/>
    <w:rsid w:val="00E20EFF"/>
    <w:rsid w:val="00E21275"/>
    <w:rsid w:val="00E212EF"/>
    <w:rsid w:val="00E2177C"/>
    <w:rsid w:val="00E21A1C"/>
    <w:rsid w:val="00E21C83"/>
    <w:rsid w:val="00E21EB1"/>
    <w:rsid w:val="00E22AAF"/>
    <w:rsid w:val="00E22B22"/>
    <w:rsid w:val="00E22E92"/>
    <w:rsid w:val="00E2359F"/>
    <w:rsid w:val="00E23C93"/>
    <w:rsid w:val="00E2429C"/>
    <w:rsid w:val="00E2478B"/>
    <w:rsid w:val="00E24ADA"/>
    <w:rsid w:val="00E24C30"/>
    <w:rsid w:val="00E24EA7"/>
    <w:rsid w:val="00E24FE3"/>
    <w:rsid w:val="00E251E2"/>
    <w:rsid w:val="00E25624"/>
    <w:rsid w:val="00E256F6"/>
    <w:rsid w:val="00E260CE"/>
    <w:rsid w:val="00E267C0"/>
    <w:rsid w:val="00E271C8"/>
    <w:rsid w:val="00E27CC2"/>
    <w:rsid w:val="00E30340"/>
    <w:rsid w:val="00E30B20"/>
    <w:rsid w:val="00E30C8D"/>
    <w:rsid w:val="00E30D31"/>
    <w:rsid w:val="00E30DF0"/>
    <w:rsid w:val="00E31BC2"/>
    <w:rsid w:val="00E320C1"/>
    <w:rsid w:val="00E32F59"/>
    <w:rsid w:val="00E33406"/>
    <w:rsid w:val="00E33677"/>
    <w:rsid w:val="00E33A48"/>
    <w:rsid w:val="00E33AA5"/>
    <w:rsid w:val="00E33BC8"/>
    <w:rsid w:val="00E33D20"/>
    <w:rsid w:val="00E3407E"/>
    <w:rsid w:val="00E34508"/>
    <w:rsid w:val="00E34BB8"/>
    <w:rsid w:val="00E34DDB"/>
    <w:rsid w:val="00E35050"/>
    <w:rsid w:val="00E35FFE"/>
    <w:rsid w:val="00E36E78"/>
    <w:rsid w:val="00E374A3"/>
    <w:rsid w:val="00E37F15"/>
    <w:rsid w:val="00E40354"/>
    <w:rsid w:val="00E40537"/>
    <w:rsid w:val="00E41D9A"/>
    <w:rsid w:val="00E422E3"/>
    <w:rsid w:val="00E4259F"/>
    <w:rsid w:val="00E42D79"/>
    <w:rsid w:val="00E42F06"/>
    <w:rsid w:val="00E434CF"/>
    <w:rsid w:val="00E4389D"/>
    <w:rsid w:val="00E43AE2"/>
    <w:rsid w:val="00E43DE3"/>
    <w:rsid w:val="00E440CD"/>
    <w:rsid w:val="00E44181"/>
    <w:rsid w:val="00E44246"/>
    <w:rsid w:val="00E447C8"/>
    <w:rsid w:val="00E44803"/>
    <w:rsid w:val="00E44B1D"/>
    <w:rsid w:val="00E44B60"/>
    <w:rsid w:val="00E4553E"/>
    <w:rsid w:val="00E45CE3"/>
    <w:rsid w:val="00E46095"/>
    <w:rsid w:val="00E4692E"/>
    <w:rsid w:val="00E46D9A"/>
    <w:rsid w:val="00E47572"/>
    <w:rsid w:val="00E5017E"/>
    <w:rsid w:val="00E501C7"/>
    <w:rsid w:val="00E50215"/>
    <w:rsid w:val="00E509D1"/>
    <w:rsid w:val="00E50B70"/>
    <w:rsid w:val="00E50FD1"/>
    <w:rsid w:val="00E511A8"/>
    <w:rsid w:val="00E517CD"/>
    <w:rsid w:val="00E51E39"/>
    <w:rsid w:val="00E5237F"/>
    <w:rsid w:val="00E5245E"/>
    <w:rsid w:val="00E524C4"/>
    <w:rsid w:val="00E52605"/>
    <w:rsid w:val="00E5299C"/>
    <w:rsid w:val="00E529D4"/>
    <w:rsid w:val="00E52A16"/>
    <w:rsid w:val="00E52D1B"/>
    <w:rsid w:val="00E53319"/>
    <w:rsid w:val="00E537B6"/>
    <w:rsid w:val="00E5392F"/>
    <w:rsid w:val="00E53B70"/>
    <w:rsid w:val="00E53F9E"/>
    <w:rsid w:val="00E547BD"/>
    <w:rsid w:val="00E5492D"/>
    <w:rsid w:val="00E54B55"/>
    <w:rsid w:val="00E552A9"/>
    <w:rsid w:val="00E55621"/>
    <w:rsid w:val="00E55E3A"/>
    <w:rsid w:val="00E565FF"/>
    <w:rsid w:val="00E56EDB"/>
    <w:rsid w:val="00E570F2"/>
    <w:rsid w:val="00E57561"/>
    <w:rsid w:val="00E600D6"/>
    <w:rsid w:val="00E608AB"/>
    <w:rsid w:val="00E60AAB"/>
    <w:rsid w:val="00E60DF1"/>
    <w:rsid w:val="00E61219"/>
    <w:rsid w:val="00E61CF8"/>
    <w:rsid w:val="00E620ED"/>
    <w:rsid w:val="00E62733"/>
    <w:rsid w:val="00E6287A"/>
    <w:rsid w:val="00E629CB"/>
    <w:rsid w:val="00E6344D"/>
    <w:rsid w:val="00E6345F"/>
    <w:rsid w:val="00E63509"/>
    <w:rsid w:val="00E63BFB"/>
    <w:rsid w:val="00E63C75"/>
    <w:rsid w:val="00E63FE8"/>
    <w:rsid w:val="00E641EF"/>
    <w:rsid w:val="00E64295"/>
    <w:rsid w:val="00E64447"/>
    <w:rsid w:val="00E645D7"/>
    <w:rsid w:val="00E64C77"/>
    <w:rsid w:val="00E65130"/>
    <w:rsid w:val="00E65388"/>
    <w:rsid w:val="00E65906"/>
    <w:rsid w:val="00E65E3A"/>
    <w:rsid w:val="00E66571"/>
    <w:rsid w:val="00E66594"/>
    <w:rsid w:val="00E6663B"/>
    <w:rsid w:val="00E666EF"/>
    <w:rsid w:val="00E6673C"/>
    <w:rsid w:val="00E667C3"/>
    <w:rsid w:val="00E66932"/>
    <w:rsid w:val="00E6698E"/>
    <w:rsid w:val="00E66A76"/>
    <w:rsid w:val="00E66AD4"/>
    <w:rsid w:val="00E66C69"/>
    <w:rsid w:val="00E66C96"/>
    <w:rsid w:val="00E67833"/>
    <w:rsid w:val="00E67E84"/>
    <w:rsid w:val="00E7025E"/>
    <w:rsid w:val="00E704F0"/>
    <w:rsid w:val="00E70AB6"/>
    <w:rsid w:val="00E70D04"/>
    <w:rsid w:val="00E71450"/>
    <w:rsid w:val="00E715C3"/>
    <w:rsid w:val="00E71B74"/>
    <w:rsid w:val="00E72396"/>
    <w:rsid w:val="00E72755"/>
    <w:rsid w:val="00E7327E"/>
    <w:rsid w:val="00E74484"/>
    <w:rsid w:val="00E7456C"/>
    <w:rsid w:val="00E747D2"/>
    <w:rsid w:val="00E74ACB"/>
    <w:rsid w:val="00E74FC1"/>
    <w:rsid w:val="00E75719"/>
    <w:rsid w:val="00E75A50"/>
    <w:rsid w:val="00E75D21"/>
    <w:rsid w:val="00E75F11"/>
    <w:rsid w:val="00E760FC"/>
    <w:rsid w:val="00E76512"/>
    <w:rsid w:val="00E768B6"/>
    <w:rsid w:val="00E76C71"/>
    <w:rsid w:val="00E76D49"/>
    <w:rsid w:val="00E77B85"/>
    <w:rsid w:val="00E77D45"/>
    <w:rsid w:val="00E77D8B"/>
    <w:rsid w:val="00E77F56"/>
    <w:rsid w:val="00E80075"/>
    <w:rsid w:val="00E81929"/>
    <w:rsid w:val="00E81FDD"/>
    <w:rsid w:val="00E825A1"/>
    <w:rsid w:val="00E82668"/>
    <w:rsid w:val="00E82733"/>
    <w:rsid w:val="00E82C48"/>
    <w:rsid w:val="00E8301E"/>
    <w:rsid w:val="00E830B1"/>
    <w:rsid w:val="00E83381"/>
    <w:rsid w:val="00E83A96"/>
    <w:rsid w:val="00E83FC4"/>
    <w:rsid w:val="00E843F1"/>
    <w:rsid w:val="00E84498"/>
    <w:rsid w:val="00E8458D"/>
    <w:rsid w:val="00E84DE7"/>
    <w:rsid w:val="00E85025"/>
    <w:rsid w:val="00E85618"/>
    <w:rsid w:val="00E85B7D"/>
    <w:rsid w:val="00E85E5E"/>
    <w:rsid w:val="00E86F95"/>
    <w:rsid w:val="00E870C8"/>
    <w:rsid w:val="00E87397"/>
    <w:rsid w:val="00E878F4"/>
    <w:rsid w:val="00E87D57"/>
    <w:rsid w:val="00E90090"/>
    <w:rsid w:val="00E90355"/>
    <w:rsid w:val="00E90859"/>
    <w:rsid w:val="00E90DCE"/>
    <w:rsid w:val="00E9121B"/>
    <w:rsid w:val="00E91905"/>
    <w:rsid w:val="00E91A92"/>
    <w:rsid w:val="00E91B0B"/>
    <w:rsid w:val="00E91DAC"/>
    <w:rsid w:val="00E9205C"/>
    <w:rsid w:val="00E923CA"/>
    <w:rsid w:val="00E928F8"/>
    <w:rsid w:val="00E92EC5"/>
    <w:rsid w:val="00E93C3E"/>
    <w:rsid w:val="00E94B48"/>
    <w:rsid w:val="00E94D32"/>
    <w:rsid w:val="00E95429"/>
    <w:rsid w:val="00E9585B"/>
    <w:rsid w:val="00E95E59"/>
    <w:rsid w:val="00E96571"/>
    <w:rsid w:val="00E96614"/>
    <w:rsid w:val="00E96852"/>
    <w:rsid w:val="00E96A61"/>
    <w:rsid w:val="00E96B9F"/>
    <w:rsid w:val="00E97DBC"/>
    <w:rsid w:val="00EA04F9"/>
    <w:rsid w:val="00EA0755"/>
    <w:rsid w:val="00EA084D"/>
    <w:rsid w:val="00EA0989"/>
    <w:rsid w:val="00EA0AE2"/>
    <w:rsid w:val="00EA0C3A"/>
    <w:rsid w:val="00EA0E16"/>
    <w:rsid w:val="00EA17B4"/>
    <w:rsid w:val="00EA19F1"/>
    <w:rsid w:val="00EA1BF5"/>
    <w:rsid w:val="00EA1ECA"/>
    <w:rsid w:val="00EA261F"/>
    <w:rsid w:val="00EA292F"/>
    <w:rsid w:val="00EA2B59"/>
    <w:rsid w:val="00EA2DB7"/>
    <w:rsid w:val="00EA34EB"/>
    <w:rsid w:val="00EA355C"/>
    <w:rsid w:val="00EA39E5"/>
    <w:rsid w:val="00EA3CDD"/>
    <w:rsid w:val="00EA42EA"/>
    <w:rsid w:val="00EA46E7"/>
    <w:rsid w:val="00EA4AF6"/>
    <w:rsid w:val="00EA4DDD"/>
    <w:rsid w:val="00EA53ED"/>
    <w:rsid w:val="00EA6728"/>
    <w:rsid w:val="00EB0310"/>
    <w:rsid w:val="00EB0DF7"/>
    <w:rsid w:val="00EB1386"/>
    <w:rsid w:val="00EB13D6"/>
    <w:rsid w:val="00EB1D91"/>
    <w:rsid w:val="00EB2C9F"/>
    <w:rsid w:val="00EB2EB3"/>
    <w:rsid w:val="00EB30D4"/>
    <w:rsid w:val="00EB3106"/>
    <w:rsid w:val="00EB3160"/>
    <w:rsid w:val="00EB32BF"/>
    <w:rsid w:val="00EB34FD"/>
    <w:rsid w:val="00EB3588"/>
    <w:rsid w:val="00EB361A"/>
    <w:rsid w:val="00EB47A1"/>
    <w:rsid w:val="00EB4F9D"/>
    <w:rsid w:val="00EB56CD"/>
    <w:rsid w:val="00EB56DF"/>
    <w:rsid w:val="00EB5CF3"/>
    <w:rsid w:val="00EB5EB0"/>
    <w:rsid w:val="00EB709D"/>
    <w:rsid w:val="00EB7323"/>
    <w:rsid w:val="00EB7723"/>
    <w:rsid w:val="00EB7B05"/>
    <w:rsid w:val="00EB7BF8"/>
    <w:rsid w:val="00EB7D30"/>
    <w:rsid w:val="00EB7D4E"/>
    <w:rsid w:val="00EC145D"/>
    <w:rsid w:val="00EC160C"/>
    <w:rsid w:val="00EC1C17"/>
    <w:rsid w:val="00EC1D32"/>
    <w:rsid w:val="00EC1E58"/>
    <w:rsid w:val="00EC2603"/>
    <w:rsid w:val="00EC2830"/>
    <w:rsid w:val="00EC2B92"/>
    <w:rsid w:val="00EC2C08"/>
    <w:rsid w:val="00EC2FD5"/>
    <w:rsid w:val="00EC443F"/>
    <w:rsid w:val="00EC46F0"/>
    <w:rsid w:val="00EC52A2"/>
    <w:rsid w:val="00EC5A46"/>
    <w:rsid w:val="00EC5CB2"/>
    <w:rsid w:val="00EC5FAD"/>
    <w:rsid w:val="00EC63E2"/>
    <w:rsid w:val="00EC73AA"/>
    <w:rsid w:val="00EC742D"/>
    <w:rsid w:val="00EC7433"/>
    <w:rsid w:val="00EC7A2B"/>
    <w:rsid w:val="00EC7BBE"/>
    <w:rsid w:val="00ED0087"/>
    <w:rsid w:val="00ED0E9D"/>
    <w:rsid w:val="00ED1F3E"/>
    <w:rsid w:val="00ED2072"/>
    <w:rsid w:val="00ED24C1"/>
    <w:rsid w:val="00ED2694"/>
    <w:rsid w:val="00ED270F"/>
    <w:rsid w:val="00ED2E21"/>
    <w:rsid w:val="00ED2E7A"/>
    <w:rsid w:val="00ED3072"/>
    <w:rsid w:val="00ED3957"/>
    <w:rsid w:val="00ED3D37"/>
    <w:rsid w:val="00ED4302"/>
    <w:rsid w:val="00ED4C97"/>
    <w:rsid w:val="00ED4CD1"/>
    <w:rsid w:val="00ED510D"/>
    <w:rsid w:val="00ED571A"/>
    <w:rsid w:val="00ED574E"/>
    <w:rsid w:val="00ED5A79"/>
    <w:rsid w:val="00ED6274"/>
    <w:rsid w:val="00ED634F"/>
    <w:rsid w:val="00ED65DE"/>
    <w:rsid w:val="00ED67A1"/>
    <w:rsid w:val="00ED6F8D"/>
    <w:rsid w:val="00ED6FEF"/>
    <w:rsid w:val="00ED7B8C"/>
    <w:rsid w:val="00ED7FF4"/>
    <w:rsid w:val="00EE0169"/>
    <w:rsid w:val="00EE0248"/>
    <w:rsid w:val="00EE0E2C"/>
    <w:rsid w:val="00EE1190"/>
    <w:rsid w:val="00EE11CB"/>
    <w:rsid w:val="00EE1588"/>
    <w:rsid w:val="00EE19D7"/>
    <w:rsid w:val="00EE1AFB"/>
    <w:rsid w:val="00EE1BA8"/>
    <w:rsid w:val="00EE1E98"/>
    <w:rsid w:val="00EE219A"/>
    <w:rsid w:val="00EE2277"/>
    <w:rsid w:val="00EE2FCC"/>
    <w:rsid w:val="00EE3640"/>
    <w:rsid w:val="00EE397B"/>
    <w:rsid w:val="00EE3CE1"/>
    <w:rsid w:val="00EE41DF"/>
    <w:rsid w:val="00EE4424"/>
    <w:rsid w:val="00EE4483"/>
    <w:rsid w:val="00EE5261"/>
    <w:rsid w:val="00EE5822"/>
    <w:rsid w:val="00EE5936"/>
    <w:rsid w:val="00EE67DB"/>
    <w:rsid w:val="00EE7551"/>
    <w:rsid w:val="00EE77D7"/>
    <w:rsid w:val="00EE79F0"/>
    <w:rsid w:val="00EE7BBF"/>
    <w:rsid w:val="00EF109B"/>
    <w:rsid w:val="00EF1289"/>
    <w:rsid w:val="00EF1594"/>
    <w:rsid w:val="00EF1C1C"/>
    <w:rsid w:val="00EF1D3C"/>
    <w:rsid w:val="00EF1ED5"/>
    <w:rsid w:val="00EF22B3"/>
    <w:rsid w:val="00EF25F8"/>
    <w:rsid w:val="00EF2976"/>
    <w:rsid w:val="00EF2B8C"/>
    <w:rsid w:val="00EF2F31"/>
    <w:rsid w:val="00EF3546"/>
    <w:rsid w:val="00EF3A61"/>
    <w:rsid w:val="00EF3AF2"/>
    <w:rsid w:val="00EF429D"/>
    <w:rsid w:val="00EF469A"/>
    <w:rsid w:val="00EF4C8E"/>
    <w:rsid w:val="00EF4E7C"/>
    <w:rsid w:val="00EF4F11"/>
    <w:rsid w:val="00EF508B"/>
    <w:rsid w:val="00EF5352"/>
    <w:rsid w:val="00EF5B7F"/>
    <w:rsid w:val="00EF6034"/>
    <w:rsid w:val="00EF614B"/>
    <w:rsid w:val="00EF670F"/>
    <w:rsid w:val="00EF6ACB"/>
    <w:rsid w:val="00EF6B44"/>
    <w:rsid w:val="00EF6E07"/>
    <w:rsid w:val="00EF75F0"/>
    <w:rsid w:val="00EF7FDB"/>
    <w:rsid w:val="00F010F4"/>
    <w:rsid w:val="00F01109"/>
    <w:rsid w:val="00F014D9"/>
    <w:rsid w:val="00F01B45"/>
    <w:rsid w:val="00F02199"/>
    <w:rsid w:val="00F023CE"/>
    <w:rsid w:val="00F026BA"/>
    <w:rsid w:val="00F028B3"/>
    <w:rsid w:val="00F033D8"/>
    <w:rsid w:val="00F03B69"/>
    <w:rsid w:val="00F03BC7"/>
    <w:rsid w:val="00F0409B"/>
    <w:rsid w:val="00F0461D"/>
    <w:rsid w:val="00F04B85"/>
    <w:rsid w:val="00F04C59"/>
    <w:rsid w:val="00F04F4E"/>
    <w:rsid w:val="00F05B70"/>
    <w:rsid w:val="00F05C31"/>
    <w:rsid w:val="00F06127"/>
    <w:rsid w:val="00F0631F"/>
    <w:rsid w:val="00F0652C"/>
    <w:rsid w:val="00F066CE"/>
    <w:rsid w:val="00F07203"/>
    <w:rsid w:val="00F07978"/>
    <w:rsid w:val="00F07A50"/>
    <w:rsid w:val="00F07D92"/>
    <w:rsid w:val="00F10210"/>
    <w:rsid w:val="00F10903"/>
    <w:rsid w:val="00F10B2C"/>
    <w:rsid w:val="00F1104F"/>
    <w:rsid w:val="00F113DA"/>
    <w:rsid w:val="00F11408"/>
    <w:rsid w:val="00F11C14"/>
    <w:rsid w:val="00F129A7"/>
    <w:rsid w:val="00F1303C"/>
    <w:rsid w:val="00F13309"/>
    <w:rsid w:val="00F13500"/>
    <w:rsid w:val="00F13963"/>
    <w:rsid w:val="00F14170"/>
    <w:rsid w:val="00F145D1"/>
    <w:rsid w:val="00F14EAB"/>
    <w:rsid w:val="00F14FF6"/>
    <w:rsid w:val="00F15648"/>
    <w:rsid w:val="00F15701"/>
    <w:rsid w:val="00F15C6E"/>
    <w:rsid w:val="00F16EBF"/>
    <w:rsid w:val="00F17663"/>
    <w:rsid w:val="00F176C1"/>
    <w:rsid w:val="00F17832"/>
    <w:rsid w:val="00F20452"/>
    <w:rsid w:val="00F22125"/>
    <w:rsid w:val="00F229D4"/>
    <w:rsid w:val="00F22E2C"/>
    <w:rsid w:val="00F22FA4"/>
    <w:rsid w:val="00F23184"/>
    <w:rsid w:val="00F23952"/>
    <w:rsid w:val="00F23B1D"/>
    <w:rsid w:val="00F23EE6"/>
    <w:rsid w:val="00F2418E"/>
    <w:rsid w:val="00F248EC"/>
    <w:rsid w:val="00F2493F"/>
    <w:rsid w:val="00F24DBF"/>
    <w:rsid w:val="00F25307"/>
    <w:rsid w:val="00F2594E"/>
    <w:rsid w:val="00F25B58"/>
    <w:rsid w:val="00F25E81"/>
    <w:rsid w:val="00F25F15"/>
    <w:rsid w:val="00F26784"/>
    <w:rsid w:val="00F26AB7"/>
    <w:rsid w:val="00F27CE6"/>
    <w:rsid w:val="00F27DDA"/>
    <w:rsid w:val="00F3057D"/>
    <w:rsid w:val="00F30668"/>
    <w:rsid w:val="00F31620"/>
    <w:rsid w:val="00F31771"/>
    <w:rsid w:val="00F319FC"/>
    <w:rsid w:val="00F31D8A"/>
    <w:rsid w:val="00F3259E"/>
    <w:rsid w:val="00F3271E"/>
    <w:rsid w:val="00F33D27"/>
    <w:rsid w:val="00F33FCE"/>
    <w:rsid w:val="00F346C6"/>
    <w:rsid w:val="00F349E1"/>
    <w:rsid w:val="00F35008"/>
    <w:rsid w:val="00F35F58"/>
    <w:rsid w:val="00F360ED"/>
    <w:rsid w:val="00F36A85"/>
    <w:rsid w:val="00F3778D"/>
    <w:rsid w:val="00F37DC8"/>
    <w:rsid w:val="00F40140"/>
    <w:rsid w:val="00F40146"/>
    <w:rsid w:val="00F402A7"/>
    <w:rsid w:val="00F40E92"/>
    <w:rsid w:val="00F41581"/>
    <w:rsid w:val="00F418A0"/>
    <w:rsid w:val="00F41A41"/>
    <w:rsid w:val="00F41F7B"/>
    <w:rsid w:val="00F42641"/>
    <w:rsid w:val="00F42C38"/>
    <w:rsid w:val="00F42C6B"/>
    <w:rsid w:val="00F4345E"/>
    <w:rsid w:val="00F43698"/>
    <w:rsid w:val="00F439B3"/>
    <w:rsid w:val="00F43DEB"/>
    <w:rsid w:val="00F43FBB"/>
    <w:rsid w:val="00F44180"/>
    <w:rsid w:val="00F44B2B"/>
    <w:rsid w:val="00F44DAA"/>
    <w:rsid w:val="00F44F80"/>
    <w:rsid w:val="00F45353"/>
    <w:rsid w:val="00F45AA8"/>
    <w:rsid w:val="00F4693E"/>
    <w:rsid w:val="00F46AA7"/>
    <w:rsid w:val="00F46F2E"/>
    <w:rsid w:val="00F46FE2"/>
    <w:rsid w:val="00F47818"/>
    <w:rsid w:val="00F47920"/>
    <w:rsid w:val="00F502DD"/>
    <w:rsid w:val="00F50676"/>
    <w:rsid w:val="00F50C09"/>
    <w:rsid w:val="00F50CE6"/>
    <w:rsid w:val="00F511D5"/>
    <w:rsid w:val="00F5154A"/>
    <w:rsid w:val="00F515A6"/>
    <w:rsid w:val="00F5192A"/>
    <w:rsid w:val="00F51F33"/>
    <w:rsid w:val="00F52A1B"/>
    <w:rsid w:val="00F52E1B"/>
    <w:rsid w:val="00F53130"/>
    <w:rsid w:val="00F53501"/>
    <w:rsid w:val="00F539F0"/>
    <w:rsid w:val="00F53EF6"/>
    <w:rsid w:val="00F545DA"/>
    <w:rsid w:val="00F54E5C"/>
    <w:rsid w:val="00F55C56"/>
    <w:rsid w:val="00F55F38"/>
    <w:rsid w:val="00F569FC"/>
    <w:rsid w:val="00F575AE"/>
    <w:rsid w:val="00F575E4"/>
    <w:rsid w:val="00F57E47"/>
    <w:rsid w:val="00F60E6C"/>
    <w:rsid w:val="00F61796"/>
    <w:rsid w:val="00F61C54"/>
    <w:rsid w:val="00F62462"/>
    <w:rsid w:val="00F63347"/>
    <w:rsid w:val="00F6341B"/>
    <w:rsid w:val="00F63775"/>
    <w:rsid w:val="00F638FC"/>
    <w:rsid w:val="00F63C59"/>
    <w:rsid w:val="00F63E6E"/>
    <w:rsid w:val="00F64065"/>
    <w:rsid w:val="00F64327"/>
    <w:rsid w:val="00F64B11"/>
    <w:rsid w:val="00F64CA4"/>
    <w:rsid w:val="00F64D15"/>
    <w:rsid w:val="00F64E58"/>
    <w:rsid w:val="00F650BA"/>
    <w:rsid w:val="00F650C3"/>
    <w:rsid w:val="00F652B3"/>
    <w:rsid w:val="00F6566D"/>
    <w:rsid w:val="00F65934"/>
    <w:rsid w:val="00F65BC2"/>
    <w:rsid w:val="00F65BF2"/>
    <w:rsid w:val="00F65D7B"/>
    <w:rsid w:val="00F65D85"/>
    <w:rsid w:val="00F66428"/>
    <w:rsid w:val="00F667C5"/>
    <w:rsid w:val="00F66DEA"/>
    <w:rsid w:val="00F66E9F"/>
    <w:rsid w:val="00F671E0"/>
    <w:rsid w:val="00F67595"/>
    <w:rsid w:val="00F67B84"/>
    <w:rsid w:val="00F67E74"/>
    <w:rsid w:val="00F709D7"/>
    <w:rsid w:val="00F714E7"/>
    <w:rsid w:val="00F717C0"/>
    <w:rsid w:val="00F71DE9"/>
    <w:rsid w:val="00F72036"/>
    <w:rsid w:val="00F7203C"/>
    <w:rsid w:val="00F720F8"/>
    <w:rsid w:val="00F724DE"/>
    <w:rsid w:val="00F72D28"/>
    <w:rsid w:val="00F72DDF"/>
    <w:rsid w:val="00F72E2F"/>
    <w:rsid w:val="00F730E4"/>
    <w:rsid w:val="00F73317"/>
    <w:rsid w:val="00F73D0E"/>
    <w:rsid w:val="00F74117"/>
    <w:rsid w:val="00F74851"/>
    <w:rsid w:val="00F74A33"/>
    <w:rsid w:val="00F74C1A"/>
    <w:rsid w:val="00F75453"/>
    <w:rsid w:val="00F754FC"/>
    <w:rsid w:val="00F759B5"/>
    <w:rsid w:val="00F768CD"/>
    <w:rsid w:val="00F77EBC"/>
    <w:rsid w:val="00F8091E"/>
    <w:rsid w:val="00F80C36"/>
    <w:rsid w:val="00F80D8A"/>
    <w:rsid w:val="00F80E5D"/>
    <w:rsid w:val="00F8145A"/>
    <w:rsid w:val="00F8154A"/>
    <w:rsid w:val="00F81694"/>
    <w:rsid w:val="00F81989"/>
    <w:rsid w:val="00F82893"/>
    <w:rsid w:val="00F8303F"/>
    <w:rsid w:val="00F83D01"/>
    <w:rsid w:val="00F84027"/>
    <w:rsid w:val="00F8414F"/>
    <w:rsid w:val="00F849E7"/>
    <w:rsid w:val="00F84D19"/>
    <w:rsid w:val="00F84D3B"/>
    <w:rsid w:val="00F84D6F"/>
    <w:rsid w:val="00F85686"/>
    <w:rsid w:val="00F8615C"/>
    <w:rsid w:val="00F8639E"/>
    <w:rsid w:val="00F87049"/>
    <w:rsid w:val="00F87545"/>
    <w:rsid w:val="00F875F5"/>
    <w:rsid w:val="00F87AFE"/>
    <w:rsid w:val="00F9080C"/>
    <w:rsid w:val="00F90860"/>
    <w:rsid w:val="00F90BDD"/>
    <w:rsid w:val="00F90E6B"/>
    <w:rsid w:val="00F910A1"/>
    <w:rsid w:val="00F913B6"/>
    <w:rsid w:val="00F91D7E"/>
    <w:rsid w:val="00F91E72"/>
    <w:rsid w:val="00F922E9"/>
    <w:rsid w:val="00F9237E"/>
    <w:rsid w:val="00F92471"/>
    <w:rsid w:val="00F92604"/>
    <w:rsid w:val="00F93913"/>
    <w:rsid w:val="00F93F5F"/>
    <w:rsid w:val="00F94107"/>
    <w:rsid w:val="00F941D8"/>
    <w:rsid w:val="00F943EE"/>
    <w:rsid w:val="00F946FE"/>
    <w:rsid w:val="00F9474E"/>
    <w:rsid w:val="00F94816"/>
    <w:rsid w:val="00F94AAA"/>
    <w:rsid w:val="00F94CAD"/>
    <w:rsid w:val="00F954DC"/>
    <w:rsid w:val="00F955D2"/>
    <w:rsid w:val="00F95D3F"/>
    <w:rsid w:val="00F95E46"/>
    <w:rsid w:val="00F96372"/>
    <w:rsid w:val="00F9688D"/>
    <w:rsid w:val="00F969E5"/>
    <w:rsid w:val="00F96B6E"/>
    <w:rsid w:val="00F97AEE"/>
    <w:rsid w:val="00F97E54"/>
    <w:rsid w:val="00FA0462"/>
    <w:rsid w:val="00FA04CA"/>
    <w:rsid w:val="00FA09A8"/>
    <w:rsid w:val="00FA0B03"/>
    <w:rsid w:val="00FA1C95"/>
    <w:rsid w:val="00FA1DFA"/>
    <w:rsid w:val="00FA1E7C"/>
    <w:rsid w:val="00FA22E9"/>
    <w:rsid w:val="00FA2541"/>
    <w:rsid w:val="00FA2FDD"/>
    <w:rsid w:val="00FA364F"/>
    <w:rsid w:val="00FA4212"/>
    <w:rsid w:val="00FA4E7C"/>
    <w:rsid w:val="00FA58AC"/>
    <w:rsid w:val="00FA5AE4"/>
    <w:rsid w:val="00FA6BB0"/>
    <w:rsid w:val="00FA6C1D"/>
    <w:rsid w:val="00FA7366"/>
    <w:rsid w:val="00FA7D6B"/>
    <w:rsid w:val="00FB0B93"/>
    <w:rsid w:val="00FB0E76"/>
    <w:rsid w:val="00FB119B"/>
    <w:rsid w:val="00FB1337"/>
    <w:rsid w:val="00FB1650"/>
    <w:rsid w:val="00FB1B33"/>
    <w:rsid w:val="00FB1C79"/>
    <w:rsid w:val="00FB1DFB"/>
    <w:rsid w:val="00FB2B33"/>
    <w:rsid w:val="00FB2C89"/>
    <w:rsid w:val="00FB35B7"/>
    <w:rsid w:val="00FB397C"/>
    <w:rsid w:val="00FB4079"/>
    <w:rsid w:val="00FB4476"/>
    <w:rsid w:val="00FB44D9"/>
    <w:rsid w:val="00FB4C08"/>
    <w:rsid w:val="00FB53D6"/>
    <w:rsid w:val="00FB5546"/>
    <w:rsid w:val="00FB5AC3"/>
    <w:rsid w:val="00FB5B46"/>
    <w:rsid w:val="00FB6618"/>
    <w:rsid w:val="00FB6B53"/>
    <w:rsid w:val="00FB6D08"/>
    <w:rsid w:val="00FB6E08"/>
    <w:rsid w:val="00FB717F"/>
    <w:rsid w:val="00FB740A"/>
    <w:rsid w:val="00FB7A51"/>
    <w:rsid w:val="00FB7AE5"/>
    <w:rsid w:val="00FB7E83"/>
    <w:rsid w:val="00FC01F7"/>
    <w:rsid w:val="00FC0892"/>
    <w:rsid w:val="00FC08CF"/>
    <w:rsid w:val="00FC0A8C"/>
    <w:rsid w:val="00FC0C1B"/>
    <w:rsid w:val="00FC0E2F"/>
    <w:rsid w:val="00FC1034"/>
    <w:rsid w:val="00FC1987"/>
    <w:rsid w:val="00FC1ACD"/>
    <w:rsid w:val="00FC1C91"/>
    <w:rsid w:val="00FC1CF1"/>
    <w:rsid w:val="00FC1D8C"/>
    <w:rsid w:val="00FC2783"/>
    <w:rsid w:val="00FC2784"/>
    <w:rsid w:val="00FC2798"/>
    <w:rsid w:val="00FC2ED0"/>
    <w:rsid w:val="00FC3B6E"/>
    <w:rsid w:val="00FC40D5"/>
    <w:rsid w:val="00FC4D3A"/>
    <w:rsid w:val="00FC5494"/>
    <w:rsid w:val="00FC5693"/>
    <w:rsid w:val="00FC57DC"/>
    <w:rsid w:val="00FC5CFE"/>
    <w:rsid w:val="00FC5DD8"/>
    <w:rsid w:val="00FC648A"/>
    <w:rsid w:val="00FC6A6C"/>
    <w:rsid w:val="00FC6D49"/>
    <w:rsid w:val="00FC6F53"/>
    <w:rsid w:val="00FC7DFA"/>
    <w:rsid w:val="00FD0CA3"/>
    <w:rsid w:val="00FD0E75"/>
    <w:rsid w:val="00FD1A39"/>
    <w:rsid w:val="00FD1AE9"/>
    <w:rsid w:val="00FD1B87"/>
    <w:rsid w:val="00FD1E07"/>
    <w:rsid w:val="00FD230C"/>
    <w:rsid w:val="00FD26CE"/>
    <w:rsid w:val="00FD2A3D"/>
    <w:rsid w:val="00FD2D77"/>
    <w:rsid w:val="00FD30B3"/>
    <w:rsid w:val="00FD396F"/>
    <w:rsid w:val="00FD40CC"/>
    <w:rsid w:val="00FD4C94"/>
    <w:rsid w:val="00FD5860"/>
    <w:rsid w:val="00FD594F"/>
    <w:rsid w:val="00FD5AAE"/>
    <w:rsid w:val="00FD6429"/>
    <w:rsid w:val="00FD6BBD"/>
    <w:rsid w:val="00FD6DC4"/>
    <w:rsid w:val="00FD6E87"/>
    <w:rsid w:val="00FD70A3"/>
    <w:rsid w:val="00FD7C89"/>
    <w:rsid w:val="00FD7E87"/>
    <w:rsid w:val="00FE017E"/>
    <w:rsid w:val="00FE0A3C"/>
    <w:rsid w:val="00FE1080"/>
    <w:rsid w:val="00FE112B"/>
    <w:rsid w:val="00FE175A"/>
    <w:rsid w:val="00FE1AF0"/>
    <w:rsid w:val="00FE1B65"/>
    <w:rsid w:val="00FE1BFE"/>
    <w:rsid w:val="00FE1FDC"/>
    <w:rsid w:val="00FE21CA"/>
    <w:rsid w:val="00FE21EE"/>
    <w:rsid w:val="00FE26AC"/>
    <w:rsid w:val="00FE279F"/>
    <w:rsid w:val="00FE2CC4"/>
    <w:rsid w:val="00FE3097"/>
    <w:rsid w:val="00FE352D"/>
    <w:rsid w:val="00FE3621"/>
    <w:rsid w:val="00FE3D20"/>
    <w:rsid w:val="00FE40EB"/>
    <w:rsid w:val="00FE4517"/>
    <w:rsid w:val="00FE4695"/>
    <w:rsid w:val="00FE4B24"/>
    <w:rsid w:val="00FE4D02"/>
    <w:rsid w:val="00FE4DD2"/>
    <w:rsid w:val="00FE51C9"/>
    <w:rsid w:val="00FE54CF"/>
    <w:rsid w:val="00FE5A52"/>
    <w:rsid w:val="00FE64A4"/>
    <w:rsid w:val="00FE6B4B"/>
    <w:rsid w:val="00FE6B81"/>
    <w:rsid w:val="00FE6C4E"/>
    <w:rsid w:val="00FE7B2F"/>
    <w:rsid w:val="00FE7D62"/>
    <w:rsid w:val="00FE7FC2"/>
    <w:rsid w:val="00FF0578"/>
    <w:rsid w:val="00FF0584"/>
    <w:rsid w:val="00FF06D2"/>
    <w:rsid w:val="00FF0BA4"/>
    <w:rsid w:val="00FF0BDA"/>
    <w:rsid w:val="00FF0C86"/>
    <w:rsid w:val="00FF1505"/>
    <w:rsid w:val="00FF1814"/>
    <w:rsid w:val="00FF1AAD"/>
    <w:rsid w:val="00FF220A"/>
    <w:rsid w:val="00FF23CE"/>
    <w:rsid w:val="00FF2669"/>
    <w:rsid w:val="00FF2A0D"/>
    <w:rsid w:val="00FF2E5E"/>
    <w:rsid w:val="00FF2E81"/>
    <w:rsid w:val="00FF2FD8"/>
    <w:rsid w:val="00FF3247"/>
    <w:rsid w:val="00FF3819"/>
    <w:rsid w:val="00FF3E5A"/>
    <w:rsid w:val="00FF40DD"/>
    <w:rsid w:val="00FF5136"/>
    <w:rsid w:val="00FF5790"/>
    <w:rsid w:val="00FF5BFE"/>
    <w:rsid w:val="00FF5DB5"/>
    <w:rsid w:val="00FF6471"/>
    <w:rsid w:val="00FF64A9"/>
    <w:rsid w:val="00FF6E01"/>
    <w:rsid w:val="00FF7170"/>
    <w:rsid w:val="00FF7F58"/>
    <w:rsid w:val="03773E23"/>
    <w:rsid w:val="06C7D046"/>
    <w:rsid w:val="08A9DCEA"/>
    <w:rsid w:val="0D64D4AE"/>
    <w:rsid w:val="0F355B57"/>
    <w:rsid w:val="14979631"/>
    <w:rsid w:val="15078C29"/>
    <w:rsid w:val="15ADD131"/>
    <w:rsid w:val="17F37FC0"/>
    <w:rsid w:val="18D412AB"/>
    <w:rsid w:val="1C10D032"/>
    <w:rsid w:val="1D8F8925"/>
    <w:rsid w:val="235DA578"/>
    <w:rsid w:val="311F44A5"/>
    <w:rsid w:val="3250088D"/>
    <w:rsid w:val="3368C019"/>
    <w:rsid w:val="3721FAFB"/>
    <w:rsid w:val="3AB4C9E6"/>
    <w:rsid w:val="4097F448"/>
    <w:rsid w:val="43C3BD45"/>
    <w:rsid w:val="454F711E"/>
    <w:rsid w:val="495F4191"/>
    <w:rsid w:val="4C232FA2"/>
    <w:rsid w:val="4E807AE2"/>
    <w:rsid w:val="518DF76E"/>
    <w:rsid w:val="5369D490"/>
    <w:rsid w:val="53D6310B"/>
    <w:rsid w:val="56637354"/>
    <w:rsid w:val="57082E52"/>
    <w:rsid w:val="57B9185B"/>
    <w:rsid w:val="57B99F9B"/>
    <w:rsid w:val="5A77A99A"/>
    <w:rsid w:val="5AFDCB29"/>
    <w:rsid w:val="5F9BCC91"/>
    <w:rsid w:val="65F9B9A4"/>
    <w:rsid w:val="6A0782C1"/>
    <w:rsid w:val="6B813135"/>
    <w:rsid w:val="73328B9B"/>
    <w:rsid w:val="7361638E"/>
    <w:rsid w:val="7379E01A"/>
    <w:rsid w:val="760C6E94"/>
    <w:rsid w:val="7796BC29"/>
    <w:rsid w:val="7F4937E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6A80B"/>
  <w15:chartTrackingRefBased/>
  <w15:docId w15:val="{321C6187-4764-4FA6-B253-DB62F16F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C67B39"/>
    <w:pPr>
      <w:tabs>
        <w:tab w:val="left" w:pos="1247"/>
        <w:tab w:val="left" w:pos="1814"/>
        <w:tab w:val="left" w:pos="2381"/>
        <w:tab w:val="left" w:pos="2948"/>
        <w:tab w:val="left" w:pos="3515"/>
      </w:tabs>
    </w:pPr>
    <w:rPr>
      <w:rFonts w:eastAsia="Times New Roman"/>
    </w:rPr>
  </w:style>
  <w:style w:type="paragraph" w:styleId="Heading1">
    <w:name w:val="heading 1"/>
    <w:basedOn w:val="CH1"/>
    <w:next w:val="Normalnumber"/>
    <w:link w:val="Heading1Char"/>
    <w:rsid w:val="00C67B39"/>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C67B39"/>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C67B39"/>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C67B39"/>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C67B39"/>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C67B39"/>
    <w:pPr>
      <w:numPr>
        <w:ilvl w:val="5"/>
        <w:numId w:val="2"/>
      </w:numPr>
      <w:tabs>
        <w:tab w:val="clear" w:pos="1247"/>
        <w:tab w:val="clear" w:pos="4990"/>
      </w:tabs>
      <w:outlineLvl w:val="5"/>
    </w:pPr>
    <w:rPr>
      <w:b w:val="0"/>
      <w:sz w:val="24"/>
    </w:rPr>
  </w:style>
  <w:style w:type="paragraph" w:styleId="Heading7">
    <w:name w:val="heading 7"/>
    <w:basedOn w:val="CH5"/>
    <w:next w:val="Normalnumber"/>
    <w:link w:val="Heading7Char"/>
    <w:semiHidden/>
    <w:rsid w:val="00C67B39"/>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C67B39"/>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C67B39"/>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67B39"/>
    <w:rPr>
      <w:rFonts w:ascii="Times New Roman" w:hAnsi="Times New Roman"/>
      <w:b/>
      <w:sz w:val="18"/>
    </w:rPr>
  </w:style>
  <w:style w:type="table" w:customStyle="1" w:styleId="Tabledocright">
    <w:name w:val="Table_doc_right"/>
    <w:basedOn w:val="TableNormal"/>
    <w:rsid w:val="00C67B39"/>
    <w:pPr>
      <w:spacing w:before="40" w:after="40"/>
    </w:pPr>
    <w:rPr>
      <w:sz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C67B39"/>
    <w:pPr>
      <w:ind w:left="1000"/>
    </w:pPr>
    <w:rPr>
      <w:sz w:val="18"/>
    </w:rPr>
  </w:style>
  <w:style w:type="paragraph" w:styleId="TOC7">
    <w:name w:val="toc 7"/>
    <w:basedOn w:val="Normal"/>
    <w:next w:val="Normal"/>
    <w:autoRedefine/>
    <w:semiHidden/>
    <w:rsid w:val="00C67B39"/>
    <w:pPr>
      <w:ind w:left="1200"/>
    </w:pPr>
    <w:rPr>
      <w:sz w:val="18"/>
    </w:rPr>
  </w:style>
  <w:style w:type="paragraph" w:styleId="TOC8">
    <w:name w:val="toc 8"/>
    <w:basedOn w:val="Normal"/>
    <w:next w:val="Normal"/>
    <w:autoRedefine/>
    <w:semiHidden/>
    <w:rsid w:val="00C67B39"/>
    <w:pPr>
      <w:ind w:left="1400"/>
    </w:pPr>
    <w:rPr>
      <w:sz w:val="18"/>
    </w:rPr>
  </w:style>
  <w:style w:type="paragraph" w:styleId="TOC9">
    <w:name w:val="toc 9"/>
    <w:basedOn w:val="Normal"/>
    <w:next w:val="Normal"/>
    <w:autoRedefine/>
    <w:semiHidden/>
    <w:rsid w:val="00C67B39"/>
    <w:pPr>
      <w:ind w:left="1600"/>
    </w:pPr>
    <w:rPr>
      <w:sz w:val="18"/>
    </w:rPr>
  </w:style>
  <w:style w:type="paragraph" w:customStyle="1" w:styleId="Titlefigure">
    <w:name w:val="Title_figure"/>
    <w:basedOn w:val="Titletable"/>
    <w:next w:val="NormalNonumber"/>
    <w:rsid w:val="00C67B39"/>
    <w:pPr>
      <w:tabs>
        <w:tab w:val="clear" w:pos="4990"/>
      </w:tabs>
    </w:pPr>
  </w:style>
  <w:style w:type="paragraph" w:styleId="TableofFigures">
    <w:name w:val="table of figures"/>
    <w:basedOn w:val="Normal"/>
    <w:next w:val="Normal"/>
    <w:autoRedefine/>
    <w:semiHidden/>
    <w:rsid w:val="00C67B39"/>
    <w:pPr>
      <w:ind w:left="1814" w:hanging="567"/>
    </w:pPr>
  </w:style>
  <w:style w:type="paragraph" w:customStyle="1" w:styleId="CH1">
    <w:name w:val="CH1"/>
    <w:basedOn w:val="Normal-pool"/>
    <w:next w:val="CH2"/>
    <w:qFormat/>
    <w:rsid w:val="00C67B39"/>
    <w:pPr>
      <w:keepNext/>
      <w:keepLines/>
      <w:tabs>
        <w:tab w:val="clear" w:pos="624"/>
        <w:tab w:val="right" w:pos="851"/>
      </w:tabs>
      <w:suppressAutoHyphens/>
      <w:spacing w:before="240" w:after="120"/>
      <w:ind w:left="1247" w:right="284" w:hanging="1247"/>
    </w:pPr>
    <w:rPr>
      <w:b/>
      <w:sz w:val="28"/>
    </w:rPr>
  </w:style>
  <w:style w:type="paragraph" w:customStyle="1" w:styleId="CH2">
    <w:name w:val="CH2"/>
    <w:basedOn w:val="Normal-pool"/>
    <w:next w:val="Normalnumber"/>
    <w:link w:val="CH2Char"/>
    <w:qFormat/>
    <w:rsid w:val="00C67B39"/>
    <w:pPr>
      <w:keepNext/>
      <w:keepLines/>
      <w:tabs>
        <w:tab w:val="clear" w:pos="624"/>
        <w:tab w:val="right" w:pos="851"/>
      </w:tabs>
      <w:suppressAutoHyphens/>
      <w:spacing w:before="240" w:after="120"/>
      <w:ind w:left="1247" w:right="624" w:hanging="1247"/>
    </w:pPr>
    <w:rPr>
      <w:b/>
      <w:sz w:val="24"/>
    </w:rPr>
  </w:style>
  <w:style w:type="paragraph" w:customStyle="1" w:styleId="CH3">
    <w:name w:val="CH3"/>
    <w:basedOn w:val="Normal-pool"/>
    <w:next w:val="Normalnumber"/>
    <w:qFormat/>
    <w:rsid w:val="00C67B39"/>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C67B39"/>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C67B39"/>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C67B39"/>
    <w:pPr>
      <w:tabs>
        <w:tab w:val="left" w:pos="4321"/>
        <w:tab w:val="right" w:pos="8641"/>
      </w:tabs>
      <w:spacing w:before="60"/>
    </w:pPr>
    <w:rPr>
      <w:b/>
      <w:sz w:val="18"/>
    </w:rPr>
  </w:style>
  <w:style w:type="paragraph" w:customStyle="1" w:styleId="Footer-pool">
    <w:name w:val="Footer-pool"/>
    <w:basedOn w:val="Normal-pool"/>
    <w:next w:val="Normal-pool"/>
    <w:rsid w:val="00C67B39"/>
    <w:pPr>
      <w:tabs>
        <w:tab w:val="right" w:pos="8641"/>
      </w:tabs>
      <w:spacing w:after="120"/>
    </w:pPr>
    <w:rPr>
      <w:b/>
      <w:sz w:val="18"/>
    </w:rPr>
  </w:style>
  <w:style w:type="paragraph" w:customStyle="1" w:styleId="Header-pool">
    <w:name w:val="Header-pool"/>
    <w:basedOn w:val="Normal"/>
    <w:next w:val="Normal"/>
    <w:rsid w:val="00C67B39"/>
    <w:pPr>
      <w:pBdr>
        <w:bottom w:val="single" w:sz="4" w:space="1" w:color="auto"/>
      </w:pBdr>
      <w:tabs>
        <w:tab w:val="right" w:pos="9072"/>
      </w:tabs>
    </w:pPr>
    <w:rPr>
      <w:b/>
      <w:sz w:val="18"/>
    </w:rPr>
  </w:style>
  <w:style w:type="table" w:customStyle="1" w:styleId="AATable">
    <w:name w:val="AA_Table"/>
    <w:basedOn w:val="TableNormal"/>
    <w:semiHidden/>
    <w:rsid w:val="00C67B39"/>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67B39"/>
    <w:pPr>
      <w:keepNext/>
      <w:keepLines/>
      <w:suppressAutoHyphens/>
    </w:pPr>
    <w:rPr>
      <w:b/>
    </w:rPr>
  </w:style>
  <w:style w:type="paragraph" w:customStyle="1" w:styleId="AATitle2">
    <w:name w:val="AA_Title2"/>
    <w:basedOn w:val="AATitle"/>
    <w:rsid w:val="00C67B39"/>
    <w:pPr>
      <w:keepNext w:val="0"/>
      <w:keepLines w:val="0"/>
      <w:tabs>
        <w:tab w:val="clear" w:pos="4990"/>
      </w:tabs>
      <w:spacing w:before="120" w:after="120"/>
    </w:pPr>
  </w:style>
  <w:style w:type="paragraph" w:customStyle="1" w:styleId="BBTitle">
    <w:name w:val="BB_Title"/>
    <w:basedOn w:val="Normal-pool"/>
    <w:link w:val="BBTitleChar"/>
    <w:qFormat/>
    <w:rsid w:val="00C67B39"/>
    <w:pPr>
      <w:keepNext/>
      <w:keepLines/>
      <w:suppressAutoHyphens/>
      <w:spacing w:before="320" w:after="240"/>
      <w:ind w:left="1247" w:right="567"/>
    </w:pPr>
    <w:rPr>
      <w:b/>
      <w:sz w:val="28"/>
    </w:rPr>
  </w:style>
  <w:style w:type="paragraph" w:customStyle="1" w:styleId="CH4">
    <w:name w:val="CH4"/>
    <w:basedOn w:val="Normal-pool"/>
    <w:next w:val="Normalnumber"/>
    <w:link w:val="FooterChar"/>
    <w:rsid w:val="00C67B39"/>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C67B39"/>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C67B39"/>
    <w:rPr>
      <w:color w:val="0000FF"/>
      <w:u w:val="none"/>
    </w:rPr>
  </w:style>
  <w:style w:type="numbering" w:customStyle="1" w:styleId="Normallist">
    <w:name w:val="Normal_list"/>
    <w:basedOn w:val="NoList"/>
    <w:rsid w:val="00C67B39"/>
    <w:pPr>
      <w:numPr>
        <w:numId w:val="1"/>
      </w:numPr>
    </w:pPr>
  </w:style>
  <w:style w:type="paragraph" w:customStyle="1" w:styleId="NormalNonumber">
    <w:name w:val="Normal_No_number"/>
    <w:basedOn w:val="Normal-pool"/>
    <w:link w:val="NormalNonumberChar"/>
    <w:qFormat/>
    <w:rsid w:val="00C67B39"/>
    <w:pPr>
      <w:spacing w:after="120"/>
      <w:ind w:left="1247"/>
    </w:pPr>
  </w:style>
  <w:style w:type="paragraph" w:customStyle="1" w:styleId="Normalnumber">
    <w:name w:val="Normal_number"/>
    <w:basedOn w:val="Normal"/>
    <w:link w:val="NormalnumberChar"/>
    <w:rsid w:val="00C67B39"/>
    <w:pPr>
      <w:numPr>
        <w:numId w:val="1"/>
      </w:numPr>
      <w:spacing w:after="120"/>
    </w:pPr>
  </w:style>
  <w:style w:type="paragraph" w:customStyle="1" w:styleId="Titletable">
    <w:name w:val="Title_table"/>
    <w:basedOn w:val="Normal-pool"/>
    <w:next w:val="NormalNonumber"/>
    <w:rsid w:val="00C67B39"/>
    <w:pPr>
      <w:keepNext/>
      <w:keepLines/>
      <w:suppressAutoHyphens/>
      <w:spacing w:after="60"/>
      <w:ind w:left="1247"/>
    </w:pPr>
    <w:rPr>
      <w:b/>
    </w:rPr>
  </w:style>
  <w:style w:type="paragraph" w:styleId="TOC1">
    <w:name w:val="toc 1"/>
    <w:basedOn w:val="Normal"/>
    <w:next w:val="Normal"/>
    <w:autoRedefine/>
    <w:uiPriority w:val="39"/>
    <w:unhideWhenUsed/>
    <w:rsid w:val="00C67B39"/>
    <w:pPr>
      <w:tabs>
        <w:tab w:val="right" w:leader="dot" w:pos="9486"/>
      </w:tabs>
      <w:spacing w:before="240"/>
      <w:ind w:left="1984" w:hanging="737"/>
    </w:pPr>
  </w:style>
  <w:style w:type="paragraph" w:styleId="TOC2">
    <w:name w:val="toc 2"/>
    <w:basedOn w:val="Normal"/>
    <w:next w:val="Normal"/>
    <w:uiPriority w:val="39"/>
    <w:unhideWhenUsed/>
    <w:rsid w:val="00C67B39"/>
    <w:pPr>
      <w:tabs>
        <w:tab w:val="right" w:leader="dot" w:pos="9486"/>
      </w:tabs>
      <w:spacing w:before="60"/>
      <w:ind w:left="2608" w:hanging="737"/>
    </w:pPr>
  </w:style>
  <w:style w:type="paragraph" w:styleId="TOC3">
    <w:name w:val="toc 3"/>
    <w:basedOn w:val="Normal"/>
    <w:next w:val="Normal"/>
    <w:uiPriority w:val="39"/>
    <w:unhideWhenUsed/>
    <w:rsid w:val="00C67B39"/>
    <w:pPr>
      <w:tabs>
        <w:tab w:val="right" w:leader="dot" w:pos="9486"/>
      </w:tabs>
      <w:ind w:left="3232" w:hanging="737"/>
    </w:pPr>
  </w:style>
  <w:style w:type="paragraph" w:styleId="TOC4">
    <w:name w:val="toc 4"/>
    <w:basedOn w:val="Normal"/>
    <w:next w:val="Normal"/>
    <w:uiPriority w:val="39"/>
    <w:unhideWhenUsed/>
    <w:rsid w:val="00C67B39"/>
    <w:pPr>
      <w:tabs>
        <w:tab w:val="left" w:pos="1000"/>
        <w:tab w:val="right" w:leader="dot" w:pos="9486"/>
      </w:tabs>
      <w:ind w:left="3856" w:hanging="737"/>
    </w:pPr>
  </w:style>
  <w:style w:type="paragraph" w:styleId="TOC5">
    <w:name w:val="toc 5"/>
    <w:basedOn w:val="Normal"/>
    <w:next w:val="Normal"/>
    <w:uiPriority w:val="39"/>
    <w:rsid w:val="00C67B39"/>
    <w:pPr>
      <w:tabs>
        <w:tab w:val="right" w:leader="dot" w:pos="9486"/>
      </w:tabs>
      <w:ind w:left="4479" w:hanging="737"/>
    </w:pPr>
    <w:rPr>
      <w:sz w:val="18"/>
    </w:rPr>
  </w:style>
  <w:style w:type="paragraph" w:customStyle="1" w:styleId="ZZAnxheader">
    <w:name w:val="ZZ_Anx_header"/>
    <w:basedOn w:val="Normal-pool"/>
    <w:rsid w:val="00C67B39"/>
    <w:rPr>
      <w:b/>
      <w:sz w:val="28"/>
    </w:rPr>
  </w:style>
  <w:style w:type="paragraph" w:customStyle="1" w:styleId="ZZAnxtitle">
    <w:name w:val="ZZ_Anx_title"/>
    <w:basedOn w:val="Normal-pool"/>
    <w:link w:val="ZZAnxtitleChar"/>
    <w:rsid w:val="00C67B39"/>
    <w:pPr>
      <w:spacing w:before="360" w:after="120"/>
      <w:ind w:left="1247"/>
    </w:pPr>
    <w:rPr>
      <w:b/>
      <w:sz w:val="28"/>
    </w:rPr>
  </w:style>
  <w:style w:type="paragraph" w:styleId="NormalWeb">
    <w:name w:val="Normal (Web)"/>
    <w:basedOn w:val="Normal"/>
    <w:uiPriority w:val="99"/>
    <w:semiHidden/>
    <w:unhideWhenUsed/>
    <w:rsid w:val="00C67B39"/>
    <w:pPr>
      <w:spacing w:before="100" w:beforeAutospacing="1" w:after="100" w:afterAutospacing="1"/>
    </w:pPr>
    <w:rPr>
      <w:rFonts w:eastAsiaTheme="minorEastAsia"/>
      <w:sz w:val="24"/>
    </w:rPr>
  </w:style>
  <w:style w:type="paragraph" w:customStyle="1" w:styleId="Normal-pool-Table">
    <w:name w:val="Normal-pool-Table"/>
    <w:basedOn w:val="Normal-pool"/>
    <w:rsid w:val="00C67B39"/>
    <w:pPr>
      <w:spacing w:before="40" w:after="40"/>
    </w:pPr>
    <w:rPr>
      <w:sz w:val="18"/>
    </w:rPr>
  </w:style>
  <w:style w:type="paragraph" w:customStyle="1" w:styleId="Footnote-Text">
    <w:name w:val="Footnote-Text"/>
    <w:basedOn w:val="Normal-pool"/>
    <w:rsid w:val="00C67B39"/>
    <w:pPr>
      <w:spacing w:before="20" w:after="40"/>
      <w:ind w:left="1247"/>
    </w:pPr>
    <w:rPr>
      <w:sz w:val="18"/>
    </w:rPr>
  </w:style>
  <w:style w:type="paragraph" w:customStyle="1" w:styleId="AConvName">
    <w:name w:val="A_ConvName"/>
    <w:basedOn w:val="Normal-pool"/>
    <w:next w:val="Normal-pool"/>
    <w:rsid w:val="00C67B39"/>
    <w:pPr>
      <w:spacing w:before="120" w:after="240"/>
    </w:pPr>
    <w:rPr>
      <w:rFonts w:ascii="Arial" w:hAnsi="Arial"/>
      <w:b/>
      <w:sz w:val="28"/>
    </w:rPr>
  </w:style>
  <w:style w:type="paragraph" w:customStyle="1" w:styleId="ASymbol">
    <w:name w:val="A_Symbol"/>
    <w:basedOn w:val="Normal-pool"/>
    <w:rsid w:val="00C67B39"/>
    <w:pPr>
      <w:tabs>
        <w:tab w:val="clear" w:pos="624"/>
        <w:tab w:val="clear" w:pos="1247"/>
        <w:tab w:val="right" w:pos="2920"/>
      </w:tabs>
    </w:pPr>
    <w:rPr>
      <w:rFonts w:eastAsia="SimSun"/>
    </w:rPr>
  </w:style>
  <w:style w:type="paragraph" w:customStyle="1" w:styleId="AText">
    <w:name w:val="A_Text"/>
    <w:basedOn w:val="Normal-pool"/>
    <w:rsid w:val="00C67B39"/>
    <w:pPr>
      <w:spacing w:before="120"/>
    </w:pPr>
  </w:style>
  <w:style w:type="paragraph" w:customStyle="1" w:styleId="ATwoLetters">
    <w:name w:val="A_TwoLetters"/>
    <w:basedOn w:val="Normal-pool"/>
    <w:next w:val="Normal-pool"/>
    <w:rsid w:val="00C67B39"/>
    <w:pPr>
      <w:tabs>
        <w:tab w:val="clear" w:pos="1247"/>
      </w:tabs>
      <w:jc w:val="right"/>
    </w:pPr>
    <w:rPr>
      <w:rFonts w:ascii="Arial" w:hAnsi="Arial" w:cs="Arial"/>
      <w:b/>
      <w:caps/>
      <w:sz w:val="64"/>
    </w:rPr>
  </w:style>
  <w:style w:type="paragraph" w:customStyle="1" w:styleId="AUnitedNations">
    <w:name w:val="A_United_Nations"/>
    <w:basedOn w:val="Normal-pool"/>
    <w:next w:val="Normal-pool"/>
    <w:rsid w:val="00C67B39"/>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C67B39"/>
    <w:rPr>
      <w:rFonts w:ascii="Tahoma" w:hAnsi="Tahoma" w:cs="Tahoma"/>
      <w:sz w:val="16"/>
    </w:rPr>
  </w:style>
  <w:style w:type="character" w:customStyle="1" w:styleId="BalloonTextChar">
    <w:name w:val="Balloon Text Char"/>
    <w:basedOn w:val="DefaultParagraphFont"/>
    <w:link w:val="BalloonText"/>
    <w:rsid w:val="00C67B39"/>
    <w:rPr>
      <w:rFonts w:ascii="Tahoma" w:eastAsia="Times New Roman" w:hAnsi="Tahoma" w:cs="Tahoma"/>
      <w:sz w:val="16"/>
    </w:rPr>
  </w:style>
  <w:style w:type="character" w:styleId="CommentReference">
    <w:name w:val="annotation reference"/>
    <w:basedOn w:val="DefaultParagraphFont"/>
    <w:semiHidden/>
    <w:unhideWhenUsed/>
    <w:rsid w:val="00C67B39"/>
    <w:rPr>
      <w:sz w:val="16"/>
    </w:rPr>
  </w:style>
  <w:style w:type="paragraph" w:styleId="CommentText">
    <w:name w:val="annotation text"/>
    <w:basedOn w:val="Normal"/>
    <w:link w:val="CommentTextChar"/>
    <w:unhideWhenUsed/>
    <w:rsid w:val="00C67B39"/>
  </w:style>
  <w:style w:type="character" w:customStyle="1" w:styleId="CommentTextChar">
    <w:name w:val="Comment Text Char"/>
    <w:basedOn w:val="DefaultParagraphFont"/>
    <w:link w:val="CommentText"/>
    <w:rsid w:val="00C67B39"/>
    <w:rPr>
      <w:rFonts w:eastAsia="Times New Roman"/>
    </w:rPr>
  </w:style>
  <w:style w:type="paragraph" w:styleId="CommentSubject">
    <w:name w:val="annotation subject"/>
    <w:basedOn w:val="CommentText"/>
    <w:next w:val="CommentText"/>
    <w:link w:val="CommentSubjectChar"/>
    <w:semiHidden/>
    <w:unhideWhenUsed/>
    <w:rsid w:val="00C67B39"/>
    <w:rPr>
      <w:b/>
    </w:rPr>
  </w:style>
  <w:style w:type="character" w:customStyle="1" w:styleId="CommentSubjectChar">
    <w:name w:val="Comment Subject Char"/>
    <w:basedOn w:val="CommentTextChar"/>
    <w:link w:val="CommentSubject"/>
    <w:semiHidden/>
    <w:rsid w:val="00C67B39"/>
    <w:rPr>
      <w:rFonts w:eastAsia="Times New Roman"/>
      <w:b/>
    </w:rPr>
  </w:style>
  <w:style w:type="character" w:styleId="FollowedHyperlink">
    <w:name w:val="FollowedHyperlink"/>
    <w:uiPriority w:val="99"/>
    <w:semiHidden/>
    <w:rsid w:val="00C67B39"/>
    <w:rPr>
      <w:color w:val="0000FF"/>
      <w:u w:val="none"/>
    </w:rPr>
  </w:style>
  <w:style w:type="character" w:customStyle="1" w:styleId="FooterChar">
    <w:name w:val="Footer Char"/>
    <w:basedOn w:val="DefaultParagraphFont"/>
    <w:link w:val="CH4"/>
    <w:rsid w:val="00C67B39"/>
    <w:rPr>
      <w:rFonts w:eastAsia="Times New Roman"/>
      <w:b/>
    </w:rPr>
  </w:style>
  <w:style w:type="character" w:customStyle="1" w:styleId="HeaderChar">
    <w:name w:val="Header Char"/>
    <w:basedOn w:val="DefaultParagraphFont"/>
    <w:link w:val="Header"/>
    <w:semiHidden/>
    <w:rsid w:val="00C67B39"/>
    <w:rPr>
      <w:rFonts w:eastAsia="Times New Roman"/>
      <w:b/>
      <w:sz w:val="18"/>
    </w:rPr>
  </w:style>
  <w:style w:type="character" w:customStyle="1" w:styleId="Heading1Char">
    <w:name w:val="Heading 1 Char"/>
    <w:basedOn w:val="DefaultParagraphFont"/>
    <w:link w:val="Heading1"/>
    <w:rsid w:val="00C67B39"/>
    <w:rPr>
      <w:rFonts w:eastAsia="Times New Roman"/>
      <w:b/>
      <w:sz w:val="28"/>
    </w:rPr>
  </w:style>
  <w:style w:type="character" w:customStyle="1" w:styleId="Heading2Char">
    <w:name w:val="Heading 2 Char"/>
    <w:basedOn w:val="DefaultParagraphFont"/>
    <w:link w:val="Heading2"/>
    <w:rsid w:val="00C67B39"/>
    <w:rPr>
      <w:rFonts w:eastAsia="Times New Roman"/>
      <w:b/>
      <w:sz w:val="24"/>
    </w:rPr>
  </w:style>
  <w:style w:type="character" w:customStyle="1" w:styleId="Heading3Char">
    <w:name w:val="Heading 3 Char"/>
    <w:basedOn w:val="DefaultParagraphFont"/>
    <w:link w:val="Heading3"/>
    <w:rsid w:val="00C67B39"/>
    <w:rPr>
      <w:rFonts w:eastAsia="Times New Roman"/>
      <w:b/>
    </w:rPr>
  </w:style>
  <w:style w:type="character" w:customStyle="1" w:styleId="Heading4Char">
    <w:name w:val="Heading 4 Char"/>
    <w:basedOn w:val="DefaultParagraphFont"/>
    <w:link w:val="Heading4"/>
    <w:rsid w:val="00C67B39"/>
    <w:rPr>
      <w:rFonts w:eastAsia="Times New Roman"/>
      <w:b/>
    </w:rPr>
  </w:style>
  <w:style w:type="character" w:customStyle="1" w:styleId="Heading5Char">
    <w:name w:val="Heading 5 Char"/>
    <w:basedOn w:val="DefaultParagraphFont"/>
    <w:link w:val="Heading5"/>
    <w:rsid w:val="00C67B39"/>
    <w:rPr>
      <w:rFonts w:eastAsia="Times New Roman"/>
      <w:b/>
    </w:rPr>
  </w:style>
  <w:style w:type="character" w:customStyle="1" w:styleId="Heading6Char">
    <w:name w:val="Heading 6 Char"/>
    <w:basedOn w:val="DefaultParagraphFont"/>
    <w:link w:val="Heading6"/>
    <w:semiHidden/>
    <w:rsid w:val="00C67B39"/>
    <w:rPr>
      <w:rFonts w:eastAsia="Times New Roman"/>
      <w:sz w:val="24"/>
    </w:rPr>
  </w:style>
  <w:style w:type="character" w:customStyle="1" w:styleId="Heading7Char">
    <w:name w:val="Heading 7 Char"/>
    <w:basedOn w:val="DefaultParagraphFont"/>
    <w:link w:val="Heading7"/>
    <w:semiHidden/>
    <w:rsid w:val="00C67B39"/>
    <w:rPr>
      <w:rFonts w:eastAsia="Times New Roman"/>
      <w:b/>
      <w:snapToGrid w:val="0"/>
      <w:u w:val="single"/>
    </w:rPr>
  </w:style>
  <w:style w:type="character" w:customStyle="1" w:styleId="Heading8Char">
    <w:name w:val="Heading 8 Char"/>
    <w:basedOn w:val="DefaultParagraphFont"/>
    <w:link w:val="Heading8"/>
    <w:semiHidden/>
    <w:rsid w:val="00C67B39"/>
    <w:rPr>
      <w:rFonts w:eastAsia="Times New Roman"/>
      <w:b/>
      <w:snapToGrid w:val="0"/>
      <w:u w:val="single"/>
    </w:rPr>
  </w:style>
  <w:style w:type="character" w:customStyle="1" w:styleId="Heading9Char">
    <w:name w:val="Heading 9 Char"/>
    <w:basedOn w:val="DefaultParagraphFont"/>
    <w:link w:val="Heading9"/>
    <w:semiHidden/>
    <w:rsid w:val="00C67B39"/>
    <w:rPr>
      <w:rFonts w:eastAsia="Times New Roman"/>
      <w:snapToGrid w:val="0"/>
      <w:u w:val="single"/>
    </w:rPr>
  </w:style>
  <w:style w:type="paragraph" w:styleId="ListParagraph">
    <w:name w:val="List Paragraph"/>
    <w:basedOn w:val="Normal"/>
    <w:uiPriority w:val="34"/>
    <w:qFormat/>
    <w:rsid w:val="00C67B39"/>
    <w:pPr>
      <w:ind w:left="720"/>
      <w:contextualSpacing/>
    </w:pPr>
  </w:style>
  <w:style w:type="paragraph" w:styleId="NoSpacing">
    <w:name w:val="No Spacing"/>
    <w:uiPriority w:val="1"/>
    <w:semiHidden/>
    <w:qFormat/>
    <w:rsid w:val="00C67B39"/>
    <w:rPr>
      <w:rFonts w:asciiTheme="minorHAnsi" w:eastAsiaTheme="minorHAnsi" w:hAnsiTheme="minorHAnsi" w:cstheme="minorBidi"/>
      <w:sz w:val="22"/>
    </w:rPr>
  </w:style>
  <w:style w:type="character" w:customStyle="1" w:styleId="NormalnumberChar">
    <w:name w:val="Normal_number Char"/>
    <w:link w:val="Normalnumber"/>
    <w:rsid w:val="00C67B39"/>
    <w:rPr>
      <w:rFonts w:eastAsia="Times New Roman"/>
    </w:rPr>
  </w:style>
  <w:style w:type="character" w:styleId="PlaceholderText">
    <w:name w:val="Placeholder Text"/>
    <w:basedOn w:val="DefaultParagraphFont"/>
    <w:uiPriority w:val="99"/>
    <w:semiHidden/>
    <w:rsid w:val="00C67B39"/>
    <w:rPr>
      <w:color w:val="808080"/>
    </w:rPr>
  </w:style>
  <w:style w:type="table" w:styleId="TableGrid">
    <w:name w:val="Table Grid"/>
    <w:basedOn w:val="TableNormal"/>
    <w:rsid w:val="00C67B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C67B39"/>
    <w:pPr>
      <w:spacing w:before="120" w:after="240"/>
    </w:pPr>
  </w:style>
  <w:style w:type="character" w:customStyle="1" w:styleId="ALogoChar">
    <w:name w:val="A_Logo Char"/>
    <w:basedOn w:val="DefaultParagraphFont"/>
    <w:link w:val="ALogo"/>
    <w:rsid w:val="00C67B39"/>
    <w:rPr>
      <w:rFonts w:eastAsia="Times New Roman"/>
    </w:rPr>
  </w:style>
  <w:style w:type="paragraph" w:customStyle="1" w:styleId="ASpacer">
    <w:name w:val="A_Spacer"/>
    <w:basedOn w:val="Normal-pool"/>
    <w:link w:val="ASpacerChar"/>
    <w:rsid w:val="00C67B39"/>
    <w:rPr>
      <w:sz w:val="2"/>
    </w:rPr>
  </w:style>
  <w:style w:type="character" w:customStyle="1" w:styleId="ASpacerChar">
    <w:name w:val="A_Spacer Char"/>
    <w:basedOn w:val="DefaultParagraphFont"/>
    <w:link w:val="ASpacer"/>
    <w:rsid w:val="00C67B39"/>
    <w:rPr>
      <w:rFonts w:eastAsia="Times New Roman"/>
      <w:sz w:val="2"/>
    </w:rPr>
  </w:style>
  <w:style w:type="paragraph" w:customStyle="1" w:styleId="AATitle1">
    <w:name w:val="AA_Title1"/>
    <w:basedOn w:val="Normal-pool"/>
    <w:rsid w:val="00C67B39"/>
  </w:style>
  <w:style w:type="character" w:styleId="UnresolvedMention">
    <w:name w:val="Unresolved Mention"/>
    <w:basedOn w:val="DefaultParagraphFont"/>
    <w:uiPriority w:val="99"/>
    <w:semiHidden/>
    <w:rsid w:val="00C67B39"/>
    <w:rPr>
      <w:color w:val="605E5C"/>
      <w:shd w:val="clear" w:color="auto" w:fill="E1DFDD"/>
    </w:rPr>
  </w:style>
  <w:style w:type="paragraph" w:customStyle="1" w:styleId="ANormal">
    <w:name w:val="A_Normal"/>
    <w:basedOn w:val="Normal-pool"/>
    <w:rsid w:val="00C67B39"/>
  </w:style>
  <w:style w:type="paragraph" w:customStyle="1" w:styleId="AText0">
    <w:name w:val="A_Text0"/>
    <w:basedOn w:val="AText"/>
    <w:next w:val="AText"/>
    <w:rsid w:val="00C67B39"/>
    <w:pPr>
      <w:tabs>
        <w:tab w:val="clear" w:pos="4990"/>
      </w:tabs>
      <w:spacing w:before="0" w:after="120"/>
    </w:pPr>
  </w:style>
  <w:style w:type="paragraph" w:styleId="Footer">
    <w:name w:val="footer"/>
    <w:basedOn w:val="Normal"/>
    <w:link w:val="FooterChar1"/>
    <w:unhideWhenUsed/>
    <w:rsid w:val="00C67B39"/>
    <w:pPr>
      <w:tabs>
        <w:tab w:val="clear" w:pos="1247"/>
        <w:tab w:val="right" w:pos="8641"/>
      </w:tabs>
    </w:pPr>
    <w:rPr>
      <w:b/>
      <w:sz w:val="18"/>
    </w:rPr>
  </w:style>
  <w:style w:type="character" w:customStyle="1" w:styleId="FooterChar1">
    <w:name w:val="Footer Char1"/>
    <w:basedOn w:val="DefaultParagraphFont"/>
    <w:link w:val="Footer"/>
    <w:rsid w:val="00C67B39"/>
    <w:rPr>
      <w:rFonts w:eastAsia="Times New Roman"/>
      <w:b/>
      <w:sz w:val="18"/>
    </w:rPr>
  </w:style>
  <w:style w:type="paragraph" w:customStyle="1" w:styleId="Normal-pool">
    <w:name w:val="Normal-pool"/>
    <w:link w:val="Normal-poolChar"/>
    <w:qFormat/>
    <w:rsid w:val="00C67B39"/>
    <w:pPr>
      <w:tabs>
        <w:tab w:val="left" w:pos="624"/>
        <w:tab w:val="left" w:pos="1247"/>
        <w:tab w:val="left" w:pos="1871"/>
        <w:tab w:val="left" w:pos="2495"/>
        <w:tab w:val="left" w:pos="3119"/>
        <w:tab w:val="left" w:pos="3742"/>
        <w:tab w:val="left" w:pos="4366"/>
        <w:tab w:val="left" w:pos="4990"/>
      </w:tabs>
    </w:pPr>
    <w:rPr>
      <w:rFonts w:eastAsia="Times New Roman"/>
    </w:rPr>
  </w:style>
  <w:style w:type="paragraph" w:customStyle="1" w:styleId="Footer-jobnumber">
    <w:name w:val="Footer-jobnumber"/>
    <w:basedOn w:val="Normal-pool"/>
    <w:qFormat/>
    <w:rsid w:val="00C67B39"/>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C67B39"/>
    <w:pPr>
      <w:spacing w:before="60"/>
      <w:ind w:left="624"/>
    </w:pPr>
    <w:rPr>
      <w:rFonts w:eastAsiaTheme="minorEastAsia"/>
      <w:sz w:val="18"/>
    </w:rPr>
  </w:style>
  <w:style w:type="paragraph" w:styleId="Bibliography">
    <w:name w:val="Bibliography"/>
    <w:basedOn w:val="Normal"/>
    <w:next w:val="Normal"/>
    <w:uiPriority w:val="37"/>
    <w:semiHidden/>
    <w:rsid w:val="002C0D3E"/>
  </w:style>
  <w:style w:type="paragraph" w:styleId="BlockText">
    <w:name w:val="Block Text"/>
    <w:basedOn w:val="Normal"/>
    <w:semiHidden/>
    <w:unhideWhenUsed/>
    <w:rsid w:val="002C0D3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color w:val="4F81BD" w:themeColor="accent1"/>
    </w:rPr>
  </w:style>
  <w:style w:type="paragraph" w:styleId="BodyText">
    <w:name w:val="Body Text"/>
    <w:basedOn w:val="Normal"/>
    <w:link w:val="BodyTextChar"/>
    <w:semiHidden/>
    <w:unhideWhenUsed/>
    <w:rsid w:val="002C0D3E"/>
    <w:pPr>
      <w:spacing w:after="120"/>
    </w:pPr>
  </w:style>
  <w:style w:type="character" w:customStyle="1" w:styleId="BodyTextChar">
    <w:name w:val="Body Text Char"/>
    <w:basedOn w:val="DefaultParagraphFont"/>
    <w:link w:val="BodyText"/>
    <w:semiHidden/>
    <w:rsid w:val="002C0D3E"/>
    <w:rPr>
      <w:rFonts w:eastAsia="Times New Roman"/>
    </w:rPr>
  </w:style>
  <w:style w:type="paragraph" w:styleId="BodyText2">
    <w:name w:val="Body Text 2"/>
    <w:basedOn w:val="Normal"/>
    <w:link w:val="BodyText2Char"/>
    <w:semiHidden/>
    <w:unhideWhenUsed/>
    <w:rsid w:val="002C0D3E"/>
    <w:pPr>
      <w:spacing w:after="120" w:line="480" w:lineRule="auto"/>
    </w:pPr>
  </w:style>
  <w:style w:type="character" w:customStyle="1" w:styleId="BodyText2Char">
    <w:name w:val="Body Text 2 Char"/>
    <w:basedOn w:val="DefaultParagraphFont"/>
    <w:link w:val="BodyText2"/>
    <w:semiHidden/>
    <w:rsid w:val="002C0D3E"/>
    <w:rPr>
      <w:rFonts w:eastAsia="Times New Roman"/>
    </w:rPr>
  </w:style>
  <w:style w:type="paragraph" w:styleId="BodyText3">
    <w:name w:val="Body Text 3"/>
    <w:basedOn w:val="Normal"/>
    <w:link w:val="BodyText3Char"/>
    <w:semiHidden/>
    <w:unhideWhenUsed/>
    <w:rsid w:val="002C0D3E"/>
    <w:pPr>
      <w:spacing w:after="120"/>
    </w:pPr>
    <w:rPr>
      <w:sz w:val="16"/>
    </w:rPr>
  </w:style>
  <w:style w:type="character" w:customStyle="1" w:styleId="BodyText3Char">
    <w:name w:val="Body Text 3 Char"/>
    <w:basedOn w:val="DefaultParagraphFont"/>
    <w:link w:val="BodyText3"/>
    <w:semiHidden/>
    <w:rsid w:val="002C0D3E"/>
    <w:rPr>
      <w:rFonts w:eastAsia="Times New Roman"/>
      <w:sz w:val="16"/>
    </w:rPr>
  </w:style>
  <w:style w:type="paragraph" w:styleId="BodyTextFirstIndent">
    <w:name w:val="Body Text First Indent"/>
    <w:basedOn w:val="BodyText"/>
    <w:link w:val="BodyTextFirstIndentChar"/>
    <w:semiHidden/>
    <w:unhideWhenUsed/>
    <w:rsid w:val="002C0D3E"/>
    <w:pPr>
      <w:spacing w:after="0"/>
      <w:ind w:firstLine="360"/>
    </w:pPr>
  </w:style>
  <w:style w:type="character" w:customStyle="1" w:styleId="BodyTextFirstIndentChar">
    <w:name w:val="Body Text First Indent Char"/>
    <w:basedOn w:val="BodyTextChar"/>
    <w:link w:val="BodyTextFirstIndent"/>
    <w:semiHidden/>
    <w:rsid w:val="002C0D3E"/>
    <w:rPr>
      <w:rFonts w:eastAsia="Times New Roman"/>
    </w:rPr>
  </w:style>
  <w:style w:type="paragraph" w:styleId="BodyTextIndent">
    <w:name w:val="Body Text Indent"/>
    <w:basedOn w:val="Normal"/>
    <w:link w:val="BodyTextIndentChar"/>
    <w:semiHidden/>
    <w:unhideWhenUsed/>
    <w:rsid w:val="002C0D3E"/>
    <w:pPr>
      <w:spacing w:after="120"/>
      <w:ind w:left="283"/>
    </w:pPr>
  </w:style>
  <w:style w:type="character" w:customStyle="1" w:styleId="BodyTextIndentChar">
    <w:name w:val="Body Text Indent Char"/>
    <w:basedOn w:val="DefaultParagraphFont"/>
    <w:link w:val="BodyTextIndent"/>
    <w:semiHidden/>
    <w:rsid w:val="002C0D3E"/>
    <w:rPr>
      <w:rFonts w:eastAsia="Times New Roman"/>
    </w:rPr>
  </w:style>
  <w:style w:type="paragraph" w:styleId="BodyTextFirstIndent2">
    <w:name w:val="Body Text First Indent 2"/>
    <w:basedOn w:val="BodyTextIndent"/>
    <w:link w:val="BodyTextFirstIndent2Char"/>
    <w:semiHidden/>
    <w:unhideWhenUsed/>
    <w:rsid w:val="002C0D3E"/>
    <w:pPr>
      <w:spacing w:after="0"/>
      <w:ind w:left="360" w:firstLine="360"/>
    </w:pPr>
  </w:style>
  <w:style w:type="character" w:customStyle="1" w:styleId="BodyTextFirstIndent2Char">
    <w:name w:val="Body Text First Indent 2 Char"/>
    <w:basedOn w:val="BodyTextIndentChar"/>
    <w:link w:val="BodyTextFirstIndent2"/>
    <w:semiHidden/>
    <w:rsid w:val="002C0D3E"/>
    <w:rPr>
      <w:rFonts w:eastAsia="Times New Roman"/>
    </w:rPr>
  </w:style>
  <w:style w:type="paragraph" w:styleId="BodyTextIndent2">
    <w:name w:val="Body Text Indent 2"/>
    <w:basedOn w:val="Normal"/>
    <w:link w:val="BodyTextIndent2Char"/>
    <w:semiHidden/>
    <w:unhideWhenUsed/>
    <w:rsid w:val="002C0D3E"/>
    <w:pPr>
      <w:spacing w:after="120" w:line="480" w:lineRule="auto"/>
      <w:ind w:left="283"/>
    </w:pPr>
  </w:style>
  <w:style w:type="character" w:customStyle="1" w:styleId="BodyTextIndent2Char">
    <w:name w:val="Body Text Indent 2 Char"/>
    <w:basedOn w:val="DefaultParagraphFont"/>
    <w:link w:val="BodyTextIndent2"/>
    <w:semiHidden/>
    <w:rsid w:val="002C0D3E"/>
    <w:rPr>
      <w:rFonts w:eastAsia="Times New Roman"/>
    </w:rPr>
  </w:style>
  <w:style w:type="paragraph" w:styleId="BodyTextIndent3">
    <w:name w:val="Body Text Indent 3"/>
    <w:basedOn w:val="Normal"/>
    <w:link w:val="BodyTextIndent3Char"/>
    <w:semiHidden/>
    <w:unhideWhenUsed/>
    <w:rsid w:val="002C0D3E"/>
    <w:pPr>
      <w:spacing w:after="120"/>
      <w:ind w:left="283"/>
    </w:pPr>
    <w:rPr>
      <w:sz w:val="16"/>
    </w:rPr>
  </w:style>
  <w:style w:type="character" w:customStyle="1" w:styleId="BodyTextIndent3Char">
    <w:name w:val="Body Text Indent 3 Char"/>
    <w:basedOn w:val="DefaultParagraphFont"/>
    <w:link w:val="BodyTextIndent3"/>
    <w:semiHidden/>
    <w:rsid w:val="002C0D3E"/>
    <w:rPr>
      <w:rFonts w:eastAsia="Times New Roman"/>
      <w:sz w:val="16"/>
    </w:rPr>
  </w:style>
  <w:style w:type="character" w:styleId="BookTitle">
    <w:name w:val="Book Title"/>
    <w:basedOn w:val="DefaultParagraphFont"/>
    <w:uiPriority w:val="33"/>
    <w:semiHidden/>
    <w:qFormat/>
    <w:rsid w:val="002C0D3E"/>
    <w:rPr>
      <w:b/>
      <w:i/>
    </w:rPr>
  </w:style>
  <w:style w:type="paragraph" w:styleId="Caption">
    <w:name w:val="caption"/>
    <w:basedOn w:val="Normal"/>
    <w:next w:val="Normal"/>
    <w:semiHidden/>
    <w:unhideWhenUsed/>
    <w:qFormat/>
    <w:rsid w:val="002C0D3E"/>
    <w:pPr>
      <w:spacing w:after="200"/>
    </w:pPr>
    <w:rPr>
      <w:i/>
      <w:color w:val="1F497D" w:themeColor="text2"/>
      <w:sz w:val="18"/>
    </w:rPr>
  </w:style>
  <w:style w:type="paragraph" w:styleId="Closing">
    <w:name w:val="Closing"/>
    <w:basedOn w:val="Normal"/>
    <w:link w:val="ClosingChar"/>
    <w:semiHidden/>
    <w:unhideWhenUsed/>
    <w:rsid w:val="002C0D3E"/>
    <w:pPr>
      <w:ind w:left="4252"/>
    </w:pPr>
  </w:style>
  <w:style w:type="character" w:customStyle="1" w:styleId="ClosingChar">
    <w:name w:val="Closing Char"/>
    <w:basedOn w:val="DefaultParagraphFont"/>
    <w:link w:val="Closing"/>
    <w:semiHidden/>
    <w:rsid w:val="002C0D3E"/>
    <w:rPr>
      <w:rFonts w:eastAsia="Times New Roman"/>
    </w:rPr>
  </w:style>
  <w:style w:type="table" w:styleId="ColorfulGrid">
    <w:name w:val="Colorful Grid"/>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C0D3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0D3E"/>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C0D3E"/>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C0D3E"/>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C0D3E"/>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C0D3E"/>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C0D3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0D3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C0D3E"/>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0D3E"/>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0D3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C0D3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0D3E"/>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C0D3E"/>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C0D3E"/>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C0D3E"/>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C0D3E"/>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C0D3E"/>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2C0D3E"/>
  </w:style>
  <w:style w:type="character" w:customStyle="1" w:styleId="DateChar">
    <w:name w:val="Date Char"/>
    <w:basedOn w:val="DefaultParagraphFont"/>
    <w:link w:val="Date"/>
    <w:semiHidden/>
    <w:rsid w:val="002C0D3E"/>
    <w:rPr>
      <w:rFonts w:eastAsia="Times New Roman"/>
    </w:rPr>
  </w:style>
  <w:style w:type="paragraph" w:styleId="DocumentMap">
    <w:name w:val="Document Map"/>
    <w:basedOn w:val="Normal"/>
    <w:link w:val="DocumentMapChar"/>
    <w:semiHidden/>
    <w:unhideWhenUsed/>
    <w:rsid w:val="002C0D3E"/>
    <w:rPr>
      <w:rFonts w:ascii="Segoe UI" w:hAnsi="Segoe UI" w:cs="Segoe UI"/>
      <w:sz w:val="16"/>
    </w:rPr>
  </w:style>
  <w:style w:type="character" w:customStyle="1" w:styleId="DocumentMapChar">
    <w:name w:val="Document Map Char"/>
    <w:basedOn w:val="DefaultParagraphFont"/>
    <w:link w:val="DocumentMap"/>
    <w:semiHidden/>
    <w:rsid w:val="002C0D3E"/>
    <w:rPr>
      <w:rFonts w:ascii="Segoe UI" w:eastAsia="Times New Roman" w:hAnsi="Segoe UI" w:cs="Segoe UI"/>
      <w:sz w:val="16"/>
    </w:rPr>
  </w:style>
  <w:style w:type="paragraph" w:styleId="E-mailSignature">
    <w:name w:val="E-mail Signature"/>
    <w:basedOn w:val="Normal"/>
    <w:link w:val="E-mailSignatureChar"/>
    <w:semiHidden/>
    <w:unhideWhenUsed/>
    <w:rsid w:val="002C0D3E"/>
  </w:style>
  <w:style w:type="character" w:customStyle="1" w:styleId="E-mailSignatureChar">
    <w:name w:val="E-mail Signature Char"/>
    <w:basedOn w:val="DefaultParagraphFont"/>
    <w:link w:val="E-mailSignature"/>
    <w:semiHidden/>
    <w:rsid w:val="002C0D3E"/>
    <w:rPr>
      <w:rFonts w:eastAsia="Times New Roman"/>
    </w:rPr>
  </w:style>
  <w:style w:type="character" w:styleId="Emphasis">
    <w:name w:val="Emphasis"/>
    <w:basedOn w:val="DefaultParagraphFont"/>
    <w:semiHidden/>
    <w:qFormat/>
    <w:rsid w:val="002C0D3E"/>
    <w:rPr>
      <w:i/>
    </w:rPr>
  </w:style>
  <w:style w:type="character" w:styleId="EndnoteReference">
    <w:name w:val="endnote reference"/>
    <w:basedOn w:val="DefaultParagraphFont"/>
    <w:semiHidden/>
    <w:unhideWhenUsed/>
    <w:rsid w:val="002C0D3E"/>
    <w:rPr>
      <w:vertAlign w:val="superscript"/>
    </w:rPr>
  </w:style>
  <w:style w:type="paragraph" w:styleId="EndnoteText">
    <w:name w:val="endnote text"/>
    <w:basedOn w:val="Normal"/>
    <w:link w:val="EndnoteTextChar"/>
    <w:semiHidden/>
    <w:unhideWhenUsed/>
    <w:rsid w:val="002C0D3E"/>
  </w:style>
  <w:style w:type="character" w:customStyle="1" w:styleId="EndnoteTextChar">
    <w:name w:val="Endnote Text Char"/>
    <w:basedOn w:val="DefaultParagraphFont"/>
    <w:link w:val="EndnoteText"/>
    <w:semiHidden/>
    <w:rsid w:val="002C0D3E"/>
    <w:rPr>
      <w:rFonts w:eastAsia="Times New Roman"/>
    </w:rPr>
  </w:style>
  <w:style w:type="paragraph" w:styleId="EnvelopeAddress">
    <w:name w:val="envelope address"/>
    <w:basedOn w:val="Normal"/>
    <w:semiHidden/>
    <w:unhideWhenUsed/>
    <w:rsid w:val="002C0D3E"/>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semiHidden/>
    <w:unhideWhenUsed/>
    <w:rsid w:val="002C0D3E"/>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2C0D3E"/>
  </w:style>
  <w:style w:type="character" w:customStyle="1" w:styleId="FootnoteTextChar">
    <w:name w:val="Footnote Text Char"/>
    <w:basedOn w:val="DefaultParagraphFont"/>
    <w:link w:val="FootnoteText"/>
    <w:uiPriority w:val="99"/>
    <w:semiHidden/>
    <w:rsid w:val="002C0D3E"/>
    <w:rPr>
      <w:rFonts w:eastAsia="Times New Roman"/>
    </w:rPr>
  </w:style>
  <w:style w:type="table" w:styleId="GridTable1Light">
    <w:name w:val="Grid Table 1 Light"/>
    <w:basedOn w:val="TableNormal"/>
    <w:uiPriority w:val="46"/>
    <w:rsid w:val="002C0D3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0D3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0D3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0D3E"/>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0D3E"/>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0D3E"/>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0D3E"/>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0D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0D3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C0D3E"/>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C0D3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C0D3E"/>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C0D3E"/>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C0D3E"/>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2C0D3E"/>
    <w:rPr>
      <w:color w:val="2B579A"/>
      <w:shd w:val="clear" w:color="auto" w:fill="E1DFDD"/>
    </w:rPr>
  </w:style>
  <w:style w:type="character" w:styleId="HTMLAcronym">
    <w:name w:val="HTML Acronym"/>
    <w:basedOn w:val="DefaultParagraphFont"/>
    <w:semiHidden/>
    <w:unhideWhenUsed/>
    <w:rsid w:val="002C0D3E"/>
  </w:style>
  <w:style w:type="paragraph" w:styleId="HTMLAddress">
    <w:name w:val="HTML Address"/>
    <w:basedOn w:val="Normal"/>
    <w:link w:val="HTMLAddressChar"/>
    <w:semiHidden/>
    <w:unhideWhenUsed/>
    <w:rsid w:val="002C0D3E"/>
    <w:rPr>
      <w:i/>
    </w:rPr>
  </w:style>
  <w:style w:type="character" w:customStyle="1" w:styleId="HTMLAddressChar">
    <w:name w:val="HTML Address Char"/>
    <w:basedOn w:val="DefaultParagraphFont"/>
    <w:link w:val="HTMLAddress"/>
    <w:semiHidden/>
    <w:rsid w:val="002C0D3E"/>
    <w:rPr>
      <w:rFonts w:eastAsia="Times New Roman"/>
      <w:i/>
    </w:rPr>
  </w:style>
  <w:style w:type="character" w:styleId="HTMLCite">
    <w:name w:val="HTML Cite"/>
    <w:basedOn w:val="DefaultParagraphFont"/>
    <w:semiHidden/>
    <w:unhideWhenUsed/>
    <w:rsid w:val="002C0D3E"/>
    <w:rPr>
      <w:i/>
    </w:rPr>
  </w:style>
  <w:style w:type="character" w:styleId="HTMLCode">
    <w:name w:val="HTML Code"/>
    <w:basedOn w:val="DefaultParagraphFont"/>
    <w:semiHidden/>
    <w:unhideWhenUsed/>
    <w:rsid w:val="002C0D3E"/>
    <w:rPr>
      <w:rFonts w:ascii="Consolas" w:hAnsi="Consolas"/>
      <w:sz w:val="20"/>
    </w:rPr>
  </w:style>
  <w:style w:type="character" w:styleId="HTMLDefinition">
    <w:name w:val="HTML Definition"/>
    <w:basedOn w:val="DefaultParagraphFont"/>
    <w:semiHidden/>
    <w:unhideWhenUsed/>
    <w:rsid w:val="002C0D3E"/>
    <w:rPr>
      <w:i/>
    </w:rPr>
  </w:style>
  <w:style w:type="character" w:styleId="HTMLKeyboard">
    <w:name w:val="HTML Keyboard"/>
    <w:basedOn w:val="DefaultParagraphFont"/>
    <w:semiHidden/>
    <w:unhideWhenUsed/>
    <w:rsid w:val="002C0D3E"/>
    <w:rPr>
      <w:rFonts w:ascii="Consolas" w:hAnsi="Consolas"/>
      <w:sz w:val="20"/>
    </w:rPr>
  </w:style>
  <w:style w:type="paragraph" w:styleId="HTMLPreformatted">
    <w:name w:val="HTML Preformatted"/>
    <w:basedOn w:val="Normal"/>
    <w:link w:val="HTMLPreformattedChar"/>
    <w:semiHidden/>
    <w:unhideWhenUsed/>
    <w:rsid w:val="002C0D3E"/>
    <w:rPr>
      <w:rFonts w:ascii="Consolas" w:hAnsi="Consolas"/>
    </w:rPr>
  </w:style>
  <w:style w:type="character" w:customStyle="1" w:styleId="HTMLPreformattedChar">
    <w:name w:val="HTML Preformatted Char"/>
    <w:basedOn w:val="DefaultParagraphFont"/>
    <w:link w:val="HTMLPreformatted"/>
    <w:semiHidden/>
    <w:rsid w:val="002C0D3E"/>
    <w:rPr>
      <w:rFonts w:ascii="Consolas" w:eastAsia="Times New Roman" w:hAnsi="Consolas"/>
    </w:rPr>
  </w:style>
  <w:style w:type="character" w:styleId="HTMLSample">
    <w:name w:val="HTML Sample"/>
    <w:basedOn w:val="DefaultParagraphFont"/>
    <w:semiHidden/>
    <w:unhideWhenUsed/>
    <w:rsid w:val="002C0D3E"/>
    <w:rPr>
      <w:rFonts w:ascii="Consolas" w:hAnsi="Consolas"/>
      <w:sz w:val="24"/>
    </w:rPr>
  </w:style>
  <w:style w:type="character" w:styleId="HTMLTypewriter">
    <w:name w:val="HTML Typewriter"/>
    <w:basedOn w:val="DefaultParagraphFont"/>
    <w:semiHidden/>
    <w:unhideWhenUsed/>
    <w:rsid w:val="002C0D3E"/>
    <w:rPr>
      <w:rFonts w:ascii="Consolas" w:hAnsi="Consolas"/>
      <w:sz w:val="20"/>
    </w:rPr>
  </w:style>
  <w:style w:type="character" w:styleId="HTMLVariable">
    <w:name w:val="HTML Variable"/>
    <w:basedOn w:val="DefaultParagraphFont"/>
    <w:semiHidden/>
    <w:unhideWhenUsed/>
    <w:rsid w:val="002C0D3E"/>
    <w:rPr>
      <w:i/>
    </w:rPr>
  </w:style>
  <w:style w:type="paragraph" w:styleId="Index1">
    <w:name w:val="index 1"/>
    <w:basedOn w:val="Normal"/>
    <w:next w:val="Normal"/>
    <w:autoRedefine/>
    <w:semiHidden/>
    <w:unhideWhenUsed/>
    <w:rsid w:val="002C0D3E"/>
    <w:pPr>
      <w:tabs>
        <w:tab w:val="clear" w:pos="1247"/>
      </w:tabs>
      <w:ind w:left="200" w:hanging="200"/>
    </w:pPr>
  </w:style>
  <w:style w:type="paragraph" w:styleId="Index2">
    <w:name w:val="index 2"/>
    <w:basedOn w:val="Normal"/>
    <w:next w:val="Normal"/>
    <w:autoRedefine/>
    <w:semiHidden/>
    <w:unhideWhenUsed/>
    <w:rsid w:val="002C0D3E"/>
    <w:pPr>
      <w:tabs>
        <w:tab w:val="clear" w:pos="1247"/>
      </w:tabs>
      <w:ind w:left="400" w:hanging="200"/>
    </w:pPr>
  </w:style>
  <w:style w:type="paragraph" w:styleId="Index3">
    <w:name w:val="index 3"/>
    <w:basedOn w:val="Normal"/>
    <w:next w:val="Normal"/>
    <w:autoRedefine/>
    <w:semiHidden/>
    <w:unhideWhenUsed/>
    <w:rsid w:val="002C0D3E"/>
    <w:pPr>
      <w:tabs>
        <w:tab w:val="clear" w:pos="1247"/>
      </w:tabs>
      <w:ind w:left="600" w:hanging="200"/>
    </w:pPr>
  </w:style>
  <w:style w:type="paragraph" w:styleId="Index4">
    <w:name w:val="index 4"/>
    <w:basedOn w:val="Normal"/>
    <w:next w:val="Normal"/>
    <w:autoRedefine/>
    <w:semiHidden/>
    <w:unhideWhenUsed/>
    <w:rsid w:val="002C0D3E"/>
    <w:pPr>
      <w:tabs>
        <w:tab w:val="clear" w:pos="1247"/>
      </w:tabs>
      <w:ind w:left="800" w:hanging="200"/>
    </w:pPr>
  </w:style>
  <w:style w:type="paragraph" w:styleId="Index5">
    <w:name w:val="index 5"/>
    <w:basedOn w:val="Normal"/>
    <w:next w:val="Normal"/>
    <w:autoRedefine/>
    <w:semiHidden/>
    <w:unhideWhenUsed/>
    <w:rsid w:val="002C0D3E"/>
    <w:pPr>
      <w:tabs>
        <w:tab w:val="clear" w:pos="1247"/>
      </w:tabs>
      <w:ind w:left="1000" w:hanging="200"/>
    </w:pPr>
  </w:style>
  <w:style w:type="paragraph" w:styleId="Index6">
    <w:name w:val="index 6"/>
    <w:basedOn w:val="Normal"/>
    <w:next w:val="Normal"/>
    <w:autoRedefine/>
    <w:semiHidden/>
    <w:unhideWhenUsed/>
    <w:rsid w:val="002C0D3E"/>
    <w:pPr>
      <w:tabs>
        <w:tab w:val="clear" w:pos="1247"/>
      </w:tabs>
      <w:ind w:left="1200" w:hanging="200"/>
    </w:pPr>
  </w:style>
  <w:style w:type="paragraph" w:styleId="Index7">
    <w:name w:val="index 7"/>
    <w:basedOn w:val="Normal"/>
    <w:next w:val="Normal"/>
    <w:autoRedefine/>
    <w:semiHidden/>
    <w:unhideWhenUsed/>
    <w:rsid w:val="002C0D3E"/>
    <w:pPr>
      <w:tabs>
        <w:tab w:val="clear" w:pos="1247"/>
      </w:tabs>
      <w:ind w:left="1400" w:hanging="200"/>
    </w:pPr>
  </w:style>
  <w:style w:type="paragraph" w:styleId="Index8">
    <w:name w:val="index 8"/>
    <w:basedOn w:val="Normal"/>
    <w:next w:val="Normal"/>
    <w:autoRedefine/>
    <w:semiHidden/>
    <w:unhideWhenUsed/>
    <w:rsid w:val="002C0D3E"/>
    <w:pPr>
      <w:tabs>
        <w:tab w:val="clear" w:pos="1247"/>
      </w:tabs>
      <w:ind w:left="1600" w:hanging="200"/>
    </w:pPr>
  </w:style>
  <w:style w:type="paragraph" w:styleId="Index9">
    <w:name w:val="index 9"/>
    <w:basedOn w:val="Normal"/>
    <w:next w:val="Normal"/>
    <w:autoRedefine/>
    <w:semiHidden/>
    <w:unhideWhenUsed/>
    <w:rsid w:val="002C0D3E"/>
    <w:pPr>
      <w:tabs>
        <w:tab w:val="clear" w:pos="1247"/>
      </w:tabs>
      <w:ind w:left="1800" w:hanging="200"/>
    </w:pPr>
  </w:style>
  <w:style w:type="paragraph" w:styleId="IndexHeading">
    <w:name w:val="index heading"/>
    <w:basedOn w:val="Normal"/>
    <w:next w:val="Index1"/>
    <w:semiHidden/>
    <w:unhideWhenUsed/>
    <w:rsid w:val="002C0D3E"/>
    <w:rPr>
      <w:rFonts w:asciiTheme="majorHAnsi" w:eastAsiaTheme="majorEastAsia" w:hAnsiTheme="majorHAnsi" w:cstheme="majorBidi"/>
      <w:b/>
    </w:rPr>
  </w:style>
  <w:style w:type="character" w:styleId="IntenseEmphasis">
    <w:name w:val="Intense Emphasis"/>
    <w:basedOn w:val="DefaultParagraphFont"/>
    <w:uiPriority w:val="21"/>
    <w:semiHidden/>
    <w:qFormat/>
    <w:rsid w:val="002C0D3E"/>
    <w:rPr>
      <w:i/>
      <w:color w:val="4F81BD" w:themeColor="accent1"/>
    </w:rPr>
  </w:style>
  <w:style w:type="paragraph" w:styleId="IntenseQuote">
    <w:name w:val="Intense Quote"/>
    <w:basedOn w:val="Normal"/>
    <w:next w:val="Normal"/>
    <w:link w:val="IntenseQuoteChar"/>
    <w:uiPriority w:val="30"/>
    <w:semiHidden/>
    <w:qFormat/>
    <w:rsid w:val="002C0D3E"/>
    <w:pPr>
      <w:pBdr>
        <w:top w:val="single" w:sz="4" w:space="10" w:color="4F81BD" w:themeColor="accent1"/>
        <w:bottom w:val="single" w:sz="4" w:space="10" w:color="4F81BD" w:themeColor="accent1"/>
      </w:pBdr>
      <w:spacing w:before="360" w:after="360"/>
      <w:ind w:left="864" w:right="864"/>
      <w:jc w:val="center"/>
    </w:pPr>
    <w:rPr>
      <w:i/>
      <w:color w:val="4F81BD" w:themeColor="accent1"/>
    </w:rPr>
  </w:style>
  <w:style w:type="character" w:customStyle="1" w:styleId="IntenseQuoteChar">
    <w:name w:val="Intense Quote Char"/>
    <w:basedOn w:val="DefaultParagraphFont"/>
    <w:link w:val="IntenseQuote"/>
    <w:uiPriority w:val="30"/>
    <w:semiHidden/>
    <w:rsid w:val="002C0D3E"/>
    <w:rPr>
      <w:rFonts w:eastAsia="Times New Roman"/>
      <w:i/>
      <w:color w:val="4F81BD" w:themeColor="accent1"/>
    </w:rPr>
  </w:style>
  <w:style w:type="character" w:styleId="IntenseReference">
    <w:name w:val="Intense Reference"/>
    <w:basedOn w:val="DefaultParagraphFont"/>
    <w:uiPriority w:val="32"/>
    <w:semiHidden/>
    <w:qFormat/>
    <w:rsid w:val="002C0D3E"/>
    <w:rPr>
      <w:b/>
      <w:smallCaps/>
      <w:color w:val="4F81BD" w:themeColor="accent1"/>
    </w:rPr>
  </w:style>
  <w:style w:type="table" w:styleId="LightGrid">
    <w:name w:val="Light Grid"/>
    <w:basedOn w:val="TableNormal"/>
    <w:uiPriority w:val="62"/>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C0D3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0D3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C0D3E"/>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C0D3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C0D3E"/>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C0D3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C0D3E"/>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2C0D3E"/>
  </w:style>
  <w:style w:type="paragraph" w:styleId="List">
    <w:name w:val="List"/>
    <w:basedOn w:val="Normal"/>
    <w:semiHidden/>
    <w:unhideWhenUsed/>
    <w:rsid w:val="002C0D3E"/>
    <w:pPr>
      <w:ind w:left="283" w:hanging="283"/>
      <w:contextualSpacing/>
    </w:pPr>
  </w:style>
  <w:style w:type="paragraph" w:styleId="List2">
    <w:name w:val="List 2"/>
    <w:basedOn w:val="Normal"/>
    <w:semiHidden/>
    <w:unhideWhenUsed/>
    <w:rsid w:val="002C0D3E"/>
    <w:pPr>
      <w:ind w:left="566" w:hanging="283"/>
      <w:contextualSpacing/>
    </w:pPr>
  </w:style>
  <w:style w:type="paragraph" w:styleId="List3">
    <w:name w:val="List 3"/>
    <w:basedOn w:val="Normal"/>
    <w:semiHidden/>
    <w:unhideWhenUsed/>
    <w:rsid w:val="002C0D3E"/>
    <w:pPr>
      <w:ind w:left="849" w:hanging="283"/>
      <w:contextualSpacing/>
    </w:pPr>
  </w:style>
  <w:style w:type="paragraph" w:styleId="List4">
    <w:name w:val="List 4"/>
    <w:basedOn w:val="Normal"/>
    <w:semiHidden/>
    <w:unhideWhenUsed/>
    <w:rsid w:val="002C0D3E"/>
    <w:pPr>
      <w:ind w:left="1132" w:hanging="283"/>
      <w:contextualSpacing/>
    </w:pPr>
  </w:style>
  <w:style w:type="paragraph" w:styleId="List5">
    <w:name w:val="List 5"/>
    <w:basedOn w:val="Normal"/>
    <w:semiHidden/>
    <w:unhideWhenUsed/>
    <w:rsid w:val="002C0D3E"/>
    <w:pPr>
      <w:ind w:left="1415" w:hanging="283"/>
      <w:contextualSpacing/>
    </w:pPr>
  </w:style>
  <w:style w:type="paragraph" w:styleId="ListBullet">
    <w:name w:val="List Bullet"/>
    <w:basedOn w:val="Normal"/>
    <w:semiHidden/>
    <w:rsid w:val="002C0D3E"/>
    <w:pPr>
      <w:numPr>
        <w:numId w:val="6"/>
      </w:numPr>
      <w:contextualSpacing/>
    </w:pPr>
  </w:style>
  <w:style w:type="paragraph" w:styleId="ListBullet2">
    <w:name w:val="List Bullet 2"/>
    <w:basedOn w:val="Normal"/>
    <w:semiHidden/>
    <w:unhideWhenUsed/>
    <w:rsid w:val="002C0D3E"/>
    <w:pPr>
      <w:numPr>
        <w:numId w:val="7"/>
      </w:numPr>
      <w:contextualSpacing/>
    </w:pPr>
  </w:style>
  <w:style w:type="paragraph" w:styleId="ListBullet3">
    <w:name w:val="List Bullet 3"/>
    <w:basedOn w:val="Normal"/>
    <w:semiHidden/>
    <w:unhideWhenUsed/>
    <w:rsid w:val="002C0D3E"/>
    <w:pPr>
      <w:numPr>
        <w:numId w:val="8"/>
      </w:numPr>
      <w:contextualSpacing/>
    </w:pPr>
  </w:style>
  <w:style w:type="paragraph" w:styleId="ListBullet4">
    <w:name w:val="List Bullet 4"/>
    <w:basedOn w:val="Normal"/>
    <w:semiHidden/>
    <w:unhideWhenUsed/>
    <w:rsid w:val="002C0D3E"/>
    <w:pPr>
      <w:numPr>
        <w:numId w:val="9"/>
      </w:numPr>
      <w:contextualSpacing/>
    </w:pPr>
  </w:style>
  <w:style w:type="paragraph" w:styleId="ListBullet5">
    <w:name w:val="List Bullet 5"/>
    <w:basedOn w:val="Normal"/>
    <w:semiHidden/>
    <w:unhideWhenUsed/>
    <w:rsid w:val="002C0D3E"/>
    <w:pPr>
      <w:numPr>
        <w:numId w:val="10"/>
      </w:numPr>
      <w:contextualSpacing/>
    </w:pPr>
  </w:style>
  <w:style w:type="paragraph" w:styleId="ListContinue">
    <w:name w:val="List Continue"/>
    <w:basedOn w:val="Normal"/>
    <w:semiHidden/>
    <w:unhideWhenUsed/>
    <w:rsid w:val="002C0D3E"/>
    <w:pPr>
      <w:spacing w:after="120"/>
      <w:ind w:left="283"/>
      <w:contextualSpacing/>
    </w:pPr>
  </w:style>
  <w:style w:type="paragraph" w:styleId="ListContinue2">
    <w:name w:val="List Continue 2"/>
    <w:basedOn w:val="Normal"/>
    <w:semiHidden/>
    <w:unhideWhenUsed/>
    <w:rsid w:val="002C0D3E"/>
    <w:pPr>
      <w:spacing w:after="120"/>
      <w:ind w:left="566"/>
      <w:contextualSpacing/>
    </w:pPr>
  </w:style>
  <w:style w:type="paragraph" w:styleId="ListContinue3">
    <w:name w:val="List Continue 3"/>
    <w:basedOn w:val="Normal"/>
    <w:semiHidden/>
    <w:rsid w:val="002C0D3E"/>
    <w:pPr>
      <w:spacing w:after="120"/>
      <w:ind w:left="849"/>
      <w:contextualSpacing/>
    </w:pPr>
  </w:style>
  <w:style w:type="paragraph" w:styleId="ListContinue4">
    <w:name w:val="List Continue 4"/>
    <w:basedOn w:val="Normal"/>
    <w:semiHidden/>
    <w:rsid w:val="002C0D3E"/>
    <w:pPr>
      <w:spacing w:after="120"/>
      <w:ind w:left="1132"/>
      <w:contextualSpacing/>
    </w:pPr>
  </w:style>
  <w:style w:type="paragraph" w:styleId="ListContinue5">
    <w:name w:val="List Continue 5"/>
    <w:basedOn w:val="Normal"/>
    <w:semiHidden/>
    <w:rsid w:val="002C0D3E"/>
    <w:pPr>
      <w:spacing w:after="120"/>
      <w:ind w:left="1415"/>
      <w:contextualSpacing/>
    </w:pPr>
  </w:style>
  <w:style w:type="paragraph" w:styleId="ListNumber">
    <w:name w:val="List Number"/>
    <w:basedOn w:val="Normal"/>
    <w:semiHidden/>
    <w:rsid w:val="002C0D3E"/>
    <w:pPr>
      <w:numPr>
        <w:numId w:val="11"/>
      </w:numPr>
      <w:contextualSpacing/>
    </w:pPr>
  </w:style>
  <w:style w:type="paragraph" w:styleId="ListNumber2">
    <w:name w:val="List Number 2"/>
    <w:basedOn w:val="Normal"/>
    <w:semiHidden/>
    <w:unhideWhenUsed/>
    <w:rsid w:val="002C0D3E"/>
    <w:pPr>
      <w:numPr>
        <w:numId w:val="12"/>
      </w:numPr>
      <w:contextualSpacing/>
    </w:pPr>
  </w:style>
  <w:style w:type="paragraph" w:styleId="ListNumber3">
    <w:name w:val="List Number 3"/>
    <w:basedOn w:val="Normal"/>
    <w:semiHidden/>
    <w:unhideWhenUsed/>
    <w:rsid w:val="002C0D3E"/>
    <w:pPr>
      <w:numPr>
        <w:numId w:val="13"/>
      </w:numPr>
      <w:contextualSpacing/>
    </w:pPr>
  </w:style>
  <w:style w:type="paragraph" w:styleId="ListNumber4">
    <w:name w:val="List Number 4"/>
    <w:basedOn w:val="Normal"/>
    <w:semiHidden/>
    <w:unhideWhenUsed/>
    <w:rsid w:val="002C0D3E"/>
    <w:pPr>
      <w:numPr>
        <w:numId w:val="14"/>
      </w:numPr>
      <w:contextualSpacing/>
    </w:pPr>
  </w:style>
  <w:style w:type="paragraph" w:styleId="ListNumber5">
    <w:name w:val="List Number 5"/>
    <w:basedOn w:val="Normal"/>
    <w:semiHidden/>
    <w:unhideWhenUsed/>
    <w:rsid w:val="002C0D3E"/>
    <w:pPr>
      <w:numPr>
        <w:numId w:val="15"/>
      </w:numPr>
      <w:contextualSpacing/>
    </w:pPr>
  </w:style>
  <w:style w:type="table" w:styleId="ListTable1Light">
    <w:name w:val="List Table 1 Light"/>
    <w:basedOn w:val="TableNormal"/>
    <w:uiPriority w:val="46"/>
    <w:rsid w:val="002C0D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0D3E"/>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C0D3E"/>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C0D3E"/>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C0D3E"/>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C0D3E"/>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C0D3E"/>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C0D3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0D3E"/>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C0D3E"/>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C0D3E"/>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C0D3E"/>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C0D3E"/>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C0D3E"/>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C0D3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0D3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C0D3E"/>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C0D3E"/>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C0D3E"/>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C0D3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C0D3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C0D3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0D3E"/>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0D3E"/>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0D3E"/>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0D3E"/>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0D3E"/>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0D3E"/>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0D3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0D3E"/>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C0D3E"/>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C0D3E"/>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C0D3E"/>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C0D3E"/>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C0D3E"/>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C0D3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0D3E"/>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0D3E"/>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0D3E"/>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0D3E"/>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0D3E"/>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0D3E"/>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2C0D3E"/>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rPr>
  </w:style>
  <w:style w:type="character" w:customStyle="1" w:styleId="MacroTextChar">
    <w:name w:val="Macro Text Char"/>
    <w:basedOn w:val="DefaultParagraphFont"/>
    <w:link w:val="MacroText"/>
    <w:semiHidden/>
    <w:rsid w:val="002C0D3E"/>
    <w:rPr>
      <w:rFonts w:ascii="Consolas" w:eastAsia="Times New Roman" w:hAnsi="Consolas"/>
    </w:rPr>
  </w:style>
  <w:style w:type="table" w:styleId="MediumGrid1">
    <w:name w:val="Medium Grid 1"/>
    <w:basedOn w:val="TableNormal"/>
    <w:uiPriority w:val="67"/>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C0D3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0D3E"/>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C0D3E"/>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C0D3E"/>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C0D3E"/>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C0D3E"/>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C0D3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2C0D3E"/>
    <w:rPr>
      <w:color w:val="2B579A"/>
      <w:shd w:val="clear" w:color="auto" w:fill="E1DFDD"/>
    </w:rPr>
  </w:style>
  <w:style w:type="paragraph" w:styleId="MessageHeader">
    <w:name w:val="Message Header"/>
    <w:basedOn w:val="Normal"/>
    <w:link w:val="MessageHeaderChar"/>
    <w:semiHidden/>
    <w:rsid w:val="002C0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semiHidden/>
    <w:rsid w:val="002C0D3E"/>
    <w:rPr>
      <w:rFonts w:asciiTheme="majorHAnsi" w:eastAsiaTheme="majorEastAsia" w:hAnsiTheme="majorHAnsi" w:cstheme="majorBidi"/>
      <w:sz w:val="24"/>
      <w:shd w:val="pct20" w:color="auto" w:fill="auto"/>
    </w:rPr>
  </w:style>
  <w:style w:type="paragraph" w:styleId="NormalIndent">
    <w:name w:val="Normal Indent"/>
    <w:basedOn w:val="Normal"/>
    <w:semiHidden/>
    <w:unhideWhenUsed/>
    <w:rsid w:val="002C0D3E"/>
    <w:pPr>
      <w:ind w:left="720"/>
    </w:pPr>
  </w:style>
  <w:style w:type="paragraph" w:styleId="NoteHeading">
    <w:name w:val="Note Heading"/>
    <w:basedOn w:val="Normal"/>
    <w:next w:val="Normal"/>
    <w:link w:val="NoteHeadingChar"/>
    <w:semiHidden/>
    <w:unhideWhenUsed/>
    <w:rsid w:val="002C0D3E"/>
  </w:style>
  <w:style w:type="character" w:customStyle="1" w:styleId="NoteHeadingChar">
    <w:name w:val="Note Heading Char"/>
    <w:basedOn w:val="DefaultParagraphFont"/>
    <w:link w:val="NoteHeading"/>
    <w:semiHidden/>
    <w:rsid w:val="002C0D3E"/>
    <w:rPr>
      <w:rFonts w:eastAsia="Times New Roman"/>
    </w:rPr>
  </w:style>
  <w:style w:type="table" w:styleId="PlainTable1">
    <w:name w:val="Plain Table 1"/>
    <w:basedOn w:val="TableNormal"/>
    <w:uiPriority w:val="41"/>
    <w:rsid w:val="002C0D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0D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0D3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0D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0D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2C0D3E"/>
    <w:rPr>
      <w:rFonts w:ascii="Consolas" w:hAnsi="Consolas"/>
      <w:sz w:val="21"/>
    </w:rPr>
  </w:style>
  <w:style w:type="character" w:customStyle="1" w:styleId="PlainTextChar">
    <w:name w:val="Plain Text Char"/>
    <w:basedOn w:val="DefaultParagraphFont"/>
    <w:link w:val="PlainText"/>
    <w:semiHidden/>
    <w:rsid w:val="002C0D3E"/>
    <w:rPr>
      <w:rFonts w:ascii="Consolas" w:eastAsia="Times New Roman" w:hAnsi="Consolas"/>
      <w:sz w:val="21"/>
    </w:rPr>
  </w:style>
  <w:style w:type="paragraph" w:styleId="Quote">
    <w:name w:val="Quote"/>
    <w:basedOn w:val="Normal"/>
    <w:next w:val="Normal"/>
    <w:link w:val="QuoteChar"/>
    <w:uiPriority w:val="29"/>
    <w:semiHidden/>
    <w:qFormat/>
    <w:rsid w:val="002C0D3E"/>
    <w:pPr>
      <w:spacing w:before="200" w:after="160"/>
      <w:ind w:left="864" w:right="864"/>
      <w:jc w:val="center"/>
    </w:pPr>
    <w:rPr>
      <w:i/>
      <w:color w:val="404040" w:themeColor="text1" w:themeTint="BF"/>
    </w:rPr>
  </w:style>
  <w:style w:type="character" w:customStyle="1" w:styleId="QuoteChar">
    <w:name w:val="Quote Char"/>
    <w:basedOn w:val="DefaultParagraphFont"/>
    <w:link w:val="Quote"/>
    <w:uiPriority w:val="29"/>
    <w:semiHidden/>
    <w:rsid w:val="002C0D3E"/>
    <w:rPr>
      <w:rFonts w:eastAsia="Times New Roman"/>
      <w:i/>
      <w:color w:val="404040" w:themeColor="text1" w:themeTint="BF"/>
    </w:rPr>
  </w:style>
  <w:style w:type="paragraph" w:styleId="Salutation">
    <w:name w:val="Salutation"/>
    <w:basedOn w:val="Normal"/>
    <w:next w:val="Normal"/>
    <w:link w:val="SalutationChar"/>
    <w:semiHidden/>
    <w:unhideWhenUsed/>
    <w:rsid w:val="002C0D3E"/>
  </w:style>
  <w:style w:type="character" w:customStyle="1" w:styleId="SalutationChar">
    <w:name w:val="Salutation Char"/>
    <w:basedOn w:val="DefaultParagraphFont"/>
    <w:link w:val="Salutation"/>
    <w:semiHidden/>
    <w:rsid w:val="002C0D3E"/>
    <w:rPr>
      <w:rFonts w:eastAsia="Times New Roman"/>
    </w:rPr>
  </w:style>
  <w:style w:type="paragraph" w:styleId="Signature">
    <w:name w:val="Signature"/>
    <w:basedOn w:val="Normal"/>
    <w:link w:val="SignatureChar"/>
    <w:semiHidden/>
    <w:unhideWhenUsed/>
    <w:rsid w:val="002C0D3E"/>
    <w:pPr>
      <w:ind w:left="4252"/>
    </w:pPr>
  </w:style>
  <w:style w:type="character" w:customStyle="1" w:styleId="SignatureChar">
    <w:name w:val="Signature Char"/>
    <w:basedOn w:val="DefaultParagraphFont"/>
    <w:link w:val="Signature"/>
    <w:semiHidden/>
    <w:rsid w:val="002C0D3E"/>
    <w:rPr>
      <w:rFonts w:eastAsia="Times New Roman"/>
    </w:rPr>
  </w:style>
  <w:style w:type="character" w:styleId="SmartHyperlink">
    <w:name w:val="Smart Hyperlink"/>
    <w:basedOn w:val="DefaultParagraphFont"/>
    <w:uiPriority w:val="99"/>
    <w:semiHidden/>
    <w:rsid w:val="002C0D3E"/>
    <w:rPr>
      <w:u w:val="dotted"/>
    </w:rPr>
  </w:style>
  <w:style w:type="character" w:styleId="SmartLink">
    <w:name w:val="Smart Link"/>
    <w:basedOn w:val="DefaultParagraphFont"/>
    <w:uiPriority w:val="99"/>
    <w:semiHidden/>
    <w:unhideWhenUsed/>
    <w:rsid w:val="002C0D3E"/>
    <w:rPr>
      <w:color w:val="0000FF"/>
      <w:u w:val="single"/>
      <w:shd w:val="clear" w:color="auto" w:fill="F3F2F1"/>
    </w:rPr>
  </w:style>
  <w:style w:type="character" w:styleId="Strong">
    <w:name w:val="Strong"/>
    <w:basedOn w:val="DefaultParagraphFont"/>
    <w:uiPriority w:val="22"/>
    <w:qFormat/>
    <w:rsid w:val="002C0D3E"/>
    <w:rPr>
      <w:b/>
    </w:rPr>
  </w:style>
  <w:style w:type="paragraph" w:styleId="Subtitle">
    <w:name w:val="Subtitle"/>
    <w:basedOn w:val="Normal"/>
    <w:next w:val="Normal"/>
    <w:link w:val="SubtitleChar"/>
    <w:semiHidden/>
    <w:qFormat/>
    <w:rsid w:val="002C0D3E"/>
    <w:pPr>
      <w:numPr>
        <w:ilvl w:val="1"/>
      </w:numPr>
      <w:spacing w:after="160"/>
    </w:pPr>
    <w:rPr>
      <w:rFonts w:asciiTheme="minorHAnsi" w:eastAsiaTheme="minorEastAsia" w:hAnsiTheme="minorHAnsi" w:cstheme="minorBidi"/>
      <w:color w:val="5A5A5A" w:themeColor="text1" w:themeTint="A5"/>
      <w:sz w:val="22"/>
    </w:rPr>
  </w:style>
  <w:style w:type="character" w:customStyle="1" w:styleId="SubtitleChar">
    <w:name w:val="Subtitle Char"/>
    <w:basedOn w:val="DefaultParagraphFont"/>
    <w:link w:val="Subtitle"/>
    <w:semiHidden/>
    <w:rsid w:val="002C0D3E"/>
    <w:rPr>
      <w:rFonts w:asciiTheme="minorHAnsi" w:eastAsiaTheme="minorEastAsia" w:hAnsiTheme="minorHAnsi" w:cstheme="minorBidi"/>
      <w:color w:val="5A5A5A" w:themeColor="text1" w:themeTint="A5"/>
      <w:sz w:val="22"/>
    </w:rPr>
  </w:style>
  <w:style w:type="character" w:styleId="SubtleEmphasis">
    <w:name w:val="Subtle Emphasis"/>
    <w:basedOn w:val="DefaultParagraphFont"/>
    <w:uiPriority w:val="19"/>
    <w:semiHidden/>
    <w:qFormat/>
    <w:rsid w:val="002C0D3E"/>
    <w:rPr>
      <w:i/>
      <w:color w:val="404040" w:themeColor="text1" w:themeTint="BF"/>
    </w:rPr>
  </w:style>
  <w:style w:type="character" w:styleId="SubtleReference">
    <w:name w:val="Subtle Reference"/>
    <w:basedOn w:val="DefaultParagraphFont"/>
    <w:uiPriority w:val="31"/>
    <w:semiHidden/>
    <w:qFormat/>
    <w:rsid w:val="002C0D3E"/>
    <w:rPr>
      <w:smallCaps/>
      <w:color w:val="5A5A5A" w:themeColor="text1" w:themeTint="A5"/>
    </w:rPr>
  </w:style>
  <w:style w:type="table" w:styleId="Table3Deffects1">
    <w:name w:val="Table 3D effect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0D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2C0D3E"/>
    <w:pPr>
      <w:tabs>
        <w:tab w:val="clear" w:pos="1247"/>
      </w:tabs>
      <w:ind w:left="200" w:hanging="200"/>
    </w:pPr>
  </w:style>
  <w:style w:type="table" w:styleId="TableProfessional">
    <w:name w:val="Table Professional"/>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2C0D3E"/>
    <w:pPr>
      <w:contextualSpacing/>
    </w:pPr>
    <w:rPr>
      <w:rFonts w:asciiTheme="majorHAnsi" w:eastAsiaTheme="majorEastAsia" w:hAnsiTheme="majorHAnsi" w:cstheme="majorBidi"/>
      <w:kern w:val="28"/>
      <w:sz w:val="56"/>
    </w:rPr>
  </w:style>
  <w:style w:type="character" w:customStyle="1" w:styleId="TitleChar">
    <w:name w:val="Title Char"/>
    <w:basedOn w:val="DefaultParagraphFont"/>
    <w:link w:val="Title"/>
    <w:semiHidden/>
    <w:rsid w:val="002C0D3E"/>
    <w:rPr>
      <w:rFonts w:asciiTheme="majorHAnsi" w:eastAsiaTheme="majorEastAsia" w:hAnsiTheme="majorHAnsi" w:cstheme="majorBidi"/>
      <w:kern w:val="28"/>
      <w:sz w:val="56"/>
    </w:rPr>
  </w:style>
  <w:style w:type="paragraph" w:styleId="TOAHeading">
    <w:name w:val="toa heading"/>
    <w:basedOn w:val="Normal"/>
    <w:next w:val="Normal"/>
    <w:semiHidden/>
    <w:unhideWhenUsed/>
    <w:rsid w:val="002C0D3E"/>
    <w:pPr>
      <w:spacing w:before="120"/>
    </w:pPr>
    <w:rPr>
      <w:rFonts w:asciiTheme="majorHAnsi" w:eastAsiaTheme="majorEastAsia" w:hAnsiTheme="majorHAnsi" w:cstheme="majorBidi"/>
      <w:b/>
      <w:sz w:val="24"/>
    </w:rPr>
  </w:style>
  <w:style w:type="paragraph" w:styleId="TOCHeading">
    <w:name w:val="TOC Heading"/>
    <w:basedOn w:val="Heading1"/>
    <w:next w:val="Normal"/>
    <w:uiPriority w:val="39"/>
    <w:semiHidden/>
    <w:unhideWhenUsed/>
    <w:qFormat/>
    <w:rsid w:val="002C0D3E"/>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rPr>
  </w:style>
  <w:style w:type="character" w:customStyle="1" w:styleId="BBTitleChar">
    <w:name w:val="BB_Title Char"/>
    <w:link w:val="BBTitle"/>
    <w:rsid w:val="001F1F39"/>
    <w:rPr>
      <w:rFonts w:eastAsia="Times New Roman"/>
      <w:b/>
      <w:sz w:val="28"/>
    </w:rPr>
  </w:style>
  <w:style w:type="character" w:customStyle="1" w:styleId="CH2Char">
    <w:name w:val="CH2 Char"/>
    <w:link w:val="CH2"/>
    <w:locked/>
    <w:rsid w:val="006215D4"/>
    <w:rPr>
      <w:rFonts w:eastAsia="Times New Roman"/>
      <w:b/>
      <w:sz w:val="24"/>
    </w:rPr>
  </w:style>
  <w:style w:type="paragraph" w:styleId="Revision">
    <w:name w:val="Revision"/>
    <w:hidden/>
    <w:uiPriority w:val="99"/>
    <w:semiHidden/>
    <w:rsid w:val="00C44D1F"/>
    <w:rPr>
      <w:rFonts w:eastAsia="Times New Roman"/>
    </w:rPr>
  </w:style>
  <w:style w:type="numbering" w:customStyle="1" w:styleId="CurrentList1">
    <w:name w:val="Current List1"/>
    <w:uiPriority w:val="99"/>
    <w:rsid w:val="009173A9"/>
    <w:pPr>
      <w:numPr>
        <w:numId w:val="16"/>
      </w:numPr>
    </w:pPr>
  </w:style>
  <w:style w:type="character" w:customStyle="1" w:styleId="ZZAnxtitleChar">
    <w:name w:val="ZZ_Anx_title Char"/>
    <w:link w:val="ZZAnxtitle"/>
    <w:rsid w:val="003511F7"/>
    <w:rPr>
      <w:rFonts w:eastAsia="Times New Roman"/>
      <w:b/>
      <w:sz w:val="28"/>
    </w:rPr>
  </w:style>
  <w:style w:type="character" w:customStyle="1" w:styleId="Normal-poolChar">
    <w:name w:val="Normal-pool Char"/>
    <w:link w:val="Normal-pool"/>
    <w:locked/>
    <w:rsid w:val="003511F7"/>
    <w:rPr>
      <w:rFonts w:eastAsia="Times New Roman"/>
    </w:rPr>
  </w:style>
  <w:style w:type="character" w:customStyle="1" w:styleId="NormalNonumberChar">
    <w:name w:val="Normal_No_number Char"/>
    <w:link w:val="NormalNonumber"/>
    <w:locked/>
    <w:rsid w:val="003511F7"/>
    <w:rPr>
      <w:rFonts w:eastAsia="Times New Roman"/>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semiHidden/>
    <w:rsid w:val="00D73252"/>
    <w:pPr>
      <w:tabs>
        <w:tab w:val="clear" w:pos="1247"/>
        <w:tab w:val="clear" w:pos="1814"/>
        <w:tab w:val="clear" w:pos="2381"/>
        <w:tab w:val="clear" w:pos="2948"/>
        <w:tab w:val="clear" w:pos="3515"/>
      </w:tabs>
      <w:spacing w:before="120" w:after="160" w:line="240" w:lineRule="exact"/>
    </w:pPr>
    <w:rPr>
      <w:rFonts w:eastAsia="SimSun"/>
      <w:vertAlign w:val="superscript"/>
    </w:rPr>
  </w:style>
  <w:style w:type="paragraph" w:customStyle="1" w:styleId="P68B1DB1-Normal-pool-Table1">
    <w:name w:val="P68B1DB1-Normal-pool-Table1"/>
    <w:basedOn w:val="Normal-pool-Table"/>
    <w:rPr>
      <w:i/>
    </w:rPr>
  </w:style>
  <w:style w:type="paragraph" w:customStyle="1" w:styleId="P68B1DB1-Normal-pool-Table2">
    <w:name w:val="P68B1DB1-Normal-pool-Table2"/>
    <w:basedOn w:val="Normal-pool-Table"/>
    <w:rPr>
      <w:b/>
    </w:rPr>
  </w:style>
  <w:style w:type="paragraph" w:customStyle="1" w:styleId="P68B1DB1-Normal-pool-Table3">
    <w:name w:val="P68B1DB1-Normal-pool-Table3"/>
    <w:basedOn w:val="Normal-pool-Table"/>
    <w:rPr>
      <w:color w:val="000000" w:themeColor="text1"/>
    </w:rPr>
  </w:style>
  <w:style w:type="paragraph" w:customStyle="1" w:styleId="P68B1DB1-Normal-pool4">
    <w:name w:val="P68B1DB1-Normal-pool4"/>
    <w:basedOn w:val="Normal-pool"/>
    <w:rPr>
      <w:sz w:val="17"/>
    </w:rPr>
  </w:style>
  <w:style w:type="paragraph" w:customStyle="1" w:styleId="P68B1DB1-Normalnumber5">
    <w:name w:val="P68B1DB1-Normalnumber5"/>
    <w:basedOn w:val="Normalnumber"/>
  </w:style>
  <w:style w:type="paragraph" w:customStyle="1" w:styleId="P68B1DB1-Normal-pool-Table6">
    <w:name w:val="P68B1DB1-Normal-pool-Table6"/>
    <w:basedOn w:val="Normal-pool-Table"/>
    <w:rPr>
      <w:b/>
      <w:sz w:val="16"/>
    </w:rPr>
  </w:style>
  <w:style w:type="paragraph" w:customStyle="1" w:styleId="P68B1DB1-Normal-pool-Table7">
    <w:name w:val="P68B1DB1-Normal-pool-Table7"/>
    <w:basedOn w:val="Normal-pool-Table"/>
    <w:rPr>
      <w:sz w:val="16"/>
    </w:rPr>
  </w:style>
  <w:style w:type="paragraph" w:customStyle="1" w:styleId="P68B1DB1-Normal-pool-Table8">
    <w:name w:val="P68B1DB1-Normal-pool-Table8"/>
    <w:basedOn w:val="Normal-pool-Table"/>
    <w:rPr>
      <w:b/>
      <w:color w:val="000000"/>
    </w:rPr>
  </w:style>
  <w:style w:type="paragraph" w:customStyle="1" w:styleId="P68B1DB1-Normal-pool-Table9">
    <w:name w:val="P68B1DB1-Normal-pool-Table9"/>
    <w:basedOn w:val="Normal-pool-Table"/>
    <w:rPr>
      <w:color w:val="000000"/>
      <w:sz w:val="17"/>
    </w:rPr>
  </w:style>
  <w:style w:type="paragraph" w:customStyle="1" w:styleId="P68B1DB1-Normalnumber10">
    <w:name w:val="P68B1DB1-Normalnumber10"/>
    <w:basedOn w:val="Normalnumber"/>
    <w:rPr>
      <w:color w:val="000000" w:themeColor="text1"/>
    </w:rPr>
  </w:style>
  <w:style w:type="paragraph" w:customStyle="1" w:styleId="P68B1DB1-NormalNonumber11">
    <w:name w:val="P68B1DB1-NormalNonumber11"/>
    <w:basedOn w:val="NormalNonumber"/>
    <w:rPr>
      <w:sz w:val="17"/>
    </w:rPr>
  </w:style>
  <w:style w:type="paragraph" w:customStyle="1" w:styleId="P68B1DB1-NormalNonumber12">
    <w:name w:val="P68B1DB1-NormalNonumber12"/>
    <w:basedOn w:val="NormalNonumbe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Document_x0020_Date xmlns="985ec44e-1bab-4c0b-9df0-6ba128686fc9">2026-10-09T17:07:32+00:00</Document_x0020_Date>
    <KpiDescription xmlns="http://schemas.microsoft.com/sharepoint/v3" xsi:nil="true"/>
    <gba66df640194346a5267c50f24d4797 xmlns="985ec44e-1bab-4c0b-9df0-6ba128686fc9">
      <Terms xmlns="http://schemas.microsoft.com/office/infopath/2007/PartnerControls"/>
    </gba66df640194346a5267c50f24d4797>
    <Document_x0020_Type xmlns="985ec44e-1bab-4c0b-9df0-6ba128686fc9">UN others</Document_x0020_Type>
    <Date_x0020_Sent xmlns="985ec44e-1bab-4c0b-9df0-6ba128686fc9">2026-10-09T17:07:32+00:00</Date_x0020_Sent>
    <Personal_x0020_Information_x0020__x0028_PII_x0029_ xmlns="985ec44e-1bab-4c0b-9df0-6ba128686fc9">false</Personal_x0020_Information_x0020__x0028_PII_x0029_>
    <Date_x0020_Received xmlns="985ec44e-1bab-4c0b-9df0-6ba128686fc9">2026-10-09T17:07:32+00:00</Date_x0020_Received>
    <Linked_x0020_Records xmlns="985ec44e-1bab-4c0b-9df0-6ba128686fc9">
      <Url xsi:nil="true"/>
      <Description xsi:nil="true"/>
    </Linked_x0020_Records>
    <Security_x0020_Level xmlns="985ec44e-1bab-4c0b-9df0-6ba128686fc9">Unclassified</Security_x0020_Level>
    <UN_x0020_Official_x0020_Language xmlns="985ec44e-1bab-4c0b-9df0-6ba128686fc9">English</UN_x0020_Official_x0020_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78175662-8596-484a-92c7-351d01561e22" ContentTypeId="0x010100AF687BC085C91946BC54CBDC5AB286CC" PreviousValue="false" LastSyncTimeStamp="2021-02-04T13:33:18.75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UN Document" ma:contentTypeID="0x010100AF687BC085C91946BC54CBDC5AB286CC00C98D0C8D73AF894E997C937D021D4600" ma:contentTypeVersion="17" ma:contentTypeDescription="" ma:contentTypeScope="" ma:versionID="1a76b1596c1bdfb6c43f83c22c71e661">
  <xsd:schema xmlns:xsd="http://www.w3.org/2001/XMLSchema" xmlns:xs="http://www.w3.org/2001/XMLSchema" xmlns:p="http://schemas.microsoft.com/office/2006/metadata/properties" xmlns:ns1="http://schemas.microsoft.com/sharepoint/v3" xmlns:ns3="985ec44e-1bab-4c0b-9df0-6ba128686fc9" targetNamespace="http://schemas.microsoft.com/office/2006/metadata/properties" ma:root="true" ma:fieldsID="f7e7cfa6ed14970cbf91cc21791ed040" ns1:_="" ns3:_="">
    <xsd:import namespace="http://schemas.microsoft.com/sharepoint/v3"/>
    <xsd:import namespace="985ec44e-1bab-4c0b-9df0-6ba128686fc9"/>
    <xsd:element name="properties">
      <xsd:complexType>
        <xsd:sequence>
          <xsd:element name="documentManagement">
            <xsd:complexType>
              <xsd:all>
                <xsd:element ref="ns3:Document_x0020_Date" minOccurs="0"/>
                <xsd:element ref="ns3:Date_x0020_Received" minOccurs="0"/>
                <xsd:element ref="ns3:Date_x0020_Sent" minOccurs="0"/>
                <xsd:element ref="ns3:Security_x0020_Level" minOccurs="0"/>
                <xsd:element ref="ns3:Personal_x0020_Information_x0020__x0028_PII_x0029_" minOccurs="0"/>
                <xsd:element ref="ns3:Linked_x0020_Records" minOccurs="0"/>
                <xsd:element ref="ns1:KpiDescription" minOccurs="0"/>
                <xsd:element ref="ns3:UN_x0020_Official_x0020_Language" minOccurs="0"/>
                <xsd:element ref="ns3:Document_x0020_Type" minOccurs="0"/>
                <xsd:element ref="ns3:TaxCatchAllLabel" minOccurs="0"/>
                <xsd:element ref="ns3:gba66df640194346a5267c50f24d4797"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1" nillable="true" ma:displayName="Description"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Document_x0020_Date" ma:index="2" nillable="true" ma:displayName="Document Date" ma:default="[today]" ma:description="The date when the file was drafted" ma:format="DateOnly" ma:internalName="Document_x0020_Date" ma:readOnly="false">
      <xsd:simpleType>
        <xsd:restriction base="dms:DateTime"/>
      </xsd:simpleType>
    </xsd:element>
    <xsd:element name="Date_x0020_Received" ma:index="3" nillable="true" ma:displayName="Date Received" ma:default="[today]" ma:format="DateOnly" ma:internalName="Date_x0020_Received" ma:readOnly="false">
      <xsd:simpleType>
        <xsd:restriction base="dms:DateTime"/>
      </xsd:simpleType>
    </xsd:element>
    <xsd:element name="Date_x0020_Sent" ma:index="4" nillable="true" ma:displayName="Date Sent" ma:default="[today]" ma:format="DateOnly" ma:internalName="Date_x0020_Sent">
      <xsd:simpleType>
        <xsd:restriction base="dms:DateTime"/>
      </xsd:simpleType>
    </xsd:element>
    <xsd:element name="Security_x0020_Level" ma:index="7" nillable="true" ma:displayName="Security Level" ma:default="Unclassified" ma:format="RadioButtons" ma:internalName="Security_x0020_Level">
      <xsd:simpleType>
        <xsd:restriction base="dms:Choice">
          <xsd:enumeration value="Unclassified"/>
          <xsd:enumeration value="Confidential"/>
          <xsd:enumeration value="Strictly Confidential"/>
        </xsd:restriction>
      </xsd:simpleType>
    </xsd:element>
    <xsd:element name="Personal_x0020_Information_x0020__x0028_PII_x0029_" ma:index="8" nillable="true" ma:displayName="Personal Information (PI)" ma:default="0" ma:description="This field indicates whether the file contains Personal Information" ma:internalName="Personal_x0020_Information_x0020__x0028_PII_x0029_" ma:readOnly="false">
      <xsd:simpleType>
        <xsd:restriction base="dms:Boolean"/>
      </xsd:simpleType>
    </xsd:element>
    <xsd:element name="Linked_x0020_Records" ma:index="9" nillable="true" ma:displayName="Linked Records" ma:format="Hyperlink" ma:internalName="Linked_x0020_Records">
      <xsd:complexType>
        <xsd:complexContent>
          <xsd:extension base="dms:URL">
            <xsd:sequence>
              <xsd:element name="Url" type="dms:ValidUrl" minOccurs="0" nillable="true"/>
              <xsd:element name="Description" type="xsd:string" nillable="true"/>
            </xsd:sequence>
          </xsd:extension>
        </xsd:complexContent>
      </xsd:complexType>
    </xsd:element>
    <xsd:element name="UN_x0020_Official_x0020_Language" ma:index="12" nillable="true" ma:displayName="Language (UN's Official)" ma:default="English" ma:format="Dropdown" ma:internalName="UN_x0020_Official_x0020_Language" ma:readOnly="false">
      <xsd:simpleType>
        <xsd:restriction base="dms:Choice">
          <xsd:enumeration value="Arabic"/>
          <xsd:enumeration value="Chinese"/>
          <xsd:enumeration value="English"/>
          <xsd:enumeration value="French"/>
          <xsd:enumeration value="Russian"/>
          <xsd:enumeration value="Spanish"/>
        </xsd:restriction>
      </xsd:simpleType>
    </xsd:element>
    <xsd:element name="Document_x0020_Type" ma:index="13" nillable="true" ma:displayName="Document Type" ma:default="UN others" ma:format="Dropdown" ma:internalName="Document_x0020_Type" ma:readOnly="fals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Label" ma:index="14" nillable="true" ma:displayName="Taxonomy Catch All Column1" ma:hidden="true" ma:list="{cfd9c986-1e4b-4092-83b4-ffd028e2f9b7}" ma:internalName="TaxCatchAllLabel" ma:readOnly="true" ma:showField="CatchAllDataLabel" ma:web="7882167c-b1fa-4e55-b4a5-6145aa31e8d9">
      <xsd:complexType>
        <xsd:complexContent>
          <xsd:extension base="dms:MultiChoiceLookup">
            <xsd:sequence>
              <xsd:element name="Value" type="dms:Lookup" maxOccurs="unbounded" minOccurs="0" nillable="true"/>
            </xsd:sequence>
          </xsd:extension>
        </xsd:complexContent>
      </xsd:complexType>
    </xsd:element>
    <xsd:element name="gba66df640194346a5267c50f24d4797" ma:index="20" nillable="true" ma:taxonomy="true" ma:internalName="gba66df640194346a5267c50f24d4797" ma:taxonomyFieldName="Office_x0020_of_x0020_Origin" ma:displayName="Office of origin" ma:readOnly="false" ma:default="" ma:fieldId="{0ba66df6-4019-4346-a526-7c50f24d4797}" ma:sspId="78175662-8596-484a-92c7-351d01561e22" ma:termSetId="045c6cc4-dc5e-443b-8b37-1361f130ed2a"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cfd9c986-1e4b-4092-83b4-ffd028e2f9b7}" ma:internalName="TaxCatchAll" ma:showField="CatchAllData" ma:web="7882167c-b1fa-4e55-b4a5-6145aa31e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index="22" ma:displayName="Content Type"/>
        <xsd:element ref="dc:title" minOccurs="0" maxOccurs="1" ma:index="6"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http://schemas.microsoft.com/sharepoint/v3"/>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B09C8646-ED4C-4B5E-A557-928637B0D4CE}">
  <ds:schemaRefs>
    <ds:schemaRef ds:uri="Microsoft.SharePoint.Taxonomy.ContentTypeSync"/>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5.xml><?xml version="1.0" encoding="utf-8"?>
<ds:datastoreItem xmlns:ds="http://schemas.openxmlformats.org/officeDocument/2006/customXml" ds:itemID="{AB0D9A77-311D-449C-8355-2B58206D2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17</TotalTime>
  <Pages>24</Pages>
  <Words>12014</Words>
  <Characters>68482</Characters>
  <Application>Microsoft Office Word</Application>
  <DocSecurity>0</DocSecurity>
  <PresentationFormat/>
  <Lines>570</Lines>
  <Paragraphs>160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Julius Njenga</cp:lastModifiedBy>
  <cp:revision>9</cp:revision>
  <cp:lastPrinted>2026-08-27T15:10:00Z</cp:lastPrinted>
  <dcterms:created xsi:type="dcterms:W3CDTF">2026-10-13T13:46:00Z</dcterms:created>
  <dcterms:modified xsi:type="dcterms:W3CDTF">2026-10-21T17:43:00Z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0x010100AF687BC085C91946BC54CBDC5AB286CC00C98D0C8D73AF894E997C937D021D4600</vt:lpwstr>
  </property>
  <property fmtid="{D5CDD505-2E9C-101B-9397-08002B2CF9AE}" pid="11" name="MediaServiceImageTags">
    <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ies>
</file>