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right"/>
        <w:tblLayout w:type="fixed"/>
        <w:tblLook w:val="0000" w:firstRow="0" w:lastRow="0" w:firstColumn="0" w:lastColumn="0" w:noHBand="0" w:noVBand="0"/>
      </w:tblPr>
      <w:tblGrid>
        <w:gridCol w:w="1501"/>
        <w:gridCol w:w="2189"/>
        <w:gridCol w:w="1440"/>
        <w:gridCol w:w="1018"/>
        <w:gridCol w:w="3212"/>
      </w:tblGrid>
      <w:tr w:rsidR="0013654E" w:rsidRPr="00DC6012" w14:paraId="2AEE10D9" w14:textId="77777777" w:rsidTr="005C66BD">
        <w:trPr>
          <w:gridAfter w:val="1"/>
          <w:wAfter w:w="3212" w:type="dxa"/>
          <w:cantSplit/>
          <w:trHeight w:val="900"/>
          <w:jc w:val="right"/>
        </w:trPr>
        <w:tc>
          <w:tcPr>
            <w:tcW w:w="1501" w:type="dxa"/>
          </w:tcPr>
          <w:p w14:paraId="74DB083B" w14:textId="77777777" w:rsidR="0013654E" w:rsidRPr="00DC6012" w:rsidRDefault="0013654E" w:rsidP="00F5369B">
            <w:pPr>
              <w:pStyle w:val="Normal-pool"/>
              <w:rPr>
                <w:rFonts w:ascii="Arial" w:hAnsi="Arial" w:cs="Arial"/>
                <w:b/>
                <w:sz w:val="27"/>
                <w:szCs w:val="27"/>
              </w:rPr>
            </w:pPr>
            <w:r>
              <w:rPr>
                <w:rFonts w:ascii="Arial" w:hAnsi="Arial" w:cs="Arial"/>
                <w:b/>
                <w:sz w:val="27"/>
                <w:szCs w:val="27"/>
              </w:rPr>
              <w:t xml:space="preserve">UNITED </w:t>
            </w:r>
            <w:r>
              <w:rPr>
                <w:rFonts w:ascii="Arial" w:hAnsi="Arial" w:cs="Arial"/>
                <w:b/>
                <w:sz w:val="27"/>
                <w:szCs w:val="27"/>
              </w:rPr>
              <w:br/>
              <w:t>NATIONS</w:t>
            </w:r>
          </w:p>
        </w:tc>
        <w:tc>
          <w:tcPr>
            <w:tcW w:w="4647" w:type="dxa"/>
            <w:gridSpan w:val="3"/>
          </w:tcPr>
          <w:p w14:paraId="11D7BB71" w14:textId="34AA4948" w:rsidR="0013654E" w:rsidRPr="00DC6012" w:rsidRDefault="00564161" w:rsidP="00302929">
            <w:pPr>
              <w:pStyle w:val="Normal-pool"/>
              <w:rPr>
                <w:noProof/>
              </w:rPr>
            </w:pPr>
            <w:r w:rsidRPr="00564161">
              <w:rPr>
                <w:noProof/>
                <w:lang w:val="en-CA"/>
              </w:rPr>
              <w:drawing>
                <wp:inline distT="0" distB="0" distL="0" distR="0" wp14:anchorId="7848D4EE" wp14:editId="0C51AEC4">
                  <wp:extent cx="1277620" cy="574040"/>
                  <wp:effectExtent l="0" t="0" r="0" b="0"/>
                  <wp:docPr id="658689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7620" cy="574040"/>
                          </a:xfrm>
                          <a:prstGeom prst="rect">
                            <a:avLst/>
                          </a:prstGeom>
                          <a:noFill/>
                          <a:ln>
                            <a:noFill/>
                          </a:ln>
                        </pic:spPr>
                      </pic:pic>
                    </a:graphicData>
                  </a:graphic>
                </wp:inline>
              </w:drawing>
            </w:r>
          </w:p>
        </w:tc>
      </w:tr>
      <w:tr w:rsidR="00192C8E" w:rsidRPr="00DC6012" w14:paraId="0524696D" w14:textId="77777777" w:rsidTr="0013654E">
        <w:trPr>
          <w:cantSplit/>
          <w:trHeight w:val="57"/>
          <w:jc w:val="right"/>
        </w:trPr>
        <w:tc>
          <w:tcPr>
            <w:tcW w:w="1501" w:type="dxa"/>
            <w:tcBorders>
              <w:bottom w:val="single" w:sz="4" w:space="0" w:color="auto"/>
            </w:tcBorders>
          </w:tcPr>
          <w:p w14:paraId="0A093053" w14:textId="77777777" w:rsidR="00192C8E" w:rsidRPr="00DC6012" w:rsidRDefault="00192C8E" w:rsidP="00F5369B">
            <w:pPr>
              <w:pStyle w:val="Normal-pool"/>
            </w:pPr>
          </w:p>
        </w:tc>
        <w:tc>
          <w:tcPr>
            <w:tcW w:w="4647" w:type="dxa"/>
            <w:gridSpan w:val="3"/>
            <w:tcBorders>
              <w:bottom w:val="single" w:sz="4" w:space="0" w:color="auto"/>
            </w:tcBorders>
          </w:tcPr>
          <w:p w14:paraId="1D8F8B50" w14:textId="5B50FB9A" w:rsidR="00192C8E" w:rsidRPr="00DC6012" w:rsidRDefault="00192C8E" w:rsidP="00F5369B">
            <w:pPr>
              <w:pStyle w:val="Normal-pool"/>
            </w:pPr>
          </w:p>
        </w:tc>
        <w:tc>
          <w:tcPr>
            <w:tcW w:w="3212" w:type="dxa"/>
            <w:tcBorders>
              <w:bottom w:val="single" w:sz="4" w:space="0" w:color="auto"/>
            </w:tcBorders>
          </w:tcPr>
          <w:p w14:paraId="26E04784" w14:textId="25D2AA00" w:rsidR="00192C8E" w:rsidRPr="00DC6012" w:rsidRDefault="00192C8E" w:rsidP="00F5369B">
            <w:pPr>
              <w:pStyle w:val="Normal-pool"/>
            </w:pPr>
            <w:r>
              <w:rPr>
                <w:b/>
                <w:sz w:val="28"/>
                <w:szCs w:val="28"/>
              </w:rPr>
              <w:t>UNEP</w:t>
            </w:r>
            <w:r>
              <w:t>/OzL.Pro.38/</w:t>
            </w:r>
            <w:r w:rsidR="00792C6A">
              <w:t>8</w:t>
            </w:r>
          </w:p>
        </w:tc>
      </w:tr>
      <w:tr w:rsidR="00192C8E" w:rsidRPr="00DC6012" w14:paraId="22F9FE4D" w14:textId="77777777" w:rsidTr="00820D62">
        <w:trPr>
          <w:cantSplit/>
          <w:trHeight w:val="1882"/>
          <w:jc w:val="right"/>
        </w:trPr>
        <w:tc>
          <w:tcPr>
            <w:tcW w:w="3690" w:type="dxa"/>
            <w:gridSpan w:val="2"/>
            <w:tcBorders>
              <w:top w:val="single" w:sz="4" w:space="0" w:color="auto"/>
              <w:bottom w:val="single" w:sz="18" w:space="0" w:color="auto"/>
            </w:tcBorders>
          </w:tcPr>
          <w:p w14:paraId="28C2F421" w14:textId="77777777" w:rsidR="00820D62" w:rsidRDefault="0035325F" w:rsidP="00C52A4C">
            <w:pPr>
              <w:pStyle w:val="Normal-pool"/>
              <w:spacing w:before="120"/>
              <w:rPr>
                <w:rFonts w:ascii="Arial" w:hAnsi="Arial" w:cs="Arial"/>
                <w:b/>
                <w:bCs/>
                <w:sz w:val="28"/>
                <w:szCs w:val="28"/>
              </w:rPr>
            </w:pPr>
            <w:r w:rsidRPr="00223D5E">
              <w:rPr>
                <w:rFonts w:ascii="Arial" w:hAnsi="Arial" w:cs="Arial"/>
                <w:b/>
                <w:bCs/>
                <w:sz w:val="28"/>
                <w:szCs w:val="28"/>
              </w:rPr>
              <w:t>Montreal Protocol</w:t>
            </w:r>
          </w:p>
          <w:p w14:paraId="60ED1F3C" w14:textId="776FC4DB" w:rsidR="00192C8E" w:rsidRPr="00223D5E" w:rsidRDefault="0035325F" w:rsidP="00472EAA">
            <w:pPr>
              <w:pStyle w:val="Normal-pool"/>
              <w:rPr>
                <w:rFonts w:ascii="Arial" w:hAnsi="Arial" w:cs="Arial"/>
                <w:b/>
                <w:bCs/>
                <w:sz w:val="28"/>
                <w:szCs w:val="28"/>
              </w:rPr>
            </w:pPr>
            <w:r w:rsidRPr="00223D5E">
              <w:rPr>
                <w:rFonts w:ascii="Arial" w:hAnsi="Arial" w:cs="Arial"/>
                <w:b/>
                <w:bCs/>
                <w:sz w:val="28"/>
                <w:szCs w:val="28"/>
              </w:rPr>
              <w:t>on Substances that Deplete the Ozone Layer</w:t>
            </w:r>
          </w:p>
        </w:tc>
        <w:tc>
          <w:tcPr>
            <w:tcW w:w="2458" w:type="dxa"/>
            <w:gridSpan w:val="2"/>
            <w:tcBorders>
              <w:top w:val="single" w:sz="4" w:space="0" w:color="auto"/>
              <w:bottom w:val="single" w:sz="18" w:space="0" w:color="auto"/>
            </w:tcBorders>
          </w:tcPr>
          <w:p w14:paraId="03D43A2F" w14:textId="6B1D812B" w:rsidR="00192C8E" w:rsidRPr="00DC6012" w:rsidRDefault="00192C8E" w:rsidP="00F5369B">
            <w:pPr>
              <w:pStyle w:val="Normal-pool"/>
              <w:spacing w:before="1400" w:after="200"/>
              <w:rPr>
                <w:rFonts w:ascii="Arial" w:hAnsi="Arial" w:cs="Arial"/>
                <w:b/>
                <w:sz w:val="28"/>
                <w:szCs w:val="28"/>
              </w:rPr>
            </w:pPr>
          </w:p>
        </w:tc>
        <w:tc>
          <w:tcPr>
            <w:tcW w:w="3212" w:type="dxa"/>
            <w:tcBorders>
              <w:top w:val="single" w:sz="4" w:space="0" w:color="auto"/>
              <w:bottom w:val="single" w:sz="18" w:space="0" w:color="auto"/>
            </w:tcBorders>
          </w:tcPr>
          <w:p w14:paraId="7FC8DA70" w14:textId="523ED398" w:rsidR="00192C8E" w:rsidRPr="00DC6012" w:rsidRDefault="00192C8E" w:rsidP="00F5369B">
            <w:pPr>
              <w:pStyle w:val="Normal-pool"/>
              <w:spacing w:before="120"/>
            </w:pPr>
            <w:r>
              <w:t xml:space="preserve">Distr.: General </w:t>
            </w:r>
            <w:r>
              <w:br/>
            </w:r>
            <w:r w:rsidR="00792C6A" w:rsidRPr="00792C6A">
              <w:t>8</w:t>
            </w:r>
            <w:r>
              <w:t xml:space="preserve"> </w:t>
            </w:r>
            <w:r w:rsidR="00792C6A">
              <w:t>September</w:t>
            </w:r>
            <w:r>
              <w:t xml:space="preserve"> 2026</w:t>
            </w:r>
          </w:p>
          <w:p w14:paraId="5770F1D3" w14:textId="77777777" w:rsidR="00192C8E" w:rsidRPr="00DC6012" w:rsidRDefault="00192C8E" w:rsidP="00F5369B">
            <w:pPr>
              <w:pStyle w:val="Normal-pool"/>
              <w:spacing w:before="120"/>
            </w:pPr>
            <w:r>
              <w:t>Original: English</w:t>
            </w:r>
          </w:p>
        </w:tc>
      </w:tr>
      <w:tr w:rsidR="00192C8E" w:rsidRPr="00DC6012" w14:paraId="2707E5B7" w14:textId="77777777" w:rsidTr="008C5DEA">
        <w:trPr>
          <w:cantSplit/>
          <w:trHeight w:val="57"/>
          <w:jc w:val="right"/>
        </w:trPr>
        <w:tc>
          <w:tcPr>
            <w:tcW w:w="5130" w:type="dxa"/>
            <w:gridSpan w:val="3"/>
            <w:tcBorders>
              <w:top w:val="single" w:sz="18" w:space="0" w:color="auto"/>
            </w:tcBorders>
          </w:tcPr>
          <w:p w14:paraId="6B9D90DC" w14:textId="7D4EDF12" w:rsidR="00192C8E" w:rsidRPr="00501B99" w:rsidRDefault="00192C8E" w:rsidP="00192C8E">
            <w:pPr>
              <w:pStyle w:val="AATitle"/>
              <w:ind w:right="0"/>
            </w:pPr>
            <w:r w:rsidRPr="00501B99">
              <w:t xml:space="preserve">Thirty-Eighth Meeting of the Parties to </w:t>
            </w:r>
            <w:r w:rsidRPr="00501B99">
              <w:br/>
              <w:t xml:space="preserve">the Montreal Protocol on Substances </w:t>
            </w:r>
            <w:r w:rsidRPr="00501B99">
              <w:br/>
              <w:t>that Deplete the Ozone Layer</w:t>
            </w:r>
          </w:p>
          <w:p w14:paraId="16CB2D4D" w14:textId="77DDE8F8" w:rsidR="00192C8E" w:rsidRPr="00501B99" w:rsidRDefault="000E1097" w:rsidP="00192C8E">
            <w:pPr>
              <w:pStyle w:val="AATitle"/>
              <w:ind w:right="0"/>
              <w:rPr>
                <w:b w:val="0"/>
              </w:rPr>
            </w:pPr>
            <w:r w:rsidRPr="00501B99">
              <w:rPr>
                <w:b w:val="0"/>
              </w:rPr>
              <w:t>Kigali, 2</w:t>
            </w:r>
            <w:r w:rsidR="00501B99" w:rsidRPr="00501B99">
              <w:rPr>
                <w:b w:val="0"/>
              </w:rPr>
              <w:noBreakHyphen/>
            </w:r>
            <w:r w:rsidRPr="00501B99">
              <w:rPr>
                <w:b w:val="0"/>
              </w:rPr>
              <w:t>6 November 2026</w:t>
            </w:r>
          </w:p>
          <w:p w14:paraId="0B95B3AD" w14:textId="2126CBB4" w:rsidR="00192C8E" w:rsidRPr="00501B99" w:rsidRDefault="00192C8E" w:rsidP="008C5DEA">
            <w:pPr>
              <w:spacing w:after="120"/>
              <w:jc w:val="left"/>
              <w:rPr>
                <w:sz w:val="20"/>
                <w:szCs w:val="20"/>
              </w:rPr>
            </w:pPr>
            <w:r w:rsidRPr="00501B99">
              <w:rPr>
                <w:sz w:val="20"/>
                <w:szCs w:val="20"/>
              </w:rPr>
              <w:t>Item 4 of the provisional agenda f</w:t>
            </w:r>
            <w:r w:rsidR="00DD5963" w:rsidRPr="00501B99">
              <w:rPr>
                <w:sz w:val="20"/>
                <w:szCs w:val="20"/>
              </w:rPr>
              <w:t>or</w:t>
            </w:r>
            <w:r w:rsidRPr="00501B99">
              <w:rPr>
                <w:sz w:val="20"/>
                <w:szCs w:val="20"/>
              </w:rPr>
              <w:t xml:space="preserve"> the high-level segment</w:t>
            </w:r>
            <w:r w:rsidRPr="00501B99">
              <w:rPr>
                <w:rStyle w:val="FootnoteReference"/>
                <w:sz w:val="20"/>
                <w:szCs w:val="20"/>
              </w:rPr>
              <w:footnoteReference w:customMarkFollows="1" w:id="2"/>
              <w:t>*</w:t>
            </w:r>
          </w:p>
          <w:p w14:paraId="2DE4817F" w14:textId="70240452" w:rsidR="00192C8E" w:rsidRPr="00501B99" w:rsidRDefault="008C44AA" w:rsidP="005222DD">
            <w:pPr>
              <w:jc w:val="left"/>
              <w:rPr>
                <w:b/>
                <w:sz w:val="20"/>
                <w:szCs w:val="20"/>
              </w:rPr>
            </w:pPr>
            <w:r w:rsidRPr="00501B99">
              <w:rPr>
                <w:b/>
                <w:sz w:val="20"/>
                <w:szCs w:val="20"/>
              </w:rPr>
              <w:t>Presentation</w:t>
            </w:r>
            <w:r w:rsidR="005222DD" w:rsidRPr="00501B99">
              <w:rPr>
                <w:b/>
                <w:sz w:val="20"/>
                <w:szCs w:val="20"/>
              </w:rPr>
              <w:t xml:space="preserve"> by the Chair of the </w:t>
            </w:r>
            <w:r w:rsidR="005222DD" w:rsidRPr="00501B99">
              <w:rPr>
                <w:b/>
                <w:sz w:val="20"/>
                <w:szCs w:val="20"/>
              </w:rPr>
              <w:br/>
              <w:t>Executive Committee of the Multilateral Fund</w:t>
            </w:r>
            <w:r w:rsidR="005222DD" w:rsidRPr="00501B99">
              <w:rPr>
                <w:b/>
                <w:sz w:val="20"/>
                <w:szCs w:val="20"/>
              </w:rPr>
              <w:br/>
              <w:t xml:space="preserve">for the Implementation of the Montreal Protocol </w:t>
            </w:r>
            <w:r w:rsidR="005222DD" w:rsidRPr="00501B99">
              <w:rPr>
                <w:b/>
                <w:sz w:val="20"/>
                <w:szCs w:val="20"/>
              </w:rPr>
              <w:br/>
              <w:t>on the work of the Executive Committee</w:t>
            </w:r>
          </w:p>
        </w:tc>
        <w:tc>
          <w:tcPr>
            <w:tcW w:w="4230" w:type="dxa"/>
            <w:gridSpan w:val="2"/>
            <w:tcBorders>
              <w:top w:val="single" w:sz="18" w:space="0" w:color="auto"/>
            </w:tcBorders>
          </w:tcPr>
          <w:p w14:paraId="32489EFC" w14:textId="77777777" w:rsidR="00192C8E" w:rsidRPr="00501B99" w:rsidRDefault="00192C8E" w:rsidP="00F5369B">
            <w:pPr>
              <w:ind w:left="142" w:hanging="142"/>
              <w:rPr>
                <w:b/>
                <w:sz w:val="20"/>
                <w:szCs w:val="20"/>
              </w:rPr>
            </w:pPr>
          </w:p>
        </w:tc>
      </w:tr>
    </w:tbl>
    <w:p w14:paraId="6F87B144" w14:textId="3480AD9F" w:rsidR="00EC123B" w:rsidRPr="00193CCD" w:rsidRDefault="00EC123B" w:rsidP="00113A97">
      <w:pPr>
        <w:pStyle w:val="BBTitle"/>
        <w:tabs>
          <w:tab w:val="left" w:pos="624"/>
        </w:tabs>
        <w:ind w:right="0"/>
        <w:jc w:val="both"/>
      </w:pPr>
      <w:r>
        <w:t>Report of the Executive Committee of the Multilateral Fund for the Implementation of the Montreal Protocol to the Thirty</w:t>
      </w:r>
      <w:r>
        <w:noBreakHyphen/>
        <w:t xml:space="preserve">Eighth Meeting of the Parties </w:t>
      </w:r>
    </w:p>
    <w:p w14:paraId="1A7853EE" w14:textId="21E73D8D" w:rsidR="0091657F" w:rsidRPr="001D4217" w:rsidRDefault="003F5392" w:rsidP="007942C3">
      <w:pPr>
        <w:pStyle w:val="CH1"/>
        <w:spacing w:before="0" w:after="240"/>
        <w:ind w:left="1253" w:right="288" w:hanging="1253"/>
      </w:pPr>
      <w:r>
        <w:tab/>
      </w:r>
      <w:r>
        <w:tab/>
        <w:t>Introduction</w:t>
      </w:r>
    </w:p>
    <w:p w14:paraId="5C9901DF" w14:textId="6C7927E5" w:rsidR="00193CCD" w:rsidRPr="001D4217" w:rsidRDefault="00193CCD" w:rsidP="00E140E5">
      <w:pPr>
        <w:pStyle w:val="Heading3"/>
        <w:numPr>
          <w:ilvl w:val="2"/>
          <w:numId w:val="16"/>
        </w:numPr>
        <w:ind w:left="1276" w:firstLine="0"/>
        <w:rPr>
          <w:sz w:val="20"/>
          <w:szCs w:val="20"/>
        </w:rPr>
      </w:pPr>
      <w:r>
        <w:rPr>
          <w:sz w:val="20"/>
          <w:szCs w:val="20"/>
          <w:lang w:eastAsia="en-GB"/>
        </w:rPr>
        <w:t>The present report contains two sections and an annex as follows:</w:t>
      </w:r>
    </w:p>
    <w:p w14:paraId="74E9B5DB" w14:textId="0019B79F" w:rsidR="00193CCD" w:rsidRPr="002645CB" w:rsidRDefault="00193CCD" w:rsidP="008132B2">
      <w:pPr>
        <w:ind w:left="1248" w:firstLine="624"/>
        <w:rPr>
          <w:sz w:val="20"/>
          <w:szCs w:val="20"/>
        </w:rPr>
      </w:pPr>
      <w:r>
        <w:rPr>
          <w:sz w:val="20"/>
          <w:szCs w:val="20"/>
        </w:rPr>
        <w:t>I:</w:t>
      </w:r>
      <w:r>
        <w:rPr>
          <w:sz w:val="20"/>
          <w:szCs w:val="20"/>
        </w:rPr>
        <w:tab/>
      </w:r>
      <w:r>
        <w:rPr>
          <w:sz w:val="20"/>
          <w:szCs w:val="20"/>
        </w:rPr>
        <w:tab/>
        <w:t>Review of the reporting period since the Thirty-Seventh Meeting of the Parties</w:t>
      </w:r>
    </w:p>
    <w:p w14:paraId="44F27756" w14:textId="103F4926" w:rsidR="00193CCD" w:rsidRPr="002645CB" w:rsidRDefault="00193CCD" w:rsidP="00410D8B">
      <w:pPr>
        <w:ind w:left="1248" w:firstLine="624"/>
        <w:rPr>
          <w:sz w:val="20"/>
          <w:szCs w:val="20"/>
        </w:rPr>
      </w:pPr>
      <w:r>
        <w:rPr>
          <w:sz w:val="20"/>
          <w:szCs w:val="20"/>
        </w:rPr>
        <w:t>II:</w:t>
      </w:r>
      <w:r>
        <w:rPr>
          <w:sz w:val="20"/>
          <w:szCs w:val="20"/>
        </w:rPr>
        <w:tab/>
      </w:r>
      <w:r>
        <w:rPr>
          <w:sz w:val="20"/>
          <w:szCs w:val="20"/>
        </w:rPr>
        <w:tab/>
        <w:t>Achievements of the Multilateral Fund since its inception</w:t>
      </w:r>
    </w:p>
    <w:p w14:paraId="452F7DF2" w14:textId="7D23AAA8" w:rsidR="00F05C70" w:rsidRPr="002645CB" w:rsidRDefault="00193CCD" w:rsidP="001D4217">
      <w:pPr>
        <w:ind w:left="3120" w:hanging="1248"/>
        <w:rPr>
          <w:sz w:val="20"/>
          <w:szCs w:val="20"/>
        </w:rPr>
      </w:pPr>
      <w:r>
        <w:rPr>
          <w:sz w:val="20"/>
          <w:szCs w:val="20"/>
        </w:rPr>
        <w:t>Annex:</w:t>
      </w:r>
      <w:r>
        <w:rPr>
          <w:sz w:val="20"/>
          <w:szCs w:val="20"/>
        </w:rPr>
        <w:tab/>
        <w:t>Annual newsletter of the Multilateral Fund featuring a few successful projects and policy outcomes in 2025</w:t>
      </w:r>
    </w:p>
    <w:p w14:paraId="56B70D3C" w14:textId="2FE06F22" w:rsidR="000567B4" w:rsidRPr="000567B4" w:rsidRDefault="000567B4" w:rsidP="001769E3">
      <w:pPr>
        <w:pStyle w:val="CH1"/>
        <w:spacing w:after="240"/>
        <w:ind w:left="1253" w:right="0" w:hanging="1253"/>
        <w:jc w:val="both"/>
        <w:rPr>
          <w:bCs/>
        </w:rPr>
      </w:pPr>
      <w:r>
        <w:rPr>
          <w:bCs/>
        </w:rPr>
        <w:tab/>
        <w:t>I.</w:t>
      </w:r>
      <w:r>
        <w:rPr>
          <w:bCs/>
        </w:rPr>
        <w:tab/>
        <w:t xml:space="preserve">Review of the reporting period since the Thirty-Seventh Meeting of the Parties </w:t>
      </w:r>
    </w:p>
    <w:p w14:paraId="1E3738C7" w14:textId="7905BA52" w:rsidR="000E1097" w:rsidRPr="00E43D6E" w:rsidRDefault="000E1097" w:rsidP="000E1097">
      <w:pPr>
        <w:pStyle w:val="Heading3"/>
        <w:numPr>
          <w:ilvl w:val="2"/>
          <w:numId w:val="16"/>
        </w:numPr>
        <w:ind w:left="1276" w:firstLine="0"/>
        <w:rPr>
          <w:sz w:val="20"/>
          <w:szCs w:val="20"/>
          <w:lang w:eastAsia="en-GB"/>
        </w:rPr>
      </w:pPr>
      <w:r>
        <w:rPr>
          <w:sz w:val="20"/>
          <w:szCs w:val="20"/>
          <w:lang w:eastAsia="en-GB"/>
        </w:rPr>
        <w:t>During the reporting period, the Executive Committee held its 97th and 98th meetings. The 97th meeting was held in Montreal, Canada, from 1 to 5 December 2025. The work of the 97th meeting was conducted by the members of the Executive Committee for 2025, in accordance with decision XXXVI/19 of the Thirty</w:t>
      </w:r>
      <w:r>
        <w:rPr>
          <w:sz w:val="20"/>
          <w:szCs w:val="20"/>
          <w:lang w:eastAsia="en-GB"/>
        </w:rPr>
        <w:noBreakHyphen/>
        <w:t>Sixth Meeting of the Parties. The Committee comprised the following parties operating under paragraph 1 of Article 5 of the Protocol (Article 5 parties): Argentina, Bahrain, China, Cuba, Kyrgyzstan, Lesotho (Vice-Chair) and Togo; and the following parties not operating under paragraph 1 of Article 5 of the Protocol (non-Article 5 parties): Belgium, Canada, Italy (Chair), Japan, Lithuania, Sweden and the United States of America.</w:t>
      </w:r>
    </w:p>
    <w:p w14:paraId="4789FFB6" w14:textId="1E5162DF" w:rsidR="000E1097" w:rsidRPr="00E43D6E" w:rsidRDefault="000E1097" w:rsidP="000E1097">
      <w:pPr>
        <w:pStyle w:val="Heading3"/>
        <w:numPr>
          <w:ilvl w:val="2"/>
          <w:numId w:val="16"/>
        </w:numPr>
        <w:ind w:left="1276" w:firstLine="0"/>
        <w:rPr>
          <w:sz w:val="20"/>
          <w:szCs w:val="20"/>
          <w:lang w:eastAsia="en-GB"/>
        </w:rPr>
      </w:pPr>
      <w:r>
        <w:rPr>
          <w:sz w:val="20"/>
          <w:szCs w:val="20"/>
          <w:lang w:eastAsia="en-GB"/>
        </w:rPr>
        <w:t xml:space="preserve">The 98th meeting was held in Montreal from 22 to 26 June 2026. The work of the 98th meeting was conducted by the members of the Executive Committee for 2026, in accordance with decision XXXVII/19 of the Thirty-Seventh Meeting of the Parties. The Committee comprised the following Article 5 parties: </w:t>
      </w:r>
      <w:r>
        <w:rPr>
          <w:rFonts w:eastAsia="SimSun"/>
          <w:sz w:val="20"/>
          <w:szCs w:val="20"/>
        </w:rPr>
        <w:t>Brazil, Cameroon, Cuba, India, Kuwait, Lesotho (Chair) and Mexico; and the following non-Article 5 parties: Australia (Vice-Chair), Austria, Belgium, France, Japan, Kazakhstan and the United States of America.</w:t>
      </w:r>
    </w:p>
    <w:p w14:paraId="3E708C41" w14:textId="37ADCC2E" w:rsidR="00203D08" w:rsidRPr="00E43D6E" w:rsidRDefault="000E1097" w:rsidP="005D7E27">
      <w:pPr>
        <w:pStyle w:val="Heading3"/>
        <w:numPr>
          <w:ilvl w:val="2"/>
          <w:numId w:val="16"/>
        </w:numPr>
        <w:ind w:left="1276" w:firstLine="0"/>
        <w:rPr>
          <w:sz w:val="20"/>
          <w:szCs w:val="20"/>
          <w:lang w:eastAsia="en-GB"/>
        </w:rPr>
      </w:pPr>
      <w:r>
        <w:rPr>
          <w:sz w:val="20"/>
          <w:szCs w:val="20"/>
          <w:lang w:eastAsia="en-GB"/>
        </w:rPr>
        <w:lastRenderedPageBreak/>
        <w:t>The reports of the 97th and 98th meetings</w:t>
      </w:r>
      <w:r>
        <w:rPr>
          <w:sz w:val="20"/>
          <w:szCs w:val="20"/>
          <w:vertAlign w:val="superscript"/>
          <w:lang w:eastAsia="en-GB"/>
        </w:rPr>
        <w:footnoteReference w:id="3"/>
      </w:r>
      <w:r>
        <w:rPr>
          <w:sz w:val="20"/>
          <w:szCs w:val="20"/>
          <w:lang w:eastAsia="en-GB"/>
        </w:rPr>
        <w:t xml:space="preserve"> are available on the Multilateral Fund website (</w:t>
      </w:r>
      <w:hyperlink r:id="rId12" w:history="1">
        <w:r>
          <w:rPr>
            <w:sz w:val="20"/>
            <w:szCs w:val="20"/>
            <w:lang w:eastAsia="en-GB"/>
          </w:rPr>
          <w:t>https://www.multilateralfund.org/meetings</w:t>
        </w:r>
      </w:hyperlink>
      <w:r>
        <w:rPr>
          <w:sz w:val="20"/>
          <w:szCs w:val="20"/>
          <w:lang w:eastAsia="en-GB"/>
        </w:rPr>
        <w:t>).</w:t>
      </w:r>
    </w:p>
    <w:p w14:paraId="519ADB22" w14:textId="77777777" w:rsidR="000567B4" w:rsidRPr="00D165AD" w:rsidRDefault="000567B4" w:rsidP="000567B4">
      <w:pPr>
        <w:pStyle w:val="Heading2"/>
        <w:numPr>
          <w:ilvl w:val="0"/>
          <w:numId w:val="0"/>
        </w:numPr>
        <w:ind w:firstLine="624"/>
        <w:rPr>
          <w:rFonts w:eastAsia="MS Mincho"/>
          <w:b/>
          <w:sz w:val="24"/>
          <w:szCs w:val="24"/>
          <w:lang w:eastAsia="ja-JP"/>
        </w:rPr>
      </w:pPr>
      <w:r>
        <w:rPr>
          <w:rFonts w:eastAsia="MS Mincho"/>
          <w:b/>
          <w:sz w:val="24"/>
          <w:szCs w:val="24"/>
          <w:lang w:eastAsia="ja-JP"/>
        </w:rPr>
        <w:t>A.</w:t>
      </w:r>
      <w:r>
        <w:rPr>
          <w:rFonts w:eastAsia="MS Mincho"/>
          <w:b/>
          <w:sz w:val="24"/>
          <w:szCs w:val="24"/>
          <w:lang w:eastAsia="ja-JP"/>
        </w:rPr>
        <w:tab/>
        <w:t>Policy matters related to the Kigali Amendment</w:t>
      </w:r>
    </w:p>
    <w:p w14:paraId="70C05A41" w14:textId="4C3D9B94" w:rsidR="00C701FD" w:rsidRPr="008132B2" w:rsidRDefault="000E1097" w:rsidP="008132B2">
      <w:pPr>
        <w:keepNext/>
        <w:spacing w:after="240"/>
        <w:ind w:firstLine="624"/>
        <w:jc w:val="left"/>
        <w:outlineLvl w:val="1"/>
        <w:rPr>
          <w:b/>
          <w:sz w:val="20"/>
          <w:szCs w:val="20"/>
          <w:lang w:val="en-GB"/>
        </w:rPr>
      </w:pPr>
      <w:r>
        <w:rPr>
          <w:b/>
          <w:sz w:val="20"/>
          <w:szCs w:val="20"/>
          <w:lang w:val="en-GB"/>
        </w:rPr>
        <w:t>1.</w:t>
      </w:r>
      <w:r>
        <w:rPr>
          <w:b/>
          <w:sz w:val="20"/>
          <w:szCs w:val="20"/>
          <w:lang w:val="en-GB"/>
        </w:rPr>
        <w:tab/>
        <w:t>Strategic approaches to implementation of the Kigali Amendment</w:t>
      </w:r>
    </w:p>
    <w:p w14:paraId="7F5F977F" w14:textId="3642817E" w:rsidR="008132B2" w:rsidRPr="008132B2" w:rsidRDefault="00C701FD" w:rsidP="005D7E27">
      <w:pPr>
        <w:pStyle w:val="Heading3"/>
        <w:numPr>
          <w:ilvl w:val="2"/>
          <w:numId w:val="16"/>
        </w:numPr>
        <w:tabs>
          <w:tab w:val="num" w:pos="360"/>
        </w:tabs>
        <w:ind w:left="1276" w:firstLine="0"/>
        <w:rPr>
          <w:sz w:val="20"/>
          <w:szCs w:val="20"/>
        </w:rPr>
      </w:pPr>
      <w:r>
        <w:rPr>
          <w:sz w:val="20"/>
          <w:szCs w:val="20"/>
          <w:lang w:eastAsia="en-GB"/>
        </w:rPr>
        <w:t>At the 98th meeting, the Executive Committee considered a document on strategic approaches to Kigali Amendment implementation in Article 5 countries pursuant to the elements referred to in decision 96/57.</w:t>
      </w:r>
      <w:r>
        <w:rPr>
          <w:sz w:val="20"/>
          <w:szCs w:val="20"/>
          <w:vertAlign w:val="superscript"/>
          <w:lang w:eastAsia="en-GB"/>
        </w:rPr>
        <w:footnoteReference w:id="4"/>
      </w:r>
      <w:r>
        <w:rPr>
          <w:sz w:val="20"/>
          <w:szCs w:val="20"/>
          <w:lang w:eastAsia="en-GB"/>
        </w:rPr>
        <w:t xml:space="preserve"> The Committee then requested the Fund Secretariat to prepare, for consideration at its 100th meeting, information regarding the following components that could guide preparation of future Kigali HFC implementation plans (KIPs), informed by lessons learned from previous implementation experience under the Multilateral Fund, with priority given to compliance activities: </w:t>
      </w:r>
    </w:p>
    <w:p w14:paraId="2BE88160" w14:textId="77777777" w:rsidR="008132B2" w:rsidRPr="008132B2" w:rsidRDefault="008132B2" w:rsidP="008132B2">
      <w:pPr>
        <w:pStyle w:val="Heading2"/>
        <w:ind w:left="2552"/>
        <w:rPr>
          <w:sz w:val="20"/>
          <w:szCs w:val="20"/>
        </w:rPr>
      </w:pPr>
      <w:r>
        <w:rPr>
          <w:sz w:val="20"/>
          <w:szCs w:val="20"/>
          <w:lang w:eastAsia="en-GB"/>
        </w:rPr>
        <w:t>T</w:t>
      </w:r>
      <w:r>
        <w:rPr>
          <w:sz w:val="20"/>
          <w:szCs w:val="20"/>
        </w:rPr>
        <w:t>ypes of activities to facilitate transition in the refrigeration servicing and non</w:t>
      </w:r>
      <w:r>
        <w:rPr>
          <w:sz w:val="20"/>
          <w:szCs w:val="20"/>
        </w:rPr>
        <w:noBreakHyphen/>
        <w:t xml:space="preserve">manufacturing sector, with a focus on strengthening and leveraging existing institutional frameworks for training and certification of technicians, including linkages to life-cycle refrigerant management strategies, and enhancing energy efficiency, on the basis of lessons from pilot projects under decisions 89/6 and 91/65; </w:t>
      </w:r>
    </w:p>
    <w:p w14:paraId="291A9F06" w14:textId="554CF8C2" w:rsidR="008132B2" w:rsidRPr="008132B2" w:rsidRDefault="00C701FD" w:rsidP="008132B2">
      <w:pPr>
        <w:pStyle w:val="Heading2"/>
        <w:ind w:left="2552"/>
        <w:rPr>
          <w:sz w:val="20"/>
          <w:szCs w:val="20"/>
          <w:lang w:eastAsia="en-GB"/>
        </w:rPr>
      </w:pPr>
      <w:r>
        <w:rPr>
          <w:sz w:val="20"/>
          <w:szCs w:val="20"/>
          <w:lang w:eastAsia="en-GB"/>
        </w:rPr>
        <w:t>Types of activities to facilitate manufacturing sector transition in the refrigeration, air</w:t>
      </w:r>
      <w:r>
        <w:rPr>
          <w:sz w:val="20"/>
          <w:szCs w:val="20"/>
          <w:lang w:eastAsia="en-GB"/>
        </w:rPr>
        <w:noBreakHyphen/>
        <w:t xml:space="preserve">conditioning and heat-pump sector, including </w:t>
      </w:r>
      <w:proofErr w:type="gramStart"/>
      <w:r>
        <w:rPr>
          <w:sz w:val="20"/>
          <w:szCs w:val="20"/>
          <w:lang w:eastAsia="en-GB"/>
        </w:rPr>
        <w:t>with regard to</w:t>
      </w:r>
      <w:proofErr w:type="gramEnd"/>
      <w:r>
        <w:rPr>
          <w:sz w:val="20"/>
          <w:szCs w:val="20"/>
          <w:lang w:eastAsia="en-GB"/>
        </w:rPr>
        <w:t xml:space="preserve"> small and medium</w:t>
      </w:r>
      <w:r>
        <w:rPr>
          <w:sz w:val="20"/>
          <w:szCs w:val="20"/>
          <w:lang w:eastAsia="en-GB"/>
        </w:rPr>
        <w:noBreakHyphen/>
        <w:t>sized enterprises and taking into consideration the development and adoption of safety infrastructure;</w:t>
      </w:r>
    </w:p>
    <w:p w14:paraId="56CDA7F7" w14:textId="6C2FD352" w:rsidR="008132B2" w:rsidRPr="008132B2" w:rsidRDefault="00C701FD" w:rsidP="008132B2">
      <w:pPr>
        <w:pStyle w:val="Heading2"/>
        <w:ind w:left="2552"/>
        <w:rPr>
          <w:sz w:val="20"/>
          <w:szCs w:val="20"/>
          <w:lang w:eastAsia="en-GB"/>
        </w:rPr>
      </w:pPr>
      <w:r>
        <w:rPr>
          <w:sz w:val="20"/>
          <w:szCs w:val="20"/>
          <w:lang w:eastAsia="en-GB"/>
        </w:rPr>
        <w:t>Possible elements to consider for future stages of the KIPs that would be part of a cross</w:t>
      </w:r>
      <w:r>
        <w:rPr>
          <w:sz w:val="20"/>
          <w:szCs w:val="20"/>
          <w:lang w:eastAsia="en-GB"/>
        </w:rPr>
        <w:noBreakHyphen/>
        <w:t>cutting or country programme approach, taking into consideration strategies for technology transition, as well as national cooling action plans, where relevant;</w:t>
      </w:r>
    </w:p>
    <w:p w14:paraId="7DC5A537" w14:textId="07FEFC4C" w:rsidR="00C701FD" w:rsidRPr="008132B2" w:rsidRDefault="00C701FD" w:rsidP="008132B2">
      <w:pPr>
        <w:pStyle w:val="Heading2"/>
        <w:ind w:left="2552"/>
        <w:rPr>
          <w:sz w:val="20"/>
          <w:szCs w:val="20"/>
          <w:lang w:eastAsia="en-GB"/>
        </w:rPr>
      </w:pPr>
      <w:r>
        <w:rPr>
          <w:sz w:val="20"/>
          <w:szCs w:val="20"/>
          <w:lang w:eastAsia="en-GB"/>
        </w:rPr>
        <w:t>Lessons learned regarding the use of concessional funding by the Multilateral Fund since its inception to inform the Committee in its consideration of potential activities;</w:t>
      </w:r>
    </w:p>
    <w:p w14:paraId="226029F1" w14:textId="5B8AC055" w:rsidR="00C701FD" w:rsidRPr="008132B2" w:rsidRDefault="00C701FD" w:rsidP="008132B2">
      <w:pPr>
        <w:pStyle w:val="Heading2"/>
        <w:ind w:left="2552"/>
        <w:rPr>
          <w:sz w:val="20"/>
          <w:szCs w:val="20"/>
          <w:lang w:eastAsia="en-GB"/>
        </w:rPr>
      </w:pPr>
      <w:r>
        <w:rPr>
          <w:sz w:val="20"/>
          <w:szCs w:val="20"/>
          <w:lang w:eastAsia="en-GB"/>
        </w:rPr>
        <w:t>An update to the mapping of relevant activities undertaken by other funding institutions.</w:t>
      </w:r>
    </w:p>
    <w:p w14:paraId="4A9317E9" w14:textId="56504A01" w:rsidR="00C701FD" w:rsidRDefault="008132B2" w:rsidP="008132B2">
      <w:pPr>
        <w:pStyle w:val="Heading3"/>
        <w:numPr>
          <w:ilvl w:val="2"/>
          <w:numId w:val="16"/>
        </w:numPr>
        <w:ind w:left="1276" w:firstLine="0"/>
        <w:rPr>
          <w:sz w:val="20"/>
          <w:szCs w:val="20"/>
        </w:rPr>
      </w:pPr>
      <w:r>
        <w:rPr>
          <w:sz w:val="20"/>
          <w:szCs w:val="20"/>
        </w:rPr>
        <w:t>The Fund Secretariat was also requested to prepare, for the 102nd meeting, taking into account the updated version of the report on the end-user incentive schemes funded under the approved HCFC phase-out management plans (HPMPs)</w:t>
      </w:r>
      <w:r w:rsidR="00F41595">
        <w:rPr>
          <w:sz w:val="20"/>
          <w:szCs w:val="20"/>
        </w:rPr>
        <w:t xml:space="preserve"> and KIPs</w:t>
      </w:r>
      <w:r>
        <w:rPr>
          <w:sz w:val="20"/>
          <w:szCs w:val="20"/>
        </w:rPr>
        <w:t xml:space="preserve"> to be presented to the 102nd meeting pursuant to decision 92/36, information on options for financial modalities and institutional arrangements for supporting end users, aimed at assisting in market transformation and supporting sustained HFC phase-down under future stages of the KIPs (decision 98/61).</w:t>
      </w:r>
    </w:p>
    <w:p w14:paraId="474DA32A" w14:textId="1541BECD" w:rsidR="00C339F4" w:rsidRPr="0047057B" w:rsidRDefault="0047057B" w:rsidP="0047057B">
      <w:pPr>
        <w:keepNext/>
        <w:spacing w:after="240"/>
        <w:ind w:firstLine="624"/>
        <w:outlineLvl w:val="0"/>
        <w:rPr>
          <w:b/>
          <w:sz w:val="20"/>
          <w:szCs w:val="20"/>
          <w:lang w:val="en-GB"/>
        </w:rPr>
      </w:pPr>
      <w:r>
        <w:rPr>
          <w:b/>
          <w:sz w:val="20"/>
          <w:szCs w:val="20"/>
          <w:lang w:val="en-GB"/>
        </w:rPr>
        <w:t>2.</w:t>
      </w:r>
      <w:r>
        <w:rPr>
          <w:b/>
          <w:sz w:val="20"/>
          <w:szCs w:val="20"/>
          <w:lang w:val="en-GB"/>
        </w:rPr>
        <w:tab/>
        <w:t>Local installation and assembly subsector</w:t>
      </w:r>
    </w:p>
    <w:p w14:paraId="59CBD9C3" w14:textId="2903F3A8" w:rsidR="00C339F4" w:rsidRPr="0047057B" w:rsidRDefault="00C339F4" w:rsidP="005D7E27">
      <w:pPr>
        <w:pStyle w:val="Heading3"/>
        <w:numPr>
          <w:ilvl w:val="2"/>
          <w:numId w:val="16"/>
        </w:numPr>
        <w:ind w:left="1276" w:firstLine="0"/>
        <w:rPr>
          <w:sz w:val="20"/>
          <w:szCs w:val="20"/>
        </w:rPr>
      </w:pPr>
      <w:r>
        <w:rPr>
          <w:sz w:val="20"/>
          <w:szCs w:val="20"/>
        </w:rPr>
        <w:t>Pursuant to decision 95/89, at the 98th meeting, the Executive Committee considered a document providing an update on the local installation and assembly subsector.</w:t>
      </w:r>
      <w:r>
        <w:rPr>
          <w:sz w:val="20"/>
          <w:szCs w:val="20"/>
          <w:vertAlign w:val="superscript"/>
        </w:rPr>
        <w:footnoteReference w:id="5"/>
      </w:r>
      <w:r>
        <w:rPr>
          <w:sz w:val="20"/>
          <w:szCs w:val="20"/>
        </w:rPr>
        <w:t xml:space="preserve"> Following the adoption of decision 98/61 (</w:t>
      </w:r>
      <w:r w:rsidRPr="00EF12E2">
        <w:rPr>
          <w:sz w:val="20"/>
          <w:szCs w:val="20"/>
        </w:rPr>
        <w:t>see section I.A.1 above)</w:t>
      </w:r>
      <w:r>
        <w:rPr>
          <w:sz w:val="20"/>
          <w:szCs w:val="20"/>
        </w:rPr>
        <w:t>, the Executive Committee decided to continue considering projects in the local installation and assembly subsector in the context of KIPs on a case</w:t>
      </w:r>
      <w:r>
        <w:rPr>
          <w:sz w:val="20"/>
          <w:szCs w:val="20"/>
        </w:rPr>
        <w:noBreakHyphen/>
        <w:t>by</w:t>
      </w:r>
      <w:r>
        <w:rPr>
          <w:sz w:val="20"/>
          <w:szCs w:val="20"/>
        </w:rPr>
        <w:noBreakHyphen/>
        <w:t>case basis, in line with decision 95/89(b), and to request the Fund Secretariat to continue collecting information on the local installation and assembly subsector, provided by Article 5 countries in their KIPs, and to provide an update on the sector, as part of the information requested of the Fund Secretariat at the 100th meeting under decision 98/61 (decision 98/59).</w:t>
      </w:r>
    </w:p>
    <w:p w14:paraId="0F68DB75" w14:textId="14255E27" w:rsidR="0047057B" w:rsidRPr="004A7832" w:rsidRDefault="0047057B" w:rsidP="00B91E0F">
      <w:pPr>
        <w:keepNext/>
        <w:spacing w:after="240"/>
        <w:ind w:left="1248" w:hanging="624"/>
        <w:outlineLvl w:val="1"/>
        <w:rPr>
          <w:b/>
          <w:sz w:val="20"/>
          <w:szCs w:val="20"/>
          <w:lang w:val="en-GB"/>
        </w:rPr>
      </w:pPr>
      <w:r>
        <w:rPr>
          <w:b/>
          <w:sz w:val="20"/>
          <w:szCs w:val="20"/>
          <w:lang w:val="en-GB"/>
        </w:rPr>
        <w:t>3.</w:t>
      </w:r>
      <w:r>
        <w:rPr>
          <w:b/>
          <w:sz w:val="20"/>
          <w:szCs w:val="20"/>
          <w:lang w:val="en-GB"/>
        </w:rPr>
        <w:tab/>
        <w:t>Deduction from the starting point for HFC consumption where Kigali HFC implementation plans include commitments for reductions beyond the 10 per cent target under the Kigali Amendment</w:t>
      </w:r>
    </w:p>
    <w:p w14:paraId="44B7D745" w14:textId="6778E46E" w:rsidR="0047057B" w:rsidRPr="00755FD4" w:rsidRDefault="0047057B" w:rsidP="0047057B">
      <w:pPr>
        <w:pStyle w:val="Heading3"/>
        <w:numPr>
          <w:ilvl w:val="2"/>
          <w:numId w:val="16"/>
        </w:numPr>
        <w:ind w:left="1276" w:firstLine="0"/>
        <w:rPr>
          <w:b/>
          <w:sz w:val="20"/>
          <w:szCs w:val="20"/>
          <w:lang w:val="en-GB"/>
        </w:rPr>
      </w:pPr>
      <w:r>
        <w:rPr>
          <w:sz w:val="20"/>
          <w:szCs w:val="20"/>
        </w:rPr>
        <w:t xml:space="preserve">At its 98th meeting, the Executive Committee considered the issue of the </w:t>
      </w:r>
      <w:r>
        <w:rPr>
          <w:sz w:val="20"/>
          <w:szCs w:val="20"/>
          <w:lang w:val="en-GB"/>
        </w:rPr>
        <w:t>deduction from the starting point for HFC consumption where KIPs included commitments for reductions beyond the 10 per cent target under the Kigali Amendment. Following discussions in plenary and in an informal group</w:t>
      </w:r>
      <w:r>
        <w:rPr>
          <w:sz w:val="20"/>
          <w:szCs w:val="20"/>
        </w:rPr>
        <w:t>, the Executive Committee requested the Fund Secretariat to prepare, for consideration at the 99th meeting, a brief document on applying deductions from the starting point for sustained aggregate reductions in HFC consumption in cases where a KIP included a consumption reduction target beyond 10 per cent, including cases with large fluctuations in consumption during the baseline years (decision 98/24).</w:t>
      </w:r>
    </w:p>
    <w:p w14:paraId="57BD10D6" w14:textId="5DE71748" w:rsidR="000E1097" w:rsidRPr="000E1097" w:rsidRDefault="00C339F4" w:rsidP="008132B2">
      <w:pPr>
        <w:keepNext/>
        <w:spacing w:after="240"/>
        <w:ind w:left="1248" w:hanging="624"/>
        <w:outlineLvl w:val="1"/>
        <w:rPr>
          <w:b/>
          <w:sz w:val="20"/>
          <w:szCs w:val="20"/>
          <w:lang w:val="en-GB"/>
        </w:rPr>
      </w:pPr>
      <w:r>
        <w:rPr>
          <w:b/>
          <w:sz w:val="20"/>
          <w:szCs w:val="20"/>
          <w:lang w:val="en-GB"/>
        </w:rPr>
        <w:t>4.</w:t>
      </w:r>
      <w:r>
        <w:rPr>
          <w:b/>
          <w:sz w:val="20"/>
          <w:szCs w:val="20"/>
          <w:lang w:val="en-GB"/>
        </w:rPr>
        <w:tab/>
        <w:t>Issues related to projects submitted under the operational framework on energy efficiency (decisions 94/60 and 95/87)</w:t>
      </w:r>
    </w:p>
    <w:p w14:paraId="403812BE" w14:textId="309FA60E" w:rsidR="000E1097" w:rsidRPr="000E1097" w:rsidRDefault="000E1097" w:rsidP="0047057B">
      <w:pPr>
        <w:pStyle w:val="Heading3"/>
        <w:numPr>
          <w:ilvl w:val="2"/>
          <w:numId w:val="16"/>
        </w:numPr>
        <w:ind w:left="1276" w:firstLine="0"/>
        <w:rPr>
          <w:sz w:val="20"/>
          <w:szCs w:val="20"/>
          <w:lang w:eastAsia="en-GB"/>
        </w:rPr>
      </w:pPr>
      <w:r>
        <w:rPr>
          <w:bCs/>
          <w:sz w:val="20"/>
          <w:szCs w:val="20"/>
          <w:lang w:val="en-GB"/>
        </w:rPr>
        <w:t>At</w:t>
      </w:r>
      <w:r>
        <w:rPr>
          <w:sz w:val="20"/>
          <w:szCs w:val="20"/>
          <w:lang w:eastAsia="en-GB"/>
        </w:rPr>
        <w:t xml:space="preserve"> the 97th and 98th meetings, the Executive Committee discussed a number of matters related to projects submitted under the operational framework on energy efficiency.</w:t>
      </w:r>
      <w:r>
        <w:rPr>
          <w:rStyle w:val="FootnoteReference"/>
          <w:sz w:val="20"/>
          <w:szCs w:val="20"/>
          <w:lang w:eastAsia="en-GB"/>
        </w:rPr>
        <w:footnoteReference w:id="6"/>
      </w:r>
      <w:r>
        <w:rPr>
          <w:sz w:val="20"/>
          <w:szCs w:val="20"/>
          <w:lang w:eastAsia="en-GB"/>
        </w:rPr>
        <w:t xml:space="preserve"> It recalled that, in its decision 94/60(b)(ii), the Committee had requested the Fund Secretariat periodically to propose updates to the agreed methodology in light of the experience gained.</w:t>
      </w:r>
    </w:p>
    <w:p w14:paraId="4B6D180B" w14:textId="77777777" w:rsidR="000E1097" w:rsidRPr="00292FAA" w:rsidRDefault="000E1097" w:rsidP="000E1097">
      <w:pPr>
        <w:pStyle w:val="Heading2"/>
        <w:numPr>
          <w:ilvl w:val="0"/>
          <w:numId w:val="0"/>
        </w:numPr>
        <w:ind w:left="1248" w:hanging="624"/>
        <w:rPr>
          <w:b/>
          <w:bCs/>
          <w:sz w:val="20"/>
          <w:szCs w:val="20"/>
          <w:lang w:val="en-GB"/>
        </w:rPr>
      </w:pPr>
      <w:r>
        <w:rPr>
          <w:b/>
          <w:bCs/>
          <w:sz w:val="20"/>
          <w:szCs w:val="20"/>
          <w:lang w:val="en-GB"/>
        </w:rPr>
        <w:t>(a)</w:t>
      </w:r>
      <w:r>
        <w:rPr>
          <w:b/>
          <w:bCs/>
          <w:sz w:val="20"/>
          <w:szCs w:val="20"/>
          <w:lang w:val="en-GB"/>
        </w:rPr>
        <w:tab/>
        <w:t>Proportion of equipment manufactured by an enterprise qualifying for the additional component incentive</w:t>
      </w:r>
    </w:p>
    <w:p w14:paraId="3476C412" w14:textId="200E0572" w:rsidR="000E1097" w:rsidRPr="00292FAA" w:rsidRDefault="0047057B" w:rsidP="0047057B">
      <w:pPr>
        <w:pStyle w:val="Heading3"/>
        <w:numPr>
          <w:ilvl w:val="2"/>
          <w:numId w:val="16"/>
        </w:numPr>
        <w:ind w:left="1276" w:firstLine="0"/>
        <w:rPr>
          <w:sz w:val="20"/>
          <w:szCs w:val="20"/>
          <w:lang w:eastAsia="en-GB"/>
        </w:rPr>
      </w:pPr>
      <w:r>
        <w:rPr>
          <w:sz w:val="20"/>
          <w:szCs w:val="20"/>
          <w:lang w:eastAsia="en-GB"/>
        </w:rPr>
        <w:t>At the 97th</w:t>
      </w:r>
      <w:r>
        <w:rPr>
          <w:sz w:val="20"/>
          <w:szCs w:val="20"/>
          <w:lang w:val="en-GB" w:eastAsia="en-GB"/>
        </w:rPr>
        <w:t> meeting, t</w:t>
      </w:r>
      <w:r>
        <w:rPr>
          <w:sz w:val="20"/>
          <w:szCs w:val="20"/>
          <w:lang w:eastAsia="en-GB"/>
        </w:rPr>
        <w:t>he Executive Committee decided, for projects submitted under the operational framework on energy efficiency, to approve the additional conditions for enterprises with less than 50 per cent of their manufacturing volume qualifying for the additional component incentive that were specified in subparagraphs 40(a) and (b) of document UNEP/</w:t>
      </w:r>
      <w:proofErr w:type="spellStart"/>
      <w:r>
        <w:rPr>
          <w:sz w:val="20"/>
          <w:szCs w:val="20"/>
          <w:lang w:eastAsia="en-GB"/>
        </w:rPr>
        <w:t>OzL.Pro</w:t>
      </w:r>
      <w:proofErr w:type="spellEnd"/>
      <w:r>
        <w:rPr>
          <w:sz w:val="20"/>
          <w:szCs w:val="20"/>
          <w:lang w:eastAsia="en-GB"/>
        </w:rPr>
        <w:t>/ExCom/97/26 (decision 97/32).</w:t>
      </w:r>
    </w:p>
    <w:p w14:paraId="4841D827" w14:textId="77777777" w:rsidR="00A376D6" w:rsidRPr="002619A8" w:rsidRDefault="000E1097" w:rsidP="00A376D6">
      <w:pPr>
        <w:pStyle w:val="Heading2"/>
        <w:numPr>
          <w:ilvl w:val="0"/>
          <w:numId w:val="0"/>
        </w:numPr>
        <w:ind w:left="1248" w:hanging="528"/>
        <w:rPr>
          <w:b/>
          <w:bCs/>
          <w:sz w:val="20"/>
          <w:szCs w:val="20"/>
          <w:lang w:val="en-GB"/>
        </w:rPr>
      </w:pPr>
      <w:r>
        <w:rPr>
          <w:b/>
          <w:bCs/>
          <w:sz w:val="20"/>
          <w:szCs w:val="20"/>
          <w:lang w:val="en-GB"/>
        </w:rPr>
        <w:t>(b)</w:t>
      </w:r>
      <w:r>
        <w:rPr>
          <w:b/>
          <w:bCs/>
          <w:sz w:val="20"/>
          <w:szCs w:val="20"/>
          <w:lang w:val="en-GB"/>
        </w:rPr>
        <w:tab/>
        <w:t xml:space="preserve">Energy-efficiency projects under </w:t>
      </w:r>
      <w:bookmarkStart w:id="0" w:name="OLE_LINK1"/>
      <w:r>
        <w:rPr>
          <w:b/>
          <w:bCs/>
          <w:sz w:val="20"/>
          <w:szCs w:val="20"/>
          <w:lang w:val="en-GB"/>
        </w:rPr>
        <w:t>decision 94/60</w:t>
      </w:r>
      <w:bookmarkEnd w:id="0"/>
      <w:r>
        <w:rPr>
          <w:b/>
          <w:bCs/>
          <w:sz w:val="20"/>
          <w:szCs w:val="20"/>
          <w:lang w:val="en-GB"/>
        </w:rPr>
        <w:t xml:space="preserve"> for enterprises with conversion projects submitted before the adoption of the Kigali Amendment</w:t>
      </w:r>
    </w:p>
    <w:p w14:paraId="210E3759" w14:textId="2084E93D" w:rsidR="00A376D6" w:rsidRPr="002619A8" w:rsidRDefault="00A376D6" w:rsidP="00A376D6">
      <w:pPr>
        <w:pStyle w:val="Heading3"/>
        <w:numPr>
          <w:ilvl w:val="2"/>
          <w:numId w:val="16"/>
        </w:numPr>
        <w:ind w:left="1276" w:firstLine="0"/>
        <w:rPr>
          <w:sz w:val="20"/>
          <w:szCs w:val="20"/>
        </w:rPr>
      </w:pPr>
      <w:r>
        <w:rPr>
          <w:sz w:val="20"/>
          <w:szCs w:val="20"/>
          <w:lang w:eastAsia="en-GB"/>
        </w:rPr>
        <w:t xml:space="preserve">At its 98th meeting, after considering the issue of energy-efficiency projects under decision 94/60 for enterprises with conversion projects submitted before the adoption of the Kigali Amendment, the </w:t>
      </w:r>
      <w:r>
        <w:rPr>
          <w:rFonts w:eastAsia="SimSun"/>
          <w:sz w:val="20"/>
          <w:szCs w:val="20"/>
        </w:rPr>
        <w:t>Executive Committee requested the Fund Secretariat to prepare a brief document for the 99th meeting providing information on refrigeration and air-conditioning manufacturing lines that had completed conversion under HCFC phase-out or HFC phase-down projects approved under the Multilateral Fund (d</w:t>
      </w:r>
      <w:r>
        <w:rPr>
          <w:sz w:val="20"/>
          <w:szCs w:val="20"/>
        </w:rPr>
        <w:t>ecision 98/23).</w:t>
      </w:r>
    </w:p>
    <w:p w14:paraId="325AA409" w14:textId="77777777" w:rsidR="000E1097" w:rsidRPr="00292FAA" w:rsidRDefault="000E1097" w:rsidP="000E1097">
      <w:pPr>
        <w:pStyle w:val="Heading2"/>
        <w:numPr>
          <w:ilvl w:val="0"/>
          <w:numId w:val="0"/>
        </w:numPr>
        <w:ind w:left="1248" w:hanging="624"/>
        <w:rPr>
          <w:b/>
          <w:bCs/>
          <w:sz w:val="20"/>
          <w:szCs w:val="20"/>
          <w:lang w:val="en-GB"/>
        </w:rPr>
      </w:pPr>
      <w:r>
        <w:rPr>
          <w:b/>
          <w:bCs/>
          <w:sz w:val="20"/>
          <w:szCs w:val="20"/>
          <w:lang w:val="en-GB"/>
        </w:rPr>
        <w:t>(c)</w:t>
      </w:r>
      <w:r>
        <w:rPr>
          <w:b/>
          <w:bCs/>
          <w:sz w:val="20"/>
          <w:szCs w:val="20"/>
          <w:lang w:val="en-GB"/>
        </w:rPr>
        <w:tab/>
        <w:t>Manufacturing volumes to be considered while evaluating additional component costs for projects under decision 94/60</w:t>
      </w:r>
    </w:p>
    <w:p w14:paraId="5A53C622" w14:textId="17B3873D" w:rsidR="000E1097" w:rsidRDefault="0047057B" w:rsidP="00A376D6">
      <w:pPr>
        <w:pStyle w:val="Heading3"/>
        <w:numPr>
          <w:ilvl w:val="2"/>
          <w:numId w:val="16"/>
        </w:numPr>
        <w:ind w:left="1276" w:firstLine="0"/>
        <w:rPr>
          <w:sz w:val="20"/>
          <w:szCs w:val="20"/>
          <w:lang w:eastAsia="en-GB"/>
        </w:rPr>
      </w:pPr>
      <w:r>
        <w:rPr>
          <w:sz w:val="20"/>
          <w:szCs w:val="20"/>
          <w:lang w:eastAsia="en-GB"/>
        </w:rPr>
        <w:t>At the 97th meeting, the Executive Committee decided to note that, for projects submitted under the operational framework on energy efficiency, the Fund Secretariat would use either the latest year or the average of the three years preceding the project’s submission to determine the manufacturing volumes (decision 97/33).</w:t>
      </w:r>
    </w:p>
    <w:p w14:paraId="38CADE16" w14:textId="77777777" w:rsidR="00A376D6" w:rsidRPr="00292FAA" w:rsidRDefault="002619A8" w:rsidP="00A376D6">
      <w:pPr>
        <w:pStyle w:val="Heading2"/>
        <w:numPr>
          <w:ilvl w:val="0"/>
          <w:numId w:val="0"/>
        </w:numPr>
        <w:ind w:left="1248" w:hanging="624"/>
        <w:rPr>
          <w:b/>
          <w:bCs/>
          <w:sz w:val="20"/>
          <w:szCs w:val="20"/>
          <w:lang w:val="en-GB"/>
        </w:rPr>
      </w:pPr>
      <w:r>
        <w:rPr>
          <w:b/>
          <w:bCs/>
          <w:sz w:val="20"/>
          <w:szCs w:val="20"/>
          <w:lang w:val="en-GB"/>
        </w:rPr>
        <w:t>(d)</w:t>
      </w:r>
      <w:r>
        <w:rPr>
          <w:b/>
          <w:bCs/>
          <w:sz w:val="20"/>
          <w:szCs w:val="20"/>
          <w:lang w:val="en-GB"/>
        </w:rPr>
        <w:tab/>
        <w:t>Provision of additional capital costs to manufacturers that use complete knock-down kits</w:t>
      </w:r>
    </w:p>
    <w:p w14:paraId="59B6B3C7" w14:textId="55EDD354" w:rsidR="00A376D6" w:rsidRPr="00292FAA" w:rsidRDefault="00A376D6" w:rsidP="00A376D6">
      <w:pPr>
        <w:pStyle w:val="Heading3"/>
        <w:numPr>
          <w:ilvl w:val="2"/>
          <w:numId w:val="16"/>
        </w:numPr>
        <w:ind w:left="1276" w:firstLine="0"/>
        <w:rPr>
          <w:sz w:val="20"/>
          <w:szCs w:val="20"/>
          <w:lang w:eastAsia="en-GB"/>
        </w:rPr>
      </w:pPr>
      <w:proofErr w:type="gramStart"/>
      <w:r>
        <w:rPr>
          <w:sz w:val="20"/>
          <w:szCs w:val="20"/>
          <w:lang w:eastAsia="en-GB"/>
        </w:rPr>
        <w:t>Also</w:t>
      </w:r>
      <w:proofErr w:type="gramEnd"/>
      <w:r>
        <w:rPr>
          <w:sz w:val="20"/>
          <w:szCs w:val="20"/>
          <w:lang w:eastAsia="en-GB"/>
        </w:rPr>
        <w:t xml:space="preserve"> at the 97th meeting, following a discussion, the Executive Committee agreed to defer, to a future meeting, consideration of the provision of additional capital costs to manufacturers that used complete knock</w:t>
      </w:r>
      <w:r>
        <w:rPr>
          <w:sz w:val="20"/>
          <w:szCs w:val="20"/>
          <w:lang w:eastAsia="en-GB"/>
        </w:rPr>
        <w:noBreakHyphen/>
        <w:t>down kits in projects submitted under the operational framework on energy efficiency.</w:t>
      </w:r>
    </w:p>
    <w:p w14:paraId="60978240" w14:textId="07197B8E" w:rsidR="00CA1454" w:rsidRPr="00CA1454" w:rsidRDefault="00755FD4" w:rsidP="00CA1454">
      <w:pPr>
        <w:keepNext/>
        <w:spacing w:after="240"/>
        <w:ind w:firstLine="624"/>
        <w:outlineLvl w:val="1"/>
        <w:rPr>
          <w:b/>
          <w:sz w:val="20"/>
          <w:szCs w:val="20"/>
          <w:lang w:val="en-GB"/>
        </w:rPr>
      </w:pPr>
      <w:r>
        <w:rPr>
          <w:b/>
          <w:sz w:val="20"/>
          <w:szCs w:val="20"/>
          <w:lang w:val="en-GB"/>
        </w:rPr>
        <w:t>5.</w:t>
      </w:r>
      <w:r>
        <w:rPr>
          <w:b/>
          <w:sz w:val="20"/>
          <w:szCs w:val="20"/>
          <w:lang w:val="en-GB"/>
        </w:rPr>
        <w:tab/>
      </w:r>
      <w:r w:rsidR="004515EA">
        <w:rPr>
          <w:b/>
          <w:sz w:val="20"/>
          <w:szCs w:val="20"/>
          <w:lang w:val="en-GB"/>
        </w:rPr>
        <w:t>Assessment of the funding window for energy efficiency established under decision 91/65</w:t>
      </w:r>
    </w:p>
    <w:p w14:paraId="40D2586F" w14:textId="2F6CA89E" w:rsidR="00CA1454" w:rsidRPr="00CA1454" w:rsidRDefault="00CA1454" w:rsidP="00CA1454">
      <w:pPr>
        <w:pStyle w:val="Heading3"/>
        <w:numPr>
          <w:ilvl w:val="2"/>
          <w:numId w:val="16"/>
        </w:numPr>
        <w:ind w:left="1276" w:firstLine="0"/>
      </w:pPr>
      <w:r>
        <w:rPr>
          <w:rFonts w:eastAsia="SimSun"/>
          <w:sz w:val="20"/>
          <w:szCs w:val="20"/>
        </w:rPr>
        <w:t>At the 98th meeting, an Executive Committee member said that there was a desire among Article 5 countries to assess the funding window for energy efficiency established under decision 91/65. Following discussions in plenary and in the margins of the meeting, the Executive Committee agreed to defer consideration of the matter to a future meeting.</w:t>
      </w:r>
    </w:p>
    <w:p w14:paraId="04DBEF42" w14:textId="02AA8409" w:rsidR="000E1097" w:rsidRPr="00292FAA" w:rsidRDefault="00755FD4" w:rsidP="00292FAA">
      <w:pPr>
        <w:keepNext/>
        <w:spacing w:after="240"/>
        <w:ind w:left="1248" w:hanging="624"/>
        <w:outlineLvl w:val="1"/>
        <w:rPr>
          <w:b/>
          <w:bCs/>
          <w:sz w:val="20"/>
          <w:szCs w:val="20"/>
          <w:highlight w:val="cyan"/>
          <w:u w:val="single"/>
          <w:lang w:val="en-GB"/>
        </w:rPr>
      </w:pPr>
      <w:r>
        <w:rPr>
          <w:b/>
          <w:sz w:val="20"/>
          <w:szCs w:val="20"/>
          <w:lang w:val="en-GB"/>
        </w:rPr>
        <w:t>6.</w:t>
      </w:r>
      <w:r>
        <w:rPr>
          <w:b/>
          <w:sz w:val="20"/>
          <w:szCs w:val="20"/>
          <w:lang w:val="en-GB"/>
        </w:rPr>
        <w:tab/>
        <w:t>Operationalization of centres of excellence for sustainable cooling and testing centres for energy efficiency</w:t>
      </w:r>
    </w:p>
    <w:p w14:paraId="2B6A05B2" w14:textId="77777777" w:rsidR="00292FAA" w:rsidRPr="00292FAA" w:rsidRDefault="00292FAA" w:rsidP="00292FAA">
      <w:pPr>
        <w:pStyle w:val="Heading2"/>
        <w:numPr>
          <w:ilvl w:val="0"/>
          <w:numId w:val="0"/>
        </w:numPr>
        <w:ind w:firstLine="624"/>
        <w:rPr>
          <w:b/>
          <w:bCs/>
          <w:sz w:val="20"/>
          <w:szCs w:val="20"/>
          <w:lang w:val="en-GB"/>
        </w:rPr>
      </w:pPr>
      <w:r>
        <w:rPr>
          <w:b/>
          <w:bCs/>
          <w:sz w:val="20"/>
          <w:szCs w:val="20"/>
          <w:lang w:val="en-GB"/>
        </w:rPr>
        <w:t>(a)</w:t>
      </w:r>
      <w:r>
        <w:rPr>
          <w:b/>
          <w:bCs/>
          <w:sz w:val="20"/>
          <w:szCs w:val="20"/>
          <w:lang w:val="en-GB"/>
        </w:rPr>
        <w:tab/>
        <w:t>Operationalization of centres of excellence for sustainable cooling</w:t>
      </w:r>
    </w:p>
    <w:p w14:paraId="50026278" w14:textId="77777777" w:rsidR="00950138" w:rsidRDefault="00292FAA" w:rsidP="00950138">
      <w:pPr>
        <w:pStyle w:val="Heading3"/>
        <w:numPr>
          <w:ilvl w:val="2"/>
          <w:numId w:val="16"/>
        </w:numPr>
        <w:ind w:left="1276" w:firstLine="0"/>
        <w:rPr>
          <w:sz w:val="20"/>
          <w:szCs w:val="20"/>
          <w:lang w:eastAsia="en-GB"/>
        </w:rPr>
      </w:pPr>
      <w:r>
        <w:rPr>
          <w:sz w:val="20"/>
          <w:szCs w:val="20"/>
          <w:lang w:eastAsia="en-GB"/>
        </w:rPr>
        <w:t xml:space="preserve">At the 97th meeting, pursuant to decision 95/87(e), the Executive Committee considered a </w:t>
      </w:r>
      <w:r>
        <w:rPr>
          <w:rFonts w:eastAsia="SimSun"/>
          <w:sz w:val="20"/>
          <w:szCs w:val="20"/>
        </w:rPr>
        <w:t>document</w:t>
      </w:r>
      <w:r>
        <w:rPr>
          <w:sz w:val="20"/>
          <w:szCs w:val="20"/>
          <w:lang w:eastAsia="en-GB"/>
        </w:rPr>
        <w:t xml:space="preserve"> prepared by the Fund Secretariat on the operationalization of centres of excellence for sustainable cooling.</w:t>
      </w:r>
      <w:r>
        <w:rPr>
          <w:sz w:val="20"/>
          <w:szCs w:val="20"/>
          <w:vertAlign w:val="superscript"/>
          <w:lang w:eastAsia="en-GB"/>
        </w:rPr>
        <w:footnoteReference w:id="7"/>
      </w:r>
      <w:r>
        <w:rPr>
          <w:sz w:val="20"/>
          <w:szCs w:val="20"/>
          <w:lang w:eastAsia="en-GB"/>
        </w:rPr>
        <w:t xml:space="preserve"> Following discussions in the contact group, the Executive Committee requested the Fund Secretariat and the UNEP Compliance Assistance Programme (CAP), through its networks of national ozone units and the energy</w:t>
      </w:r>
      <w:r>
        <w:rPr>
          <w:sz w:val="20"/>
          <w:szCs w:val="20"/>
          <w:lang w:eastAsia="en-GB"/>
        </w:rPr>
        <w:noBreakHyphen/>
        <w:t>efficiency twinning project, to facilitate regional or subregional consultations, including with interested bilateral and implementing agencies, in order to collect information on: existing centres of excellence that provided services in the refrigeration, air</w:t>
      </w:r>
      <w:r>
        <w:rPr>
          <w:sz w:val="20"/>
          <w:szCs w:val="20"/>
          <w:lang w:eastAsia="en-GB"/>
        </w:rPr>
        <w:noBreakHyphen/>
        <w:t xml:space="preserve">conditioning and heat pump sector, including the particular services that they provided, their mode of operation and financing, whether they generated revenue and if so, how, and their potential to serve as regional thematic centres; and the interest of various subregions in hosting a thematic regional centre, including the particular themes of interest of the subregion and the possibility of the relevant/applicable Governments providing counterpart support for the long-term operation of the centres. </w:t>
      </w:r>
    </w:p>
    <w:p w14:paraId="60DF9296" w14:textId="53BAFFB9" w:rsidR="00292FAA" w:rsidRPr="00292FAA" w:rsidRDefault="00292FAA" w:rsidP="00950138">
      <w:pPr>
        <w:pStyle w:val="Heading3"/>
        <w:numPr>
          <w:ilvl w:val="2"/>
          <w:numId w:val="16"/>
        </w:numPr>
        <w:ind w:left="1276" w:firstLine="0"/>
        <w:rPr>
          <w:sz w:val="20"/>
          <w:szCs w:val="20"/>
          <w:lang w:eastAsia="en-GB"/>
        </w:rPr>
      </w:pPr>
      <w:r>
        <w:rPr>
          <w:sz w:val="20"/>
          <w:szCs w:val="20"/>
          <w:lang w:eastAsia="en-GB"/>
        </w:rPr>
        <w:t>The Committee requested the Fund Secretariat to prepare, for the 99th meeting, taking into account the discussions at the 97th meeting, an update to the document under consideration, including specific information on existing relevant regional centres and the countries interested in hosting them; any outcome of the aforementioned consultations and the information that had been prepared by the Ozone Secretariat as per decision XXXVII/5 of the Thirty</w:t>
      </w:r>
      <w:r>
        <w:rPr>
          <w:sz w:val="20"/>
          <w:szCs w:val="20"/>
          <w:lang w:eastAsia="en-GB"/>
        </w:rPr>
        <w:noBreakHyphen/>
        <w:t>Seventh Meeting of the Parties on national and regional initiatives to support the implementation of the Kigali Amendment to the Montreal Protocol, if available; and options for securing long-term support after project completion (decision 97/87).</w:t>
      </w:r>
    </w:p>
    <w:p w14:paraId="7C0778A1" w14:textId="77777777" w:rsidR="00292FAA" w:rsidRPr="00292FAA" w:rsidRDefault="00292FAA" w:rsidP="00292FAA">
      <w:pPr>
        <w:pStyle w:val="Heading2"/>
        <w:numPr>
          <w:ilvl w:val="0"/>
          <w:numId w:val="0"/>
        </w:numPr>
        <w:ind w:left="1248" w:hanging="624"/>
        <w:rPr>
          <w:b/>
          <w:bCs/>
          <w:sz w:val="20"/>
          <w:szCs w:val="20"/>
          <w:lang w:val="en-GB"/>
        </w:rPr>
      </w:pPr>
      <w:r>
        <w:rPr>
          <w:b/>
          <w:bCs/>
          <w:sz w:val="20"/>
          <w:szCs w:val="20"/>
          <w:lang w:val="en-GB"/>
        </w:rPr>
        <w:t>(b)</w:t>
      </w:r>
      <w:r>
        <w:rPr>
          <w:b/>
          <w:bCs/>
          <w:sz w:val="20"/>
          <w:szCs w:val="20"/>
          <w:lang w:val="en-GB"/>
        </w:rPr>
        <w:tab/>
        <w:t>Operationalization of testing centres for energy efficiency</w:t>
      </w:r>
    </w:p>
    <w:p w14:paraId="45ABA728" w14:textId="77777777" w:rsidR="00292FAA" w:rsidRPr="00292FAA" w:rsidRDefault="00292FAA" w:rsidP="00950138">
      <w:pPr>
        <w:pStyle w:val="Heading3"/>
        <w:numPr>
          <w:ilvl w:val="2"/>
          <w:numId w:val="16"/>
        </w:numPr>
        <w:ind w:left="1276" w:firstLine="0"/>
        <w:rPr>
          <w:sz w:val="20"/>
          <w:szCs w:val="20"/>
          <w:lang w:eastAsia="en-GB"/>
        </w:rPr>
      </w:pPr>
      <w:r>
        <w:rPr>
          <w:sz w:val="20"/>
          <w:szCs w:val="20"/>
          <w:lang w:eastAsia="en-GB"/>
        </w:rPr>
        <w:t>At the 97th meeting, also pursuant to decision 95/87(e), the Executive Committee considered a document on the operationalization of testing centres for energy efficiency.</w:t>
      </w:r>
      <w:r>
        <w:rPr>
          <w:sz w:val="20"/>
          <w:szCs w:val="20"/>
          <w:vertAlign w:val="superscript"/>
          <w:lang w:eastAsia="en-GB"/>
        </w:rPr>
        <w:footnoteReference w:id="8"/>
      </w:r>
      <w:r>
        <w:rPr>
          <w:sz w:val="20"/>
          <w:szCs w:val="20"/>
          <w:lang w:eastAsia="en-GB"/>
        </w:rPr>
        <w:t xml:space="preserve"> Following discussion of the matter by the contact group considering the operationalization of centres of excellence for sustainable cooling, the Executive Committee decided to consider providing funding to strengthen or upgrade existing energy-efficiency testing centres in manufacturing countries, in the context of proposals made or submitted under decision 94/60, taking into account the information provided in aforementioned document on the operationalization of testing centres for energy efficiency. It requested the Fund Secretariat to prepare, for the 98th meeting, a document providing additional information on the purpose, objective and sustainability of new energy-efficiency testing centres in non-manufacturing countries, possibly identifying one or more subregions in which such centres would be needed to assist Article 5 countries in meeting minimum energy performance standards developed with Multilateral Fund support (decision 97/88).</w:t>
      </w:r>
    </w:p>
    <w:p w14:paraId="2B43DE93" w14:textId="30B899E2" w:rsidR="00D96CD3" w:rsidRPr="00C701FD" w:rsidRDefault="00292FAA" w:rsidP="00950138">
      <w:pPr>
        <w:pStyle w:val="Heading3"/>
        <w:numPr>
          <w:ilvl w:val="2"/>
          <w:numId w:val="16"/>
        </w:numPr>
        <w:ind w:left="1276" w:firstLine="0"/>
        <w:rPr>
          <w:sz w:val="20"/>
          <w:szCs w:val="20"/>
          <w:lang w:eastAsia="en-GB"/>
        </w:rPr>
      </w:pPr>
      <w:r>
        <w:rPr>
          <w:sz w:val="20"/>
          <w:szCs w:val="20"/>
          <w:lang w:eastAsia="en-GB"/>
        </w:rPr>
        <w:t>At the 98th meeting, the Executive Committee considered the requested information on new energy-efficiency testing centres in non</w:t>
      </w:r>
      <w:r>
        <w:rPr>
          <w:sz w:val="20"/>
          <w:szCs w:val="20"/>
          <w:lang w:eastAsia="en-GB"/>
        </w:rPr>
        <w:noBreakHyphen/>
        <w:t>manufacturing countries.</w:t>
      </w:r>
      <w:r>
        <w:rPr>
          <w:sz w:val="20"/>
          <w:szCs w:val="20"/>
          <w:vertAlign w:val="superscript"/>
          <w:lang w:eastAsia="en-GB"/>
        </w:rPr>
        <w:footnoteReference w:id="9"/>
      </w:r>
      <w:r>
        <w:rPr>
          <w:sz w:val="20"/>
          <w:szCs w:val="20"/>
          <w:lang w:eastAsia="en-GB"/>
        </w:rPr>
        <w:t xml:space="preserve"> It requested the Fund Secretariat and UNEP CAP, through the networks of national ozone units and the energy-efficiency twinning project, including with interested bilateral and implementing agencies, to continue consultations on regional testing centres to assist Article 5 countries in meeting minimum energy performance standards developed with Multilateral Fund support, taking into account the information in document UNEP/</w:t>
      </w:r>
      <w:proofErr w:type="spellStart"/>
      <w:r>
        <w:rPr>
          <w:sz w:val="20"/>
          <w:szCs w:val="20"/>
          <w:lang w:eastAsia="en-GB"/>
        </w:rPr>
        <w:t>OzL.Pro</w:t>
      </w:r>
      <w:proofErr w:type="spellEnd"/>
      <w:r>
        <w:rPr>
          <w:sz w:val="20"/>
          <w:szCs w:val="20"/>
          <w:lang w:eastAsia="en-GB"/>
        </w:rPr>
        <w:t>/ExCom/98/59, as well as discussions held by the Executive Committee at its 98th meeting. The Fund Secretariat was also requested to prepare, in consultation with the bilateral and implementing agencies, for the 102nd meeting, an updated report on regional energy-efficiency testing centres, as well as information on practical approaches to overcome identified barriers to such centres, taking into account the findings of the aforementioned consultations and the discussions at the 98th meeting (decision 98/60).</w:t>
      </w:r>
    </w:p>
    <w:p w14:paraId="5BE13FEC" w14:textId="5BA7DE7A" w:rsidR="0036103C" w:rsidRPr="007A1652" w:rsidRDefault="00C339F4" w:rsidP="0036103C">
      <w:pPr>
        <w:keepNext/>
        <w:spacing w:after="240" w:line="276" w:lineRule="auto"/>
        <w:ind w:left="1276" w:hanging="556"/>
        <w:rPr>
          <w:b/>
          <w:sz w:val="20"/>
          <w:szCs w:val="20"/>
          <w:lang w:val="en-GB"/>
        </w:rPr>
      </w:pPr>
      <w:r>
        <w:rPr>
          <w:b/>
          <w:sz w:val="20"/>
          <w:szCs w:val="20"/>
          <w:lang w:val="en-GB"/>
        </w:rPr>
        <w:t>7.</w:t>
      </w:r>
      <w:r>
        <w:rPr>
          <w:b/>
          <w:sz w:val="20"/>
          <w:szCs w:val="20"/>
          <w:lang w:val="en-GB"/>
        </w:rPr>
        <w:tab/>
        <w:t>Issue related to the projects submitted under the energy</w:t>
      </w:r>
      <w:r>
        <w:rPr>
          <w:b/>
          <w:sz w:val="20"/>
          <w:szCs w:val="20"/>
          <w:lang w:val="en-GB"/>
        </w:rPr>
        <w:noBreakHyphen/>
        <w:t>efficiency revolving</w:t>
      </w:r>
      <w:r>
        <w:rPr>
          <w:b/>
          <w:sz w:val="20"/>
          <w:szCs w:val="20"/>
          <w:lang w:val="en-GB"/>
        </w:rPr>
        <w:noBreakHyphen/>
        <w:t>fund end-user projects established in decision 95/87</w:t>
      </w:r>
    </w:p>
    <w:p w14:paraId="6BF4A694" w14:textId="65619E62" w:rsidR="0036103C" w:rsidRPr="007A1652" w:rsidRDefault="0036103C" w:rsidP="008F1D8E">
      <w:pPr>
        <w:pStyle w:val="Heading3"/>
        <w:numPr>
          <w:ilvl w:val="2"/>
          <w:numId w:val="16"/>
        </w:numPr>
        <w:ind w:left="1276" w:firstLine="0"/>
        <w:rPr>
          <w:sz w:val="20"/>
          <w:szCs w:val="20"/>
        </w:rPr>
      </w:pPr>
      <w:r>
        <w:rPr>
          <w:sz w:val="20"/>
          <w:szCs w:val="20"/>
        </w:rPr>
        <w:t xml:space="preserve">At the 98th meeting, while considering requests for funding for projects submitted under the </w:t>
      </w:r>
      <w:r>
        <w:rPr>
          <w:sz w:val="20"/>
          <w:szCs w:val="20"/>
          <w:lang w:val="en-US"/>
        </w:rPr>
        <w:t>energy</w:t>
      </w:r>
      <w:r>
        <w:rPr>
          <w:sz w:val="20"/>
          <w:szCs w:val="20"/>
          <w:lang w:val="en-US"/>
        </w:rPr>
        <w:noBreakHyphen/>
        <w:t>efficiency revolving</w:t>
      </w:r>
      <w:r>
        <w:rPr>
          <w:sz w:val="20"/>
          <w:szCs w:val="20"/>
          <w:lang w:val="en-US"/>
        </w:rPr>
        <w:noBreakHyphen/>
        <w:t xml:space="preserve">fund for end users established in </w:t>
      </w:r>
      <w:r>
        <w:rPr>
          <w:sz w:val="20"/>
          <w:szCs w:val="20"/>
        </w:rPr>
        <w:t>decision 95/87,</w:t>
      </w:r>
      <w:r>
        <w:rPr>
          <w:rStyle w:val="FootnoteReference"/>
          <w:sz w:val="20"/>
          <w:szCs w:val="20"/>
        </w:rPr>
        <w:footnoteReference w:id="10"/>
      </w:r>
      <w:r>
        <w:rPr>
          <w:sz w:val="20"/>
          <w:szCs w:val="20"/>
        </w:rPr>
        <w:t xml:space="preserve"> the Executive Committee decided that the approach used for the funding associated with technical assistance and agency support costs under such projects was exceptional, including with regard to whether technical assistance and agency support costs were part of the funding returned to the Multilateral Fund, and would not set a precedent for future projects</w:t>
      </w:r>
      <w:r w:rsidR="00B97BD8">
        <w:rPr>
          <w:sz w:val="20"/>
          <w:szCs w:val="20"/>
        </w:rPr>
        <w:t xml:space="preserve">. </w:t>
      </w:r>
      <w:r w:rsidR="007737E6">
        <w:rPr>
          <w:sz w:val="20"/>
          <w:szCs w:val="20"/>
        </w:rPr>
        <w:t xml:space="preserve">The Committee also requested </w:t>
      </w:r>
      <w:r w:rsidR="003E0733">
        <w:rPr>
          <w:sz w:val="20"/>
          <w:szCs w:val="20"/>
        </w:rPr>
        <w:t>the Secretariat to prepare, for consideration by the Executive Committee at its 99th meeting, a format for performance repo</w:t>
      </w:r>
      <w:r w:rsidR="007903A8">
        <w:rPr>
          <w:sz w:val="20"/>
          <w:szCs w:val="20"/>
        </w:rPr>
        <w:t>rting for the projects approved</w:t>
      </w:r>
      <w:r>
        <w:rPr>
          <w:sz w:val="20"/>
          <w:szCs w:val="20"/>
        </w:rPr>
        <w:t xml:space="preserve"> (decision 98/54).</w:t>
      </w:r>
    </w:p>
    <w:p w14:paraId="50914856" w14:textId="36D3930C" w:rsidR="00292FAA" w:rsidRPr="00292FAA" w:rsidRDefault="0036103C" w:rsidP="00292FAA">
      <w:pPr>
        <w:spacing w:after="240"/>
        <w:ind w:left="1248" w:hanging="624"/>
        <w:outlineLvl w:val="0"/>
        <w:rPr>
          <w:b/>
          <w:sz w:val="20"/>
          <w:szCs w:val="20"/>
          <w:lang w:val="en-GB"/>
        </w:rPr>
      </w:pPr>
      <w:r>
        <w:rPr>
          <w:b/>
          <w:sz w:val="20"/>
          <w:szCs w:val="20"/>
          <w:lang w:val="en-GB"/>
        </w:rPr>
        <w:t>8.</w:t>
      </w:r>
      <w:r>
        <w:rPr>
          <w:b/>
          <w:sz w:val="20"/>
          <w:szCs w:val="20"/>
          <w:lang w:val="en-GB"/>
        </w:rPr>
        <w:tab/>
        <w:t>Consideration of the establishment of a funding window in line with decision XXXV/11 of the Thirty-Fifth Meeting of the Parties on life-cycle refrigerant management</w:t>
      </w:r>
    </w:p>
    <w:p w14:paraId="7C499B16" w14:textId="70569A07" w:rsidR="00292FAA" w:rsidRPr="00292FAA" w:rsidRDefault="00292FAA" w:rsidP="008F1D8E">
      <w:pPr>
        <w:pStyle w:val="Heading3"/>
        <w:numPr>
          <w:ilvl w:val="2"/>
          <w:numId w:val="16"/>
        </w:numPr>
        <w:ind w:left="1276" w:firstLine="0"/>
        <w:rPr>
          <w:sz w:val="20"/>
          <w:szCs w:val="20"/>
          <w:lang w:eastAsia="en-GB"/>
        </w:rPr>
      </w:pPr>
      <w:r>
        <w:rPr>
          <w:sz w:val="20"/>
          <w:szCs w:val="20"/>
          <w:lang w:eastAsia="en-GB"/>
        </w:rPr>
        <w:t>At its 97th meeting, the Executive Committee considered a report prepared pursuant to decision 93/104 on life-cycle refrigerant management with a view to considering the establishment of a funding window in line with decision XXXV/11.</w:t>
      </w:r>
      <w:r>
        <w:rPr>
          <w:sz w:val="20"/>
          <w:szCs w:val="20"/>
          <w:vertAlign w:val="superscript"/>
        </w:rPr>
        <w:footnoteReference w:id="11"/>
      </w:r>
      <w:r>
        <w:rPr>
          <w:sz w:val="20"/>
          <w:szCs w:val="20"/>
          <w:lang w:eastAsia="en-GB"/>
        </w:rPr>
        <w:t xml:space="preserve"> Following discussions in a contact group, the Committee decided to encourage the bilateral and implementing agencies to intensify their efforts to assist Article 5 countries in finalizing, as soon as feasible, projects, under decision 91/66, on national inventories of banks of used or unwanted controlled substances and a plan for the collection, transport and disposal of such substances, including consideration of recycling, reclamation and cost-effective destruction, and in submitting the final reports and a copy of the resulting national inventories and national action plans. The Fund Secretariat was requested to update, for the 99th meeting, the information in the report under consideration </w:t>
      </w:r>
      <w:proofErr w:type="gramStart"/>
      <w:r>
        <w:rPr>
          <w:sz w:val="20"/>
          <w:szCs w:val="20"/>
          <w:lang w:eastAsia="en-GB"/>
        </w:rPr>
        <w:t>in light of</w:t>
      </w:r>
      <w:proofErr w:type="gramEnd"/>
      <w:r>
        <w:rPr>
          <w:sz w:val="20"/>
          <w:szCs w:val="20"/>
          <w:lang w:eastAsia="en-GB"/>
        </w:rPr>
        <w:t xml:space="preserve"> completed inventory projects and national plans and other relevant information, including on the movement of controlled substances for destruction or reclamation. The Fund Secretariat was also requested to prepare, for the 100th meeting, a document on funding modalities, including elements for draft cost guidelines to implement plans developed in accordance with decision 91/66, with a view to the Committee’s considering the establishment of a funding window in line with decision XXXV/11, taking into consideration the information provided in the updated report and the views on that report expressed by the Executive Committee (decision 97/89).</w:t>
      </w:r>
    </w:p>
    <w:p w14:paraId="2ECF829F" w14:textId="77777777" w:rsidR="00292FAA" w:rsidRDefault="00292FAA" w:rsidP="0096076D">
      <w:pPr>
        <w:pStyle w:val="Heading3"/>
        <w:numPr>
          <w:ilvl w:val="2"/>
          <w:numId w:val="16"/>
        </w:numPr>
        <w:ind w:left="1276" w:firstLine="0"/>
        <w:rPr>
          <w:sz w:val="20"/>
          <w:szCs w:val="20"/>
          <w:lang w:eastAsia="en-GB"/>
        </w:rPr>
      </w:pPr>
      <w:r>
        <w:rPr>
          <w:sz w:val="20"/>
          <w:szCs w:val="20"/>
          <w:lang w:eastAsia="en-GB"/>
        </w:rPr>
        <w:t xml:space="preserve">At its 97th meeting, the Executive Committee also examined whether to extend the funding window, established in </w:t>
      </w:r>
      <w:r>
        <w:rPr>
          <w:sz w:val="20"/>
          <w:szCs w:val="20"/>
          <w:lang w:val="en-GB"/>
        </w:rPr>
        <w:t>decision 91/66,</w:t>
      </w:r>
      <w:r>
        <w:rPr>
          <w:sz w:val="20"/>
          <w:szCs w:val="20"/>
          <w:lang w:eastAsia="en-GB"/>
        </w:rPr>
        <w:t xml:space="preserve"> for the preparation of national inventories of banks of used or unwanted controlled substances and a plan for the collection, transport and disposal of such substances.</w:t>
      </w:r>
      <w:r>
        <w:rPr>
          <w:sz w:val="20"/>
          <w:szCs w:val="20"/>
          <w:vertAlign w:val="superscript"/>
          <w:lang w:eastAsia="en-GB"/>
        </w:rPr>
        <w:footnoteReference w:id="12"/>
      </w:r>
      <w:r>
        <w:rPr>
          <w:sz w:val="20"/>
          <w:szCs w:val="20"/>
          <w:lang w:eastAsia="en-GB"/>
        </w:rPr>
        <w:t xml:space="preserve"> Following discussions in plenary and informal consultations, the Executive Committee decided not to extend the funding window (decision 97/31).</w:t>
      </w:r>
    </w:p>
    <w:p w14:paraId="3176E184" w14:textId="39AAB7B9" w:rsidR="00DF1A07" w:rsidRPr="00BE460D" w:rsidRDefault="00311533" w:rsidP="00DF1A07">
      <w:pPr>
        <w:spacing w:after="240"/>
        <w:ind w:left="1248" w:hanging="624"/>
        <w:outlineLvl w:val="0"/>
        <w:rPr>
          <w:b/>
          <w:sz w:val="20"/>
          <w:szCs w:val="20"/>
          <w:lang w:val="en-GB"/>
        </w:rPr>
      </w:pPr>
      <w:r>
        <w:rPr>
          <w:b/>
          <w:sz w:val="20"/>
          <w:szCs w:val="20"/>
          <w:lang w:val="en-GB"/>
        </w:rPr>
        <w:t>9.</w:t>
      </w:r>
      <w:r>
        <w:rPr>
          <w:b/>
          <w:sz w:val="20"/>
          <w:szCs w:val="20"/>
          <w:lang w:val="en-GB"/>
        </w:rPr>
        <w:tab/>
        <w:t>Challenges in implementing conversion projects in the refrigeration, air</w:t>
      </w:r>
      <w:r>
        <w:rPr>
          <w:b/>
          <w:sz w:val="20"/>
          <w:szCs w:val="20"/>
          <w:lang w:val="en-GB"/>
        </w:rPr>
        <w:noBreakHyphen/>
        <w:t>conditioning and heat</w:t>
      </w:r>
      <w:r>
        <w:rPr>
          <w:b/>
          <w:sz w:val="20"/>
          <w:szCs w:val="20"/>
          <w:lang w:val="en-GB"/>
        </w:rPr>
        <w:noBreakHyphen/>
        <w:t>pump sector due to supply-chain issues and possible ways to address the challenges</w:t>
      </w:r>
    </w:p>
    <w:p w14:paraId="0A611211" w14:textId="3A00C847" w:rsidR="00E64332" w:rsidRPr="00BE460D" w:rsidRDefault="00DF1A07" w:rsidP="00B90A56">
      <w:pPr>
        <w:pStyle w:val="Heading3"/>
        <w:numPr>
          <w:ilvl w:val="2"/>
          <w:numId w:val="16"/>
        </w:numPr>
        <w:ind w:left="1276" w:firstLine="0"/>
        <w:rPr>
          <w:sz w:val="20"/>
          <w:szCs w:val="20"/>
          <w:lang w:eastAsia="en-GB"/>
        </w:rPr>
      </w:pPr>
      <w:r>
        <w:rPr>
          <w:sz w:val="20"/>
          <w:szCs w:val="20"/>
          <w:lang w:eastAsia="en-GB"/>
        </w:rPr>
        <w:t>Pursuant</w:t>
      </w:r>
      <w:r>
        <w:rPr>
          <w:sz w:val="20"/>
          <w:szCs w:val="20"/>
        </w:rPr>
        <w:t xml:space="preserve"> to decision </w:t>
      </w:r>
      <w:r>
        <w:rPr>
          <w:sz w:val="20"/>
          <w:szCs w:val="20"/>
          <w:lang w:val="en-GB"/>
        </w:rPr>
        <w:t>96/59, at its 98th meeting, the Executive Committee considered a paper on the challenges in implementing conversion projects in the refrigeration, air</w:t>
      </w:r>
      <w:r>
        <w:rPr>
          <w:sz w:val="20"/>
          <w:szCs w:val="20"/>
          <w:lang w:val="en-GB"/>
        </w:rPr>
        <w:noBreakHyphen/>
        <w:t>conditioning and heat</w:t>
      </w:r>
      <w:r w:rsidR="003D393E">
        <w:rPr>
          <w:sz w:val="20"/>
          <w:szCs w:val="20"/>
          <w:lang w:val="en-GB"/>
        </w:rPr>
        <w:noBreakHyphen/>
      </w:r>
      <w:r>
        <w:rPr>
          <w:sz w:val="20"/>
          <w:szCs w:val="20"/>
          <w:lang w:val="en-GB"/>
        </w:rPr>
        <w:t>pump sector due to supply-chain issues and possible ways to address the challenges.</w:t>
      </w:r>
      <w:r>
        <w:rPr>
          <w:rStyle w:val="FootnoteReference"/>
          <w:sz w:val="20"/>
          <w:szCs w:val="20"/>
          <w:lang w:val="en-GB"/>
        </w:rPr>
        <w:footnoteReference w:id="13"/>
      </w:r>
      <w:r>
        <w:rPr>
          <w:sz w:val="20"/>
          <w:szCs w:val="20"/>
          <w:lang w:val="en-GB"/>
        </w:rPr>
        <w:t xml:space="preserve"> </w:t>
      </w:r>
      <w:r>
        <w:rPr>
          <w:sz w:val="20"/>
          <w:szCs w:val="20"/>
          <w:lang w:eastAsia="en-GB"/>
        </w:rPr>
        <w:t>Following</w:t>
      </w:r>
      <w:r>
        <w:rPr>
          <w:sz w:val="20"/>
          <w:szCs w:val="20"/>
        </w:rPr>
        <w:t xml:space="preserve"> discussion of the matter in plenary and, owing to a lack of time in the contact group to which the matter was referred, </w:t>
      </w:r>
      <w:r>
        <w:rPr>
          <w:sz w:val="20"/>
          <w:szCs w:val="20"/>
          <w:lang w:val="en-GB"/>
        </w:rPr>
        <w:t>the Executive Committee agreed to defer consideration of the matter to its 99</w:t>
      </w:r>
      <w:r w:rsidRPr="00B303BD">
        <w:rPr>
          <w:sz w:val="20"/>
          <w:szCs w:val="20"/>
          <w:lang w:val="en-GB"/>
        </w:rPr>
        <w:t>th</w:t>
      </w:r>
      <w:r>
        <w:rPr>
          <w:sz w:val="20"/>
          <w:szCs w:val="20"/>
          <w:lang w:val="en-GB"/>
        </w:rPr>
        <w:t> meeting.</w:t>
      </w:r>
    </w:p>
    <w:p w14:paraId="69D2C954" w14:textId="06F49C85" w:rsidR="00292FAA" w:rsidRPr="00292FAA" w:rsidRDefault="00311533" w:rsidP="00292FAA">
      <w:pPr>
        <w:spacing w:after="240"/>
        <w:ind w:left="1248" w:hanging="624"/>
        <w:outlineLvl w:val="0"/>
        <w:rPr>
          <w:b/>
          <w:sz w:val="20"/>
          <w:szCs w:val="20"/>
          <w:lang w:val="en-GB"/>
        </w:rPr>
      </w:pPr>
      <w:r>
        <w:rPr>
          <w:b/>
          <w:sz w:val="20"/>
          <w:szCs w:val="20"/>
          <w:lang w:val="en-GB"/>
        </w:rPr>
        <w:t>10.</w:t>
      </w:r>
      <w:r>
        <w:rPr>
          <w:b/>
          <w:sz w:val="20"/>
          <w:szCs w:val="20"/>
          <w:lang w:val="en-GB"/>
        </w:rPr>
        <w:tab/>
        <w:t>Methodology used to calculate the climate impacts from the implementation of Kigali HFC implementation plans</w:t>
      </w:r>
    </w:p>
    <w:p w14:paraId="682FFAF5" w14:textId="08CEF06A" w:rsidR="00292FAA" w:rsidRPr="00F00F9E" w:rsidRDefault="00292FAA" w:rsidP="00B90A56">
      <w:pPr>
        <w:pStyle w:val="Heading3"/>
        <w:numPr>
          <w:ilvl w:val="2"/>
          <w:numId w:val="16"/>
        </w:numPr>
        <w:ind w:left="1276" w:firstLine="0"/>
        <w:rPr>
          <w:sz w:val="20"/>
          <w:szCs w:val="20"/>
          <w:lang w:val="en-GB"/>
        </w:rPr>
      </w:pPr>
      <w:r>
        <w:rPr>
          <w:sz w:val="20"/>
          <w:szCs w:val="20"/>
          <w:lang w:val="en-GB"/>
        </w:rPr>
        <w:t>At its 97th meeting, the Executive Committee discussed the methodology used to calculate the climate impacts of the implementation of KIPs.</w:t>
      </w:r>
      <w:r>
        <w:rPr>
          <w:rStyle w:val="FootnoteReference"/>
          <w:sz w:val="20"/>
          <w:szCs w:val="20"/>
          <w:lang w:val="en-GB"/>
        </w:rPr>
        <w:footnoteReference w:id="14"/>
      </w:r>
      <w:r>
        <w:rPr>
          <w:sz w:val="20"/>
          <w:szCs w:val="20"/>
          <w:lang w:val="en-GB"/>
        </w:rPr>
        <w:t xml:space="preserve"> Following discussions in plenary and in a contact group, the Executive Committee agreed to continue, at its 98th meeting, consideration of the issue of the methodology used to calculate the climate impact of the implementation of KIPs, using the working documents annexed to the report of the 97th meeting.</w:t>
      </w:r>
      <w:r>
        <w:rPr>
          <w:vertAlign w:val="superscript"/>
          <w:lang w:val="en-GB"/>
        </w:rPr>
        <w:footnoteReference w:id="15"/>
      </w:r>
    </w:p>
    <w:p w14:paraId="1078B751" w14:textId="2863FCB2" w:rsidR="00C339F4" w:rsidRPr="00C339F4" w:rsidRDefault="00292FAA" w:rsidP="00B90A56">
      <w:pPr>
        <w:pStyle w:val="Heading3"/>
        <w:numPr>
          <w:ilvl w:val="2"/>
          <w:numId w:val="16"/>
        </w:numPr>
        <w:ind w:left="1276" w:firstLine="0"/>
        <w:rPr>
          <w:sz w:val="20"/>
          <w:szCs w:val="20"/>
          <w:lang w:val="en-GB"/>
        </w:rPr>
      </w:pPr>
      <w:r>
        <w:rPr>
          <w:sz w:val="20"/>
          <w:szCs w:val="20"/>
          <w:lang w:val="en-GB"/>
        </w:rPr>
        <w:t>At the 98th meeting, the Executive Committee continued its consideration of the issue</w:t>
      </w:r>
      <w:r>
        <w:rPr>
          <w:vertAlign w:val="superscript"/>
          <w:lang w:val="en-GB"/>
        </w:rPr>
        <w:footnoteReference w:id="16"/>
      </w:r>
      <w:r>
        <w:rPr>
          <w:sz w:val="20"/>
          <w:szCs w:val="20"/>
          <w:lang w:val="en-GB"/>
        </w:rPr>
        <w:t xml:space="preserve"> and, following discussions in plenary and in a contact group, decided to continue its deliberations at the 99th meeting, on the basis of the working document annexed to the report of the 98th meeting</w:t>
      </w:r>
      <w:r>
        <w:rPr>
          <w:sz w:val="20"/>
          <w:szCs w:val="20"/>
          <w:vertAlign w:val="superscript"/>
          <w:lang w:val="en-GB"/>
        </w:rPr>
        <w:footnoteReference w:id="17"/>
      </w:r>
      <w:r>
        <w:rPr>
          <w:sz w:val="20"/>
          <w:szCs w:val="20"/>
          <w:lang w:val="en-GB"/>
        </w:rPr>
        <w:t xml:space="preserve"> (decision 98/21).</w:t>
      </w:r>
    </w:p>
    <w:p w14:paraId="021D56F7" w14:textId="2EBDB0E6" w:rsidR="00C339F4" w:rsidRPr="00A348BD" w:rsidRDefault="00C339F4" w:rsidP="009247A6">
      <w:pPr>
        <w:spacing w:after="240"/>
        <w:ind w:left="1248" w:hanging="624"/>
        <w:outlineLvl w:val="0"/>
        <w:rPr>
          <w:b/>
          <w:sz w:val="20"/>
          <w:szCs w:val="20"/>
          <w:lang w:val="en-GB"/>
        </w:rPr>
      </w:pPr>
      <w:r>
        <w:rPr>
          <w:b/>
          <w:sz w:val="20"/>
          <w:szCs w:val="20"/>
          <w:lang w:val="en-GB"/>
        </w:rPr>
        <w:t>11.</w:t>
      </w:r>
      <w:r>
        <w:rPr>
          <w:b/>
          <w:sz w:val="20"/>
          <w:szCs w:val="20"/>
          <w:lang w:val="en-GB"/>
        </w:rPr>
        <w:tab/>
      </w:r>
      <w:r w:rsidR="00181D4D">
        <w:rPr>
          <w:b/>
          <w:bCs/>
          <w:sz w:val="20"/>
          <w:szCs w:val="20"/>
          <w:lang w:val="en-GB"/>
        </w:rPr>
        <w:t xml:space="preserve">Funding withheld in cases of non-submission of the verification report with Kigali HFC </w:t>
      </w:r>
      <w:r w:rsidR="00181D4D" w:rsidRPr="009247A6">
        <w:rPr>
          <w:b/>
          <w:sz w:val="20"/>
          <w:szCs w:val="20"/>
          <w:lang w:val="en-GB"/>
        </w:rPr>
        <w:t>implementation</w:t>
      </w:r>
      <w:r w:rsidR="00181D4D">
        <w:rPr>
          <w:b/>
          <w:bCs/>
          <w:sz w:val="20"/>
          <w:szCs w:val="20"/>
          <w:lang w:val="en-GB"/>
        </w:rPr>
        <w:t xml:space="preserve"> plan tranches</w:t>
      </w:r>
    </w:p>
    <w:p w14:paraId="563B51DE" w14:textId="099DF2CC" w:rsidR="00C339F4" w:rsidRPr="00A348BD" w:rsidRDefault="00C339F4" w:rsidP="00040235">
      <w:pPr>
        <w:pStyle w:val="Heading3"/>
        <w:numPr>
          <w:ilvl w:val="2"/>
          <w:numId w:val="16"/>
        </w:numPr>
        <w:ind w:left="1276" w:firstLine="0"/>
        <w:rPr>
          <w:sz w:val="20"/>
          <w:szCs w:val="20"/>
        </w:rPr>
      </w:pPr>
      <w:r>
        <w:rPr>
          <w:sz w:val="20"/>
          <w:szCs w:val="20"/>
          <w:lang w:val="en-GB"/>
        </w:rPr>
        <w:t>At</w:t>
      </w:r>
      <w:r>
        <w:rPr>
          <w:sz w:val="20"/>
          <w:szCs w:val="20"/>
        </w:rPr>
        <w:t xml:space="preserve"> its 98th meeting, after considering the issue of funding withheld in cases of non-submission of the verification </w:t>
      </w:r>
      <w:r w:rsidRPr="00040235">
        <w:rPr>
          <w:sz w:val="20"/>
          <w:szCs w:val="20"/>
          <w:lang w:val="en-GB"/>
        </w:rPr>
        <w:t>report</w:t>
      </w:r>
      <w:r>
        <w:rPr>
          <w:sz w:val="20"/>
          <w:szCs w:val="20"/>
        </w:rPr>
        <w:t xml:space="preserve"> with KIP tranches,</w:t>
      </w:r>
      <w:r>
        <w:rPr>
          <w:vertAlign w:val="superscript"/>
        </w:rPr>
        <w:footnoteReference w:id="18"/>
      </w:r>
      <w:r>
        <w:rPr>
          <w:sz w:val="20"/>
          <w:szCs w:val="20"/>
        </w:rPr>
        <w:t xml:space="preserve"> the Executive Committee decided to extend the application of decision 72/19 on non-submission of verification reports with tranche requests for the HPMPs to tranche requests for the KIPs submitted to the first meeting of the year (decision 98/22).</w:t>
      </w:r>
    </w:p>
    <w:p w14:paraId="517DAC29" w14:textId="27DC27F0" w:rsidR="001D4217" w:rsidRPr="00292FAA" w:rsidRDefault="001D4217" w:rsidP="002437C7">
      <w:pPr>
        <w:pStyle w:val="Heading1"/>
        <w:numPr>
          <w:ilvl w:val="0"/>
          <w:numId w:val="0"/>
        </w:numPr>
        <w:ind w:firstLine="624"/>
        <w:rPr>
          <w:b/>
          <w:bCs/>
          <w:sz w:val="24"/>
          <w:szCs w:val="24"/>
        </w:rPr>
      </w:pPr>
      <w:r>
        <w:rPr>
          <w:b/>
          <w:bCs/>
          <w:sz w:val="24"/>
          <w:szCs w:val="24"/>
        </w:rPr>
        <w:t>B.</w:t>
      </w:r>
      <w:r>
        <w:rPr>
          <w:b/>
          <w:bCs/>
          <w:sz w:val="24"/>
          <w:szCs w:val="24"/>
        </w:rPr>
        <w:tab/>
        <w:t>All other policy matters</w:t>
      </w:r>
    </w:p>
    <w:p w14:paraId="20D3294D" w14:textId="7D026706" w:rsidR="00755FD4" w:rsidRPr="00842030" w:rsidRDefault="004E1FE2" w:rsidP="00842030">
      <w:pPr>
        <w:keepNext/>
        <w:spacing w:after="240"/>
        <w:ind w:left="1248" w:hanging="624"/>
        <w:outlineLvl w:val="0"/>
        <w:rPr>
          <w:b/>
          <w:sz w:val="20"/>
          <w:szCs w:val="20"/>
          <w:lang w:val="en-GB"/>
        </w:rPr>
      </w:pPr>
      <w:bookmarkStart w:id="1" w:name="_Hlk175912691"/>
      <w:r>
        <w:rPr>
          <w:b/>
          <w:sz w:val="20"/>
          <w:szCs w:val="20"/>
          <w:lang w:val="en-GB"/>
        </w:rPr>
        <w:t>1.</w:t>
      </w:r>
      <w:r>
        <w:rPr>
          <w:b/>
          <w:sz w:val="20"/>
          <w:szCs w:val="20"/>
          <w:lang w:val="en-GB"/>
        </w:rPr>
        <w:tab/>
        <w:t>Matters relating to pilot projects to enhance regional atmospheric monitoring of substances controlled by the Montreal Protocol</w:t>
      </w:r>
    </w:p>
    <w:p w14:paraId="4AC19401" w14:textId="26944C26" w:rsidR="004E1FE2" w:rsidRPr="004E1FE2" w:rsidRDefault="00B424D3" w:rsidP="00B90A56">
      <w:pPr>
        <w:pStyle w:val="Heading3"/>
        <w:numPr>
          <w:ilvl w:val="2"/>
          <w:numId w:val="16"/>
        </w:numPr>
        <w:ind w:left="1276" w:firstLine="0"/>
        <w:rPr>
          <w:sz w:val="20"/>
          <w:szCs w:val="20"/>
          <w:lang w:eastAsia="en-GB"/>
        </w:rPr>
      </w:pPr>
      <w:r>
        <w:rPr>
          <w:sz w:val="20"/>
          <w:szCs w:val="20"/>
          <w:lang w:eastAsia="en-GB"/>
        </w:rPr>
        <w:t>Pursuant to decision 96/56, at the 98th meeting, the Executive Committee considered a document on matters relating to pilot projects to enhance regional atmospheric monitoring of substances controlled by the Montreal Protocol.</w:t>
      </w:r>
      <w:r>
        <w:rPr>
          <w:rStyle w:val="FootnoteReference"/>
          <w:sz w:val="20"/>
          <w:szCs w:val="20"/>
          <w:lang w:eastAsia="en-GB"/>
        </w:rPr>
        <w:footnoteReference w:id="19"/>
      </w:r>
    </w:p>
    <w:p w14:paraId="54852134" w14:textId="7D3C208F" w:rsidR="005C7D9B" w:rsidRPr="005C7D9B" w:rsidRDefault="004E1FE2" w:rsidP="00B90A56">
      <w:pPr>
        <w:pStyle w:val="Heading3"/>
        <w:numPr>
          <w:ilvl w:val="2"/>
          <w:numId w:val="16"/>
        </w:numPr>
        <w:ind w:left="1276" w:firstLine="0"/>
        <w:rPr>
          <w:sz w:val="20"/>
          <w:szCs w:val="20"/>
          <w:lang w:eastAsia="en-GB"/>
        </w:rPr>
      </w:pPr>
      <w:r>
        <w:rPr>
          <w:sz w:val="20"/>
          <w:szCs w:val="20"/>
          <w:lang w:eastAsia="en-GB"/>
        </w:rPr>
        <w:t>Following discussions in plenary and in a contact group, the Executive Committee approved guidelines for the preparation of pilot projects to enhance regional atmospheric monitoring of substances controlled by the Montreal Protocol; guidelines for the implementation of such pilot projects; and a template Agreement between the Executive Committee and the Article 5 country concerned for pilot projects to establish and operate a regional atmospheric monitoring station.</w:t>
      </w:r>
      <w:r>
        <w:rPr>
          <w:sz w:val="20"/>
          <w:szCs w:val="20"/>
          <w:vertAlign w:val="superscript"/>
          <w:lang w:eastAsia="en-GB"/>
        </w:rPr>
        <w:footnoteReference w:id="20"/>
      </w:r>
      <w:r>
        <w:rPr>
          <w:sz w:val="20"/>
          <w:szCs w:val="20"/>
          <w:lang w:eastAsia="en-GB"/>
        </w:rPr>
        <w:t xml:space="preserve"> The Committee established a funding window of US $9,250,000 for three pilot projects to enhance regional atmospheric monitoring of substances controlled by the Montreal Protocol, including preparation, implementation and capacity-building activities.</w:t>
      </w:r>
      <w:r>
        <w:rPr>
          <w:rStyle w:val="FootnoteReference"/>
          <w:sz w:val="20"/>
          <w:szCs w:val="20"/>
          <w:lang w:eastAsia="en-GB"/>
        </w:rPr>
        <w:footnoteReference w:id="21"/>
      </w:r>
      <w:r>
        <w:rPr>
          <w:sz w:val="20"/>
          <w:szCs w:val="20"/>
          <w:lang w:eastAsia="en-GB"/>
        </w:rPr>
        <w:t xml:space="preserve"> It requested that project preparation proposals under the funding window be submitted to the 102nd meeting and requested the Fund Secretariat to seek, during its review of the submissions, the scientific guidance of the Advisory Committee of the General Trust Fund for Financing Activities on Research and Systematic Observations Relevant to the Vienna Convention for the Protection of the Ozone Layer. The Executive Committee furthermore decided to add to the aforementioned funding window the </w:t>
      </w:r>
      <w:proofErr w:type="gramStart"/>
      <w:r>
        <w:rPr>
          <w:sz w:val="20"/>
          <w:szCs w:val="20"/>
          <w:lang w:eastAsia="en-GB"/>
        </w:rPr>
        <w:t>amount</w:t>
      </w:r>
      <w:proofErr w:type="gramEnd"/>
      <w:r>
        <w:rPr>
          <w:sz w:val="20"/>
          <w:szCs w:val="20"/>
          <w:lang w:eastAsia="en-GB"/>
        </w:rPr>
        <w:t xml:space="preserve"> of US $1,800,000 for the continuation of operation of three atmospheric monitoring stations to be established with the support of the General Trust Fund, on the understanding that project proposals to access the funding would be submitted to the Executive Committee.</w:t>
      </w:r>
    </w:p>
    <w:p w14:paraId="7E6D63C7" w14:textId="7BA3C111" w:rsidR="00755FD4" w:rsidRPr="005C7D9B" w:rsidRDefault="005C7D9B" w:rsidP="00AE0731">
      <w:pPr>
        <w:pStyle w:val="Heading3"/>
        <w:numPr>
          <w:ilvl w:val="2"/>
          <w:numId w:val="16"/>
        </w:numPr>
        <w:ind w:left="1276" w:firstLine="0"/>
        <w:rPr>
          <w:sz w:val="20"/>
          <w:szCs w:val="20"/>
          <w:lang w:eastAsia="en-GB"/>
        </w:rPr>
      </w:pPr>
      <w:r>
        <w:rPr>
          <w:sz w:val="20"/>
          <w:szCs w:val="20"/>
          <w:lang w:eastAsia="en-GB"/>
        </w:rPr>
        <w:t>The Executive Committee encouraged Article 5 countries to make use of the expertise of the World Meteorological Organization (WMO) by selecting it as the lead or cooperating implementing agency for pilot projects to enhance regional atmospheric monitoring of substances controlled by the Montreal Protocol. The Fund Secretariat was requested to develop, in collaboration with WMO, for the Committee’s consideration and endorsement at its 99th meeting, draft agency agreements with the Executive Committee and with the Treasurer, in line with the Agreements between the Committee and the implementing agencies, and the Agreements between the implementing agencies and the Treasurer.</w:t>
      </w:r>
    </w:p>
    <w:p w14:paraId="4ED24C75" w14:textId="43D17F88" w:rsidR="00755FD4" w:rsidRPr="004F503A" w:rsidRDefault="00755FD4" w:rsidP="00AE0731">
      <w:pPr>
        <w:pStyle w:val="Heading3"/>
        <w:numPr>
          <w:ilvl w:val="2"/>
          <w:numId w:val="16"/>
        </w:numPr>
        <w:ind w:left="1276" w:firstLine="0"/>
        <w:rPr>
          <w:sz w:val="20"/>
          <w:szCs w:val="20"/>
          <w:lang w:eastAsia="en-GB"/>
        </w:rPr>
      </w:pPr>
      <w:r>
        <w:rPr>
          <w:sz w:val="20"/>
          <w:szCs w:val="20"/>
          <w:lang w:eastAsia="en-GB"/>
        </w:rPr>
        <w:t>The Committee noted that bilateral and implementing agencies of pilot projects to enhance regional atmospheric monitoring of substances controlled by the Montreal Protocol would seek the guidance of the Advisory Committee on preparing and implementing such pilot projects and would submit reports on implementation of the pilot projects to the 107th meeting, and that the Fund Secretariat would share relevant information from those reports with the Advisory Committee. The Executive Committee requested the Fund Secretariat to prepare, for the 107th meeting, a paper providing an update on the status of implementation, lessons learned and recommendations, if any, from the implementation of project preparation proposals, as well as a paper outlining options for the duration and provision of incremental recurring costs, taking into account the information contained in the aforementioned reports on implementation of the pilot projects by the bilateral and implementing agencies, and other relevant information.</w:t>
      </w:r>
    </w:p>
    <w:p w14:paraId="33C82F5C" w14:textId="7EB93ECB" w:rsidR="00755FD4" w:rsidRPr="004F503A" w:rsidRDefault="00755FD4" w:rsidP="003208C3">
      <w:pPr>
        <w:pStyle w:val="Heading3"/>
        <w:numPr>
          <w:ilvl w:val="2"/>
          <w:numId w:val="16"/>
        </w:numPr>
        <w:ind w:left="1276" w:firstLine="0"/>
        <w:rPr>
          <w:sz w:val="20"/>
          <w:szCs w:val="20"/>
          <w:lang w:eastAsia="en-GB"/>
        </w:rPr>
      </w:pPr>
      <w:r>
        <w:rPr>
          <w:sz w:val="20"/>
          <w:szCs w:val="20"/>
          <w:lang w:eastAsia="en-GB"/>
        </w:rPr>
        <w:t>The bilateral and implementing agencies were requested to include, in their relevant business plans, requests for funding, under the funding window of US $9,250,000, for pilot projects, to enhance regional atmospheric monitoring of substances controlled by the Montreal Protocol, for Article 5 countries that wished to undertake such projects (decision 98/62).</w:t>
      </w:r>
    </w:p>
    <w:p w14:paraId="37B4DC7E" w14:textId="7BAE6EB8" w:rsidR="004E1FE2" w:rsidRPr="00471A73" w:rsidRDefault="00FD4856" w:rsidP="00C252B7">
      <w:pPr>
        <w:keepNext/>
        <w:spacing w:after="240"/>
        <w:ind w:left="1248" w:hanging="624"/>
        <w:outlineLvl w:val="0"/>
        <w:rPr>
          <w:b/>
          <w:bCs/>
          <w:highlight w:val="yellow"/>
        </w:rPr>
      </w:pPr>
      <w:r>
        <w:rPr>
          <w:b/>
          <w:sz w:val="20"/>
          <w:szCs w:val="20"/>
          <w:lang w:val="en-GB"/>
        </w:rPr>
        <w:t>2.</w:t>
      </w:r>
      <w:r>
        <w:rPr>
          <w:b/>
          <w:sz w:val="20"/>
          <w:szCs w:val="20"/>
          <w:lang w:val="en-GB"/>
        </w:rPr>
        <w:tab/>
        <w:t xml:space="preserve">Alternatives in polyurethane-foam manufacturing, with a focus on small and medium-sized enterprises, </w:t>
      </w:r>
      <w:proofErr w:type="gramStart"/>
      <w:r>
        <w:rPr>
          <w:b/>
          <w:sz w:val="20"/>
          <w:szCs w:val="20"/>
          <w:lang w:val="en-GB"/>
        </w:rPr>
        <w:t>in particular for</w:t>
      </w:r>
      <w:proofErr w:type="gramEnd"/>
      <w:r>
        <w:rPr>
          <w:b/>
          <w:sz w:val="20"/>
          <w:szCs w:val="20"/>
          <w:lang w:val="en-GB"/>
        </w:rPr>
        <w:t xml:space="preserve"> spray and insulating foam applications</w:t>
      </w:r>
    </w:p>
    <w:p w14:paraId="307B8F7D" w14:textId="45C35540" w:rsidR="004E1FE2" w:rsidRPr="00842030" w:rsidRDefault="004E1FE2" w:rsidP="003208C3">
      <w:pPr>
        <w:pStyle w:val="Heading3"/>
        <w:numPr>
          <w:ilvl w:val="2"/>
          <w:numId w:val="16"/>
        </w:numPr>
        <w:ind w:left="1276" w:firstLine="0"/>
        <w:rPr>
          <w:sz w:val="20"/>
          <w:szCs w:val="20"/>
          <w:lang w:eastAsia="en-GB"/>
        </w:rPr>
      </w:pPr>
      <w:r>
        <w:rPr>
          <w:sz w:val="20"/>
          <w:szCs w:val="20"/>
          <w:lang w:eastAsia="en-GB"/>
        </w:rPr>
        <w:t>At its 98th meeting, pursuant to decision 96/53(c), the Executive Committee considered an updated report on the issue of alternatives in polyurethane foam manufacturing with a focus on small and medium-sized enterprises, in particular for spray and insulating foam applications.</w:t>
      </w:r>
      <w:r>
        <w:rPr>
          <w:sz w:val="20"/>
          <w:szCs w:val="20"/>
          <w:vertAlign w:val="superscript"/>
          <w:lang w:eastAsia="en-GB"/>
        </w:rPr>
        <w:footnoteReference w:id="22"/>
      </w:r>
      <w:r>
        <w:rPr>
          <w:sz w:val="20"/>
          <w:szCs w:val="20"/>
          <w:lang w:eastAsia="en-GB"/>
        </w:rPr>
        <w:t xml:space="preserve"> Following a discussion in plenary, the Executive Committee requested the Fund Secretariat to update its report for consideration at the 100th meeting (decision 98/58).</w:t>
      </w:r>
    </w:p>
    <w:p w14:paraId="4CEBAA30" w14:textId="2C86C044" w:rsidR="00C252B7" w:rsidRPr="00471A73" w:rsidRDefault="00C252B7" w:rsidP="00C252B7">
      <w:pPr>
        <w:keepNext/>
        <w:spacing w:after="240"/>
        <w:ind w:firstLine="624"/>
        <w:outlineLvl w:val="0"/>
        <w:rPr>
          <w:highlight w:val="yellow"/>
          <w:u w:val="single"/>
        </w:rPr>
      </w:pPr>
      <w:r>
        <w:rPr>
          <w:b/>
          <w:bCs/>
          <w:sz w:val="20"/>
          <w:szCs w:val="20"/>
          <w:lang w:val="en-GB"/>
        </w:rPr>
        <w:t>3.</w:t>
      </w:r>
      <w:r>
        <w:rPr>
          <w:b/>
          <w:bCs/>
          <w:sz w:val="20"/>
          <w:szCs w:val="20"/>
          <w:lang w:val="en-GB"/>
        </w:rPr>
        <w:tab/>
      </w:r>
      <w:r>
        <w:rPr>
          <w:b/>
          <w:sz w:val="20"/>
          <w:szCs w:val="20"/>
          <w:lang w:val="en-GB"/>
        </w:rPr>
        <w:t>Implementation of decision XXXV/13 on the import and export of prohibited cooling equipment</w:t>
      </w:r>
    </w:p>
    <w:p w14:paraId="76E86806" w14:textId="07ECBE98" w:rsidR="00C252B7" w:rsidRDefault="00C252B7" w:rsidP="00C252B7">
      <w:pPr>
        <w:pStyle w:val="Heading3"/>
        <w:numPr>
          <w:ilvl w:val="2"/>
          <w:numId w:val="16"/>
        </w:numPr>
        <w:ind w:left="1276" w:firstLine="0"/>
        <w:rPr>
          <w:b/>
          <w:bCs/>
          <w:sz w:val="20"/>
          <w:szCs w:val="20"/>
          <w:lang w:val="en-GB"/>
        </w:rPr>
      </w:pPr>
      <w:r>
        <w:rPr>
          <w:sz w:val="20"/>
          <w:szCs w:val="20"/>
          <w:lang w:eastAsia="en-GB"/>
        </w:rPr>
        <w:t xml:space="preserve">At the 98th meeting, the Executive Committee, taking into account decision XXXV/13 </w:t>
      </w:r>
      <w:r>
        <w:rPr>
          <w:sz w:val="20"/>
          <w:szCs w:val="20"/>
          <w:lang w:val="en-GB"/>
        </w:rPr>
        <w:t>on the import and export of prohibited cooling equipment</w:t>
      </w:r>
      <w:r>
        <w:rPr>
          <w:sz w:val="20"/>
          <w:szCs w:val="20"/>
          <w:lang w:eastAsia="en-GB"/>
        </w:rPr>
        <w:t xml:space="preserve">, reminded bilateral and implementing agencies, as well as Article 5 countries that were concerned about potential non-compliance caused by the import of prohibited cooling equipment, that they could include within new stages of KIPs or HPMPs activities to strengthen capacities to prevent such imports. It also requested the Fund Secretariat to discuss with bilateral and implementing agencies how such activities had been implemented to date and what the relevant challenges were to address, </w:t>
      </w:r>
      <w:proofErr w:type="gramStart"/>
      <w:r>
        <w:rPr>
          <w:sz w:val="20"/>
          <w:szCs w:val="20"/>
          <w:lang w:eastAsia="en-GB"/>
        </w:rPr>
        <w:t>taking into account</w:t>
      </w:r>
      <w:proofErr w:type="gramEnd"/>
      <w:r>
        <w:rPr>
          <w:sz w:val="20"/>
          <w:szCs w:val="20"/>
          <w:lang w:eastAsia="en-GB"/>
        </w:rPr>
        <w:t xml:space="preserve"> the potential for regional coordination (decision 98/63).</w:t>
      </w:r>
    </w:p>
    <w:p w14:paraId="51812488" w14:textId="0DDD03A9" w:rsidR="00292FAA" w:rsidRPr="00292FAA" w:rsidRDefault="00C252B7" w:rsidP="00292FAA">
      <w:pPr>
        <w:keepNext/>
        <w:spacing w:before="240" w:after="240"/>
        <w:ind w:left="1248" w:hanging="624"/>
        <w:outlineLvl w:val="0"/>
        <w:rPr>
          <w:b/>
          <w:bCs/>
          <w:sz w:val="20"/>
          <w:szCs w:val="20"/>
          <w:lang w:val="en-GB"/>
        </w:rPr>
      </w:pPr>
      <w:r>
        <w:rPr>
          <w:b/>
          <w:bCs/>
          <w:sz w:val="20"/>
          <w:szCs w:val="20"/>
          <w:lang w:val="en-GB"/>
        </w:rPr>
        <w:t>4.</w:t>
      </w:r>
      <w:r>
        <w:rPr>
          <w:b/>
          <w:bCs/>
          <w:sz w:val="20"/>
          <w:szCs w:val="20"/>
          <w:lang w:val="en-GB"/>
        </w:rPr>
        <w:tab/>
        <w:t>Review of the possibility of integration of reporting through project completion reports and detailed final project reports</w:t>
      </w:r>
    </w:p>
    <w:p w14:paraId="6263455A" w14:textId="77777777" w:rsidR="00292FAA" w:rsidRPr="00292FAA" w:rsidRDefault="00292FAA" w:rsidP="007A3A4C">
      <w:pPr>
        <w:pStyle w:val="Heading3"/>
        <w:numPr>
          <w:ilvl w:val="2"/>
          <w:numId w:val="16"/>
        </w:numPr>
        <w:ind w:left="1276" w:firstLine="0"/>
        <w:rPr>
          <w:sz w:val="20"/>
          <w:szCs w:val="20"/>
          <w:lang w:val="en-GB"/>
        </w:rPr>
      </w:pPr>
      <w:r>
        <w:rPr>
          <w:sz w:val="20"/>
          <w:szCs w:val="20"/>
          <w:lang w:eastAsia="en-GB"/>
        </w:rPr>
        <w:t>At</w:t>
      </w:r>
      <w:r>
        <w:rPr>
          <w:sz w:val="20"/>
          <w:szCs w:val="20"/>
          <w:lang w:val="en-GB"/>
        </w:rPr>
        <w:t xml:space="preserve"> the 97th meeting, pursuant to decision 95/91(e), the Executive Committee considered a review of the possibility of integration of reporting through project completion reports and detailed final project reports.</w:t>
      </w:r>
      <w:r>
        <w:rPr>
          <w:sz w:val="20"/>
          <w:szCs w:val="20"/>
          <w:vertAlign w:val="superscript"/>
        </w:rPr>
        <w:footnoteReference w:id="23"/>
      </w:r>
      <w:r>
        <w:rPr>
          <w:sz w:val="20"/>
          <w:szCs w:val="20"/>
          <w:lang w:val="en-GB"/>
        </w:rPr>
        <w:t xml:space="preserve"> It decided to continue the current practice of final reporting by bilateral and implementing agencies for different types of projects, except for individual demonstration or pilot projects, as reflected in table 1, on the final reporting requirements by type of project, of document UNEP/</w:t>
      </w:r>
      <w:proofErr w:type="spellStart"/>
      <w:r>
        <w:rPr>
          <w:sz w:val="20"/>
          <w:szCs w:val="20"/>
          <w:lang w:val="en-GB"/>
        </w:rPr>
        <w:t>OzL.Pro</w:t>
      </w:r>
      <w:proofErr w:type="spellEnd"/>
      <w:r>
        <w:rPr>
          <w:sz w:val="20"/>
          <w:szCs w:val="20"/>
          <w:lang w:val="en-GB"/>
        </w:rPr>
        <w:t>/ExCom/97/88. For demonstration or pilot projects, where a detailed final report was required, it requested the Fund Secretariat, when developing the format for the final reports, to align it with the universal format for project completion reports, where applicable, noting that a separate submission of a project completion report would no longer be required for that type of project (decision 97/90).</w:t>
      </w:r>
    </w:p>
    <w:p w14:paraId="156886A2" w14:textId="46ECA68A" w:rsidR="00292FAA" w:rsidRPr="00292FAA" w:rsidRDefault="00FD4856" w:rsidP="00292FAA">
      <w:pPr>
        <w:keepNext/>
        <w:spacing w:before="240" w:after="240"/>
        <w:ind w:left="1248" w:hanging="624"/>
        <w:outlineLvl w:val="0"/>
        <w:rPr>
          <w:b/>
          <w:bCs/>
          <w:sz w:val="20"/>
          <w:szCs w:val="20"/>
          <w:lang w:val="en-GB"/>
        </w:rPr>
      </w:pPr>
      <w:r>
        <w:rPr>
          <w:b/>
          <w:bCs/>
          <w:sz w:val="20"/>
          <w:szCs w:val="20"/>
          <w:lang w:val="en-GB"/>
        </w:rPr>
        <w:t>5.</w:t>
      </w:r>
      <w:r>
        <w:rPr>
          <w:b/>
          <w:bCs/>
          <w:sz w:val="20"/>
          <w:szCs w:val="20"/>
          <w:lang w:val="en-GB"/>
        </w:rPr>
        <w:tab/>
        <w:t>Midterm progress report on the implementation of the results framework</w:t>
      </w:r>
    </w:p>
    <w:p w14:paraId="6601AEC5" w14:textId="77777777" w:rsidR="00292FAA" w:rsidRPr="00292FAA" w:rsidRDefault="00292FAA" w:rsidP="007A3A4C">
      <w:pPr>
        <w:pStyle w:val="Heading3"/>
        <w:numPr>
          <w:ilvl w:val="2"/>
          <w:numId w:val="16"/>
        </w:numPr>
        <w:ind w:left="1276" w:firstLine="0"/>
        <w:rPr>
          <w:sz w:val="20"/>
          <w:szCs w:val="20"/>
          <w:lang w:val="en-GB"/>
        </w:rPr>
      </w:pPr>
      <w:r>
        <w:rPr>
          <w:sz w:val="20"/>
          <w:szCs w:val="20"/>
          <w:lang w:val="en-GB"/>
        </w:rPr>
        <w:t>At the 97th meeting, the Executive Committee considered, pursuant to decision 93/97(c), and took note of, a midterm progress report on the implementation of the results framework.</w:t>
      </w:r>
      <w:r>
        <w:rPr>
          <w:rStyle w:val="FootnoteReference"/>
          <w:sz w:val="20"/>
          <w:szCs w:val="20"/>
          <w:lang w:val="en-GB"/>
        </w:rPr>
        <w:footnoteReference w:id="24"/>
      </w:r>
    </w:p>
    <w:p w14:paraId="699AA510" w14:textId="2F2E557F" w:rsidR="00292FAA" w:rsidRPr="00292FAA" w:rsidRDefault="00FD4856" w:rsidP="00292FAA">
      <w:pPr>
        <w:keepNext/>
        <w:spacing w:before="240" w:after="240"/>
        <w:ind w:firstLine="624"/>
        <w:outlineLvl w:val="0"/>
        <w:rPr>
          <w:b/>
          <w:bCs/>
          <w:sz w:val="20"/>
          <w:szCs w:val="20"/>
          <w:lang w:val="en-GB"/>
        </w:rPr>
      </w:pPr>
      <w:r>
        <w:rPr>
          <w:b/>
          <w:sz w:val="20"/>
          <w:szCs w:val="20"/>
          <w:lang w:val="en-GB"/>
        </w:rPr>
        <w:t>6.</w:t>
      </w:r>
      <w:r>
        <w:rPr>
          <w:b/>
          <w:sz w:val="20"/>
          <w:szCs w:val="20"/>
          <w:lang w:val="en-GB"/>
        </w:rPr>
        <w:tab/>
        <w:t>Sub-group on the Production Sector</w:t>
      </w:r>
    </w:p>
    <w:p w14:paraId="689616AD" w14:textId="54873E72" w:rsidR="00292FAA" w:rsidRPr="00CF23B2" w:rsidRDefault="00292FAA" w:rsidP="007A3A4C">
      <w:pPr>
        <w:pStyle w:val="Heading3"/>
        <w:numPr>
          <w:ilvl w:val="2"/>
          <w:numId w:val="16"/>
        </w:numPr>
        <w:ind w:left="1276" w:firstLine="0"/>
        <w:rPr>
          <w:sz w:val="20"/>
          <w:szCs w:val="20"/>
          <w:lang w:val="en-GB"/>
        </w:rPr>
      </w:pPr>
      <w:r>
        <w:rPr>
          <w:sz w:val="20"/>
          <w:szCs w:val="20"/>
          <w:lang w:val="en-GB"/>
        </w:rPr>
        <w:t>The Sub-group on the Production Sector met on the margins of the 97th meeting, producing a report.</w:t>
      </w:r>
      <w:r>
        <w:rPr>
          <w:sz w:val="20"/>
          <w:szCs w:val="20"/>
          <w:vertAlign w:val="superscript"/>
          <w:lang w:val="en-GB"/>
        </w:rPr>
        <w:footnoteReference w:id="25"/>
      </w:r>
      <w:r>
        <w:rPr>
          <w:sz w:val="20"/>
          <w:szCs w:val="20"/>
          <w:lang w:val="en-GB"/>
        </w:rPr>
        <w:t xml:space="preserve"> The Executive Committee noted the 2024 verification report of the HCFC production sector in China considered by the Sub</w:t>
      </w:r>
      <w:r>
        <w:rPr>
          <w:sz w:val="20"/>
          <w:szCs w:val="20"/>
          <w:lang w:val="en-GB"/>
        </w:rPr>
        <w:noBreakHyphen/>
        <w:t>group on the Production Sector. The Committee requested the World Bank to include several elements in the 2025 HCFC production verification, and to verify, on a one</w:t>
      </w:r>
      <w:r>
        <w:rPr>
          <w:sz w:val="20"/>
          <w:szCs w:val="20"/>
          <w:lang w:val="en-GB"/>
        </w:rPr>
        <w:noBreakHyphen/>
        <w:t>off basis, several newly established production lines and submit reports thereon to future meetings. The Executive Committee, through the Sub-group, planned to continue consideration of the issue of HCFCs in high</w:t>
      </w:r>
      <w:r>
        <w:rPr>
          <w:sz w:val="20"/>
          <w:szCs w:val="20"/>
          <w:lang w:val="en-GB"/>
        </w:rPr>
        <w:noBreakHyphen/>
        <w:t>boiling waste residue at the 98th meeting (decision 97/91).</w:t>
      </w:r>
    </w:p>
    <w:p w14:paraId="60F0E128" w14:textId="486C9DD7" w:rsidR="00292FAA" w:rsidRDefault="007A3A4C" w:rsidP="007A3A4C">
      <w:pPr>
        <w:pStyle w:val="Heading3"/>
        <w:numPr>
          <w:ilvl w:val="2"/>
          <w:numId w:val="16"/>
        </w:numPr>
        <w:ind w:left="1276" w:firstLine="0"/>
        <w:rPr>
          <w:sz w:val="20"/>
          <w:szCs w:val="20"/>
          <w:lang w:val="en-GB"/>
        </w:rPr>
      </w:pPr>
      <w:r>
        <w:rPr>
          <w:sz w:val="20"/>
          <w:szCs w:val="20"/>
          <w:lang w:val="en-GB"/>
        </w:rPr>
        <w:t>Owing to time constraints, however, there was no meeting of the Sub-group on the Production Sector at the 98th meeting.</w:t>
      </w:r>
    </w:p>
    <w:p w14:paraId="159125D5" w14:textId="13FAB478" w:rsidR="001D4217" w:rsidRPr="00CF23B2" w:rsidRDefault="001D4217" w:rsidP="00292FAA">
      <w:pPr>
        <w:keepNext/>
        <w:spacing w:after="240"/>
        <w:ind w:firstLine="624"/>
        <w:jc w:val="left"/>
        <w:outlineLvl w:val="1"/>
        <w:rPr>
          <w:b/>
          <w:bCs/>
          <w:sz w:val="24"/>
          <w:szCs w:val="24"/>
        </w:rPr>
      </w:pPr>
      <w:r>
        <w:rPr>
          <w:b/>
          <w:bCs/>
          <w:sz w:val="20"/>
          <w:szCs w:val="20"/>
        </w:rPr>
        <w:t>C.</w:t>
      </w:r>
      <w:r>
        <w:rPr>
          <w:b/>
          <w:bCs/>
          <w:sz w:val="20"/>
          <w:szCs w:val="20"/>
        </w:rPr>
        <w:tab/>
      </w:r>
      <w:r>
        <w:rPr>
          <w:b/>
          <w:bCs/>
          <w:sz w:val="24"/>
          <w:szCs w:val="24"/>
        </w:rPr>
        <w:t>Projects, implementation, and monitoring</w:t>
      </w:r>
    </w:p>
    <w:bookmarkEnd w:id="1"/>
    <w:p w14:paraId="7C651000" w14:textId="77777777" w:rsidR="001D4217" w:rsidRPr="00CF23B2" w:rsidRDefault="001D4217" w:rsidP="005C77DF">
      <w:pPr>
        <w:keepNext/>
        <w:spacing w:after="240"/>
        <w:ind w:firstLine="624"/>
        <w:outlineLvl w:val="1"/>
        <w:rPr>
          <w:b/>
          <w:sz w:val="20"/>
          <w:szCs w:val="20"/>
          <w:lang w:val="en-GB"/>
        </w:rPr>
      </w:pPr>
      <w:r>
        <w:rPr>
          <w:b/>
          <w:sz w:val="20"/>
          <w:szCs w:val="20"/>
          <w:lang w:val="en-GB"/>
        </w:rPr>
        <w:t>1.</w:t>
      </w:r>
      <w:r>
        <w:rPr>
          <w:b/>
          <w:sz w:val="20"/>
          <w:szCs w:val="20"/>
          <w:lang w:val="en-GB"/>
        </w:rPr>
        <w:tab/>
        <w:t>Approvals made during the reporting period</w:t>
      </w:r>
    </w:p>
    <w:p w14:paraId="27989FB1" w14:textId="18588D73" w:rsidR="00511DA2" w:rsidRPr="00012E78" w:rsidRDefault="00511DA2" w:rsidP="006434C6">
      <w:pPr>
        <w:pStyle w:val="Heading3"/>
        <w:numPr>
          <w:ilvl w:val="2"/>
          <w:numId w:val="16"/>
        </w:numPr>
        <w:ind w:left="1276" w:firstLine="0"/>
        <w:rPr>
          <w:sz w:val="20"/>
          <w:szCs w:val="20"/>
          <w:lang w:val="en-GB"/>
        </w:rPr>
      </w:pPr>
      <w:r w:rsidRPr="00012E78">
        <w:rPr>
          <w:sz w:val="20"/>
          <w:szCs w:val="20"/>
          <w:lang w:val="en-GB"/>
        </w:rPr>
        <w:t xml:space="preserve">During the reporting period, the Executive Committee approved a total of </w:t>
      </w:r>
      <w:r w:rsidR="0040322A" w:rsidRPr="00012E78">
        <w:rPr>
          <w:sz w:val="20"/>
          <w:szCs w:val="20"/>
          <w:lang w:val="en-GB"/>
        </w:rPr>
        <w:t>370</w:t>
      </w:r>
      <w:r w:rsidRPr="00012E78">
        <w:rPr>
          <w:sz w:val="20"/>
          <w:szCs w:val="20"/>
          <w:lang w:val="en-GB"/>
        </w:rPr>
        <w:t xml:space="preserve"> additional projects and activities, with a planned phase-out of </w:t>
      </w:r>
      <w:r w:rsidR="00783A32" w:rsidRPr="00012E78">
        <w:rPr>
          <w:sz w:val="20"/>
          <w:szCs w:val="20"/>
          <w:lang w:val="en-GB"/>
        </w:rPr>
        <w:t>1,108</w:t>
      </w:r>
      <w:r w:rsidRPr="00012E78">
        <w:rPr>
          <w:sz w:val="20"/>
          <w:szCs w:val="20"/>
          <w:lang w:val="en-GB"/>
        </w:rPr>
        <w:t xml:space="preserve"> ODP tonnes of production and consumption of HCFCs and </w:t>
      </w:r>
      <w:r w:rsidR="00CA551F" w:rsidRPr="00012E78">
        <w:rPr>
          <w:sz w:val="20"/>
          <w:szCs w:val="20"/>
          <w:lang w:val="en-GB"/>
        </w:rPr>
        <w:t>7,519</w:t>
      </w:r>
      <w:r w:rsidRPr="00012E78">
        <w:rPr>
          <w:sz w:val="20"/>
          <w:szCs w:val="20"/>
          <w:lang w:val="en-GB"/>
        </w:rPr>
        <w:t> metric tonnes (</w:t>
      </w:r>
      <w:r w:rsidR="00CA551F" w:rsidRPr="00012E78">
        <w:rPr>
          <w:sz w:val="20"/>
          <w:szCs w:val="20"/>
          <w:lang w:val="en-GB"/>
        </w:rPr>
        <w:t>14,763,570</w:t>
      </w:r>
      <w:r w:rsidRPr="00012E78">
        <w:rPr>
          <w:sz w:val="20"/>
          <w:szCs w:val="20"/>
          <w:lang w:val="en-GB"/>
        </w:rPr>
        <w:t xml:space="preserve"> carbon dioxide-equivalent tonnes) of consumption of HFCs, amounting to US $</w:t>
      </w:r>
      <w:r w:rsidR="00CA551F" w:rsidRPr="00012E78">
        <w:rPr>
          <w:sz w:val="20"/>
          <w:szCs w:val="20"/>
          <w:lang w:val="en-GB"/>
        </w:rPr>
        <w:t>211,449,160</w:t>
      </w:r>
      <w:r w:rsidRPr="00012E78">
        <w:rPr>
          <w:sz w:val="20"/>
          <w:szCs w:val="20"/>
          <w:lang w:val="en-GB"/>
        </w:rPr>
        <w:t>, including US $</w:t>
      </w:r>
      <w:r w:rsidR="00CA551F" w:rsidRPr="00012E78">
        <w:rPr>
          <w:sz w:val="20"/>
          <w:szCs w:val="20"/>
          <w:lang w:val="en-GB"/>
        </w:rPr>
        <w:t>20,645,848</w:t>
      </w:r>
      <w:r w:rsidRPr="00012E78">
        <w:rPr>
          <w:sz w:val="20"/>
          <w:szCs w:val="20"/>
          <w:lang w:val="en-GB"/>
        </w:rPr>
        <w:t xml:space="preserve"> in agency support costs, as per table 1 below.</w:t>
      </w:r>
    </w:p>
    <w:p w14:paraId="2533009A" w14:textId="77777777" w:rsidR="00511DA2" w:rsidRPr="00012E78" w:rsidRDefault="00511DA2" w:rsidP="00511DA2">
      <w:pPr>
        <w:keepNext/>
        <w:ind w:left="624" w:firstLine="624"/>
        <w:rPr>
          <w:sz w:val="20"/>
          <w:szCs w:val="20"/>
          <w:lang w:val="en-GB"/>
        </w:rPr>
      </w:pPr>
      <w:r w:rsidRPr="00012E78">
        <w:rPr>
          <w:sz w:val="20"/>
          <w:szCs w:val="20"/>
          <w:lang w:val="en-GB"/>
        </w:rPr>
        <w:t>Table 1</w:t>
      </w:r>
    </w:p>
    <w:p w14:paraId="30AAC95F" w14:textId="77777777" w:rsidR="00511DA2" w:rsidRPr="00012E78" w:rsidRDefault="00511DA2" w:rsidP="00511DA2">
      <w:pPr>
        <w:keepNext/>
        <w:ind w:left="624" w:firstLine="624"/>
        <w:rPr>
          <w:b/>
          <w:bCs/>
          <w:sz w:val="20"/>
          <w:szCs w:val="20"/>
          <w:lang w:val="en-GB"/>
        </w:rPr>
      </w:pPr>
      <w:r w:rsidRPr="00012E78">
        <w:rPr>
          <w:b/>
          <w:bCs/>
          <w:sz w:val="20"/>
          <w:szCs w:val="20"/>
          <w:lang w:val="en-GB"/>
        </w:rPr>
        <w:t>Funds approved by agency during the reporting period</w:t>
      </w:r>
    </w:p>
    <w:tbl>
      <w:tblPr>
        <w:tblW w:w="4306" w:type="pct"/>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2267"/>
        <w:gridCol w:w="2693"/>
        <w:gridCol w:w="1390"/>
      </w:tblGrid>
      <w:tr w:rsidR="00511DA2" w:rsidRPr="00012E78" w14:paraId="27B4AFA2" w14:textId="77777777" w:rsidTr="005A1F01">
        <w:trPr>
          <w:trHeight w:val="179"/>
        </w:trPr>
        <w:tc>
          <w:tcPr>
            <w:tcW w:w="1057" w:type="pct"/>
            <w:noWrap/>
            <w:hideMark/>
          </w:tcPr>
          <w:p w14:paraId="22FC088C" w14:textId="77777777" w:rsidR="00511DA2" w:rsidRPr="00012E78" w:rsidRDefault="00511DA2" w:rsidP="00511DA2">
            <w:pPr>
              <w:keepNext/>
              <w:jc w:val="left"/>
              <w:rPr>
                <w:rFonts w:asciiTheme="majorBidi" w:hAnsiTheme="majorBidi" w:cstheme="majorBidi"/>
                <w:b/>
                <w:bCs/>
                <w:color w:val="000000"/>
                <w:sz w:val="20"/>
                <w:szCs w:val="20"/>
                <w:lang w:val="en-GB"/>
              </w:rPr>
            </w:pPr>
            <w:r w:rsidRPr="00012E78">
              <w:rPr>
                <w:rFonts w:asciiTheme="majorBidi" w:hAnsiTheme="majorBidi" w:cstheme="majorBidi"/>
                <w:b/>
                <w:bCs/>
                <w:color w:val="000000"/>
                <w:sz w:val="20"/>
                <w:szCs w:val="20"/>
                <w:lang w:val="en-GB"/>
              </w:rPr>
              <w:t>Agency</w:t>
            </w:r>
          </w:p>
        </w:tc>
        <w:tc>
          <w:tcPr>
            <w:tcW w:w="1408" w:type="pct"/>
            <w:noWrap/>
            <w:hideMark/>
          </w:tcPr>
          <w:p w14:paraId="39E09DD4" w14:textId="77777777" w:rsidR="00511DA2" w:rsidRPr="00012E78" w:rsidRDefault="00511DA2" w:rsidP="00511DA2">
            <w:pPr>
              <w:keepNext/>
              <w:jc w:val="right"/>
              <w:rPr>
                <w:rFonts w:asciiTheme="majorBidi" w:hAnsiTheme="majorBidi" w:cstheme="majorBidi"/>
                <w:b/>
                <w:bCs/>
                <w:color w:val="000000"/>
                <w:sz w:val="20"/>
                <w:szCs w:val="20"/>
                <w:lang w:val="en-GB"/>
              </w:rPr>
            </w:pPr>
            <w:r w:rsidRPr="00012E78">
              <w:rPr>
                <w:rFonts w:asciiTheme="majorBidi" w:hAnsiTheme="majorBidi" w:cstheme="majorBidi"/>
                <w:b/>
                <w:bCs/>
                <w:color w:val="000000"/>
                <w:sz w:val="20"/>
                <w:szCs w:val="20"/>
                <w:lang w:val="en-GB" w:eastAsia="en-CA"/>
              </w:rPr>
              <w:t>Funds approved (US $)</w:t>
            </w:r>
          </w:p>
        </w:tc>
        <w:tc>
          <w:tcPr>
            <w:tcW w:w="1672" w:type="pct"/>
            <w:noWrap/>
            <w:hideMark/>
          </w:tcPr>
          <w:p w14:paraId="7913A5FA" w14:textId="77777777" w:rsidR="00511DA2" w:rsidRPr="00012E78" w:rsidRDefault="00511DA2" w:rsidP="00511DA2">
            <w:pPr>
              <w:keepNext/>
              <w:jc w:val="right"/>
              <w:rPr>
                <w:rFonts w:asciiTheme="majorBidi" w:hAnsiTheme="majorBidi" w:cstheme="majorBidi"/>
                <w:b/>
                <w:bCs/>
                <w:color w:val="000000"/>
                <w:sz w:val="20"/>
                <w:szCs w:val="20"/>
                <w:lang w:val="en-GB"/>
              </w:rPr>
            </w:pPr>
            <w:r w:rsidRPr="00012E78">
              <w:rPr>
                <w:rFonts w:asciiTheme="majorBidi" w:hAnsiTheme="majorBidi" w:cstheme="majorBidi"/>
                <w:b/>
                <w:bCs/>
                <w:color w:val="000000"/>
                <w:sz w:val="20"/>
                <w:szCs w:val="20"/>
                <w:lang w:val="en-GB" w:eastAsia="en-CA"/>
              </w:rPr>
              <w:t>Agency support costs (US $)</w:t>
            </w:r>
          </w:p>
        </w:tc>
        <w:tc>
          <w:tcPr>
            <w:tcW w:w="863" w:type="pct"/>
            <w:hideMark/>
          </w:tcPr>
          <w:p w14:paraId="01D37178" w14:textId="77777777" w:rsidR="00511DA2" w:rsidRPr="00012E78" w:rsidRDefault="00511DA2" w:rsidP="00511DA2">
            <w:pPr>
              <w:keepNext/>
              <w:jc w:val="right"/>
              <w:rPr>
                <w:rFonts w:asciiTheme="majorBidi" w:hAnsiTheme="majorBidi" w:cstheme="majorBidi"/>
                <w:b/>
                <w:bCs/>
                <w:color w:val="000000"/>
                <w:sz w:val="20"/>
                <w:szCs w:val="20"/>
                <w:lang w:val="en-GB"/>
              </w:rPr>
            </w:pPr>
            <w:r w:rsidRPr="00012E78">
              <w:rPr>
                <w:rFonts w:asciiTheme="majorBidi" w:hAnsiTheme="majorBidi" w:cstheme="majorBidi"/>
                <w:b/>
                <w:bCs/>
                <w:color w:val="000000"/>
                <w:sz w:val="20"/>
                <w:szCs w:val="20"/>
                <w:lang w:val="en-GB" w:eastAsia="en-CA"/>
              </w:rPr>
              <w:t>Total (US $)</w:t>
            </w:r>
          </w:p>
        </w:tc>
      </w:tr>
      <w:tr w:rsidR="005A1F01" w:rsidRPr="00012E78" w14:paraId="423C1573" w14:textId="77777777" w:rsidTr="005A1F01">
        <w:trPr>
          <w:trHeight w:val="95"/>
        </w:trPr>
        <w:tc>
          <w:tcPr>
            <w:tcW w:w="1057" w:type="pct"/>
            <w:noWrap/>
            <w:hideMark/>
          </w:tcPr>
          <w:p w14:paraId="59C2A5AE" w14:textId="4033081A" w:rsidR="005A1F01" w:rsidRPr="00012E78" w:rsidRDefault="005A1F01" w:rsidP="005A1F01">
            <w:pPr>
              <w:keepNext/>
              <w:jc w:val="left"/>
              <w:rPr>
                <w:rFonts w:asciiTheme="majorBidi" w:hAnsiTheme="majorBidi" w:cstheme="majorBidi"/>
                <w:color w:val="000000"/>
                <w:sz w:val="20"/>
                <w:szCs w:val="20"/>
                <w:lang w:val="en-GB"/>
              </w:rPr>
            </w:pPr>
            <w:r w:rsidRPr="00012E78">
              <w:rPr>
                <w:sz w:val="20"/>
                <w:szCs w:val="20"/>
              </w:rPr>
              <w:t>Bilateral</w:t>
            </w:r>
          </w:p>
        </w:tc>
        <w:tc>
          <w:tcPr>
            <w:tcW w:w="1408" w:type="pct"/>
            <w:noWrap/>
            <w:hideMark/>
          </w:tcPr>
          <w:p w14:paraId="1B5AEE29" w14:textId="7B9FB4BF" w:rsidR="005A1F01" w:rsidRPr="00012E78" w:rsidRDefault="005A1F01" w:rsidP="005A1F01">
            <w:pPr>
              <w:keepNext/>
              <w:jc w:val="right"/>
              <w:rPr>
                <w:rFonts w:asciiTheme="majorBidi" w:hAnsiTheme="majorBidi" w:cstheme="majorBidi"/>
                <w:i/>
                <w:iCs/>
                <w:color w:val="000000"/>
                <w:sz w:val="20"/>
                <w:szCs w:val="20"/>
                <w:lang w:val="en-GB"/>
              </w:rPr>
            </w:pPr>
            <w:r w:rsidRPr="00012E78">
              <w:rPr>
                <w:sz w:val="20"/>
                <w:szCs w:val="20"/>
              </w:rPr>
              <w:t>3,442,546</w:t>
            </w:r>
          </w:p>
        </w:tc>
        <w:tc>
          <w:tcPr>
            <w:tcW w:w="1672" w:type="pct"/>
            <w:noWrap/>
            <w:hideMark/>
          </w:tcPr>
          <w:p w14:paraId="0A6F6E98" w14:textId="6955C9E3"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421,461</w:t>
            </w:r>
          </w:p>
        </w:tc>
        <w:tc>
          <w:tcPr>
            <w:tcW w:w="863" w:type="pct"/>
            <w:noWrap/>
            <w:hideMark/>
          </w:tcPr>
          <w:p w14:paraId="6FF26C92" w14:textId="724B8810"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3,864,007</w:t>
            </w:r>
          </w:p>
        </w:tc>
      </w:tr>
      <w:tr w:rsidR="005A1F01" w:rsidRPr="00012E78" w14:paraId="0FB91860" w14:textId="77777777" w:rsidTr="005A1F01">
        <w:trPr>
          <w:trHeight w:val="170"/>
        </w:trPr>
        <w:tc>
          <w:tcPr>
            <w:tcW w:w="1057" w:type="pct"/>
            <w:noWrap/>
            <w:hideMark/>
          </w:tcPr>
          <w:p w14:paraId="160FB2B9" w14:textId="3103A6B0" w:rsidR="005A1F01" w:rsidRPr="00012E78" w:rsidRDefault="005A1F01" w:rsidP="005A1F01">
            <w:pPr>
              <w:keepNext/>
              <w:jc w:val="left"/>
              <w:rPr>
                <w:rFonts w:asciiTheme="majorBidi" w:hAnsiTheme="majorBidi" w:cstheme="majorBidi"/>
                <w:color w:val="000000"/>
                <w:sz w:val="20"/>
                <w:szCs w:val="20"/>
                <w:lang w:val="en-GB"/>
              </w:rPr>
            </w:pPr>
            <w:r w:rsidRPr="00012E78">
              <w:rPr>
                <w:sz w:val="20"/>
                <w:szCs w:val="20"/>
              </w:rPr>
              <w:t>UNDP</w:t>
            </w:r>
          </w:p>
        </w:tc>
        <w:tc>
          <w:tcPr>
            <w:tcW w:w="1408" w:type="pct"/>
            <w:noWrap/>
            <w:hideMark/>
          </w:tcPr>
          <w:p w14:paraId="734823CB" w14:textId="5009E8F5"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60,287,691</w:t>
            </w:r>
          </w:p>
        </w:tc>
        <w:tc>
          <w:tcPr>
            <w:tcW w:w="1672" w:type="pct"/>
            <w:noWrap/>
            <w:hideMark/>
          </w:tcPr>
          <w:p w14:paraId="3192129E" w14:textId="1AF6419B"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6,631,382</w:t>
            </w:r>
          </w:p>
        </w:tc>
        <w:tc>
          <w:tcPr>
            <w:tcW w:w="863" w:type="pct"/>
            <w:noWrap/>
            <w:hideMark/>
          </w:tcPr>
          <w:p w14:paraId="4BE0F237" w14:textId="4499943E"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66,919,073</w:t>
            </w:r>
          </w:p>
        </w:tc>
      </w:tr>
      <w:tr w:rsidR="005A1F01" w:rsidRPr="00012E78" w14:paraId="77F18741" w14:textId="77777777" w:rsidTr="005A1F01">
        <w:trPr>
          <w:trHeight w:val="179"/>
        </w:trPr>
        <w:tc>
          <w:tcPr>
            <w:tcW w:w="1057" w:type="pct"/>
            <w:noWrap/>
            <w:hideMark/>
          </w:tcPr>
          <w:p w14:paraId="4AE8E009" w14:textId="67F4F6D5" w:rsidR="005A1F01" w:rsidRPr="00012E78" w:rsidRDefault="005A1F01" w:rsidP="005A1F01">
            <w:pPr>
              <w:keepNext/>
              <w:jc w:val="left"/>
              <w:rPr>
                <w:rFonts w:asciiTheme="majorBidi" w:hAnsiTheme="majorBidi" w:cstheme="majorBidi"/>
                <w:color w:val="000000"/>
                <w:sz w:val="20"/>
                <w:szCs w:val="20"/>
                <w:lang w:val="en-GB"/>
              </w:rPr>
            </w:pPr>
            <w:r w:rsidRPr="00012E78">
              <w:rPr>
                <w:sz w:val="20"/>
                <w:szCs w:val="20"/>
              </w:rPr>
              <w:t>UNEP</w:t>
            </w:r>
          </w:p>
        </w:tc>
        <w:tc>
          <w:tcPr>
            <w:tcW w:w="1408" w:type="pct"/>
            <w:noWrap/>
            <w:hideMark/>
          </w:tcPr>
          <w:p w14:paraId="62E785D8" w14:textId="25868A9E"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26,706,692</w:t>
            </w:r>
          </w:p>
        </w:tc>
        <w:tc>
          <w:tcPr>
            <w:tcW w:w="1672" w:type="pct"/>
            <w:noWrap/>
            <w:hideMark/>
          </w:tcPr>
          <w:p w14:paraId="6706A1BB" w14:textId="208B01A2"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2,235,778</w:t>
            </w:r>
          </w:p>
        </w:tc>
        <w:tc>
          <w:tcPr>
            <w:tcW w:w="863" w:type="pct"/>
            <w:noWrap/>
            <w:hideMark/>
          </w:tcPr>
          <w:p w14:paraId="04778337" w14:textId="61C134F6"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28,942,470</w:t>
            </w:r>
          </w:p>
        </w:tc>
      </w:tr>
      <w:tr w:rsidR="005A1F01" w:rsidRPr="00012E78" w14:paraId="3CE7A739" w14:textId="77777777" w:rsidTr="005A1F01">
        <w:trPr>
          <w:trHeight w:val="188"/>
        </w:trPr>
        <w:tc>
          <w:tcPr>
            <w:tcW w:w="1057" w:type="pct"/>
            <w:noWrap/>
            <w:hideMark/>
          </w:tcPr>
          <w:p w14:paraId="07DEC440" w14:textId="0E61068C" w:rsidR="005A1F01" w:rsidRPr="00012E78" w:rsidRDefault="005A1F01" w:rsidP="005A1F01">
            <w:pPr>
              <w:keepNext/>
              <w:jc w:val="left"/>
              <w:rPr>
                <w:rFonts w:asciiTheme="majorBidi" w:hAnsiTheme="majorBidi" w:cstheme="majorBidi"/>
                <w:color w:val="000000"/>
                <w:sz w:val="20"/>
                <w:szCs w:val="20"/>
                <w:lang w:val="en-GB"/>
              </w:rPr>
            </w:pPr>
            <w:r w:rsidRPr="00012E78">
              <w:rPr>
                <w:sz w:val="20"/>
                <w:szCs w:val="20"/>
              </w:rPr>
              <w:t>UNIDO</w:t>
            </w:r>
          </w:p>
        </w:tc>
        <w:tc>
          <w:tcPr>
            <w:tcW w:w="1408" w:type="pct"/>
            <w:noWrap/>
            <w:hideMark/>
          </w:tcPr>
          <w:p w14:paraId="081B73A4" w14:textId="5ED93D7A"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62,191,267</w:t>
            </w:r>
          </w:p>
        </w:tc>
        <w:tc>
          <w:tcPr>
            <w:tcW w:w="1672" w:type="pct"/>
            <w:noWrap/>
            <w:hideMark/>
          </w:tcPr>
          <w:p w14:paraId="20300A62" w14:textId="753890D6"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6,737,824</w:t>
            </w:r>
          </w:p>
        </w:tc>
        <w:tc>
          <w:tcPr>
            <w:tcW w:w="863" w:type="pct"/>
            <w:noWrap/>
            <w:hideMark/>
          </w:tcPr>
          <w:p w14:paraId="6E0B2718" w14:textId="63D2B50F"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68,929,091</w:t>
            </w:r>
          </w:p>
        </w:tc>
      </w:tr>
      <w:tr w:rsidR="005A1F01" w:rsidRPr="00012E78" w14:paraId="39378D53" w14:textId="77777777" w:rsidTr="005A1F01">
        <w:trPr>
          <w:trHeight w:val="98"/>
        </w:trPr>
        <w:tc>
          <w:tcPr>
            <w:tcW w:w="1057" w:type="pct"/>
            <w:noWrap/>
            <w:hideMark/>
          </w:tcPr>
          <w:p w14:paraId="1E0717F1" w14:textId="2CA24948" w:rsidR="005A1F01" w:rsidRPr="00012E78" w:rsidRDefault="005A1F01" w:rsidP="005A1F01">
            <w:pPr>
              <w:keepNext/>
              <w:jc w:val="left"/>
              <w:rPr>
                <w:rFonts w:asciiTheme="majorBidi" w:hAnsiTheme="majorBidi" w:cstheme="majorBidi"/>
                <w:color w:val="000000"/>
                <w:sz w:val="20"/>
                <w:szCs w:val="20"/>
                <w:lang w:val="en-GB"/>
              </w:rPr>
            </w:pPr>
            <w:r w:rsidRPr="00012E78">
              <w:rPr>
                <w:sz w:val="20"/>
                <w:szCs w:val="20"/>
              </w:rPr>
              <w:t>World Bank</w:t>
            </w:r>
          </w:p>
        </w:tc>
        <w:tc>
          <w:tcPr>
            <w:tcW w:w="1408" w:type="pct"/>
            <w:noWrap/>
            <w:hideMark/>
          </w:tcPr>
          <w:p w14:paraId="112E310D" w14:textId="47A4AC4D"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38,175,116</w:t>
            </w:r>
          </w:p>
        </w:tc>
        <w:tc>
          <w:tcPr>
            <w:tcW w:w="1672" w:type="pct"/>
            <w:noWrap/>
            <w:hideMark/>
          </w:tcPr>
          <w:p w14:paraId="341C718D" w14:textId="3709F6DE"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4,619,403</w:t>
            </w:r>
          </w:p>
        </w:tc>
        <w:tc>
          <w:tcPr>
            <w:tcW w:w="863" w:type="pct"/>
            <w:noWrap/>
            <w:hideMark/>
          </w:tcPr>
          <w:p w14:paraId="423D000B" w14:textId="6D8B472D" w:rsidR="005A1F01" w:rsidRPr="00012E78" w:rsidRDefault="005A1F01" w:rsidP="005A1F01">
            <w:pPr>
              <w:keepNext/>
              <w:jc w:val="right"/>
              <w:rPr>
                <w:rFonts w:asciiTheme="majorBidi" w:hAnsiTheme="majorBidi" w:cstheme="majorBidi"/>
                <w:color w:val="000000"/>
                <w:sz w:val="20"/>
                <w:szCs w:val="20"/>
                <w:lang w:val="en-GB"/>
              </w:rPr>
            </w:pPr>
            <w:r w:rsidRPr="00012E78">
              <w:rPr>
                <w:sz w:val="20"/>
                <w:szCs w:val="20"/>
              </w:rPr>
              <w:t>42,794,519</w:t>
            </w:r>
          </w:p>
        </w:tc>
      </w:tr>
      <w:tr w:rsidR="005A1F01" w:rsidRPr="00012E78" w14:paraId="38F98148" w14:textId="77777777" w:rsidTr="005A1F01">
        <w:trPr>
          <w:trHeight w:val="107"/>
        </w:trPr>
        <w:tc>
          <w:tcPr>
            <w:tcW w:w="1057" w:type="pct"/>
            <w:noWrap/>
            <w:hideMark/>
          </w:tcPr>
          <w:p w14:paraId="23356F23" w14:textId="6E6EE697" w:rsidR="005A1F01" w:rsidRPr="00012E78" w:rsidRDefault="005A1F01" w:rsidP="005A1F01">
            <w:pPr>
              <w:keepNext/>
              <w:jc w:val="left"/>
              <w:rPr>
                <w:rFonts w:asciiTheme="majorBidi" w:hAnsiTheme="majorBidi" w:cstheme="majorBidi"/>
                <w:b/>
                <w:bCs/>
                <w:color w:val="000000"/>
                <w:sz w:val="20"/>
                <w:szCs w:val="20"/>
                <w:lang w:val="en-GB"/>
              </w:rPr>
            </w:pPr>
            <w:r w:rsidRPr="00012E78">
              <w:rPr>
                <w:b/>
                <w:bCs/>
                <w:sz w:val="20"/>
                <w:szCs w:val="20"/>
              </w:rPr>
              <w:t xml:space="preserve">Grand </w:t>
            </w:r>
            <w:r w:rsidR="000A79FC">
              <w:rPr>
                <w:b/>
                <w:bCs/>
                <w:sz w:val="20"/>
                <w:szCs w:val="20"/>
              </w:rPr>
              <w:t>t</w:t>
            </w:r>
            <w:r w:rsidRPr="00012E78">
              <w:rPr>
                <w:b/>
                <w:bCs/>
                <w:sz w:val="20"/>
                <w:szCs w:val="20"/>
              </w:rPr>
              <w:t>otal</w:t>
            </w:r>
          </w:p>
        </w:tc>
        <w:tc>
          <w:tcPr>
            <w:tcW w:w="1408" w:type="pct"/>
            <w:noWrap/>
            <w:hideMark/>
          </w:tcPr>
          <w:p w14:paraId="53F55E37" w14:textId="4DB683ED" w:rsidR="005A1F01" w:rsidRPr="00012E78" w:rsidRDefault="005A1F01" w:rsidP="005A1F01">
            <w:pPr>
              <w:keepNext/>
              <w:jc w:val="right"/>
              <w:rPr>
                <w:rFonts w:asciiTheme="majorBidi" w:hAnsiTheme="majorBidi" w:cstheme="majorBidi"/>
                <w:b/>
                <w:bCs/>
                <w:color w:val="000000"/>
                <w:sz w:val="20"/>
                <w:szCs w:val="20"/>
                <w:lang w:val="en-GB"/>
              </w:rPr>
            </w:pPr>
            <w:r w:rsidRPr="00012E78">
              <w:rPr>
                <w:b/>
                <w:bCs/>
                <w:sz w:val="20"/>
                <w:szCs w:val="20"/>
              </w:rPr>
              <w:t>190,803,312</w:t>
            </w:r>
          </w:p>
        </w:tc>
        <w:tc>
          <w:tcPr>
            <w:tcW w:w="1672" w:type="pct"/>
            <w:noWrap/>
            <w:hideMark/>
          </w:tcPr>
          <w:p w14:paraId="072C4F48" w14:textId="28C8560B" w:rsidR="005A1F01" w:rsidRPr="00012E78" w:rsidRDefault="005A1F01" w:rsidP="005A1F01">
            <w:pPr>
              <w:keepNext/>
              <w:jc w:val="right"/>
              <w:rPr>
                <w:rFonts w:asciiTheme="majorBidi" w:hAnsiTheme="majorBidi" w:cstheme="majorBidi"/>
                <w:b/>
                <w:bCs/>
                <w:color w:val="000000"/>
                <w:sz w:val="20"/>
                <w:szCs w:val="20"/>
                <w:lang w:val="en-GB"/>
              </w:rPr>
            </w:pPr>
            <w:r w:rsidRPr="00012E78">
              <w:rPr>
                <w:b/>
                <w:bCs/>
                <w:sz w:val="20"/>
                <w:szCs w:val="20"/>
              </w:rPr>
              <w:t>20,645,848</w:t>
            </w:r>
          </w:p>
        </w:tc>
        <w:tc>
          <w:tcPr>
            <w:tcW w:w="863" w:type="pct"/>
            <w:noWrap/>
            <w:hideMark/>
          </w:tcPr>
          <w:p w14:paraId="49EA34D4" w14:textId="2AE125C3" w:rsidR="005A1F01" w:rsidRPr="00012E78" w:rsidRDefault="005A1F01" w:rsidP="005A1F01">
            <w:pPr>
              <w:keepNext/>
              <w:jc w:val="right"/>
              <w:rPr>
                <w:rFonts w:asciiTheme="majorBidi" w:hAnsiTheme="majorBidi" w:cstheme="majorBidi"/>
                <w:b/>
                <w:bCs/>
                <w:color w:val="000000"/>
                <w:sz w:val="20"/>
                <w:szCs w:val="20"/>
                <w:lang w:val="en-GB"/>
              </w:rPr>
            </w:pPr>
            <w:r w:rsidRPr="00012E78">
              <w:rPr>
                <w:b/>
                <w:bCs/>
                <w:sz w:val="20"/>
                <w:szCs w:val="20"/>
              </w:rPr>
              <w:t>211,449,160</w:t>
            </w:r>
          </w:p>
        </w:tc>
      </w:tr>
    </w:tbl>
    <w:p w14:paraId="56E17FF2" w14:textId="77777777" w:rsidR="00511DA2" w:rsidRPr="00012E78" w:rsidRDefault="00511DA2" w:rsidP="00511DA2">
      <w:pPr>
        <w:rPr>
          <w:sz w:val="20"/>
          <w:szCs w:val="20"/>
          <w:lang w:val="en-GB"/>
        </w:rPr>
      </w:pPr>
    </w:p>
    <w:p w14:paraId="23F64A1F" w14:textId="352A74D1" w:rsidR="00511DA2" w:rsidRPr="00511DA2" w:rsidRDefault="00511DA2" w:rsidP="006434C6">
      <w:pPr>
        <w:pStyle w:val="Heading3"/>
        <w:numPr>
          <w:ilvl w:val="2"/>
          <w:numId w:val="16"/>
        </w:numPr>
        <w:ind w:left="1276" w:firstLine="0"/>
        <w:rPr>
          <w:sz w:val="20"/>
          <w:szCs w:val="20"/>
          <w:lang w:val="en-GB"/>
        </w:rPr>
      </w:pPr>
      <w:r w:rsidRPr="00012E78">
        <w:rPr>
          <w:sz w:val="20"/>
          <w:szCs w:val="20"/>
          <w:lang w:val="en-GB"/>
        </w:rPr>
        <w:t>At the 97th and 98th meetings, after consideration of the documents on projects recommended</w:t>
      </w:r>
      <w:r>
        <w:rPr>
          <w:sz w:val="20"/>
          <w:szCs w:val="20"/>
          <w:lang w:val="en-GB"/>
        </w:rPr>
        <w:t xml:space="preserve"> for blanket approval</w:t>
      </w:r>
      <w:r>
        <w:rPr>
          <w:sz w:val="20"/>
          <w:szCs w:val="20"/>
          <w:vertAlign w:val="superscript"/>
          <w:lang w:val="en-GB"/>
        </w:rPr>
        <w:footnoteReference w:id="26"/>
      </w:r>
      <w:r>
        <w:rPr>
          <w:sz w:val="20"/>
          <w:szCs w:val="20"/>
          <w:lang w:val="en-GB"/>
        </w:rPr>
        <w:t xml:space="preserve"> and the documents on projects recommended for individual consideration,</w:t>
      </w:r>
      <w:r>
        <w:rPr>
          <w:sz w:val="20"/>
          <w:szCs w:val="20"/>
          <w:vertAlign w:val="superscript"/>
          <w:lang w:val="en-GB"/>
        </w:rPr>
        <w:footnoteReference w:id="27"/>
      </w:r>
      <w:r>
        <w:rPr>
          <w:sz w:val="20"/>
          <w:szCs w:val="20"/>
          <w:lang w:val="en-GB"/>
        </w:rPr>
        <w:t xml:space="preserve"> the Executive Committee approved the projects and activities as summarized below.</w:t>
      </w:r>
    </w:p>
    <w:p w14:paraId="3A864D9F" w14:textId="77777777" w:rsidR="00511DA2" w:rsidRPr="00511DA2" w:rsidRDefault="00511DA2" w:rsidP="00511DA2">
      <w:pPr>
        <w:spacing w:after="240"/>
        <w:ind w:left="720" w:hanging="96"/>
        <w:outlineLvl w:val="0"/>
        <w:rPr>
          <w:b/>
          <w:sz w:val="20"/>
          <w:szCs w:val="20"/>
          <w:lang w:val="en-GB"/>
        </w:rPr>
      </w:pPr>
      <w:r>
        <w:rPr>
          <w:b/>
          <w:sz w:val="20"/>
          <w:szCs w:val="20"/>
          <w:lang w:val="en-GB"/>
        </w:rPr>
        <w:t>(a)</w:t>
      </w:r>
      <w:r>
        <w:rPr>
          <w:b/>
          <w:sz w:val="20"/>
          <w:szCs w:val="20"/>
          <w:lang w:val="en-GB"/>
        </w:rPr>
        <w:tab/>
        <w:t>Investment projects</w:t>
      </w:r>
    </w:p>
    <w:p w14:paraId="4D5C95BE" w14:textId="77777777" w:rsidR="00511DA2" w:rsidRPr="00511DA2" w:rsidRDefault="00511DA2" w:rsidP="00511DA2">
      <w:pPr>
        <w:pStyle w:val="Heading1"/>
        <w:numPr>
          <w:ilvl w:val="0"/>
          <w:numId w:val="0"/>
        </w:numPr>
        <w:ind w:left="528" w:firstLine="720"/>
        <w:rPr>
          <w:sz w:val="20"/>
          <w:szCs w:val="20"/>
          <w:u w:val="single"/>
          <w:lang w:val="en-GB"/>
        </w:rPr>
      </w:pPr>
      <w:r>
        <w:rPr>
          <w:sz w:val="20"/>
          <w:szCs w:val="20"/>
          <w:u w:val="single"/>
          <w:lang w:val="en-GB"/>
        </w:rPr>
        <w:t>HCFC phase-out management plans</w:t>
      </w:r>
    </w:p>
    <w:p w14:paraId="73E970B6" w14:textId="72322FFF" w:rsidR="00511DA2" w:rsidRPr="00CA1473" w:rsidRDefault="00511DA2" w:rsidP="006434C6">
      <w:pPr>
        <w:pStyle w:val="Heading3"/>
        <w:numPr>
          <w:ilvl w:val="2"/>
          <w:numId w:val="16"/>
        </w:numPr>
        <w:ind w:left="1276" w:firstLine="0"/>
        <w:rPr>
          <w:sz w:val="20"/>
          <w:szCs w:val="20"/>
          <w:lang w:val="en-GB"/>
        </w:rPr>
      </w:pPr>
      <w:r>
        <w:rPr>
          <w:sz w:val="20"/>
          <w:szCs w:val="20"/>
          <w:lang w:val="en-GB"/>
        </w:rPr>
        <w:t xml:space="preserve">At the 97th meeting, the Executive Committee approved tranches of HPMPs for 19 countries, including tranches of six sector plans under stage II of the HPMP for one country (decisions 97/35, 97/39, 97/45 to 97/50, 97/54 and 97/55); the first tranche of stage II of the HPMP for two countries (decision 97/51 and 97/53); and the first tranche of stage III of the HPMPs for five countries (decisions 97/38, 97/40, 97/42, 97/43 and 97/52). </w:t>
      </w:r>
    </w:p>
    <w:p w14:paraId="5D95FC63" w14:textId="69083C24" w:rsidR="00511DA2" w:rsidRPr="00970927" w:rsidRDefault="00753D47" w:rsidP="006434C6">
      <w:pPr>
        <w:pStyle w:val="Heading3"/>
        <w:numPr>
          <w:ilvl w:val="2"/>
          <w:numId w:val="16"/>
        </w:numPr>
        <w:ind w:left="1276" w:firstLine="0"/>
        <w:rPr>
          <w:sz w:val="20"/>
          <w:szCs w:val="20"/>
        </w:rPr>
      </w:pPr>
      <w:proofErr w:type="gramStart"/>
      <w:r>
        <w:rPr>
          <w:sz w:val="20"/>
          <w:szCs w:val="20"/>
        </w:rPr>
        <w:t>Also</w:t>
      </w:r>
      <w:proofErr w:type="gramEnd"/>
      <w:r>
        <w:rPr>
          <w:sz w:val="20"/>
          <w:szCs w:val="20"/>
        </w:rPr>
        <w:t xml:space="preserve"> at the 97th meeting, the Executive Committee approved </w:t>
      </w:r>
      <w:r>
        <w:rPr>
          <w:sz w:val="20"/>
          <w:szCs w:val="20"/>
          <w:lang w:val="en-GB"/>
        </w:rPr>
        <w:t>individual</w:t>
      </w:r>
      <w:r>
        <w:rPr>
          <w:sz w:val="20"/>
          <w:szCs w:val="20"/>
        </w:rPr>
        <w:t xml:space="preserve"> project proposals pertaining to additional activities for the introduction of alternatives to HCFCs with low- or zero GWP and for maintaining energy efficiency in the refrigeration servicing sector in three countries (decision 97/35).</w:t>
      </w:r>
    </w:p>
    <w:p w14:paraId="7A90FA51" w14:textId="11F7307A" w:rsidR="00BB63EB" w:rsidRPr="00AC7121" w:rsidRDefault="00511DA2" w:rsidP="006434C6">
      <w:pPr>
        <w:pStyle w:val="Heading3"/>
        <w:numPr>
          <w:ilvl w:val="2"/>
          <w:numId w:val="16"/>
        </w:numPr>
        <w:ind w:left="1276" w:firstLine="0"/>
        <w:rPr>
          <w:sz w:val="20"/>
          <w:szCs w:val="20"/>
        </w:rPr>
      </w:pPr>
      <w:r>
        <w:rPr>
          <w:sz w:val="20"/>
          <w:szCs w:val="20"/>
        </w:rPr>
        <w:t>At the 98th meeting, the Executive Committee approved tranches of HPMPs for 17 countries (decisions 98/26, 98/32 and 98/34); the first tranche of stage II of the HPMP for two countries (decisions 98/36 and 98/37); the first tranche of stage III of the HPMPs for six countries (decisions</w:t>
      </w:r>
      <w:r w:rsidR="00667A65">
        <w:rPr>
          <w:sz w:val="20"/>
          <w:szCs w:val="20"/>
        </w:rPr>
        <w:t> </w:t>
      </w:r>
      <w:r>
        <w:rPr>
          <w:sz w:val="20"/>
          <w:szCs w:val="20"/>
        </w:rPr>
        <w:t>98/30, 98/31, 98/33 and 98/38 to 98/40); and the first tranche of stage IV of the HPMP for one country (decision 98/35).</w:t>
      </w:r>
    </w:p>
    <w:p w14:paraId="4ECE6121" w14:textId="36F47012" w:rsidR="002F17C7" w:rsidRPr="002F17C7" w:rsidRDefault="00753D47" w:rsidP="006434C6">
      <w:pPr>
        <w:pStyle w:val="Heading3"/>
        <w:numPr>
          <w:ilvl w:val="2"/>
          <w:numId w:val="16"/>
        </w:numPr>
        <w:ind w:left="1276" w:firstLine="0"/>
        <w:rPr>
          <w:lang w:val="en-GB"/>
        </w:rPr>
      </w:pPr>
      <w:proofErr w:type="gramStart"/>
      <w:r>
        <w:rPr>
          <w:sz w:val="20"/>
          <w:szCs w:val="20"/>
        </w:rPr>
        <w:t>Also</w:t>
      </w:r>
      <w:proofErr w:type="gramEnd"/>
      <w:r>
        <w:rPr>
          <w:sz w:val="20"/>
          <w:szCs w:val="20"/>
        </w:rPr>
        <w:t xml:space="preserve"> at the 98th meeting, the Executive Committee approved </w:t>
      </w:r>
      <w:r>
        <w:rPr>
          <w:sz w:val="20"/>
          <w:szCs w:val="20"/>
          <w:lang w:val="en-GB"/>
        </w:rPr>
        <w:t>individual</w:t>
      </w:r>
      <w:r>
        <w:rPr>
          <w:sz w:val="20"/>
          <w:szCs w:val="20"/>
        </w:rPr>
        <w:t xml:space="preserve"> project proposals pertaining to additional activities for the introduction of alternatives to HCFCs with low- or zero GWP and for maintaining energy efficiency in the refrigeration servicing sector in five countries (decision 98/26).</w:t>
      </w:r>
    </w:p>
    <w:p w14:paraId="4CE2FE66" w14:textId="77777777" w:rsidR="00511DA2" w:rsidRPr="00CA1473" w:rsidRDefault="00511DA2" w:rsidP="00511DA2">
      <w:pPr>
        <w:keepNext/>
        <w:keepLines/>
        <w:spacing w:after="240"/>
        <w:ind w:left="528" w:firstLine="720"/>
        <w:jc w:val="left"/>
        <w:rPr>
          <w:iCs/>
          <w:sz w:val="20"/>
          <w:szCs w:val="20"/>
          <w:u w:val="single"/>
          <w:lang w:val="en-GB"/>
        </w:rPr>
      </w:pPr>
      <w:r>
        <w:rPr>
          <w:iCs/>
          <w:sz w:val="20"/>
          <w:szCs w:val="20"/>
          <w:u w:val="single"/>
          <w:lang w:val="en-GB"/>
        </w:rPr>
        <w:t>HFC-related projects</w:t>
      </w:r>
    </w:p>
    <w:p w14:paraId="3B467BA0" w14:textId="77777777" w:rsidR="00511DA2" w:rsidRPr="004A5387" w:rsidRDefault="00511DA2" w:rsidP="006434C6">
      <w:pPr>
        <w:pStyle w:val="Heading3"/>
        <w:numPr>
          <w:ilvl w:val="2"/>
          <w:numId w:val="16"/>
        </w:numPr>
        <w:ind w:left="1276" w:firstLine="0"/>
        <w:rPr>
          <w:sz w:val="20"/>
          <w:szCs w:val="20"/>
          <w:lang w:val="en-GB"/>
        </w:rPr>
      </w:pPr>
      <w:r>
        <w:rPr>
          <w:sz w:val="20"/>
          <w:szCs w:val="20"/>
          <w:lang w:val="en-GB"/>
        </w:rPr>
        <w:t>At the 97th meeting, the Executive Committee approved, in principle, stage I of the KIPs for 11 countries, also approving the first funding tranche under each (decisions 97/56 to 97/61, 97/63, 97/65 and 97/67 to 97/69. The Committee approved tranches of KIPs for two countries (decision 97/35) and the second and third tranches of the project for the control of emissions of HFC</w:t>
      </w:r>
      <w:r>
        <w:rPr>
          <w:sz w:val="20"/>
          <w:szCs w:val="20"/>
          <w:lang w:val="en-GB"/>
        </w:rPr>
        <w:noBreakHyphen/>
        <w:t>23 generated in the production of HCFC</w:t>
      </w:r>
      <w:r>
        <w:rPr>
          <w:sz w:val="20"/>
          <w:szCs w:val="20"/>
          <w:lang w:val="en-GB"/>
        </w:rPr>
        <w:noBreakHyphen/>
        <w:t>22 in one country (decision 97/41). The Executive Committee deferred to the 98th meeting consideration of the KIP for one country (decision 97/64) and a tranche of the KIP for another country (decision 97/62).</w:t>
      </w:r>
    </w:p>
    <w:p w14:paraId="1A018A89" w14:textId="501BC5AE" w:rsidR="00511DA2" w:rsidRPr="004A5387" w:rsidRDefault="00511DA2" w:rsidP="006434C6">
      <w:pPr>
        <w:pStyle w:val="Heading3"/>
        <w:numPr>
          <w:ilvl w:val="2"/>
          <w:numId w:val="16"/>
        </w:numPr>
        <w:ind w:left="1276" w:firstLine="0"/>
        <w:rPr>
          <w:sz w:val="20"/>
          <w:szCs w:val="20"/>
          <w:lang w:val="en-GB"/>
        </w:rPr>
      </w:pPr>
      <w:r>
        <w:rPr>
          <w:sz w:val="20"/>
          <w:szCs w:val="20"/>
          <w:lang w:val="en-GB"/>
        </w:rPr>
        <w:t xml:space="preserve">Also at the 97th meeting, in terms of stand-alone projects related to energy efficiency in the context of HFC phase-down, the Committee approved </w:t>
      </w:r>
      <w:r w:rsidR="00490E1C">
        <w:rPr>
          <w:sz w:val="20"/>
          <w:szCs w:val="20"/>
          <w:lang w:val="en-GB"/>
        </w:rPr>
        <w:t xml:space="preserve">pilot </w:t>
      </w:r>
      <w:r>
        <w:rPr>
          <w:sz w:val="20"/>
          <w:szCs w:val="20"/>
          <w:lang w:val="en-GB"/>
        </w:rPr>
        <w:t>non</w:t>
      </w:r>
      <w:r>
        <w:rPr>
          <w:sz w:val="20"/>
          <w:szCs w:val="20"/>
          <w:lang w:val="en-GB"/>
        </w:rPr>
        <w:noBreakHyphen/>
        <w:t>investment projects under decision</w:t>
      </w:r>
      <w:r w:rsidR="00230503">
        <w:rPr>
          <w:sz w:val="20"/>
          <w:szCs w:val="20"/>
          <w:lang w:val="en-GB"/>
        </w:rPr>
        <w:t> </w:t>
      </w:r>
      <w:r>
        <w:rPr>
          <w:sz w:val="20"/>
          <w:szCs w:val="20"/>
          <w:lang w:val="en-GB"/>
        </w:rPr>
        <w:t>91/65 for 12 countries (decisions 97/66, 97/70 to 97/72, 97/75 to 97/77 and 97/79 to 97/83)</w:t>
      </w:r>
      <w:r>
        <w:rPr>
          <w:sz w:val="20"/>
          <w:szCs w:val="20"/>
        </w:rPr>
        <w:t>; a</w:t>
      </w:r>
      <w:r w:rsidR="00490E1C">
        <w:rPr>
          <w:sz w:val="20"/>
          <w:szCs w:val="20"/>
        </w:rPr>
        <w:t xml:space="preserve">n investment </w:t>
      </w:r>
      <w:r>
        <w:rPr>
          <w:sz w:val="20"/>
          <w:szCs w:val="20"/>
        </w:rPr>
        <w:t>project on energy efficiency under decision 95/87 for one country (decision</w:t>
      </w:r>
      <w:r w:rsidR="00490E1C">
        <w:rPr>
          <w:sz w:val="20"/>
          <w:szCs w:val="20"/>
        </w:rPr>
        <w:t> </w:t>
      </w:r>
      <w:r>
        <w:rPr>
          <w:sz w:val="20"/>
          <w:szCs w:val="20"/>
        </w:rPr>
        <w:t xml:space="preserve">97/73); </w:t>
      </w:r>
      <w:r w:rsidR="00247F06">
        <w:rPr>
          <w:sz w:val="20"/>
          <w:szCs w:val="20"/>
        </w:rPr>
        <w:t xml:space="preserve">and investment </w:t>
      </w:r>
      <w:r>
        <w:rPr>
          <w:sz w:val="20"/>
          <w:szCs w:val="20"/>
        </w:rPr>
        <w:t xml:space="preserve">projects on energy efficiency </w:t>
      </w:r>
      <w:r w:rsidR="003C05D1">
        <w:rPr>
          <w:sz w:val="20"/>
          <w:szCs w:val="20"/>
        </w:rPr>
        <w:t>u</w:t>
      </w:r>
      <w:r w:rsidR="0047049E">
        <w:rPr>
          <w:sz w:val="20"/>
          <w:szCs w:val="20"/>
        </w:rPr>
        <w:t xml:space="preserve">nder </w:t>
      </w:r>
      <w:r>
        <w:rPr>
          <w:sz w:val="20"/>
          <w:szCs w:val="20"/>
        </w:rPr>
        <w:t>decision 94/60 for three countries (decisions</w:t>
      </w:r>
      <w:r w:rsidR="006A5B9A">
        <w:rPr>
          <w:sz w:val="20"/>
          <w:szCs w:val="20"/>
        </w:rPr>
        <w:t> </w:t>
      </w:r>
      <w:r>
        <w:rPr>
          <w:sz w:val="20"/>
          <w:szCs w:val="20"/>
        </w:rPr>
        <w:t>97/74, 97/78 and 97/84).</w:t>
      </w:r>
      <w:r>
        <w:rPr>
          <w:sz w:val="20"/>
          <w:szCs w:val="20"/>
          <w:lang w:val="en-GB"/>
        </w:rPr>
        <w:t xml:space="preserve"> </w:t>
      </w:r>
    </w:p>
    <w:p w14:paraId="05AFECC6" w14:textId="0354869E" w:rsidR="00441C70" w:rsidRPr="004A5387" w:rsidRDefault="00511DA2" w:rsidP="006434C6">
      <w:pPr>
        <w:pStyle w:val="Heading3"/>
        <w:numPr>
          <w:ilvl w:val="2"/>
          <w:numId w:val="16"/>
        </w:numPr>
        <w:ind w:left="1276" w:firstLine="0"/>
        <w:rPr>
          <w:sz w:val="20"/>
          <w:szCs w:val="20"/>
          <w:lang w:val="en-GB"/>
        </w:rPr>
      </w:pPr>
      <w:r>
        <w:rPr>
          <w:sz w:val="20"/>
          <w:szCs w:val="20"/>
          <w:lang w:val="en-GB"/>
        </w:rPr>
        <w:t>At the 98</w:t>
      </w:r>
      <w:r>
        <w:rPr>
          <w:sz w:val="20"/>
          <w:szCs w:val="20"/>
          <w:vertAlign w:val="superscript"/>
          <w:lang w:val="en-GB"/>
        </w:rPr>
        <w:t>th</w:t>
      </w:r>
      <w:r>
        <w:rPr>
          <w:sz w:val="20"/>
          <w:szCs w:val="20"/>
          <w:lang w:val="en-GB"/>
        </w:rPr>
        <w:t xml:space="preserve"> meeting, the Executive Committee approved, in principle, stage I of the KIPs for seven countries, also approving the first funding tranche under each (decisions 98/42, 98/43, 98/45, 98/48 and 98/51 to 98/53). The Committee approved tranches of KIPs for four countries (decisions 98/26, 98/44, 98/46 and 98/47) and an updated stage I of the KIP for one country, including the </w:t>
      </w:r>
      <w:r>
        <w:rPr>
          <w:sz w:val="20"/>
          <w:szCs w:val="20"/>
        </w:rPr>
        <w:t>second tranche</w:t>
      </w:r>
      <w:r>
        <w:rPr>
          <w:sz w:val="20"/>
          <w:szCs w:val="20"/>
          <w:lang w:val="en-GB"/>
        </w:rPr>
        <w:t xml:space="preserve"> (decision 98/49). The Executive Committee deferred to a future meeting consideration of the KIP for one country (decision 98/50).</w:t>
      </w:r>
      <w:r>
        <w:rPr>
          <w:sz w:val="20"/>
          <w:szCs w:val="20"/>
        </w:rPr>
        <w:t xml:space="preserve"> The Committee also approved t</w:t>
      </w:r>
      <w:r>
        <w:rPr>
          <w:sz w:val="20"/>
          <w:szCs w:val="20"/>
          <w:lang w:val="en-GB"/>
        </w:rPr>
        <w:t>he fourth tranche and fifth tranche, respectively, of projects for the control of emissions of HFC</w:t>
      </w:r>
      <w:r>
        <w:rPr>
          <w:sz w:val="20"/>
          <w:szCs w:val="20"/>
          <w:lang w:val="en-GB"/>
        </w:rPr>
        <w:noBreakHyphen/>
        <w:t>23 generated in the production of HCFC</w:t>
      </w:r>
      <w:r>
        <w:rPr>
          <w:sz w:val="20"/>
          <w:szCs w:val="20"/>
          <w:lang w:val="en-GB"/>
        </w:rPr>
        <w:noBreakHyphen/>
        <w:t xml:space="preserve">22 in two countries (decisions 98/26 and 98/41). </w:t>
      </w:r>
    </w:p>
    <w:p w14:paraId="65873FF4" w14:textId="0B075E40" w:rsidR="00FF2E2A" w:rsidRPr="004A5387" w:rsidRDefault="00441C70" w:rsidP="006434C6">
      <w:pPr>
        <w:pStyle w:val="Heading3"/>
        <w:numPr>
          <w:ilvl w:val="2"/>
          <w:numId w:val="16"/>
        </w:numPr>
        <w:ind w:left="1276" w:firstLine="0"/>
        <w:rPr>
          <w:sz w:val="20"/>
          <w:szCs w:val="20"/>
          <w:lang w:val="en-GB"/>
        </w:rPr>
      </w:pPr>
      <w:r>
        <w:rPr>
          <w:sz w:val="20"/>
          <w:szCs w:val="20"/>
          <w:lang w:val="en-GB"/>
        </w:rPr>
        <w:t xml:space="preserve">Also at the 98th meeting, in terms of stand-alone projects related to energy efficiency in the context of HFC phase-down, the Committee approved an </w:t>
      </w:r>
      <w:r>
        <w:rPr>
          <w:sz w:val="20"/>
          <w:szCs w:val="20"/>
        </w:rPr>
        <w:t>energy</w:t>
      </w:r>
      <w:r>
        <w:rPr>
          <w:sz w:val="20"/>
          <w:szCs w:val="20"/>
        </w:rPr>
        <w:noBreakHyphen/>
        <w:t>efficiency revolving-fund end-user project for one country, as well as a global energy</w:t>
      </w:r>
      <w:r>
        <w:rPr>
          <w:sz w:val="20"/>
          <w:szCs w:val="20"/>
        </w:rPr>
        <w:noBreakHyphen/>
        <w:t xml:space="preserve">efficiency revolving-fund end-user project </w:t>
      </w:r>
      <w:r w:rsidR="00F11D27">
        <w:rPr>
          <w:sz w:val="20"/>
          <w:szCs w:val="20"/>
        </w:rPr>
        <w:t xml:space="preserve">covering </w:t>
      </w:r>
      <w:r w:rsidR="00803CD4">
        <w:rPr>
          <w:sz w:val="20"/>
          <w:szCs w:val="20"/>
        </w:rPr>
        <w:t xml:space="preserve">three countries </w:t>
      </w:r>
      <w:r>
        <w:rPr>
          <w:sz w:val="20"/>
          <w:szCs w:val="20"/>
        </w:rPr>
        <w:t xml:space="preserve">(decision 98/54); a </w:t>
      </w:r>
      <w:r>
        <w:rPr>
          <w:sz w:val="20"/>
          <w:szCs w:val="20"/>
          <w:lang w:val="en-US"/>
        </w:rPr>
        <w:t xml:space="preserve">pilot </w:t>
      </w:r>
      <w:r w:rsidR="009A3B28">
        <w:rPr>
          <w:sz w:val="20"/>
          <w:szCs w:val="20"/>
          <w:lang w:val="en-US"/>
        </w:rPr>
        <w:t xml:space="preserve">demonstration </w:t>
      </w:r>
      <w:r>
        <w:rPr>
          <w:sz w:val="20"/>
          <w:szCs w:val="20"/>
          <w:lang w:val="en-US"/>
        </w:rPr>
        <w:t>project in one country to maintain and/or enhance the energy efficiency of replacement technologies and equipment in the context of HFC phase-down</w:t>
      </w:r>
      <w:r w:rsidR="00B358D5">
        <w:rPr>
          <w:sz w:val="20"/>
          <w:szCs w:val="20"/>
          <w:lang w:val="en-US"/>
        </w:rPr>
        <w:t>,</w:t>
      </w:r>
      <w:r>
        <w:rPr>
          <w:sz w:val="20"/>
          <w:szCs w:val="20"/>
          <w:lang w:val="en-US"/>
        </w:rPr>
        <w:t xml:space="preserve"> under decision 91/65; and </w:t>
      </w:r>
      <w:r w:rsidR="00E60255">
        <w:rPr>
          <w:sz w:val="20"/>
          <w:szCs w:val="20"/>
          <w:lang w:val="en-US"/>
        </w:rPr>
        <w:t xml:space="preserve">investment </w:t>
      </w:r>
      <w:r>
        <w:rPr>
          <w:sz w:val="20"/>
          <w:szCs w:val="20"/>
          <w:lang w:val="en-US"/>
        </w:rPr>
        <w:t>projects to enhance energy efficiency in the manufacturing sector in the context of HFC phase</w:t>
      </w:r>
      <w:r>
        <w:rPr>
          <w:sz w:val="20"/>
          <w:szCs w:val="20"/>
          <w:lang w:val="en-US"/>
        </w:rPr>
        <w:noBreakHyphen/>
        <w:t>down, under decision 94/60, for two countries (decisions 98/56 and 98/57).</w:t>
      </w:r>
      <w:r w:rsidR="00EF3659">
        <w:rPr>
          <w:sz w:val="20"/>
          <w:szCs w:val="20"/>
          <w:lang w:val="en-US"/>
        </w:rPr>
        <w:t xml:space="preserve"> The Committee </w:t>
      </w:r>
      <w:r w:rsidR="00064D5D">
        <w:rPr>
          <w:sz w:val="20"/>
          <w:szCs w:val="20"/>
          <w:lang w:val="en-US"/>
        </w:rPr>
        <w:t xml:space="preserve">also </w:t>
      </w:r>
      <w:r w:rsidR="00EF3659">
        <w:rPr>
          <w:sz w:val="20"/>
          <w:szCs w:val="20"/>
          <w:lang w:val="en-US"/>
        </w:rPr>
        <w:t xml:space="preserve">decided not to approve </w:t>
      </w:r>
      <w:r w:rsidR="006916F7">
        <w:rPr>
          <w:sz w:val="20"/>
          <w:szCs w:val="20"/>
          <w:lang w:val="en-US"/>
        </w:rPr>
        <w:t xml:space="preserve">the </w:t>
      </w:r>
      <w:r w:rsidR="00955178">
        <w:rPr>
          <w:sz w:val="20"/>
          <w:szCs w:val="20"/>
          <w:lang w:val="en-US"/>
        </w:rPr>
        <w:t>energy-efficiency revolving</w:t>
      </w:r>
      <w:r w:rsidR="00955178">
        <w:rPr>
          <w:sz w:val="20"/>
          <w:szCs w:val="20"/>
          <w:lang w:val="en-US"/>
        </w:rPr>
        <w:noBreakHyphen/>
        <w:t>fund end-user project for one country.</w:t>
      </w:r>
    </w:p>
    <w:p w14:paraId="69C582C3" w14:textId="77777777" w:rsidR="00511DA2" w:rsidRPr="004A5387" w:rsidRDefault="00511DA2" w:rsidP="00511DA2">
      <w:pPr>
        <w:spacing w:after="240"/>
        <w:ind w:left="720" w:hanging="96"/>
        <w:outlineLvl w:val="0"/>
        <w:rPr>
          <w:b/>
          <w:sz w:val="20"/>
          <w:szCs w:val="20"/>
          <w:lang w:val="en-GB"/>
        </w:rPr>
      </w:pPr>
      <w:r>
        <w:rPr>
          <w:b/>
          <w:sz w:val="20"/>
          <w:szCs w:val="20"/>
          <w:lang w:val="en-GB"/>
        </w:rPr>
        <w:t>(b)</w:t>
      </w:r>
      <w:r>
        <w:rPr>
          <w:b/>
          <w:sz w:val="20"/>
          <w:szCs w:val="20"/>
          <w:lang w:val="en-GB"/>
        </w:rPr>
        <w:tab/>
        <w:t>Non-investment activities</w:t>
      </w:r>
    </w:p>
    <w:p w14:paraId="593666E7" w14:textId="32A89D70" w:rsidR="00511DA2" w:rsidRPr="007E7B7C" w:rsidRDefault="00511DA2" w:rsidP="006434C6">
      <w:pPr>
        <w:pStyle w:val="Heading3"/>
        <w:numPr>
          <w:ilvl w:val="2"/>
          <w:numId w:val="16"/>
        </w:numPr>
        <w:ind w:left="1276" w:firstLine="0"/>
        <w:rPr>
          <w:sz w:val="20"/>
          <w:szCs w:val="20"/>
        </w:rPr>
      </w:pPr>
      <w:r>
        <w:rPr>
          <w:sz w:val="20"/>
          <w:szCs w:val="20"/>
        </w:rPr>
        <w:t>At the 97th meeting, the Executive Committee approved all but one of the non-investment funding requests. The requests were for funding for preparation of stages II and III of HPMPs for four countries; preparation of KIPs for four countries; verification of the implementation of stage I of KIPs for seven countries; enabling activities for HFC phase-down for one country; preparation of pilot projects to maintain and/or enhance the energy efficiency of replacement technologies and equipment in the context of HFC phase-down, under decisions 91/65 and 95/87, for two countries; renewals of institutional strengthening projects for five countries; and preparation of national inventory of banks of waste controlled substances and development of a national plan for management of those substances for 28 countries. The requests were presented in the documents on bilateral cooperation</w:t>
      </w:r>
      <w:r>
        <w:rPr>
          <w:sz w:val="20"/>
          <w:szCs w:val="20"/>
          <w:vertAlign w:val="superscript"/>
        </w:rPr>
        <w:footnoteReference w:id="28"/>
      </w:r>
      <w:r>
        <w:rPr>
          <w:sz w:val="20"/>
          <w:szCs w:val="20"/>
        </w:rPr>
        <w:t xml:space="preserve"> and the 2025 work programme amendments of UNDP,</w:t>
      </w:r>
      <w:r>
        <w:rPr>
          <w:sz w:val="20"/>
          <w:szCs w:val="20"/>
          <w:vertAlign w:val="superscript"/>
        </w:rPr>
        <w:footnoteReference w:id="29"/>
      </w:r>
      <w:r>
        <w:rPr>
          <w:sz w:val="20"/>
          <w:szCs w:val="20"/>
        </w:rPr>
        <w:t xml:space="preserve"> UNEP,</w:t>
      </w:r>
      <w:r>
        <w:rPr>
          <w:sz w:val="20"/>
          <w:szCs w:val="20"/>
          <w:vertAlign w:val="superscript"/>
        </w:rPr>
        <w:footnoteReference w:id="30"/>
      </w:r>
      <w:r>
        <w:rPr>
          <w:sz w:val="20"/>
          <w:szCs w:val="20"/>
        </w:rPr>
        <w:t xml:space="preserve"> UNIDO</w:t>
      </w:r>
      <w:r>
        <w:rPr>
          <w:sz w:val="20"/>
          <w:szCs w:val="20"/>
          <w:vertAlign w:val="superscript"/>
        </w:rPr>
        <w:footnoteReference w:id="31"/>
      </w:r>
      <w:r>
        <w:rPr>
          <w:sz w:val="20"/>
          <w:szCs w:val="20"/>
        </w:rPr>
        <w:t xml:space="preserve"> and the World Bank</w:t>
      </w:r>
      <w:r>
        <w:rPr>
          <w:sz w:val="20"/>
          <w:szCs w:val="20"/>
          <w:vertAlign w:val="superscript"/>
        </w:rPr>
        <w:footnoteReference w:id="32"/>
      </w:r>
      <w:r>
        <w:rPr>
          <w:sz w:val="20"/>
          <w:szCs w:val="20"/>
        </w:rPr>
        <w:t xml:space="preserve"> (decisions 97/35 and 97/37). The request that was not approved related to the preparation of a pilot project to maintain and/or enhance energy efficiency in the context of HFC phase-down, under decision 91/65, in one country (decision 97/36).</w:t>
      </w:r>
    </w:p>
    <w:p w14:paraId="0F9DA6BD" w14:textId="21C40278" w:rsidR="003A47B6" w:rsidRPr="007E7B7C" w:rsidRDefault="00511DA2" w:rsidP="007E7B7C">
      <w:pPr>
        <w:pStyle w:val="Heading3"/>
        <w:numPr>
          <w:ilvl w:val="2"/>
          <w:numId w:val="16"/>
        </w:numPr>
        <w:ind w:left="1276" w:firstLine="0"/>
        <w:rPr>
          <w:sz w:val="20"/>
          <w:szCs w:val="20"/>
        </w:rPr>
      </w:pPr>
      <w:r>
        <w:rPr>
          <w:sz w:val="20"/>
          <w:szCs w:val="20"/>
        </w:rPr>
        <w:t>At the 98th meeting, the Executive Committee approved all but five of the non-investment funding requests. The requests submitted were for funding for preparation of KIPs for three countries; preparation of KIP investment projects for one country; verification of HPMPs for eight countries</w:t>
      </w:r>
      <w:r w:rsidR="00BF571B">
        <w:rPr>
          <w:sz w:val="20"/>
          <w:szCs w:val="20"/>
        </w:rPr>
        <w:t>,</w:t>
      </w:r>
      <w:r>
        <w:rPr>
          <w:sz w:val="20"/>
          <w:szCs w:val="20"/>
        </w:rPr>
        <w:t xml:space="preserve"> of KIPs for 34 countries</w:t>
      </w:r>
      <w:r w:rsidR="006762BA">
        <w:rPr>
          <w:sz w:val="20"/>
          <w:szCs w:val="20"/>
        </w:rPr>
        <w:t>,</w:t>
      </w:r>
      <w:r w:rsidR="00380D1E">
        <w:rPr>
          <w:sz w:val="20"/>
          <w:szCs w:val="20"/>
        </w:rPr>
        <w:t xml:space="preserve"> and of both HPMPs and KIPs</w:t>
      </w:r>
      <w:r w:rsidR="006762BA">
        <w:rPr>
          <w:sz w:val="20"/>
          <w:szCs w:val="20"/>
        </w:rPr>
        <w:t xml:space="preserve"> for eight countries</w:t>
      </w:r>
      <w:r>
        <w:rPr>
          <w:sz w:val="20"/>
          <w:szCs w:val="20"/>
        </w:rPr>
        <w:t xml:space="preserve">; preparation of projects, under decision 91/65, to maintain and/or enhance the energy efficiency in the context of HFC phase-down for </w:t>
      </w:r>
      <w:r w:rsidR="0046045F">
        <w:rPr>
          <w:sz w:val="20"/>
          <w:szCs w:val="20"/>
        </w:rPr>
        <w:t>13</w:t>
      </w:r>
      <w:r>
        <w:rPr>
          <w:sz w:val="20"/>
          <w:szCs w:val="20"/>
        </w:rPr>
        <w:t xml:space="preserve"> countries and preparation of one regional project; preparation, under decision 94/60, of projects for enhancing energy efficiency in the refrigeration and air</w:t>
      </w:r>
      <w:r>
        <w:rPr>
          <w:sz w:val="20"/>
          <w:szCs w:val="20"/>
        </w:rPr>
        <w:noBreakHyphen/>
        <w:t>conditioning manufacturing in the context of HFC phase-down in three countries; and renewals of institutional strengthening projects for 23</w:t>
      </w:r>
      <w:r w:rsidR="00E33A38">
        <w:rPr>
          <w:sz w:val="20"/>
          <w:szCs w:val="20"/>
        </w:rPr>
        <w:t> </w:t>
      </w:r>
      <w:r>
        <w:rPr>
          <w:sz w:val="20"/>
          <w:szCs w:val="20"/>
        </w:rPr>
        <w:t>countries. The requests were presented in the documents on bilateral cooperation</w:t>
      </w:r>
      <w:r>
        <w:rPr>
          <w:sz w:val="20"/>
          <w:szCs w:val="20"/>
          <w:vertAlign w:val="superscript"/>
        </w:rPr>
        <w:footnoteReference w:id="33"/>
      </w:r>
      <w:r>
        <w:rPr>
          <w:sz w:val="20"/>
          <w:szCs w:val="20"/>
        </w:rPr>
        <w:t xml:space="preserve"> and the 2026 work programme amendments of UNDP,</w:t>
      </w:r>
      <w:r>
        <w:rPr>
          <w:sz w:val="20"/>
          <w:szCs w:val="20"/>
          <w:vertAlign w:val="superscript"/>
        </w:rPr>
        <w:footnoteReference w:id="34"/>
      </w:r>
      <w:r>
        <w:rPr>
          <w:sz w:val="20"/>
          <w:szCs w:val="20"/>
        </w:rPr>
        <w:t xml:space="preserve"> UNEP</w:t>
      </w:r>
      <w:r>
        <w:rPr>
          <w:sz w:val="20"/>
          <w:szCs w:val="20"/>
          <w:vertAlign w:val="superscript"/>
        </w:rPr>
        <w:footnoteReference w:id="35"/>
      </w:r>
      <w:r>
        <w:rPr>
          <w:sz w:val="20"/>
          <w:szCs w:val="20"/>
        </w:rPr>
        <w:t xml:space="preserve"> and UNIDO.</w:t>
      </w:r>
      <w:r>
        <w:rPr>
          <w:rStyle w:val="FootnoteReference"/>
          <w:sz w:val="20"/>
          <w:szCs w:val="20"/>
        </w:rPr>
        <w:footnoteReference w:id="36"/>
      </w:r>
      <w:r>
        <w:rPr>
          <w:sz w:val="20"/>
          <w:szCs w:val="20"/>
        </w:rPr>
        <w:t xml:space="preserve"> The requests that were not approved related to the preparation, under decision 91/65, of pilot projects to maintain and/or enhance energy efficiency in data centres, in two countries (decision 98/27), and to the preparation of projects for enhancing energy efficiency in the refrigeration and air</w:t>
      </w:r>
      <w:r>
        <w:rPr>
          <w:sz w:val="20"/>
          <w:szCs w:val="20"/>
        </w:rPr>
        <w:noBreakHyphen/>
        <w:t xml:space="preserve">conditioning manufacturing in the context of HFC phase-down, under decision 94/60, in three countries. Consideration of one of the latter projects was deferred to a future meeting when sufficient information on the proposed enterprises and project scope would be available (decision 98/28), and consideration of the other two such projects </w:t>
      </w:r>
      <w:proofErr w:type="gramStart"/>
      <w:r>
        <w:rPr>
          <w:sz w:val="20"/>
          <w:szCs w:val="20"/>
        </w:rPr>
        <w:t>was</w:t>
      </w:r>
      <w:proofErr w:type="gramEnd"/>
      <w:r>
        <w:rPr>
          <w:sz w:val="20"/>
          <w:szCs w:val="20"/>
        </w:rPr>
        <w:t xml:space="preserve"> deferred to the 99th meeting (decision 98/29).</w:t>
      </w:r>
    </w:p>
    <w:p w14:paraId="5829FD39" w14:textId="77777777" w:rsidR="00511DA2" w:rsidRPr="007E7B7C" w:rsidRDefault="00511DA2" w:rsidP="00511DA2">
      <w:pPr>
        <w:spacing w:after="240"/>
        <w:ind w:left="720" w:hanging="96"/>
        <w:outlineLvl w:val="0"/>
        <w:rPr>
          <w:b/>
          <w:sz w:val="20"/>
          <w:szCs w:val="20"/>
          <w:lang w:val="en-GB"/>
        </w:rPr>
      </w:pPr>
      <w:r>
        <w:rPr>
          <w:b/>
          <w:sz w:val="20"/>
          <w:szCs w:val="20"/>
          <w:lang w:val="en-GB"/>
        </w:rPr>
        <w:t>(c)</w:t>
      </w:r>
      <w:r>
        <w:rPr>
          <w:b/>
          <w:sz w:val="20"/>
          <w:szCs w:val="20"/>
          <w:lang w:val="en-GB"/>
        </w:rPr>
        <w:tab/>
        <w:t xml:space="preserve">2025 UNEP Compliance Assistance Programme budget </w:t>
      </w:r>
    </w:p>
    <w:p w14:paraId="5DE451F7" w14:textId="61180186" w:rsidR="00511DA2" w:rsidRPr="00CA1473" w:rsidRDefault="00511DA2" w:rsidP="009B47E6">
      <w:pPr>
        <w:pStyle w:val="Heading3"/>
        <w:widowControl/>
        <w:numPr>
          <w:ilvl w:val="2"/>
          <w:numId w:val="16"/>
        </w:numPr>
        <w:ind w:left="1282" w:firstLine="0"/>
        <w:rPr>
          <w:sz w:val="20"/>
          <w:szCs w:val="20"/>
        </w:rPr>
      </w:pPr>
      <w:r>
        <w:rPr>
          <w:sz w:val="20"/>
          <w:szCs w:val="20"/>
        </w:rPr>
        <w:t>At the 97th meeting, the Executive Committee noted the 2025 progress report and the 2026 work plan and budget for the UNEP CAP.</w:t>
      </w:r>
      <w:r>
        <w:rPr>
          <w:sz w:val="20"/>
          <w:szCs w:val="20"/>
          <w:vertAlign w:val="superscript"/>
        </w:rPr>
        <w:footnoteReference w:id="37"/>
      </w:r>
      <w:r>
        <w:rPr>
          <w:sz w:val="20"/>
          <w:szCs w:val="20"/>
        </w:rPr>
        <w:t xml:space="preserve"> The Executive Committee approved the CAP activities and budget for 2026 as annexed to the report of that meeting,</w:t>
      </w:r>
      <w:r>
        <w:rPr>
          <w:sz w:val="20"/>
          <w:szCs w:val="20"/>
          <w:vertAlign w:val="superscript"/>
        </w:rPr>
        <w:footnoteReference w:id="38"/>
      </w:r>
      <w:r>
        <w:rPr>
          <w:sz w:val="20"/>
          <w:szCs w:val="20"/>
        </w:rPr>
        <w:t xml:space="preserve"> in the </w:t>
      </w:r>
      <w:proofErr w:type="gramStart"/>
      <w:r>
        <w:rPr>
          <w:sz w:val="20"/>
          <w:szCs w:val="20"/>
        </w:rPr>
        <w:t>amount</w:t>
      </w:r>
      <w:proofErr w:type="gramEnd"/>
      <w:r>
        <w:rPr>
          <w:sz w:val="20"/>
          <w:szCs w:val="20"/>
        </w:rPr>
        <w:t xml:space="preserve"> of US $11,276,967, plus agency support costs of 8 per cent amounting to US $902,157. The Executive Committee decided that the human and financial resources approved for UNEP through the CAP budget should continue to be used only for activities approved by the Executive Committee in accordance with the terms of reference for the financial mechanism contained in Article 10 of the Montreal Protocol and in line with decisions 50/26(c) and 73/53 (decision 97/85).</w:t>
      </w:r>
    </w:p>
    <w:p w14:paraId="1B295DE7" w14:textId="77777777" w:rsidR="00511DA2" w:rsidRPr="00CA1473" w:rsidRDefault="00511DA2" w:rsidP="00511DA2">
      <w:pPr>
        <w:spacing w:after="240"/>
        <w:ind w:left="720" w:hanging="96"/>
        <w:outlineLvl w:val="0"/>
        <w:rPr>
          <w:b/>
          <w:sz w:val="20"/>
          <w:szCs w:val="20"/>
          <w:lang w:val="en-GB"/>
        </w:rPr>
      </w:pPr>
      <w:r>
        <w:rPr>
          <w:b/>
          <w:sz w:val="20"/>
          <w:szCs w:val="20"/>
          <w:lang w:val="en-GB"/>
        </w:rPr>
        <w:t>(d)</w:t>
      </w:r>
      <w:r>
        <w:rPr>
          <w:b/>
          <w:sz w:val="20"/>
          <w:szCs w:val="20"/>
          <w:lang w:val="en-GB"/>
        </w:rPr>
        <w:tab/>
        <w:t>Core unit costs for UNDP, UNIDO and the World Bank</w:t>
      </w:r>
    </w:p>
    <w:p w14:paraId="1D043359" w14:textId="77777777" w:rsidR="00511DA2" w:rsidRPr="003E5C5A" w:rsidRDefault="00511DA2" w:rsidP="00295728">
      <w:pPr>
        <w:pStyle w:val="Heading3"/>
        <w:numPr>
          <w:ilvl w:val="2"/>
          <w:numId w:val="16"/>
        </w:numPr>
        <w:ind w:left="1276" w:firstLine="0"/>
        <w:rPr>
          <w:sz w:val="20"/>
          <w:szCs w:val="20"/>
        </w:rPr>
      </w:pPr>
      <w:r>
        <w:rPr>
          <w:sz w:val="20"/>
          <w:szCs w:val="20"/>
        </w:rPr>
        <w:t>At the 97th meeting, the Executive Committee approved the 2026 core unit budgets for UNDP, UNIDO and the World Bank as requested</w:t>
      </w:r>
      <w:r>
        <w:rPr>
          <w:sz w:val="20"/>
          <w:szCs w:val="20"/>
          <w:vertAlign w:val="superscript"/>
        </w:rPr>
        <w:footnoteReference w:id="39"/>
      </w:r>
      <w:r>
        <w:rPr>
          <w:sz w:val="20"/>
          <w:szCs w:val="20"/>
        </w:rPr>
        <w:t xml:space="preserve"> (decision 97/86).</w:t>
      </w:r>
    </w:p>
    <w:p w14:paraId="1DDB1C40" w14:textId="259D926F" w:rsidR="00474B0F" w:rsidRPr="00B14A47" w:rsidRDefault="00474B0F" w:rsidP="00474B0F">
      <w:pPr>
        <w:keepNext/>
        <w:spacing w:after="240"/>
        <w:ind w:firstLine="624"/>
        <w:jc w:val="left"/>
        <w:outlineLvl w:val="1"/>
        <w:rPr>
          <w:b/>
          <w:sz w:val="20"/>
          <w:szCs w:val="20"/>
          <w:lang w:val="en-GB"/>
        </w:rPr>
      </w:pPr>
      <w:r>
        <w:rPr>
          <w:b/>
          <w:sz w:val="20"/>
          <w:szCs w:val="20"/>
          <w:lang w:val="en-GB"/>
        </w:rPr>
        <w:t>2.</w:t>
      </w:r>
      <w:r>
        <w:rPr>
          <w:b/>
          <w:sz w:val="20"/>
          <w:szCs w:val="20"/>
          <w:lang w:val="en-GB"/>
        </w:rPr>
        <w:tab/>
        <w:t>Implementation and reporting</w:t>
      </w:r>
    </w:p>
    <w:p w14:paraId="79D77C31" w14:textId="48814B99" w:rsidR="00474B0F" w:rsidRPr="00B14A47" w:rsidRDefault="00474B0F" w:rsidP="00474B0F">
      <w:pPr>
        <w:pStyle w:val="Heading3"/>
        <w:numPr>
          <w:ilvl w:val="0"/>
          <w:numId w:val="0"/>
        </w:numPr>
        <w:ind w:firstLine="624"/>
        <w:jc w:val="left"/>
        <w:rPr>
          <w:b/>
          <w:bCs/>
          <w:sz w:val="20"/>
          <w:szCs w:val="20"/>
          <w:lang w:val="en-GB"/>
        </w:rPr>
      </w:pPr>
      <w:r>
        <w:rPr>
          <w:b/>
          <w:sz w:val="20"/>
          <w:szCs w:val="20"/>
          <w:lang w:val="en-GB"/>
        </w:rPr>
        <w:t>(a)</w:t>
      </w:r>
      <w:r>
        <w:rPr>
          <w:b/>
          <w:sz w:val="20"/>
          <w:szCs w:val="20"/>
          <w:lang w:val="en-GB"/>
        </w:rPr>
        <w:tab/>
      </w:r>
      <w:r>
        <w:rPr>
          <w:b/>
          <w:bCs/>
          <w:sz w:val="20"/>
          <w:szCs w:val="20"/>
          <w:lang w:val="en-GB"/>
        </w:rPr>
        <w:t>Country programme data and prospects for compliance</w:t>
      </w:r>
    </w:p>
    <w:p w14:paraId="6659EBFB" w14:textId="4B2769F5" w:rsidR="00572792" w:rsidRPr="00B14A47" w:rsidRDefault="00511DA2" w:rsidP="00295728">
      <w:pPr>
        <w:pStyle w:val="Heading3"/>
        <w:numPr>
          <w:ilvl w:val="2"/>
          <w:numId w:val="16"/>
        </w:numPr>
        <w:ind w:left="1276" w:firstLine="0"/>
        <w:rPr>
          <w:b/>
          <w:sz w:val="20"/>
          <w:szCs w:val="20"/>
        </w:rPr>
      </w:pPr>
      <w:r>
        <w:rPr>
          <w:sz w:val="20"/>
          <w:szCs w:val="20"/>
        </w:rPr>
        <w:t>At the 97th meeting</w:t>
      </w:r>
      <w:r>
        <w:rPr>
          <w:sz w:val="20"/>
          <w:szCs w:val="20"/>
          <w:vertAlign w:val="superscript"/>
        </w:rPr>
        <w:footnoteReference w:id="40"/>
      </w:r>
      <w:r>
        <w:rPr>
          <w:sz w:val="20"/>
          <w:szCs w:val="20"/>
        </w:rPr>
        <w:t xml:space="preserve"> and the 98th meeting,</w:t>
      </w:r>
      <w:r>
        <w:rPr>
          <w:sz w:val="20"/>
          <w:szCs w:val="20"/>
          <w:vertAlign w:val="superscript"/>
        </w:rPr>
        <w:footnoteReference w:id="41"/>
      </w:r>
      <w:r>
        <w:rPr>
          <w:sz w:val="20"/>
          <w:szCs w:val="20"/>
        </w:rPr>
        <w:t xml:space="preserve"> the Executive Committee considered documents on country programme data and prospects for compliance. At the 97th meeting, it noted that the new online country programme data reporting system, which had been officially launched on 1 January 2025, had, as </w:t>
      </w:r>
      <w:proofErr w:type="gramStart"/>
      <w:r>
        <w:rPr>
          <w:sz w:val="20"/>
          <w:szCs w:val="20"/>
        </w:rPr>
        <w:t>at</w:t>
      </w:r>
      <w:proofErr w:type="gramEnd"/>
      <w:r>
        <w:rPr>
          <w:sz w:val="20"/>
          <w:szCs w:val="20"/>
        </w:rPr>
        <w:t xml:space="preserve"> 1 December 2025, been used by 126 countries, of which 124 had officially submitted their 2024 data. The Committee requested the Fund Secretariat to send a letter to one country regarding its outstanding country programme data report for 2024, urging it to submit that report as soon as possible (decision 97/6). At the 98th meeting, the Committee noted that, as </w:t>
      </w:r>
      <w:proofErr w:type="gramStart"/>
      <w:r>
        <w:rPr>
          <w:sz w:val="20"/>
          <w:szCs w:val="20"/>
        </w:rPr>
        <w:t>at</w:t>
      </w:r>
      <w:proofErr w:type="gramEnd"/>
      <w:r>
        <w:rPr>
          <w:sz w:val="20"/>
          <w:szCs w:val="20"/>
        </w:rPr>
        <w:t xml:space="preserve"> 7 May 2026, the online country programme data reporting system had been used by 127 countries, of which 126 had officially submitted their 2024 data and 96 had officially submitted their 2025 data. An additional 21 countries had submitted their 2025 country programme data after that date (decision 98/3).</w:t>
      </w:r>
    </w:p>
    <w:p w14:paraId="576D04FD" w14:textId="77777777" w:rsidR="0040579D" w:rsidRPr="00572792" w:rsidRDefault="0040579D" w:rsidP="00572792">
      <w:pPr>
        <w:pStyle w:val="Heading3"/>
        <w:numPr>
          <w:ilvl w:val="0"/>
          <w:numId w:val="0"/>
        </w:numPr>
        <w:ind w:firstLine="624"/>
        <w:jc w:val="left"/>
        <w:rPr>
          <w:b/>
          <w:bCs/>
          <w:sz w:val="20"/>
          <w:szCs w:val="20"/>
          <w:lang w:val="en-GB"/>
        </w:rPr>
      </w:pPr>
      <w:r>
        <w:rPr>
          <w:b/>
          <w:bCs/>
          <w:sz w:val="20"/>
          <w:szCs w:val="20"/>
          <w:lang w:val="en-GB"/>
        </w:rPr>
        <w:t>(b)</w:t>
      </w:r>
      <w:r>
        <w:rPr>
          <w:b/>
          <w:bCs/>
          <w:sz w:val="20"/>
          <w:szCs w:val="20"/>
          <w:lang w:val="en-GB"/>
        </w:rPr>
        <w:tab/>
        <w:t>Tranche submission delays</w:t>
      </w:r>
    </w:p>
    <w:p w14:paraId="36CC51DB" w14:textId="26402E37" w:rsidR="0040579D" w:rsidRPr="00572792" w:rsidRDefault="003E5C5A" w:rsidP="00295728">
      <w:pPr>
        <w:pStyle w:val="Heading3"/>
        <w:numPr>
          <w:ilvl w:val="2"/>
          <w:numId w:val="16"/>
        </w:numPr>
        <w:ind w:left="1276" w:firstLine="0"/>
        <w:rPr>
          <w:sz w:val="20"/>
          <w:szCs w:val="20"/>
          <w:lang w:val="en-GB"/>
        </w:rPr>
      </w:pPr>
      <w:r>
        <w:rPr>
          <w:sz w:val="20"/>
          <w:szCs w:val="20"/>
        </w:rPr>
        <w:t>At the 98th meeting, the Executive Committee considered a report on tranche submission delays</w:t>
      </w:r>
      <w:r>
        <w:rPr>
          <w:rStyle w:val="FootnoteReference"/>
          <w:sz w:val="20"/>
          <w:szCs w:val="20"/>
        </w:rPr>
        <w:footnoteReference w:id="42"/>
      </w:r>
      <w:r>
        <w:rPr>
          <w:sz w:val="20"/>
          <w:szCs w:val="20"/>
        </w:rPr>
        <w:t xml:space="preserve"> and requested the Fund Secretariat to send letters to the relevant Governments regarding the decisions on tranche submission delays annexed to the report of that meeting.</w:t>
      </w:r>
      <w:r>
        <w:rPr>
          <w:rStyle w:val="FootnoteReference"/>
          <w:sz w:val="20"/>
          <w:szCs w:val="20"/>
        </w:rPr>
        <w:footnoteReference w:id="43"/>
      </w:r>
      <w:r>
        <w:rPr>
          <w:sz w:val="20"/>
          <w:szCs w:val="20"/>
        </w:rPr>
        <w:t xml:space="preserve"> It nevertheless noted that </w:t>
      </w:r>
      <w:r>
        <w:rPr>
          <w:sz w:val="20"/>
          <w:szCs w:val="20"/>
          <w:lang w:val="en-GB"/>
        </w:rPr>
        <w:t xml:space="preserve">relevant implementing agencies had indicated that the late submission of the tranches of </w:t>
      </w:r>
      <w:r>
        <w:rPr>
          <w:sz w:val="20"/>
          <w:szCs w:val="20"/>
        </w:rPr>
        <w:t xml:space="preserve">multi-year agreements (MYAs) </w:t>
      </w:r>
      <w:r>
        <w:rPr>
          <w:sz w:val="20"/>
          <w:szCs w:val="20"/>
          <w:lang w:val="en-GB"/>
        </w:rPr>
        <w:t xml:space="preserve">due for submission would have no impact on countries’ compliance with the Montreal Protocol and that </w:t>
      </w:r>
      <w:r>
        <w:rPr>
          <w:sz w:val="20"/>
          <w:szCs w:val="20"/>
        </w:rPr>
        <w:t>and that there was no indication, except in one case, that the countries concerned were in non</w:t>
      </w:r>
      <w:r>
        <w:rPr>
          <w:sz w:val="20"/>
          <w:szCs w:val="20"/>
        </w:rPr>
        <w:noBreakHyphen/>
        <w:t>compliance with the Montreal Protocol control measures (decision 98/19)</w:t>
      </w:r>
      <w:r>
        <w:rPr>
          <w:sz w:val="20"/>
          <w:szCs w:val="20"/>
          <w:lang w:val="en-GB"/>
        </w:rPr>
        <w:t>.</w:t>
      </w:r>
    </w:p>
    <w:p w14:paraId="1D21FE61" w14:textId="7D06D819" w:rsidR="00511DA2" w:rsidRPr="00CA1473" w:rsidRDefault="0040579D" w:rsidP="0040579D">
      <w:pPr>
        <w:pStyle w:val="Heading3"/>
        <w:numPr>
          <w:ilvl w:val="0"/>
          <w:numId w:val="0"/>
        </w:numPr>
        <w:ind w:firstLine="624"/>
        <w:jc w:val="left"/>
        <w:rPr>
          <w:b/>
          <w:sz w:val="20"/>
          <w:szCs w:val="20"/>
          <w:lang w:val="en-GB"/>
        </w:rPr>
      </w:pPr>
      <w:r>
        <w:rPr>
          <w:b/>
          <w:sz w:val="20"/>
          <w:szCs w:val="20"/>
          <w:lang w:val="en-GB"/>
        </w:rPr>
        <w:t>(c)</w:t>
      </w:r>
      <w:r>
        <w:rPr>
          <w:b/>
          <w:sz w:val="20"/>
          <w:szCs w:val="20"/>
          <w:lang w:val="en-GB"/>
        </w:rPr>
        <w:tab/>
        <w:t>Progress reports</w:t>
      </w:r>
    </w:p>
    <w:p w14:paraId="3C289718" w14:textId="6D429E6A" w:rsidR="00511DA2" w:rsidRPr="00CA1473" w:rsidRDefault="00511DA2" w:rsidP="00295728">
      <w:pPr>
        <w:pStyle w:val="Heading3"/>
        <w:numPr>
          <w:ilvl w:val="2"/>
          <w:numId w:val="16"/>
        </w:numPr>
        <w:ind w:left="1276" w:firstLine="0"/>
        <w:rPr>
          <w:sz w:val="20"/>
          <w:szCs w:val="20"/>
          <w:lang w:val="en-GB"/>
        </w:rPr>
      </w:pPr>
      <w:r>
        <w:rPr>
          <w:sz w:val="20"/>
          <w:szCs w:val="20"/>
          <w:lang w:val="en-GB"/>
        </w:rPr>
        <w:t>At the 97th meeting, the Executive Committee noted the consolidated progress report of the Multilateral Fund as at 31 December 2024.</w:t>
      </w:r>
      <w:r>
        <w:rPr>
          <w:sz w:val="20"/>
          <w:szCs w:val="20"/>
          <w:vertAlign w:val="superscript"/>
          <w:lang w:val="en-GB"/>
        </w:rPr>
        <w:footnoteReference w:id="44"/>
      </w:r>
      <w:r>
        <w:rPr>
          <w:sz w:val="20"/>
          <w:szCs w:val="20"/>
          <w:lang w:val="en-GB"/>
        </w:rPr>
        <w:t xml:space="preserve"> It also noted the progress reports, as at 31 December 2024, of the bilateral agencies</w:t>
      </w:r>
      <w:r>
        <w:rPr>
          <w:sz w:val="20"/>
          <w:szCs w:val="20"/>
          <w:vertAlign w:val="superscript"/>
          <w:lang w:val="en-GB"/>
        </w:rPr>
        <w:footnoteReference w:id="45"/>
      </w:r>
      <w:r>
        <w:rPr>
          <w:sz w:val="20"/>
          <w:szCs w:val="20"/>
          <w:lang w:val="en-GB"/>
        </w:rPr>
        <w:t xml:space="preserve"> (the Governments of Australia, Austria, France, Germany, Italy, Japan, Spain, and the United Kingdom of Great Britain and Northern Ireland), UNDP,</w:t>
      </w:r>
      <w:r>
        <w:rPr>
          <w:sz w:val="20"/>
          <w:szCs w:val="20"/>
          <w:vertAlign w:val="superscript"/>
          <w:lang w:val="en-GB"/>
        </w:rPr>
        <w:footnoteReference w:id="46"/>
      </w:r>
      <w:r>
        <w:rPr>
          <w:sz w:val="20"/>
          <w:szCs w:val="20"/>
          <w:lang w:val="en-GB"/>
        </w:rPr>
        <w:t xml:space="preserve"> UNEP,</w:t>
      </w:r>
      <w:r>
        <w:rPr>
          <w:sz w:val="20"/>
          <w:szCs w:val="20"/>
          <w:vertAlign w:val="superscript"/>
          <w:lang w:val="en-GB"/>
        </w:rPr>
        <w:footnoteReference w:id="47"/>
      </w:r>
      <w:r>
        <w:rPr>
          <w:sz w:val="20"/>
          <w:szCs w:val="20"/>
          <w:lang w:val="en-GB"/>
        </w:rPr>
        <w:t xml:space="preserve"> UNIDO</w:t>
      </w:r>
      <w:r>
        <w:rPr>
          <w:sz w:val="20"/>
          <w:szCs w:val="20"/>
          <w:vertAlign w:val="superscript"/>
          <w:lang w:val="en-GB"/>
        </w:rPr>
        <w:footnoteReference w:id="48"/>
      </w:r>
      <w:r>
        <w:rPr>
          <w:sz w:val="20"/>
          <w:szCs w:val="20"/>
          <w:lang w:val="en-GB"/>
        </w:rPr>
        <w:t xml:space="preserve"> and the World Bank.</w:t>
      </w:r>
      <w:r>
        <w:rPr>
          <w:sz w:val="20"/>
          <w:szCs w:val="20"/>
          <w:vertAlign w:val="superscript"/>
          <w:lang w:val="en-GB"/>
        </w:rPr>
        <w:footnoteReference w:id="49"/>
      </w:r>
      <w:r>
        <w:rPr>
          <w:sz w:val="20"/>
          <w:szCs w:val="20"/>
          <w:lang w:val="en-GB"/>
        </w:rPr>
        <w:t xml:space="preserve"> For all the progress reports, the Committee approved the recommendations related to ongoing projects with specific issues that were contained in relevant annexes to the report of the meeting.</w:t>
      </w:r>
      <w:r>
        <w:rPr>
          <w:sz w:val="20"/>
          <w:szCs w:val="20"/>
          <w:vertAlign w:val="superscript"/>
          <w:lang w:val="en-GB"/>
        </w:rPr>
        <w:footnoteReference w:id="50"/>
      </w:r>
      <w:r>
        <w:rPr>
          <w:sz w:val="20"/>
          <w:szCs w:val="20"/>
          <w:lang w:val="en-GB"/>
        </w:rPr>
        <w:t xml:space="preserve"> It also took a number of other actions, such as the extension of the completion dates of the preparation of a national inventory of banks of waste controlled substances and development of national plan for the management of those substances for 40 countries and of six other projects, including tranches of HPMPs for four countries. The Executive Committee also </w:t>
      </w:r>
      <w:r>
        <w:rPr>
          <w:sz w:val="20"/>
          <w:szCs w:val="20"/>
        </w:rPr>
        <w:t xml:space="preserve">requested the Fund </w:t>
      </w:r>
      <w:r>
        <w:rPr>
          <w:sz w:val="20"/>
          <w:szCs w:val="20"/>
          <w:lang w:val="en-GB"/>
        </w:rPr>
        <w:t>Secretariat to send a letter to one country and the relevant implementing agency, regarding possible cancellation of the country’s HPMP (decisions 97/9 to 97/14).</w:t>
      </w:r>
    </w:p>
    <w:p w14:paraId="7C3954F9" w14:textId="29E56422" w:rsidR="00511DA2" w:rsidRPr="00CA1473" w:rsidRDefault="00511DA2" w:rsidP="00511DA2">
      <w:pPr>
        <w:pStyle w:val="Heading3"/>
        <w:numPr>
          <w:ilvl w:val="0"/>
          <w:numId w:val="0"/>
        </w:numPr>
        <w:ind w:firstLine="624"/>
        <w:jc w:val="left"/>
        <w:rPr>
          <w:b/>
          <w:sz w:val="20"/>
          <w:szCs w:val="20"/>
          <w:lang w:val="en-GB"/>
        </w:rPr>
      </w:pPr>
      <w:r>
        <w:rPr>
          <w:b/>
          <w:sz w:val="20"/>
          <w:szCs w:val="20"/>
          <w:lang w:val="en-GB"/>
        </w:rPr>
        <w:t>(d)</w:t>
      </w:r>
      <w:r>
        <w:rPr>
          <w:b/>
          <w:sz w:val="20"/>
          <w:szCs w:val="20"/>
          <w:lang w:val="en-GB"/>
        </w:rPr>
        <w:tab/>
        <w:t>Status reports and reports on projects with specific reporting requirements</w:t>
      </w:r>
    </w:p>
    <w:p w14:paraId="75804276" w14:textId="77777777" w:rsidR="000F0039" w:rsidRPr="00CC698C" w:rsidRDefault="00511DA2" w:rsidP="00295728">
      <w:pPr>
        <w:pStyle w:val="Heading3"/>
        <w:numPr>
          <w:ilvl w:val="2"/>
          <w:numId w:val="16"/>
        </w:numPr>
        <w:ind w:left="1276" w:firstLine="0"/>
        <w:rPr>
          <w:sz w:val="20"/>
          <w:szCs w:val="20"/>
          <w:lang w:val="en-GB"/>
        </w:rPr>
      </w:pPr>
      <w:r>
        <w:rPr>
          <w:sz w:val="20"/>
          <w:szCs w:val="20"/>
          <w:lang w:val="en-GB"/>
        </w:rPr>
        <w:t>At the 97th meeting</w:t>
      </w:r>
      <w:r>
        <w:rPr>
          <w:sz w:val="20"/>
          <w:szCs w:val="20"/>
          <w:vertAlign w:val="superscript"/>
          <w:lang w:val="en-GB"/>
        </w:rPr>
        <w:footnoteReference w:id="51"/>
      </w:r>
      <w:r>
        <w:rPr>
          <w:sz w:val="20"/>
          <w:szCs w:val="20"/>
          <w:lang w:val="en-GB"/>
        </w:rPr>
        <w:t xml:space="preserve"> and 98th meeting,</w:t>
      </w:r>
      <w:r>
        <w:rPr>
          <w:rStyle w:val="FootnoteReference"/>
          <w:sz w:val="20"/>
          <w:szCs w:val="20"/>
          <w:lang w:val="en-GB"/>
        </w:rPr>
        <w:footnoteReference w:id="52"/>
      </w:r>
      <w:r>
        <w:rPr>
          <w:sz w:val="20"/>
          <w:szCs w:val="20"/>
          <w:lang w:val="en-GB"/>
        </w:rPr>
        <w:t xml:space="preserve"> the Executive Committee considered documents containing status reports on projects with specific reporting requirements. </w:t>
      </w:r>
    </w:p>
    <w:p w14:paraId="1E2D92C9" w14:textId="664FE970" w:rsidR="001335E3" w:rsidRPr="00865043" w:rsidRDefault="00511DA2" w:rsidP="00C57BCB">
      <w:pPr>
        <w:pStyle w:val="Heading3"/>
        <w:numPr>
          <w:ilvl w:val="2"/>
          <w:numId w:val="16"/>
        </w:numPr>
        <w:ind w:left="1276" w:firstLine="0"/>
        <w:rPr>
          <w:sz w:val="20"/>
          <w:szCs w:val="20"/>
          <w:lang w:val="en-GB"/>
        </w:rPr>
      </w:pPr>
      <w:r>
        <w:rPr>
          <w:sz w:val="20"/>
          <w:szCs w:val="20"/>
          <w:lang w:val="en-GB"/>
        </w:rPr>
        <w:t xml:space="preserve">Projects for which there were no outstanding policy, cost or other issues, at the 97th meeting, related to HPMPs for four countries; the draft Agreements between Governments and the Executive Committee for the reduction in consumption of HFCs in accordance with stage I of the KIPs for 14 countries; additional activities to maintain energy efficiency in the refrigeration sector, under decision 89/6, for one country; a request for a change of implementing agency for stage III of the HPMP and stage I of the KIP for one country; and a request for cancellation of ongoing projects in one country. At the 98th meeting, the reports related to </w:t>
      </w:r>
      <w:r>
        <w:rPr>
          <w:sz w:val="20"/>
          <w:szCs w:val="20"/>
          <w:lang w:val="en-US"/>
        </w:rPr>
        <w:t xml:space="preserve">projects with implementation delays and for which special status reports were requested; </w:t>
      </w:r>
      <w:r>
        <w:rPr>
          <w:sz w:val="20"/>
          <w:szCs w:val="20"/>
          <w:lang w:val="en-GB"/>
        </w:rPr>
        <w:t xml:space="preserve">HPMPs for seven countries; the draft Agreements between Governments and the Executive Committee for the reduction in consumption of HFCs in accordance with stage I of the KIPs for 34 countries; additional activities to maintain energy efficiency in the refrigeration sector, under decision 89/6, for one country; </w:t>
      </w:r>
      <w:r w:rsidR="005C65A9">
        <w:rPr>
          <w:sz w:val="20"/>
          <w:szCs w:val="20"/>
          <w:lang w:val="en-GB"/>
        </w:rPr>
        <w:t>pilo</w:t>
      </w:r>
      <w:r w:rsidR="00233A88">
        <w:rPr>
          <w:sz w:val="20"/>
          <w:szCs w:val="20"/>
          <w:lang w:val="en-GB"/>
        </w:rPr>
        <w:t xml:space="preserve">t project to maintain and/or enhance the energy efficiency of replacement technologies </w:t>
      </w:r>
      <w:r w:rsidR="0039742D">
        <w:rPr>
          <w:sz w:val="20"/>
          <w:szCs w:val="20"/>
          <w:lang w:val="en-GB"/>
        </w:rPr>
        <w:t>and equipment in the context of HFC phase-down, under decision 91/65</w:t>
      </w:r>
      <w:r w:rsidR="000904BE">
        <w:rPr>
          <w:sz w:val="20"/>
          <w:szCs w:val="20"/>
          <w:lang w:val="en-GB"/>
        </w:rPr>
        <w:t>, for one country,</w:t>
      </w:r>
      <w:r w:rsidR="0039742D">
        <w:rPr>
          <w:sz w:val="20"/>
          <w:szCs w:val="20"/>
          <w:lang w:val="en-GB"/>
        </w:rPr>
        <w:t xml:space="preserve"> </w:t>
      </w:r>
      <w:r>
        <w:rPr>
          <w:sz w:val="20"/>
          <w:szCs w:val="20"/>
        </w:rPr>
        <w:t>project preparation for enhancing energy efficiency in the context of HFC phase-down in the refrigeration and air-conditioning manufacturing sector, under decision 94/60, for one country; and preparation of a national inventory of banks of used or unwanted controlled substances and a plan for the collection, transport, and disposal of such substances, under decision 91/66, for one country.</w:t>
      </w:r>
    </w:p>
    <w:p w14:paraId="3E7DCBD1" w14:textId="1A1BF072" w:rsidR="00511DA2" w:rsidRPr="00865043" w:rsidRDefault="001335E3" w:rsidP="00C57BCB">
      <w:pPr>
        <w:pStyle w:val="Heading3"/>
        <w:numPr>
          <w:ilvl w:val="2"/>
          <w:numId w:val="16"/>
        </w:numPr>
        <w:ind w:left="1276" w:firstLine="0"/>
        <w:rPr>
          <w:sz w:val="20"/>
          <w:szCs w:val="20"/>
          <w:lang w:val="en-GB"/>
        </w:rPr>
      </w:pPr>
      <w:r>
        <w:rPr>
          <w:sz w:val="20"/>
          <w:szCs w:val="20"/>
        </w:rPr>
        <w:t>T</w:t>
      </w:r>
      <w:r>
        <w:rPr>
          <w:sz w:val="20"/>
          <w:szCs w:val="20"/>
          <w:lang w:val="en-GB"/>
        </w:rPr>
        <w:t xml:space="preserve">he Committee took note of the reports and information provided and agreed on a number of actions that included, at the 97th meeting, approval of 14 Agreements for stage I of KIPs that had been approved at the 92nd to the 95th meetings, the transfer of implementation of all activities in stage III of an HPMP and stage I of a KIP for one country, from one agency to another, along with the transfer of the related funding, and cancellation of all ongoing projects in one country. At the 98th meeting, such actions included </w:t>
      </w:r>
      <w:r>
        <w:rPr>
          <w:sz w:val="20"/>
          <w:szCs w:val="20"/>
        </w:rPr>
        <w:t>the cancellation of all ongoing projects in one country</w:t>
      </w:r>
      <w:r>
        <w:rPr>
          <w:sz w:val="20"/>
          <w:szCs w:val="20"/>
          <w:lang w:val="en-GB"/>
        </w:rPr>
        <w:t xml:space="preserve">; the extension </w:t>
      </w:r>
      <w:r>
        <w:rPr>
          <w:sz w:val="20"/>
          <w:szCs w:val="20"/>
        </w:rPr>
        <w:t>to 31 December 2027 of the completion date of the HPMPs for two countries, the extension to 31 December 2026 of a pilot project to maintain and/or enhance the energy efficiency of replacement technologies and equipment in the context of HFC phase-down in one country and the extension to 30 June 2027 of the preparation, in one country, of a national inventory of banks of waste controlled substances and development of a national plan for management of those substances; and approval of 34 Agreements for stage I of KIPs approved between the 92nd and 95th meetings,</w:t>
      </w:r>
      <w:r>
        <w:rPr>
          <w:rStyle w:val="FootnoteReference"/>
          <w:sz w:val="20"/>
          <w:szCs w:val="20"/>
        </w:rPr>
        <w:footnoteReference w:id="53"/>
      </w:r>
      <w:r>
        <w:rPr>
          <w:sz w:val="20"/>
          <w:szCs w:val="20"/>
          <w:lang w:val="en-GB"/>
        </w:rPr>
        <w:t xml:space="preserve"> The Executive Committee also requested other actions from countries and implementing agencies (decisions 97/15 to 97/19 and 98/4 to 98/16). </w:t>
      </w:r>
    </w:p>
    <w:p w14:paraId="7B00F866" w14:textId="77777777" w:rsidR="00511DA2" w:rsidRPr="00CA1473" w:rsidRDefault="00511DA2" w:rsidP="00C57BCB">
      <w:pPr>
        <w:pStyle w:val="Heading3"/>
        <w:numPr>
          <w:ilvl w:val="2"/>
          <w:numId w:val="16"/>
        </w:numPr>
        <w:ind w:left="1276" w:firstLine="0"/>
        <w:rPr>
          <w:sz w:val="20"/>
          <w:szCs w:val="20"/>
          <w:lang w:val="en-GB"/>
        </w:rPr>
      </w:pPr>
      <w:r>
        <w:rPr>
          <w:sz w:val="20"/>
          <w:szCs w:val="20"/>
          <w:lang w:val="en-GB"/>
        </w:rPr>
        <w:t xml:space="preserve">At the 97th meeting, the HPMPs for the Islamic Republic of Iran, Pakistan and Qatar were considered individually. Noting the reports (decisions 97/20 to 97/22), the Executive Committee approved, on an exceptional basis, the extension of the duration of stage II of the HPMP for the Islamic Republic of Iran (decision 97/20) and the reallocation of funding balances from one activity to other activities of stage III of the HPMP for Pakistan (decision 97/21). </w:t>
      </w:r>
    </w:p>
    <w:p w14:paraId="4460B10B" w14:textId="64760642" w:rsidR="00865043" w:rsidRPr="00865043" w:rsidRDefault="00511DA2" w:rsidP="00C57BCB">
      <w:pPr>
        <w:pStyle w:val="Heading3"/>
        <w:numPr>
          <w:ilvl w:val="2"/>
          <w:numId w:val="16"/>
        </w:numPr>
        <w:ind w:left="1276" w:firstLine="0"/>
        <w:rPr>
          <w:sz w:val="20"/>
          <w:szCs w:val="20"/>
          <w:lang w:val="en-GB"/>
        </w:rPr>
      </w:pPr>
      <w:r>
        <w:rPr>
          <w:sz w:val="20"/>
          <w:szCs w:val="20"/>
          <w:lang w:val="en-GB"/>
        </w:rPr>
        <w:t>At the 98th meeting, there were no reports on projects with specific reporting requirements with outstanding issues for individual consideration.</w:t>
      </w:r>
    </w:p>
    <w:p w14:paraId="30BDB929" w14:textId="77777777" w:rsidR="003E5C5A" w:rsidRPr="00E82C53" w:rsidRDefault="003E5C5A" w:rsidP="003E5C5A">
      <w:pPr>
        <w:pStyle w:val="Heading3"/>
        <w:numPr>
          <w:ilvl w:val="0"/>
          <w:numId w:val="0"/>
        </w:numPr>
        <w:ind w:firstLine="624"/>
        <w:jc w:val="left"/>
        <w:rPr>
          <w:b/>
          <w:sz w:val="20"/>
          <w:szCs w:val="20"/>
          <w:lang w:val="en-GB"/>
        </w:rPr>
      </w:pPr>
      <w:r>
        <w:rPr>
          <w:b/>
          <w:sz w:val="20"/>
          <w:szCs w:val="20"/>
          <w:lang w:val="en-GB"/>
        </w:rPr>
        <w:t>(e)</w:t>
      </w:r>
      <w:r>
        <w:rPr>
          <w:b/>
          <w:sz w:val="20"/>
          <w:szCs w:val="20"/>
          <w:lang w:val="en-GB"/>
        </w:rPr>
        <w:tab/>
        <w:t>Consolidated project completion reports</w:t>
      </w:r>
    </w:p>
    <w:p w14:paraId="7618E65B" w14:textId="23E04AC5" w:rsidR="00865043" w:rsidRPr="00847B2C" w:rsidRDefault="00865043" w:rsidP="00C57BCB">
      <w:pPr>
        <w:pStyle w:val="Heading3"/>
        <w:numPr>
          <w:ilvl w:val="2"/>
          <w:numId w:val="16"/>
        </w:numPr>
        <w:ind w:left="1276" w:firstLine="0"/>
        <w:rPr>
          <w:b/>
          <w:sz w:val="20"/>
          <w:szCs w:val="20"/>
        </w:rPr>
      </w:pPr>
      <w:r>
        <w:rPr>
          <w:sz w:val="20"/>
          <w:szCs w:val="20"/>
          <w:lang w:val="en-GB"/>
        </w:rPr>
        <w:t xml:space="preserve">At the 98th meeting, the Executive Committee considered the </w:t>
      </w:r>
      <w:r>
        <w:rPr>
          <w:sz w:val="20"/>
          <w:szCs w:val="20"/>
        </w:rPr>
        <w:t>2026 consolidated project completion report (PCR).</w:t>
      </w:r>
      <w:r>
        <w:rPr>
          <w:rStyle w:val="FootnoteReference"/>
          <w:sz w:val="20"/>
          <w:szCs w:val="20"/>
        </w:rPr>
        <w:footnoteReference w:id="54"/>
      </w:r>
      <w:r>
        <w:rPr>
          <w:sz w:val="20"/>
          <w:szCs w:val="20"/>
        </w:rPr>
        <w:t xml:space="preserve"> It requested bilateral and implementing agencies to submit at the 99th meeting, for consideration by the Executive Committee at the 100th meeting, outstanding PCRs for MYAs and individual projects or to provide reasons for failing to do so. Lead and cooperating implementing agencies were requested to continue coordinating their work closely in finalizing their respective portions of PCRs to facilitate the timely submission of the reports by the lead implementing agency. B</w:t>
      </w:r>
      <w:bookmarkStart w:id="2" w:name="_Hlk134511359"/>
      <w:r>
        <w:rPr>
          <w:sz w:val="20"/>
          <w:szCs w:val="20"/>
        </w:rPr>
        <w:t>ilateral and implementing agencies, were requested, when filling in the data for PCR submissions, to ensure the inclusion of relevant and useful information and to report on lessons learned and reasons for delays in project implementation for their use in future improvements in project design and implementation. Al</w:t>
      </w:r>
      <w:bookmarkEnd w:id="2"/>
      <w:r>
        <w:rPr>
          <w:sz w:val="20"/>
          <w:szCs w:val="20"/>
        </w:rPr>
        <w:t>l those involved in the preparation and implementation of MYAs and individual projects, in particular the Fund Secretariat and the bilateral and implementing agencies, were invited to take into consideration the lessons learned from PCRs, where applicable (decision 98/17).</w:t>
      </w:r>
    </w:p>
    <w:p w14:paraId="24EA6B95" w14:textId="3C4F5777" w:rsidR="00E41EC7" w:rsidRPr="00847B2C" w:rsidRDefault="009C038C" w:rsidP="00E41EC7">
      <w:pPr>
        <w:pStyle w:val="Heading2"/>
        <w:keepNext/>
        <w:widowControl/>
        <w:numPr>
          <w:ilvl w:val="0"/>
          <w:numId w:val="0"/>
        </w:numPr>
        <w:ind w:firstLine="624"/>
        <w:rPr>
          <w:b/>
          <w:bCs/>
          <w:sz w:val="24"/>
          <w:szCs w:val="24"/>
        </w:rPr>
      </w:pPr>
      <w:r>
        <w:rPr>
          <w:b/>
          <w:bCs/>
          <w:sz w:val="24"/>
          <w:szCs w:val="24"/>
        </w:rPr>
        <w:t>D.</w:t>
      </w:r>
      <w:r>
        <w:rPr>
          <w:b/>
          <w:bCs/>
          <w:sz w:val="24"/>
          <w:szCs w:val="24"/>
        </w:rPr>
        <w:tab/>
        <w:t>Evaluation</w:t>
      </w:r>
    </w:p>
    <w:p w14:paraId="4E926E4A" w14:textId="77777777" w:rsidR="00CA1473" w:rsidRPr="00847B2C" w:rsidRDefault="00CA1473" w:rsidP="00CA1473">
      <w:pPr>
        <w:pStyle w:val="Heading3"/>
        <w:numPr>
          <w:ilvl w:val="0"/>
          <w:numId w:val="0"/>
        </w:numPr>
        <w:ind w:firstLine="624"/>
        <w:jc w:val="left"/>
        <w:rPr>
          <w:b/>
          <w:bCs/>
          <w:sz w:val="20"/>
          <w:szCs w:val="20"/>
          <w:lang w:val="en-GB"/>
        </w:rPr>
      </w:pPr>
      <w:r>
        <w:rPr>
          <w:b/>
          <w:bCs/>
          <w:sz w:val="20"/>
          <w:szCs w:val="20"/>
          <w:lang w:val="en-GB"/>
        </w:rPr>
        <w:t>(a</w:t>
      </w:r>
      <w:r>
        <w:rPr>
          <w:b/>
          <w:lang w:val="en-GB"/>
        </w:rPr>
        <w:t>)</w:t>
      </w:r>
      <w:r>
        <w:rPr>
          <w:b/>
          <w:lang w:val="en-GB"/>
        </w:rPr>
        <w:tab/>
      </w:r>
      <w:r>
        <w:rPr>
          <w:b/>
          <w:sz w:val="20"/>
          <w:szCs w:val="20"/>
          <w:lang w:val="en-GB"/>
        </w:rPr>
        <w:t>Performance of implementing agencies</w:t>
      </w:r>
    </w:p>
    <w:p w14:paraId="629DDE2E" w14:textId="77777777" w:rsidR="00CA1473" w:rsidRPr="00CA1473" w:rsidRDefault="00CA1473" w:rsidP="00C57BCB">
      <w:pPr>
        <w:pStyle w:val="Heading3"/>
        <w:numPr>
          <w:ilvl w:val="2"/>
          <w:numId w:val="16"/>
        </w:numPr>
        <w:ind w:left="1276" w:firstLine="0"/>
        <w:rPr>
          <w:bCs/>
          <w:sz w:val="20"/>
          <w:szCs w:val="20"/>
          <w:lang w:val="en-GB"/>
        </w:rPr>
      </w:pPr>
      <w:r>
        <w:rPr>
          <w:bCs/>
          <w:sz w:val="20"/>
          <w:szCs w:val="20"/>
        </w:rPr>
        <w:t>At</w:t>
      </w:r>
      <w:r>
        <w:rPr>
          <w:bCs/>
          <w:sz w:val="20"/>
          <w:szCs w:val="20"/>
          <w:lang w:val="en-GB"/>
        </w:rPr>
        <w:t xml:space="preserve"> the 97th meeting, the Executive Committee noted the evaluation of the performance of implementing agencies against their 2024 business plans.</w:t>
      </w:r>
      <w:r>
        <w:rPr>
          <w:bCs/>
          <w:sz w:val="20"/>
          <w:szCs w:val="20"/>
          <w:vertAlign w:val="superscript"/>
          <w:lang w:val="en-GB"/>
        </w:rPr>
        <w:footnoteReference w:id="55"/>
      </w:r>
      <w:r>
        <w:rPr>
          <w:bCs/>
          <w:sz w:val="20"/>
          <w:szCs w:val="20"/>
          <w:lang w:val="en-GB"/>
        </w:rPr>
        <w:t xml:space="preserve"> All implementing agencies had a quantitative assessment of their performance for 2024 of at least 84 on a scale of 100, and the quantitative performance of UNDP and UNEP in 2024 had improved compared with 2023. </w:t>
      </w:r>
      <w:bookmarkStart w:id="3" w:name="_Hlk162872086"/>
      <w:r>
        <w:rPr>
          <w:bCs/>
          <w:sz w:val="20"/>
          <w:szCs w:val="20"/>
          <w:lang w:val="en-GB"/>
        </w:rPr>
        <w:t xml:space="preserve">Trend analysis indicated, however, that, in 2024, for some indicators, the performance of implementing agencies had not improved compared with 2023. The Committee noted, with appreciation, </w:t>
      </w:r>
      <w:bookmarkEnd w:id="3"/>
      <w:r>
        <w:rPr>
          <w:bCs/>
          <w:sz w:val="20"/>
          <w:szCs w:val="20"/>
          <w:lang w:val="en-GB"/>
        </w:rPr>
        <w:t>the efforts undertaken by bilateral and implementing agencies to have open and constructive discussions with the respective national ozone units about the areas in which their services were perceived to be less than satisfactory and that the outcome of their consultations with the national ozone units concerned had been satisfactory. The Executive Committee encouraged national ozone units to submit, on a yearly basis and in a timely manner, their assessments of the qualitative performance of the bilateral and implementing agencies in assisting their governments (decision 97/7).</w:t>
      </w:r>
    </w:p>
    <w:p w14:paraId="5D61679F" w14:textId="77777777" w:rsidR="00CA1473" w:rsidRPr="00CA1473" w:rsidRDefault="00CA1473" w:rsidP="00CA1473">
      <w:pPr>
        <w:pStyle w:val="Heading3"/>
        <w:numPr>
          <w:ilvl w:val="0"/>
          <w:numId w:val="0"/>
        </w:numPr>
        <w:ind w:left="1248" w:hanging="624"/>
        <w:jc w:val="left"/>
        <w:rPr>
          <w:b/>
          <w:sz w:val="20"/>
          <w:szCs w:val="20"/>
        </w:rPr>
      </w:pPr>
      <w:r>
        <w:rPr>
          <w:b/>
          <w:sz w:val="20"/>
          <w:szCs w:val="20"/>
        </w:rPr>
        <w:t>(b)</w:t>
      </w:r>
      <w:r>
        <w:rPr>
          <w:b/>
          <w:sz w:val="20"/>
          <w:szCs w:val="20"/>
        </w:rPr>
        <w:tab/>
        <w:t>Annual report on the implementation of the monitoring and evaluation work programme for 2025 and the evaluation work programme for 2026</w:t>
      </w:r>
    </w:p>
    <w:p w14:paraId="7CD12197" w14:textId="77777777" w:rsidR="00CA1473" w:rsidRPr="0040579D" w:rsidRDefault="00CA1473" w:rsidP="00C57BCB">
      <w:pPr>
        <w:pStyle w:val="Heading3"/>
        <w:numPr>
          <w:ilvl w:val="2"/>
          <w:numId w:val="16"/>
        </w:numPr>
        <w:ind w:left="1276" w:firstLine="0"/>
        <w:rPr>
          <w:b/>
          <w:bCs/>
          <w:sz w:val="20"/>
          <w:szCs w:val="20"/>
          <w:lang w:val="en-GB" w:bidi="hi-IN"/>
        </w:rPr>
      </w:pPr>
      <w:r>
        <w:rPr>
          <w:sz w:val="20"/>
          <w:szCs w:val="20"/>
          <w:lang w:val="en-GB"/>
        </w:rPr>
        <w:t>At the 97th meeting, the Executive Committee considered the annual report on the implementation of the monitoring and evaluation work programme for 2025, including on the trial experience of a biennial cycle for the work programme and budget, and the evaluation work programme for 2026.</w:t>
      </w:r>
      <w:r>
        <w:rPr>
          <w:rStyle w:val="FootnoteReference"/>
          <w:sz w:val="20"/>
          <w:szCs w:val="20"/>
          <w:lang w:val="en-GB"/>
        </w:rPr>
        <w:footnoteReference w:id="56"/>
      </w:r>
      <w:r>
        <w:rPr>
          <w:sz w:val="20"/>
          <w:szCs w:val="20"/>
          <w:lang w:val="en-GB"/>
        </w:rPr>
        <w:t xml:space="preserve"> It approved the evaluation work programme for 2026 </w:t>
      </w:r>
      <w:r>
        <w:rPr>
          <w:color w:val="000000" w:themeColor="text1"/>
          <w:sz w:val="20"/>
          <w:szCs w:val="20"/>
          <w:lang w:val="en-GB"/>
        </w:rPr>
        <w:t>annexed to the report of that meeting</w:t>
      </w:r>
      <w:r>
        <w:rPr>
          <w:sz w:val="20"/>
          <w:szCs w:val="20"/>
          <w:lang w:val="en-GB"/>
        </w:rPr>
        <w:t>,</w:t>
      </w:r>
      <w:r>
        <w:rPr>
          <w:rStyle w:val="FootnoteReference"/>
          <w:sz w:val="20"/>
          <w:szCs w:val="20"/>
          <w:lang w:val="en-GB"/>
        </w:rPr>
        <w:footnoteReference w:id="57"/>
      </w:r>
      <w:r>
        <w:rPr>
          <w:sz w:val="20"/>
          <w:szCs w:val="20"/>
          <w:lang w:val="en-GB"/>
        </w:rPr>
        <w:t xml:space="preserve"> noting that the provisional remaining balance of the 2025 budget amounting to US $131,759 would be carried forward to the related evaluation budget for the year 2026 (decision</w:t>
      </w:r>
      <w:r>
        <w:rPr>
          <w:sz w:val="20"/>
          <w:szCs w:val="20"/>
          <w:lang w:val="en-GB" w:bidi="hi-IN"/>
        </w:rPr>
        <w:t> 97/8).</w:t>
      </w:r>
    </w:p>
    <w:p w14:paraId="101A40E1" w14:textId="4C1AAE71" w:rsidR="001D4217" w:rsidRPr="0040579D" w:rsidRDefault="00182CF0" w:rsidP="00244D65">
      <w:pPr>
        <w:pStyle w:val="Heading2"/>
        <w:keepNext/>
        <w:widowControl/>
        <w:numPr>
          <w:ilvl w:val="0"/>
          <w:numId w:val="0"/>
        </w:numPr>
        <w:ind w:firstLine="624"/>
        <w:jc w:val="left"/>
        <w:rPr>
          <w:b/>
          <w:bCs/>
          <w:sz w:val="24"/>
          <w:szCs w:val="24"/>
        </w:rPr>
      </w:pPr>
      <w:r>
        <w:rPr>
          <w:b/>
          <w:bCs/>
          <w:sz w:val="24"/>
          <w:szCs w:val="24"/>
        </w:rPr>
        <w:t>E.</w:t>
      </w:r>
      <w:r>
        <w:rPr>
          <w:b/>
          <w:bCs/>
          <w:sz w:val="24"/>
          <w:szCs w:val="24"/>
        </w:rPr>
        <w:tab/>
        <w:t>Business planning and financial matters</w:t>
      </w:r>
    </w:p>
    <w:p w14:paraId="5A37B5DA" w14:textId="77777777" w:rsidR="001D4217" w:rsidRPr="0040579D" w:rsidRDefault="001D4217" w:rsidP="00CA1473">
      <w:pPr>
        <w:pStyle w:val="Heading3"/>
        <w:numPr>
          <w:ilvl w:val="0"/>
          <w:numId w:val="0"/>
        </w:numPr>
        <w:ind w:left="1248" w:hanging="624"/>
        <w:jc w:val="left"/>
        <w:rPr>
          <w:b/>
          <w:sz w:val="20"/>
          <w:szCs w:val="20"/>
          <w:lang w:val="en-GB"/>
        </w:rPr>
      </w:pPr>
      <w:r>
        <w:rPr>
          <w:b/>
          <w:bCs/>
          <w:sz w:val="20"/>
          <w:szCs w:val="20"/>
          <w:lang w:val="en-GB"/>
        </w:rPr>
        <w:t>1.</w:t>
      </w:r>
      <w:r>
        <w:rPr>
          <w:b/>
          <w:bCs/>
          <w:sz w:val="20"/>
          <w:szCs w:val="20"/>
          <w:lang w:val="en-GB"/>
        </w:rPr>
        <w:tab/>
      </w:r>
      <w:r>
        <w:rPr>
          <w:b/>
        </w:rPr>
        <w:t>Business</w:t>
      </w:r>
      <w:r>
        <w:rPr>
          <w:b/>
          <w:bCs/>
          <w:sz w:val="20"/>
          <w:szCs w:val="20"/>
          <w:lang w:val="en-GB"/>
        </w:rPr>
        <w:t xml:space="preserve"> planning</w:t>
      </w:r>
    </w:p>
    <w:p w14:paraId="136F2C1F" w14:textId="77777777" w:rsidR="00CA1473" w:rsidRPr="00CA1473" w:rsidRDefault="00CA1473" w:rsidP="00C57BCB">
      <w:pPr>
        <w:pStyle w:val="Heading3"/>
        <w:numPr>
          <w:ilvl w:val="2"/>
          <w:numId w:val="16"/>
        </w:numPr>
        <w:ind w:left="1276" w:firstLine="0"/>
        <w:rPr>
          <w:sz w:val="20"/>
          <w:szCs w:val="20"/>
          <w:lang w:val="en-GB"/>
        </w:rPr>
      </w:pPr>
      <w:r>
        <w:rPr>
          <w:sz w:val="20"/>
          <w:szCs w:val="20"/>
          <w:lang w:val="en-GB"/>
        </w:rPr>
        <w:t>At the 97th meeting, the Executive Committee considered an update on the status of implementation of the consolidated business plan of the Multilateral Fund for 2025–2027,</w:t>
      </w:r>
      <w:r>
        <w:rPr>
          <w:sz w:val="20"/>
          <w:szCs w:val="20"/>
          <w:vertAlign w:val="superscript"/>
          <w:lang w:val="en-GB"/>
        </w:rPr>
        <w:footnoteReference w:id="58"/>
      </w:r>
      <w:r>
        <w:rPr>
          <w:sz w:val="20"/>
          <w:szCs w:val="20"/>
          <w:lang w:val="en-GB"/>
        </w:rPr>
        <w:t xml:space="preserve"> noting the total value of the activities submitted to the 97th meeting (decision 97/23).</w:t>
      </w:r>
    </w:p>
    <w:p w14:paraId="2AFC51E4" w14:textId="4B644A33" w:rsidR="00CA1473" w:rsidRPr="00CA1473" w:rsidRDefault="00CA1473" w:rsidP="00C57BCB">
      <w:pPr>
        <w:pStyle w:val="Heading3"/>
        <w:numPr>
          <w:ilvl w:val="2"/>
          <w:numId w:val="16"/>
        </w:numPr>
        <w:ind w:left="1276" w:firstLine="0"/>
        <w:rPr>
          <w:bCs/>
          <w:sz w:val="20"/>
          <w:szCs w:val="20"/>
          <w:lang w:val="en-GB"/>
        </w:rPr>
      </w:pPr>
      <w:r>
        <w:rPr>
          <w:bCs/>
          <w:sz w:val="20"/>
          <w:szCs w:val="20"/>
          <w:lang w:val="en-GB"/>
        </w:rPr>
        <w:t>Also, at the 97th meeting, the Executive Committee considered the consolidated business plan of the Multilateral Fund for 2026–2028.</w:t>
      </w:r>
      <w:r>
        <w:rPr>
          <w:bCs/>
          <w:sz w:val="20"/>
          <w:szCs w:val="20"/>
          <w:vertAlign w:val="superscript"/>
          <w:lang w:val="en-GB"/>
        </w:rPr>
        <w:footnoteReference w:id="59"/>
      </w:r>
      <w:r>
        <w:rPr>
          <w:bCs/>
          <w:sz w:val="20"/>
          <w:szCs w:val="20"/>
          <w:lang w:val="en-GB"/>
        </w:rPr>
        <w:t xml:space="preserve"> After making a number of adjustments, it endorsed the consolidated business plan for 2026–2028, noting that endorsement did not denote approval of the projects identified therein or their funding or tonnage levels. The Committee also </w:t>
      </w:r>
      <w:r>
        <w:rPr>
          <w:sz w:val="20"/>
          <w:szCs w:val="20"/>
          <w:lang w:val="en-GB"/>
        </w:rPr>
        <w:t>requested the Fund Secretariat to prepare a brief document for consideration by the Executive Committee at its 99th meeting on updating the guidelines on project preparation for stage I of KIPs for use during preparation of stage II of KIPs</w:t>
      </w:r>
      <w:r>
        <w:rPr>
          <w:bCs/>
          <w:sz w:val="20"/>
          <w:szCs w:val="20"/>
          <w:lang w:val="en-GB"/>
        </w:rPr>
        <w:t xml:space="preserve"> (decision 97/24). The Executive Committee also considered the</w:t>
      </w:r>
      <w:r>
        <w:rPr>
          <w:bCs/>
          <w:sz w:val="20"/>
          <w:szCs w:val="20"/>
          <w:lang w:val="en-GB"/>
        </w:rPr>
        <w:br/>
        <w:t xml:space="preserve">2026–2028 business plans of the bilateral agencies (Governments of </w:t>
      </w:r>
      <w:r>
        <w:rPr>
          <w:sz w:val="20"/>
          <w:szCs w:val="20"/>
        </w:rPr>
        <w:t xml:space="preserve">Australia, </w:t>
      </w:r>
      <w:r>
        <w:rPr>
          <w:bCs/>
          <w:sz w:val="20"/>
          <w:szCs w:val="20"/>
          <w:lang w:val="en-GB"/>
        </w:rPr>
        <w:t>France, Germany, Italy and the United Kingdom of Great Britain and Northern Ireland),</w:t>
      </w:r>
      <w:r>
        <w:rPr>
          <w:bCs/>
          <w:sz w:val="20"/>
          <w:szCs w:val="20"/>
          <w:vertAlign w:val="superscript"/>
          <w:lang w:val="en-GB"/>
        </w:rPr>
        <w:footnoteReference w:id="60"/>
      </w:r>
      <w:r>
        <w:rPr>
          <w:bCs/>
          <w:sz w:val="20"/>
          <w:szCs w:val="20"/>
          <w:lang w:val="en-GB"/>
        </w:rPr>
        <w:t xml:space="preserve"> UNDP,</w:t>
      </w:r>
      <w:r>
        <w:rPr>
          <w:bCs/>
          <w:sz w:val="20"/>
          <w:szCs w:val="20"/>
          <w:vertAlign w:val="superscript"/>
          <w:lang w:val="en-GB"/>
        </w:rPr>
        <w:footnoteReference w:id="61"/>
      </w:r>
      <w:r>
        <w:rPr>
          <w:bCs/>
          <w:sz w:val="20"/>
          <w:szCs w:val="20"/>
          <w:lang w:val="en-GB"/>
        </w:rPr>
        <w:t xml:space="preserve"> UNEP,</w:t>
      </w:r>
      <w:r>
        <w:rPr>
          <w:bCs/>
          <w:sz w:val="20"/>
          <w:szCs w:val="20"/>
          <w:vertAlign w:val="superscript"/>
          <w:lang w:val="en-GB"/>
        </w:rPr>
        <w:footnoteReference w:id="62"/>
      </w:r>
      <w:r>
        <w:rPr>
          <w:bCs/>
          <w:sz w:val="20"/>
          <w:szCs w:val="20"/>
          <w:lang w:val="en-GB"/>
        </w:rPr>
        <w:t xml:space="preserve"> UNIDO</w:t>
      </w:r>
      <w:r>
        <w:rPr>
          <w:bCs/>
          <w:sz w:val="20"/>
          <w:szCs w:val="20"/>
          <w:vertAlign w:val="superscript"/>
          <w:lang w:val="en-GB"/>
        </w:rPr>
        <w:footnoteReference w:id="63"/>
      </w:r>
      <w:r>
        <w:rPr>
          <w:bCs/>
          <w:sz w:val="20"/>
          <w:szCs w:val="20"/>
          <w:lang w:val="en-GB"/>
        </w:rPr>
        <w:t xml:space="preserve"> and the World Bank.</w:t>
      </w:r>
      <w:r>
        <w:rPr>
          <w:bCs/>
          <w:sz w:val="20"/>
          <w:szCs w:val="20"/>
          <w:vertAlign w:val="superscript"/>
          <w:lang w:val="en-GB"/>
        </w:rPr>
        <w:footnoteReference w:id="64"/>
      </w:r>
      <w:r>
        <w:rPr>
          <w:bCs/>
          <w:sz w:val="20"/>
          <w:szCs w:val="20"/>
          <w:lang w:val="en-GB"/>
        </w:rPr>
        <w:t xml:space="preserve"> Noting the plans, it approved the performance indicators for UNDP, UNEP, UNIDO and the World Bank set out in the relevant annexes to the report of that meeting</w:t>
      </w:r>
      <w:r>
        <w:rPr>
          <w:bCs/>
          <w:sz w:val="20"/>
          <w:szCs w:val="20"/>
          <w:vertAlign w:val="superscript"/>
          <w:lang w:val="en-GB"/>
        </w:rPr>
        <w:footnoteReference w:id="65"/>
      </w:r>
      <w:r>
        <w:rPr>
          <w:bCs/>
          <w:sz w:val="20"/>
          <w:szCs w:val="20"/>
          <w:lang w:val="en-GB"/>
        </w:rPr>
        <w:t xml:space="preserve"> (decisions 97/25 to 97/29).</w:t>
      </w:r>
    </w:p>
    <w:p w14:paraId="6A714805" w14:textId="3956CB03" w:rsidR="0040579D" w:rsidRPr="0040579D" w:rsidRDefault="00CA1473" w:rsidP="00C57BCB">
      <w:pPr>
        <w:pStyle w:val="Heading3"/>
        <w:numPr>
          <w:ilvl w:val="2"/>
          <w:numId w:val="16"/>
        </w:numPr>
        <w:ind w:left="1276" w:firstLine="0"/>
        <w:rPr>
          <w:sz w:val="20"/>
          <w:szCs w:val="20"/>
          <w:lang w:val="en-GB"/>
        </w:rPr>
      </w:pPr>
      <w:r>
        <w:rPr>
          <w:sz w:val="20"/>
          <w:szCs w:val="20"/>
          <w:lang w:val="en-GB"/>
        </w:rPr>
        <w:t xml:space="preserve">At the 98th meeting, the Executive Committee considered an </w:t>
      </w:r>
      <w:r>
        <w:rPr>
          <w:sz w:val="20"/>
          <w:szCs w:val="20"/>
        </w:rPr>
        <w:t>update on the status of implementation of the 2026–2028 consolidated business plan,</w:t>
      </w:r>
      <w:r>
        <w:rPr>
          <w:rStyle w:val="FootnoteReference"/>
          <w:sz w:val="20"/>
          <w:szCs w:val="20"/>
        </w:rPr>
        <w:footnoteReference w:id="66"/>
      </w:r>
      <w:r>
        <w:rPr>
          <w:sz w:val="20"/>
          <w:szCs w:val="20"/>
        </w:rPr>
        <w:t xml:space="preserve"> </w:t>
      </w:r>
      <w:r>
        <w:rPr>
          <w:sz w:val="20"/>
          <w:szCs w:val="20"/>
          <w:lang w:val="en-GB"/>
        </w:rPr>
        <w:t>noting the total value of the activities submitted to the 98th meeting (decision 98/18).</w:t>
      </w:r>
    </w:p>
    <w:p w14:paraId="6D745BA2" w14:textId="77777777" w:rsidR="00244D65" w:rsidRPr="00B14A47" w:rsidRDefault="00244D65" w:rsidP="00FF2809">
      <w:pPr>
        <w:pStyle w:val="Heading1"/>
        <w:keepNext/>
        <w:numPr>
          <w:ilvl w:val="0"/>
          <w:numId w:val="0"/>
        </w:numPr>
        <w:ind w:firstLine="624"/>
        <w:jc w:val="left"/>
        <w:rPr>
          <w:b/>
          <w:bCs/>
          <w:sz w:val="20"/>
          <w:szCs w:val="20"/>
          <w:lang w:val="en-GB"/>
        </w:rPr>
      </w:pPr>
      <w:r>
        <w:rPr>
          <w:b/>
          <w:bCs/>
          <w:sz w:val="20"/>
          <w:szCs w:val="20"/>
          <w:lang w:val="en-GB"/>
        </w:rPr>
        <w:t>2.</w:t>
      </w:r>
      <w:r>
        <w:rPr>
          <w:b/>
          <w:bCs/>
          <w:sz w:val="20"/>
          <w:szCs w:val="20"/>
          <w:lang w:val="en-GB"/>
        </w:rPr>
        <w:tab/>
        <w:t>Financial matters</w:t>
      </w:r>
    </w:p>
    <w:p w14:paraId="23EC3B28" w14:textId="77777777" w:rsidR="00244D65" w:rsidRPr="00B14A47" w:rsidRDefault="00244D65" w:rsidP="00FF2809">
      <w:pPr>
        <w:pStyle w:val="Heading1"/>
        <w:keepNext/>
        <w:numPr>
          <w:ilvl w:val="0"/>
          <w:numId w:val="0"/>
        </w:numPr>
        <w:spacing w:before="240"/>
        <w:ind w:firstLine="624"/>
        <w:jc w:val="left"/>
        <w:rPr>
          <w:b/>
          <w:sz w:val="20"/>
          <w:szCs w:val="20"/>
          <w:lang w:val="en-GB"/>
        </w:rPr>
      </w:pPr>
      <w:r>
        <w:rPr>
          <w:b/>
          <w:sz w:val="20"/>
          <w:szCs w:val="20"/>
          <w:lang w:val="en-GB"/>
        </w:rPr>
        <w:t>(a)</w:t>
      </w:r>
      <w:r>
        <w:rPr>
          <w:b/>
          <w:sz w:val="20"/>
          <w:szCs w:val="20"/>
          <w:lang w:val="en-GB"/>
        </w:rPr>
        <w:tab/>
        <w:t>Status of the Multilateral Fund</w:t>
      </w:r>
    </w:p>
    <w:p w14:paraId="3F09757F" w14:textId="6B8CB642" w:rsidR="00CA1473" w:rsidRPr="005517C1" w:rsidRDefault="00CA1473" w:rsidP="00C57BCB">
      <w:pPr>
        <w:pStyle w:val="Heading3"/>
        <w:numPr>
          <w:ilvl w:val="2"/>
          <w:numId w:val="16"/>
        </w:numPr>
        <w:ind w:left="1276" w:firstLine="0"/>
        <w:rPr>
          <w:bCs/>
          <w:sz w:val="20"/>
          <w:szCs w:val="20"/>
          <w:lang w:val="en-GB"/>
        </w:rPr>
      </w:pPr>
      <w:r w:rsidRPr="005517C1">
        <w:rPr>
          <w:bCs/>
          <w:sz w:val="20"/>
          <w:szCs w:val="20"/>
          <w:lang w:val="en-GB"/>
        </w:rPr>
        <w:t>As at 19 June 2026, the total income to the Multilateral Fund, including cash payments, promissory notes held, bilateral contributions, interest earned and miscellaneous income, amounted to US $5,297,824,839, and total allocations, including provisions, amounted to US $4,599,972,341. The balance available therefore amounted to US $697,852,498.</w:t>
      </w:r>
      <w:r w:rsidRPr="005517C1">
        <w:rPr>
          <w:rStyle w:val="FootnoteReference"/>
          <w:bCs/>
          <w:sz w:val="20"/>
          <w:szCs w:val="20"/>
          <w:lang w:val="en-GB"/>
        </w:rPr>
        <w:footnoteReference w:id="67"/>
      </w:r>
    </w:p>
    <w:p w14:paraId="5B9FF51E" w14:textId="77777777" w:rsidR="00244D65" w:rsidRPr="000C3CE5" w:rsidRDefault="00244D65" w:rsidP="00FF2809">
      <w:pPr>
        <w:pStyle w:val="Heading1"/>
        <w:keepNext/>
        <w:numPr>
          <w:ilvl w:val="0"/>
          <w:numId w:val="0"/>
        </w:numPr>
        <w:spacing w:before="240"/>
        <w:ind w:firstLine="624"/>
        <w:jc w:val="left"/>
        <w:rPr>
          <w:b/>
          <w:sz w:val="20"/>
          <w:szCs w:val="20"/>
          <w:lang w:val="en-GB"/>
        </w:rPr>
      </w:pPr>
      <w:r>
        <w:rPr>
          <w:b/>
          <w:sz w:val="20"/>
          <w:szCs w:val="20"/>
          <w:lang w:val="en-GB"/>
        </w:rPr>
        <w:t>(b)</w:t>
      </w:r>
      <w:r>
        <w:rPr>
          <w:b/>
          <w:sz w:val="20"/>
          <w:szCs w:val="20"/>
          <w:lang w:val="en-GB"/>
        </w:rPr>
        <w:tab/>
        <w:t>Contributions and disbursements, balances and resources and accounts and budgets</w:t>
      </w:r>
    </w:p>
    <w:p w14:paraId="1A3EED28" w14:textId="77777777" w:rsidR="000C3CE5" w:rsidRPr="000C3CE5" w:rsidRDefault="00CA1473" w:rsidP="00C57BCB">
      <w:pPr>
        <w:pStyle w:val="Heading3"/>
        <w:numPr>
          <w:ilvl w:val="2"/>
          <w:numId w:val="16"/>
        </w:numPr>
        <w:ind w:left="1276" w:firstLine="0"/>
        <w:rPr>
          <w:bCs/>
          <w:sz w:val="20"/>
          <w:szCs w:val="20"/>
          <w:lang w:val="en-GB"/>
        </w:rPr>
      </w:pPr>
      <w:r>
        <w:rPr>
          <w:bCs/>
          <w:sz w:val="20"/>
          <w:szCs w:val="20"/>
          <w:lang w:val="en-GB"/>
        </w:rPr>
        <w:t>At the 97th meeting, the Executive Committee considered the report of the Treasurer on the status of contributions and disbursements,</w:t>
      </w:r>
      <w:r>
        <w:rPr>
          <w:bCs/>
          <w:sz w:val="20"/>
          <w:szCs w:val="20"/>
          <w:vertAlign w:val="superscript"/>
          <w:lang w:val="en-GB"/>
        </w:rPr>
        <w:footnoteReference w:id="68"/>
      </w:r>
      <w:r>
        <w:rPr>
          <w:bCs/>
          <w:sz w:val="20"/>
          <w:szCs w:val="20"/>
          <w:lang w:val="en-GB"/>
        </w:rPr>
        <w:t xml:space="preserve"> the report on balances and availability of resources,</w:t>
      </w:r>
      <w:r>
        <w:rPr>
          <w:bCs/>
          <w:sz w:val="20"/>
          <w:szCs w:val="20"/>
          <w:vertAlign w:val="superscript"/>
          <w:lang w:val="en-GB"/>
        </w:rPr>
        <w:footnoteReference w:id="69"/>
      </w:r>
      <w:r>
        <w:rPr>
          <w:bCs/>
          <w:sz w:val="20"/>
          <w:szCs w:val="20"/>
          <w:lang w:val="en-GB"/>
        </w:rPr>
        <w:t xml:space="preserve"> the final 2024 accounts of the Multilateral Fund</w:t>
      </w:r>
      <w:r>
        <w:rPr>
          <w:bCs/>
          <w:sz w:val="20"/>
          <w:szCs w:val="20"/>
          <w:vertAlign w:val="superscript"/>
          <w:lang w:val="en-GB"/>
        </w:rPr>
        <w:footnoteReference w:id="70"/>
      </w:r>
      <w:r>
        <w:rPr>
          <w:bCs/>
          <w:sz w:val="20"/>
          <w:szCs w:val="20"/>
          <w:lang w:val="en-GB"/>
        </w:rPr>
        <w:t xml:space="preserve"> and the reconciliation of the 2024 accounts,</w:t>
      </w:r>
      <w:r>
        <w:rPr>
          <w:bCs/>
          <w:sz w:val="20"/>
          <w:szCs w:val="20"/>
          <w:vertAlign w:val="superscript"/>
          <w:lang w:val="en-GB"/>
        </w:rPr>
        <w:footnoteReference w:id="71"/>
      </w:r>
      <w:r>
        <w:rPr>
          <w:bCs/>
          <w:sz w:val="20"/>
          <w:szCs w:val="20"/>
          <w:lang w:val="en-GB"/>
        </w:rPr>
        <w:t xml:space="preserve"> requesting related action from the parties, implementing agencies, the Treasurer and the Chief Officer (decisions 97/1 to 97/4). It also considered the revised 2026 and 2027 and proposed 2028 budgets of the Fund Secretariat</w:t>
      </w:r>
      <w:r>
        <w:rPr>
          <w:bCs/>
          <w:sz w:val="20"/>
          <w:szCs w:val="20"/>
          <w:vertAlign w:val="superscript"/>
          <w:lang w:val="en-GB"/>
        </w:rPr>
        <w:footnoteReference w:id="72"/>
      </w:r>
      <w:r>
        <w:rPr>
          <w:bCs/>
          <w:sz w:val="20"/>
          <w:szCs w:val="20"/>
          <w:lang w:val="en-GB"/>
        </w:rPr>
        <w:t xml:space="preserve"> and approved the revised 2026 and 2027 budgets and the proposed 2028 budget of the Fund Secretariat annexed to the report of the 97</w:t>
      </w:r>
      <w:r>
        <w:rPr>
          <w:bCs/>
          <w:sz w:val="20"/>
          <w:szCs w:val="20"/>
          <w:vertAlign w:val="superscript"/>
          <w:lang w:val="en-GB"/>
        </w:rPr>
        <w:t>th</w:t>
      </w:r>
      <w:r>
        <w:rPr>
          <w:bCs/>
          <w:sz w:val="20"/>
          <w:szCs w:val="20"/>
          <w:lang w:val="en-GB"/>
        </w:rPr>
        <w:t xml:space="preserve"> meeting</w:t>
      </w:r>
      <w:r>
        <w:rPr>
          <w:rStyle w:val="FootnoteReference"/>
          <w:bCs/>
          <w:sz w:val="20"/>
          <w:szCs w:val="20"/>
          <w:lang w:val="en-GB"/>
        </w:rPr>
        <w:footnoteReference w:id="73"/>
      </w:r>
      <w:r>
        <w:rPr>
          <w:bCs/>
          <w:sz w:val="20"/>
          <w:szCs w:val="20"/>
          <w:lang w:val="en-GB"/>
        </w:rPr>
        <w:t xml:space="preserve"> </w:t>
      </w:r>
      <w:r>
        <w:rPr>
          <w:sz w:val="20"/>
          <w:szCs w:val="20"/>
          <w:lang w:val="en-GB"/>
        </w:rPr>
        <w:t xml:space="preserve">(decision 97/5). </w:t>
      </w:r>
    </w:p>
    <w:p w14:paraId="181E03A5" w14:textId="0F72352A" w:rsidR="00CA1473" w:rsidRPr="000C3CE5" w:rsidRDefault="00CA1473" w:rsidP="00C57BCB">
      <w:pPr>
        <w:pStyle w:val="Heading3"/>
        <w:numPr>
          <w:ilvl w:val="2"/>
          <w:numId w:val="16"/>
        </w:numPr>
        <w:ind w:left="1276" w:firstLine="0"/>
        <w:rPr>
          <w:bCs/>
          <w:sz w:val="20"/>
          <w:szCs w:val="20"/>
          <w:lang w:val="en-GB"/>
        </w:rPr>
      </w:pPr>
      <w:r>
        <w:rPr>
          <w:bCs/>
          <w:sz w:val="20"/>
          <w:szCs w:val="20"/>
          <w:lang w:val="en-GB"/>
        </w:rPr>
        <w:t>At the 98th meeting, the Executive Committee considered the report of the Treasurer on the status of contributions and disbursements</w:t>
      </w:r>
      <w:r>
        <w:rPr>
          <w:bCs/>
          <w:sz w:val="20"/>
          <w:szCs w:val="20"/>
          <w:vertAlign w:val="superscript"/>
          <w:lang w:val="en-GB"/>
        </w:rPr>
        <w:footnoteReference w:id="74"/>
      </w:r>
      <w:r>
        <w:rPr>
          <w:bCs/>
          <w:sz w:val="20"/>
          <w:szCs w:val="20"/>
          <w:lang w:val="en-GB"/>
        </w:rPr>
        <w:t xml:space="preserve"> and the report on balances and availability of resources,</w:t>
      </w:r>
      <w:r>
        <w:rPr>
          <w:bCs/>
          <w:sz w:val="20"/>
          <w:szCs w:val="20"/>
          <w:vertAlign w:val="superscript"/>
          <w:lang w:val="en-GB"/>
        </w:rPr>
        <w:footnoteReference w:id="75"/>
      </w:r>
      <w:r>
        <w:rPr>
          <w:bCs/>
          <w:sz w:val="20"/>
          <w:szCs w:val="20"/>
          <w:lang w:val="en-GB"/>
        </w:rPr>
        <w:t xml:space="preserve"> requesting related action from the parties, implementing agencies, the Treasurer and the Chief Officer (decisions 98/1 and 98/2).</w:t>
      </w:r>
    </w:p>
    <w:p w14:paraId="527E9593" w14:textId="5609E14C" w:rsidR="00CA1473" w:rsidRPr="001335E3" w:rsidRDefault="00CA1473" w:rsidP="00C57BCB">
      <w:pPr>
        <w:pStyle w:val="Heading3"/>
        <w:numPr>
          <w:ilvl w:val="2"/>
          <w:numId w:val="16"/>
        </w:numPr>
        <w:ind w:left="1276" w:firstLine="0"/>
        <w:rPr>
          <w:sz w:val="20"/>
          <w:szCs w:val="20"/>
          <w:lang w:val="en-GB"/>
        </w:rPr>
      </w:pPr>
      <w:r>
        <w:rPr>
          <w:bCs/>
          <w:sz w:val="20"/>
          <w:szCs w:val="20"/>
          <w:lang w:val="en-GB"/>
        </w:rPr>
        <w:t>At</w:t>
      </w:r>
      <w:r>
        <w:rPr>
          <w:sz w:val="20"/>
          <w:szCs w:val="20"/>
          <w:lang w:val="en-GB"/>
        </w:rPr>
        <w:t xml:space="preserve"> the 97th and 98th meetings, the Executive Committee requested the Treasurer to offset the costs of the bilateral projects approved at the meeting in question against the bilateral contributions of the relevant governments (decisions 97/34 and 98/25).</w:t>
      </w:r>
    </w:p>
    <w:p w14:paraId="17F33C3F" w14:textId="7332910E" w:rsidR="001D4217" w:rsidRPr="001335E3" w:rsidRDefault="00182CF0" w:rsidP="00A90811">
      <w:pPr>
        <w:pStyle w:val="Heading2"/>
        <w:keepNext/>
        <w:widowControl/>
        <w:numPr>
          <w:ilvl w:val="0"/>
          <w:numId w:val="0"/>
        </w:numPr>
        <w:ind w:firstLine="624"/>
        <w:jc w:val="left"/>
        <w:rPr>
          <w:b/>
          <w:bCs/>
          <w:sz w:val="24"/>
          <w:szCs w:val="24"/>
        </w:rPr>
      </w:pPr>
      <w:r>
        <w:rPr>
          <w:b/>
          <w:bCs/>
          <w:sz w:val="24"/>
          <w:szCs w:val="24"/>
        </w:rPr>
        <w:t>F.</w:t>
      </w:r>
      <w:r>
        <w:rPr>
          <w:b/>
          <w:bCs/>
          <w:sz w:val="24"/>
          <w:szCs w:val="24"/>
        </w:rPr>
        <w:tab/>
        <w:t>Fund Secretariat activities</w:t>
      </w:r>
    </w:p>
    <w:p w14:paraId="66F24E22" w14:textId="18839A11" w:rsidR="00CA1473" w:rsidRPr="001335E3" w:rsidRDefault="00CA1473" w:rsidP="00C57BCB">
      <w:pPr>
        <w:pStyle w:val="Heading3"/>
        <w:numPr>
          <w:ilvl w:val="2"/>
          <w:numId w:val="16"/>
        </w:numPr>
        <w:ind w:left="1276" w:firstLine="0"/>
        <w:rPr>
          <w:sz w:val="20"/>
          <w:szCs w:val="20"/>
          <w:lang w:val="en-GB"/>
        </w:rPr>
      </w:pPr>
      <w:r>
        <w:rPr>
          <w:bCs/>
          <w:sz w:val="20"/>
          <w:szCs w:val="20"/>
          <w:lang w:val="en-GB"/>
        </w:rPr>
        <w:t>At</w:t>
      </w:r>
      <w:r>
        <w:rPr>
          <w:sz w:val="20"/>
          <w:szCs w:val="20"/>
          <w:lang w:val="en-GB"/>
        </w:rPr>
        <w:t xml:space="preserve"> the 97th meeting</w:t>
      </w:r>
      <w:r>
        <w:rPr>
          <w:sz w:val="20"/>
          <w:szCs w:val="20"/>
          <w:vertAlign w:val="superscript"/>
          <w:lang w:val="en-GB"/>
        </w:rPr>
        <w:footnoteReference w:id="76"/>
      </w:r>
      <w:r>
        <w:rPr>
          <w:sz w:val="20"/>
          <w:szCs w:val="20"/>
          <w:lang w:val="en-GB"/>
        </w:rPr>
        <w:t xml:space="preserve"> and the 98th meeting,</w:t>
      </w:r>
      <w:r>
        <w:rPr>
          <w:sz w:val="20"/>
          <w:szCs w:val="20"/>
          <w:vertAlign w:val="superscript"/>
          <w:lang w:val="en-GB"/>
        </w:rPr>
        <w:footnoteReference w:id="77"/>
      </w:r>
      <w:r>
        <w:rPr>
          <w:sz w:val="20"/>
          <w:szCs w:val="20"/>
          <w:lang w:val="en-GB"/>
        </w:rPr>
        <w:t xml:space="preserve"> the Executive Committee took note, with appreciation, of reports on the activities undertaken by the Fund Secretariat since the previous meeting. At </w:t>
      </w:r>
      <w:r w:rsidR="009733CF">
        <w:rPr>
          <w:sz w:val="20"/>
          <w:szCs w:val="20"/>
          <w:lang w:val="en-GB"/>
        </w:rPr>
        <w:t>both meetings</w:t>
      </w:r>
      <w:r>
        <w:rPr>
          <w:sz w:val="20"/>
          <w:szCs w:val="20"/>
          <w:lang w:val="en-GB"/>
        </w:rPr>
        <w:t xml:space="preserve">, the Committee </w:t>
      </w:r>
      <w:r w:rsidR="0006685E">
        <w:rPr>
          <w:sz w:val="20"/>
          <w:szCs w:val="20"/>
          <w:lang w:val="en-GB"/>
        </w:rPr>
        <w:t xml:space="preserve">was informed about </w:t>
      </w:r>
      <w:r>
        <w:rPr>
          <w:sz w:val="20"/>
          <w:szCs w:val="20"/>
          <w:lang w:val="en-GB"/>
        </w:rPr>
        <w:t>the progress made in the development of the knowledge management system.</w:t>
      </w:r>
    </w:p>
    <w:p w14:paraId="617BE92E" w14:textId="3BD818FC" w:rsidR="001D4217" w:rsidRPr="000C3CE5" w:rsidRDefault="00A90811" w:rsidP="00A90811">
      <w:pPr>
        <w:pStyle w:val="CH1"/>
        <w:rPr>
          <w:b w:val="0"/>
        </w:rPr>
      </w:pPr>
      <w:r>
        <w:rPr>
          <w:bCs/>
        </w:rPr>
        <w:tab/>
        <w:t>II.</w:t>
      </w:r>
      <w:r>
        <w:rPr>
          <w:bCs/>
        </w:rPr>
        <w:tab/>
      </w:r>
      <w:r>
        <w:t>Achievements of the Multilateral Fund since its inception</w:t>
      </w:r>
      <w:r>
        <w:rPr>
          <w:rStyle w:val="FootnoteReference"/>
        </w:rPr>
        <w:footnoteReference w:id="78"/>
      </w:r>
    </w:p>
    <w:p w14:paraId="568F634D" w14:textId="5E89D37E" w:rsidR="00CA1473" w:rsidRPr="00012E78" w:rsidRDefault="00CA1473" w:rsidP="00C57BCB">
      <w:pPr>
        <w:pStyle w:val="Heading3"/>
        <w:numPr>
          <w:ilvl w:val="2"/>
          <w:numId w:val="16"/>
        </w:numPr>
        <w:ind w:left="1276" w:firstLine="0"/>
        <w:rPr>
          <w:sz w:val="20"/>
          <w:szCs w:val="20"/>
          <w:lang w:val="en-GB"/>
        </w:rPr>
      </w:pPr>
      <w:r w:rsidRPr="00012E78">
        <w:rPr>
          <w:bCs/>
          <w:sz w:val="20"/>
          <w:szCs w:val="20"/>
          <w:lang w:val="en-GB"/>
        </w:rPr>
        <w:t>By</w:t>
      </w:r>
      <w:r w:rsidRPr="00012E78">
        <w:rPr>
          <w:sz w:val="20"/>
          <w:szCs w:val="20"/>
          <w:lang w:val="en-GB"/>
        </w:rPr>
        <w:t xml:space="preserve"> the 98th meeting, since 1991, </w:t>
      </w:r>
      <w:r w:rsidR="009011D1" w:rsidRPr="00012E78">
        <w:rPr>
          <w:sz w:val="20"/>
          <w:szCs w:val="20"/>
          <w:lang w:val="en-GB"/>
        </w:rPr>
        <w:t>10,584</w:t>
      </w:r>
      <w:r w:rsidRPr="00012E78">
        <w:rPr>
          <w:color w:val="000000"/>
          <w:sz w:val="20"/>
          <w:szCs w:val="20"/>
          <w:lang w:val="en-GB" w:eastAsia="en-CA"/>
        </w:rPr>
        <w:t xml:space="preserve"> </w:t>
      </w:r>
      <w:r w:rsidRPr="00012E78">
        <w:rPr>
          <w:sz w:val="20"/>
          <w:szCs w:val="20"/>
          <w:lang w:val="en-GB"/>
        </w:rPr>
        <w:t xml:space="preserve">projects and activities (excluding cancelled and transferred projects) had </w:t>
      </w:r>
      <w:r w:rsidRPr="00012E78">
        <w:rPr>
          <w:rFonts w:eastAsia="MS Mincho"/>
          <w:sz w:val="20"/>
          <w:szCs w:val="20"/>
          <w:lang w:val="en-GB" w:eastAsia="ja-JP"/>
        </w:rPr>
        <w:t>been</w:t>
      </w:r>
      <w:r w:rsidRPr="00012E78">
        <w:rPr>
          <w:sz w:val="20"/>
          <w:szCs w:val="20"/>
          <w:lang w:val="en-GB"/>
        </w:rPr>
        <w:t xml:space="preserve"> approved. The total amount of ozone-depleting substances (ODS) foreseen to be eliminated through implementation of those projects amounted to </w:t>
      </w:r>
      <w:r w:rsidR="0069257E" w:rsidRPr="00012E78">
        <w:rPr>
          <w:sz w:val="20"/>
          <w:szCs w:val="20"/>
          <w:lang w:val="en-GB"/>
        </w:rPr>
        <w:t>489,875</w:t>
      </w:r>
      <w:r w:rsidRPr="00012E78">
        <w:rPr>
          <w:sz w:val="20"/>
          <w:szCs w:val="20"/>
          <w:lang w:val="en-GB"/>
        </w:rPr>
        <w:t xml:space="preserve"> ODP (ozone-depleting-potential) tonnes. The number of ODP tonnes </w:t>
      </w:r>
      <w:proofErr w:type="gramStart"/>
      <w:r w:rsidRPr="00012E78">
        <w:rPr>
          <w:sz w:val="20"/>
          <w:szCs w:val="20"/>
          <w:lang w:val="en-GB"/>
        </w:rPr>
        <w:t>actually phased</w:t>
      </w:r>
      <w:proofErr w:type="gramEnd"/>
      <w:r w:rsidRPr="00012E78">
        <w:rPr>
          <w:sz w:val="20"/>
          <w:szCs w:val="20"/>
          <w:lang w:val="en-GB"/>
        </w:rPr>
        <w:t xml:space="preserve"> out, however, was </w:t>
      </w:r>
      <w:r w:rsidR="000A3103" w:rsidRPr="00012E78">
        <w:rPr>
          <w:sz w:val="20"/>
          <w:szCs w:val="20"/>
          <w:lang w:val="en-GB"/>
        </w:rPr>
        <w:t>510,094</w:t>
      </w:r>
      <w:r w:rsidRPr="00012E78">
        <w:rPr>
          <w:color w:val="000000"/>
          <w:sz w:val="20"/>
          <w:szCs w:val="20"/>
          <w:lang w:val="en-GB" w:eastAsia="en-CA"/>
        </w:rPr>
        <w:t xml:space="preserve"> </w:t>
      </w:r>
      <w:r w:rsidRPr="00012E78">
        <w:rPr>
          <w:sz w:val="20"/>
          <w:szCs w:val="20"/>
          <w:lang w:val="en-GB"/>
        </w:rPr>
        <w:t xml:space="preserve">ODP tonnes (involving both consumption and production), demonstrating that the phase-out achieved through the projects completed so far exceeded the amount expected. In addition, by the same date, </w:t>
      </w:r>
      <w:r w:rsidR="00F53B7C" w:rsidRPr="00012E78">
        <w:rPr>
          <w:sz w:val="20"/>
          <w:szCs w:val="20"/>
          <w:lang w:val="en-GB"/>
        </w:rPr>
        <w:t>19,702</w:t>
      </w:r>
      <w:r w:rsidRPr="00012E78">
        <w:rPr>
          <w:sz w:val="20"/>
          <w:szCs w:val="20"/>
          <w:lang w:val="en-GB"/>
        </w:rPr>
        <w:t xml:space="preserve"> metric tonnes (</w:t>
      </w:r>
      <w:r w:rsidR="00F53B7C" w:rsidRPr="00012E78">
        <w:rPr>
          <w:sz w:val="20"/>
          <w:szCs w:val="20"/>
          <w:lang w:val="en-GB"/>
        </w:rPr>
        <w:t>37,778,524</w:t>
      </w:r>
      <w:r w:rsidRPr="00012E78">
        <w:rPr>
          <w:color w:val="000000"/>
          <w:sz w:val="20"/>
          <w:szCs w:val="20"/>
          <w:lang w:val="en-GB" w:eastAsia="en-CA"/>
        </w:rPr>
        <w:t xml:space="preserve"> </w:t>
      </w:r>
      <w:r w:rsidRPr="00012E78">
        <w:rPr>
          <w:sz w:val="20"/>
          <w:szCs w:val="20"/>
          <w:lang w:val="en-GB"/>
        </w:rPr>
        <w:t xml:space="preserve">carbon dioxide-equivalent tonnes) of consumption of HFC had been approved for phase-down, and </w:t>
      </w:r>
      <w:r w:rsidR="00562ED1" w:rsidRPr="00012E78">
        <w:rPr>
          <w:sz w:val="20"/>
          <w:szCs w:val="20"/>
          <w:lang w:val="en-GB"/>
        </w:rPr>
        <w:t>1,086</w:t>
      </w:r>
      <w:r w:rsidRPr="00012E78">
        <w:rPr>
          <w:sz w:val="20"/>
          <w:szCs w:val="20"/>
          <w:lang w:val="en-GB"/>
        </w:rPr>
        <w:t xml:space="preserve"> metric tonnes (</w:t>
      </w:r>
      <w:r w:rsidR="00B422F6" w:rsidRPr="00012E78">
        <w:rPr>
          <w:sz w:val="20"/>
          <w:szCs w:val="20"/>
          <w:lang w:val="en-GB"/>
        </w:rPr>
        <w:t>1,606,380</w:t>
      </w:r>
      <w:r w:rsidRPr="00012E78">
        <w:rPr>
          <w:color w:val="000000"/>
          <w:sz w:val="20"/>
          <w:szCs w:val="20"/>
          <w:lang w:val="en-GB" w:eastAsia="en-CA"/>
        </w:rPr>
        <w:t> carbon dioxide</w:t>
      </w:r>
      <w:r w:rsidRPr="00012E78">
        <w:rPr>
          <w:color w:val="000000"/>
          <w:sz w:val="20"/>
          <w:szCs w:val="20"/>
          <w:lang w:val="en-GB" w:eastAsia="en-CA"/>
        </w:rPr>
        <w:noBreakHyphen/>
      </w:r>
      <w:r w:rsidRPr="00012E78">
        <w:rPr>
          <w:sz w:val="20"/>
          <w:szCs w:val="20"/>
          <w:lang w:val="en-GB"/>
        </w:rPr>
        <w:t xml:space="preserve">equivalent tonnes) had </w:t>
      </w:r>
      <w:proofErr w:type="gramStart"/>
      <w:r w:rsidRPr="00012E78">
        <w:rPr>
          <w:sz w:val="20"/>
          <w:szCs w:val="20"/>
          <w:lang w:val="en-GB"/>
        </w:rPr>
        <w:t>actually been</w:t>
      </w:r>
      <w:proofErr w:type="gramEnd"/>
      <w:r w:rsidRPr="00012E78">
        <w:rPr>
          <w:sz w:val="20"/>
          <w:szCs w:val="20"/>
          <w:lang w:val="en-GB"/>
        </w:rPr>
        <w:t xml:space="preserve"> phased down. The geographical and </w:t>
      </w:r>
      <w:r w:rsidR="00C878E2" w:rsidRPr="00012E78">
        <w:rPr>
          <w:sz w:val="20"/>
          <w:szCs w:val="20"/>
          <w:lang w:val="en-GB"/>
        </w:rPr>
        <w:t>cluster</w:t>
      </w:r>
      <w:r w:rsidRPr="00012E78">
        <w:rPr>
          <w:sz w:val="20"/>
          <w:szCs w:val="20"/>
          <w:lang w:val="en-GB"/>
        </w:rPr>
        <w:t xml:space="preserve"> distribution of phase</w:t>
      </w:r>
      <w:r w:rsidRPr="00012E78">
        <w:rPr>
          <w:sz w:val="20"/>
          <w:szCs w:val="20"/>
          <w:lang w:val="en-GB"/>
        </w:rPr>
        <w:noBreakHyphen/>
        <w:t>out in all approved projects and activities and funds approved since inception is shown in table 2 below.</w:t>
      </w:r>
    </w:p>
    <w:p w14:paraId="2EB1D5B7" w14:textId="179EA58E" w:rsidR="00FF2809" w:rsidRPr="00012E78" w:rsidRDefault="00FF2809" w:rsidP="00CA1473">
      <w:pPr>
        <w:pStyle w:val="Heading1"/>
        <w:keepNext/>
        <w:numPr>
          <w:ilvl w:val="0"/>
          <w:numId w:val="0"/>
        </w:numPr>
        <w:spacing w:after="0"/>
        <w:ind w:left="1276" w:hanging="28"/>
        <w:rPr>
          <w:color w:val="000000"/>
          <w:sz w:val="20"/>
          <w:szCs w:val="20"/>
          <w:lang w:val="en-GB" w:eastAsia="en-CA"/>
        </w:rPr>
      </w:pPr>
      <w:r w:rsidRPr="00012E78">
        <w:rPr>
          <w:sz w:val="20"/>
          <w:szCs w:val="20"/>
          <w:lang w:val="en-GB"/>
        </w:rPr>
        <w:t>Table 2</w:t>
      </w:r>
    </w:p>
    <w:p w14:paraId="7760964F" w14:textId="49C14A4F" w:rsidR="00FF2809" w:rsidRPr="00012E78" w:rsidRDefault="00FF2809" w:rsidP="00CA1473">
      <w:pPr>
        <w:pStyle w:val="Heading1"/>
        <w:keepNext/>
        <w:numPr>
          <w:ilvl w:val="0"/>
          <w:numId w:val="0"/>
        </w:numPr>
        <w:spacing w:after="0"/>
        <w:ind w:left="1276" w:hanging="28"/>
        <w:rPr>
          <w:b/>
          <w:bCs/>
          <w:sz w:val="20"/>
          <w:szCs w:val="20"/>
          <w:lang w:val="en-GB"/>
        </w:rPr>
      </w:pPr>
      <w:r w:rsidRPr="00012E78">
        <w:rPr>
          <w:b/>
          <w:bCs/>
          <w:sz w:val="20"/>
          <w:szCs w:val="20"/>
          <w:lang w:val="en-GB"/>
        </w:rPr>
        <w:t xml:space="preserve">Phase-out and funds approved by region and </w:t>
      </w:r>
      <w:r w:rsidR="00012E78">
        <w:rPr>
          <w:b/>
          <w:bCs/>
          <w:sz w:val="20"/>
          <w:szCs w:val="20"/>
          <w:lang w:val="en-GB"/>
        </w:rPr>
        <w:t>cluster</w:t>
      </w:r>
      <w:r w:rsidRPr="00012E78">
        <w:rPr>
          <w:b/>
          <w:bCs/>
          <w:sz w:val="20"/>
          <w:szCs w:val="20"/>
          <w:lang w:val="en-GB"/>
        </w:rPr>
        <w:t xml:space="preserve"> since inception of the Multilateral Fund</w:t>
      </w:r>
    </w:p>
    <w:tbl>
      <w:tblPr>
        <w:tblW w:w="10080" w:type="dxa"/>
        <w:tblInd w:w="-185" w:type="dxa"/>
        <w:tblLayout w:type="fixed"/>
        <w:tblLook w:val="04A0" w:firstRow="1" w:lastRow="0" w:firstColumn="1" w:lastColumn="0" w:noHBand="0" w:noVBand="1"/>
      </w:tblPr>
      <w:tblGrid>
        <w:gridCol w:w="1530"/>
        <w:gridCol w:w="720"/>
        <w:gridCol w:w="1170"/>
        <w:gridCol w:w="1134"/>
        <w:gridCol w:w="1134"/>
        <w:gridCol w:w="1152"/>
        <w:gridCol w:w="990"/>
        <w:gridCol w:w="993"/>
        <w:gridCol w:w="1257"/>
      </w:tblGrid>
      <w:tr w:rsidR="00FF2809" w:rsidRPr="00012E78" w14:paraId="5B987318" w14:textId="77777777" w:rsidTr="00324979">
        <w:trPr>
          <w:trHeight w:val="769"/>
          <w:tblHeader/>
        </w:trPr>
        <w:tc>
          <w:tcPr>
            <w:tcW w:w="1530" w:type="dxa"/>
            <w:tcBorders>
              <w:top w:val="single" w:sz="4" w:space="0" w:color="auto"/>
              <w:left w:val="single" w:sz="4" w:space="0" w:color="auto"/>
              <w:bottom w:val="single" w:sz="4" w:space="0" w:color="auto"/>
              <w:right w:val="single" w:sz="4" w:space="0" w:color="auto"/>
            </w:tcBorders>
            <w:hideMark/>
          </w:tcPr>
          <w:p w14:paraId="4F7343D1" w14:textId="77777777" w:rsidR="00FF2809" w:rsidRPr="00012E78" w:rsidRDefault="00FF2809" w:rsidP="005D7E27">
            <w:pPr>
              <w:jc w:val="center"/>
              <w:rPr>
                <w:b/>
                <w:bCs/>
                <w:color w:val="000000"/>
                <w:sz w:val="17"/>
                <w:szCs w:val="17"/>
                <w:lang w:val="en-GB" w:eastAsia="en-CA"/>
              </w:rPr>
            </w:pPr>
            <w:r w:rsidRPr="00012E78">
              <w:rPr>
                <w:b/>
                <w:bCs/>
                <w:color w:val="000000"/>
                <w:sz w:val="17"/>
                <w:szCs w:val="17"/>
                <w:lang w:val="en-GB" w:eastAsia="en-CA"/>
              </w:rPr>
              <w:t>Description</w:t>
            </w:r>
          </w:p>
        </w:tc>
        <w:tc>
          <w:tcPr>
            <w:tcW w:w="720" w:type="dxa"/>
            <w:tcBorders>
              <w:top w:val="single" w:sz="4" w:space="0" w:color="auto"/>
              <w:left w:val="nil"/>
              <w:bottom w:val="single" w:sz="4" w:space="0" w:color="auto"/>
              <w:right w:val="single" w:sz="4" w:space="0" w:color="auto"/>
            </w:tcBorders>
            <w:hideMark/>
          </w:tcPr>
          <w:p w14:paraId="01B6520C" w14:textId="09D6C3E5" w:rsidR="00FF2809" w:rsidRPr="00012E78" w:rsidRDefault="00FF2809" w:rsidP="007D019F">
            <w:pPr>
              <w:ind w:left="-104" w:right="-104"/>
              <w:jc w:val="center"/>
              <w:rPr>
                <w:b/>
                <w:bCs/>
                <w:color w:val="000000"/>
                <w:sz w:val="17"/>
                <w:szCs w:val="17"/>
                <w:lang w:val="en-GB" w:eastAsia="en-CA"/>
              </w:rPr>
            </w:pPr>
            <w:r w:rsidRPr="00012E78">
              <w:rPr>
                <w:b/>
                <w:bCs/>
                <w:color w:val="000000"/>
                <w:sz w:val="17"/>
                <w:szCs w:val="17"/>
                <w:lang w:val="en-GB" w:eastAsia="en-CA"/>
              </w:rPr>
              <w:t>Number of projects*</w:t>
            </w:r>
          </w:p>
        </w:tc>
        <w:tc>
          <w:tcPr>
            <w:tcW w:w="1170" w:type="dxa"/>
            <w:tcBorders>
              <w:top w:val="single" w:sz="4" w:space="0" w:color="auto"/>
              <w:left w:val="nil"/>
              <w:bottom w:val="single" w:sz="4" w:space="0" w:color="auto"/>
              <w:right w:val="single" w:sz="4" w:space="0" w:color="auto"/>
            </w:tcBorders>
            <w:hideMark/>
          </w:tcPr>
          <w:p w14:paraId="4A7657C5" w14:textId="1786A7B7" w:rsidR="00FF2809" w:rsidRPr="00012E78" w:rsidRDefault="00FF2809" w:rsidP="00E54886">
            <w:pPr>
              <w:ind w:left="-178" w:right="-167"/>
              <w:jc w:val="center"/>
              <w:rPr>
                <w:b/>
                <w:bCs/>
                <w:color w:val="000000"/>
                <w:sz w:val="17"/>
                <w:szCs w:val="17"/>
                <w:lang w:val="en-GB" w:eastAsia="en-CA"/>
              </w:rPr>
            </w:pPr>
            <w:r w:rsidRPr="00012E78">
              <w:rPr>
                <w:b/>
                <w:bCs/>
                <w:color w:val="000000"/>
                <w:sz w:val="17"/>
                <w:szCs w:val="17"/>
                <w:lang w:val="en-GB" w:eastAsia="en-CA"/>
              </w:rPr>
              <w:t>Consumption:</w:t>
            </w:r>
            <w:r w:rsidR="00E54886">
              <w:rPr>
                <w:b/>
                <w:bCs/>
                <w:color w:val="000000"/>
                <w:sz w:val="17"/>
                <w:szCs w:val="17"/>
                <w:lang w:val="en-GB" w:eastAsia="en-CA"/>
              </w:rPr>
              <w:t xml:space="preserve"> </w:t>
            </w:r>
            <w:r w:rsidRPr="00012E78">
              <w:rPr>
                <w:b/>
                <w:bCs/>
                <w:color w:val="000000"/>
                <w:sz w:val="17"/>
                <w:szCs w:val="17"/>
                <w:lang w:val="en-GB" w:eastAsia="en-CA"/>
              </w:rPr>
              <w:t>ODP tonnes approved for ODS-related projects*</w:t>
            </w:r>
          </w:p>
        </w:tc>
        <w:tc>
          <w:tcPr>
            <w:tcW w:w="1134" w:type="dxa"/>
            <w:tcBorders>
              <w:top w:val="single" w:sz="4" w:space="0" w:color="auto"/>
              <w:left w:val="nil"/>
              <w:bottom w:val="single" w:sz="4" w:space="0" w:color="auto"/>
              <w:right w:val="single" w:sz="4" w:space="0" w:color="auto"/>
            </w:tcBorders>
            <w:hideMark/>
          </w:tcPr>
          <w:p w14:paraId="3912105D" w14:textId="77777777" w:rsidR="00FF2809" w:rsidRPr="00012E78" w:rsidRDefault="00FF2809" w:rsidP="005D7E27">
            <w:pPr>
              <w:ind w:left="-188" w:right="-192"/>
              <w:jc w:val="center"/>
              <w:rPr>
                <w:b/>
                <w:bCs/>
                <w:color w:val="000000"/>
                <w:sz w:val="17"/>
                <w:szCs w:val="17"/>
                <w:lang w:val="en-GB" w:eastAsia="en-CA"/>
              </w:rPr>
            </w:pPr>
            <w:r w:rsidRPr="00012E78">
              <w:rPr>
                <w:b/>
                <w:bCs/>
                <w:color w:val="000000"/>
                <w:sz w:val="17"/>
                <w:szCs w:val="17"/>
                <w:lang w:val="en-GB" w:eastAsia="en-CA"/>
              </w:rPr>
              <w:t>Consumption: ODP tonnes phased out for ODS-related projects*</w:t>
            </w:r>
          </w:p>
        </w:tc>
        <w:tc>
          <w:tcPr>
            <w:tcW w:w="1134" w:type="dxa"/>
            <w:tcBorders>
              <w:top w:val="single" w:sz="4" w:space="0" w:color="auto"/>
              <w:left w:val="nil"/>
              <w:bottom w:val="single" w:sz="4" w:space="0" w:color="auto"/>
              <w:right w:val="single" w:sz="4" w:space="0" w:color="auto"/>
            </w:tcBorders>
            <w:hideMark/>
          </w:tcPr>
          <w:p w14:paraId="050A8A91" w14:textId="77777777" w:rsidR="00FF2809" w:rsidRPr="00012E78" w:rsidRDefault="00FF2809" w:rsidP="005D7E27">
            <w:pPr>
              <w:ind w:left="-190" w:right="-189"/>
              <w:jc w:val="center"/>
              <w:rPr>
                <w:b/>
                <w:bCs/>
                <w:color w:val="000000"/>
                <w:sz w:val="17"/>
                <w:szCs w:val="17"/>
                <w:lang w:val="en-GB" w:eastAsia="en-CA"/>
              </w:rPr>
            </w:pPr>
            <w:r w:rsidRPr="00012E78">
              <w:rPr>
                <w:b/>
                <w:bCs/>
                <w:color w:val="000000"/>
                <w:sz w:val="17"/>
                <w:szCs w:val="17"/>
                <w:lang w:val="en-GB" w:eastAsia="en-CA"/>
              </w:rPr>
              <w:t>Consumption: metric tonnes approved for HFC-related projects**</w:t>
            </w:r>
          </w:p>
        </w:tc>
        <w:tc>
          <w:tcPr>
            <w:tcW w:w="1152" w:type="dxa"/>
            <w:tcBorders>
              <w:top w:val="single" w:sz="4" w:space="0" w:color="auto"/>
              <w:left w:val="nil"/>
              <w:bottom w:val="single" w:sz="4" w:space="0" w:color="auto"/>
              <w:right w:val="single" w:sz="4" w:space="0" w:color="auto"/>
            </w:tcBorders>
            <w:hideMark/>
          </w:tcPr>
          <w:p w14:paraId="00729ACC" w14:textId="77777777" w:rsidR="00FF2809" w:rsidRPr="00012E78" w:rsidRDefault="00FF2809" w:rsidP="005D7E27">
            <w:pPr>
              <w:ind w:left="-148" w:right="-90"/>
              <w:jc w:val="center"/>
              <w:rPr>
                <w:b/>
                <w:bCs/>
                <w:color w:val="000000"/>
                <w:sz w:val="17"/>
                <w:szCs w:val="17"/>
                <w:lang w:val="en-GB" w:eastAsia="en-CA"/>
              </w:rPr>
            </w:pPr>
            <w:r w:rsidRPr="00012E78">
              <w:rPr>
                <w:b/>
                <w:bCs/>
                <w:color w:val="000000"/>
                <w:sz w:val="17"/>
                <w:szCs w:val="17"/>
                <w:lang w:val="en-GB" w:eastAsia="en-CA"/>
              </w:rPr>
              <w:t>Consumption: metric tonnes phased out for HFC-related projects**</w:t>
            </w:r>
          </w:p>
        </w:tc>
        <w:tc>
          <w:tcPr>
            <w:tcW w:w="990" w:type="dxa"/>
            <w:tcBorders>
              <w:top w:val="single" w:sz="4" w:space="0" w:color="auto"/>
              <w:left w:val="nil"/>
              <w:bottom w:val="single" w:sz="4" w:space="0" w:color="auto"/>
              <w:right w:val="single" w:sz="4" w:space="0" w:color="auto"/>
            </w:tcBorders>
            <w:hideMark/>
          </w:tcPr>
          <w:p w14:paraId="47A9277A" w14:textId="77777777" w:rsidR="00FF2809" w:rsidRPr="00012E78" w:rsidRDefault="00FF2809" w:rsidP="005D7E27">
            <w:pPr>
              <w:ind w:left="-156" w:right="-103"/>
              <w:jc w:val="center"/>
              <w:rPr>
                <w:b/>
                <w:bCs/>
                <w:color w:val="000000"/>
                <w:sz w:val="17"/>
                <w:szCs w:val="17"/>
                <w:lang w:val="en-GB" w:eastAsia="en-CA"/>
              </w:rPr>
            </w:pPr>
            <w:r w:rsidRPr="00012E78">
              <w:rPr>
                <w:b/>
                <w:bCs/>
                <w:color w:val="000000"/>
                <w:sz w:val="17"/>
                <w:szCs w:val="17"/>
                <w:lang w:val="en-GB" w:eastAsia="en-CA"/>
              </w:rPr>
              <w:t>Production: ODP tonnes approved*</w:t>
            </w:r>
          </w:p>
        </w:tc>
        <w:tc>
          <w:tcPr>
            <w:tcW w:w="993" w:type="dxa"/>
            <w:tcBorders>
              <w:top w:val="single" w:sz="4" w:space="0" w:color="auto"/>
              <w:left w:val="nil"/>
              <w:bottom w:val="single" w:sz="4" w:space="0" w:color="auto"/>
              <w:right w:val="single" w:sz="4" w:space="0" w:color="auto"/>
            </w:tcBorders>
            <w:hideMark/>
          </w:tcPr>
          <w:p w14:paraId="3F5C42F8" w14:textId="77777777" w:rsidR="00FF2809" w:rsidRPr="00012E78" w:rsidRDefault="00FF2809" w:rsidP="005D7E27">
            <w:pPr>
              <w:ind w:left="-105" w:right="-106"/>
              <w:jc w:val="center"/>
              <w:rPr>
                <w:b/>
                <w:bCs/>
                <w:color w:val="000000"/>
                <w:sz w:val="17"/>
                <w:szCs w:val="17"/>
                <w:lang w:val="en-GB" w:eastAsia="en-CA"/>
              </w:rPr>
            </w:pPr>
            <w:r w:rsidRPr="00012E78">
              <w:rPr>
                <w:b/>
                <w:bCs/>
                <w:color w:val="000000"/>
                <w:sz w:val="17"/>
                <w:szCs w:val="17"/>
                <w:lang w:val="en-GB" w:eastAsia="en-CA"/>
              </w:rPr>
              <w:t>Production: ODP tonnes phased out*</w:t>
            </w:r>
          </w:p>
        </w:tc>
        <w:tc>
          <w:tcPr>
            <w:tcW w:w="1257" w:type="dxa"/>
            <w:tcBorders>
              <w:top w:val="single" w:sz="4" w:space="0" w:color="auto"/>
              <w:left w:val="nil"/>
              <w:bottom w:val="single" w:sz="4" w:space="0" w:color="auto"/>
              <w:right w:val="single" w:sz="4" w:space="0" w:color="auto"/>
            </w:tcBorders>
            <w:hideMark/>
          </w:tcPr>
          <w:p w14:paraId="51820C9E" w14:textId="77777777" w:rsidR="00FF2809" w:rsidRPr="00012E78" w:rsidRDefault="00FF2809" w:rsidP="005D7E27">
            <w:pPr>
              <w:jc w:val="center"/>
              <w:rPr>
                <w:b/>
                <w:bCs/>
                <w:color w:val="000000"/>
                <w:sz w:val="17"/>
                <w:szCs w:val="17"/>
                <w:lang w:val="en-GB" w:eastAsia="en-CA"/>
              </w:rPr>
            </w:pPr>
            <w:r w:rsidRPr="00012E78">
              <w:rPr>
                <w:b/>
                <w:bCs/>
                <w:color w:val="000000"/>
                <w:sz w:val="17"/>
                <w:szCs w:val="17"/>
                <w:lang w:val="en-GB" w:eastAsia="en-CA"/>
              </w:rPr>
              <w:t>Funds approved*</w:t>
            </w:r>
          </w:p>
          <w:p w14:paraId="052AF227" w14:textId="77777777" w:rsidR="00FF2809" w:rsidRPr="00012E78" w:rsidRDefault="00FF2809" w:rsidP="005D7E27">
            <w:pPr>
              <w:jc w:val="center"/>
              <w:rPr>
                <w:b/>
                <w:bCs/>
                <w:color w:val="000000"/>
                <w:sz w:val="17"/>
                <w:szCs w:val="17"/>
                <w:lang w:val="en-GB" w:eastAsia="en-CA"/>
              </w:rPr>
            </w:pPr>
            <w:r w:rsidRPr="00012E78">
              <w:rPr>
                <w:b/>
                <w:bCs/>
                <w:color w:val="000000"/>
                <w:sz w:val="17"/>
                <w:szCs w:val="17"/>
                <w:lang w:val="en-GB" w:eastAsia="en-CA"/>
              </w:rPr>
              <w:t>(US $)</w:t>
            </w:r>
          </w:p>
        </w:tc>
      </w:tr>
      <w:tr w:rsidR="00FF2809" w:rsidRPr="00012E78" w14:paraId="2924AC25" w14:textId="77777777" w:rsidTr="00324979">
        <w:trPr>
          <w:trHeight w:val="44"/>
        </w:trPr>
        <w:tc>
          <w:tcPr>
            <w:tcW w:w="10080" w:type="dxa"/>
            <w:gridSpan w:val="9"/>
            <w:tcBorders>
              <w:top w:val="nil"/>
              <w:left w:val="single" w:sz="4" w:space="0" w:color="auto"/>
              <w:bottom w:val="single" w:sz="4" w:space="0" w:color="auto"/>
              <w:right w:val="single" w:sz="4" w:space="0" w:color="auto"/>
            </w:tcBorders>
            <w:hideMark/>
          </w:tcPr>
          <w:p w14:paraId="02845104" w14:textId="77777777" w:rsidR="00FF2809" w:rsidRPr="00012E78" w:rsidRDefault="00FF2809" w:rsidP="005D7E27">
            <w:pPr>
              <w:jc w:val="left"/>
              <w:rPr>
                <w:b/>
                <w:bCs/>
                <w:color w:val="000000"/>
                <w:sz w:val="17"/>
                <w:szCs w:val="17"/>
                <w:lang w:val="en-GB" w:eastAsia="en-CA"/>
              </w:rPr>
            </w:pPr>
            <w:r w:rsidRPr="00012E78">
              <w:rPr>
                <w:b/>
                <w:bCs/>
                <w:color w:val="000000"/>
                <w:sz w:val="17"/>
                <w:szCs w:val="17"/>
                <w:lang w:val="en-GB" w:eastAsia="en-CA"/>
              </w:rPr>
              <w:t>Region </w:t>
            </w:r>
          </w:p>
        </w:tc>
      </w:tr>
      <w:tr w:rsidR="00FD547F" w:rsidRPr="00012E78" w14:paraId="31A0E9A1" w14:textId="77777777" w:rsidTr="00324979">
        <w:trPr>
          <w:trHeight w:val="65"/>
        </w:trPr>
        <w:tc>
          <w:tcPr>
            <w:tcW w:w="1530" w:type="dxa"/>
            <w:tcBorders>
              <w:top w:val="nil"/>
              <w:left w:val="single" w:sz="4" w:space="0" w:color="auto"/>
              <w:bottom w:val="single" w:sz="4" w:space="0" w:color="auto"/>
              <w:right w:val="single" w:sz="4" w:space="0" w:color="auto"/>
            </w:tcBorders>
            <w:noWrap/>
            <w:hideMark/>
          </w:tcPr>
          <w:p w14:paraId="7EECC8ED" w14:textId="0ADC4B20" w:rsidR="00FD547F" w:rsidRPr="00012E78" w:rsidRDefault="00FD547F" w:rsidP="00FD547F">
            <w:pPr>
              <w:jc w:val="left"/>
              <w:rPr>
                <w:color w:val="000000"/>
                <w:sz w:val="17"/>
                <w:szCs w:val="17"/>
                <w:lang w:val="en-GB" w:eastAsia="en-CA"/>
              </w:rPr>
            </w:pPr>
            <w:r w:rsidRPr="00012E78">
              <w:rPr>
                <w:sz w:val="17"/>
                <w:szCs w:val="17"/>
              </w:rPr>
              <w:t>Africa</w:t>
            </w:r>
          </w:p>
        </w:tc>
        <w:tc>
          <w:tcPr>
            <w:tcW w:w="720" w:type="dxa"/>
            <w:tcBorders>
              <w:top w:val="nil"/>
              <w:left w:val="nil"/>
              <w:bottom w:val="single" w:sz="4" w:space="0" w:color="auto"/>
              <w:right w:val="single" w:sz="4" w:space="0" w:color="auto"/>
            </w:tcBorders>
            <w:noWrap/>
          </w:tcPr>
          <w:p w14:paraId="5CE539DC" w14:textId="26CA1212" w:rsidR="00FD547F" w:rsidRPr="00012E78" w:rsidRDefault="00FD547F" w:rsidP="00FD547F">
            <w:pPr>
              <w:jc w:val="right"/>
              <w:rPr>
                <w:i/>
                <w:iCs/>
                <w:color w:val="000000"/>
                <w:sz w:val="17"/>
                <w:szCs w:val="17"/>
                <w:lang w:val="en-GB" w:eastAsia="en-CA"/>
              </w:rPr>
            </w:pPr>
            <w:r w:rsidRPr="00012E78">
              <w:rPr>
                <w:sz w:val="17"/>
                <w:szCs w:val="17"/>
              </w:rPr>
              <w:t>2,873</w:t>
            </w:r>
          </w:p>
        </w:tc>
        <w:tc>
          <w:tcPr>
            <w:tcW w:w="1170" w:type="dxa"/>
            <w:tcBorders>
              <w:top w:val="nil"/>
              <w:left w:val="nil"/>
              <w:bottom w:val="single" w:sz="4" w:space="0" w:color="auto"/>
              <w:right w:val="single" w:sz="4" w:space="0" w:color="auto"/>
            </w:tcBorders>
            <w:noWrap/>
          </w:tcPr>
          <w:p w14:paraId="60E9A03C" w14:textId="4CFA8142" w:rsidR="00FD547F" w:rsidRPr="00012E78" w:rsidRDefault="00FD547F" w:rsidP="00FD547F">
            <w:pPr>
              <w:jc w:val="right"/>
              <w:rPr>
                <w:color w:val="000000"/>
                <w:sz w:val="17"/>
                <w:szCs w:val="17"/>
                <w:lang w:val="en-GB" w:eastAsia="en-CA"/>
              </w:rPr>
            </w:pPr>
            <w:r w:rsidRPr="00012E78">
              <w:rPr>
                <w:sz w:val="17"/>
                <w:szCs w:val="17"/>
              </w:rPr>
              <w:t>23,474</w:t>
            </w:r>
          </w:p>
        </w:tc>
        <w:tc>
          <w:tcPr>
            <w:tcW w:w="1134" w:type="dxa"/>
            <w:tcBorders>
              <w:top w:val="nil"/>
              <w:left w:val="nil"/>
              <w:bottom w:val="single" w:sz="4" w:space="0" w:color="auto"/>
              <w:right w:val="single" w:sz="4" w:space="0" w:color="auto"/>
            </w:tcBorders>
            <w:noWrap/>
          </w:tcPr>
          <w:p w14:paraId="7DB50C8A" w14:textId="764EB43B" w:rsidR="00FD547F" w:rsidRPr="00012E78" w:rsidRDefault="00FD547F" w:rsidP="00FD547F">
            <w:pPr>
              <w:jc w:val="right"/>
              <w:rPr>
                <w:color w:val="000000"/>
                <w:sz w:val="17"/>
                <w:szCs w:val="17"/>
                <w:lang w:val="en-GB" w:eastAsia="en-CA"/>
              </w:rPr>
            </w:pPr>
            <w:r w:rsidRPr="00012E78">
              <w:rPr>
                <w:sz w:val="17"/>
                <w:szCs w:val="17"/>
              </w:rPr>
              <w:t>23,152</w:t>
            </w:r>
          </w:p>
        </w:tc>
        <w:tc>
          <w:tcPr>
            <w:tcW w:w="1134" w:type="dxa"/>
            <w:tcBorders>
              <w:top w:val="nil"/>
              <w:left w:val="nil"/>
              <w:bottom w:val="single" w:sz="4" w:space="0" w:color="auto"/>
              <w:right w:val="single" w:sz="4" w:space="0" w:color="auto"/>
            </w:tcBorders>
            <w:noWrap/>
          </w:tcPr>
          <w:p w14:paraId="25AEF5CF" w14:textId="76805E11" w:rsidR="00FD547F" w:rsidRPr="00012E78" w:rsidRDefault="00FD547F" w:rsidP="00FD547F">
            <w:pPr>
              <w:jc w:val="right"/>
              <w:rPr>
                <w:color w:val="000000"/>
                <w:sz w:val="17"/>
                <w:szCs w:val="17"/>
                <w:lang w:val="en-GB" w:eastAsia="en-CA"/>
              </w:rPr>
            </w:pPr>
            <w:r w:rsidRPr="00012E78">
              <w:rPr>
                <w:sz w:val="17"/>
                <w:szCs w:val="17"/>
              </w:rPr>
              <w:t>5,588</w:t>
            </w:r>
          </w:p>
        </w:tc>
        <w:tc>
          <w:tcPr>
            <w:tcW w:w="1152" w:type="dxa"/>
            <w:tcBorders>
              <w:top w:val="nil"/>
              <w:left w:val="nil"/>
              <w:bottom w:val="single" w:sz="4" w:space="0" w:color="auto"/>
              <w:right w:val="single" w:sz="4" w:space="0" w:color="auto"/>
            </w:tcBorders>
            <w:noWrap/>
          </w:tcPr>
          <w:p w14:paraId="4418BA6D" w14:textId="31799C65" w:rsidR="00FD547F" w:rsidRPr="00012E78" w:rsidRDefault="00FD547F" w:rsidP="00FD547F">
            <w:pPr>
              <w:jc w:val="right"/>
              <w:rPr>
                <w:color w:val="000000"/>
                <w:sz w:val="17"/>
                <w:szCs w:val="17"/>
                <w:lang w:val="en-GB" w:eastAsia="en-CA"/>
              </w:rPr>
            </w:pPr>
            <w:r w:rsidRPr="00012E78">
              <w:rPr>
                <w:sz w:val="17"/>
                <w:szCs w:val="17"/>
              </w:rPr>
              <w:t>29</w:t>
            </w:r>
          </w:p>
        </w:tc>
        <w:tc>
          <w:tcPr>
            <w:tcW w:w="990" w:type="dxa"/>
            <w:tcBorders>
              <w:top w:val="nil"/>
              <w:left w:val="nil"/>
              <w:bottom w:val="single" w:sz="4" w:space="0" w:color="auto"/>
              <w:right w:val="single" w:sz="4" w:space="0" w:color="auto"/>
            </w:tcBorders>
            <w:noWrap/>
          </w:tcPr>
          <w:p w14:paraId="03B4B23B" w14:textId="213E50DD" w:rsidR="00FD547F" w:rsidRPr="00012E78" w:rsidRDefault="00FD547F" w:rsidP="00FD547F">
            <w:pPr>
              <w:jc w:val="right"/>
              <w:rPr>
                <w:color w:val="000000"/>
                <w:sz w:val="17"/>
                <w:szCs w:val="17"/>
                <w:lang w:val="en-GB" w:eastAsia="en-CA"/>
              </w:rPr>
            </w:pPr>
            <w:r w:rsidRPr="00012E78">
              <w:rPr>
                <w:sz w:val="17"/>
                <w:szCs w:val="17"/>
              </w:rPr>
              <w:t>0</w:t>
            </w:r>
          </w:p>
        </w:tc>
        <w:tc>
          <w:tcPr>
            <w:tcW w:w="993" w:type="dxa"/>
            <w:tcBorders>
              <w:top w:val="nil"/>
              <w:left w:val="nil"/>
              <w:bottom w:val="single" w:sz="4" w:space="0" w:color="auto"/>
              <w:right w:val="single" w:sz="4" w:space="0" w:color="auto"/>
            </w:tcBorders>
            <w:noWrap/>
          </w:tcPr>
          <w:p w14:paraId="4626319D" w14:textId="15B48647" w:rsidR="00FD547F" w:rsidRPr="00012E78" w:rsidRDefault="00FD547F" w:rsidP="00FD547F">
            <w:pPr>
              <w:jc w:val="right"/>
              <w:rPr>
                <w:color w:val="000000"/>
                <w:sz w:val="17"/>
                <w:szCs w:val="17"/>
                <w:lang w:val="en-GB" w:eastAsia="en-CA"/>
              </w:rPr>
            </w:pPr>
            <w:r w:rsidRPr="00012E78">
              <w:rPr>
                <w:sz w:val="17"/>
                <w:szCs w:val="17"/>
              </w:rPr>
              <w:t>0</w:t>
            </w:r>
          </w:p>
        </w:tc>
        <w:tc>
          <w:tcPr>
            <w:tcW w:w="1257" w:type="dxa"/>
            <w:tcBorders>
              <w:top w:val="nil"/>
              <w:left w:val="nil"/>
              <w:bottom w:val="single" w:sz="4" w:space="0" w:color="auto"/>
              <w:right w:val="single" w:sz="4" w:space="0" w:color="auto"/>
            </w:tcBorders>
            <w:noWrap/>
          </w:tcPr>
          <w:p w14:paraId="424A2602" w14:textId="375A6064" w:rsidR="00FD547F" w:rsidRPr="00012E78" w:rsidRDefault="00FD547F" w:rsidP="00FD547F">
            <w:pPr>
              <w:jc w:val="right"/>
              <w:rPr>
                <w:color w:val="000000"/>
                <w:sz w:val="17"/>
                <w:szCs w:val="17"/>
                <w:lang w:val="en-GB" w:eastAsia="en-CA"/>
              </w:rPr>
            </w:pPr>
            <w:r w:rsidRPr="00012E78">
              <w:rPr>
                <w:sz w:val="17"/>
                <w:szCs w:val="17"/>
              </w:rPr>
              <w:t>504,259,764</w:t>
            </w:r>
          </w:p>
        </w:tc>
      </w:tr>
      <w:tr w:rsidR="00FD547F" w:rsidRPr="00012E78" w14:paraId="019C7A6B" w14:textId="77777777" w:rsidTr="00324979">
        <w:trPr>
          <w:trHeight w:val="124"/>
        </w:trPr>
        <w:tc>
          <w:tcPr>
            <w:tcW w:w="1530" w:type="dxa"/>
            <w:tcBorders>
              <w:top w:val="nil"/>
              <w:left w:val="single" w:sz="4" w:space="0" w:color="auto"/>
              <w:bottom w:val="single" w:sz="4" w:space="0" w:color="auto"/>
              <w:right w:val="single" w:sz="4" w:space="0" w:color="auto"/>
            </w:tcBorders>
            <w:noWrap/>
            <w:hideMark/>
          </w:tcPr>
          <w:p w14:paraId="052F833C" w14:textId="6467A5B0" w:rsidR="00FD547F" w:rsidRPr="00012E78" w:rsidRDefault="00FD547F" w:rsidP="00FD547F">
            <w:pPr>
              <w:ind w:right="-110"/>
              <w:jc w:val="left"/>
              <w:rPr>
                <w:color w:val="000000"/>
                <w:sz w:val="17"/>
                <w:szCs w:val="17"/>
                <w:lang w:val="en-GB" w:eastAsia="en-CA"/>
              </w:rPr>
            </w:pPr>
            <w:r w:rsidRPr="00012E78">
              <w:rPr>
                <w:sz w:val="17"/>
                <w:szCs w:val="17"/>
              </w:rPr>
              <w:t>Asia and the Pacific</w:t>
            </w:r>
          </w:p>
        </w:tc>
        <w:tc>
          <w:tcPr>
            <w:tcW w:w="720" w:type="dxa"/>
            <w:tcBorders>
              <w:top w:val="nil"/>
              <w:left w:val="nil"/>
              <w:bottom w:val="single" w:sz="4" w:space="0" w:color="auto"/>
              <w:right w:val="single" w:sz="4" w:space="0" w:color="auto"/>
            </w:tcBorders>
            <w:noWrap/>
          </w:tcPr>
          <w:p w14:paraId="0ACA3BB0" w14:textId="43C0BB8C" w:rsidR="00FD547F" w:rsidRPr="00012E78" w:rsidRDefault="00FD547F" w:rsidP="00FD547F">
            <w:pPr>
              <w:jc w:val="right"/>
              <w:rPr>
                <w:color w:val="000000"/>
                <w:sz w:val="17"/>
                <w:szCs w:val="17"/>
                <w:lang w:val="en-GB" w:eastAsia="en-CA"/>
              </w:rPr>
            </w:pPr>
            <w:r w:rsidRPr="00012E78">
              <w:rPr>
                <w:sz w:val="17"/>
                <w:szCs w:val="17"/>
              </w:rPr>
              <w:t>4,024</w:t>
            </w:r>
          </w:p>
        </w:tc>
        <w:tc>
          <w:tcPr>
            <w:tcW w:w="1170" w:type="dxa"/>
            <w:tcBorders>
              <w:top w:val="nil"/>
              <w:left w:val="nil"/>
              <w:bottom w:val="single" w:sz="4" w:space="0" w:color="auto"/>
              <w:right w:val="single" w:sz="4" w:space="0" w:color="auto"/>
            </w:tcBorders>
            <w:noWrap/>
          </w:tcPr>
          <w:p w14:paraId="0B608CD5" w14:textId="7BE70BBB" w:rsidR="00FD547F" w:rsidRPr="00012E78" w:rsidRDefault="00FD547F" w:rsidP="00FD547F">
            <w:pPr>
              <w:jc w:val="right"/>
              <w:rPr>
                <w:color w:val="000000"/>
                <w:sz w:val="17"/>
                <w:szCs w:val="17"/>
                <w:lang w:val="en-GB" w:eastAsia="en-CA"/>
              </w:rPr>
            </w:pPr>
            <w:r w:rsidRPr="00012E78">
              <w:rPr>
                <w:sz w:val="17"/>
                <w:szCs w:val="17"/>
              </w:rPr>
              <w:t>216,944</w:t>
            </w:r>
          </w:p>
        </w:tc>
        <w:tc>
          <w:tcPr>
            <w:tcW w:w="1134" w:type="dxa"/>
            <w:tcBorders>
              <w:top w:val="nil"/>
              <w:left w:val="nil"/>
              <w:bottom w:val="single" w:sz="4" w:space="0" w:color="auto"/>
              <w:right w:val="single" w:sz="4" w:space="0" w:color="auto"/>
            </w:tcBorders>
            <w:noWrap/>
          </w:tcPr>
          <w:p w14:paraId="12077C35" w14:textId="222A0D08" w:rsidR="00FD547F" w:rsidRPr="00012E78" w:rsidRDefault="00FD547F" w:rsidP="00FD547F">
            <w:pPr>
              <w:jc w:val="right"/>
              <w:rPr>
                <w:color w:val="000000"/>
                <w:sz w:val="17"/>
                <w:szCs w:val="17"/>
                <w:lang w:val="en-GB" w:eastAsia="en-CA"/>
              </w:rPr>
            </w:pPr>
            <w:r w:rsidRPr="00012E78">
              <w:rPr>
                <w:sz w:val="17"/>
                <w:szCs w:val="17"/>
              </w:rPr>
              <w:t>238,113</w:t>
            </w:r>
          </w:p>
        </w:tc>
        <w:tc>
          <w:tcPr>
            <w:tcW w:w="1134" w:type="dxa"/>
            <w:tcBorders>
              <w:top w:val="nil"/>
              <w:left w:val="nil"/>
              <w:bottom w:val="single" w:sz="4" w:space="0" w:color="auto"/>
              <w:right w:val="single" w:sz="4" w:space="0" w:color="auto"/>
            </w:tcBorders>
            <w:noWrap/>
          </w:tcPr>
          <w:p w14:paraId="4434B2E7" w14:textId="120B9737" w:rsidR="00FD547F" w:rsidRPr="00012E78" w:rsidRDefault="00FD547F" w:rsidP="00FD547F">
            <w:pPr>
              <w:jc w:val="right"/>
              <w:rPr>
                <w:color w:val="000000"/>
                <w:sz w:val="17"/>
                <w:szCs w:val="17"/>
                <w:lang w:val="en-GB" w:eastAsia="en-CA"/>
              </w:rPr>
            </w:pPr>
            <w:r w:rsidRPr="00012E78">
              <w:rPr>
                <w:sz w:val="17"/>
                <w:szCs w:val="17"/>
              </w:rPr>
              <w:t>4,840</w:t>
            </w:r>
          </w:p>
        </w:tc>
        <w:tc>
          <w:tcPr>
            <w:tcW w:w="1152" w:type="dxa"/>
            <w:tcBorders>
              <w:top w:val="nil"/>
              <w:left w:val="nil"/>
              <w:bottom w:val="single" w:sz="4" w:space="0" w:color="auto"/>
              <w:right w:val="single" w:sz="4" w:space="0" w:color="auto"/>
            </w:tcBorders>
            <w:noWrap/>
          </w:tcPr>
          <w:p w14:paraId="34C023DB" w14:textId="70E08CFE" w:rsidR="00FD547F" w:rsidRPr="00012E78" w:rsidRDefault="00FD547F" w:rsidP="00FD547F">
            <w:pPr>
              <w:jc w:val="right"/>
              <w:rPr>
                <w:color w:val="000000"/>
                <w:sz w:val="17"/>
                <w:szCs w:val="17"/>
                <w:lang w:val="en-GB" w:eastAsia="en-CA"/>
              </w:rPr>
            </w:pPr>
            <w:r w:rsidRPr="00012E78">
              <w:rPr>
                <w:sz w:val="17"/>
                <w:szCs w:val="17"/>
              </w:rPr>
              <w:t>602</w:t>
            </w:r>
          </w:p>
        </w:tc>
        <w:tc>
          <w:tcPr>
            <w:tcW w:w="990" w:type="dxa"/>
            <w:tcBorders>
              <w:top w:val="nil"/>
              <w:left w:val="nil"/>
              <w:bottom w:val="single" w:sz="4" w:space="0" w:color="auto"/>
              <w:right w:val="single" w:sz="4" w:space="0" w:color="auto"/>
            </w:tcBorders>
            <w:noWrap/>
          </w:tcPr>
          <w:p w14:paraId="4A2C5D87" w14:textId="6909E048" w:rsidR="00FD547F" w:rsidRPr="00012E78" w:rsidRDefault="00FD547F" w:rsidP="00FD547F">
            <w:pPr>
              <w:jc w:val="right"/>
              <w:rPr>
                <w:color w:val="000000"/>
                <w:sz w:val="17"/>
                <w:szCs w:val="17"/>
                <w:lang w:val="en-GB" w:eastAsia="en-CA"/>
              </w:rPr>
            </w:pPr>
            <w:r w:rsidRPr="00012E78">
              <w:rPr>
                <w:sz w:val="17"/>
                <w:szCs w:val="17"/>
              </w:rPr>
              <w:t>179,607</w:t>
            </w:r>
          </w:p>
        </w:tc>
        <w:tc>
          <w:tcPr>
            <w:tcW w:w="993" w:type="dxa"/>
            <w:tcBorders>
              <w:top w:val="nil"/>
              <w:left w:val="nil"/>
              <w:bottom w:val="single" w:sz="4" w:space="0" w:color="auto"/>
              <w:right w:val="single" w:sz="4" w:space="0" w:color="auto"/>
            </w:tcBorders>
            <w:noWrap/>
          </w:tcPr>
          <w:p w14:paraId="230CDD23" w14:textId="58C8978C" w:rsidR="00FD547F" w:rsidRPr="00012E78" w:rsidRDefault="00FD547F" w:rsidP="00FD547F">
            <w:pPr>
              <w:jc w:val="right"/>
              <w:rPr>
                <w:color w:val="000000"/>
                <w:sz w:val="17"/>
                <w:szCs w:val="17"/>
                <w:lang w:val="en-GB" w:eastAsia="en-CA"/>
              </w:rPr>
            </w:pPr>
            <w:r w:rsidRPr="00012E78">
              <w:rPr>
                <w:sz w:val="17"/>
                <w:szCs w:val="17"/>
              </w:rPr>
              <w:t>179,635</w:t>
            </w:r>
          </w:p>
        </w:tc>
        <w:tc>
          <w:tcPr>
            <w:tcW w:w="1257" w:type="dxa"/>
            <w:tcBorders>
              <w:top w:val="nil"/>
              <w:left w:val="nil"/>
              <w:bottom w:val="single" w:sz="4" w:space="0" w:color="auto"/>
              <w:right w:val="single" w:sz="4" w:space="0" w:color="auto"/>
            </w:tcBorders>
            <w:noWrap/>
          </w:tcPr>
          <w:p w14:paraId="3F8C3A11" w14:textId="750253BE" w:rsidR="00FD547F" w:rsidRPr="00012E78" w:rsidRDefault="00FD547F" w:rsidP="00FD547F">
            <w:pPr>
              <w:jc w:val="right"/>
              <w:rPr>
                <w:color w:val="000000"/>
                <w:sz w:val="17"/>
                <w:szCs w:val="17"/>
                <w:lang w:val="en-GB" w:eastAsia="en-CA"/>
              </w:rPr>
            </w:pPr>
            <w:r w:rsidRPr="00012E78">
              <w:rPr>
                <w:sz w:val="17"/>
                <w:szCs w:val="17"/>
              </w:rPr>
              <w:t>2,712,704,357</w:t>
            </w:r>
          </w:p>
        </w:tc>
      </w:tr>
      <w:tr w:rsidR="00FD547F" w:rsidRPr="00012E78" w14:paraId="030523C2" w14:textId="77777777" w:rsidTr="00324979">
        <w:trPr>
          <w:trHeight w:val="56"/>
        </w:trPr>
        <w:tc>
          <w:tcPr>
            <w:tcW w:w="1530" w:type="dxa"/>
            <w:tcBorders>
              <w:top w:val="nil"/>
              <w:left w:val="single" w:sz="4" w:space="0" w:color="auto"/>
              <w:bottom w:val="single" w:sz="4" w:space="0" w:color="auto"/>
              <w:right w:val="single" w:sz="4" w:space="0" w:color="auto"/>
            </w:tcBorders>
            <w:noWrap/>
            <w:hideMark/>
          </w:tcPr>
          <w:p w14:paraId="6B10FEFC" w14:textId="24EE9A8B" w:rsidR="00FD547F" w:rsidRPr="00012E78" w:rsidRDefault="00FD547F" w:rsidP="00FD547F">
            <w:pPr>
              <w:jc w:val="left"/>
              <w:rPr>
                <w:color w:val="000000"/>
                <w:sz w:val="17"/>
                <w:szCs w:val="17"/>
                <w:lang w:val="en-GB" w:eastAsia="en-CA"/>
              </w:rPr>
            </w:pPr>
            <w:r w:rsidRPr="00012E78">
              <w:rPr>
                <w:sz w:val="17"/>
                <w:szCs w:val="17"/>
              </w:rPr>
              <w:t>Europe</w:t>
            </w:r>
          </w:p>
        </w:tc>
        <w:tc>
          <w:tcPr>
            <w:tcW w:w="720" w:type="dxa"/>
            <w:tcBorders>
              <w:top w:val="nil"/>
              <w:left w:val="nil"/>
              <w:bottom w:val="single" w:sz="4" w:space="0" w:color="auto"/>
              <w:right w:val="single" w:sz="4" w:space="0" w:color="auto"/>
            </w:tcBorders>
            <w:noWrap/>
          </w:tcPr>
          <w:p w14:paraId="0612F885" w14:textId="7F280378" w:rsidR="00FD547F" w:rsidRPr="00012E78" w:rsidRDefault="00FD547F" w:rsidP="00FD547F">
            <w:pPr>
              <w:jc w:val="right"/>
              <w:rPr>
                <w:color w:val="000000"/>
                <w:sz w:val="17"/>
                <w:szCs w:val="17"/>
                <w:lang w:val="en-GB" w:eastAsia="en-CA"/>
              </w:rPr>
            </w:pPr>
            <w:r w:rsidRPr="00012E78">
              <w:rPr>
                <w:sz w:val="17"/>
                <w:szCs w:val="17"/>
              </w:rPr>
              <w:t>709</w:t>
            </w:r>
          </w:p>
        </w:tc>
        <w:tc>
          <w:tcPr>
            <w:tcW w:w="1170" w:type="dxa"/>
            <w:tcBorders>
              <w:top w:val="nil"/>
              <w:left w:val="nil"/>
              <w:bottom w:val="single" w:sz="4" w:space="0" w:color="auto"/>
              <w:right w:val="single" w:sz="4" w:space="0" w:color="auto"/>
            </w:tcBorders>
            <w:noWrap/>
          </w:tcPr>
          <w:p w14:paraId="20D4C5C8" w14:textId="2A61841A" w:rsidR="00FD547F" w:rsidRPr="00012E78" w:rsidRDefault="00FD547F" w:rsidP="00FD547F">
            <w:pPr>
              <w:jc w:val="right"/>
              <w:rPr>
                <w:color w:val="000000"/>
                <w:sz w:val="17"/>
                <w:szCs w:val="17"/>
                <w:lang w:val="en-GB" w:eastAsia="en-CA"/>
              </w:rPr>
            </w:pPr>
            <w:r w:rsidRPr="00012E78">
              <w:rPr>
                <w:sz w:val="17"/>
                <w:szCs w:val="17"/>
              </w:rPr>
              <w:t>9,175</w:t>
            </w:r>
          </w:p>
        </w:tc>
        <w:tc>
          <w:tcPr>
            <w:tcW w:w="1134" w:type="dxa"/>
            <w:tcBorders>
              <w:top w:val="nil"/>
              <w:left w:val="nil"/>
              <w:bottom w:val="single" w:sz="4" w:space="0" w:color="auto"/>
              <w:right w:val="single" w:sz="4" w:space="0" w:color="auto"/>
            </w:tcBorders>
            <w:noWrap/>
          </w:tcPr>
          <w:p w14:paraId="1DB45DBA" w14:textId="2B83809A" w:rsidR="00FD547F" w:rsidRPr="00012E78" w:rsidRDefault="00FD547F" w:rsidP="00FD547F">
            <w:pPr>
              <w:jc w:val="right"/>
              <w:rPr>
                <w:color w:val="000000"/>
                <w:sz w:val="17"/>
                <w:szCs w:val="17"/>
                <w:lang w:val="en-GB" w:eastAsia="en-CA"/>
              </w:rPr>
            </w:pPr>
            <w:r w:rsidRPr="00012E78">
              <w:rPr>
                <w:sz w:val="17"/>
                <w:szCs w:val="17"/>
              </w:rPr>
              <w:t>9,296</w:t>
            </w:r>
          </w:p>
        </w:tc>
        <w:tc>
          <w:tcPr>
            <w:tcW w:w="1134" w:type="dxa"/>
            <w:tcBorders>
              <w:top w:val="nil"/>
              <w:left w:val="nil"/>
              <w:bottom w:val="single" w:sz="4" w:space="0" w:color="auto"/>
              <w:right w:val="single" w:sz="4" w:space="0" w:color="auto"/>
            </w:tcBorders>
            <w:noWrap/>
          </w:tcPr>
          <w:p w14:paraId="2B7C7AC5" w14:textId="08E3EF33" w:rsidR="00FD547F" w:rsidRPr="00012E78" w:rsidRDefault="00FD547F" w:rsidP="00FD547F">
            <w:pPr>
              <w:jc w:val="right"/>
              <w:rPr>
                <w:color w:val="000000"/>
                <w:sz w:val="17"/>
                <w:szCs w:val="17"/>
                <w:lang w:val="en-GB" w:eastAsia="en-CA"/>
              </w:rPr>
            </w:pPr>
            <w:r w:rsidRPr="00012E78">
              <w:rPr>
                <w:sz w:val="17"/>
                <w:szCs w:val="17"/>
              </w:rPr>
              <w:t>747</w:t>
            </w:r>
          </w:p>
        </w:tc>
        <w:tc>
          <w:tcPr>
            <w:tcW w:w="1152" w:type="dxa"/>
            <w:tcBorders>
              <w:top w:val="nil"/>
              <w:left w:val="nil"/>
              <w:bottom w:val="single" w:sz="4" w:space="0" w:color="auto"/>
              <w:right w:val="single" w:sz="4" w:space="0" w:color="auto"/>
            </w:tcBorders>
            <w:noWrap/>
          </w:tcPr>
          <w:p w14:paraId="617E9502" w14:textId="0AB98DBA" w:rsidR="00FD547F" w:rsidRPr="00012E78" w:rsidRDefault="00FD547F" w:rsidP="00FD547F">
            <w:pPr>
              <w:jc w:val="right"/>
              <w:rPr>
                <w:color w:val="000000"/>
                <w:sz w:val="17"/>
                <w:szCs w:val="17"/>
                <w:lang w:val="en-GB" w:eastAsia="en-CA"/>
              </w:rPr>
            </w:pPr>
            <w:r w:rsidRPr="00012E78">
              <w:rPr>
                <w:sz w:val="17"/>
                <w:szCs w:val="17"/>
              </w:rPr>
              <w:t>13</w:t>
            </w:r>
          </w:p>
        </w:tc>
        <w:tc>
          <w:tcPr>
            <w:tcW w:w="990" w:type="dxa"/>
            <w:tcBorders>
              <w:top w:val="nil"/>
              <w:left w:val="nil"/>
              <w:bottom w:val="single" w:sz="4" w:space="0" w:color="auto"/>
              <w:right w:val="single" w:sz="4" w:space="0" w:color="auto"/>
            </w:tcBorders>
            <w:noWrap/>
          </w:tcPr>
          <w:p w14:paraId="50274578" w14:textId="1BDC6939" w:rsidR="00FD547F" w:rsidRPr="00012E78" w:rsidRDefault="00FD547F" w:rsidP="00FD547F">
            <w:pPr>
              <w:jc w:val="right"/>
              <w:rPr>
                <w:color w:val="000000"/>
                <w:sz w:val="17"/>
                <w:szCs w:val="17"/>
                <w:lang w:val="en-GB" w:eastAsia="en-CA"/>
              </w:rPr>
            </w:pPr>
            <w:r w:rsidRPr="00012E78">
              <w:rPr>
                <w:sz w:val="17"/>
                <w:szCs w:val="17"/>
              </w:rPr>
              <w:t>175</w:t>
            </w:r>
          </w:p>
        </w:tc>
        <w:tc>
          <w:tcPr>
            <w:tcW w:w="993" w:type="dxa"/>
            <w:tcBorders>
              <w:top w:val="nil"/>
              <w:left w:val="nil"/>
              <w:bottom w:val="single" w:sz="4" w:space="0" w:color="auto"/>
              <w:right w:val="single" w:sz="4" w:space="0" w:color="auto"/>
            </w:tcBorders>
            <w:noWrap/>
          </w:tcPr>
          <w:p w14:paraId="0DA0DAF9" w14:textId="09B55233" w:rsidR="00FD547F" w:rsidRPr="00012E78" w:rsidRDefault="00FD547F" w:rsidP="00FD547F">
            <w:pPr>
              <w:jc w:val="right"/>
              <w:rPr>
                <w:color w:val="000000"/>
                <w:sz w:val="17"/>
                <w:szCs w:val="17"/>
                <w:lang w:val="en-GB" w:eastAsia="en-CA"/>
              </w:rPr>
            </w:pPr>
            <w:r w:rsidRPr="00012E78">
              <w:rPr>
                <w:sz w:val="17"/>
                <w:szCs w:val="17"/>
              </w:rPr>
              <w:t>175</w:t>
            </w:r>
          </w:p>
        </w:tc>
        <w:tc>
          <w:tcPr>
            <w:tcW w:w="1257" w:type="dxa"/>
            <w:tcBorders>
              <w:top w:val="nil"/>
              <w:left w:val="nil"/>
              <w:bottom w:val="single" w:sz="4" w:space="0" w:color="auto"/>
              <w:right w:val="single" w:sz="4" w:space="0" w:color="auto"/>
            </w:tcBorders>
            <w:noWrap/>
          </w:tcPr>
          <w:p w14:paraId="6EFD35C8" w14:textId="1FB365B2" w:rsidR="00FD547F" w:rsidRPr="00012E78" w:rsidRDefault="00FD547F" w:rsidP="00FD547F">
            <w:pPr>
              <w:jc w:val="right"/>
              <w:rPr>
                <w:color w:val="000000"/>
                <w:sz w:val="17"/>
                <w:szCs w:val="17"/>
                <w:lang w:val="en-GB" w:eastAsia="en-CA"/>
              </w:rPr>
            </w:pPr>
            <w:r w:rsidRPr="00012E78">
              <w:rPr>
                <w:sz w:val="17"/>
                <w:szCs w:val="17"/>
              </w:rPr>
              <w:t>139,066,985</w:t>
            </w:r>
          </w:p>
        </w:tc>
      </w:tr>
      <w:tr w:rsidR="00FD547F" w:rsidRPr="00012E78" w14:paraId="4F6565EE" w14:textId="77777777" w:rsidTr="00324979">
        <w:trPr>
          <w:trHeight w:val="273"/>
        </w:trPr>
        <w:tc>
          <w:tcPr>
            <w:tcW w:w="1530" w:type="dxa"/>
            <w:tcBorders>
              <w:top w:val="nil"/>
              <w:left w:val="single" w:sz="4" w:space="0" w:color="auto"/>
              <w:bottom w:val="single" w:sz="4" w:space="0" w:color="auto"/>
              <w:right w:val="single" w:sz="4" w:space="0" w:color="auto"/>
            </w:tcBorders>
            <w:noWrap/>
            <w:hideMark/>
          </w:tcPr>
          <w:p w14:paraId="1D6A22F2" w14:textId="77777777" w:rsidR="00774699" w:rsidRDefault="00FD547F" w:rsidP="00FD547F">
            <w:pPr>
              <w:ind w:right="-248"/>
              <w:jc w:val="left"/>
              <w:rPr>
                <w:sz w:val="17"/>
                <w:szCs w:val="17"/>
              </w:rPr>
            </w:pPr>
            <w:r w:rsidRPr="00012E78">
              <w:rPr>
                <w:sz w:val="17"/>
                <w:szCs w:val="17"/>
              </w:rPr>
              <w:t>Latin America and</w:t>
            </w:r>
          </w:p>
          <w:p w14:paraId="773984BE" w14:textId="0BCB6746" w:rsidR="00FD547F" w:rsidRPr="00012E78" w:rsidRDefault="00FD547F" w:rsidP="00FD547F">
            <w:pPr>
              <w:ind w:right="-248"/>
              <w:jc w:val="left"/>
              <w:rPr>
                <w:color w:val="000000"/>
                <w:sz w:val="17"/>
                <w:szCs w:val="17"/>
                <w:lang w:val="en-GB" w:eastAsia="en-CA"/>
              </w:rPr>
            </w:pPr>
            <w:r w:rsidRPr="00012E78">
              <w:rPr>
                <w:sz w:val="17"/>
                <w:szCs w:val="17"/>
              </w:rPr>
              <w:t>the Caribbean</w:t>
            </w:r>
          </w:p>
        </w:tc>
        <w:tc>
          <w:tcPr>
            <w:tcW w:w="720" w:type="dxa"/>
            <w:tcBorders>
              <w:top w:val="nil"/>
              <w:left w:val="nil"/>
              <w:bottom w:val="single" w:sz="4" w:space="0" w:color="auto"/>
              <w:right w:val="single" w:sz="4" w:space="0" w:color="auto"/>
            </w:tcBorders>
            <w:noWrap/>
          </w:tcPr>
          <w:p w14:paraId="74A660DD" w14:textId="541D7227" w:rsidR="00FD547F" w:rsidRPr="00012E78" w:rsidRDefault="00FD547F" w:rsidP="00FD547F">
            <w:pPr>
              <w:jc w:val="right"/>
              <w:rPr>
                <w:color w:val="000000"/>
                <w:sz w:val="17"/>
                <w:szCs w:val="17"/>
                <w:lang w:val="en-GB" w:eastAsia="en-CA"/>
              </w:rPr>
            </w:pPr>
            <w:r w:rsidRPr="00012E78">
              <w:rPr>
                <w:sz w:val="17"/>
                <w:szCs w:val="17"/>
              </w:rPr>
              <w:t>2,619</w:t>
            </w:r>
          </w:p>
        </w:tc>
        <w:tc>
          <w:tcPr>
            <w:tcW w:w="1170" w:type="dxa"/>
            <w:tcBorders>
              <w:top w:val="nil"/>
              <w:left w:val="nil"/>
              <w:bottom w:val="single" w:sz="4" w:space="0" w:color="auto"/>
              <w:right w:val="single" w:sz="4" w:space="0" w:color="auto"/>
            </w:tcBorders>
            <w:noWrap/>
          </w:tcPr>
          <w:p w14:paraId="2DDEE829" w14:textId="0FA2F259" w:rsidR="00FD547F" w:rsidRPr="00012E78" w:rsidRDefault="00FD547F" w:rsidP="00FD547F">
            <w:pPr>
              <w:jc w:val="right"/>
              <w:rPr>
                <w:color w:val="000000"/>
                <w:sz w:val="17"/>
                <w:szCs w:val="17"/>
                <w:lang w:val="en-GB" w:eastAsia="en-CA"/>
              </w:rPr>
            </w:pPr>
            <w:r w:rsidRPr="00012E78">
              <w:rPr>
                <w:sz w:val="17"/>
                <w:szCs w:val="17"/>
              </w:rPr>
              <w:t>40,725</w:t>
            </w:r>
          </w:p>
        </w:tc>
        <w:tc>
          <w:tcPr>
            <w:tcW w:w="1134" w:type="dxa"/>
            <w:tcBorders>
              <w:top w:val="nil"/>
              <w:left w:val="nil"/>
              <w:bottom w:val="single" w:sz="4" w:space="0" w:color="auto"/>
              <w:right w:val="single" w:sz="4" w:space="0" w:color="auto"/>
            </w:tcBorders>
            <w:noWrap/>
          </w:tcPr>
          <w:p w14:paraId="5B7D39B2" w14:textId="729C9D5A" w:rsidR="00FD547F" w:rsidRPr="00012E78" w:rsidRDefault="00FD547F" w:rsidP="00FD547F">
            <w:pPr>
              <w:jc w:val="right"/>
              <w:rPr>
                <w:color w:val="000000"/>
                <w:sz w:val="17"/>
                <w:szCs w:val="17"/>
                <w:lang w:val="en-GB" w:eastAsia="en-CA"/>
              </w:rPr>
            </w:pPr>
            <w:r w:rsidRPr="00012E78">
              <w:rPr>
                <w:sz w:val="17"/>
                <w:szCs w:val="17"/>
              </w:rPr>
              <w:t>39,948</w:t>
            </w:r>
          </w:p>
        </w:tc>
        <w:tc>
          <w:tcPr>
            <w:tcW w:w="1134" w:type="dxa"/>
            <w:tcBorders>
              <w:top w:val="nil"/>
              <w:left w:val="nil"/>
              <w:bottom w:val="single" w:sz="4" w:space="0" w:color="auto"/>
              <w:right w:val="single" w:sz="4" w:space="0" w:color="auto"/>
            </w:tcBorders>
            <w:noWrap/>
          </w:tcPr>
          <w:p w14:paraId="6E1B4278" w14:textId="1F92B746" w:rsidR="00FD547F" w:rsidRPr="00012E78" w:rsidRDefault="00FD547F" w:rsidP="00FD547F">
            <w:pPr>
              <w:jc w:val="right"/>
              <w:rPr>
                <w:color w:val="000000"/>
                <w:sz w:val="17"/>
                <w:szCs w:val="17"/>
                <w:lang w:val="en-GB" w:eastAsia="en-CA"/>
              </w:rPr>
            </w:pPr>
            <w:r w:rsidRPr="00012E78">
              <w:rPr>
                <w:sz w:val="17"/>
                <w:szCs w:val="17"/>
              </w:rPr>
              <w:t>8,527</w:t>
            </w:r>
          </w:p>
        </w:tc>
        <w:tc>
          <w:tcPr>
            <w:tcW w:w="1152" w:type="dxa"/>
            <w:tcBorders>
              <w:top w:val="nil"/>
              <w:left w:val="nil"/>
              <w:bottom w:val="single" w:sz="4" w:space="0" w:color="auto"/>
              <w:right w:val="single" w:sz="4" w:space="0" w:color="auto"/>
            </w:tcBorders>
            <w:noWrap/>
          </w:tcPr>
          <w:p w14:paraId="26D1E982" w14:textId="0961A570" w:rsidR="00FD547F" w:rsidRPr="00012E78" w:rsidRDefault="00FD547F" w:rsidP="00FD547F">
            <w:pPr>
              <w:jc w:val="right"/>
              <w:rPr>
                <w:color w:val="000000"/>
                <w:sz w:val="17"/>
                <w:szCs w:val="17"/>
                <w:lang w:val="en-GB" w:eastAsia="en-CA"/>
              </w:rPr>
            </w:pPr>
            <w:r w:rsidRPr="00012E78">
              <w:rPr>
                <w:sz w:val="17"/>
                <w:szCs w:val="17"/>
              </w:rPr>
              <w:t>442</w:t>
            </w:r>
          </w:p>
        </w:tc>
        <w:tc>
          <w:tcPr>
            <w:tcW w:w="990" w:type="dxa"/>
            <w:tcBorders>
              <w:top w:val="nil"/>
              <w:left w:val="nil"/>
              <w:bottom w:val="single" w:sz="4" w:space="0" w:color="auto"/>
              <w:right w:val="single" w:sz="4" w:space="0" w:color="auto"/>
            </w:tcBorders>
            <w:noWrap/>
          </w:tcPr>
          <w:p w14:paraId="5DF7FA10" w14:textId="653C6F76" w:rsidR="00FD547F" w:rsidRPr="00012E78" w:rsidRDefault="00FD547F" w:rsidP="00FD547F">
            <w:pPr>
              <w:jc w:val="right"/>
              <w:rPr>
                <w:color w:val="000000"/>
                <w:sz w:val="17"/>
                <w:szCs w:val="17"/>
                <w:lang w:val="en-GB" w:eastAsia="en-CA"/>
              </w:rPr>
            </w:pPr>
            <w:r w:rsidRPr="00012E78">
              <w:rPr>
                <w:sz w:val="17"/>
                <w:szCs w:val="17"/>
              </w:rPr>
              <w:t>19,775</w:t>
            </w:r>
          </w:p>
        </w:tc>
        <w:tc>
          <w:tcPr>
            <w:tcW w:w="993" w:type="dxa"/>
            <w:tcBorders>
              <w:top w:val="nil"/>
              <w:left w:val="nil"/>
              <w:bottom w:val="single" w:sz="4" w:space="0" w:color="auto"/>
              <w:right w:val="single" w:sz="4" w:space="0" w:color="auto"/>
            </w:tcBorders>
            <w:noWrap/>
          </w:tcPr>
          <w:p w14:paraId="0D412FDA" w14:textId="6C61EE8F" w:rsidR="00FD547F" w:rsidRPr="00012E78" w:rsidRDefault="00FD547F" w:rsidP="00FD547F">
            <w:pPr>
              <w:jc w:val="right"/>
              <w:rPr>
                <w:color w:val="000000"/>
                <w:sz w:val="17"/>
                <w:szCs w:val="17"/>
                <w:lang w:val="en-GB" w:eastAsia="en-CA"/>
              </w:rPr>
            </w:pPr>
            <w:r w:rsidRPr="00012E78">
              <w:rPr>
                <w:sz w:val="17"/>
                <w:szCs w:val="17"/>
              </w:rPr>
              <w:t>19,775</w:t>
            </w:r>
          </w:p>
        </w:tc>
        <w:tc>
          <w:tcPr>
            <w:tcW w:w="1257" w:type="dxa"/>
            <w:tcBorders>
              <w:top w:val="nil"/>
              <w:left w:val="nil"/>
              <w:bottom w:val="single" w:sz="4" w:space="0" w:color="auto"/>
              <w:right w:val="single" w:sz="4" w:space="0" w:color="auto"/>
            </w:tcBorders>
            <w:noWrap/>
          </w:tcPr>
          <w:p w14:paraId="18D57139" w14:textId="0965EAA6" w:rsidR="00FD547F" w:rsidRPr="00012E78" w:rsidRDefault="00FD547F" w:rsidP="00FD547F">
            <w:pPr>
              <w:jc w:val="right"/>
              <w:rPr>
                <w:color w:val="000000"/>
                <w:sz w:val="17"/>
                <w:szCs w:val="17"/>
                <w:lang w:val="en-GB" w:eastAsia="en-CA"/>
              </w:rPr>
            </w:pPr>
            <w:r w:rsidRPr="00012E78">
              <w:rPr>
                <w:sz w:val="17"/>
                <w:szCs w:val="17"/>
              </w:rPr>
              <w:t>749,951,110</w:t>
            </w:r>
          </w:p>
        </w:tc>
      </w:tr>
      <w:tr w:rsidR="00FD547F" w:rsidRPr="00012E78" w14:paraId="6D0EB9E1" w14:textId="77777777" w:rsidTr="00324979">
        <w:trPr>
          <w:trHeight w:val="122"/>
        </w:trPr>
        <w:tc>
          <w:tcPr>
            <w:tcW w:w="1530" w:type="dxa"/>
            <w:tcBorders>
              <w:top w:val="nil"/>
              <w:left w:val="single" w:sz="4" w:space="0" w:color="auto"/>
              <w:bottom w:val="single" w:sz="4" w:space="0" w:color="auto"/>
              <w:right w:val="single" w:sz="4" w:space="0" w:color="auto"/>
            </w:tcBorders>
            <w:noWrap/>
            <w:hideMark/>
          </w:tcPr>
          <w:p w14:paraId="00044D95" w14:textId="3E3F244A" w:rsidR="00FD547F" w:rsidRPr="00012E78" w:rsidRDefault="00FD547F" w:rsidP="00FD547F">
            <w:pPr>
              <w:jc w:val="left"/>
              <w:rPr>
                <w:color w:val="000000"/>
                <w:sz w:val="17"/>
                <w:szCs w:val="17"/>
                <w:lang w:val="en-GB" w:eastAsia="en-CA"/>
              </w:rPr>
            </w:pPr>
            <w:r w:rsidRPr="00012E78">
              <w:rPr>
                <w:sz w:val="17"/>
                <w:szCs w:val="17"/>
              </w:rPr>
              <w:t>Global</w:t>
            </w:r>
          </w:p>
        </w:tc>
        <w:tc>
          <w:tcPr>
            <w:tcW w:w="720" w:type="dxa"/>
            <w:tcBorders>
              <w:top w:val="nil"/>
              <w:left w:val="nil"/>
              <w:bottom w:val="single" w:sz="4" w:space="0" w:color="auto"/>
              <w:right w:val="single" w:sz="4" w:space="0" w:color="auto"/>
            </w:tcBorders>
            <w:noWrap/>
          </w:tcPr>
          <w:p w14:paraId="4020F2BE" w14:textId="5806F15F" w:rsidR="00FD547F" w:rsidRPr="00012E78" w:rsidRDefault="00FD547F" w:rsidP="00FD547F">
            <w:pPr>
              <w:jc w:val="right"/>
              <w:rPr>
                <w:color w:val="000000"/>
                <w:sz w:val="17"/>
                <w:szCs w:val="17"/>
                <w:lang w:val="en-GB" w:eastAsia="en-CA"/>
              </w:rPr>
            </w:pPr>
            <w:r w:rsidRPr="00012E78">
              <w:rPr>
                <w:sz w:val="17"/>
                <w:szCs w:val="17"/>
              </w:rPr>
              <w:t>359</w:t>
            </w:r>
          </w:p>
        </w:tc>
        <w:tc>
          <w:tcPr>
            <w:tcW w:w="1170" w:type="dxa"/>
            <w:tcBorders>
              <w:top w:val="nil"/>
              <w:left w:val="nil"/>
              <w:bottom w:val="single" w:sz="4" w:space="0" w:color="auto"/>
              <w:right w:val="single" w:sz="4" w:space="0" w:color="auto"/>
            </w:tcBorders>
            <w:noWrap/>
          </w:tcPr>
          <w:p w14:paraId="4B0D43E8" w14:textId="07980E39" w:rsidR="00FD547F" w:rsidRPr="00012E78" w:rsidRDefault="00FD547F" w:rsidP="00FD547F">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56F2FDA9" w14:textId="4256D0A7" w:rsidR="00FD547F" w:rsidRPr="00012E78" w:rsidRDefault="00FD547F" w:rsidP="00FD547F">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42FA2931" w14:textId="178F784D" w:rsidR="00FD547F" w:rsidRPr="00012E78" w:rsidRDefault="00FD547F" w:rsidP="00FD547F">
            <w:pPr>
              <w:jc w:val="right"/>
              <w:rPr>
                <w:color w:val="000000"/>
                <w:sz w:val="17"/>
                <w:szCs w:val="17"/>
                <w:lang w:val="en-GB" w:eastAsia="en-CA"/>
              </w:rPr>
            </w:pPr>
          </w:p>
        </w:tc>
        <w:tc>
          <w:tcPr>
            <w:tcW w:w="1152" w:type="dxa"/>
            <w:tcBorders>
              <w:top w:val="nil"/>
              <w:left w:val="nil"/>
              <w:bottom w:val="single" w:sz="4" w:space="0" w:color="auto"/>
              <w:right w:val="single" w:sz="4" w:space="0" w:color="auto"/>
            </w:tcBorders>
            <w:noWrap/>
          </w:tcPr>
          <w:p w14:paraId="120B0CC1" w14:textId="7606EF72" w:rsidR="00FD547F" w:rsidRPr="00012E78" w:rsidRDefault="00FD547F" w:rsidP="00FD547F">
            <w:pPr>
              <w:jc w:val="right"/>
              <w:rPr>
                <w:color w:val="000000"/>
                <w:sz w:val="17"/>
                <w:szCs w:val="17"/>
                <w:lang w:val="en-GB" w:eastAsia="en-CA"/>
              </w:rPr>
            </w:pPr>
          </w:p>
        </w:tc>
        <w:tc>
          <w:tcPr>
            <w:tcW w:w="990" w:type="dxa"/>
            <w:tcBorders>
              <w:top w:val="nil"/>
              <w:left w:val="nil"/>
              <w:bottom w:val="single" w:sz="4" w:space="0" w:color="auto"/>
              <w:right w:val="single" w:sz="4" w:space="0" w:color="auto"/>
            </w:tcBorders>
            <w:noWrap/>
          </w:tcPr>
          <w:p w14:paraId="4CF4F452" w14:textId="0606934E" w:rsidR="00FD547F" w:rsidRPr="00012E78" w:rsidRDefault="00FD547F" w:rsidP="00FD547F">
            <w:pPr>
              <w:jc w:val="right"/>
              <w:rPr>
                <w:color w:val="000000"/>
                <w:sz w:val="17"/>
                <w:szCs w:val="17"/>
                <w:lang w:val="en-GB" w:eastAsia="en-CA"/>
              </w:rPr>
            </w:pPr>
            <w:r w:rsidRPr="00012E78">
              <w:rPr>
                <w:sz w:val="17"/>
                <w:szCs w:val="17"/>
              </w:rPr>
              <w:t>0</w:t>
            </w:r>
          </w:p>
        </w:tc>
        <w:tc>
          <w:tcPr>
            <w:tcW w:w="993" w:type="dxa"/>
            <w:tcBorders>
              <w:top w:val="nil"/>
              <w:left w:val="nil"/>
              <w:bottom w:val="single" w:sz="4" w:space="0" w:color="auto"/>
              <w:right w:val="single" w:sz="4" w:space="0" w:color="auto"/>
            </w:tcBorders>
            <w:noWrap/>
          </w:tcPr>
          <w:p w14:paraId="6C4DCE12" w14:textId="55F44482" w:rsidR="00FD547F" w:rsidRPr="00012E78" w:rsidRDefault="00FD547F" w:rsidP="00FD547F">
            <w:pPr>
              <w:jc w:val="right"/>
              <w:rPr>
                <w:color w:val="000000"/>
                <w:sz w:val="17"/>
                <w:szCs w:val="17"/>
                <w:lang w:val="en-GB" w:eastAsia="en-CA"/>
              </w:rPr>
            </w:pPr>
            <w:r w:rsidRPr="00012E78">
              <w:rPr>
                <w:sz w:val="17"/>
                <w:szCs w:val="17"/>
              </w:rPr>
              <w:t>0</w:t>
            </w:r>
          </w:p>
        </w:tc>
        <w:tc>
          <w:tcPr>
            <w:tcW w:w="1257" w:type="dxa"/>
            <w:tcBorders>
              <w:top w:val="nil"/>
              <w:left w:val="nil"/>
              <w:bottom w:val="single" w:sz="4" w:space="0" w:color="auto"/>
              <w:right w:val="single" w:sz="4" w:space="0" w:color="auto"/>
            </w:tcBorders>
            <w:noWrap/>
          </w:tcPr>
          <w:p w14:paraId="7FE77209" w14:textId="5512B8B0" w:rsidR="00FD547F" w:rsidRPr="00012E78" w:rsidRDefault="00FD547F" w:rsidP="00FD547F">
            <w:pPr>
              <w:jc w:val="right"/>
              <w:rPr>
                <w:color w:val="000000"/>
                <w:sz w:val="17"/>
                <w:szCs w:val="17"/>
                <w:lang w:val="en-GB" w:eastAsia="en-CA"/>
              </w:rPr>
            </w:pPr>
            <w:r w:rsidRPr="00012E78">
              <w:rPr>
                <w:sz w:val="17"/>
                <w:szCs w:val="17"/>
              </w:rPr>
              <w:t>383,736,678</w:t>
            </w:r>
          </w:p>
        </w:tc>
      </w:tr>
      <w:tr w:rsidR="00CA1473" w:rsidRPr="00012E78" w14:paraId="6DD149D1" w14:textId="77777777" w:rsidTr="00324979">
        <w:trPr>
          <w:trHeight w:val="55"/>
        </w:trPr>
        <w:tc>
          <w:tcPr>
            <w:tcW w:w="10080" w:type="dxa"/>
            <w:gridSpan w:val="9"/>
            <w:tcBorders>
              <w:top w:val="nil"/>
              <w:left w:val="single" w:sz="4" w:space="0" w:color="auto"/>
              <w:bottom w:val="single" w:sz="4" w:space="0" w:color="auto"/>
              <w:right w:val="single" w:sz="4" w:space="0" w:color="auto"/>
            </w:tcBorders>
            <w:noWrap/>
          </w:tcPr>
          <w:p w14:paraId="68FDDB41" w14:textId="51912D01" w:rsidR="00CA1473" w:rsidRPr="00012E78" w:rsidRDefault="001B7B48" w:rsidP="00CA1473">
            <w:pPr>
              <w:jc w:val="left"/>
              <w:rPr>
                <w:b/>
                <w:bCs/>
                <w:color w:val="000000"/>
                <w:sz w:val="17"/>
                <w:szCs w:val="17"/>
                <w:lang w:val="en-GB" w:eastAsia="en-CA"/>
              </w:rPr>
            </w:pPr>
            <w:r w:rsidRPr="00012E78">
              <w:rPr>
                <w:b/>
                <w:bCs/>
                <w:color w:val="000000"/>
                <w:sz w:val="17"/>
                <w:szCs w:val="17"/>
                <w:lang w:val="en-GB" w:eastAsia="en-CA"/>
              </w:rPr>
              <w:t>Cluster</w:t>
            </w:r>
          </w:p>
        </w:tc>
      </w:tr>
      <w:tr w:rsidR="00344718" w:rsidRPr="00012E78" w14:paraId="273212E9"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1109C4C6" w14:textId="1B41D013" w:rsidR="00344718" w:rsidRPr="00012E78" w:rsidRDefault="00344718" w:rsidP="00344718">
            <w:pPr>
              <w:jc w:val="left"/>
              <w:rPr>
                <w:color w:val="000000"/>
                <w:sz w:val="17"/>
                <w:szCs w:val="17"/>
                <w:lang w:val="en-GB" w:eastAsia="en-CA"/>
              </w:rPr>
            </w:pPr>
            <w:r w:rsidRPr="00012E78">
              <w:rPr>
                <w:sz w:val="17"/>
                <w:szCs w:val="17"/>
              </w:rPr>
              <w:t xml:space="preserve">Agency </w:t>
            </w:r>
            <w:r w:rsidR="00DF475C">
              <w:rPr>
                <w:sz w:val="17"/>
                <w:szCs w:val="17"/>
              </w:rPr>
              <w:t>p</w:t>
            </w:r>
            <w:r w:rsidRPr="00012E78">
              <w:rPr>
                <w:sz w:val="17"/>
                <w:szCs w:val="17"/>
              </w:rPr>
              <w:t>rogramme</w:t>
            </w:r>
          </w:p>
        </w:tc>
        <w:tc>
          <w:tcPr>
            <w:tcW w:w="720" w:type="dxa"/>
            <w:tcBorders>
              <w:top w:val="nil"/>
              <w:left w:val="nil"/>
              <w:bottom w:val="single" w:sz="4" w:space="0" w:color="auto"/>
              <w:right w:val="single" w:sz="4" w:space="0" w:color="auto"/>
            </w:tcBorders>
            <w:noWrap/>
          </w:tcPr>
          <w:p w14:paraId="3ECE9E7F" w14:textId="16AF5DAD" w:rsidR="00344718" w:rsidRPr="00012E78" w:rsidRDefault="00344718" w:rsidP="00344718">
            <w:pPr>
              <w:jc w:val="right"/>
              <w:rPr>
                <w:color w:val="000000"/>
                <w:sz w:val="17"/>
                <w:szCs w:val="17"/>
                <w:lang w:val="en-GB" w:eastAsia="en-CA"/>
              </w:rPr>
            </w:pPr>
            <w:r w:rsidRPr="00012E78">
              <w:rPr>
                <w:sz w:val="17"/>
                <w:szCs w:val="17"/>
              </w:rPr>
              <w:t>269</w:t>
            </w:r>
          </w:p>
        </w:tc>
        <w:tc>
          <w:tcPr>
            <w:tcW w:w="1170" w:type="dxa"/>
            <w:tcBorders>
              <w:top w:val="nil"/>
              <w:left w:val="nil"/>
              <w:bottom w:val="single" w:sz="4" w:space="0" w:color="auto"/>
              <w:right w:val="single" w:sz="4" w:space="0" w:color="auto"/>
            </w:tcBorders>
            <w:noWrap/>
          </w:tcPr>
          <w:p w14:paraId="17A33B51" w14:textId="60A9753C"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6C274959" w14:textId="60037242"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3A35BAA4" w14:textId="7F434AA7" w:rsidR="00344718" w:rsidRPr="00012E78" w:rsidRDefault="00344718" w:rsidP="00344718">
            <w:pPr>
              <w:jc w:val="right"/>
              <w:rPr>
                <w:color w:val="000000"/>
                <w:sz w:val="17"/>
                <w:szCs w:val="17"/>
                <w:lang w:val="en-GB" w:eastAsia="en-CA"/>
              </w:rPr>
            </w:pPr>
            <w:r w:rsidRPr="00012E78">
              <w:rPr>
                <w:sz w:val="17"/>
                <w:szCs w:val="17"/>
              </w:rPr>
              <w:t>0</w:t>
            </w:r>
          </w:p>
        </w:tc>
        <w:tc>
          <w:tcPr>
            <w:tcW w:w="1152" w:type="dxa"/>
            <w:tcBorders>
              <w:top w:val="nil"/>
              <w:left w:val="nil"/>
              <w:bottom w:val="single" w:sz="4" w:space="0" w:color="auto"/>
              <w:right w:val="single" w:sz="4" w:space="0" w:color="auto"/>
            </w:tcBorders>
            <w:noWrap/>
          </w:tcPr>
          <w:p w14:paraId="3A460137" w14:textId="5393F276" w:rsidR="00344718" w:rsidRPr="00012E78" w:rsidRDefault="00344718" w:rsidP="00344718">
            <w:pPr>
              <w:jc w:val="right"/>
              <w:rPr>
                <w:color w:val="000000"/>
                <w:sz w:val="17"/>
                <w:szCs w:val="17"/>
                <w:lang w:val="en-GB" w:eastAsia="en-CA"/>
              </w:rPr>
            </w:pPr>
            <w:r w:rsidRPr="00012E78">
              <w:rPr>
                <w:sz w:val="17"/>
                <w:szCs w:val="17"/>
              </w:rPr>
              <w:t>0</w:t>
            </w:r>
          </w:p>
        </w:tc>
        <w:tc>
          <w:tcPr>
            <w:tcW w:w="990" w:type="dxa"/>
            <w:tcBorders>
              <w:top w:val="nil"/>
              <w:left w:val="nil"/>
              <w:bottom w:val="single" w:sz="4" w:space="0" w:color="auto"/>
              <w:right w:val="single" w:sz="4" w:space="0" w:color="auto"/>
            </w:tcBorders>
            <w:noWrap/>
          </w:tcPr>
          <w:p w14:paraId="2AA97A71" w14:textId="6DC97434" w:rsidR="00344718" w:rsidRPr="00012E78" w:rsidRDefault="00344718" w:rsidP="00344718">
            <w:pPr>
              <w:jc w:val="right"/>
              <w:rPr>
                <w:color w:val="000000"/>
                <w:sz w:val="17"/>
                <w:szCs w:val="17"/>
                <w:lang w:val="en-GB" w:eastAsia="en-CA"/>
              </w:rPr>
            </w:pPr>
            <w:r w:rsidRPr="00012E78">
              <w:rPr>
                <w:sz w:val="17"/>
                <w:szCs w:val="17"/>
              </w:rPr>
              <w:t>0</w:t>
            </w:r>
          </w:p>
        </w:tc>
        <w:tc>
          <w:tcPr>
            <w:tcW w:w="993" w:type="dxa"/>
            <w:tcBorders>
              <w:top w:val="nil"/>
              <w:left w:val="nil"/>
              <w:bottom w:val="single" w:sz="4" w:space="0" w:color="auto"/>
              <w:right w:val="single" w:sz="4" w:space="0" w:color="auto"/>
            </w:tcBorders>
            <w:noWrap/>
          </w:tcPr>
          <w:p w14:paraId="42CB0443" w14:textId="647BD8D6" w:rsidR="00344718" w:rsidRPr="00012E78" w:rsidRDefault="00344718" w:rsidP="00344718">
            <w:pPr>
              <w:jc w:val="right"/>
              <w:rPr>
                <w:color w:val="000000"/>
                <w:sz w:val="17"/>
                <w:szCs w:val="17"/>
                <w:lang w:val="en-GB" w:eastAsia="en-CA"/>
              </w:rPr>
            </w:pPr>
            <w:r w:rsidRPr="00012E78">
              <w:rPr>
                <w:sz w:val="17"/>
                <w:szCs w:val="17"/>
              </w:rPr>
              <w:t>0</w:t>
            </w:r>
          </w:p>
        </w:tc>
        <w:tc>
          <w:tcPr>
            <w:tcW w:w="1257" w:type="dxa"/>
            <w:tcBorders>
              <w:top w:val="nil"/>
              <w:left w:val="nil"/>
              <w:bottom w:val="single" w:sz="4" w:space="0" w:color="auto"/>
              <w:right w:val="single" w:sz="4" w:space="0" w:color="auto"/>
            </w:tcBorders>
            <w:noWrap/>
          </w:tcPr>
          <w:p w14:paraId="016F558F" w14:textId="7E3A83F2" w:rsidR="00344718" w:rsidRPr="00012E78" w:rsidRDefault="00344718" w:rsidP="00344718">
            <w:pPr>
              <w:jc w:val="right"/>
              <w:rPr>
                <w:color w:val="000000"/>
                <w:sz w:val="17"/>
                <w:szCs w:val="17"/>
                <w:lang w:val="en-GB" w:eastAsia="en-CA"/>
              </w:rPr>
            </w:pPr>
            <w:r w:rsidRPr="00012E78">
              <w:rPr>
                <w:sz w:val="17"/>
                <w:szCs w:val="17"/>
              </w:rPr>
              <w:t>373,407,302</w:t>
            </w:r>
          </w:p>
        </w:tc>
      </w:tr>
      <w:tr w:rsidR="00344718" w:rsidRPr="00012E78" w14:paraId="7587DE52"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470C44D2" w14:textId="3BEE15AF" w:rsidR="00344718" w:rsidRPr="00012E78" w:rsidRDefault="00344718" w:rsidP="00344718">
            <w:pPr>
              <w:jc w:val="left"/>
              <w:rPr>
                <w:color w:val="000000"/>
                <w:sz w:val="17"/>
                <w:szCs w:val="17"/>
                <w:lang w:val="en-GB" w:eastAsia="en-CA"/>
              </w:rPr>
            </w:pPr>
            <w:r w:rsidRPr="00012E78">
              <w:rPr>
                <w:sz w:val="17"/>
                <w:szCs w:val="17"/>
              </w:rPr>
              <w:t xml:space="preserve">Alternative </w:t>
            </w:r>
            <w:r w:rsidR="00DF475C">
              <w:rPr>
                <w:sz w:val="17"/>
                <w:szCs w:val="17"/>
              </w:rPr>
              <w:t>f</w:t>
            </w:r>
            <w:r w:rsidRPr="00012E78">
              <w:rPr>
                <w:sz w:val="17"/>
                <w:szCs w:val="17"/>
              </w:rPr>
              <w:t xml:space="preserve">inancing </w:t>
            </w:r>
            <w:r w:rsidR="00DF475C">
              <w:rPr>
                <w:sz w:val="17"/>
                <w:szCs w:val="17"/>
              </w:rPr>
              <w:t>m</w:t>
            </w:r>
            <w:r w:rsidRPr="00012E78">
              <w:rPr>
                <w:sz w:val="17"/>
                <w:szCs w:val="17"/>
              </w:rPr>
              <w:t>echanism</w:t>
            </w:r>
          </w:p>
        </w:tc>
        <w:tc>
          <w:tcPr>
            <w:tcW w:w="720" w:type="dxa"/>
            <w:tcBorders>
              <w:top w:val="nil"/>
              <w:left w:val="nil"/>
              <w:bottom w:val="single" w:sz="4" w:space="0" w:color="auto"/>
              <w:right w:val="single" w:sz="4" w:space="0" w:color="auto"/>
            </w:tcBorders>
            <w:noWrap/>
          </w:tcPr>
          <w:p w14:paraId="3CB8F8E7" w14:textId="592F6EC7" w:rsidR="00344718" w:rsidRPr="00012E78" w:rsidRDefault="00344718" w:rsidP="00344718">
            <w:pPr>
              <w:jc w:val="right"/>
              <w:rPr>
                <w:color w:val="000000"/>
                <w:sz w:val="17"/>
                <w:szCs w:val="17"/>
                <w:lang w:val="en-GB" w:eastAsia="en-CA"/>
              </w:rPr>
            </w:pPr>
            <w:r w:rsidRPr="00012E78">
              <w:rPr>
                <w:sz w:val="17"/>
                <w:szCs w:val="17"/>
              </w:rPr>
              <w:t>9</w:t>
            </w:r>
          </w:p>
        </w:tc>
        <w:tc>
          <w:tcPr>
            <w:tcW w:w="1170" w:type="dxa"/>
            <w:tcBorders>
              <w:top w:val="nil"/>
              <w:left w:val="nil"/>
              <w:bottom w:val="single" w:sz="4" w:space="0" w:color="auto"/>
              <w:right w:val="single" w:sz="4" w:space="0" w:color="auto"/>
            </w:tcBorders>
            <w:noWrap/>
          </w:tcPr>
          <w:p w14:paraId="1F319887" w14:textId="0BB9ACDA"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4CB52804" w14:textId="6D28D187"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5CCD0B66" w14:textId="51FB19EF" w:rsidR="00344718" w:rsidRPr="00012E78" w:rsidRDefault="00344718" w:rsidP="00344718">
            <w:pPr>
              <w:jc w:val="right"/>
              <w:rPr>
                <w:color w:val="000000"/>
                <w:sz w:val="17"/>
                <w:szCs w:val="17"/>
                <w:lang w:val="en-GB" w:eastAsia="en-CA"/>
              </w:rPr>
            </w:pPr>
            <w:r w:rsidRPr="00012E78">
              <w:rPr>
                <w:sz w:val="17"/>
                <w:szCs w:val="17"/>
              </w:rPr>
              <w:t>0</w:t>
            </w:r>
          </w:p>
        </w:tc>
        <w:tc>
          <w:tcPr>
            <w:tcW w:w="1152" w:type="dxa"/>
            <w:tcBorders>
              <w:top w:val="nil"/>
              <w:left w:val="nil"/>
              <w:bottom w:val="single" w:sz="4" w:space="0" w:color="auto"/>
              <w:right w:val="single" w:sz="4" w:space="0" w:color="auto"/>
            </w:tcBorders>
            <w:noWrap/>
          </w:tcPr>
          <w:p w14:paraId="413B421D" w14:textId="291EC343" w:rsidR="00344718" w:rsidRPr="00012E78" w:rsidRDefault="00344718" w:rsidP="00344718">
            <w:pPr>
              <w:jc w:val="right"/>
              <w:rPr>
                <w:color w:val="000000"/>
                <w:sz w:val="17"/>
                <w:szCs w:val="17"/>
                <w:lang w:val="en-GB" w:eastAsia="en-CA"/>
              </w:rPr>
            </w:pPr>
            <w:r w:rsidRPr="00012E78">
              <w:rPr>
                <w:sz w:val="17"/>
                <w:szCs w:val="17"/>
              </w:rPr>
              <w:t>0</w:t>
            </w:r>
          </w:p>
        </w:tc>
        <w:tc>
          <w:tcPr>
            <w:tcW w:w="990" w:type="dxa"/>
            <w:tcBorders>
              <w:top w:val="nil"/>
              <w:left w:val="nil"/>
              <w:bottom w:val="single" w:sz="4" w:space="0" w:color="auto"/>
              <w:right w:val="single" w:sz="4" w:space="0" w:color="auto"/>
            </w:tcBorders>
            <w:noWrap/>
          </w:tcPr>
          <w:p w14:paraId="19642841" w14:textId="1C35A839" w:rsidR="00344718" w:rsidRPr="00012E78" w:rsidRDefault="00344718" w:rsidP="00344718">
            <w:pPr>
              <w:jc w:val="right"/>
              <w:rPr>
                <w:color w:val="000000"/>
                <w:sz w:val="17"/>
                <w:szCs w:val="17"/>
                <w:lang w:val="en-GB" w:eastAsia="en-CA"/>
              </w:rPr>
            </w:pPr>
            <w:r w:rsidRPr="00012E78">
              <w:rPr>
                <w:sz w:val="17"/>
                <w:szCs w:val="17"/>
              </w:rPr>
              <w:t>0</w:t>
            </w:r>
          </w:p>
        </w:tc>
        <w:tc>
          <w:tcPr>
            <w:tcW w:w="993" w:type="dxa"/>
            <w:tcBorders>
              <w:top w:val="nil"/>
              <w:left w:val="nil"/>
              <w:bottom w:val="single" w:sz="4" w:space="0" w:color="auto"/>
              <w:right w:val="single" w:sz="4" w:space="0" w:color="auto"/>
            </w:tcBorders>
            <w:noWrap/>
          </w:tcPr>
          <w:p w14:paraId="326917A9" w14:textId="5183661A" w:rsidR="00344718" w:rsidRPr="00012E78" w:rsidRDefault="00344718" w:rsidP="00344718">
            <w:pPr>
              <w:jc w:val="right"/>
              <w:rPr>
                <w:color w:val="000000"/>
                <w:sz w:val="17"/>
                <w:szCs w:val="17"/>
                <w:lang w:val="en-GB" w:eastAsia="en-CA"/>
              </w:rPr>
            </w:pPr>
            <w:r w:rsidRPr="00012E78">
              <w:rPr>
                <w:sz w:val="17"/>
                <w:szCs w:val="17"/>
              </w:rPr>
              <w:t>0</w:t>
            </w:r>
          </w:p>
        </w:tc>
        <w:tc>
          <w:tcPr>
            <w:tcW w:w="1257" w:type="dxa"/>
            <w:tcBorders>
              <w:top w:val="nil"/>
              <w:left w:val="nil"/>
              <w:bottom w:val="single" w:sz="4" w:space="0" w:color="auto"/>
              <w:right w:val="single" w:sz="4" w:space="0" w:color="auto"/>
            </w:tcBorders>
            <w:noWrap/>
          </w:tcPr>
          <w:p w14:paraId="04BD8444" w14:textId="38F0D3A7" w:rsidR="00344718" w:rsidRPr="00012E78" w:rsidRDefault="00344718" w:rsidP="00344718">
            <w:pPr>
              <w:jc w:val="right"/>
              <w:rPr>
                <w:color w:val="000000"/>
                <w:sz w:val="17"/>
                <w:szCs w:val="17"/>
                <w:lang w:val="en-GB" w:eastAsia="en-CA"/>
              </w:rPr>
            </w:pPr>
            <w:r w:rsidRPr="00012E78">
              <w:rPr>
                <w:sz w:val="17"/>
                <w:szCs w:val="17"/>
              </w:rPr>
              <w:t>44,217,750</w:t>
            </w:r>
          </w:p>
        </w:tc>
      </w:tr>
      <w:tr w:rsidR="00344718" w:rsidRPr="00012E78" w14:paraId="0DC8E384"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151B12FF" w14:textId="402EDF1B" w:rsidR="00344718" w:rsidRPr="00012E78" w:rsidRDefault="00344718" w:rsidP="00344718">
            <w:pPr>
              <w:ind w:right="-112"/>
              <w:jc w:val="left"/>
              <w:rPr>
                <w:color w:val="000000"/>
                <w:sz w:val="17"/>
                <w:szCs w:val="17"/>
                <w:lang w:val="en-GB" w:eastAsia="en-CA"/>
              </w:rPr>
            </w:pPr>
            <w:r w:rsidRPr="00012E78">
              <w:rPr>
                <w:sz w:val="17"/>
                <w:szCs w:val="17"/>
              </w:rPr>
              <w:t xml:space="preserve">CFC </w:t>
            </w:r>
            <w:r w:rsidR="00DF475C">
              <w:rPr>
                <w:sz w:val="17"/>
                <w:szCs w:val="17"/>
              </w:rPr>
              <w:t>i</w:t>
            </w:r>
            <w:r w:rsidRPr="00012E78">
              <w:rPr>
                <w:sz w:val="17"/>
                <w:szCs w:val="17"/>
              </w:rPr>
              <w:t>ndividual</w:t>
            </w:r>
          </w:p>
        </w:tc>
        <w:tc>
          <w:tcPr>
            <w:tcW w:w="720" w:type="dxa"/>
            <w:tcBorders>
              <w:top w:val="nil"/>
              <w:left w:val="nil"/>
              <w:bottom w:val="single" w:sz="4" w:space="0" w:color="auto"/>
              <w:right w:val="single" w:sz="4" w:space="0" w:color="auto"/>
            </w:tcBorders>
            <w:noWrap/>
          </w:tcPr>
          <w:p w14:paraId="4AB47157" w14:textId="064CC8E7" w:rsidR="00344718" w:rsidRPr="00012E78" w:rsidRDefault="00344718" w:rsidP="00344718">
            <w:pPr>
              <w:jc w:val="right"/>
              <w:rPr>
                <w:color w:val="000000"/>
                <w:sz w:val="17"/>
                <w:szCs w:val="17"/>
              </w:rPr>
            </w:pPr>
            <w:r w:rsidRPr="00012E78">
              <w:rPr>
                <w:sz w:val="17"/>
                <w:szCs w:val="17"/>
              </w:rPr>
              <w:t>3,622</w:t>
            </w:r>
          </w:p>
        </w:tc>
        <w:tc>
          <w:tcPr>
            <w:tcW w:w="1170" w:type="dxa"/>
            <w:tcBorders>
              <w:top w:val="nil"/>
              <w:left w:val="nil"/>
              <w:bottom w:val="single" w:sz="4" w:space="0" w:color="auto"/>
              <w:right w:val="single" w:sz="4" w:space="0" w:color="auto"/>
            </w:tcBorders>
            <w:noWrap/>
          </w:tcPr>
          <w:p w14:paraId="076CF2FF" w14:textId="4AC3E743" w:rsidR="00344718" w:rsidRPr="00012E78" w:rsidRDefault="00344718" w:rsidP="00344718">
            <w:pPr>
              <w:jc w:val="right"/>
              <w:rPr>
                <w:color w:val="000000"/>
                <w:sz w:val="17"/>
                <w:szCs w:val="17"/>
              </w:rPr>
            </w:pPr>
            <w:r w:rsidRPr="00012E78">
              <w:rPr>
                <w:sz w:val="17"/>
                <w:szCs w:val="17"/>
              </w:rPr>
              <w:t>125,760</w:t>
            </w:r>
          </w:p>
        </w:tc>
        <w:tc>
          <w:tcPr>
            <w:tcW w:w="1134" w:type="dxa"/>
            <w:tcBorders>
              <w:top w:val="nil"/>
              <w:left w:val="nil"/>
              <w:bottom w:val="single" w:sz="4" w:space="0" w:color="auto"/>
              <w:right w:val="single" w:sz="4" w:space="0" w:color="auto"/>
            </w:tcBorders>
            <w:noWrap/>
          </w:tcPr>
          <w:p w14:paraId="79B2D2B0" w14:textId="588BC8A9" w:rsidR="00344718" w:rsidRPr="00012E78" w:rsidRDefault="00344718" w:rsidP="00344718">
            <w:pPr>
              <w:jc w:val="right"/>
              <w:rPr>
                <w:color w:val="000000"/>
                <w:sz w:val="17"/>
                <w:szCs w:val="17"/>
              </w:rPr>
            </w:pPr>
            <w:r w:rsidRPr="00012E78">
              <w:rPr>
                <w:sz w:val="17"/>
                <w:szCs w:val="17"/>
              </w:rPr>
              <w:t>125,864</w:t>
            </w:r>
          </w:p>
        </w:tc>
        <w:tc>
          <w:tcPr>
            <w:tcW w:w="1134" w:type="dxa"/>
            <w:tcBorders>
              <w:top w:val="nil"/>
              <w:left w:val="nil"/>
              <w:bottom w:val="single" w:sz="4" w:space="0" w:color="auto"/>
              <w:right w:val="single" w:sz="4" w:space="0" w:color="auto"/>
            </w:tcBorders>
            <w:noWrap/>
          </w:tcPr>
          <w:p w14:paraId="5C4990AA" w14:textId="059DD4A3" w:rsidR="00344718" w:rsidRPr="00012E78" w:rsidRDefault="00344718" w:rsidP="00344718">
            <w:pPr>
              <w:jc w:val="right"/>
              <w:rPr>
                <w:color w:val="000000"/>
                <w:sz w:val="17"/>
                <w:szCs w:val="17"/>
              </w:rPr>
            </w:pPr>
            <w:r w:rsidRPr="00012E78">
              <w:rPr>
                <w:sz w:val="17"/>
                <w:szCs w:val="17"/>
              </w:rPr>
              <w:t>0</w:t>
            </w:r>
          </w:p>
        </w:tc>
        <w:tc>
          <w:tcPr>
            <w:tcW w:w="1152" w:type="dxa"/>
            <w:tcBorders>
              <w:top w:val="nil"/>
              <w:left w:val="nil"/>
              <w:bottom w:val="single" w:sz="4" w:space="0" w:color="auto"/>
              <w:right w:val="single" w:sz="4" w:space="0" w:color="auto"/>
            </w:tcBorders>
            <w:noWrap/>
          </w:tcPr>
          <w:p w14:paraId="0D3FA4CD" w14:textId="12F33182" w:rsidR="00344718" w:rsidRPr="00012E78" w:rsidRDefault="00344718" w:rsidP="00344718">
            <w:pPr>
              <w:jc w:val="right"/>
              <w:rPr>
                <w:color w:val="000000"/>
                <w:sz w:val="17"/>
                <w:szCs w:val="17"/>
              </w:rPr>
            </w:pPr>
            <w:r w:rsidRPr="00012E78">
              <w:rPr>
                <w:sz w:val="17"/>
                <w:szCs w:val="17"/>
              </w:rPr>
              <w:t>0</w:t>
            </w:r>
          </w:p>
        </w:tc>
        <w:tc>
          <w:tcPr>
            <w:tcW w:w="990" w:type="dxa"/>
            <w:tcBorders>
              <w:top w:val="nil"/>
              <w:left w:val="nil"/>
              <w:bottom w:val="single" w:sz="4" w:space="0" w:color="auto"/>
              <w:right w:val="single" w:sz="4" w:space="0" w:color="auto"/>
            </w:tcBorders>
            <w:noWrap/>
          </w:tcPr>
          <w:p w14:paraId="5DA1F42F" w14:textId="16BEF5DC" w:rsidR="00344718" w:rsidRPr="00012E78" w:rsidRDefault="00344718" w:rsidP="00344718">
            <w:pPr>
              <w:jc w:val="right"/>
              <w:rPr>
                <w:color w:val="000000"/>
                <w:sz w:val="17"/>
                <w:szCs w:val="17"/>
              </w:rPr>
            </w:pPr>
            <w:r w:rsidRPr="00012E78">
              <w:rPr>
                <w:sz w:val="17"/>
                <w:szCs w:val="17"/>
              </w:rPr>
              <w:t>0</w:t>
            </w:r>
          </w:p>
        </w:tc>
        <w:tc>
          <w:tcPr>
            <w:tcW w:w="993" w:type="dxa"/>
            <w:tcBorders>
              <w:top w:val="nil"/>
              <w:left w:val="nil"/>
              <w:bottom w:val="single" w:sz="4" w:space="0" w:color="auto"/>
              <w:right w:val="single" w:sz="4" w:space="0" w:color="auto"/>
            </w:tcBorders>
            <w:noWrap/>
          </w:tcPr>
          <w:p w14:paraId="29219341" w14:textId="36EAC427" w:rsidR="00344718" w:rsidRPr="00012E78" w:rsidRDefault="00344718" w:rsidP="00344718">
            <w:pPr>
              <w:jc w:val="right"/>
              <w:rPr>
                <w:color w:val="000000"/>
                <w:sz w:val="17"/>
                <w:szCs w:val="17"/>
              </w:rPr>
            </w:pPr>
            <w:r w:rsidRPr="00012E78">
              <w:rPr>
                <w:sz w:val="17"/>
                <w:szCs w:val="17"/>
              </w:rPr>
              <w:t>0</w:t>
            </w:r>
          </w:p>
        </w:tc>
        <w:tc>
          <w:tcPr>
            <w:tcW w:w="1257" w:type="dxa"/>
            <w:tcBorders>
              <w:top w:val="nil"/>
              <w:left w:val="nil"/>
              <w:bottom w:val="single" w:sz="4" w:space="0" w:color="auto"/>
              <w:right w:val="single" w:sz="4" w:space="0" w:color="auto"/>
            </w:tcBorders>
            <w:noWrap/>
          </w:tcPr>
          <w:p w14:paraId="081AF8D6" w14:textId="6773CDBA" w:rsidR="00344718" w:rsidRPr="00012E78" w:rsidRDefault="00344718" w:rsidP="00344718">
            <w:pPr>
              <w:jc w:val="right"/>
              <w:rPr>
                <w:color w:val="000000"/>
                <w:sz w:val="17"/>
                <w:szCs w:val="17"/>
              </w:rPr>
            </w:pPr>
            <w:r w:rsidRPr="00012E78">
              <w:rPr>
                <w:sz w:val="17"/>
                <w:szCs w:val="17"/>
              </w:rPr>
              <w:t>1,013,861,023</w:t>
            </w:r>
          </w:p>
        </w:tc>
      </w:tr>
      <w:tr w:rsidR="00344718" w:rsidRPr="00012E78" w14:paraId="15786F29" w14:textId="77777777" w:rsidTr="00324979">
        <w:trPr>
          <w:trHeight w:val="107"/>
        </w:trPr>
        <w:tc>
          <w:tcPr>
            <w:tcW w:w="1530" w:type="dxa"/>
            <w:tcBorders>
              <w:top w:val="nil"/>
              <w:left w:val="single" w:sz="4" w:space="0" w:color="auto"/>
              <w:bottom w:val="single" w:sz="4" w:space="0" w:color="auto"/>
              <w:right w:val="single" w:sz="4" w:space="0" w:color="auto"/>
            </w:tcBorders>
            <w:noWrap/>
          </w:tcPr>
          <w:p w14:paraId="7868E3C6" w14:textId="62EA284C" w:rsidR="00344718" w:rsidRPr="00012E78" w:rsidRDefault="00344718" w:rsidP="00344718">
            <w:pPr>
              <w:jc w:val="left"/>
              <w:rPr>
                <w:color w:val="000000"/>
                <w:sz w:val="17"/>
                <w:szCs w:val="17"/>
                <w:lang w:val="en-GB" w:eastAsia="en-CA"/>
              </w:rPr>
            </w:pPr>
            <w:r w:rsidRPr="00012E78">
              <w:rPr>
                <w:sz w:val="17"/>
                <w:szCs w:val="17"/>
              </w:rPr>
              <w:t xml:space="preserve">CFC </w:t>
            </w:r>
            <w:r w:rsidR="00DF475C">
              <w:rPr>
                <w:sz w:val="17"/>
                <w:szCs w:val="17"/>
              </w:rPr>
              <w:t>p</w:t>
            </w:r>
            <w:r w:rsidRPr="00012E78">
              <w:rPr>
                <w:sz w:val="17"/>
                <w:szCs w:val="17"/>
              </w:rPr>
              <w:t xml:space="preserve">hase-out </w:t>
            </w:r>
            <w:r w:rsidR="00DF475C">
              <w:rPr>
                <w:sz w:val="17"/>
                <w:szCs w:val="17"/>
              </w:rPr>
              <w:t>p</w:t>
            </w:r>
            <w:r w:rsidRPr="00012E78">
              <w:rPr>
                <w:sz w:val="17"/>
                <w:szCs w:val="17"/>
              </w:rPr>
              <w:t>lans</w:t>
            </w:r>
          </w:p>
        </w:tc>
        <w:tc>
          <w:tcPr>
            <w:tcW w:w="720" w:type="dxa"/>
            <w:tcBorders>
              <w:top w:val="nil"/>
              <w:left w:val="nil"/>
              <w:bottom w:val="single" w:sz="4" w:space="0" w:color="auto"/>
              <w:right w:val="single" w:sz="4" w:space="0" w:color="auto"/>
            </w:tcBorders>
            <w:noWrap/>
          </w:tcPr>
          <w:p w14:paraId="6AF72A06" w14:textId="350399DF" w:rsidR="00344718" w:rsidRPr="00012E78" w:rsidRDefault="00344718" w:rsidP="00344718">
            <w:pPr>
              <w:jc w:val="right"/>
              <w:rPr>
                <w:color w:val="000000"/>
                <w:sz w:val="17"/>
                <w:szCs w:val="17"/>
                <w:lang w:val="en-GB" w:eastAsia="en-CA"/>
              </w:rPr>
            </w:pPr>
            <w:r w:rsidRPr="00012E78">
              <w:rPr>
                <w:sz w:val="17"/>
                <w:szCs w:val="17"/>
              </w:rPr>
              <w:t>429</w:t>
            </w:r>
          </w:p>
        </w:tc>
        <w:tc>
          <w:tcPr>
            <w:tcW w:w="1170" w:type="dxa"/>
            <w:tcBorders>
              <w:top w:val="nil"/>
              <w:left w:val="nil"/>
              <w:bottom w:val="single" w:sz="4" w:space="0" w:color="auto"/>
              <w:right w:val="single" w:sz="4" w:space="0" w:color="auto"/>
            </w:tcBorders>
            <w:noWrap/>
          </w:tcPr>
          <w:p w14:paraId="27141534" w14:textId="6632C7F1" w:rsidR="00344718" w:rsidRPr="00012E78" w:rsidRDefault="00344718" w:rsidP="00344718">
            <w:pPr>
              <w:jc w:val="right"/>
              <w:rPr>
                <w:color w:val="000000"/>
                <w:sz w:val="17"/>
                <w:szCs w:val="17"/>
                <w:lang w:val="en-GB" w:eastAsia="en-CA"/>
              </w:rPr>
            </w:pPr>
            <w:r w:rsidRPr="00012E78">
              <w:rPr>
                <w:sz w:val="17"/>
                <w:szCs w:val="17"/>
              </w:rPr>
              <w:t>45,806</w:t>
            </w:r>
          </w:p>
        </w:tc>
        <w:tc>
          <w:tcPr>
            <w:tcW w:w="1134" w:type="dxa"/>
            <w:tcBorders>
              <w:top w:val="nil"/>
              <w:left w:val="nil"/>
              <w:bottom w:val="single" w:sz="4" w:space="0" w:color="auto"/>
              <w:right w:val="single" w:sz="4" w:space="0" w:color="auto"/>
            </w:tcBorders>
            <w:noWrap/>
          </w:tcPr>
          <w:p w14:paraId="487E2A75" w14:textId="452D50C7" w:rsidR="00344718" w:rsidRPr="00012E78" w:rsidRDefault="00344718" w:rsidP="00344718">
            <w:pPr>
              <w:jc w:val="right"/>
              <w:rPr>
                <w:color w:val="000000"/>
                <w:sz w:val="17"/>
                <w:szCs w:val="17"/>
                <w:lang w:val="en-GB" w:eastAsia="en-CA"/>
              </w:rPr>
            </w:pPr>
            <w:r w:rsidRPr="00012E78">
              <w:rPr>
                <w:sz w:val="17"/>
                <w:szCs w:val="17"/>
              </w:rPr>
              <w:t>46,177</w:t>
            </w:r>
          </w:p>
        </w:tc>
        <w:tc>
          <w:tcPr>
            <w:tcW w:w="1134" w:type="dxa"/>
            <w:tcBorders>
              <w:top w:val="nil"/>
              <w:left w:val="nil"/>
              <w:bottom w:val="single" w:sz="4" w:space="0" w:color="auto"/>
              <w:right w:val="single" w:sz="4" w:space="0" w:color="auto"/>
            </w:tcBorders>
            <w:noWrap/>
          </w:tcPr>
          <w:p w14:paraId="2B2F97AF" w14:textId="7680AF2B" w:rsidR="00344718" w:rsidRPr="00012E78" w:rsidRDefault="00344718" w:rsidP="00344718">
            <w:pPr>
              <w:jc w:val="right"/>
              <w:rPr>
                <w:color w:val="000000"/>
                <w:sz w:val="17"/>
                <w:szCs w:val="17"/>
                <w:lang w:val="en-GB" w:eastAsia="en-CA"/>
              </w:rPr>
            </w:pPr>
            <w:r w:rsidRPr="00012E78">
              <w:rPr>
                <w:sz w:val="17"/>
                <w:szCs w:val="17"/>
              </w:rPr>
              <w:t>0</w:t>
            </w:r>
          </w:p>
        </w:tc>
        <w:tc>
          <w:tcPr>
            <w:tcW w:w="1152" w:type="dxa"/>
            <w:tcBorders>
              <w:top w:val="nil"/>
              <w:left w:val="nil"/>
              <w:bottom w:val="single" w:sz="4" w:space="0" w:color="auto"/>
              <w:right w:val="single" w:sz="4" w:space="0" w:color="auto"/>
            </w:tcBorders>
            <w:noWrap/>
          </w:tcPr>
          <w:p w14:paraId="5BDACB7F" w14:textId="41CCEC66" w:rsidR="00344718" w:rsidRPr="00012E78" w:rsidRDefault="00344718" w:rsidP="00344718">
            <w:pPr>
              <w:jc w:val="right"/>
              <w:rPr>
                <w:color w:val="000000"/>
                <w:sz w:val="17"/>
                <w:szCs w:val="17"/>
                <w:lang w:val="en-GB" w:eastAsia="en-CA"/>
              </w:rPr>
            </w:pPr>
            <w:r w:rsidRPr="00012E78">
              <w:rPr>
                <w:sz w:val="17"/>
                <w:szCs w:val="17"/>
              </w:rPr>
              <w:t>0</w:t>
            </w:r>
          </w:p>
        </w:tc>
        <w:tc>
          <w:tcPr>
            <w:tcW w:w="990" w:type="dxa"/>
            <w:tcBorders>
              <w:top w:val="nil"/>
              <w:left w:val="nil"/>
              <w:bottom w:val="single" w:sz="4" w:space="0" w:color="auto"/>
              <w:right w:val="single" w:sz="4" w:space="0" w:color="auto"/>
            </w:tcBorders>
            <w:noWrap/>
          </w:tcPr>
          <w:p w14:paraId="73BDA671" w14:textId="6D95CE8F" w:rsidR="00344718" w:rsidRPr="00012E78" w:rsidRDefault="00344718" w:rsidP="00344718">
            <w:pPr>
              <w:jc w:val="right"/>
              <w:rPr>
                <w:color w:val="000000"/>
                <w:sz w:val="17"/>
                <w:szCs w:val="17"/>
                <w:lang w:val="en-GB" w:eastAsia="en-CA"/>
              </w:rPr>
            </w:pPr>
            <w:r w:rsidRPr="00012E78">
              <w:rPr>
                <w:sz w:val="17"/>
                <w:szCs w:val="17"/>
              </w:rPr>
              <w:t>0</w:t>
            </w:r>
          </w:p>
        </w:tc>
        <w:tc>
          <w:tcPr>
            <w:tcW w:w="993" w:type="dxa"/>
            <w:tcBorders>
              <w:top w:val="nil"/>
              <w:left w:val="nil"/>
              <w:bottom w:val="single" w:sz="4" w:space="0" w:color="auto"/>
              <w:right w:val="single" w:sz="4" w:space="0" w:color="auto"/>
            </w:tcBorders>
            <w:noWrap/>
          </w:tcPr>
          <w:p w14:paraId="4DA73F0D" w14:textId="2722250F" w:rsidR="00344718" w:rsidRPr="00012E78" w:rsidRDefault="00344718" w:rsidP="00344718">
            <w:pPr>
              <w:jc w:val="right"/>
              <w:rPr>
                <w:color w:val="000000"/>
                <w:sz w:val="17"/>
                <w:szCs w:val="17"/>
                <w:lang w:val="en-GB" w:eastAsia="en-CA"/>
              </w:rPr>
            </w:pPr>
            <w:r w:rsidRPr="00012E78">
              <w:rPr>
                <w:sz w:val="17"/>
                <w:szCs w:val="17"/>
              </w:rPr>
              <w:t>0</w:t>
            </w:r>
          </w:p>
        </w:tc>
        <w:tc>
          <w:tcPr>
            <w:tcW w:w="1257" w:type="dxa"/>
            <w:tcBorders>
              <w:top w:val="nil"/>
              <w:left w:val="nil"/>
              <w:bottom w:val="single" w:sz="4" w:space="0" w:color="auto"/>
              <w:right w:val="single" w:sz="4" w:space="0" w:color="auto"/>
            </w:tcBorders>
            <w:noWrap/>
          </w:tcPr>
          <w:p w14:paraId="242AB542" w14:textId="63F47382" w:rsidR="00344718" w:rsidRPr="00012E78" w:rsidRDefault="00344718" w:rsidP="00344718">
            <w:pPr>
              <w:jc w:val="right"/>
              <w:rPr>
                <w:color w:val="000000"/>
                <w:sz w:val="17"/>
                <w:szCs w:val="17"/>
                <w:lang w:val="en-GB" w:eastAsia="en-CA"/>
              </w:rPr>
            </w:pPr>
            <w:r w:rsidRPr="00012E78">
              <w:rPr>
                <w:sz w:val="17"/>
                <w:szCs w:val="17"/>
              </w:rPr>
              <w:t>237,206,230</w:t>
            </w:r>
          </w:p>
        </w:tc>
      </w:tr>
      <w:tr w:rsidR="00344718" w:rsidRPr="00012E78" w14:paraId="3D9C0747"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484D24A0" w14:textId="30791BF5" w:rsidR="00344718" w:rsidRPr="00012E78" w:rsidRDefault="00344718" w:rsidP="00344718">
            <w:pPr>
              <w:ind w:right="-112"/>
              <w:jc w:val="left"/>
              <w:rPr>
                <w:color w:val="000000"/>
                <w:sz w:val="17"/>
                <w:szCs w:val="17"/>
                <w:lang w:val="en-GB" w:eastAsia="en-CA"/>
              </w:rPr>
            </w:pPr>
            <w:r w:rsidRPr="00012E78">
              <w:rPr>
                <w:sz w:val="17"/>
                <w:szCs w:val="17"/>
              </w:rPr>
              <w:t xml:space="preserve">CFC </w:t>
            </w:r>
            <w:r w:rsidR="00DF475C">
              <w:rPr>
                <w:sz w:val="17"/>
                <w:szCs w:val="17"/>
              </w:rPr>
              <w:t>p</w:t>
            </w:r>
            <w:r w:rsidRPr="00012E78">
              <w:rPr>
                <w:sz w:val="17"/>
                <w:szCs w:val="17"/>
              </w:rPr>
              <w:t xml:space="preserve">roduction </w:t>
            </w:r>
            <w:r w:rsidR="00DF475C">
              <w:rPr>
                <w:sz w:val="17"/>
                <w:szCs w:val="17"/>
              </w:rPr>
              <w:t>p</w:t>
            </w:r>
            <w:r w:rsidRPr="00012E78">
              <w:rPr>
                <w:sz w:val="17"/>
                <w:szCs w:val="17"/>
              </w:rPr>
              <w:t>hase</w:t>
            </w:r>
            <w:r w:rsidR="009974D0">
              <w:rPr>
                <w:sz w:val="17"/>
                <w:szCs w:val="17"/>
              </w:rPr>
              <w:t>-</w:t>
            </w:r>
            <w:r w:rsidRPr="00012E78">
              <w:rPr>
                <w:sz w:val="17"/>
                <w:szCs w:val="17"/>
              </w:rPr>
              <w:t xml:space="preserve">out </w:t>
            </w:r>
            <w:r w:rsidR="00DF475C">
              <w:rPr>
                <w:sz w:val="17"/>
                <w:szCs w:val="17"/>
              </w:rPr>
              <w:t>p</w:t>
            </w:r>
            <w:r w:rsidRPr="00012E78">
              <w:rPr>
                <w:sz w:val="17"/>
                <w:szCs w:val="17"/>
              </w:rPr>
              <w:t>lans</w:t>
            </w:r>
          </w:p>
        </w:tc>
        <w:tc>
          <w:tcPr>
            <w:tcW w:w="720" w:type="dxa"/>
            <w:tcBorders>
              <w:top w:val="nil"/>
              <w:left w:val="nil"/>
              <w:bottom w:val="single" w:sz="4" w:space="0" w:color="auto"/>
              <w:right w:val="single" w:sz="4" w:space="0" w:color="auto"/>
            </w:tcBorders>
            <w:noWrap/>
          </w:tcPr>
          <w:p w14:paraId="5282F8D2" w14:textId="06860438" w:rsidR="00344718" w:rsidRPr="00012E78" w:rsidRDefault="00344718" w:rsidP="00344718">
            <w:pPr>
              <w:jc w:val="right"/>
              <w:rPr>
                <w:color w:val="000000"/>
                <w:sz w:val="17"/>
                <w:szCs w:val="17"/>
                <w:lang w:val="en-GB" w:eastAsia="en-CA"/>
              </w:rPr>
            </w:pPr>
            <w:r w:rsidRPr="00012E78">
              <w:rPr>
                <w:sz w:val="17"/>
                <w:szCs w:val="17"/>
              </w:rPr>
              <w:t>42</w:t>
            </w:r>
          </w:p>
        </w:tc>
        <w:tc>
          <w:tcPr>
            <w:tcW w:w="1170" w:type="dxa"/>
            <w:tcBorders>
              <w:top w:val="nil"/>
              <w:left w:val="nil"/>
              <w:bottom w:val="single" w:sz="4" w:space="0" w:color="auto"/>
              <w:right w:val="single" w:sz="4" w:space="0" w:color="auto"/>
            </w:tcBorders>
            <w:noWrap/>
          </w:tcPr>
          <w:p w14:paraId="0590834F" w14:textId="5E5C8167"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140A1A36" w14:textId="1DDD3AF1"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629C390C" w14:textId="4B2ADFF4" w:rsidR="00344718" w:rsidRPr="00012E78" w:rsidRDefault="00344718" w:rsidP="00344718">
            <w:pPr>
              <w:jc w:val="right"/>
              <w:rPr>
                <w:color w:val="000000"/>
                <w:sz w:val="17"/>
                <w:szCs w:val="17"/>
                <w:lang w:val="en-GB" w:eastAsia="en-CA"/>
              </w:rPr>
            </w:pPr>
            <w:r w:rsidRPr="00012E78">
              <w:rPr>
                <w:sz w:val="17"/>
                <w:szCs w:val="17"/>
              </w:rPr>
              <w:t>0</w:t>
            </w:r>
          </w:p>
        </w:tc>
        <w:tc>
          <w:tcPr>
            <w:tcW w:w="1152" w:type="dxa"/>
            <w:tcBorders>
              <w:top w:val="nil"/>
              <w:left w:val="nil"/>
              <w:bottom w:val="single" w:sz="4" w:space="0" w:color="auto"/>
              <w:right w:val="single" w:sz="4" w:space="0" w:color="auto"/>
            </w:tcBorders>
            <w:noWrap/>
          </w:tcPr>
          <w:p w14:paraId="1E455A60" w14:textId="46DE7A84" w:rsidR="00344718" w:rsidRPr="00012E78" w:rsidRDefault="00344718" w:rsidP="00344718">
            <w:pPr>
              <w:jc w:val="right"/>
              <w:rPr>
                <w:color w:val="000000"/>
                <w:sz w:val="17"/>
                <w:szCs w:val="17"/>
                <w:lang w:val="en-GB" w:eastAsia="en-CA"/>
              </w:rPr>
            </w:pPr>
            <w:r w:rsidRPr="00012E78">
              <w:rPr>
                <w:sz w:val="17"/>
                <w:szCs w:val="17"/>
              </w:rPr>
              <w:t>0</w:t>
            </w:r>
          </w:p>
        </w:tc>
        <w:tc>
          <w:tcPr>
            <w:tcW w:w="990" w:type="dxa"/>
            <w:tcBorders>
              <w:top w:val="nil"/>
              <w:left w:val="nil"/>
              <w:bottom w:val="single" w:sz="4" w:space="0" w:color="auto"/>
              <w:right w:val="single" w:sz="4" w:space="0" w:color="auto"/>
            </w:tcBorders>
            <w:noWrap/>
          </w:tcPr>
          <w:p w14:paraId="65A8E69F" w14:textId="600F02DA" w:rsidR="00344718" w:rsidRPr="00012E78" w:rsidRDefault="00344718" w:rsidP="00344718">
            <w:pPr>
              <w:jc w:val="right"/>
              <w:rPr>
                <w:color w:val="000000"/>
                <w:sz w:val="17"/>
                <w:szCs w:val="17"/>
                <w:lang w:val="en-GB" w:eastAsia="en-CA"/>
              </w:rPr>
            </w:pPr>
            <w:r w:rsidRPr="00012E78">
              <w:rPr>
                <w:sz w:val="17"/>
                <w:szCs w:val="17"/>
              </w:rPr>
              <w:t>88,772</w:t>
            </w:r>
          </w:p>
        </w:tc>
        <w:tc>
          <w:tcPr>
            <w:tcW w:w="993" w:type="dxa"/>
            <w:tcBorders>
              <w:top w:val="nil"/>
              <w:left w:val="nil"/>
              <w:bottom w:val="single" w:sz="4" w:space="0" w:color="auto"/>
              <w:right w:val="single" w:sz="4" w:space="0" w:color="auto"/>
            </w:tcBorders>
            <w:noWrap/>
          </w:tcPr>
          <w:p w14:paraId="1BA4421F" w14:textId="3AED4A6D" w:rsidR="00344718" w:rsidRPr="00012E78" w:rsidRDefault="00344718" w:rsidP="00344718">
            <w:pPr>
              <w:jc w:val="right"/>
              <w:rPr>
                <w:color w:val="000000"/>
                <w:sz w:val="17"/>
                <w:szCs w:val="17"/>
                <w:lang w:val="en-GB" w:eastAsia="en-CA"/>
              </w:rPr>
            </w:pPr>
            <w:r w:rsidRPr="00012E78">
              <w:rPr>
                <w:sz w:val="17"/>
                <w:szCs w:val="17"/>
              </w:rPr>
              <w:t>88,772</w:t>
            </w:r>
          </w:p>
        </w:tc>
        <w:tc>
          <w:tcPr>
            <w:tcW w:w="1257" w:type="dxa"/>
            <w:tcBorders>
              <w:top w:val="nil"/>
              <w:left w:val="nil"/>
              <w:bottom w:val="single" w:sz="4" w:space="0" w:color="auto"/>
              <w:right w:val="single" w:sz="4" w:space="0" w:color="auto"/>
            </w:tcBorders>
            <w:noWrap/>
          </w:tcPr>
          <w:p w14:paraId="0789695F" w14:textId="3C4CFA49" w:rsidR="00344718" w:rsidRPr="00012E78" w:rsidRDefault="00344718" w:rsidP="00344718">
            <w:pPr>
              <w:jc w:val="right"/>
              <w:rPr>
                <w:color w:val="000000"/>
                <w:sz w:val="17"/>
                <w:szCs w:val="17"/>
                <w:lang w:val="en-GB" w:eastAsia="en-CA"/>
              </w:rPr>
            </w:pPr>
            <w:r w:rsidRPr="00012E78">
              <w:rPr>
                <w:sz w:val="17"/>
                <w:szCs w:val="17"/>
              </w:rPr>
              <w:t>316,914,190</w:t>
            </w:r>
          </w:p>
        </w:tc>
      </w:tr>
      <w:tr w:rsidR="00344718" w:rsidRPr="00012E78" w14:paraId="15176D7C"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25CFF740" w14:textId="702A8F52" w:rsidR="00344718" w:rsidRPr="00012E78" w:rsidRDefault="00344718" w:rsidP="00344718">
            <w:pPr>
              <w:jc w:val="left"/>
              <w:rPr>
                <w:color w:val="000000"/>
                <w:sz w:val="17"/>
                <w:szCs w:val="17"/>
                <w:lang w:val="en-GB" w:eastAsia="en-CA"/>
              </w:rPr>
            </w:pPr>
            <w:r w:rsidRPr="00012E78">
              <w:rPr>
                <w:sz w:val="17"/>
                <w:szCs w:val="17"/>
              </w:rPr>
              <w:t>Disposal</w:t>
            </w:r>
          </w:p>
        </w:tc>
        <w:tc>
          <w:tcPr>
            <w:tcW w:w="720" w:type="dxa"/>
            <w:tcBorders>
              <w:top w:val="nil"/>
              <w:left w:val="nil"/>
              <w:bottom w:val="single" w:sz="4" w:space="0" w:color="auto"/>
              <w:right w:val="single" w:sz="4" w:space="0" w:color="auto"/>
            </w:tcBorders>
            <w:noWrap/>
          </w:tcPr>
          <w:p w14:paraId="364D1E87" w14:textId="2BC91D99" w:rsidR="00344718" w:rsidRPr="00012E78" w:rsidRDefault="00344718" w:rsidP="00344718">
            <w:pPr>
              <w:jc w:val="right"/>
              <w:rPr>
                <w:color w:val="000000"/>
                <w:sz w:val="17"/>
                <w:szCs w:val="17"/>
                <w:lang w:val="en-GB" w:eastAsia="en-CA"/>
              </w:rPr>
            </w:pPr>
            <w:r w:rsidRPr="00012E78">
              <w:rPr>
                <w:sz w:val="17"/>
                <w:szCs w:val="17"/>
              </w:rPr>
              <w:t>34</w:t>
            </w:r>
          </w:p>
        </w:tc>
        <w:tc>
          <w:tcPr>
            <w:tcW w:w="1170" w:type="dxa"/>
            <w:tcBorders>
              <w:top w:val="nil"/>
              <w:left w:val="nil"/>
              <w:bottom w:val="single" w:sz="4" w:space="0" w:color="auto"/>
              <w:right w:val="single" w:sz="4" w:space="0" w:color="auto"/>
            </w:tcBorders>
            <w:noWrap/>
          </w:tcPr>
          <w:p w14:paraId="4798F76F" w14:textId="5D814422"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525947B9" w14:textId="431FA61E"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46215B59" w14:textId="3034979A" w:rsidR="00344718" w:rsidRPr="00012E78" w:rsidRDefault="00344718" w:rsidP="00344718">
            <w:pPr>
              <w:jc w:val="right"/>
              <w:rPr>
                <w:color w:val="000000"/>
                <w:sz w:val="17"/>
                <w:szCs w:val="17"/>
                <w:lang w:val="en-GB" w:eastAsia="en-CA"/>
              </w:rPr>
            </w:pPr>
            <w:r w:rsidRPr="00012E78">
              <w:rPr>
                <w:sz w:val="17"/>
                <w:szCs w:val="17"/>
              </w:rPr>
              <w:t>0</w:t>
            </w:r>
          </w:p>
        </w:tc>
        <w:tc>
          <w:tcPr>
            <w:tcW w:w="1152" w:type="dxa"/>
            <w:tcBorders>
              <w:top w:val="nil"/>
              <w:left w:val="nil"/>
              <w:bottom w:val="single" w:sz="4" w:space="0" w:color="auto"/>
              <w:right w:val="single" w:sz="4" w:space="0" w:color="auto"/>
            </w:tcBorders>
            <w:noWrap/>
          </w:tcPr>
          <w:p w14:paraId="08BA48B1" w14:textId="6CA8CC74" w:rsidR="00344718" w:rsidRPr="00012E78" w:rsidRDefault="00344718" w:rsidP="00344718">
            <w:pPr>
              <w:jc w:val="right"/>
              <w:rPr>
                <w:color w:val="000000"/>
                <w:sz w:val="17"/>
                <w:szCs w:val="17"/>
                <w:lang w:val="en-GB" w:eastAsia="en-CA"/>
              </w:rPr>
            </w:pPr>
            <w:r w:rsidRPr="00012E78">
              <w:rPr>
                <w:sz w:val="17"/>
                <w:szCs w:val="17"/>
              </w:rPr>
              <w:t>0</w:t>
            </w:r>
          </w:p>
        </w:tc>
        <w:tc>
          <w:tcPr>
            <w:tcW w:w="990" w:type="dxa"/>
            <w:tcBorders>
              <w:top w:val="nil"/>
              <w:left w:val="nil"/>
              <w:bottom w:val="single" w:sz="4" w:space="0" w:color="auto"/>
              <w:right w:val="single" w:sz="4" w:space="0" w:color="auto"/>
            </w:tcBorders>
            <w:noWrap/>
          </w:tcPr>
          <w:p w14:paraId="6D835C3B" w14:textId="22B8725B" w:rsidR="00344718" w:rsidRPr="00012E78" w:rsidRDefault="00344718" w:rsidP="00344718">
            <w:pPr>
              <w:jc w:val="right"/>
              <w:rPr>
                <w:color w:val="000000"/>
                <w:sz w:val="17"/>
                <w:szCs w:val="17"/>
                <w:lang w:val="en-GB" w:eastAsia="en-CA"/>
              </w:rPr>
            </w:pPr>
            <w:r w:rsidRPr="00012E78">
              <w:rPr>
                <w:sz w:val="17"/>
                <w:szCs w:val="17"/>
              </w:rPr>
              <w:t>0</w:t>
            </w:r>
          </w:p>
        </w:tc>
        <w:tc>
          <w:tcPr>
            <w:tcW w:w="993" w:type="dxa"/>
            <w:tcBorders>
              <w:top w:val="nil"/>
              <w:left w:val="nil"/>
              <w:bottom w:val="single" w:sz="4" w:space="0" w:color="auto"/>
              <w:right w:val="single" w:sz="4" w:space="0" w:color="auto"/>
            </w:tcBorders>
            <w:noWrap/>
          </w:tcPr>
          <w:p w14:paraId="63762A88" w14:textId="1907DC69" w:rsidR="00344718" w:rsidRPr="00012E78" w:rsidRDefault="00344718" w:rsidP="00344718">
            <w:pPr>
              <w:jc w:val="right"/>
              <w:rPr>
                <w:color w:val="000000"/>
                <w:sz w:val="17"/>
                <w:szCs w:val="17"/>
                <w:lang w:val="en-GB" w:eastAsia="en-CA"/>
              </w:rPr>
            </w:pPr>
            <w:r w:rsidRPr="00012E78">
              <w:rPr>
                <w:sz w:val="17"/>
                <w:szCs w:val="17"/>
              </w:rPr>
              <w:t>0</w:t>
            </w:r>
          </w:p>
        </w:tc>
        <w:tc>
          <w:tcPr>
            <w:tcW w:w="1257" w:type="dxa"/>
            <w:tcBorders>
              <w:top w:val="nil"/>
              <w:left w:val="nil"/>
              <w:bottom w:val="single" w:sz="4" w:space="0" w:color="auto"/>
              <w:right w:val="single" w:sz="4" w:space="0" w:color="auto"/>
            </w:tcBorders>
            <w:noWrap/>
          </w:tcPr>
          <w:p w14:paraId="474AA136" w14:textId="5D9F6955" w:rsidR="00344718" w:rsidRPr="00012E78" w:rsidRDefault="00344718" w:rsidP="00344718">
            <w:pPr>
              <w:jc w:val="right"/>
              <w:rPr>
                <w:color w:val="000000"/>
                <w:sz w:val="17"/>
                <w:szCs w:val="17"/>
                <w:lang w:val="en-GB" w:eastAsia="en-CA"/>
              </w:rPr>
            </w:pPr>
            <w:r w:rsidRPr="00012E78">
              <w:rPr>
                <w:sz w:val="17"/>
                <w:szCs w:val="17"/>
              </w:rPr>
              <w:t>9,749,989</w:t>
            </w:r>
          </w:p>
        </w:tc>
      </w:tr>
      <w:tr w:rsidR="00344718" w:rsidRPr="00012E78" w14:paraId="0298D9FD"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3ECFF1DB" w14:textId="66F61AFC" w:rsidR="00344718" w:rsidRPr="00012E78" w:rsidRDefault="00344718" w:rsidP="00344718">
            <w:pPr>
              <w:ind w:right="-254"/>
              <w:jc w:val="left"/>
              <w:rPr>
                <w:color w:val="000000"/>
                <w:sz w:val="17"/>
                <w:szCs w:val="17"/>
                <w:lang w:val="en-GB" w:eastAsia="en-CA"/>
              </w:rPr>
            </w:pPr>
            <w:r w:rsidRPr="00012E78">
              <w:rPr>
                <w:sz w:val="17"/>
                <w:szCs w:val="17"/>
              </w:rPr>
              <w:t xml:space="preserve">Emission </w:t>
            </w:r>
            <w:r w:rsidR="009C7875">
              <w:rPr>
                <w:sz w:val="17"/>
                <w:szCs w:val="17"/>
              </w:rPr>
              <w:t>c</w:t>
            </w:r>
            <w:r w:rsidRPr="00012E78">
              <w:rPr>
                <w:sz w:val="17"/>
                <w:szCs w:val="17"/>
              </w:rPr>
              <w:t>ontrol</w:t>
            </w:r>
          </w:p>
        </w:tc>
        <w:tc>
          <w:tcPr>
            <w:tcW w:w="720" w:type="dxa"/>
            <w:tcBorders>
              <w:top w:val="nil"/>
              <w:left w:val="nil"/>
              <w:bottom w:val="single" w:sz="4" w:space="0" w:color="auto"/>
              <w:right w:val="single" w:sz="4" w:space="0" w:color="auto"/>
            </w:tcBorders>
            <w:noWrap/>
          </w:tcPr>
          <w:p w14:paraId="4A7E4728" w14:textId="498E91B4" w:rsidR="00344718" w:rsidRPr="00012E78" w:rsidRDefault="00344718" w:rsidP="00344718">
            <w:pPr>
              <w:jc w:val="right"/>
              <w:rPr>
                <w:color w:val="000000"/>
                <w:sz w:val="17"/>
                <w:szCs w:val="17"/>
                <w:lang w:val="en-GB" w:eastAsia="en-CA"/>
              </w:rPr>
            </w:pPr>
            <w:r w:rsidRPr="00012E78">
              <w:rPr>
                <w:sz w:val="17"/>
                <w:szCs w:val="17"/>
              </w:rPr>
              <w:t>8</w:t>
            </w:r>
          </w:p>
        </w:tc>
        <w:tc>
          <w:tcPr>
            <w:tcW w:w="1170" w:type="dxa"/>
            <w:tcBorders>
              <w:top w:val="nil"/>
              <w:left w:val="nil"/>
              <w:bottom w:val="single" w:sz="4" w:space="0" w:color="auto"/>
              <w:right w:val="single" w:sz="4" w:space="0" w:color="auto"/>
            </w:tcBorders>
            <w:noWrap/>
          </w:tcPr>
          <w:p w14:paraId="697CB93F" w14:textId="7D7892CF"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70DB9F6B" w14:textId="15A50909"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347FBD8A" w14:textId="77585F3B" w:rsidR="00344718" w:rsidRPr="00012E78" w:rsidRDefault="00344718" w:rsidP="00344718">
            <w:pPr>
              <w:jc w:val="right"/>
              <w:rPr>
                <w:color w:val="000000"/>
                <w:sz w:val="17"/>
                <w:szCs w:val="17"/>
                <w:lang w:val="en-GB" w:eastAsia="en-CA"/>
              </w:rPr>
            </w:pPr>
            <w:r w:rsidRPr="00012E78">
              <w:rPr>
                <w:sz w:val="17"/>
                <w:szCs w:val="17"/>
              </w:rPr>
              <w:t>0</w:t>
            </w:r>
          </w:p>
        </w:tc>
        <w:tc>
          <w:tcPr>
            <w:tcW w:w="1152" w:type="dxa"/>
            <w:tcBorders>
              <w:top w:val="nil"/>
              <w:left w:val="nil"/>
              <w:bottom w:val="single" w:sz="4" w:space="0" w:color="auto"/>
              <w:right w:val="single" w:sz="4" w:space="0" w:color="auto"/>
            </w:tcBorders>
            <w:noWrap/>
          </w:tcPr>
          <w:p w14:paraId="23971FBE" w14:textId="144A46C8" w:rsidR="00344718" w:rsidRPr="00012E78" w:rsidRDefault="00344718" w:rsidP="00344718">
            <w:pPr>
              <w:jc w:val="right"/>
              <w:rPr>
                <w:color w:val="000000"/>
                <w:sz w:val="17"/>
                <w:szCs w:val="17"/>
                <w:lang w:val="en-GB" w:eastAsia="en-CA"/>
              </w:rPr>
            </w:pPr>
            <w:r w:rsidRPr="00012E78">
              <w:rPr>
                <w:sz w:val="17"/>
                <w:szCs w:val="17"/>
              </w:rPr>
              <w:t>0</w:t>
            </w:r>
          </w:p>
        </w:tc>
        <w:tc>
          <w:tcPr>
            <w:tcW w:w="990" w:type="dxa"/>
            <w:tcBorders>
              <w:top w:val="nil"/>
              <w:left w:val="nil"/>
              <w:bottom w:val="single" w:sz="4" w:space="0" w:color="auto"/>
              <w:right w:val="single" w:sz="4" w:space="0" w:color="auto"/>
            </w:tcBorders>
            <w:noWrap/>
          </w:tcPr>
          <w:p w14:paraId="77A96FDF" w14:textId="008A3350" w:rsidR="00344718" w:rsidRPr="00012E78" w:rsidRDefault="00344718" w:rsidP="00344718">
            <w:pPr>
              <w:jc w:val="right"/>
              <w:rPr>
                <w:color w:val="000000"/>
                <w:sz w:val="17"/>
                <w:szCs w:val="17"/>
                <w:lang w:val="en-GB" w:eastAsia="en-CA"/>
              </w:rPr>
            </w:pPr>
            <w:r w:rsidRPr="00012E78">
              <w:rPr>
                <w:sz w:val="17"/>
                <w:szCs w:val="17"/>
              </w:rPr>
              <w:t>0</w:t>
            </w:r>
          </w:p>
        </w:tc>
        <w:tc>
          <w:tcPr>
            <w:tcW w:w="993" w:type="dxa"/>
            <w:tcBorders>
              <w:top w:val="nil"/>
              <w:left w:val="nil"/>
              <w:bottom w:val="single" w:sz="4" w:space="0" w:color="auto"/>
              <w:right w:val="single" w:sz="4" w:space="0" w:color="auto"/>
            </w:tcBorders>
            <w:noWrap/>
          </w:tcPr>
          <w:p w14:paraId="3A35B287" w14:textId="50DF3092" w:rsidR="00344718" w:rsidRPr="00012E78" w:rsidRDefault="00344718" w:rsidP="00344718">
            <w:pPr>
              <w:jc w:val="right"/>
              <w:rPr>
                <w:color w:val="000000"/>
                <w:sz w:val="17"/>
                <w:szCs w:val="17"/>
                <w:lang w:val="en-GB" w:eastAsia="en-CA"/>
              </w:rPr>
            </w:pPr>
            <w:r w:rsidRPr="00012E78">
              <w:rPr>
                <w:sz w:val="17"/>
                <w:szCs w:val="17"/>
              </w:rPr>
              <w:t>0</w:t>
            </w:r>
          </w:p>
        </w:tc>
        <w:tc>
          <w:tcPr>
            <w:tcW w:w="1257" w:type="dxa"/>
            <w:tcBorders>
              <w:top w:val="nil"/>
              <w:left w:val="nil"/>
              <w:bottom w:val="single" w:sz="4" w:space="0" w:color="auto"/>
              <w:right w:val="single" w:sz="4" w:space="0" w:color="auto"/>
            </w:tcBorders>
            <w:noWrap/>
          </w:tcPr>
          <w:p w14:paraId="390EA9E7" w14:textId="1D5726D6" w:rsidR="00344718" w:rsidRPr="00012E78" w:rsidRDefault="00344718" w:rsidP="00344718">
            <w:pPr>
              <w:jc w:val="right"/>
              <w:rPr>
                <w:color w:val="000000"/>
                <w:sz w:val="17"/>
                <w:szCs w:val="17"/>
                <w:lang w:val="en-GB" w:eastAsia="en-CA"/>
              </w:rPr>
            </w:pPr>
            <w:r w:rsidRPr="00012E78">
              <w:rPr>
                <w:sz w:val="17"/>
                <w:szCs w:val="17"/>
              </w:rPr>
              <w:t>3,615,582</w:t>
            </w:r>
          </w:p>
        </w:tc>
      </w:tr>
      <w:tr w:rsidR="00344718" w:rsidRPr="00012E78" w14:paraId="441A994A"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2E895BB0" w14:textId="72BF8684" w:rsidR="00344718" w:rsidRPr="00012E78" w:rsidRDefault="00344718" w:rsidP="00344718">
            <w:pPr>
              <w:ind w:right="-112"/>
              <w:jc w:val="left"/>
              <w:rPr>
                <w:color w:val="000000"/>
                <w:sz w:val="17"/>
                <w:szCs w:val="17"/>
                <w:lang w:val="en-GB" w:eastAsia="en-CA"/>
              </w:rPr>
            </w:pPr>
            <w:r w:rsidRPr="00012E78">
              <w:rPr>
                <w:sz w:val="17"/>
                <w:szCs w:val="17"/>
              </w:rPr>
              <w:t xml:space="preserve">Energy </w:t>
            </w:r>
            <w:r w:rsidR="009C7875">
              <w:rPr>
                <w:sz w:val="17"/>
                <w:szCs w:val="17"/>
              </w:rPr>
              <w:t>e</w:t>
            </w:r>
            <w:r w:rsidRPr="00012E78">
              <w:rPr>
                <w:sz w:val="17"/>
                <w:szCs w:val="17"/>
              </w:rPr>
              <w:t>fficiency</w:t>
            </w:r>
          </w:p>
        </w:tc>
        <w:tc>
          <w:tcPr>
            <w:tcW w:w="720" w:type="dxa"/>
            <w:tcBorders>
              <w:top w:val="nil"/>
              <w:left w:val="nil"/>
              <w:bottom w:val="single" w:sz="4" w:space="0" w:color="auto"/>
              <w:right w:val="single" w:sz="4" w:space="0" w:color="auto"/>
            </w:tcBorders>
            <w:noWrap/>
          </w:tcPr>
          <w:p w14:paraId="668F3717" w14:textId="5BA9CAA6" w:rsidR="00344718" w:rsidRPr="00012E78" w:rsidRDefault="00344718" w:rsidP="00344718">
            <w:pPr>
              <w:jc w:val="right"/>
              <w:rPr>
                <w:color w:val="000000"/>
                <w:sz w:val="17"/>
                <w:szCs w:val="17"/>
              </w:rPr>
            </w:pPr>
            <w:r w:rsidRPr="00012E78">
              <w:rPr>
                <w:sz w:val="17"/>
                <w:szCs w:val="17"/>
              </w:rPr>
              <w:t>91</w:t>
            </w:r>
          </w:p>
        </w:tc>
        <w:tc>
          <w:tcPr>
            <w:tcW w:w="1170" w:type="dxa"/>
            <w:tcBorders>
              <w:top w:val="nil"/>
              <w:left w:val="nil"/>
              <w:bottom w:val="single" w:sz="4" w:space="0" w:color="auto"/>
              <w:right w:val="single" w:sz="4" w:space="0" w:color="auto"/>
            </w:tcBorders>
            <w:noWrap/>
          </w:tcPr>
          <w:p w14:paraId="1F416A7D" w14:textId="1BD03852" w:rsidR="00344718" w:rsidRPr="00012E78" w:rsidRDefault="00344718" w:rsidP="00344718">
            <w:pPr>
              <w:jc w:val="right"/>
              <w:rPr>
                <w:color w:val="000000"/>
                <w:sz w:val="17"/>
                <w:szCs w:val="17"/>
              </w:rPr>
            </w:pPr>
            <w:r w:rsidRPr="00012E78">
              <w:rPr>
                <w:sz w:val="17"/>
                <w:szCs w:val="17"/>
              </w:rPr>
              <w:t>0</w:t>
            </w:r>
          </w:p>
        </w:tc>
        <w:tc>
          <w:tcPr>
            <w:tcW w:w="1134" w:type="dxa"/>
            <w:tcBorders>
              <w:top w:val="nil"/>
              <w:left w:val="nil"/>
              <w:bottom w:val="single" w:sz="4" w:space="0" w:color="auto"/>
              <w:right w:val="single" w:sz="4" w:space="0" w:color="auto"/>
            </w:tcBorders>
            <w:noWrap/>
          </w:tcPr>
          <w:p w14:paraId="2B9EFDED" w14:textId="1E0D587D" w:rsidR="00344718" w:rsidRPr="00012E78" w:rsidRDefault="00344718" w:rsidP="00344718">
            <w:pPr>
              <w:jc w:val="right"/>
              <w:rPr>
                <w:color w:val="000000"/>
                <w:sz w:val="17"/>
                <w:szCs w:val="17"/>
              </w:rPr>
            </w:pPr>
            <w:r w:rsidRPr="00012E78">
              <w:rPr>
                <w:sz w:val="17"/>
                <w:szCs w:val="17"/>
              </w:rPr>
              <w:t>0</w:t>
            </w:r>
          </w:p>
        </w:tc>
        <w:tc>
          <w:tcPr>
            <w:tcW w:w="1134" w:type="dxa"/>
            <w:tcBorders>
              <w:top w:val="nil"/>
              <w:left w:val="nil"/>
              <w:bottom w:val="single" w:sz="4" w:space="0" w:color="auto"/>
              <w:right w:val="single" w:sz="4" w:space="0" w:color="auto"/>
            </w:tcBorders>
            <w:noWrap/>
          </w:tcPr>
          <w:p w14:paraId="0D802FA3" w14:textId="01087DD1" w:rsidR="00344718" w:rsidRPr="00012E78" w:rsidRDefault="00344718" w:rsidP="00344718">
            <w:pPr>
              <w:jc w:val="right"/>
              <w:rPr>
                <w:color w:val="000000"/>
                <w:sz w:val="17"/>
                <w:szCs w:val="17"/>
              </w:rPr>
            </w:pPr>
            <w:r w:rsidRPr="00012E78">
              <w:rPr>
                <w:sz w:val="17"/>
                <w:szCs w:val="17"/>
              </w:rPr>
              <w:t>0</w:t>
            </w:r>
          </w:p>
        </w:tc>
        <w:tc>
          <w:tcPr>
            <w:tcW w:w="1152" w:type="dxa"/>
            <w:tcBorders>
              <w:top w:val="nil"/>
              <w:left w:val="nil"/>
              <w:bottom w:val="single" w:sz="4" w:space="0" w:color="auto"/>
              <w:right w:val="single" w:sz="4" w:space="0" w:color="auto"/>
            </w:tcBorders>
            <w:noWrap/>
          </w:tcPr>
          <w:p w14:paraId="09B03F15" w14:textId="3DCF7C90" w:rsidR="00344718" w:rsidRPr="00012E78" w:rsidRDefault="00344718" w:rsidP="00344718">
            <w:pPr>
              <w:jc w:val="right"/>
              <w:rPr>
                <w:color w:val="000000"/>
                <w:sz w:val="17"/>
                <w:szCs w:val="17"/>
              </w:rPr>
            </w:pPr>
            <w:r w:rsidRPr="00012E78">
              <w:rPr>
                <w:sz w:val="17"/>
                <w:szCs w:val="17"/>
              </w:rPr>
              <w:t>0</w:t>
            </w:r>
          </w:p>
        </w:tc>
        <w:tc>
          <w:tcPr>
            <w:tcW w:w="990" w:type="dxa"/>
            <w:tcBorders>
              <w:top w:val="nil"/>
              <w:left w:val="nil"/>
              <w:bottom w:val="single" w:sz="4" w:space="0" w:color="auto"/>
              <w:right w:val="single" w:sz="4" w:space="0" w:color="auto"/>
            </w:tcBorders>
            <w:noWrap/>
          </w:tcPr>
          <w:p w14:paraId="4970CB51" w14:textId="5BEA7EA6" w:rsidR="00344718" w:rsidRPr="00012E78" w:rsidRDefault="00344718" w:rsidP="00344718">
            <w:pPr>
              <w:jc w:val="right"/>
              <w:rPr>
                <w:color w:val="000000"/>
                <w:sz w:val="17"/>
                <w:szCs w:val="17"/>
              </w:rPr>
            </w:pPr>
            <w:r w:rsidRPr="00012E78">
              <w:rPr>
                <w:sz w:val="17"/>
                <w:szCs w:val="17"/>
              </w:rPr>
              <w:t>0</w:t>
            </w:r>
          </w:p>
        </w:tc>
        <w:tc>
          <w:tcPr>
            <w:tcW w:w="993" w:type="dxa"/>
            <w:tcBorders>
              <w:top w:val="nil"/>
              <w:left w:val="nil"/>
              <w:bottom w:val="single" w:sz="4" w:space="0" w:color="auto"/>
              <w:right w:val="single" w:sz="4" w:space="0" w:color="auto"/>
            </w:tcBorders>
            <w:noWrap/>
          </w:tcPr>
          <w:p w14:paraId="0734AF3B" w14:textId="4E097F8B" w:rsidR="00344718" w:rsidRPr="00012E78" w:rsidRDefault="00344718" w:rsidP="00344718">
            <w:pPr>
              <w:jc w:val="right"/>
              <w:rPr>
                <w:color w:val="000000"/>
                <w:sz w:val="17"/>
                <w:szCs w:val="17"/>
              </w:rPr>
            </w:pPr>
            <w:r w:rsidRPr="00012E78">
              <w:rPr>
                <w:sz w:val="17"/>
                <w:szCs w:val="17"/>
              </w:rPr>
              <w:t>0</w:t>
            </w:r>
          </w:p>
        </w:tc>
        <w:tc>
          <w:tcPr>
            <w:tcW w:w="1257" w:type="dxa"/>
            <w:tcBorders>
              <w:top w:val="nil"/>
              <w:left w:val="nil"/>
              <w:bottom w:val="single" w:sz="4" w:space="0" w:color="auto"/>
              <w:right w:val="single" w:sz="4" w:space="0" w:color="auto"/>
            </w:tcBorders>
            <w:noWrap/>
          </w:tcPr>
          <w:p w14:paraId="0B3324E2" w14:textId="5D6EDE25" w:rsidR="00344718" w:rsidRPr="00012E78" w:rsidRDefault="00344718" w:rsidP="00344718">
            <w:pPr>
              <w:jc w:val="right"/>
              <w:rPr>
                <w:color w:val="000000"/>
                <w:sz w:val="17"/>
                <w:szCs w:val="17"/>
              </w:rPr>
            </w:pPr>
            <w:r w:rsidRPr="00012E78">
              <w:rPr>
                <w:sz w:val="17"/>
                <w:szCs w:val="17"/>
              </w:rPr>
              <w:t>47,296,338</w:t>
            </w:r>
          </w:p>
        </w:tc>
      </w:tr>
      <w:tr w:rsidR="00344718" w:rsidRPr="00012E78" w14:paraId="15B7AB89"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4B7785A6" w14:textId="4A3C2240" w:rsidR="00344718" w:rsidRPr="00012E78" w:rsidRDefault="00344718" w:rsidP="00344718">
            <w:pPr>
              <w:ind w:right="-112"/>
              <w:jc w:val="left"/>
              <w:rPr>
                <w:color w:val="000000"/>
                <w:sz w:val="17"/>
                <w:szCs w:val="17"/>
                <w:lang w:val="en-GB" w:eastAsia="en-CA"/>
              </w:rPr>
            </w:pPr>
            <w:r w:rsidRPr="00012E78">
              <w:rPr>
                <w:sz w:val="17"/>
                <w:szCs w:val="17"/>
              </w:rPr>
              <w:t xml:space="preserve">Government </w:t>
            </w:r>
            <w:r w:rsidR="009C7875">
              <w:rPr>
                <w:sz w:val="17"/>
                <w:szCs w:val="17"/>
              </w:rPr>
              <w:t>s</w:t>
            </w:r>
            <w:r w:rsidRPr="00012E78">
              <w:rPr>
                <w:sz w:val="17"/>
                <w:szCs w:val="17"/>
              </w:rPr>
              <w:t>upport</w:t>
            </w:r>
          </w:p>
        </w:tc>
        <w:tc>
          <w:tcPr>
            <w:tcW w:w="720" w:type="dxa"/>
            <w:tcBorders>
              <w:top w:val="nil"/>
              <w:left w:val="nil"/>
              <w:bottom w:val="single" w:sz="4" w:space="0" w:color="auto"/>
              <w:right w:val="single" w:sz="4" w:space="0" w:color="auto"/>
            </w:tcBorders>
            <w:noWrap/>
          </w:tcPr>
          <w:p w14:paraId="434EFC02" w14:textId="089622B4" w:rsidR="00344718" w:rsidRPr="00012E78" w:rsidRDefault="00344718" w:rsidP="00344718">
            <w:pPr>
              <w:jc w:val="right"/>
              <w:rPr>
                <w:color w:val="000000"/>
                <w:sz w:val="17"/>
                <w:szCs w:val="17"/>
              </w:rPr>
            </w:pPr>
            <w:r w:rsidRPr="00012E78">
              <w:rPr>
                <w:sz w:val="17"/>
                <w:szCs w:val="17"/>
              </w:rPr>
              <w:t>1,561</w:t>
            </w:r>
          </w:p>
        </w:tc>
        <w:tc>
          <w:tcPr>
            <w:tcW w:w="1170" w:type="dxa"/>
            <w:tcBorders>
              <w:top w:val="nil"/>
              <w:left w:val="nil"/>
              <w:bottom w:val="single" w:sz="4" w:space="0" w:color="auto"/>
              <w:right w:val="single" w:sz="4" w:space="0" w:color="auto"/>
            </w:tcBorders>
            <w:noWrap/>
          </w:tcPr>
          <w:p w14:paraId="4826B63D" w14:textId="02BE14F5" w:rsidR="00344718" w:rsidRPr="00012E78" w:rsidRDefault="00344718" w:rsidP="00344718">
            <w:pPr>
              <w:jc w:val="right"/>
              <w:rPr>
                <w:color w:val="000000"/>
                <w:sz w:val="17"/>
                <w:szCs w:val="17"/>
              </w:rPr>
            </w:pPr>
            <w:r w:rsidRPr="00012E78">
              <w:rPr>
                <w:sz w:val="17"/>
                <w:szCs w:val="17"/>
              </w:rPr>
              <w:t>693</w:t>
            </w:r>
          </w:p>
        </w:tc>
        <w:tc>
          <w:tcPr>
            <w:tcW w:w="1134" w:type="dxa"/>
            <w:tcBorders>
              <w:top w:val="nil"/>
              <w:left w:val="nil"/>
              <w:bottom w:val="single" w:sz="4" w:space="0" w:color="auto"/>
              <w:right w:val="single" w:sz="4" w:space="0" w:color="auto"/>
            </w:tcBorders>
            <w:noWrap/>
          </w:tcPr>
          <w:p w14:paraId="102A1004" w14:textId="5136B782" w:rsidR="00344718" w:rsidRPr="00012E78" w:rsidRDefault="00344718" w:rsidP="00344718">
            <w:pPr>
              <w:jc w:val="right"/>
              <w:rPr>
                <w:color w:val="000000"/>
                <w:sz w:val="17"/>
                <w:szCs w:val="17"/>
              </w:rPr>
            </w:pPr>
            <w:r w:rsidRPr="00012E78">
              <w:rPr>
                <w:sz w:val="17"/>
                <w:szCs w:val="17"/>
              </w:rPr>
              <w:t>694</w:t>
            </w:r>
          </w:p>
        </w:tc>
        <w:tc>
          <w:tcPr>
            <w:tcW w:w="1134" w:type="dxa"/>
            <w:tcBorders>
              <w:top w:val="nil"/>
              <w:left w:val="nil"/>
              <w:bottom w:val="single" w:sz="4" w:space="0" w:color="auto"/>
              <w:right w:val="single" w:sz="4" w:space="0" w:color="auto"/>
            </w:tcBorders>
            <w:noWrap/>
          </w:tcPr>
          <w:p w14:paraId="38B5125D" w14:textId="3B2AD6C6" w:rsidR="00344718" w:rsidRPr="00012E78" w:rsidRDefault="00344718" w:rsidP="00344718">
            <w:pPr>
              <w:jc w:val="right"/>
              <w:rPr>
                <w:color w:val="000000"/>
                <w:sz w:val="17"/>
                <w:szCs w:val="17"/>
              </w:rPr>
            </w:pPr>
            <w:r w:rsidRPr="00012E78">
              <w:rPr>
                <w:sz w:val="17"/>
                <w:szCs w:val="17"/>
              </w:rPr>
              <w:t>0</w:t>
            </w:r>
          </w:p>
        </w:tc>
        <w:tc>
          <w:tcPr>
            <w:tcW w:w="1152" w:type="dxa"/>
            <w:tcBorders>
              <w:top w:val="nil"/>
              <w:left w:val="nil"/>
              <w:bottom w:val="single" w:sz="4" w:space="0" w:color="auto"/>
              <w:right w:val="single" w:sz="4" w:space="0" w:color="auto"/>
            </w:tcBorders>
            <w:noWrap/>
          </w:tcPr>
          <w:p w14:paraId="158E5A5F" w14:textId="757E493C" w:rsidR="00344718" w:rsidRPr="00012E78" w:rsidRDefault="00344718" w:rsidP="00344718">
            <w:pPr>
              <w:jc w:val="right"/>
              <w:rPr>
                <w:color w:val="000000"/>
                <w:sz w:val="17"/>
                <w:szCs w:val="17"/>
              </w:rPr>
            </w:pPr>
            <w:r w:rsidRPr="00012E78">
              <w:rPr>
                <w:sz w:val="17"/>
                <w:szCs w:val="17"/>
              </w:rPr>
              <w:t>0</w:t>
            </w:r>
          </w:p>
        </w:tc>
        <w:tc>
          <w:tcPr>
            <w:tcW w:w="990" w:type="dxa"/>
            <w:tcBorders>
              <w:top w:val="nil"/>
              <w:left w:val="nil"/>
              <w:bottom w:val="single" w:sz="4" w:space="0" w:color="auto"/>
              <w:right w:val="single" w:sz="4" w:space="0" w:color="auto"/>
            </w:tcBorders>
            <w:noWrap/>
          </w:tcPr>
          <w:p w14:paraId="112DA729" w14:textId="08CC84CD" w:rsidR="00344718" w:rsidRPr="00012E78" w:rsidRDefault="00344718" w:rsidP="00344718">
            <w:pPr>
              <w:jc w:val="right"/>
              <w:rPr>
                <w:color w:val="000000"/>
                <w:sz w:val="17"/>
                <w:szCs w:val="17"/>
              </w:rPr>
            </w:pPr>
            <w:r w:rsidRPr="00012E78">
              <w:rPr>
                <w:sz w:val="17"/>
                <w:szCs w:val="17"/>
              </w:rPr>
              <w:t>0</w:t>
            </w:r>
          </w:p>
        </w:tc>
        <w:tc>
          <w:tcPr>
            <w:tcW w:w="993" w:type="dxa"/>
            <w:tcBorders>
              <w:top w:val="nil"/>
              <w:left w:val="nil"/>
              <w:bottom w:val="single" w:sz="4" w:space="0" w:color="auto"/>
              <w:right w:val="single" w:sz="4" w:space="0" w:color="auto"/>
            </w:tcBorders>
            <w:noWrap/>
          </w:tcPr>
          <w:p w14:paraId="1F728FA9" w14:textId="290F65A5" w:rsidR="00344718" w:rsidRPr="00012E78" w:rsidRDefault="00344718" w:rsidP="00344718">
            <w:pPr>
              <w:jc w:val="right"/>
              <w:rPr>
                <w:color w:val="000000"/>
                <w:sz w:val="17"/>
                <w:szCs w:val="17"/>
              </w:rPr>
            </w:pPr>
            <w:r w:rsidRPr="00012E78">
              <w:rPr>
                <w:sz w:val="17"/>
                <w:szCs w:val="17"/>
              </w:rPr>
              <w:t>0</w:t>
            </w:r>
          </w:p>
        </w:tc>
        <w:tc>
          <w:tcPr>
            <w:tcW w:w="1257" w:type="dxa"/>
            <w:tcBorders>
              <w:top w:val="nil"/>
              <w:left w:val="nil"/>
              <w:bottom w:val="single" w:sz="4" w:space="0" w:color="auto"/>
              <w:right w:val="single" w:sz="4" w:space="0" w:color="auto"/>
            </w:tcBorders>
            <w:noWrap/>
          </w:tcPr>
          <w:p w14:paraId="08FE0FFA" w14:textId="4EBB351F" w:rsidR="00344718" w:rsidRPr="00012E78" w:rsidRDefault="00344718" w:rsidP="00344718">
            <w:pPr>
              <w:jc w:val="right"/>
              <w:rPr>
                <w:color w:val="000000"/>
                <w:sz w:val="17"/>
                <w:szCs w:val="17"/>
              </w:rPr>
            </w:pPr>
            <w:r w:rsidRPr="00012E78">
              <w:rPr>
                <w:sz w:val="17"/>
                <w:szCs w:val="17"/>
              </w:rPr>
              <w:t>223,489,653</w:t>
            </w:r>
          </w:p>
        </w:tc>
      </w:tr>
      <w:tr w:rsidR="00344718" w:rsidRPr="00012E78" w14:paraId="607E022C"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423C65B6" w14:textId="513A3AF4" w:rsidR="00344718" w:rsidRPr="00012E78" w:rsidRDefault="00344718" w:rsidP="00344718">
            <w:pPr>
              <w:jc w:val="left"/>
              <w:rPr>
                <w:color w:val="000000"/>
                <w:sz w:val="17"/>
                <w:szCs w:val="17"/>
                <w:lang w:val="en-GB" w:eastAsia="en-CA"/>
              </w:rPr>
            </w:pPr>
            <w:r w:rsidRPr="00012E78">
              <w:rPr>
                <w:sz w:val="17"/>
                <w:szCs w:val="17"/>
              </w:rPr>
              <w:t xml:space="preserve">HCFC </w:t>
            </w:r>
            <w:r w:rsidR="009C7875">
              <w:rPr>
                <w:sz w:val="17"/>
                <w:szCs w:val="17"/>
              </w:rPr>
              <w:t>i</w:t>
            </w:r>
            <w:r w:rsidRPr="00012E78">
              <w:rPr>
                <w:sz w:val="17"/>
                <w:szCs w:val="17"/>
              </w:rPr>
              <w:t>ndividual</w:t>
            </w:r>
          </w:p>
        </w:tc>
        <w:tc>
          <w:tcPr>
            <w:tcW w:w="720" w:type="dxa"/>
            <w:tcBorders>
              <w:top w:val="nil"/>
              <w:left w:val="nil"/>
              <w:bottom w:val="single" w:sz="4" w:space="0" w:color="auto"/>
              <w:right w:val="single" w:sz="4" w:space="0" w:color="auto"/>
            </w:tcBorders>
            <w:noWrap/>
          </w:tcPr>
          <w:p w14:paraId="2216C0C6" w14:textId="1A60C2C2" w:rsidR="00344718" w:rsidRPr="00012E78" w:rsidRDefault="00344718" w:rsidP="00344718">
            <w:pPr>
              <w:jc w:val="right"/>
              <w:rPr>
                <w:color w:val="000000"/>
                <w:sz w:val="17"/>
                <w:szCs w:val="17"/>
              </w:rPr>
            </w:pPr>
            <w:r w:rsidRPr="00012E78">
              <w:rPr>
                <w:sz w:val="17"/>
                <w:szCs w:val="17"/>
              </w:rPr>
              <w:t>915</w:t>
            </w:r>
          </w:p>
        </w:tc>
        <w:tc>
          <w:tcPr>
            <w:tcW w:w="1170" w:type="dxa"/>
            <w:tcBorders>
              <w:top w:val="nil"/>
              <w:left w:val="nil"/>
              <w:bottom w:val="single" w:sz="4" w:space="0" w:color="auto"/>
              <w:right w:val="single" w:sz="4" w:space="0" w:color="auto"/>
            </w:tcBorders>
            <w:noWrap/>
          </w:tcPr>
          <w:p w14:paraId="5DEE349C" w14:textId="0D1C5922" w:rsidR="00344718" w:rsidRPr="00012E78" w:rsidRDefault="00344718" w:rsidP="00344718">
            <w:pPr>
              <w:jc w:val="right"/>
              <w:rPr>
                <w:color w:val="000000"/>
                <w:sz w:val="17"/>
                <w:szCs w:val="17"/>
              </w:rPr>
            </w:pPr>
            <w:r w:rsidRPr="00012E78">
              <w:rPr>
                <w:sz w:val="17"/>
                <w:szCs w:val="17"/>
              </w:rPr>
              <w:t>72</w:t>
            </w:r>
          </w:p>
        </w:tc>
        <w:tc>
          <w:tcPr>
            <w:tcW w:w="1134" w:type="dxa"/>
            <w:tcBorders>
              <w:top w:val="nil"/>
              <w:left w:val="nil"/>
              <w:bottom w:val="single" w:sz="4" w:space="0" w:color="auto"/>
              <w:right w:val="single" w:sz="4" w:space="0" w:color="auto"/>
            </w:tcBorders>
            <w:noWrap/>
          </w:tcPr>
          <w:p w14:paraId="166525DB" w14:textId="139419DD" w:rsidR="00344718" w:rsidRPr="00012E78" w:rsidRDefault="00344718" w:rsidP="00344718">
            <w:pPr>
              <w:jc w:val="right"/>
              <w:rPr>
                <w:color w:val="000000"/>
                <w:sz w:val="17"/>
                <w:szCs w:val="17"/>
              </w:rPr>
            </w:pPr>
            <w:r w:rsidRPr="00012E78">
              <w:rPr>
                <w:sz w:val="17"/>
                <w:szCs w:val="17"/>
              </w:rPr>
              <w:t>72</w:t>
            </w:r>
          </w:p>
        </w:tc>
        <w:tc>
          <w:tcPr>
            <w:tcW w:w="1134" w:type="dxa"/>
            <w:tcBorders>
              <w:top w:val="nil"/>
              <w:left w:val="nil"/>
              <w:bottom w:val="single" w:sz="4" w:space="0" w:color="auto"/>
              <w:right w:val="single" w:sz="4" w:space="0" w:color="auto"/>
            </w:tcBorders>
            <w:noWrap/>
          </w:tcPr>
          <w:p w14:paraId="416A0C97" w14:textId="33B0E2B7" w:rsidR="00344718" w:rsidRPr="00012E78" w:rsidRDefault="00344718" w:rsidP="00344718">
            <w:pPr>
              <w:jc w:val="right"/>
              <w:rPr>
                <w:color w:val="000000"/>
                <w:sz w:val="17"/>
                <w:szCs w:val="17"/>
              </w:rPr>
            </w:pPr>
            <w:r w:rsidRPr="00012E78">
              <w:rPr>
                <w:sz w:val="17"/>
                <w:szCs w:val="17"/>
              </w:rPr>
              <w:t>0</w:t>
            </w:r>
          </w:p>
        </w:tc>
        <w:tc>
          <w:tcPr>
            <w:tcW w:w="1152" w:type="dxa"/>
            <w:tcBorders>
              <w:top w:val="nil"/>
              <w:left w:val="nil"/>
              <w:bottom w:val="single" w:sz="4" w:space="0" w:color="auto"/>
              <w:right w:val="single" w:sz="4" w:space="0" w:color="auto"/>
            </w:tcBorders>
            <w:noWrap/>
          </w:tcPr>
          <w:p w14:paraId="1C71C204" w14:textId="23F65F7F" w:rsidR="00344718" w:rsidRPr="00012E78" w:rsidRDefault="00344718" w:rsidP="00344718">
            <w:pPr>
              <w:jc w:val="right"/>
              <w:rPr>
                <w:color w:val="000000"/>
                <w:sz w:val="17"/>
                <w:szCs w:val="17"/>
              </w:rPr>
            </w:pPr>
            <w:r w:rsidRPr="00012E78">
              <w:rPr>
                <w:sz w:val="17"/>
                <w:szCs w:val="17"/>
              </w:rPr>
              <w:t>0</w:t>
            </w:r>
          </w:p>
        </w:tc>
        <w:tc>
          <w:tcPr>
            <w:tcW w:w="990" w:type="dxa"/>
            <w:tcBorders>
              <w:top w:val="nil"/>
              <w:left w:val="nil"/>
              <w:bottom w:val="single" w:sz="4" w:space="0" w:color="auto"/>
              <w:right w:val="single" w:sz="4" w:space="0" w:color="auto"/>
            </w:tcBorders>
            <w:noWrap/>
          </w:tcPr>
          <w:p w14:paraId="532CE007" w14:textId="3DBA5CE2" w:rsidR="00344718" w:rsidRPr="00012E78" w:rsidRDefault="00344718" w:rsidP="00344718">
            <w:pPr>
              <w:jc w:val="right"/>
              <w:rPr>
                <w:color w:val="000000"/>
                <w:sz w:val="17"/>
                <w:szCs w:val="17"/>
              </w:rPr>
            </w:pPr>
            <w:r w:rsidRPr="00012E78">
              <w:rPr>
                <w:sz w:val="17"/>
                <w:szCs w:val="17"/>
              </w:rPr>
              <w:t>0</w:t>
            </w:r>
          </w:p>
        </w:tc>
        <w:tc>
          <w:tcPr>
            <w:tcW w:w="993" w:type="dxa"/>
            <w:tcBorders>
              <w:top w:val="nil"/>
              <w:left w:val="nil"/>
              <w:bottom w:val="single" w:sz="4" w:space="0" w:color="auto"/>
              <w:right w:val="single" w:sz="4" w:space="0" w:color="auto"/>
            </w:tcBorders>
            <w:noWrap/>
          </w:tcPr>
          <w:p w14:paraId="7B9B5ECE" w14:textId="318A2A76" w:rsidR="00344718" w:rsidRPr="00012E78" w:rsidRDefault="00344718" w:rsidP="00344718">
            <w:pPr>
              <w:jc w:val="right"/>
              <w:rPr>
                <w:color w:val="000000"/>
                <w:sz w:val="17"/>
                <w:szCs w:val="17"/>
              </w:rPr>
            </w:pPr>
            <w:r w:rsidRPr="00012E78">
              <w:rPr>
                <w:sz w:val="17"/>
                <w:szCs w:val="17"/>
              </w:rPr>
              <w:t>0</w:t>
            </w:r>
          </w:p>
        </w:tc>
        <w:tc>
          <w:tcPr>
            <w:tcW w:w="1257" w:type="dxa"/>
            <w:tcBorders>
              <w:top w:val="nil"/>
              <w:left w:val="nil"/>
              <w:bottom w:val="single" w:sz="4" w:space="0" w:color="auto"/>
              <w:right w:val="single" w:sz="4" w:space="0" w:color="auto"/>
            </w:tcBorders>
            <w:noWrap/>
          </w:tcPr>
          <w:p w14:paraId="1291051E" w14:textId="1C8BBAF9" w:rsidR="00344718" w:rsidRPr="00012E78" w:rsidRDefault="00344718" w:rsidP="00344718">
            <w:pPr>
              <w:jc w:val="right"/>
              <w:rPr>
                <w:color w:val="000000"/>
                <w:sz w:val="17"/>
                <w:szCs w:val="17"/>
              </w:rPr>
            </w:pPr>
            <w:r w:rsidRPr="00012E78">
              <w:rPr>
                <w:sz w:val="17"/>
                <w:szCs w:val="17"/>
              </w:rPr>
              <w:t>80,618,214</w:t>
            </w:r>
          </w:p>
        </w:tc>
      </w:tr>
      <w:tr w:rsidR="00344718" w:rsidRPr="00012E78" w14:paraId="48364E7A"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5C1508E9" w14:textId="5580C986" w:rsidR="00344718" w:rsidRPr="00012E78" w:rsidRDefault="00344718" w:rsidP="00344718">
            <w:pPr>
              <w:jc w:val="left"/>
              <w:rPr>
                <w:color w:val="000000"/>
                <w:sz w:val="17"/>
                <w:szCs w:val="17"/>
                <w:lang w:val="en-GB" w:eastAsia="en-CA"/>
              </w:rPr>
            </w:pPr>
            <w:r w:rsidRPr="00012E78">
              <w:rPr>
                <w:sz w:val="17"/>
                <w:szCs w:val="17"/>
              </w:rPr>
              <w:t>H</w:t>
            </w:r>
            <w:r w:rsidR="003949E3">
              <w:rPr>
                <w:sz w:val="17"/>
                <w:szCs w:val="17"/>
              </w:rPr>
              <w:t>PMP</w:t>
            </w:r>
            <w:r w:rsidRPr="00012E78">
              <w:rPr>
                <w:sz w:val="17"/>
                <w:szCs w:val="17"/>
              </w:rPr>
              <w:t xml:space="preserve"> </w:t>
            </w:r>
            <w:r w:rsidR="009C7875">
              <w:rPr>
                <w:sz w:val="17"/>
                <w:szCs w:val="17"/>
              </w:rPr>
              <w:t>(</w:t>
            </w:r>
            <w:r w:rsidRPr="00012E78">
              <w:rPr>
                <w:sz w:val="17"/>
                <w:szCs w:val="17"/>
              </w:rPr>
              <w:t xml:space="preserve">stage </w:t>
            </w:r>
            <w:r w:rsidR="009C7875">
              <w:rPr>
                <w:sz w:val="17"/>
                <w:szCs w:val="17"/>
              </w:rPr>
              <w:t>I)</w:t>
            </w:r>
          </w:p>
        </w:tc>
        <w:tc>
          <w:tcPr>
            <w:tcW w:w="720" w:type="dxa"/>
            <w:tcBorders>
              <w:top w:val="nil"/>
              <w:left w:val="nil"/>
              <w:bottom w:val="single" w:sz="4" w:space="0" w:color="auto"/>
              <w:right w:val="single" w:sz="4" w:space="0" w:color="auto"/>
            </w:tcBorders>
            <w:noWrap/>
          </w:tcPr>
          <w:p w14:paraId="2E03C656" w14:textId="448678F3" w:rsidR="00344718" w:rsidRPr="00012E78" w:rsidRDefault="00344718" w:rsidP="00344718">
            <w:pPr>
              <w:jc w:val="right"/>
              <w:rPr>
                <w:color w:val="000000"/>
                <w:sz w:val="17"/>
                <w:szCs w:val="17"/>
              </w:rPr>
            </w:pPr>
            <w:r w:rsidRPr="00012E78">
              <w:rPr>
                <w:sz w:val="17"/>
                <w:szCs w:val="17"/>
              </w:rPr>
              <w:t>912</w:t>
            </w:r>
          </w:p>
        </w:tc>
        <w:tc>
          <w:tcPr>
            <w:tcW w:w="1170" w:type="dxa"/>
            <w:tcBorders>
              <w:top w:val="nil"/>
              <w:left w:val="nil"/>
              <w:bottom w:val="single" w:sz="4" w:space="0" w:color="auto"/>
              <w:right w:val="single" w:sz="4" w:space="0" w:color="auto"/>
            </w:tcBorders>
            <w:noWrap/>
          </w:tcPr>
          <w:p w14:paraId="61DC9619" w14:textId="75DACE8D" w:rsidR="00344718" w:rsidRPr="00012E78" w:rsidRDefault="00344718" w:rsidP="00344718">
            <w:pPr>
              <w:jc w:val="right"/>
              <w:rPr>
                <w:color w:val="000000"/>
                <w:sz w:val="17"/>
                <w:szCs w:val="17"/>
              </w:rPr>
            </w:pPr>
            <w:r w:rsidRPr="00012E78">
              <w:rPr>
                <w:sz w:val="17"/>
                <w:szCs w:val="17"/>
              </w:rPr>
              <w:t>6,129</w:t>
            </w:r>
          </w:p>
        </w:tc>
        <w:tc>
          <w:tcPr>
            <w:tcW w:w="1134" w:type="dxa"/>
            <w:tcBorders>
              <w:top w:val="nil"/>
              <w:left w:val="nil"/>
              <w:bottom w:val="single" w:sz="4" w:space="0" w:color="auto"/>
              <w:right w:val="single" w:sz="4" w:space="0" w:color="auto"/>
            </w:tcBorders>
            <w:noWrap/>
          </w:tcPr>
          <w:p w14:paraId="66773A83" w14:textId="6632F3FA" w:rsidR="00344718" w:rsidRPr="00012E78" w:rsidRDefault="00344718" w:rsidP="00344718">
            <w:pPr>
              <w:jc w:val="right"/>
              <w:rPr>
                <w:color w:val="000000"/>
                <w:sz w:val="17"/>
                <w:szCs w:val="17"/>
              </w:rPr>
            </w:pPr>
            <w:r w:rsidRPr="00012E78">
              <w:rPr>
                <w:sz w:val="17"/>
                <w:szCs w:val="17"/>
              </w:rPr>
              <w:t>6,768</w:t>
            </w:r>
          </w:p>
        </w:tc>
        <w:tc>
          <w:tcPr>
            <w:tcW w:w="1134" w:type="dxa"/>
            <w:tcBorders>
              <w:top w:val="nil"/>
              <w:left w:val="nil"/>
              <w:bottom w:val="single" w:sz="4" w:space="0" w:color="auto"/>
              <w:right w:val="single" w:sz="4" w:space="0" w:color="auto"/>
            </w:tcBorders>
            <w:noWrap/>
          </w:tcPr>
          <w:p w14:paraId="070C8FFB" w14:textId="4BC6A84B" w:rsidR="00344718" w:rsidRPr="00012E78" w:rsidRDefault="00344718" w:rsidP="00344718">
            <w:pPr>
              <w:jc w:val="right"/>
              <w:rPr>
                <w:color w:val="000000"/>
                <w:sz w:val="17"/>
                <w:szCs w:val="17"/>
              </w:rPr>
            </w:pPr>
            <w:r w:rsidRPr="00012E78">
              <w:rPr>
                <w:sz w:val="17"/>
                <w:szCs w:val="17"/>
              </w:rPr>
              <w:t>0</w:t>
            </w:r>
          </w:p>
        </w:tc>
        <w:tc>
          <w:tcPr>
            <w:tcW w:w="1152" w:type="dxa"/>
            <w:tcBorders>
              <w:top w:val="nil"/>
              <w:left w:val="nil"/>
              <w:bottom w:val="single" w:sz="4" w:space="0" w:color="auto"/>
              <w:right w:val="single" w:sz="4" w:space="0" w:color="auto"/>
            </w:tcBorders>
            <w:noWrap/>
          </w:tcPr>
          <w:p w14:paraId="07FC423D" w14:textId="1F33235C" w:rsidR="00344718" w:rsidRPr="00012E78" w:rsidRDefault="00344718" w:rsidP="00344718">
            <w:pPr>
              <w:jc w:val="right"/>
              <w:rPr>
                <w:color w:val="000000"/>
                <w:sz w:val="17"/>
                <w:szCs w:val="17"/>
              </w:rPr>
            </w:pPr>
            <w:r w:rsidRPr="00012E78">
              <w:rPr>
                <w:sz w:val="17"/>
                <w:szCs w:val="17"/>
              </w:rPr>
              <w:t>0</w:t>
            </w:r>
          </w:p>
        </w:tc>
        <w:tc>
          <w:tcPr>
            <w:tcW w:w="990" w:type="dxa"/>
            <w:tcBorders>
              <w:top w:val="nil"/>
              <w:left w:val="nil"/>
              <w:bottom w:val="single" w:sz="4" w:space="0" w:color="auto"/>
              <w:right w:val="single" w:sz="4" w:space="0" w:color="auto"/>
            </w:tcBorders>
            <w:noWrap/>
          </w:tcPr>
          <w:p w14:paraId="7385DE85" w14:textId="07E0394C" w:rsidR="00344718" w:rsidRPr="00012E78" w:rsidRDefault="00344718" w:rsidP="00344718">
            <w:pPr>
              <w:jc w:val="right"/>
              <w:rPr>
                <w:color w:val="000000"/>
                <w:sz w:val="17"/>
                <w:szCs w:val="17"/>
              </w:rPr>
            </w:pPr>
            <w:r w:rsidRPr="00012E78">
              <w:rPr>
                <w:sz w:val="17"/>
                <w:szCs w:val="17"/>
              </w:rPr>
              <w:t>0</w:t>
            </w:r>
          </w:p>
        </w:tc>
        <w:tc>
          <w:tcPr>
            <w:tcW w:w="993" w:type="dxa"/>
            <w:tcBorders>
              <w:top w:val="nil"/>
              <w:left w:val="nil"/>
              <w:bottom w:val="single" w:sz="4" w:space="0" w:color="auto"/>
              <w:right w:val="single" w:sz="4" w:space="0" w:color="auto"/>
            </w:tcBorders>
            <w:noWrap/>
          </w:tcPr>
          <w:p w14:paraId="71B695A4" w14:textId="4002C6EA" w:rsidR="00344718" w:rsidRPr="00012E78" w:rsidRDefault="00344718" w:rsidP="00344718">
            <w:pPr>
              <w:jc w:val="right"/>
              <w:rPr>
                <w:color w:val="000000"/>
                <w:sz w:val="17"/>
                <w:szCs w:val="17"/>
              </w:rPr>
            </w:pPr>
            <w:r w:rsidRPr="00012E78">
              <w:rPr>
                <w:sz w:val="17"/>
                <w:szCs w:val="17"/>
              </w:rPr>
              <w:t>0</w:t>
            </w:r>
          </w:p>
        </w:tc>
        <w:tc>
          <w:tcPr>
            <w:tcW w:w="1257" w:type="dxa"/>
            <w:tcBorders>
              <w:top w:val="nil"/>
              <w:left w:val="nil"/>
              <w:bottom w:val="single" w:sz="4" w:space="0" w:color="auto"/>
              <w:right w:val="single" w:sz="4" w:space="0" w:color="auto"/>
            </w:tcBorders>
            <w:noWrap/>
          </w:tcPr>
          <w:p w14:paraId="0497A234" w14:textId="4595E296" w:rsidR="00344718" w:rsidRPr="00012E78" w:rsidRDefault="00344718" w:rsidP="00344718">
            <w:pPr>
              <w:jc w:val="right"/>
              <w:rPr>
                <w:color w:val="000000"/>
                <w:sz w:val="17"/>
                <w:szCs w:val="17"/>
              </w:rPr>
            </w:pPr>
            <w:r w:rsidRPr="00012E78">
              <w:rPr>
                <w:sz w:val="17"/>
                <w:szCs w:val="17"/>
              </w:rPr>
              <w:t>569,568,986</w:t>
            </w:r>
          </w:p>
        </w:tc>
      </w:tr>
      <w:tr w:rsidR="00344718" w:rsidRPr="00012E78" w14:paraId="0424DE96"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666D70E4" w14:textId="48F323DB" w:rsidR="00344718" w:rsidRPr="00012E78" w:rsidRDefault="00344718" w:rsidP="00344718">
            <w:pPr>
              <w:jc w:val="left"/>
              <w:rPr>
                <w:color w:val="000000"/>
                <w:sz w:val="17"/>
                <w:szCs w:val="17"/>
                <w:lang w:val="en-GB" w:eastAsia="en-CA"/>
              </w:rPr>
            </w:pPr>
            <w:r w:rsidRPr="00012E78">
              <w:rPr>
                <w:sz w:val="17"/>
                <w:szCs w:val="17"/>
              </w:rPr>
              <w:t>H</w:t>
            </w:r>
            <w:r w:rsidR="003949E3">
              <w:rPr>
                <w:sz w:val="17"/>
                <w:szCs w:val="17"/>
              </w:rPr>
              <w:t>PMP</w:t>
            </w:r>
            <w:r w:rsidRPr="00012E78">
              <w:rPr>
                <w:sz w:val="17"/>
                <w:szCs w:val="17"/>
              </w:rPr>
              <w:t xml:space="preserve"> </w:t>
            </w:r>
            <w:r w:rsidR="009C7875">
              <w:rPr>
                <w:sz w:val="17"/>
                <w:szCs w:val="17"/>
              </w:rPr>
              <w:t>(</w:t>
            </w:r>
            <w:r w:rsidRPr="00012E78">
              <w:rPr>
                <w:sz w:val="17"/>
                <w:szCs w:val="17"/>
              </w:rPr>
              <w:t xml:space="preserve">stage </w:t>
            </w:r>
            <w:r w:rsidR="009C7875">
              <w:rPr>
                <w:sz w:val="17"/>
                <w:szCs w:val="17"/>
              </w:rPr>
              <w:t>II)</w:t>
            </w:r>
          </w:p>
        </w:tc>
        <w:tc>
          <w:tcPr>
            <w:tcW w:w="720" w:type="dxa"/>
            <w:tcBorders>
              <w:top w:val="nil"/>
              <w:left w:val="nil"/>
              <w:bottom w:val="single" w:sz="4" w:space="0" w:color="auto"/>
              <w:right w:val="single" w:sz="4" w:space="0" w:color="auto"/>
            </w:tcBorders>
            <w:noWrap/>
          </w:tcPr>
          <w:p w14:paraId="0F90BB1D" w14:textId="203CCA0B" w:rsidR="00344718" w:rsidRPr="00012E78" w:rsidRDefault="00344718" w:rsidP="00344718">
            <w:pPr>
              <w:jc w:val="right"/>
              <w:rPr>
                <w:color w:val="000000"/>
                <w:sz w:val="17"/>
                <w:szCs w:val="17"/>
              </w:rPr>
            </w:pPr>
            <w:r w:rsidRPr="00012E78">
              <w:rPr>
                <w:sz w:val="17"/>
                <w:szCs w:val="17"/>
              </w:rPr>
              <w:t>716</w:t>
            </w:r>
          </w:p>
        </w:tc>
        <w:tc>
          <w:tcPr>
            <w:tcW w:w="1170" w:type="dxa"/>
            <w:tcBorders>
              <w:top w:val="nil"/>
              <w:left w:val="nil"/>
              <w:bottom w:val="single" w:sz="4" w:space="0" w:color="auto"/>
              <w:right w:val="single" w:sz="4" w:space="0" w:color="auto"/>
            </w:tcBorders>
            <w:noWrap/>
          </w:tcPr>
          <w:p w14:paraId="3E670AAC" w14:textId="571FBA32" w:rsidR="00344718" w:rsidRPr="00012E78" w:rsidRDefault="00344718" w:rsidP="00344718">
            <w:pPr>
              <w:jc w:val="right"/>
              <w:rPr>
                <w:color w:val="000000"/>
                <w:sz w:val="17"/>
                <w:szCs w:val="17"/>
              </w:rPr>
            </w:pPr>
            <w:r w:rsidRPr="00012E78">
              <w:rPr>
                <w:sz w:val="17"/>
                <w:szCs w:val="17"/>
              </w:rPr>
              <w:t>13,930</w:t>
            </w:r>
          </w:p>
        </w:tc>
        <w:tc>
          <w:tcPr>
            <w:tcW w:w="1134" w:type="dxa"/>
            <w:tcBorders>
              <w:top w:val="nil"/>
              <w:left w:val="nil"/>
              <w:bottom w:val="single" w:sz="4" w:space="0" w:color="auto"/>
              <w:right w:val="single" w:sz="4" w:space="0" w:color="auto"/>
            </w:tcBorders>
            <w:noWrap/>
          </w:tcPr>
          <w:p w14:paraId="121138BC" w14:textId="773704D3" w:rsidR="00344718" w:rsidRPr="00012E78" w:rsidRDefault="00344718" w:rsidP="00344718">
            <w:pPr>
              <w:jc w:val="right"/>
              <w:rPr>
                <w:color w:val="000000"/>
                <w:sz w:val="17"/>
                <w:szCs w:val="17"/>
              </w:rPr>
            </w:pPr>
            <w:r w:rsidRPr="00012E78">
              <w:rPr>
                <w:sz w:val="17"/>
                <w:szCs w:val="17"/>
              </w:rPr>
              <w:t>8,528</w:t>
            </w:r>
          </w:p>
        </w:tc>
        <w:tc>
          <w:tcPr>
            <w:tcW w:w="1134" w:type="dxa"/>
            <w:tcBorders>
              <w:top w:val="nil"/>
              <w:left w:val="nil"/>
              <w:bottom w:val="single" w:sz="4" w:space="0" w:color="auto"/>
              <w:right w:val="single" w:sz="4" w:space="0" w:color="auto"/>
            </w:tcBorders>
            <w:noWrap/>
          </w:tcPr>
          <w:p w14:paraId="39BA4C61" w14:textId="14C10BBD" w:rsidR="00344718" w:rsidRPr="00012E78" w:rsidRDefault="00344718" w:rsidP="00344718">
            <w:pPr>
              <w:jc w:val="right"/>
              <w:rPr>
                <w:color w:val="000000"/>
                <w:sz w:val="17"/>
                <w:szCs w:val="17"/>
              </w:rPr>
            </w:pPr>
            <w:r w:rsidRPr="00012E78">
              <w:rPr>
                <w:sz w:val="17"/>
                <w:szCs w:val="17"/>
              </w:rPr>
              <w:t>0</w:t>
            </w:r>
          </w:p>
        </w:tc>
        <w:tc>
          <w:tcPr>
            <w:tcW w:w="1152" w:type="dxa"/>
            <w:tcBorders>
              <w:top w:val="nil"/>
              <w:left w:val="nil"/>
              <w:bottom w:val="single" w:sz="4" w:space="0" w:color="auto"/>
              <w:right w:val="single" w:sz="4" w:space="0" w:color="auto"/>
            </w:tcBorders>
            <w:noWrap/>
          </w:tcPr>
          <w:p w14:paraId="3B10F50A" w14:textId="4CEC1984" w:rsidR="00344718" w:rsidRPr="00012E78" w:rsidRDefault="00344718" w:rsidP="00344718">
            <w:pPr>
              <w:jc w:val="right"/>
              <w:rPr>
                <w:color w:val="000000"/>
                <w:sz w:val="17"/>
                <w:szCs w:val="17"/>
              </w:rPr>
            </w:pPr>
            <w:r w:rsidRPr="00012E78">
              <w:rPr>
                <w:sz w:val="17"/>
                <w:szCs w:val="17"/>
              </w:rPr>
              <w:t>0</w:t>
            </w:r>
          </w:p>
        </w:tc>
        <w:tc>
          <w:tcPr>
            <w:tcW w:w="990" w:type="dxa"/>
            <w:tcBorders>
              <w:top w:val="nil"/>
              <w:left w:val="nil"/>
              <w:bottom w:val="single" w:sz="4" w:space="0" w:color="auto"/>
              <w:right w:val="single" w:sz="4" w:space="0" w:color="auto"/>
            </w:tcBorders>
            <w:noWrap/>
          </w:tcPr>
          <w:p w14:paraId="14954545" w14:textId="189BBE36" w:rsidR="00344718" w:rsidRPr="00012E78" w:rsidRDefault="00344718" w:rsidP="00344718">
            <w:pPr>
              <w:jc w:val="right"/>
              <w:rPr>
                <w:color w:val="000000"/>
                <w:sz w:val="17"/>
                <w:szCs w:val="17"/>
              </w:rPr>
            </w:pPr>
            <w:r w:rsidRPr="00012E78">
              <w:rPr>
                <w:sz w:val="17"/>
                <w:szCs w:val="17"/>
              </w:rPr>
              <w:t>0</w:t>
            </w:r>
          </w:p>
        </w:tc>
        <w:tc>
          <w:tcPr>
            <w:tcW w:w="993" w:type="dxa"/>
            <w:tcBorders>
              <w:top w:val="nil"/>
              <w:left w:val="nil"/>
              <w:bottom w:val="single" w:sz="4" w:space="0" w:color="auto"/>
              <w:right w:val="single" w:sz="4" w:space="0" w:color="auto"/>
            </w:tcBorders>
            <w:noWrap/>
          </w:tcPr>
          <w:p w14:paraId="3D8F2A3B" w14:textId="29DCEE9E" w:rsidR="00344718" w:rsidRPr="00012E78" w:rsidRDefault="00344718" w:rsidP="00344718">
            <w:pPr>
              <w:jc w:val="right"/>
              <w:rPr>
                <w:color w:val="000000"/>
                <w:sz w:val="17"/>
                <w:szCs w:val="17"/>
              </w:rPr>
            </w:pPr>
            <w:r w:rsidRPr="00012E78">
              <w:rPr>
                <w:sz w:val="17"/>
                <w:szCs w:val="17"/>
              </w:rPr>
              <w:t>0</w:t>
            </w:r>
          </w:p>
        </w:tc>
        <w:tc>
          <w:tcPr>
            <w:tcW w:w="1257" w:type="dxa"/>
            <w:tcBorders>
              <w:top w:val="nil"/>
              <w:left w:val="nil"/>
              <w:bottom w:val="single" w:sz="4" w:space="0" w:color="auto"/>
              <w:right w:val="single" w:sz="4" w:space="0" w:color="auto"/>
            </w:tcBorders>
            <w:noWrap/>
          </w:tcPr>
          <w:p w14:paraId="3853DBD2" w14:textId="1BBAE470" w:rsidR="00344718" w:rsidRPr="00012E78" w:rsidRDefault="00344718" w:rsidP="00344718">
            <w:pPr>
              <w:jc w:val="right"/>
              <w:rPr>
                <w:color w:val="000000"/>
                <w:sz w:val="17"/>
                <w:szCs w:val="17"/>
              </w:rPr>
            </w:pPr>
            <w:r w:rsidRPr="00012E78">
              <w:rPr>
                <w:sz w:val="17"/>
                <w:szCs w:val="17"/>
              </w:rPr>
              <w:t>507,758,650</w:t>
            </w:r>
          </w:p>
        </w:tc>
      </w:tr>
      <w:tr w:rsidR="00344718" w:rsidRPr="00012E78" w14:paraId="7BCBD5D0"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157BC50F" w14:textId="1CA5EAED" w:rsidR="00344718" w:rsidRPr="00012E78" w:rsidRDefault="00344718" w:rsidP="00344718">
            <w:pPr>
              <w:jc w:val="left"/>
              <w:rPr>
                <w:color w:val="000000"/>
                <w:sz w:val="17"/>
                <w:szCs w:val="17"/>
                <w:lang w:val="en-GB" w:eastAsia="en-CA"/>
              </w:rPr>
            </w:pPr>
            <w:r w:rsidRPr="00012E78">
              <w:rPr>
                <w:sz w:val="17"/>
                <w:szCs w:val="17"/>
              </w:rPr>
              <w:t>H</w:t>
            </w:r>
            <w:r w:rsidR="003949E3">
              <w:rPr>
                <w:sz w:val="17"/>
                <w:szCs w:val="17"/>
              </w:rPr>
              <w:t>PMP</w:t>
            </w:r>
            <w:r w:rsidRPr="00012E78">
              <w:rPr>
                <w:sz w:val="17"/>
                <w:szCs w:val="17"/>
              </w:rPr>
              <w:t xml:space="preserve"> </w:t>
            </w:r>
            <w:r w:rsidR="003949E3">
              <w:rPr>
                <w:sz w:val="17"/>
                <w:szCs w:val="17"/>
              </w:rPr>
              <w:t>(</w:t>
            </w:r>
            <w:r w:rsidRPr="00012E78">
              <w:rPr>
                <w:sz w:val="17"/>
                <w:szCs w:val="17"/>
              </w:rPr>
              <w:t xml:space="preserve">stage </w:t>
            </w:r>
            <w:r w:rsidR="003949E3">
              <w:rPr>
                <w:sz w:val="17"/>
                <w:szCs w:val="17"/>
              </w:rPr>
              <w:t>III)</w:t>
            </w:r>
          </w:p>
        </w:tc>
        <w:tc>
          <w:tcPr>
            <w:tcW w:w="720" w:type="dxa"/>
            <w:tcBorders>
              <w:top w:val="nil"/>
              <w:left w:val="nil"/>
              <w:bottom w:val="single" w:sz="4" w:space="0" w:color="auto"/>
              <w:right w:val="single" w:sz="4" w:space="0" w:color="auto"/>
            </w:tcBorders>
            <w:noWrap/>
          </w:tcPr>
          <w:p w14:paraId="48439C80" w14:textId="351380F6" w:rsidR="00344718" w:rsidRPr="00012E78" w:rsidRDefault="00344718" w:rsidP="00344718">
            <w:pPr>
              <w:jc w:val="right"/>
              <w:rPr>
                <w:color w:val="000000"/>
                <w:sz w:val="17"/>
                <w:szCs w:val="17"/>
              </w:rPr>
            </w:pPr>
            <w:r w:rsidRPr="00012E78">
              <w:rPr>
                <w:sz w:val="17"/>
                <w:szCs w:val="17"/>
              </w:rPr>
              <w:t>107</w:t>
            </w:r>
          </w:p>
        </w:tc>
        <w:tc>
          <w:tcPr>
            <w:tcW w:w="1170" w:type="dxa"/>
            <w:tcBorders>
              <w:top w:val="nil"/>
              <w:left w:val="nil"/>
              <w:bottom w:val="single" w:sz="4" w:space="0" w:color="auto"/>
              <w:right w:val="single" w:sz="4" w:space="0" w:color="auto"/>
            </w:tcBorders>
            <w:noWrap/>
          </w:tcPr>
          <w:p w14:paraId="64D7C259" w14:textId="484722D3" w:rsidR="00344718" w:rsidRPr="00012E78" w:rsidRDefault="00344718" w:rsidP="00344718">
            <w:pPr>
              <w:jc w:val="right"/>
              <w:rPr>
                <w:color w:val="000000"/>
                <w:sz w:val="17"/>
                <w:szCs w:val="17"/>
              </w:rPr>
            </w:pPr>
            <w:r w:rsidRPr="00012E78">
              <w:rPr>
                <w:sz w:val="17"/>
                <w:szCs w:val="17"/>
              </w:rPr>
              <w:t>1,178</w:t>
            </w:r>
          </w:p>
        </w:tc>
        <w:tc>
          <w:tcPr>
            <w:tcW w:w="1134" w:type="dxa"/>
            <w:tcBorders>
              <w:top w:val="nil"/>
              <w:left w:val="nil"/>
              <w:bottom w:val="single" w:sz="4" w:space="0" w:color="auto"/>
              <w:right w:val="single" w:sz="4" w:space="0" w:color="auto"/>
            </w:tcBorders>
            <w:noWrap/>
          </w:tcPr>
          <w:p w14:paraId="4447C718" w14:textId="6C0FE11A" w:rsidR="00344718" w:rsidRPr="00012E78" w:rsidRDefault="00344718" w:rsidP="00344718">
            <w:pPr>
              <w:jc w:val="right"/>
              <w:rPr>
                <w:color w:val="000000"/>
                <w:sz w:val="17"/>
                <w:szCs w:val="17"/>
              </w:rPr>
            </w:pPr>
            <w:r w:rsidRPr="00012E78">
              <w:rPr>
                <w:sz w:val="17"/>
                <w:szCs w:val="17"/>
              </w:rPr>
              <w:t>63</w:t>
            </w:r>
          </w:p>
        </w:tc>
        <w:tc>
          <w:tcPr>
            <w:tcW w:w="1134" w:type="dxa"/>
            <w:tcBorders>
              <w:top w:val="nil"/>
              <w:left w:val="nil"/>
              <w:bottom w:val="single" w:sz="4" w:space="0" w:color="auto"/>
              <w:right w:val="single" w:sz="4" w:space="0" w:color="auto"/>
            </w:tcBorders>
            <w:noWrap/>
          </w:tcPr>
          <w:p w14:paraId="10ADB9BD" w14:textId="383B843A" w:rsidR="00344718" w:rsidRPr="00012E78" w:rsidRDefault="00344718" w:rsidP="00344718">
            <w:pPr>
              <w:jc w:val="right"/>
              <w:rPr>
                <w:color w:val="000000"/>
                <w:sz w:val="17"/>
                <w:szCs w:val="17"/>
              </w:rPr>
            </w:pPr>
            <w:r w:rsidRPr="00012E78">
              <w:rPr>
                <w:sz w:val="17"/>
                <w:szCs w:val="17"/>
              </w:rPr>
              <w:t>0</w:t>
            </w:r>
          </w:p>
        </w:tc>
        <w:tc>
          <w:tcPr>
            <w:tcW w:w="1152" w:type="dxa"/>
            <w:tcBorders>
              <w:top w:val="nil"/>
              <w:left w:val="nil"/>
              <w:bottom w:val="single" w:sz="4" w:space="0" w:color="auto"/>
              <w:right w:val="single" w:sz="4" w:space="0" w:color="auto"/>
            </w:tcBorders>
            <w:noWrap/>
          </w:tcPr>
          <w:p w14:paraId="73BB4F37" w14:textId="5E4C808E" w:rsidR="00344718" w:rsidRPr="00012E78" w:rsidRDefault="00344718" w:rsidP="00344718">
            <w:pPr>
              <w:jc w:val="right"/>
              <w:rPr>
                <w:color w:val="000000"/>
                <w:sz w:val="17"/>
                <w:szCs w:val="17"/>
              </w:rPr>
            </w:pPr>
            <w:r w:rsidRPr="00012E78">
              <w:rPr>
                <w:sz w:val="17"/>
                <w:szCs w:val="17"/>
              </w:rPr>
              <w:t>0</w:t>
            </w:r>
          </w:p>
        </w:tc>
        <w:tc>
          <w:tcPr>
            <w:tcW w:w="990" w:type="dxa"/>
            <w:tcBorders>
              <w:top w:val="nil"/>
              <w:left w:val="nil"/>
              <w:bottom w:val="single" w:sz="4" w:space="0" w:color="auto"/>
              <w:right w:val="single" w:sz="4" w:space="0" w:color="auto"/>
            </w:tcBorders>
            <w:noWrap/>
          </w:tcPr>
          <w:p w14:paraId="73DADCB9" w14:textId="37ECBF79" w:rsidR="00344718" w:rsidRPr="00012E78" w:rsidRDefault="00344718" w:rsidP="00344718">
            <w:pPr>
              <w:jc w:val="right"/>
              <w:rPr>
                <w:color w:val="000000"/>
                <w:sz w:val="17"/>
                <w:szCs w:val="17"/>
              </w:rPr>
            </w:pPr>
            <w:r w:rsidRPr="00012E78">
              <w:rPr>
                <w:sz w:val="17"/>
                <w:szCs w:val="17"/>
              </w:rPr>
              <w:t>0</w:t>
            </w:r>
          </w:p>
        </w:tc>
        <w:tc>
          <w:tcPr>
            <w:tcW w:w="993" w:type="dxa"/>
            <w:tcBorders>
              <w:top w:val="nil"/>
              <w:left w:val="nil"/>
              <w:bottom w:val="single" w:sz="4" w:space="0" w:color="auto"/>
              <w:right w:val="single" w:sz="4" w:space="0" w:color="auto"/>
            </w:tcBorders>
            <w:noWrap/>
          </w:tcPr>
          <w:p w14:paraId="2E52AD34" w14:textId="107A506A" w:rsidR="00344718" w:rsidRPr="00012E78" w:rsidRDefault="00344718" w:rsidP="00344718">
            <w:pPr>
              <w:jc w:val="right"/>
              <w:rPr>
                <w:color w:val="000000"/>
                <w:sz w:val="17"/>
                <w:szCs w:val="17"/>
              </w:rPr>
            </w:pPr>
            <w:r w:rsidRPr="00012E78">
              <w:rPr>
                <w:sz w:val="17"/>
                <w:szCs w:val="17"/>
              </w:rPr>
              <w:t>0</w:t>
            </w:r>
          </w:p>
        </w:tc>
        <w:tc>
          <w:tcPr>
            <w:tcW w:w="1257" w:type="dxa"/>
            <w:tcBorders>
              <w:top w:val="nil"/>
              <w:left w:val="nil"/>
              <w:bottom w:val="single" w:sz="4" w:space="0" w:color="auto"/>
              <w:right w:val="single" w:sz="4" w:space="0" w:color="auto"/>
            </w:tcBorders>
            <w:noWrap/>
          </w:tcPr>
          <w:p w14:paraId="34CB7171" w14:textId="3F6BA29D" w:rsidR="00344718" w:rsidRPr="00012E78" w:rsidRDefault="00344718" w:rsidP="00344718">
            <w:pPr>
              <w:jc w:val="right"/>
              <w:rPr>
                <w:color w:val="000000"/>
                <w:sz w:val="17"/>
                <w:szCs w:val="17"/>
              </w:rPr>
            </w:pPr>
            <w:r w:rsidRPr="00012E78">
              <w:rPr>
                <w:sz w:val="17"/>
                <w:szCs w:val="17"/>
              </w:rPr>
              <w:t>95,969,151</w:t>
            </w:r>
          </w:p>
        </w:tc>
      </w:tr>
      <w:tr w:rsidR="00344718" w:rsidRPr="00012E78" w14:paraId="3B513D1D"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5D264D9D" w14:textId="2916E1F5" w:rsidR="00344718" w:rsidRPr="00012E78" w:rsidRDefault="00344718" w:rsidP="00344718">
            <w:pPr>
              <w:jc w:val="left"/>
              <w:rPr>
                <w:color w:val="000000"/>
                <w:sz w:val="17"/>
                <w:szCs w:val="17"/>
                <w:lang w:val="en-GB" w:eastAsia="en-CA"/>
              </w:rPr>
            </w:pPr>
            <w:r w:rsidRPr="00012E78">
              <w:rPr>
                <w:sz w:val="17"/>
                <w:szCs w:val="17"/>
              </w:rPr>
              <w:t>H</w:t>
            </w:r>
            <w:r w:rsidR="0097609B">
              <w:rPr>
                <w:sz w:val="17"/>
                <w:szCs w:val="17"/>
              </w:rPr>
              <w:t>PMP (</w:t>
            </w:r>
            <w:r w:rsidRPr="00012E78">
              <w:rPr>
                <w:sz w:val="17"/>
                <w:szCs w:val="17"/>
              </w:rPr>
              <w:t xml:space="preserve">stage </w:t>
            </w:r>
            <w:r w:rsidR="003747C9">
              <w:rPr>
                <w:sz w:val="17"/>
                <w:szCs w:val="17"/>
              </w:rPr>
              <w:t>IV)</w:t>
            </w:r>
          </w:p>
        </w:tc>
        <w:tc>
          <w:tcPr>
            <w:tcW w:w="720" w:type="dxa"/>
            <w:tcBorders>
              <w:top w:val="nil"/>
              <w:left w:val="nil"/>
              <w:bottom w:val="single" w:sz="4" w:space="0" w:color="auto"/>
              <w:right w:val="single" w:sz="4" w:space="0" w:color="auto"/>
            </w:tcBorders>
            <w:noWrap/>
          </w:tcPr>
          <w:p w14:paraId="217C7500" w14:textId="7B884EA6" w:rsidR="00344718" w:rsidRPr="00012E78" w:rsidRDefault="00344718" w:rsidP="00344718">
            <w:pPr>
              <w:jc w:val="right"/>
              <w:rPr>
                <w:color w:val="000000"/>
                <w:sz w:val="17"/>
                <w:szCs w:val="17"/>
              </w:rPr>
            </w:pPr>
            <w:r w:rsidRPr="00012E78">
              <w:rPr>
                <w:sz w:val="17"/>
                <w:szCs w:val="17"/>
              </w:rPr>
              <w:t>3</w:t>
            </w:r>
          </w:p>
        </w:tc>
        <w:tc>
          <w:tcPr>
            <w:tcW w:w="1170" w:type="dxa"/>
            <w:tcBorders>
              <w:top w:val="nil"/>
              <w:left w:val="nil"/>
              <w:bottom w:val="single" w:sz="4" w:space="0" w:color="auto"/>
              <w:right w:val="single" w:sz="4" w:space="0" w:color="auto"/>
            </w:tcBorders>
            <w:noWrap/>
          </w:tcPr>
          <w:p w14:paraId="3EA1493B" w14:textId="373E4066" w:rsidR="00344718" w:rsidRPr="00012E78" w:rsidRDefault="00344718" w:rsidP="00344718">
            <w:pPr>
              <w:jc w:val="right"/>
              <w:rPr>
                <w:color w:val="000000"/>
                <w:sz w:val="17"/>
                <w:szCs w:val="17"/>
              </w:rPr>
            </w:pPr>
            <w:r w:rsidRPr="00012E78">
              <w:rPr>
                <w:sz w:val="17"/>
                <w:szCs w:val="17"/>
              </w:rPr>
              <w:t>50</w:t>
            </w:r>
          </w:p>
        </w:tc>
        <w:tc>
          <w:tcPr>
            <w:tcW w:w="1134" w:type="dxa"/>
            <w:tcBorders>
              <w:top w:val="nil"/>
              <w:left w:val="nil"/>
              <w:bottom w:val="single" w:sz="4" w:space="0" w:color="auto"/>
              <w:right w:val="single" w:sz="4" w:space="0" w:color="auto"/>
            </w:tcBorders>
            <w:noWrap/>
          </w:tcPr>
          <w:p w14:paraId="4C833A2B" w14:textId="6A3959E6" w:rsidR="00344718" w:rsidRPr="00012E78" w:rsidRDefault="00344718" w:rsidP="00344718">
            <w:pPr>
              <w:jc w:val="right"/>
              <w:rPr>
                <w:color w:val="000000"/>
                <w:sz w:val="17"/>
                <w:szCs w:val="17"/>
              </w:rPr>
            </w:pPr>
            <w:r w:rsidRPr="00012E78">
              <w:rPr>
                <w:sz w:val="17"/>
                <w:szCs w:val="17"/>
              </w:rPr>
              <w:t>0</w:t>
            </w:r>
          </w:p>
        </w:tc>
        <w:tc>
          <w:tcPr>
            <w:tcW w:w="1134" w:type="dxa"/>
            <w:tcBorders>
              <w:top w:val="nil"/>
              <w:left w:val="nil"/>
              <w:bottom w:val="single" w:sz="4" w:space="0" w:color="auto"/>
              <w:right w:val="single" w:sz="4" w:space="0" w:color="auto"/>
            </w:tcBorders>
            <w:noWrap/>
          </w:tcPr>
          <w:p w14:paraId="615B6660" w14:textId="353ACC62" w:rsidR="00344718" w:rsidRPr="00012E78" w:rsidRDefault="00344718" w:rsidP="00344718">
            <w:pPr>
              <w:jc w:val="right"/>
              <w:rPr>
                <w:color w:val="000000"/>
                <w:sz w:val="17"/>
                <w:szCs w:val="17"/>
              </w:rPr>
            </w:pPr>
            <w:r w:rsidRPr="00012E78">
              <w:rPr>
                <w:sz w:val="17"/>
                <w:szCs w:val="17"/>
              </w:rPr>
              <w:t>0</w:t>
            </w:r>
          </w:p>
        </w:tc>
        <w:tc>
          <w:tcPr>
            <w:tcW w:w="1152" w:type="dxa"/>
            <w:tcBorders>
              <w:top w:val="nil"/>
              <w:left w:val="nil"/>
              <w:bottom w:val="single" w:sz="4" w:space="0" w:color="auto"/>
              <w:right w:val="single" w:sz="4" w:space="0" w:color="auto"/>
            </w:tcBorders>
            <w:noWrap/>
          </w:tcPr>
          <w:p w14:paraId="0A735A27" w14:textId="2BBFA0CC" w:rsidR="00344718" w:rsidRPr="00012E78" w:rsidRDefault="00344718" w:rsidP="00344718">
            <w:pPr>
              <w:jc w:val="right"/>
              <w:rPr>
                <w:color w:val="000000"/>
                <w:sz w:val="17"/>
                <w:szCs w:val="17"/>
              </w:rPr>
            </w:pPr>
            <w:r w:rsidRPr="00012E78">
              <w:rPr>
                <w:sz w:val="17"/>
                <w:szCs w:val="17"/>
              </w:rPr>
              <w:t>0</w:t>
            </w:r>
          </w:p>
        </w:tc>
        <w:tc>
          <w:tcPr>
            <w:tcW w:w="990" w:type="dxa"/>
            <w:tcBorders>
              <w:top w:val="nil"/>
              <w:left w:val="nil"/>
              <w:bottom w:val="single" w:sz="4" w:space="0" w:color="auto"/>
              <w:right w:val="single" w:sz="4" w:space="0" w:color="auto"/>
            </w:tcBorders>
            <w:noWrap/>
          </w:tcPr>
          <w:p w14:paraId="06564584" w14:textId="718879BD" w:rsidR="00344718" w:rsidRPr="00012E78" w:rsidRDefault="00344718" w:rsidP="00344718">
            <w:pPr>
              <w:jc w:val="right"/>
              <w:rPr>
                <w:color w:val="000000"/>
                <w:sz w:val="17"/>
                <w:szCs w:val="17"/>
              </w:rPr>
            </w:pPr>
            <w:r w:rsidRPr="00012E78">
              <w:rPr>
                <w:sz w:val="17"/>
                <w:szCs w:val="17"/>
              </w:rPr>
              <w:t>0</w:t>
            </w:r>
          </w:p>
        </w:tc>
        <w:tc>
          <w:tcPr>
            <w:tcW w:w="993" w:type="dxa"/>
            <w:tcBorders>
              <w:top w:val="nil"/>
              <w:left w:val="nil"/>
              <w:bottom w:val="single" w:sz="4" w:space="0" w:color="auto"/>
              <w:right w:val="single" w:sz="4" w:space="0" w:color="auto"/>
            </w:tcBorders>
            <w:noWrap/>
          </w:tcPr>
          <w:p w14:paraId="36B58709" w14:textId="1BB33A61" w:rsidR="00344718" w:rsidRPr="00012E78" w:rsidRDefault="00344718" w:rsidP="00344718">
            <w:pPr>
              <w:jc w:val="right"/>
              <w:rPr>
                <w:color w:val="000000"/>
                <w:sz w:val="17"/>
                <w:szCs w:val="17"/>
              </w:rPr>
            </w:pPr>
            <w:r w:rsidRPr="00012E78">
              <w:rPr>
                <w:sz w:val="17"/>
                <w:szCs w:val="17"/>
              </w:rPr>
              <w:t>0</w:t>
            </w:r>
          </w:p>
        </w:tc>
        <w:tc>
          <w:tcPr>
            <w:tcW w:w="1257" w:type="dxa"/>
            <w:tcBorders>
              <w:top w:val="nil"/>
              <w:left w:val="nil"/>
              <w:bottom w:val="single" w:sz="4" w:space="0" w:color="auto"/>
              <w:right w:val="single" w:sz="4" w:space="0" w:color="auto"/>
            </w:tcBorders>
            <w:noWrap/>
          </w:tcPr>
          <w:p w14:paraId="6D0A32F1" w14:textId="45D35250" w:rsidR="00344718" w:rsidRPr="00012E78" w:rsidRDefault="00344718" w:rsidP="00344718">
            <w:pPr>
              <w:jc w:val="right"/>
              <w:rPr>
                <w:color w:val="000000"/>
                <w:sz w:val="17"/>
                <w:szCs w:val="17"/>
              </w:rPr>
            </w:pPr>
            <w:r w:rsidRPr="00012E78">
              <w:rPr>
                <w:sz w:val="17"/>
                <w:szCs w:val="17"/>
              </w:rPr>
              <w:t>4,135,490</w:t>
            </w:r>
          </w:p>
        </w:tc>
      </w:tr>
      <w:tr w:rsidR="00344718" w:rsidRPr="00012E78" w14:paraId="4F141957"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36A25B3A" w14:textId="23728B3E" w:rsidR="00344718" w:rsidRPr="00012E78" w:rsidRDefault="00344718" w:rsidP="00344718">
            <w:pPr>
              <w:jc w:val="left"/>
              <w:rPr>
                <w:color w:val="000000"/>
                <w:sz w:val="17"/>
                <w:szCs w:val="17"/>
                <w:lang w:val="en-GB" w:eastAsia="en-CA"/>
              </w:rPr>
            </w:pPr>
            <w:r w:rsidRPr="00012E78">
              <w:rPr>
                <w:sz w:val="17"/>
                <w:szCs w:val="17"/>
              </w:rPr>
              <w:t xml:space="preserve">HCFC production phase-out management plan </w:t>
            </w:r>
            <w:r w:rsidR="00AF21F9">
              <w:rPr>
                <w:sz w:val="17"/>
                <w:szCs w:val="17"/>
              </w:rPr>
              <w:t>(HPPMP) (</w:t>
            </w:r>
            <w:r w:rsidRPr="00012E78">
              <w:rPr>
                <w:sz w:val="17"/>
                <w:szCs w:val="17"/>
              </w:rPr>
              <w:t xml:space="preserve">stage </w:t>
            </w:r>
            <w:r w:rsidR="00AF21F9">
              <w:rPr>
                <w:sz w:val="17"/>
                <w:szCs w:val="17"/>
              </w:rPr>
              <w:t>I)</w:t>
            </w:r>
          </w:p>
        </w:tc>
        <w:tc>
          <w:tcPr>
            <w:tcW w:w="720" w:type="dxa"/>
            <w:tcBorders>
              <w:top w:val="nil"/>
              <w:left w:val="nil"/>
              <w:bottom w:val="single" w:sz="4" w:space="0" w:color="auto"/>
              <w:right w:val="single" w:sz="4" w:space="0" w:color="auto"/>
            </w:tcBorders>
            <w:noWrap/>
          </w:tcPr>
          <w:p w14:paraId="0D9283CF" w14:textId="24975050" w:rsidR="00344718" w:rsidRPr="00012E78" w:rsidRDefault="00344718" w:rsidP="00344718">
            <w:pPr>
              <w:jc w:val="right"/>
              <w:rPr>
                <w:color w:val="000000"/>
                <w:sz w:val="17"/>
                <w:szCs w:val="17"/>
              </w:rPr>
            </w:pPr>
            <w:r w:rsidRPr="00012E78">
              <w:rPr>
                <w:sz w:val="17"/>
                <w:szCs w:val="17"/>
              </w:rPr>
              <w:t>4</w:t>
            </w:r>
          </w:p>
        </w:tc>
        <w:tc>
          <w:tcPr>
            <w:tcW w:w="1170" w:type="dxa"/>
            <w:tcBorders>
              <w:top w:val="nil"/>
              <w:left w:val="nil"/>
              <w:bottom w:val="single" w:sz="4" w:space="0" w:color="auto"/>
              <w:right w:val="single" w:sz="4" w:space="0" w:color="auto"/>
            </w:tcBorders>
            <w:noWrap/>
          </w:tcPr>
          <w:p w14:paraId="48D75778" w14:textId="5BF0C6E8" w:rsidR="00344718" w:rsidRPr="00012E78" w:rsidRDefault="00344718" w:rsidP="00344718">
            <w:pPr>
              <w:jc w:val="right"/>
              <w:rPr>
                <w:color w:val="000000"/>
                <w:sz w:val="17"/>
                <w:szCs w:val="17"/>
              </w:rPr>
            </w:pPr>
            <w:r w:rsidRPr="00012E78">
              <w:rPr>
                <w:sz w:val="17"/>
                <w:szCs w:val="17"/>
              </w:rPr>
              <w:t>0</w:t>
            </w:r>
          </w:p>
        </w:tc>
        <w:tc>
          <w:tcPr>
            <w:tcW w:w="1134" w:type="dxa"/>
            <w:tcBorders>
              <w:top w:val="nil"/>
              <w:left w:val="nil"/>
              <w:bottom w:val="single" w:sz="4" w:space="0" w:color="auto"/>
              <w:right w:val="single" w:sz="4" w:space="0" w:color="auto"/>
            </w:tcBorders>
            <w:noWrap/>
          </w:tcPr>
          <w:p w14:paraId="08436413" w14:textId="3F0B94D0" w:rsidR="00344718" w:rsidRPr="00012E78" w:rsidRDefault="00344718" w:rsidP="00344718">
            <w:pPr>
              <w:jc w:val="right"/>
              <w:rPr>
                <w:color w:val="000000"/>
                <w:sz w:val="17"/>
                <w:szCs w:val="17"/>
              </w:rPr>
            </w:pPr>
            <w:r w:rsidRPr="00012E78">
              <w:rPr>
                <w:sz w:val="17"/>
                <w:szCs w:val="17"/>
              </w:rPr>
              <w:t>0</w:t>
            </w:r>
          </w:p>
        </w:tc>
        <w:tc>
          <w:tcPr>
            <w:tcW w:w="1134" w:type="dxa"/>
            <w:tcBorders>
              <w:top w:val="nil"/>
              <w:left w:val="nil"/>
              <w:bottom w:val="single" w:sz="4" w:space="0" w:color="auto"/>
              <w:right w:val="single" w:sz="4" w:space="0" w:color="auto"/>
            </w:tcBorders>
            <w:noWrap/>
          </w:tcPr>
          <w:p w14:paraId="1C62D956" w14:textId="3A58C3EF" w:rsidR="00344718" w:rsidRPr="00012E78" w:rsidRDefault="00344718" w:rsidP="00344718">
            <w:pPr>
              <w:jc w:val="right"/>
              <w:rPr>
                <w:color w:val="000000"/>
                <w:sz w:val="17"/>
                <w:szCs w:val="17"/>
              </w:rPr>
            </w:pPr>
            <w:r w:rsidRPr="00012E78">
              <w:rPr>
                <w:sz w:val="17"/>
                <w:szCs w:val="17"/>
              </w:rPr>
              <w:t>0</w:t>
            </w:r>
          </w:p>
        </w:tc>
        <w:tc>
          <w:tcPr>
            <w:tcW w:w="1152" w:type="dxa"/>
            <w:tcBorders>
              <w:top w:val="nil"/>
              <w:left w:val="nil"/>
              <w:bottom w:val="single" w:sz="4" w:space="0" w:color="auto"/>
              <w:right w:val="single" w:sz="4" w:space="0" w:color="auto"/>
            </w:tcBorders>
            <w:noWrap/>
          </w:tcPr>
          <w:p w14:paraId="17388712" w14:textId="7A616F87" w:rsidR="00344718" w:rsidRPr="00012E78" w:rsidRDefault="00344718" w:rsidP="00344718">
            <w:pPr>
              <w:jc w:val="right"/>
              <w:rPr>
                <w:color w:val="000000"/>
                <w:sz w:val="17"/>
                <w:szCs w:val="17"/>
              </w:rPr>
            </w:pPr>
            <w:r w:rsidRPr="00012E78">
              <w:rPr>
                <w:sz w:val="17"/>
                <w:szCs w:val="17"/>
              </w:rPr>
              <w:t>0</w:t>
            </w:r>
          </w:p>
        </w:tc>
        <w:tc>
          <w:tcPr>
            <w:tcW w:w="990" w:type="dxa"/>
            <w:tcBorders>
              <w:top w:val="nil"/>
              <w:left w:val="nil"/>
              <w:bottom w:val="single" w:sz="4" w:space="0" w:color="auto"/>
              <w:right w:val="single" w:sz="4" w:space="0" w:color="auto"/>
            </w:tcBorders>
            <w:noWrap/>
          </w:tcPr>
          <w:p w14:paraId="6EA2744F" w14:textId="070087BB" w:rsidR="00344718" w:rsidRPr="00012E78" w:rsidRDefault="00344718" w:rsidP="00344718">
            <w:pPr>
              <w:jc w:val="right"/>
              <w:rPr>
                <w:color w:val="000000"/>
                <w:sz w:val="17"/>
                <w:szCs w:val="17"/>
              </w:rPr>
            </w:pPr>
            <w:r w:rsidRPr="00012E78">
              <w:rPr>
                <w:sz w:val="17"/>
                <w:szCs w:val="17"/>
              </w:rPr>
              <w:t>0</w:t>
            </w:r>
          </w:p>
        </w:tc>
        <w:tc>
          <w:tcPr>
            <w:tcW w:w="993" w:type="dxa"/>
            <w:tcBorders>
              <w:top w:val="nil"/>
              <w:left w:val="nil"/>
              <w:bottom w:val="single" w:sz="4" w:space="0" w:color="auto"/>
              <w:right w:val="single" w:sz="4" w:space="0" w:color="auto"/>
            </w:tcBorders>
            <w:noWrap/>
          </w:tcPr>
          <w:p w14:paraId="6954F26F" w14:textId="3A63C3D0" w:rsidR="00344718" w:rsidRPr="00012E78" w:rsidRDefault="00344718" w:rsidP="00344718">
            <w:pPr>
              <w:jc w:val="right"/>
              <w:rPr>
                <w:color w:val="000000"/>
                <w:sz w:val="17"/>
                <w:szCs w:val="17"/>
              </w:rPr>
            </w:pPr>
            <w:r w:rsidRPr="00012E78">
              <w:rPr>
                <w:sz w:val="17"/>
                <w:szCs w:val="17"/>
              </w:rPr>
              <w:t>3,970</w:t>
            </w:r>
          </w:p>
        </w:tc>
        <w:tc>
          <w:tcPr>
            <w:tcW w:w="1257" w:type="dxa"/>
            <w:tcBorders>
              <w:top w:val="nil"/>
              <w:left w:val="nil"/>
              <w:bottom w:val="single" w:sz="4" w:space="0" w:color="auto"/>
              <w:right w:val="single" w:sz="4" w:space="0" w:color="auto"/>
            </w:tcBorders>
            <w:noWrap/>
          </w:tcPr>
          <w:p w14:paraId="7AE5705A" w14:textId="205BC2DA" w:rsidR="00344718" w:rsidRPr="00012E78" w:rsidRDefault="00344718" w:rsidP="00344718">
            <w:pPr>
              <w:jc w:val="right"/>
              <w:rPr>
                <w:color w:val="000000"/>
                <w:sz w:val="17"/>
                <w:szCs w:val="17"/>
              </w:rPr>
            </w:pPr>
            <w:r w:rsidRPr="00012E78">
              <w:rPr>
                <w:sz w:val="17"/>
                <w:szCs w:val="17"/>
              </w:rPr>
              <w:t>96,366,654</w:t>
            </w:r>
          </w:p>
        </w:tc>
      </w:tr>
      <w:tr w:rsidR="00344718" w:rsidRPr="00012E78" w14:paraId="43BC4B69"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511D0721" w14:textId="3C36FC6A" w:rsidR="00344718" w:rsidRPr="00012E78" w:rsidRDefault="00344718" w:rsidP="00344718">
            <w:pPr>
              <w:jc w:val="left"/>
              <w:rPr>
                <w:color w:val="000000"/>
                <w:sz w:val="17"/>
                <w:szCs w:val="17"/>
                <w:lang w:val="en-GB" w:eastAsia="en-CA"/>
              </w:rPr>
            </w:pPr>
            <w:r w:rsidRPr="00012E78">
              <w:rPr>
                <w:sz w:val="17"/>
                <w:szCs w:val="17"/>
              </w:rPr>
              <w:t>H</w:t>
            </w:r>
            <w:r w:rsidR="00AF21F9">
              <w:rPr>
                <w:sz w:val="17"/>
                <w:szCs w:val="17"/>
              </w:rPr>
              <w:t>PPMP</w:t>
            </w:r>
            <w:r w:rsidRPr="00012E78">
              <w:rPr>
                <w:sz w:val="17"/>
                <w:szCs w:val="17"/>
              </w:rPr>
              <w:t xml:space="preserve"> </w:t>
            </w:r>
            <w:r w:rsidR="00AF21F9">
              <w:rPr>
                <w:sz w:val="17"/>
                <w:szCs w:val="17"/>
              </w:rPr>
              <w:t>(</w:t>
            </w:r>
            <w:r w:rsidRPr="00012E78">
              <w:rPr>
                <w:sz w:val="17"/>
                <w:szCs w:val="17"/>
              </w:rPr>
              <w:t xml:space="preserve">stage </w:t>
            </w:r>
            <w:r w:rsidR="00AF21F9">
              <w:rPr>
                <w:sz w:val="17"/>
                <w:szCs w:val="17"/>
              </w:rPr>
              <w:t>II)</w:t>
            </w:r>
          </w:p>
        </w:tc>
        <w:tc>
          <w:tcPr>
            <w:tcW w:w="720" w:type="dxa"/>
            <w:tcBorders>
              <w:top w:val="nil"/>
              <w:left w:val="nil"/>
              <w:bottom w:val="single" w:sz="4" w:space="0" w:color="auto"/>
              <w:right w:val="single" w:sz="4" w:space="0" w:color="auto"/>
            </w:tcBorders>
            <w:noWrap/>
          </w:tcPr>
          <w:p w14:paraId="61A765BC" w14:textId="1FBA9808" w:rsidR="00344718" w:rsidRPr="00012E78" w:rsidRDefault="00344718" w:rsidP="00344718">
            <w:pPr>
              <w:jc w:val="right"/>
              <w:rPr>
                <w:color w:val="000000"/>
                <w:sz w:val="17"/>
                <w:szCs w:val="17"/>
              </w:rPr>
            </w:pPr>
            <w:r w:rsidRPr="00012E78">
              <w:rPr>
                <w:sz w:val="17"/>
                <w:szCs w:val="17"/>
              </w:rPr>
              <w:t>3</w:t>
            </w:r>
          </w:p>
        </w:tc>
        <w:tc>
          <w:tcPr>
            <w:tcW w:w="1170" w:type="dxa"/>
            <w:tcBorders>
              <w:top w:val="nil"/>
              <w:left w:val="nil"/>
              <w:bottom w:val="single" w:sz="4" w:space="0" w:color="auto"/>
              <w:right w:val="single" w:sz="4" w:space="0" w:color="auto"/>
            </w:tcBorders>
            <w:noWrap/>
          </w:tcPr>
          <w:p w14:paraId="6DF6DAF3" w14:textId="54672C78" w:rsidR="00344718" w:rsidRPr="00012E78" w:rsidRDefault="00344718" w:rsidP="00344718">
            <w:pPr>
              <w:jc w:val="right"/>
              <w:rPr>
                <w:color w:val="000000"/>
                <w:sz w:val="17"/>
                <w:szCs w:val="17"/>
              </w:rPr>
            </w:pPr>
            <w:r w:rsidRPr="00012E78">
              <w:rPr>
                <w:sz w:val="17"/>
                <w:szCs w:val="17"/>
              </w:rPr>
              <w:t>0</w:t>
            </w:r>
          </w:p>
        </w:tc>
        <w:tc>
          <w:tcPr>
            <w:tcW w:w="1134" w:type="dxa"/>
            <w:tcBorders>
              <w:top w:val="nil"/>
              <w:left w:val="nil"/>
              <w:bottom w:val="single" w:sz="4" w:space="0" w:color="auto"/>
              <w:right w:val="single" w:sz="4" w:space="0" w:color="auto"/>
            </w:tcBorders>
            <w:noWrap/>
          </w:tcPr>
          <w:p w14:paraId="323A8D92" w14:textId="1521CEF7" w:rsidR="00344718" w:rsidRPr="00012E78" w:rsidRDefault="00344718" w:rsidP="00344718">
            <w:pPr>
              <w:jc w:val="right"/>
              <w:rPr>
                <w:color w:val="000000"/>
                <w:sz w:val="17"/>
                <w:szCs w:val="17"/>
              </w:rPr>
            </w:pPr>
            <w:r w:rsidRPr="00012E78">
              <w:rPr>
                <w:sz w:val="17"/>
                <w:szCs w:val="17"/>
              </w:rPr>
              <w:t>0</w:t>
            </w:r>
          </w:p>
        </w:tc>
        <w:tc>
          <w:tcPr>
            <w:tcW w:w="1134" w:type="dxa"/>
            <w:tcBorders>
              <w:top w:val="nil"/>
              <w:left w:val="nil"/>
              <w:bottom w:val="single" w:sz="4" w:space="0" w:color="auto"/>
              <w:right w:val="single" w:sz="4" w:space="0" w:color="auto"/>
            </w:tcBorders>
            <w:noWrap/>
          </w:tcPr>
          <w:p w14:paraId="0B55E618" w14:textId="4D0D8543" w:rsidR="00344718" w:rsidRPr="00012E78" w:rsidRDefault="00344718" w:rsidP="00344718">
            <w:pPr>
              <w:jc w:val="right"/>
              <w:rPr>
                <w:color w:val="000000"/>
                <w:sz w:val="17"/>
                <w:szCs w:val="17"/>
              </w:rPr>
            </w:pPr>
            <w:r w:rsidRPr="00012E78">
              <w:rPr>
                <w:sz w:val="17"/>
                <w:szCs w:val="17"/>
              </w:rPr>
              <w:t>0</w:t>
            </w:r>
          </w:p>
        </w:tc>
        <w:tc>
          <w:tcPr>
            <w:tcW w:w="1152" w:type="dxa"/>
            <w:tcBorders>
              <w:top w:val="nil"/>
              <w:left w:val="nil"/>
              <w:bottom w:val="single" w:sz="4" w:space="0" w:color="auto"/>
              <w:right w:val="single" w:sz="4" w:space="0" w:color="auto"/>
            </w:tcBorders>
            <w:noWrap/>
          </w:tcPr>
          <w:p w14:paraId="7968E834" w14:textId="1ABE49A3" w:rsidR="00344718" w:rsidRPr="00012E78" w:rsidRDefault="00344718" w:rsidP="00344718">
            <w:pPr>
              <w:jc w:val="right"/>
              <w:rPr>
                <w:color w:val="000000"/>
                <w:sz w:val="17"/>
                <w:szCs w:val="17"/>
              </w:rPr>
            </w:pPr>
            <w:r w:rsidRPr="00012E78">
              <w:rPr>
                <w:sz w:val="17"/>
                <w:szCs w:val="17"/>
              </w:rPr>
              <w:t>0</w:t>
            </w:r>
          </w:p>
        </w:tc>
        <w:tc>
          <w:tcPr>
            <w:tcW w:w="990" w:type="dxa"/>
            <w:tcBorders>
              <w:top w:val="nil"/>
              <w:left w:val="nil"/>
              <w:bottom w:val="single" w:sz="4" w:space="0" w:color="auto"/>
              <w:right w:val="single" w:sz="4" w:space="0" w:color="auto"/>
            </w:tcBorders>
            <w:noWrap/>
          </w:tcPr>
          <w:p w14:paraId="48A109A7" w14:textId="111BB414" w:rsidR="00344718" w:rsidRPr="00012E78" w:rsidRDefault="00344718" w:rsidP="00344718">
            <w:pPr>
              <w:jc w:val="right"/>
              <w:rPr>
                <w:color w:val="000000"/>
                <w:sz w:val="17"/>
                <w:szCs w:val="17"/>
              </w:rPr>
            </w:pPr>
            <w:r w:rsidRPr="00012E78">
              <w:rPr>
                <w:sz w:val="17"/>
                <w:szCs w:val="17"/>
              </w:rPr>
              <w:t>10,637</w:t>
            </w:r>
          </w:p>
        </w:tc>
        <w:tc>
          <w:tcPr>
            <w:tcW w:w="993" w:type="dxa"/>
            <w:tcBorders>
              <w:top w:val="nil"/>
              <w:left w:val="nil"/>
              <w:bottom w:val="single" w:sz="4" w:space="0" w:color="auto"/>
              <w:right w:val="single" w:sz="4" w:space="0" w:color="auto"/>
            </w:tcBorders>
            <w:noWrap/>
          </w:tcPr>
          <w:p w14:paraId="64FC21C2" w14:textId="6ED83024" w:rsidR="00344718" w:rsidRPr="00012E78" w:rsidRDefault="00344718" w:rsidP="00344718">
            <w:pPr>
              <w:jc w:val="right"/>
              <w:rPr>
                <w:color w:val="000000"/>
                <w:sz w:val="17"/>
                <w:szCs w:val="17"/>
              </w:rPr>
            </w:pPr>
            <w:r w:rsidRPr="00012E78">
              <w:rPr>
                <w:sz w:val="17"/>
                <w:szCs w:val="17"/>
              </w:rPr>
              <w:t>7,135</w:t>
            </w:r>
          </w:p>
        </w:tc>
        <w:tc>
          <w:tcPr>
            <w:tcW w:w="1257" w:type="dxa"/>
            <w:tcBorders>
              <w:top w:val="nil"/>
              <w:left w:val="nil"/>
              <w:bottom w:val="single" w:sz="4" w:space="0" w:color="auto"/>
              <w:right w:val="single" w:sz="4" w:space="0" w:color="auto"/>
            </w:tcBorders>
            <w:noWrap/>
          </w:tcPr>
          <w:p w14:paraId="37A8045E" w14:textId="76BBBCDA" w:rsidR="00344718" w:rsidRPr="00012E78" w:rsidRDefault="00344718" w:rsidP="00344718">
            <w:pPr>
              <w:jc w:val="right"/>
              <w:rPr>
                <w:color w:val="000000"/>
                <w:sz w:val="17"/>
                <w:szCs w:val="17"/>
              </w:rPr>
            </w:pPr>
            <w:r w:rsidRPr="00012E78">
              <w:rPr>
                <w:sz w:val="17"/>
                <w:szCs w:val="17"/>
              </w:rPr>
              <w:t>70,749,213</w:t>
            </w:r>
          </w:p>
        </w:tc>
      </w:tr>
      <w:tr w:rsidR="00344718" w:rsidRPr="00012E78" w14:paraId="04811955"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29A5DD01" w14:textId="7A0BE535" w:rsidR="00344718" w:rsidRPr="00012E78" w:rsidRDefault="00344718" w:rsidP="00344718">
            <w:pPr>
              <w:ind w:right="-112"/>
              <w:jc w:val="left"/>
              <w:rPr>
                <w:color w:val="000000"/>
                <w:sz w:val="17"/>
                <w:szCs w:val="17"/>
                <w:lang w:val="en-GB" w:eastAsia="en-CA"/>
              </w:rPr>
            </w:pPr>
            <w:r w:rsidRPr="00012E78">
              <w:rPr>
                <w:sz w:val="17"/>
                <w:szCs w:val="17"/>
              </w:rPr>
              <w:t xml:space="preserve">HFC </w:t>
            </w:r>
            <w:r w:rsidR="00AF21F9">
              <w:rPr>
                <w:sz w:val="17"/>
                <w:szCs w:val="17"/>
              </w:rPr>
              <w:t>i</w:t>
            </w:r>
            <w:r w:rsidRPr="00012E78">
              <w:rPr>
                <w:sz w:val="17"/>
                <w:szCs w:val="17"/>
              </w:rPr>
              <w:t>ndividual</w:t>
            </w:r>
          </w:p>
        </w:tc>
        <w:tc>
          <w:tcPr>
            <w:tcW w:w="720" w:type="dxa"/>
            <w:tcBorders>
              <w:top w:val="nil"/>
              <w:left w:val="nil"/>
              <w:bottom w:val="single" w:sz="4" w:space="0" w:color="auto"/>
              <w:right w:val="single" w:sz="4" w:space="0" w:color="auto"/>
            </w:tcBorders>
            <w:noWrap/>
          </w:tcPr>
          <w:p w14:paraId="5B1C2B61" w14:textId="56D531FE" w:rsidR="00344718" w:rsidRPr="00012E78" w:rsidRDefault="00344718" w:rsidP="00344718">
            <w:pPr>
              <w:jc w:val="right"/>
              <w:rPr>
                <w:color w:val="000000"/>
                <w:sz w:val="17"/>
                <w:szCs w:val="17"/>
              </w:rPr>
            </w:pPr>
            <w:r w:rsidRPr="00012E78">
              <w:rPr>
                <w:sz w:val="17"/>
                <w:szCs w:val="17"/>
              </w:rPr>
              <w:t>683</w:t>
            </w:r>
          </w:p>
        </w:tc>
        <w:tc>
          <w:tcPr>
            <w:tcW w:w="1170" w:type="dxa"/>
            <w:tcBorders>
              <w:top w:val="nil"/>
              <w:left w:val="nil"/>
              <w:bottom w:val="single" w:sz="4" w:space="0" w:color="auto"/>
              <w:right w:val="single" w:sz="4" w:space="0" w:color="auto"/>
            </w:tcBorders>
            <w:noWrap/>
          </w:tcPr>
          <w:p w14:paraId="62B91508" w14:textId="4BEBCDAA" w:rsidR="00344718" w:rsidRPr="00012E78" w:rsidRDefault="00344718" w:rsidP="00344718">
            <w:pPr>
              <w:jc w:val="right"/>
              <w:rPr>
                <w:color w:val="000000"/>
                <w:sz w:val="17"/>
                <w:szCs w:val="17"/>
              </w:rPr>
            </w:pPr>
            <w:r w:rsidRPr="00012E78">
              <w:rPr>
                <w:sz w:val="17"/>
                <w:szCs w:val="17"/>
              </w:rPr>
              <w:t>0</w:t>
            </w:r>
          </w:p>
        </w:tc>
        <w:tc>
          <w:tcPr>
            <w:tcW w:w="1134" w:type="dxa"/>
            <w:tcBorders>
              <w:top w:val="nil"/>
              <w:left w:val="nil"/>
              <w:bottom w:val="single" w:sz="4" w:space="0" w:color="auto"/>
              <w:right w:val="single" w:sz="4" w:space="0" w:color="auto"/>
            </w:tcBorders>
            <w:noWrap/>
          </w:tcPr>
          <w:p w14:paraId="7168CA37" w14:textId="303DDE48" w:rsidR="00344718" w:rsidRPr="00012E78" w:rsidRDefault="00344718" w:rsidP="00344718">
            <w:pPr>
              <w:jc w:val="right"/>
              <w:rPr>
                <w:color w:val="000000"/>
                <w:sz w:val="17"/>
                <w:szCs w:val="17"/>
              </w:rPr>
            </w:pPr>
            <w:r w:rsidRPr="00012E78">
              <w:rPr>
                <w:sz w:val="17"/>
                <w:szCs w:val="17"/>
              </w:rPr>
              <w:t>0</w:t>
            </w:r>
          </w:p>
        </w:tc>
        <w:tc>
          <w:tcPr>
            <w:tcW w:w="1134" w:type="dxa"/>
            <w:tcBorders>
              <w:top w:val="nil"/>
              <w:left w:val="nil"/>
              <w:bottom w:val="single" w:sz="4" w:space="0" w:color="auto"/>
              <w:right w:val="single" w:sz="4" w:space="0" w:color="auto"/>
            </w:tcBorders>
            <w:noWrap/>
          </w:tcPr>
          <w:p w14:paraId="5C2298EA" w14:textId="50853CBB" w:rsidR="00344718" w:rsidRPr="00012E78" w:rsidRDefault="00344718" w:rsidP="00344718">
            <w:pPr>
              <w:jc w:val="right"/>
              <w:rPr>
                <w:color w:val="000000"/>
                <w:sz w:val="17"/>
                <w:szCs w:val="17"/>
              </w:rPr>
            </w:pPr>
            <w:r w:rsidRPr="00012E78">
              <w:rPr>
                <w:sz w:val="17"/>
                <w:szCs w:val="17"/>
              </w:rPr>
              <w:t>2,467</w:t>
            </w:r>
          </w:p>
        </w:tc>
        <w:tc>
          <w:tcPr>
            <w:tcW w:w="1152" w:type="dxa"/>
            <w:tcBorders>
              <w:top w:val="nil"/>
              <w:left w:val="nil"/>
              <w:bottom w:val="single" w:sz="4" w:space="0" w:color="auto"/>
              <w:right w:val="single" w:sz="4" w:space="0" w:color="auto"/>
            </w:tcBorders>
            <w:noWrap/>
          </w:tcPr>
          <w:p w14:paraId="36512971" w14:textId="2277C434" w:rsidR="00344718" w:rsidRPr="00012E78" w:rsidRDefault="00344718" w:rsidP="00344718">
            <w:pPr>
              <w:jc w:val="right"/>
              <w:rPr>
                <w:color w:val="000000"/>
                <w:sz w:val="17"/>
                <w:szCs w:val="17"/>
              </w:rPr>
            </w:pPr>
            <w:r w:rsidRPr="00012E78">
              <w:rPr>
                <w:sz w:val="17"/>
                <w:szCs w:val="17"/>
              </w:rPr>
              <w:t>978</w:t>
            </w:r>
          </w:p>
        </w:tc>
        <w:tc>
          <w:tcPr>
            <w:tcW w:w="990" w:type="dxa"/>
            <w:tcBorders>
              <w:top w:val="nil"/>
              <w:left w:val="nil"/>
              <w:bottom w:val="single" w:sz="4" w:space="0" w:color="auto"/>
              <w:right w:val="single" w:sz="4" w:space="0" w:color="auto"/>
            </w:tcBorders>
            <w:noWrap/>
          </w:tcPr>
          <w:p w14:paraId="62AFA51F" w14:textId="67AEB270" w:rsidR="00344718" w:rsidRPr="00012E78" w:rsidRDefault="00344718" w:rsidP="00344718">
            <w:pPr>
              <w:jc w:val="right"/>
              <w:rPr>
                <w:color w:val="000000"/>
                <w:sz w:val="17"/>
                <w:szCs w:val="17"/>
              </w:rPr>
            </w:pPr>
            <w:r w:rsidRPr="00012E78">
              <w:rPr>
                <w:sz w:val="17"/>
                <w:szCs w:val="17"/>
              </w:rPr>
              <w:t>0</w:t>
            </w:r>
          </w:p>
        </w:tc>
        <w:tc>
          <w:tcPr>
            <w:tcW w:w="993" w:type="dxa"/>
            <w:tcBorders>
              <w:top w:val="nil"/>
              <w:left w:val="nil"/>
              <w:bottom w:val="single" w:sz="4" w:space="0" w:color="auto"/>
              <w:right w:val="single" w:sz="4" w:space="0" w:color="auto"/>
            </w:tcBorders>
            <w:noWrap/>
          </w:tcPr>
          <w:p w14:paraId="075E84A3" w14:textId="340071B1" w:rsidR="00344718" w:rsidRPr="00012E78" w:rsidRDefault="00344718" w:rsidP="00344718">
            <w:pPr>
              <w:jc w:val="right"/>
              <w:rPr>
                <w:color w:val="000000"/>
                <w:sz w:val="17"/>
                <w:szCs w:val="17"/>
              </w:rPr>
            </w:pPr>
            <w:r w:rsidRPr="00012E78">
              <w:rPr>
                <w:sz w:val="17"/>
                <w:szCs w:val="17"/>
              </w:rPr>
              <w:t>0</w:t>
            </w:r>
          </w:p>
        </w:tc>
        <w:tc>
          <w:tcPr>
            <w:tcW w:w="1257" w:type="dxa"/>
            <w:tcBorders>
              <w:top w:val="nil"/>
              <w:left w:val="nil"/>
              <w:bottom w:val="single" w:sz="4" w:space="0" w:color="auto"/>
              <w:right w:val="single" w:sz="4" w:space="0" w:color="auto"/>
            </w:tcBorders>
            <w:noWrap/>
          </w:tcPr>
          <w:p w14:paraId="501303AE" w14:textId="10166893" w:rsidR="00344718" w:rsidRPr="00012E78" w:rsidRDefault="00344718" w:rsidP="00344718">
            <w:pPr>
              <w:jc w:val="right"/>
              <w:rPr>
                <w:color w:val="000000"/>
                <w:sz w:val="17"/>
                <w:szCs w:val="17"/>
              </w:rPr>
            </w:pPr>
            <w:r w:rsidRPr="00012E78">
              <w:rPr>
                <w:sz w:val="17"/>
                <w:szCs w:val="17"/>
              </w:rPr>
              <w:t>84,281,200</w:t>
            </w:r>
          </w:p>
        </w:tc>
      </w:tr>
      <w:tr w:rsidR="00344718" w:rsidRPr="00012E78" w14:paraId="21727E93"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3CEF74EF" w14:textId="534B6DD1" w:rsidR="00344718" w:rsidRPr="00012E78" w:rsidRDefault="00344718" w:rsidP="00344718">
            <w:pPr>
              <w:jc w:val="left"/>
              <w:rPr>
                <w:color w:val="000000"/>
                <w:sz w:val="17"/>
                <w:szCs w:val="17"/>
                <w:lang w:val="en-GB" w:eastAsia="en-CA"/>
              </w:rPr>
            </w:pPr>
            <w:r w:rsidRPr="00012E78">
              <w:rPr>
                <w:sz w:val="17"/>
                <w:szCs w:val="17"/>
              </w:rPr>
              <w:t>K</w:t>
            </w:r>
            <w:r w:rsidR="00AF21F9">
              <w:rPr>
                <w:sz w:val="17"/>
                <w:szCs w:val="17"/>
              </w:rPr>
              <w:t>IP (s</w:t>
            </w:r>
            <w:r w:rsidRPr="00012E78">
              <w:rPr>
                <w:sz w:val="17"/>
                <w:szCs w:val="17"/>
              </w:rPr>
              <w:t xml:space="preserve">tage </w:t>
            </w:r>
            <w:r w:rsidR="00AF21F9">
              <w:rPr>
                <w:sz w:val="17"/>
                <w:szCs w:val="17"/>
              </w:rPr>
              <w:t>I)</w:t>
            </w:r>
          </w:p>
        </w:tc>
        <w:tc>
          <w:tcPr>
            <w:tcW w:w="720" w:type="dxa"/>
            <w:tcBorders>
              <w:top w:val="nil"/>
              <w:left w:val="nil"/>
              <w:bottom w:val="single" w:sz="4" w:space="0" w:color="auto"/>
              <w:right w:val="single" w:sz="4" w:space="0" w:color="auto"/>
            </w:tcBorders>
            <w:noWrap/>
          </w:tcPr>
          <w:p w14:paraId="4965CD3E" w14:textId="611896CF" w:rsidR="00344718" w:rsidRPr="00012E78" w:rsidRDefault="00344718" w:rsidP="00344718">
            <w:pPr>
              <w:jc w:val="right"/>
              <w:rPr>
                <w:color w:val="000000"/>
                <w:sz w:val="17"/>
                <w:szCs w:val="17"/>
                <w:lang w:val="en-GB" w:eastAsia="en-CA"/>
              </w:rPr>
            </w:pPr>
            <w:r w:rsidRPr="00012E78">
              <w:rPr>
                <w:sz w:val="17"/>
                <w:szCs w:val="17"/>
              </w:rPr>
              <w:t>254</w:t>
            </w:r>
          </w:p>
        </w:tc>
        <w:tc>
          <w:tcPr>
            <w:tcW w:w="1170" w:type="dxa"/>
            <w:tcBorders>
              <w:top w:val="nil"/>
              <w:left w:val="nil"/>
              <w:bottom w:val="single" w:sz="4" w:space="0" w:color="auto"/>
              <w:right w:val="single" w:sz="4" w:space="0" w:color="auto"/>
            </w:tcBorders>
            <w:noWrap/>
          </w:tcPr>
          <w:p w14:paraId="617F9AE3" w14:textId="075E60F0"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7765EEB9" w14:textId="4AB99394"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1C841D81" w14:textId="4C5F7E0A" w:rsidR="00344718" w:rsidRPr="00012E78" w:rsidRDefault="00344718" w:rsidP="00344718">
            <w:pPr>
              <w:jc w:val="right"/>
              <w:rPr>
                <w:color w:val="000000"/>
                <w:sz w:val="17"/>
                <w:szCs w:val="17"/>
                <w:lang w:val="en-GB" w:eastAsia="en-CA"/>
              </w:rPr>
            </w:pPr>
            <w:r w:rsidRPr="00012E78">
              <w:rPr>
                <w:sz w:val="17"/>
                <w:szCs w:val="17"/>
              </w:rPr>
              <w:t>17,235</w:t>
            </w:r>
          </w:p>
        </w:tc>
        <w:tc>
          <w:tcPr>
            <w:tcW w:w="1152" w:type="dxa"/>
            <w:tcBorders>
              <w:top w:val="nil"/>
              <w:left w:val="nil"/>
              <w:bottom w:val="single" w:sz="4" w:space="0" w:color="auto"/>
              <w:right w:val="single" w:sz="4" w:space="0" w:color="auto"/>
            </w:tcBorders>
            <w:noWrap/>
          </w:tcPr>
          <w:p w14:paraId="136C9FBA" w14:textId="06732758" w:rsidR="00344718" w:rsidRPr="00012E78" w:rsidRDefault="00344718" w:rsidP="00344718">
            <w:pPr>
              <w:jc w:val="right"/>
              <w:rPr>
                <w:color w:val="000000"/>
                <w:sz w:val="17"/>
                <w:szCs w:val="17"/>
                <w:lang w:val="en-GB" w:eastAsia="en-CA"/>
              </w:rPr>
            </w:pPr>
            <w:r w:rsidRPr="00012E78">
              <w:rPr>
                <w:sz w:val="17"/>
                <w:szCs w:val="17"/>
              </w:rPr>
              <w:t>109</w:t>
            </w:r>
          </w:p>
        </w:tc>
        <w:tc>
          <w:tcPr>
            <w:tcW w:w="990" w:type="dxa"/>
            <w:tcBorders>
              <w:top w:val="nil"/>
              <w:left w:val="nil"/>
              <w:bottom w:val="single" w:sz="4" w:space="0" w:color="auto"/>
              <w:right w:val="single" w:sz="4" w:space="0" w:color="auto"/>
            </w:tcBorders>
            <w:noWrap/>
          </w:tcPr>
          <w:p w14:paraId="49386F72" w14:textId="0AB9090E" w:rsidR="00344718" w:rsidRPr="00012E78" w:rsidRDefault="00344718" w:rsidP="00344718">
            <w:pPr>
              <w:jc w:val="right"/>
              <w:rPr>
                <w:color w:val="000000"/>
                <w:sz w:val="17"/>
                <w:szCs w:val="17"/>
                <w:lang w:val="en-GB" w:eastAsia="en-CA"/>
              </w:rPr>
            </w:pPr>
            <w:r w:rsidRPr="00012E78">
              <w:rPr>
                <w:sz w:val="17"/>
                <w:szCs w:val="17"/>
              </w:rPr>
              <w:t>0</w:t>
            </w:r>
          </w:p>
        </w:tc>
        <w:tc>
          <w:tcPr>
            <w:tcW w:w="993" w:type="dxa"/>
            <w:tcBorders>
              <w:top w:val="nil"/>
              <w:left w:val="nil"/>
              <w:bottom w:val="single" w:sz="4" w:space="0" w:color="auto"/>
              <w:right w:val="single" w:sz="4" w:space="0" w:color="auto"/>
            </w:tcBorders>
            <w:noWrap/>
          </w:tcPr>
          <w:p w14:paraId="15185031" w14:textId="779D0665" w:rsidR="00344718" w:rsidRPr="00012E78" w:rsidRDefault="00344718" w:rsidP="00344718">
            <w:pPr>
              <w:jc w:val="right"/>
              <w:rPr>
                <w:color w:val="000000"/>
                <w:sz w:val="17"/>
                <w:szCs w:val="17"/>
                <w:lang w:val="en-GB" w:eastAsia="en-CA"/>
              </w:rPr>
            </w:pPr>
            <w:r w:rsidRPr="00012E78">
              <w:rPr>
                <w:sz w:val="17"/>
                <w:szCs w:val="17"/>
              </w:rPr>
              <w:t>0</w:t>
            </w:r>
          </w:p>
        </w:tc>
        <w:tc>
          <w:tcPr>
            <w:tcW w:w="1257" w:type="dxa"/>
            <w:tcBorders>
              <w:top w:val="nil"/>
              <w:left w:val="nil"/>
              <w:bottom w:val="single" w:sz="4" w:space="0" w:color="auto"/>
              <w:right w:val="single" w:sz="4" w:space="0" w:color="auto"/>
            </w:tcBorders>
            <w:noWrap/>
          </w:tcPr>
          <w:p w14:paraId="60C9313B" w14:textId="5E0B4641" w:rsidR="00344718" w:rsidRPr="00012E78" w:rsidRDefault="00344718" w:rsidP="00344718">
            <w:pPr>
              <w:jc w:val="right"/>
              <w:rPr>
                <w:color w:val="000000"/>
                <w:sz w:val="17"/>
                <w:szCs w:val="17"/>
                <w:lang w:val="en-GB" w:eastAsia="en-CA"/>
              </w:rPr>
            </w:pPr>
            <w:r w:rsidRPr="00012E78">
              <w:rPr>
                <w:sz w:val="17"/>
                <w:szCs w:val="17"/>
              </w:rPr>
              <w:t>84,646,076</w:t>
            </w:r>
          </w:p>
        </w:tc>
      </w:tr>
      <w:tr w:rsidR="00344718" w:rsidRPr="00012E78" w14:paraId="62D5CB71"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406E9496" w14:textId="74CFFC44" w:rsidR="00344718" w:rsidRPr="00012E78" w:rsidRDefault="00344718" w:rsidP="00344718">
            <w:pPr>
              <w:jc w:val="left"/>
              <w:rPr>
                <w:color w:val="000000"/>
                <w:sz w:val="17"/>
                <w:szCs w:val="17"/>
                <w:lang w:val="en-GB" w:eastAsia="en-CA"/>
              </w:rPr>
            </w:pPr>
            <w:r w:rsidRPr="00012E78">
              <w:rPr>
                <w:sz w:val="17"/>
                <w:szCs w:val="17"/>
              </w:rPr>
              <w:t xml:space="preserve">Other ODS </w:t>
            </w:r>
            <w:r w:rsidR="00AF21F9">
              <w:rPr>
                <w:sz w:val="17"/>
                <w:szCs w:val="17"/>
              </w:rPr>
              <w:t>i</w:t>
            </w:r>
            <w:r w:rsidRPr="00012E78">
              <w:rPr>
                <w:sz w:val="17"/>
                <w:szCs w:val="17"/>
              </w:rPr>
              <w:t>ndividual</w:t>
            </w:r>
          </w:p>
        </w:tc>
        <w:tc>
          <w:tcPr>
            <w:tcW w:w="720" w:type="dxa"/>
            <w:tcBorders>
              <w:top w:val="nil"/>
              <w:left w:val="nil"/>
              <w:bottom w:val="single" w:sz="4" w:space="0" w:color="auto"/>
              <w:right w:val="single" w:sz="4" w:space="0" w:color="auto"/>
            </w:tcBorders>
            <w:noWrap/>
          </w:tcPr>
          <w:p w14:paraId="6D470765" w14:textId="303F4513" w:rsidR="00344718" w:rsidRPr="00012E78" w:rsidRDefault="00344718" w:rsidP="00344718">
            <w:pPr>
              <w:jc w:val="right"/>
              <w:rPr>
                <w:color w:val="000000"/>
                <w:sz w:val="17"/>
                <w:szCs w:val="17"/>
                <w:lang w:val="en-GB" w:eastAsia="en-CA"/>
              </w:rPr>
            </w:pPr>
            <w:r w:rsidRPr="00012E78">
              <w:rPr>
                <w:sz w:val="17"/>
                <w:szCs w:val="17"/>
              </w:rPr>
              <w:t>589</w:t>
            </w:r>
          </w:p>
        </w:tc>
        <w:tc>
          <w:tcPr>
            <w:tcW w:w="1170" w:type="dxa"/>
            <w:tcBorders>
              <w:top w:val="nil"/>
              <w:left w:val="nil"/>
              <w:bottom w:val="single" w:sz="4" w:space="0" w:color="auto"/>
              <w:right w:val="single" w:sz="4" w:space="0" w:color="auto"/>
            </w:tcBorders>
            <w:noWrap/>
          </w:tcPr>
          <w:p w14:paraId="58F3A3C7" w14:textId="0649A52D" w:rsidR="00344718" w:rsidRPr="00012E78" w:rsidRDefault="00344718" w:rsidP="00344718">
            <w:pPr>
              <w:jc w:val="right"/>
              <w:rPr>
                <w:color w:val="000000"/>
                <w:sz w:val="17"/>
                <w:szCs w:val="17"/>
                <w:lang w:val="en-GB" w:eastAsia="en-CA"/>
              </w:rPr>
            </w:pPr>
            <w:r w:rsidRPr="00012E78">
              <w:rPr>
                <w:sz w:val="17"/>
                <w:szCs w:val="17"/>
              </w:rPr>
              <w:t>20,060</w:t>
            </w:r>
          </w:p>
        </w:tc>
        <w:tc>
          <w:tcPr>
            <w:tcW w:w="1134" w:type="dxa"/>
            <w:tcBorders>
              <w:top w:val="nil"/>
              <w:left w:val="nil"/>
              <w:bottom w:val="single" w:sz="4" w:space="0" w:color="auto"/>
              <w:right w:val="single" w:sz="4" w:space="0" w:color="auto"/>
            </w:tcBorders>
            <w:noWrap/>
          </w:tcPr>
          <w:p w14:paraId="15DEED53" w14:textId="52525676" w:rsidR="00344718" w:rsidRPr="00012E78" w:rsidRDefault="00344718" w:rsidP="00344718">
            <w:pPr>
              <w:jc w:val="right"/>
              <w:rPr>
                <w:color w:val="000000"/>
                <w:sz w:val="17"/>
                <w:szCs w:val="17"/>
                <w:lang w:val="en-GB" w:eastAsia="en-CA"/>
              </w:rPr>
            </w:pPr>
            <w:r w:rsidRPr="00012E78">
              <w:rPr>
                <w:sz w:val="17"/>
                <w:szCs w:val="17"/>
              </w:rPr>
              <w:t>20,843</w:t>
            </w:r>
          </w:p>
        </w:tc>
        <w:tc>
          <w:tcPr>
            <w:tcW w:w="1134" w:type="dxa"/>
            <w:tcBorders>
              <w:top w:val="nil"/>
              <w:left w:val="nil"/>
              <w:bottom w:val="single" w:sz="4" w:space="0" w:color="auto"/>
              <w:right w:val="single" w:sz="4" w:space="0" w:color="auto"/>
            </w:tcBorders>
            <w:noWrap/>
          </w:tcPr>
          <w:p w14:paraId="24434F70" w14:textId="3BCBBFAA" w:rsidR="00344718" w:rsidRPr="00012E78" w:rsidRDefault="00344718" w:rsidP="00344718">
            <w:pPr>
              <w:jc w:val="right"/>
              <w:rPr>
                <w:color w:val="000000"/>
                <w:sz w:val="17"/>
                <w:szCs w:val="17"/>
                <w:lang w:val="en-GB" w:eastAsia="en-CA"/>
              </w:rPr>
            </w:pPr>
            <w:r w:rsidRPr="00012E78">
              <w:rPr>
                <w:sz w:val="17"/>
                <w:szCs w:val="17"/>
              </w:rPr>
              <w:t>0</w:t>
            </w:r>
          </w:p>
        </w:tc>
        <w:tc>
          <w:tcPr>
            <w:tcW w:w="1152" w:type="dxa"/>
            <w:tcBorders>
              <w:top w:val="nil"/>
              <w:left w:val="nil"/>
              <w:bottom w:val="single" w:sz="4" w:space="0" w:color="auto"/>
              <w:right w:val="single" w:sz="4" w:space="0" w:color="auto"/>
            </w:tcBorders>
            <w:noWrap/>
          </w:tcPr>
          <w:p w14:paraId="454B3DB3" w14:textId="1284AB96" w:rsidR="00344718" w:rsidRPr="00012E78" w:rsidRDefault="00344718" w:rsidP="00344718">
            <w:pPr>
              <w:jc w:val="right"/>
              <w:rPr>
                <w:color w:val="000000"/>
                <w:sz w:val="17"/>
                <w:szCs w:val="17"/>
                <w:lang w:val="en-GB" w:eastAsia="en-CA"/>
              </w:rPr>
            </w:pPr>
            <w:r w:rsidRPr="00012E78">
              <w:rPr>
                <w:sz w:val="17"/>
                <w:szCs w:val="17"/>
              </w:rPr>
              <w:t>0</w:t>
            </w:r>
          </w:p>
        </w:tc>
        <w:tc>
          <w:tcPr>
            <w:tcW w:w="990" w:type="dxa"/>
            <w:tcBorders>
              <w:top w:val="nil"/>
              <w:left w:val="nil"/>
              <w:bottom w:val="single" w:sz="4" w:space="0" w:color="auto"/>
              <w:right w:val="single" w:sz="4" w:space="0" w:color="auto"/>
            </w:tcBorders>
            <w:noWrap/>
          </w:tcPr>
          <w:p w14:paraId="728AD6D6" w14:textId="06B75045" w:rsidR="00344718" w:rsidRPr="00012E78" w:rsidRDefault="00344718" w:rsidP="00344718">
            <w:pPr>
              <w:jc w:val="right"/>
              <w:rPr>
                <w:color w:val="000000"/>
                <w:sz w:val="17"/>
                <w:szCs w:val="17"/>
                <w:lang w:val="en-GB" w:eastAsia="en-CA"/>
              </w:rPr>
            </w:pPr>
            <w:r w:rsidRPr="00012E78">
              <w:rPr>
                <w:sz w:val="17"/>
                <w:szCs w:val="17"/>
              </w:rPr>
              <w:t>1,200</w:t>
            </w:r>
          </w:p>
        </w:tc>
        <w:tc>
          <w:tcPr>
            <w:tcW w:w="993" w:type="dxa"/>
            <w:tcBorders>
              <w:top w:val="nil"/>
              <w:left w:val="nil"/>
              <w:bottom w:val="single" w:sz="4" w:space="0" w:color="auto"/>
              <w:right w:val="single" w:sz="4" w:space="0" w:color="auto"/>
            </w:tcBorders>
            <w:noWrap/>
          </w:tcPr>
          <w:p w14:paraId="5360D5A3" w14:textId="418F1213" w:rsidR="00344718" w:rsidRPr="00012E78" w:rsidRDefault="00344718" w:rsidP="00344718">
            <w:pPr>
              <w:jc w:val="right"/>
              <w:rPr>
                <w:color w:val="000000"/>
                <w:sz w:val="17"/>
                <w:szCs w:val="17"/>
                <w:lang w:val="en-GB" w:eastAsia="en-CA"/>
              </w:rPr>
            </w:pPr>
            <w:r w:rsidRPr="00012E78">
              <w:rPr>
                <w:sz w:val="17"/>
                <w:szCs w:val="17"/>
              </w:rPr>
              <w:t>1,200</w:t>
            </w:r>
          </w:p>
        </w:tc>
        <w:tc>
          <w:tcPr>
            <w:tcW w:w="1257" w:type="dxa"/>
            <w:tcBorders>
              <w:top w:val="nil"/>
              <w:left w:val="nil"/>
              <w:bottom w:val="single" w:sz="4" w:space="0" w:color="auto"/>
              <w:right w:val="single" w:sz="4" w:space="0" w:color="auto"/>
            </w:tcBorders>
            <w:noWrap/>
          </w:tcPr>
          <w:p w14:paraId="44F0BED5" w14:textId="28B546C9" w:rsidR="00344718" w:rsidRPr="00012E78" w:rsidRDefault="00344718" w:rsidP="00344718">
            <w:pPr>
              <w:jc w:val="right"/>
              <w:rPr>
                <w:color w:val="000000"/>
                <w:sz w:val="17"/>
                <w:szCs w:val="17"/>
                <w:lang w:val="en-GB" w:eastAsia="en-CA"/>
              </w:rPr>
            </w:pPr>
            <w:r w:rsidRPr="00012E78">
              <w:rPr>
                <w:sz w:val="17"/>
                <w:szCs w:val="17"/>
              </w:rPr>
              <w:t>125,994,826</w:t>
            </w:r>
          </w:p>
        </w:tc>
      </w:tr>
      <w:tr w:rsidR="00344718" w:rsidRPr="00012E78" w14:paraId="0DE05DA4"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3EEA94A1" w14:textId="762C55F6" w:rsidR="00344718" w:rsidRPr="00012E78" w:rsidRDefault="00344718" w:rsidP="00344718">
            <w:pPr>
              <w:jc w:val="left"/>
              <w:rPr>
                <w:color w:val="000000"/>
                <w:sz w:val="17"/>
                <w:szCs w:val="17"/>
                <w:lang w:val="en-GB" w:eastAsia="en-CA"/>
              </w:rPr>
            </w:pPr>
            <w:r w:rsidRPr="00012E78">
              <w:rPr>
                <w:sz w:val="17"/>
                <w:szCs w:val="17"/>
              </w:rPr>
              <w:t xml:space="preserve">Other ODS </w:t>
            </w:r>
            <w:r w:rsidR="00AF21F9">
              <w:rPr>
                <w:sz w:val="17"/>
                <w:szCs w:val="17"/>
              </w:rPr>
              <w:t>i</w:t>
            </w:r>
            <w:r w:rsidRPr="00012E78">
              <w:rPr>
                <w:sz w:val="17"/>
                <w:szCs w:val="17"/>
              </w:rPr>
              <w:t xml:space="preserve">ndividual </w:t>
            </w:r>
            <w:r w:rsidR="00AF21F9">
              <w:rPr>
                <w:sz w:val="17"/>
                <w:szCs w:val="17"/>
              </w:rPr>
              <w:t>- p</w:t>
            </w:r>
            <w:r w:rsidRPr="00012E78">
              <w:rPr>
                <w:sz w:val="17"/>
                <w:szCs w:val="17"/>
              </w:rPr>
              <w:t>roduction</w:t>
            </w:r>
          </w:p>
        </w:tc>
        <w:tc>
          <w:tcPr>
            <w:tcW w:w="720" w:type="dxa"/>
            <w:tcBorders>
              <w:top w:val="nil"/>
              <w:left w:val="nil"/>
              <w:bottom w:val="single" w:sz="4" w:space="0" w:color="auto"/>
              <w:right w:val="single" w:sz="4" w:space="0" w:color="auto"/>
            </w:tcBorders>
            <w:noWrap/>
          </w:tcPr>
          <w:p w14:paraId="4854B184" w14:textId="5A96F167" w:rsidR="00344718" w:rsidRPr="00012E78" w:rsidRDefault="00344718" w:rsidP="00344718">
            <w:pPr>
              <w:jc w:val="right"/>
              <w:rPr>
                <w:color w:val="000000"/>
                <w:sz w:val="17"/>
                <w:szCs w:val="17"/>
                <w:lang w:val="en-GB" w:eastAsia="en-CA"/>
              </w:rPr>
            </w:pPr>
            <w:r w:rsidRPr="00012E78">
              <w:rPr>
                <w:sz w:val="17"/>
                <w:szCs w:val="17"/>
              </w:rPr>
              <w:t>1</w:t>
            </w:r>
          </w:p>
        </w:tc>
        <w:tc>
          <w:tcPr>
            <w:tcW w:w="1170" w:type="dxa"/>
            <w:tcBorders>
              <w:top w:val="nil"/>
              <w:left w:val="nil"/>
              <w:bottom w:val="single" w:sz="4" w:space="0" w:color="auto"/>
              <w:right w:val="single" w:sz="4" w:space="0" w:color="auto"/>
            </w:tcBorders>
            <w:noWrap/>
          </w:tcPr>
          <w:p w14:paraId="742AE44D" w14:textId="6BB7D67B"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2C854586" w14:textId="06AC1344"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0FC900B9" w14:textId="126BBE72" w:rsidR="00344718" w:rsidRPr="00012E78" w:rsidRDefault="00344718" w:rsidP="00344718">
            <w:pPr>
              <w:jc w:val="right"/>
              <w:rPr>
                <w:color w:val="000000"/>
                <w:sz w:val="17"/>
                <w:szCs w:val="17"/>
                <w:lang w:val="en-GB" w:eastAsia="en-CA"/>
              </w:rPr>
            </w:pPr>
            <w:r w:rsidRPr="00012E78">
              <w:rPr>
                <w:sz w:val="17"/>
                <w:szCs w:val="17"/>
              </w:rPr>
              <w:t>0</w:t>
            </w:r>
          </w:p>
        </w:tc>
        <w:tc>
          <w:tcPr>
            <w:tcW w:w="1152" w:type="dxa"/>
            <w:tcBorders>
              <w:top w:val="nil"/>
              <w:left w:val="nil"/>
              <w:bottom w:val="single" w:sz="4" w:space="0" w:color="auto"/>
              <w:right w:val="single" w:sz="4" w:space="0" w:color="auto"/>
            </w:tcBorders>
            <w:noWrap/>
          </w:tcPr>
          <w:p w14:paraId="2D2D60EC" w14:textId="4A75CB5E" w:rsidR="00344718" w:rsidRPr="00012E78" w:rsidRDefault="00344718" w:rsidP="00344718">
            <w:pPr>
              <w:jc w:val="right"/>
              <w:rPr>
                <w:color w:val="000000"/>
                <w:sz w:val="17"/>
                <w:szCs w:val="17"/>
                <w:lang w:val="en-GB" w:eastAsia="en-CA"/>
              </w:rPr>
            </w:pPr>
            <w:r w:rsidRPr="00012E78">
              <w:rPr>
                <w:sz w:val="17"/>
                <w:szCs w:val="17"/>
              </w:rPr>
              <w:t>0</w:t>
            </w:r>
          </w:p>
        </w:tc>
        <w:tc>
          <w:tcPr>
            <w:tcW w:w="990" w:type="dxa"/>
            <w:tcBorders>
              <w:top w:val="nil"/>
              <w:left w:val="nil"/>
              <w:bottom w:val="single" w:sz="4" w:space="0" w:color="auto"/>
              <w:right w:val="single" w:sz="4" w:space="0" w:color="auto"/>
            </w:tcBorders>
            <w:noWrap/>
          </w:tcPr>
          <w:p w14:paraId="40EBFB8D" w14:textId="2407B895" w:rsidR="00344718" w:rsidRPr="00012E78" w:rsidRDefault="00344718" w:rsidP="00344718">
            <w:pPr>
              <w:jc w:val="right"/>
              <w:rPr>
                <w:color w:val="000000"/>
                <w:sz w:val="17"/>
                <w:szCs w:val="17"/>
                <w:lang w:val="en-GB" w:eastAsia="en-CA"/>
              </w:rPr>
            </w:pPr>
            <w:r w:rsidRPr="00012E78">
              <w:rPr>
                <w:sz w:val="17"/>
                <w:szCs w:val="17"/>
              </w:rPr>
              <w:t>321</w:t>
            </w:r>
          </w:p>
        </w:tc>
        <w:tc>
          <w:tcPr>
            <w:tcW w:w="993" w:type="dxa"/>
            <w:tcBorders>
              <w:top w:val="nil"/>
              <w:left w:val="nil"/>
              <w:bottom w:val="single" w:sz="4" w:space="0" w:color="auto"/>
              <w:right w:val="single" w:sz="4" w:space="0" w:color="auto"/>
            </w:tcBorders>
            <w:noWrap/>
          </w:tcPr>
          <w:p w14:paraId="381E2471" w14:textId="5740E107" w:rsidR="00344718" w:rsidRPr="00012E78" w:rsidRDefault="00344718" w:rsidP="00344718">
            <w:pPr>
              <w:jc w:val="right"/>
              <w:rPr>
                <w:color w:val="000000"/>
                <w:sz w:val="17"/>
                <w:szCs w:val="17"/>
                <w:lang w:val="en-GB" w:eastAsia="en-CA"/>
              </w:rPr>
            </w:pPr>
            <w:r w:rsidRPr="00012E78">
              <w:rPr>
                <w:sz w:val="17"/>
                <w:szCs w:val="17"/>
              </w:rPr>
              <w:t>321</w:t>
            </w:r>
          </w:p>
        </w:tc>
        <w:tc>
          <w:tcPr>
            <w:tcW w:w="1257" w:type="dxa"/>
            <w:tcBorders>
              <w:top w:val="nil"/>
              <w:left w:val="nil"/>
              <w:bottom w:val="single" w:sz="4" w:space="0" w:color="auto"/>
              <w:right w:val="single" w:sz="4" w:space="0" w:color="auto"/>
            </w:tcBorders>
            <w:noWrap/>
          </w:tcPr>
          <w:p w14:paraId="7768E32E" w14:textId="6F05AC85" w:rsidR="00344718" w:rsidRPr="00012E78" w:rsidRDefault="00344718" w:rsidP="00344718">
            <w:pPr>
              <w:jc w:val="right"/>
              <w:rPr>
                <w:color w:val="000000"/>
                <w:sz w:val="17"/>
                <w:szCs w:val="17"/>
                <w:lang w:val="en-GB" w:eastAsia="en-CA"/>
              </w:rPr>
            </w:pPr>
            <w:r w:rsidRPr="00012E78">
              <w:rPr>
                <w:sz w:val="17"/>
                <w:szCs w:val="17"/>
              </w:rPr>
              <w:t>1,037,302</w:t>
            </w:r>
          </w:p>
        </w:tc>
      </w:tr>
      <w:tr w:rsidR="00344718" w:rsidRPr="00012E78" w14:paraId="3C63ADC7"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73750EDA" w14:textId="4AA3BDA6" w:rsidR="00344718" w:rsidRPr="00012E78" w:rsidRDefault="00344718" w:rsidP="00344718">
            <w:pPr>
              <w:jc w:val="left"/>
              <w:rPr>
                <w:color w:val="000000"/>
                <w:sz w:val="17"/>
                <w:szCs w:val="17"/>
                <w:lang w:val="en-GB" w:eastAsia="en-CA"/>
              </w:rPr>
            </w:pPr>
            <w:r w:rsidRPr="00012E78">
              <w:rPr>
                <w:sz w:val="17"/>
                <w:szCs w:val="17"/>
              </w:rPr>
              <w:t xml:space="preserve">Other ODS </w:t>
            </w:r>
            <w:r w:rsidR="00AF21F9">
              <w:rPr>
                <w:sz w:val="17"/>
                <w:szCs w:val="17"/>
              </w:rPr>
              <w:t>p</w:t>
            </w:r>
            <w:r w:rsidRPr="00012E78">
              <w:rPr>
                <w:sz w:val="17"/>
                <w:szCs w:val="17"/>
              </w:rPr>
              <w:t xml:space="preserve">roduction </w:t>
            </w:r>
            <w:r w:rsidR="00AF21F9">
              <w:rPr>
                <w:sz w:val="17"/>
                <w:szCs w:val="17"/>
              </w:rPr>
              <w:t>p</w:t>
            </w:r>
            <w:r w:rsidRPr="00012E78">
              <w:rPr>
                <w:sz w:val="17"/>
                <w:szCs w:val="17"/>
              </w:rPr>
              <w:t>hase</w:t>
            </w:r>
            <w:r w:rsidR="00AF21F9">
              <w:rPr>
                <w:sz w:val="17"/>
                <w:szCs w:val="17"/>
              </w:rPr>
              <w:t>-</w:t>
            </w:r>
            <w:r w:rsidRPr="00012E78">
              <w:rPr>
                <w:sz w:val="17"/>
                <w:szCs w:val="17"/>
              </w:rPr>
              <w:t xml:space="preserve">out </w:t>
            </w:r>
            <w:r w:rsidR="00530671">
              <w:rPr>
                <w:sz w:val="17"/>
                <w:szCs w:val="17"/>
              </w:rPr>
              <w:t>p</w:t>
            </w:r>
            <w:r w:rsidRPr="00012E78">
              <w:rPr>
                <w:sz w:val="17"/>
                <w:szCs w:val="17"/>
              </w:rPr>
              <w:t>lan</w:t>
            </w:r>
          </w:p>
        </w:tc>
        <w:tc>
          <w:tcPr>
            <w:tcW w:w="720" w:type="dxa"/>
            <w:tcBorders>
              <w:top w:val="nil"/>
              <w:left w:val="nil"/>
              <w:bottom w:val="single" w:sz="4" w:space="0" w:color="auto"/>
              <w:right w:val="single" w:sz="4" w:space="0" w:color="auto"/>
            </w:tcBorders>
            <w:noWrap/>
          </w:tcPr>
          <w:p w14:paraId="6CC7BCD3" w14:textId="088DA57C" w:rsidR="00344718" w:rsidRPr="00012E78" w:rsidRDefault="00344718" w:rsidP="00344718">
            <w:pPr>
              <w:jc w:val="right"/>
              <w:rPr>
                <w:color w:val="000000"/>
                <w:sz w:val="17"/>
                <w:szCs w:val="17"/>
                <w:lang w:val="en-GB" w:eastAsia="en-CA"/>
              </w:rPr>
            </w:pPr>
            <w:r w:rsidRPr="00012E78">
              <w:rPr>
                <w:sz w:val="17"/>
                <w:szCs w:val="17"/>
              </w:rPr>
              <w:t>27</w:t>
            </w:r>
          </w:p>
        </w:tc>
        <w:tc>
          <w:tcPr>
            <w:tcW w:w="1170" w:type="dxa"/>
            <w:tcBorders>
              <w:top w:val="nil"/>
              <w:left w:val="nil"/>
              <w:bottom w:val="single" w:sz="4" w:space="0" w:color="auto"/>
              <w:right w:val="single" w:sz="4" w:space="0" w:color="auto"/>
            </w:tcBorders>
            <w:noWrap/>
          </w:tcPr>
          <w:p w14:paraId="45A3DFC4" w14:textId="3D123541"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3ACC3872" w14:textId="7E91C2B8" w:rsidR="00344718" w:rsidRPr="00012E78" w:rsidRDefault="00344718" w:rsidP="00344718">
            <w:pPr>
              <w:jc w:val="right"/>
              <w:rPr>
                <w:color w:val="000000"/>
                <w:sz w:val="17"/>
                <w:szCs w:val="17"/>
                <w:lang w:val="en-GB" w:eastAsia="en-CA"/>
              </w:rPr>
            </w:pPr>
            <w:r w:rsidRPr="00012E78">
              <w:rPr>
                <w:sz w:val="17"/>
                <w:szCs w:val="17"/>
              </w:rPr>
              <w:t>0</w:t>
            </w:r>
          </w:p>
        </w:tc>
        <w:tc>
          <w:tcPr>
            <w:tcW w:w="1134" w:type="dxa"/>
            <w:tcBorders>
              <w:top w:val="nil"/>
              <w:left w:val="nil"/>
              <w:bottom w:val="single" w:sz="4" w:space="0" w:color="auto"/>
              <w:right w:val="single" w:sz="4" w:space="0" w:color="auto"/>
            </w:tcBorders>
            <w:noWrap/>
          </w:tcPr>
          <w:p w14:paraId="479E49E0" w14:textId="38E81151" w:rsidR="00344718" w:rsidRPr="00012E78" w:rsidRDefault="00344718" w:rsidP="00344718">
            <w:pPr>
              <w:jc w:val="right"/>
              <w:rPr>
                <w:color w:val="000000"/>
                <w:sz w:val="17"/>
                <w:szCs w:val="17"/>
                <w:lang w:val="en-GB" w:eastAsia="en-CA"/>
              </w:rPr>
            </w:pPr>
            <w:r w:rsidRPr="00012E78">
              <w:rPr>
                <w:sz w:val="17"/>
                <w:szCs w:val="17"/>
              </w:rPr>
              <w:t>0</w:t>
            </w:r>
          </w:p>
        </w:tc>
        <w:tc>
          <w:tcPr>
            <w:tcW w:w="1152" w:type="dxa"/>
            <w:tcBorders>
              <w:top w:val="nil"/>
              <w:left w:val="nil"/>
              <w:bottom w:val="single" w:sz="4" w:space="0" w:color="auto"/>
              <w:right w:val="single" w:sz="4" w:space="0" w:color="auto"/>
            </w:tcBorders>
            <w:noWrap/>
          </w:tcPr>
          <w:p w14:paraId="1E84F5C3" w14:textId="39ED2FA9" w:rsidR="00344718" w:rsidRPr="00012E78" w:rsidRDefault="00344718" w:rsidP="00344718">
            <w:pPr>
              <w:jc w:val="right"/>
              <w:rPr>
                <w:color w:val="000000"/>
                <w:sz w:val="17"/>
                <w:szCs w:val="17"/>
                <w:lang w:val="en-GB" w:eastAsia="en-CA"/>
              </w:rPr>
            </w:pPr>
            <w:r w:rsidRPr="00012E78">
              <w:rPr>
                <w:sz w:val="17"/>
                <w:szCs w:val="17"/>
              </w:rPr>
              <w:t>0</w:t>
            </w:r>
          </w:p>
        </w:tc>
        <w:tc>
          <w:tcPr>
            <w:tcW w:w="990" w:type="dxa"/>
            <w:tcBorders>
              <w:top w:val="nil"/>
              <w:left w:val="nil"/>
              <w:bottom w:val="single" w:sz="4" w:space="0" w:color="auto"/>
              <w:right w:val="single" w:sz="4" w:space="0" w:color="auto"/>
            </w:tcBorders>
            <w:noWrap/>
          </w:tcPr>
          <w:p w14:paraId="6DD4F614" w14:textId="5B4A3B10" w:rsidR="00344718" w:rsidRPr="00012E78" w:rsidRDefault="00344718" w:rsidP="00344718">
            <w:pPr>
              <w:jc w:val="right"/>
              <w:rPr>
                <w:color w:val="000000"/>
                <w:sz w:val="17"/>
                <w:szCs w:val="17"/>
                <w:lang w:val="en-GB" w:eastAsia="en-CA"/>
              </w:rPr>
            </w:pPr>
            <w:r w:rsidRPr="00012E78">
              <w:rPr>
                <w:sz w:val="17"/>
                <w:szCs w:val="17"/>
              </w:rPr>
              <w:t>65,454</w:t>
            </w:r>
          </w:p>
        </w:tc>
        <w:tc>
          <w:tcPr>
            <w:tcW w:w="993" w:type="dxa"/>
            <w:tcBorders>
              <w:top w:val="nil"/>
              <w:left w:val="nil"/>
              <w:bottom w:val="single" w:sz="4" w:space="0" w:color="auto"/>
              <w:right w:val="single" w:sz="4" w:space="0" w:color="auto"/>
            </w:tcBorders>
            <w:noWrap/>
          </w:tcPr>
          <w:p w14:paraId="1DF15EF8" w14:textId="49C8B864" w:rsidR="00344718" w:rsidRPr="00012E78" w:rsidRDefault="00344718" w:rsidP="00344718">
            <w:pPr>
              <w:jc w:val="right"/>
              <w:rPr>
                <w:color w:val="000000"/>
                <w:sz w:val="17"/>
                <w:szCs w:val="17"/>
                <w:lang w:val="en-GB" w:eastAsia="en-CA"/>
              </w:rPr>
            </w:pPr>
            <w:r w:rsidRPr="00012E78">
              <w:rPr>
                <w:sz w:val="17"/>
                <w:szCs w:val="17"/>
              </w:rPr>
              <w:t>65,014</w:t>
            </w:r>
          </w:p>
        </w:tc>
        <w:tc>
          <w:tcPr>
            <w:tcW w:w="1257" w:type="dxa"/>
            <w:tcBorders>
              <w:top w:val="nil"/>
              <w:left w:val="nil"/>
              <w:bottom w:val="single" w:sz="4" w:space="0" w:color="auto"/>
              <w:right w:val="single" w:sz="4" w:space="0" w:color="auto"/>
            </w:tcBorders>
            <w:noWrap/>
          </w:tcPr>
          <w:p w14:paraId="4FD513C1" w14:textId="3456BD87" w:rsidR="00344718" w:rsidRPr="00012E78" w:rsidRDefault="00344718" w:rsidP="00344718">
            <w:pPr>
              <w:jc w:val="right"/>
              <w:rPr>
                <w:color w:val="000000"/>
                <w:sz w:val="17"/>
                <w:szCs w:val="17"/>
                <w:lang w:val="en-GB" w:eastAsia="en-CA"/>
              </w:rPr>
            </w:pPr>
            <w:r w:rsidRPr="00012E78">
              <w:rPr>
                <w:sz w:val="17"/>
                <w:szCs w:val="17"/>
              </w:rPr>
              <w:t>60,749,881</w:t>
            </w:r>
          </w:p>
        </w:tc>
      </w:tr>
      <w:tr w:rsidR="00344718" w:rsidRPr="00012E78" w14:paraId="0AC5A9FC"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570E7CE4" w14:textId="3EEC67B5" w:rsidR="00344718" w:rsidRPr="00012E78" w:rsidRDefault="00344718" w:rsidP="00344718">
            <w:pPr>
              <w:jc w:val="left"/>
              <w:rPr>
                <w:color w:val="000000"/>
                <w:sz w:val="17"/>
                <w:szCs w:val="17"/>
                <w:lang w:val="en-GB" w:eastAsia="en-CA"/>
              </w:rPr>
            </w:pPr>
            <w:r w:rsidRPr="00012E78">
              <w:rPr>
                <w:sz w:val="17"/>
                <w:szCs w:val="17"/>
              </w:rPr>
              <w:t xml:space="preserve">Other ODS </w:t>
            </w:r>
            <w:r w:rsidR="00530671">
              <w:rPr>
                <w:sz w:val="17"/>
                <w:szCs w:val="17"/>
              </w:rPr>
              <w:t>s</w:t>
            </w:r>
            <w:r w:rsidRPr="00012E78">
              <w:rPr>
                <w:sz w:val="17"/>
                <w:szCs w:val="17"/>
              </w:rPr>
              <w:t xml:space="preserve">ector </w:t>
            </w:r>
            <w:r w:rsidR="00530671">
              <w:rPr>
                <w:sz w:val="17"/>
                <w:szCs w:val="17"/>
              </w:rPr>
              <w:t>p</w:t>
            </w:r>
            <w:r w:rsidRPr="00012E78">
              <w:rPr>
                <w:sz w:val="17"/>
                <w:szCs w:val="17"/>
              </w:rPr>
              <w:t>lan</w:t>
            </w:r>
          </w:p>
        </w:tc>
        <w:tc>
          <w:tcPr>
            <w:tcW w:w="720" w:type="dxa"/>
            <w:tcBorders>
              <w:top w:val="nil"/>
              <w:left w:val="nil"/>
              <w:bottom w:val="single" w:sz="4" w:space="0" w:color="auto"/>
              <w:right w:val="single" w:sz="4" w:space="0" w:color="auto"/>
            </w:tcBorders>
            <w:noWrap/>
          </w:tcPr>
          <w:p w14:paraId="61DA093F" w14:textId="03F0D73A" w:rsidR="00344718" w:rsidRPr="00012E78" w:rsidRDefault="00344718" w:rsidP="00344718">
            <w:pPr>
              <w:jc w:val="right"/>
              <w:rPr>
                <w:color w:val="000000"/>
                <w:sz w:val="17"/>
                <w:szCs w:val="17"/>
                <w:lang w:val="en-GB" w:eastAsia="en-CA"/>
              </w:rPr>
            </w:pPr>
            <w:r w:rsidRPr="00012E78">
              <w:rPr>
                <w:sz w:val="17"/>
                <w:szCs w:val="17"/>
              </w:rPr>
              <w:t>305</w:t>
            </w:r>
          </w:p>
        </w:tc>
        <w:tc>
          <w:tcPr>
            <w:tcW w:w="1170" w:type="dxa"/>
            <w:tcBorders>
              <w:top w:val="nil"/>
              <w:left w:val="nil"/>
              <w:bottom w:val="single" w:sz="4" w:space="0" w:color="auto"/>
              <w:right w:val="single" w:sz="4" w:space="0" w:color="auto"/>
            </w:tcBorders>
            <w:noWrap/>
          </w:tcPr>
          <w:p w14:paraId="04A1AE9A" w14:textId="497D7428" w:rsidR="00344718" w:rsidRPr="00012E78" w:rsidRDefault="00344718" w:rsidP="00344718">
            <w:pPr>
              <w:jc w:val="right"/>
              <w:rPr>
                <w:color w:val="000000"/>
                <w:sz w:val="17"/>
                <w:szCs w:val="17"/>
                <w:lang w:val="en-GB" w:eastAsia="en-CA"/>
              </w:rPr>
            </w:pPr>
            <w:r w:rsidRPr="00012E78">
              <w:rPr>
                <w:sz w:val="17"/>
                <w:szCs w:val="17"/>
              </w:rPr>
              <w:t>76,640</w:t>
            </w:r>
          </w:p>
        </w:tc>
        <w:tc>
          <w:tcPr>
            <w:tcW w:w="1134" w:type="dxa"/>
            <w:tcBorders>
              <w:top w:val="nil"/>
              <w:left w:val="nil"/>
              <w:bottom w:val="single" w:sz="4" w:space="0" w:color="auto"/>
              <w:right w:val="single" w:sz="4" w:space="0" w:color="auto"/>
            </w:tcBorders>
            <w:noWrap/>
          </w:tcPr>
          <w:p w14:paraId="49B3EEF6" w14:textId="6CDE0330" w:rsidR="00344718" w:rsidRPr="00012E78" w:rsidRDefault="00344718" w:rsidP="00344718">
            <w:pPr>
              <w:jc w:val="right"/>
              <w:rPr>
                <w:color w:val="000000"/>
                <w:sz w:val="17"/>
                <w:szCs w:val="17"/>
                <w:lang w:val="en-GB" w:eastAsia="en-CA"/>
              </w:rPr>
            </w:pPr>
            <w:r w:rsidRPr="00012E78">
              <w:rPr>
                <w:sz w:val="17"/>
                <w:szCs w:val="17"/>
              </w:rPr>
              <w:t>101,499</w:t>
            </w:r>
          </w:p>
        </w:tc>
        <w:tc>
          <w:tcPr>
            <w:tcW w:w="1134" w:type="dxa"/>
            <w:tcBorders>
              <w:top w:val="nil"/>
              <w:left w:val="nil"/>
              <w:bottom w:val="single" w:sz="4" w:space="0" w:color="auto"/>
              <w:right w:val="single" w:sz="4" w:space="0" w:color="auto"/>
            </w:tcBorders>
            <w:noWrap/>
          </w:tcPr>
          <w:p w14:paraId="16E322DE" w14:textId="1C2D2E6B" w:rsidR="00344718" w:rsidRPr="00012E78" w:rsidRDefault="00344718" w:rsidP="00344718">
            <w:pPr>
              <w:jc w:val="right"/>
              <w:rPr>
                <w:color w:val="000000"/>
                <w:sz w:val="17"/>
                <w:szCs w:val="17"/>
                <w:lang w:val="en-GB" w:eastAsia="en-CA"/>
              </w:rPr>
            </w:pPr>
            <w:r w:rsidRPr="00012E78">
              <w:rPr>
                <w:sz w:val="17"/>
                <w:szCs w:val="17"/>
              </w:rPr>
              <w:t>0</w:t>
            </w:r>
          </w:p>
        </w:tc>
        <w:tc>
          <w:tcPr>
            <w:tcW w:w="1152" w:type="dxa"/>
            <w:tcBorders>
              <w:top w:val="nil"/>
              <w:left w:val="nil"/>
              <w:bottom w:val="single" w:sz="4" w:space="0" w:color="auto"/>
              <w:right w:val="single" w:sz="4" w:space="0" w:color="auto"/>
            </w:tcBorders>
            <w:noWrap/>
          </w:tcPr>
          <w:p w14:paraId="22BD6DC6" w14:textId="0C5A7A98" w:rsidR="00344718" w:rsidRPr="00012E78" w:rsidRDefault="00344718" w:rsidP="00344718">
            <w:pPr>
              <w:jc w:val="right"/>
              <w:rPr>
                <w:color w:val="000000"/>
                <w:sz w:val="17"/>
                <w:szCs w:val="17"/>
                <w:lang w:val="en-GB" w:eastAsia="en-CA"/>
              </w:rPr>
            </w:pPr>
            <w:r w:rsidRPr="00012E78">
              <w:rPr>
                <w:sz w:val="17"/>
                <w:szCs w:val="17"/>
              </w:rPr>
              <w:t>0</w:t>
            </w:r>
          </w:p>
        </w:tc>
        <w:tc>
          <w:tcPr>
            <w:tcW w:w="990" w:type="dxa"/>
            <w:tcBorders>
              <w:top w:val="nil"/>
              <w:left w:val="nil"/>
              <w:bottom w:val="single" w:sz="4" w:space="0" w:color="auto"/>
              <w:right w:val="single" w:sz="4" w:space="0" w:color="auto"/>
            </w:tcBorders>
            <w:noWrap/>
          </w:tcPr>
          <w:p w14:paraId="58291793" w14:textId="061DC3C8" w:rsidR="00344718" w:rsidRPr="00012E78" w:rsidRDefault="00344718" w:rsidP="00344718">
            <w:pPr>
              <w:jc w:val="right"/>
              <w:rPr>
                <w:color w:val="000000"/>
                <w:sz w:val="17"/>
                <w:szCs w:val="17"/>
                <w:lang w:val="en-GB" w:eastAsia="en-CA"/>
              </w:rPr>
            </w:pPr>
            <w:r w:rsidRPr="00012E78">
              <w:rPr>
                <w:sz w:val="17"/>
                <w:szCs w:val="17"/>
              </w:rPr>
              <w:t>33,173</w:t>
            </w:r>
          </w:p>
        </w:tc>
        <w:tc>
          <w:tcPr>
            <w:tcW w:w="993" w:type="dxa"/>
            <w:tcBorders>
              <w:top w:val="nil"/>
              <w:left w:val="nil"/>
              <w:bottom w:val="single" w:sz="4" w:space="0" w:color="auto"/>
              <w:right w:val="single" w:sz="4" w:space="0" w:color="auto"/>
            </w:tcBorders>
            <w:noWrap/>
          </w:tcPr>
          <w:p w14:paraId="3B7A49A7" w14:textId="3EEC89BA" w:rsidR="00344718" w:rsidRPr="00012E78" w:rsidRDefault="00344718" w:rsidP="00344718">
            <w:pPr>
              <w:jc w:val="right"/>
              <w:rPr>
                <w:color w:val="000000"/>
                <w:sz w:val="17"/>
                <w:szCs w:val="17"/>
                <w:lang w:val="en-GB" w:eastAsia="en-CA"/>
              </w:rPr>
            </w:pPr>
            <w:r w:rsidRPr="00012E78">
              <w:rPr>
                <w:sz w:val="17"/>
                <w:szCs w:val="17"/>
              </w:rPr>
              <w:t>33,173</w:t>
            </w:r>
          </w:p>
        </w:tc>
        <w:tc>
          <w:tcPr>
            <w:tcW w:w="1257" w:type="dxa"/>
            <w:tcBorders>
              <w:top w:val="nil"/>
              <w:left w:val="nil"/>
              <w:bottom w:val="single" w:sz="4" w:space="0" w:color="auto"/>
              <w:right w:val="single" w:sz="4" w:space="0" w:color="auto"/>
            </w:tcBorders>
            <w:noWrap/>
          </w:tcPr>
          <w:p w14:paraId="5D68710B" w14:textId="136C75A5" w:rsidR="00344718" w:rsidRPr="00012E78" w:rsidRDefault="00344718" w:rsidP="00344718">
            <w:pPr>
              <w:jc w:val="right"/>
              <w:rPr>
                <w:color w:val="000000"/>
                <w:sz w:val="17"/>
                <w:szCs w:val="17"/>
                <w:lang w:val="en-GB" w:eastAsia="en-CA"/>
              </w:rPr>
            </w:pPr>
            <w:r w:rsidRPr="00012E78">
              <w:rPr>
                <w:sz w:val="17"/>
                <w:szCs w:val="17"/>
              </w:rPr>
              <w:t>438,085,194</w:t>
            </w:r>
          </w:p>
        </w:tc>
      </w:tr>
      <w:tr w:rsidR="00344718" w:rsidRPr="00012E78" w14:paraId="2FED8B6B" w14:textId="77777777" w:rsidTr="00324979">
        <w:trPr>
          <w:trHeight w:val="44"/>
        </w:trPr>
        <w:tc>
          <w:tcPr>
            <w:tcW w:w="1530" w:type="dxa"/>
            <w:tcBorders>
              <w:top w:val="nil"/>
              <w:left w:val="single" w:sz="4" w:space="0" w:color="auto"/>
              <w:bottom w:val="single" w:sz="4" w:space="0" w:color="auto"/>
              <w:right w:val="single" w:sz="4" w:space="0" w:color="auto"/>
            </w:tcBorders>
            <w:noWrap/>
          </w:tcPr>
          <w:p w14:paraId="5C16ED1B" w14:textId="2EF97BE5" w:rsidR="00344718" w:rsidRPr="00012E78" w:rsidRDefault="00344718" w:rsidP="00344718">
            <w:pPr>
              <w:jc w:val="left"/>
              <w:rPr>
                <w:b/>
                <w:bCs/>
                <w:color w:val="000000"/>
                <w:sz w:val="17"/>
                <w:szCs w:val="17"/>
                <w:lang w:val="en-GB" w:eastAsia="en-CA"/>
              </w:rPr>
            </w:pPr>
            <w:r w:rsidRPr="00012E78">
              <w:rPr>
                <w:b/>
                <w:bCs/>
                <w:sz w:val="17"/>
                <w:szCs w:val="17"/>
              </w:rPr>
              <w:t xml:space="preserve">Grand </w:t>
            </w:r>
            <w:r w:rsidR="00530671">
              <w:rPr>
                <w:b/>
                <w:bCs/>
                <w:sz w:val="17"/>
                <w:szCs w:val="17"/>
              </w:rPr>
              <w:t>t</w:t>
            </w:r>
            <w:r w:rsidRPr="00012E78">
              <w:rPr>
                <w:b/>
                <w:bCs/>
                <w:sz w:val="17"/>
                <w:szCs w:val="17"/>
              </w:rPr>
              <w:t>otal</w:t>
            </w:r>
          </w:p>
        </w:tc>
        <w:tc>
          <w:tcPr>
            <w:tcW w:w="720" w:type="dxa"/>
            <w:tcBorders>
              <w:top w:val="nil"/>
              <w:left w:val="nil"/>
              <w:bottom w:val="single" w:sz="4" w:space="0" w:color="auto"/>
              <w:right w:val="single" w:sz="4" w:space="0" w:color="auto"/>
            </w:tcBorders>
            <w:noWrap/>
          </w:tcPr>
          <w:p w14:paraId="7693065D" w14:textId="267FED1C" w:rsidR="00344718" w:rsidRPr="00012E78" w:rsidRDefault="00344718" w:rsidP="00344718">
            <w:pPr>
              <w:jc w:val="right"/>
              <w:rPr>
                <w:b/>
                <w:bCs/>
                <w:color w:val="000000"/>
                <w:sz w:val="17"/>
                <w:szCs w:val="17"/>
                <w:lang w:val="en-GB" w:eastAsia="en-CA"/>
              </w:rPr>
            </w:pPr>
            <w:r w:rsidRPr="00012E78">
              <w:rPr>
                <w:b/>
                <w:bCs/>
                <w:sz w:val="17"/>
                <w:szCs w:val="17"/>
              </w:rPr>
              <w:t>10,584</w:t>
            </w:r>
          </w:p>
        </w:tc>
        <w:tc>
          <w:tcPr>
            <w:tcW w:w="1170" w:type="dxa"/>
            <w:tcBorders>
              <w:top w:val="nil"/>
              <w:left w:val="nil"/>
              <w:bottom w:val="single" w:sz="4" w:space="0" w:color="auto"/>
              <w:right w:val="single" w:sz="4" w:space="0" w:color="auto"/>
            </w:tcBorders>
            <w:noWrap/>
          </w:tcPr>
          <w:p w14:paraId="01680AA9" w14:textId="14B813EE" w:rsidR="00344718" w:rsidRPr="00012E78" w:rsidRDefault="00344718" w:rsidP="00344718">
            <w:pPr>
              <w:jc w:val="right"/>
              <w:rPr>
                <w:b/>
                <w:bCs/>
                <w:color w:val="000000"/>
                <w:sz w:val="17"/>
                <w:szCs w:val="17"/>
                <w:lang w:val="en-GB" w:eastAsia="en-CA"/>
              </w:rPr>
            </w:pPr>
            <w:r w:rsidRPr="00012E78">
              <w:rPr>
                <w:b/>
                <w:bCs/>
                <w:sz w:val="17"/>
                <w:szCs w:val="17"/>
              </w:rPr>
              <w:t>290,318</w:t>
            </w:r>
          </w:p>
        </w:tc>
        <w:tc>
          <w:tcPr>
            <w:tcW w:w="1134" w:type="dxa"/>
            <w:tcBorders>
              <w:top w:val="nil"/>
              <w:left w:val="nil"/>
              <w:bottom w:val="single" w:sz="4" w:space="0" w:color="auto"/>
              <w:right w:val="single" w:sz="4" w:space="0" w:color="auto"/>
            </w:tcBorders>
            <w:noWrap/>
          </w:tcPr>
          <w:p w14:paraId="0F6DA607" w14:textId="74E1533F" w:rsidR="00344718" w:rsidRPr="00012E78" w:rsidRDefault="00344718" w:rsidP="00344718">
            <w:pPr>
              <w:jc w:val="right"/>
              <w:rPr>
                <w:b/>
                <w:bCs/>
                <w:color w:val="000000"/>
                <w:sz w:val="17"/>
                <w:szCs w:val="17"/>
                <w:lang w:val="en-GB" w:eastAsia="en-CA"/>
              </w:rPr>
            </w:pPr>
            <w:r w:rsidRPr="00012E78">
              <w:rPr>
                <w:b/>
                <w:bCs/>
                <w:sz w:val="17"/>
                <w:szCs w:val="17"/>
              </w:rPr>
              <w:t>310,509</w:t>
            </w:r>
          </w:p>
        </w:tc>
        <w:tc>
          <w:tcPr>
            <w:tcW w:w="1134" w:type="dxa"/>
            <w:tcBorders>
              <w:top w:val="nil"/>
              <w:left w:val="nil"/>
              <w:bottom w:val="single" w:sz="4" w:space="0" w:color="auto"/>
              <w:right w:val="single" w:sz="4" w:space="0" w:color="auto"/>
            </w:tcBorders>
            <w:noWrap/>
          </w:tcPr>
          <w:p w14:paraId="7C870999" w14:textId="0343842A" w:rsidR="00344718" w:rsidRPr="00012E78" w:rsidRDefault="00344718" w:rsidP="00344718">
            <w:pPr>
              <w:jc w:val="right"/>
              <w:rPr>
                <w:b/>
                <w:bCs/>
                <w:color w:val="000000"/>
                <w:sz w:val="17"/>
                <w:szCs w:val="17"/>
                <w:lang w:val="en-GB" w:eastAsia="en-CA"/>
              </w:rPr>
            </w:pPr>
            <w:r w:rsidRPr="00012E78">
              <w:rPr>
                <w:b/>
                <w:bCs/>
                <w:sz w:val="17"/>
                <w:szCs w:val="17"/>
              </w:rPr>
              <w:t>19,702</w:t>
            </w:r>
          </w:p>
        </w:tc>
        <w:tc>
          <w:tcPr>
            <w:tcW w:w="1152" w:type="dxa"/>
            <w:tcBorders>
              <w:top w:val="nil"/>
              <w:left w:val="nil"/>
              <w:bottom w:val="single" w:sz="4" w:space="0" w:color="auto"/>
              <w:right w:val="single" w:sz="4" w:space="0" w:color="auto"/>
            </w:tcBorders>
            <w:noWrap/>
          </w:tcPr>
          <w:p w14:paraId="63881A9E" w14:textId="5031DE81" w:rsidR="00344718" w:rsidRPr="00012E78" w:rsidRDefault="00344718" w:rsidP="00344718">
            <w:pPr>
              <w:jc w:val="right"/>
              <w:rPr>
                <w:b/>
                <w:bCs/>
                <w:color w:val="000000"/>
                <w:sz w:val="17"/>
                <w:szCs w:val="17"/>
                <w:lang w:val="en-GB" w:eastAsia="en-CA"/>
              </w:rPr>
            </w:pPr>
            <w:r w:rsidRPr="00012E78">
              <w:rPr>
                <w:b/>
                <w:bCs/>
                <w:sz w:val="17"/>
                <w:szCs w:val="17"/>
              </w:rPr>
              <w:t>1,086</w:t>
            </w:r>
          </w:p>
        </w:tc>
        <w:tc>
          <w:tcPr>
            <w:tcW w:w="990" w:type="dxa"/>
            <w:tcBorders>
              <w:top w:val="nil"/>
              <w:left w:val="nil"/>
              <w:bottom w:val="single" w:sz="4" w:space="0" w:color="auto"/>
              <w:right w:val="single" w:sz="4" w:space="0" w:color="auto"/>
            </w:tcBorders>
            <w:noWrap/>
          </w:tcPr>
          <w:p w14:paraId="77721482" w14:textId="2431CAE4" w:rsidR="00344718" w:rsidRPr="00012E78" w:rsidRDefault="00344718" w:rsidP="00344718">
            <w:pPr>
              <w:jc w:val="right"/>
              <w:rPr>
                <w:b/>
                <w:bCs/>
                <w:color w:val="000000"/>
                <w:sz w:val="17"/>
                <w:szCs w:val="17"/>
                <w:lang w:val="en-GB" w:eastAsia="en-CA"/>
              </w:rPr>
            </w:pPr>
            <w:r w:rsidRPr="00012E78">
              <w:rPr>
                <w:b/>
                <w:bCs/>
                <w:sz w:val="17"/>
                <w:szCs w:val="17"/>
              </w:rPr>
              <w:t>199,557</w:t>
            </w:r>
          </w:p>
        </w:tc>
        <w:tc>
          <w:tcPr>
            <w:tcW w:w="993" w:type="dxa"/>
            <w:tcBorders>
              <w:top w:val="nil"/>
              <w:left w:val="nil"/>
              <w:bottom w:val="single" w:sz="4" w:space="0" w:color="auto"/>
              <w:right w:val="single" w:sz="4" w:space="0" w:color="auto"/>
            </w:tcBorders>
            <w:noWrap/>
          </w:tcPr>
          <w:p w14:paraId="6E89BBC1" w14:textId="25415702" w:rsidR="00344718" w:rsidRPr="00012E78" w:rsidRDefault="00344718" w:rsidP="00344718">
            <w:pPr>
              <w:jc w:val="right"/>
              <w:rPr>
                <w:b/>
                <w:bCs/>
                <w:color w:val="000000"/>
                <w:sz w:val="17"/>
                <w:szCs w:val="17"/>
                <w:lang w:val="en-GB" w:eastAsia="en-CA"/>
              </w:rPr>
            </w:pPr>
            <w:r w:rsidRPr="00012E78">
              <w:rPr>
                <w:b/>
                <w:bCs/>
                <w:sz w:val="17"/>
                <w:szCs w:val="17"/>
              </w:rPr>
              <w:t>199,585</w:t>
            </w:r>
          </w:p>
        </w:tc>
        <w:tc>
          <w:tcPr>
            <w:tcW w:w="1257" w:type="dxa"/>
            <w:tcBorders>
              <w:top w:val="nil"/>
              <w:left w:val="nil"/>
              <w:bottom w:val="single" w:sz="4" w:space="0" w:color="auto"/>
              <w:right w:val="single" w:sz="4" w:space="0" w:color="auto"/>
            </w:tcBorders>
            <w:noWrap/>
          </w:tcPr>
          <w:p w14:paraId="34F4D71F" w14:textId="56B3BAD2" w:rsidR="00344718" w:rsidRPr="00012E78" w:rsidRDefault="00344718" w:rsidP="00344718">
            <w:pPr>
              <w:jc w:val="right"/>
              <w:rPr>
                <w:b/>
                <w:bCs/>
                <w:color w:val="000000"/>
                <w:sz w:val="17"/>
                <w:szCs w:val="17"/>
                <w:lang w:val="en-GB" w:eastAsia="en-CA"/>
              </w:rPr>
            </w:pPr>
            <w:r w:rsidRPr="00012E78">
              <w:rPr>
                <w:b/>
                <w:bCs/>
                <w:sz w:val="17"/>
                <w:szCs w:val="17"/>
              </w:rPr>
              <w:t>4,489,718,894</w:t>
            </w:r>
          </w:p>
        </w:tc>
      </w:tr>
    </w:tbl>
    <w:p w14:paraId="15B48C53" w14:textId="77777777" w:rsidR="00FF2809" w:rsidRPr="00012E78" w:rsidRDefault="00FF2809" w:rsidP="00A04779">
      <w:pPr>
        <w:ind w:left="1276" w:hanging="1366"/>
        <w:rPr>
          <w:sz w:val="17"/>
          <w:szCs w:val="17"/>
          <w:lang w:val="en-GB"/>
        </w:rPr>
      </w:pPr>
      <w:r w:rsidRPr="00012E78">
        <w:rPr>
          <w:sz w:val="17"/>
          <w:szCs w:val="17"/>
          <w:lang w:val="en-GB"/>
        </w:rPr>
        <w:t>* Excluding cancelled and transferred projects and including agency support costs, where applicable.</w:t>
      </w:r>
    </w:p>
    <w:p w14:paraId="4A780E04" w14:textId="0C443E8F" w:rsidR="00FF2809" w:rsidRPr="00012E78" w:rsidRDefault="00FF2809" w:rsidP="00A04779">
      <w:pPr>
        <w:ind w:left="1276" w:right="-450" w:hanging="1366"/>
        <w:rPr>
          <w:sz w:val="17"/>
          <w:szCs w:val="17"/>
          <w:lang w:val="en-GB"/>
        </w:rPr>
      </w:pPr>
      <w:r w:rsidRPr="00012E78">
        <w:rPr>
          <w:sz w:val="17"/>
          <w:szCs w:val="17"/>
          <w:lang w:val="en-GB"/>
        </w:rPr>
        <w:t>** </w:t>
      </w:r>
      <w:r w:rsidR="00844641" w:rsidRPr="00012E78">
        <w:rPr>
          <w:sz w:val="17"/>
          <w:szCs w:val="17"/>
          <w:lang w:val="en-GB"/>
        </w:rPr>
        <w:t>37,778,524</w:t>
      </w:r>
      <w:r w:rsidRPr="00012E78">
        <w:rPr>
          <w:sz w:val="17"/>
          <w:szCs w:val="17"/>
          <w:lang w:val="en-GB"/>
        </w:rPr>
        <w:t xml:space="preserve"> carbon dioxide-equivalent tonnes approved for phase-down and </w:t>
      </w:r>
      <w:r w:rsidR="00D969AA" w:rsidRPr="00012E78">
        <w:rPr>
          <w:sz w:val="17"/>
          <w:szCs w:val="17"/>
          <w:lang w:val="en-GB"/>
        </w:rPr>
        <w:t>1,606,380</w:t>
      </w:r>
      <w:r w:rsidRPr="00012E78">
        <w:rPr>
          <w:sz w:val="17"/>
          <w:szCs w:val="17"/>
          <w:lang w:val="en-GB"/>
        </w:rPr>
        <w:t> carbon dioxide-equivalent tonnes phased down.</w:t>
      </w:r>
    </w:p>
    <w:p w14:paraId="7ABE7C54" w14:textId="77777777" w:rsidR="00FF2809" w:rsidRPr="00012E78" w:rsidRDefault="00FF2809" w:rsidP="00FF2809">
      <w:pPr>
        <w:ind w:left="1276"/>
        <w:rPr>
          <w:sz w:val="20"/>
          <w:szCs w:val="20"/>
          <w:lang w:val="en-GB"/>
        </w:rPr>
      </w:pPr>
    </w:p>
    <w:p w14:paraId="69FC4171" w14:textId="236509D5" w:rsidR="00CA1473" w:rsidRPr="00012E78" w:rsidRDefault="00CA1473" w:rsidP="003D2367">
      <w:pPr>
        <w:pStyle w:val="Heading3"/>
        <w:numPr>
          <w:ilvl w:val="2"/>
          <w:numId w:val="16"/>
        </w:numPr>
        <w:ind w:left="1276" w:firstLine="0"/>
        <w:rPr>
          <w:sz w:val="20"/>
          <w:szCs w:val="20"/>
          <w:lang w:val="en-GB"/>
        </w:rPr>
      </w:pPr>
      <w:r w:rsidRPr="00012E78">
        <w:rPr>
          <w:sz w:val="20"/>
          <w:szCs w:val="20"/>
          <w:lang w:val="en-GB"/>
        </w:rPr>
        <w:t>The total funding approved by the Executive Committee since 1991 to achieve ODS phase</w:t>
      </w:r>
      <w:r w:rsidRPr="00012E78">
        <w:rPr>
          <w:sz w:val="20"/>
          <w:szCs w:val="20"/>
          <w:lang w:val="en-GB"/>
        </w:rPr>
        <w:noBreakHyphen/>
        <w:t>out and HFC phase-down amounts to US $</w:t>
      </w:r>
      <w:r w:rsidR="00DD37D5" w:rsidRPr="00012E78">
        <w:rPr>
          <w:sz w:val="20"/>
          <w:szCs w:val="20"/>
          <w:lang w:val="en-GB"/>
        </w:rPr>
        <w:t>4,489,718,894</w:t>
      </w:r>
      <w:r w:rsidRPr="00012E78">
        <w:rPr>
          <w:sz w:val="20"/>
          <w:szCs w:val="20"/>
          <w:lang w:val="en-GB"/>
        </w:rPr>
        <w:t>, including US $</w:t>
      </w:r>
      <w:r w:rsidR="00DD37D5" w:rsidRPr="00012E78">
        <w:rPr>
          <w:sz w:val="20"/>
          <w:szCs w:val="20"/>
          <w:lang w:val="en-GB"/>
        </w:rPr>
        <w:t>470,639,717</w:t>
      </w:r>
      <w:r w:rsidRPr="00012E78">
        <w:rPr>
          <w:sz w:val="20"/>
          <w:szCs w:val="20"/>
          <w:lang w:val="en-GB"/>
        </w:rPr>
        <w:t xml:space="preserve"> in agency support costs (excluding cancelled and transferred projects). Of the total project funds approved, the amounts allocated to, and disbursed by, the bilateral agencies and each of the implementing agencies, are shown in table 3 below.</w:t>
      </w:r>
    </w:p>
    <w:p w14:paraId="412A28C0" w14:textId="7719EAC0" w:rsidR="00FF2809" w:rsidRPr="00012E78" w:rsidRDefault="003D2367" w:rsidP="00FF2809">
      <w:pPr>
        <w:keepNext/>
        <w:ind w:left="709" w:firstLine="539"/>
        <w:rPr>
          <w:sz w:val="20"/>
          <w:szCs w:val="20"/>
          <w:lang w:val="en-GB"/>
        </w:rPr>
      </w:pPr>
      <w:r w:rsidRPr="00012E78">
        <w:rPr>
          <w:sz w:val="20"/>
          <w:szCs w:val="20"/>
          <w:lang w:val="en-GB"/>
        </w:rPr>
        <w:t>Table 3</w:t>
      </w:r>
    </w:p>
    <w:p w14:paraId="096A2EF0" w14:textId="77777777" w:rsidR="00FF2809" w:rsidRPr="00012E78" w:rsidRDefault="00FF2809" w:rsidP="00FF2809">
      <w:pPr>
        <w:keepNext/>
        <w:ind w:left="709" w:firstLine="539"/>
        <w:rPr>
          <w:b/>
          <w:bCs/>
          <w:sz w:val="20"/>
          <w:szCs w:val="20"/>
          <w:lang w:val="en-GB"/>
        </w:rPr>
      </w:pPr>
      <w:r w:rsidRPr="00012E78">
        <w:rPr>
          <w:b/>
          <w:bCs/>
          <w:sz w:val="20"/>
          <w:szCs w:val="20"/>
          <w:lang w:val="en-GB"/>
        </w:rPr>
        <w:t>Funds approved and disbursed by agency since inception of the Multilateral Fund</w:t>
      </w:r>
    </w:p>
    <w:tbl>
      <w:tblPr>
        <w:tblW w:w="4321" w:type="pct"/>
        <w:tblInd w:w="1271" w:type="dxa"/>
        <w:tblLayout w:type="fixed"/>
        <w:tblLook w:val="04A0" w:firstRow="1" w:lastRow="0" w:firstColumn="1" w:lastColumn="0" w:noHBand="0" w:noVBand="1"/>
      </w:tblPr>
      <w:tblGrid>
        <w:gridCol w:w="1620"/>
        <w:gridCol w:w="1926"/>
        <w:gridCol w:w="2267"/>
        <w:gridCol w:w="2267"/>
      </w:tblGrid>
      <w:tr w:rsidR="009A0A67" w:rsidRPr="00012E78" w14:paraId="007D1CB5" w14:textId="77777777" w:rsidTr="00A55F03">
        <w:trPr>
          <w:trHeight w:val="292"/>
        </w:trPr>
        <w:tc>
          <w:tcPr>
            <w:tcW w:w="1002" w:type="pct"/>
            <w:tcBorders>
              <w:top w:val="single" w:sz="4" w:space="0" w:color="auto"/>
              <w:left w:val="single" w:sz="4" w:space="0" w:color="auto"/>
              <w:bottom w:val="single" w:sz="4" w:space="0" w:color="auto"/>
              <w:right w:val="single" w:sz="4" w:space="0" w:color="auto"/>
            </w:tcBorders>
            <w:noWrap/>
            <w:hideMark/>
          </w:tcPr>
          <w:p w14:paraId="499750DA" w14:textId="77777777" w:rsidR="00FF2809" w:rsidRPr="00012E78" w:rsidRDefault="00FF2809" w:rsidP="005D7E27">
            <w:pPr>
              <w:keepNext/>
              <w:jc w:val="left"/>
              <w:rPr>
                <w:b/>
                <w:bCs/>
                <w:color w:val="000000"/>
                <w:sz w:val="20"/>
                <w:szCs w:val="20"/>
                <w:lang w:val="en-GB" w:eastAsia="zh-CN"/>
              </w:rPr>
            </w:pPr>
            <w:r w:rsidRPr="00012E78">
              <w:rPr>
                <w:b/>
                <w:bCs/>
                <w:color w:val="000000"/>
                <w:sz w:val="20"/>
                <w:szCs w:val="20"/>
                <w:lang w:val="en-GB" w:eastAsia="zh-CN"/>
              </w:rPr>
              <w:t>Agency</w:t>
            </w:r>
          </w:p>
        </w:tc>
        <w:tc>
          <w:tcPr>
            <w:tcW w:w="1192" w:type="pct"/>
            <w:tcBorders>
              <w:top w:val="single" w:sz="4" w:space="0" w:color="auto"/>
              <w:left w:val="nil"/>
              <w:bottom w:val="single" w:sz="4" w:space="0" w:color="auto"/>
              <w:right w:val="single" w:sz="4" w:space="0" w:color="auto"/>
            </w:tcBorders>
            <w:noWrap/>
            <w:hideMark/>
          </w:tcPr>
          <w:p w14:paraId="5520B317" w14:textId="77777777" w:rsidR="00AE6018" w:rsidRPr="00012E78" w:rsidRDefault="00FF2809" w:rsidP="005D7E27">
            <w:pPr>
              <w:keepNext/>
              <w:jc w:val="center"/>
              <w:rPr>
                <w:b/>
                <w:bCs/>
                <w:color w:val="000000"/>
                <w:sz w:val="20"/>
                <w:szCs w:val="20"/>
                <w:lang w:val="en-GB" w:eastAsia="zh-CN"/>
              </w:rPr>
            </w:pPr>
            <w:r w:rsidRPr="00012E78">
              <w:rPr>
                <w:b/>
                <w:bCs/>
                <w:color w:val="000000"/>
                <w:sz w:val="20"/>
                <w:szCs w:val="20"/>
                <w:lang w:val="en-GB" w:eastAsia="zh-CN"/>
              </w:rPr>
              <w:t xml:space="preserve">Funds approved* </w:t>
            </w:r>
          </w:p>
          <w:p w14:paraId="4D05A6B8" w14:textId="54B8EB1E" w:rsidR="00FF2809" w:rsidRPr="00012E78" w:rsidRDefault="00FF2809" w:rsidP="005D7E27">
            <w:pPr>
              <w:keepNext/>
              <w:jc w:val="center"/>
              <w:rPr>
                <w:b/>
                <w:bCs/>
                <w:color w:val="000000"/>
                <w:sz w:val="20"/>
                <w:szCs w:val="20"/>
                <w:lang w:val="en-GB" w:eastAsia="zh-CN"/>
              </w:rPr>
            </w:pPr>
            <w:r w:rsidRPr="00012E78">
              <w:rPr>
                <w:b/>
                <w:bCs/>
                <w:color w:val="000000"/>
                <w:sz w:val="20"/>
                <w:szCs w:val="20"/>
                <w:lang w:val="en-GB" w:eastAsia="zh-CN"/>
              </w:rPr>
              <w:t>(US $)</w:t>
            </w:r>
          </w:p>
        </w:tc>
        <w:tc>
          <w:tcPr>
            <w:tcW w:w="1403" w:type="pct"/>
            <w:tcBorders>
              <w:top w:val="single" w:sz="4" w:space="0" w:color="auto"/>
              <w:left w:val="nil"/>
              <w:bottom w:val="single" w:sz="4" w:space="0" w:color="auto"/>
              <w:right w:val="single" w:sz="4" w:space="0" w:color="auto"/>
            </w:tcBorders>
            <w:hideMark/>
          </w:tcPr>
          <w:p w14:paraId="6CD9AD6B" w14:textId="77777777" w:rsidR="00FF2809" w:rsidRPr="00012E78" w:rsidRDefault="00FF2809" w:rsidP="005D7E27">
            <w:pPr>
              <w:keepNext/>
              <w:jc w:val="center"/>
              <w:rPr>
                <w:b/>
                <w:bCs/>
                <w:color w:val="000000"/>
                <w:sz w:val="20"/>
                <w:szCs w:val="20"/>
                <w:lang w:val="en-GB" w:eastAsia="zh-CN"/>
              </w:rPr>
            </w:pPr>
            <w:r w:rsidRPr="00012E78">
              <w:rPr>
                <w:b/>
                <w:bCs/>
                <w:color w:val="000000"/>
                <w:sz w:val="20"/>
                <w:szCs w:val="20"/>
                <w:lang w:val="en-GB" w:eastAsia="zh-CN"/>
              </w:rPr>
              <w:t>Agency support costs* (US $)</w:t>
            </w:r>
          </w:p>
        </w:tc>
        <w:tc>
          <w:tcPr>
            <w:tcW w:w="1403" w:type="pct"/>
            <w:tcBorders>
              <w:top w:val="single" w:sz="4" w:space="0" w:color="auto"/>
              <w:left w:val="nil"/>
              <w:bottom w:val="single" w:sz="4" w:space="0" w:color="auto"/>
              <w:right w:val="single" w:sz="4" w:space="0" w:color="auto"/>
            </w:tcBorders>
            <w:noWrap/>
            <w:hideMark/>
          </w:tcPr>
          <w:p w14:paraId="75DED422" w14:textId="77777777" w:rsidR="00FF2809" w:rsidRPr="00012E78" w:rsidRDefault="00FF2809" w:rsidP="005D7E27">
            <w:pPr>
              <w:keepNext/>
              <w:jc w:val="center"/>
              <w:rPr>
                <w:b/>
                <w:bCs/>
                <w:color w:val="000000"/>
                <w:sz w:val="20"/>
                <w:szCs w:val="20"/>
                <w:lang w:val="en-GB" w:eastAsia="zh-CN"/>
              </w:rPr>
            </w:pPr>
            <w:r w:rsidRPr="00012E78">
              <w:rPr>
                <w:b/>
                <w:bCs/>
                <w:color w:val="000000"/>
                <w:sz w:val="20"/>
                <w:szCs w:val="20"/>
                <w:lang w:val="en-GB" w:eastAsia="zh-CN"/>
              </w:rPr>
              <w:t>Funds disbursed** (US $)</w:t>
            </w:r>
          </w:p>
        </w:tc>
      </w:tr>
      <w:tr w:rsidR="004F4AEB" w:rsidRPr="00012E78" w14:paraId="282E52EC" w14:textId="77777777" w:rsidTr="005D7E27">
        <w:trPr>
          <w:trHeight w:val="80"/>
        </w:trPr>
        <w:tc>
          <w:tcPr>
            <w:tcW w:w="1002" w:type="pct"/>
            <w:tcBorders>
              <w:top w:val="nil"/>
              <w:left w:val="single" w:sz="4" w:space="0" w:color="auto"/>
              <w:bottom w:val="single" w:sz="4" w:space="0" w:color="auto"/>
              <w:right w:val="single" w:sz="4" w:space="0" w:color="auto"/>
            </w:tcBorders>
            <w:noWrap/>
            <w:vAlign w:val="bottom"/>
            <w:hideMark/>
          </w:tcPr>
          <w:p w14:paraId="5AC30513" w14:textId="62E57620" w:rsidR="004F4AEB" w:rsidRPr="00012E78" w:rsidRDefault="004F4AEB" w:rsidP="004F4AEB">
            <w:pPr>
              <w:keepNext/>
              <w:jc w:val="left"/>
              <w:rPr>
                <w:color w:val="000000"/>
                <w:sz w:val="20"/>
                <w:szCs w:val="20"/>
                <w:lang w:val="en-GB" w:eastAsia="zh-CN"/>
              </w:rPr>
            </w:pPr>
            <w:r w:rsidRPr="00012E78">
              <w:rPr>
                <w:color w:val="000000"/>
                <w:sz w:val="20"/>
                <w:szCs w:val="20"/>
              </w:rPr>
              <w:t>Bilateral</w:t>
            </w:r>
          </w:p>
        </w:tc>
        <w:tc>
          <w:tcPr>
            <w:tcW w:w="1192" w:type="pct"/>
            <w:tcBorders>
              <w:top w:val="nil"/>
              <w:left w:val="nil"/>
              <w:bottom w:val="single" w:sz="4" w:space="0" w:color="auto"/>
              <w:right w:val="single" w:sz="4" w:space="0" w:color="auto"/>
            </w:tcBorders>
            <w:noWrap/>
            <w:vAlign w:val="bottom"/>
            <w:hideMark/>
          </w:tcPr>
          <w:p w14:paraId="06A68206" w14:textId="28BA4D7B" w:rsidR="004F4AEB" w:rsidRPr="00012E78" w:rsidRDefault="004F4AEB" w:rsidP="004F4AEB">
            <w:pPr>
              <w:keepNext/>
              <w:jc w:val="right"/>
              <w:rPr>
                <w:i/>
                <w:iCs/>
                <w:color w:val="000000"/>
                <w:sz w:val="20"/>
                <w:szCs w:val="20"/>
                <w:lang w:val="en-GB" w:eastAsia="zh-CN"/>
              </w:rPr>
            </w:pPr>
            <w:r w:rsidRPr="00012E78">
              <w:rPr>
                <w:color w:val="000000"/>
                <w:sz w:val="20"/>
                <w:szCs w:val="20"/>
                <w:lang w:val="en-GB" w:eastAsia="zh-CN"/>
              </w:rPr>
              <w:t>186,007,889</w:t>
            </w:r>
          </w:p>
        </w:tc>
        <w:tc>
          <w:tcPr>
            <w:tcW w:w="1403" w:type="pct"/>
            <w:tcBorders>
              <w:top w:val="nil"/>
              <w:left w:val="nil"/>
              <w:bottom w:val="single" w:sz="4" w:space="0" w:color="auto"/>
              <w:right w:val="single" w:sz="4" w:space="0" w:color="auto"/>
            </w:tcBorders>
            <w:noWrap/>
            <w:vAlign w:val="bottom"/>
            <w:hideMark/>
          </w:tcPr>
          <w:p w14:paraId="3CD6D022" w14:textId="0E8A8EAE" w:rsidR="004F4AEB" w:rsidRPr="00012E78" w:rsidRDefault="004F4AEB" w:rsidP="004F4AEB">
            <w:pPr>
              <w:keepNext/>
              <w:jc w:val="right"/>
              <w:rPr>
                <w:i/>
                <w:iCs/>
                <w:color w:val="000000"/>
                <w:sz w:val="20"/>
                <w:szCs w:val="20"/>
                <w:lang w:val="en-GB" w:eastAsia="zh-CN"/>
              </w:rPr>
            </w:pPr>
            <w:r w:rsidRPr="00012E78">
              <w:rPr>
                <w:color w:val="000000"/>
                <w:sz w:val="20"/>
                <w:szCs w:val="20"/>
                <w:lang w:val="en-GB" w:eastAsia="zh-CN"/>
              </w:rPr>
              <w:t>18,364,340</w:t>
            </w:r>
          </w:p>
        </w:tc>
        <w:tc>
          <w:tcPr>
            <w:tcW w:w="1403" w:type="pct"/>
            <w:tcBorders>
              <w:top w:val="nil"/>
              <w:left w:val="nil"/>
              <w:bottom w:val="single" w:sz="4" w:space="0" w:color="auto"/>
              <w:right w:val="single" w:sz="4" w:space="0" w:color="auto"/>
            </w:tcBorders>
            <w:noWrap/>
            <w:vAlign w:val="bottom"/>
          </w:tcPr>
          <w:p w14:paraId="17FB8BC9" w14:textId="611B3F4A" w:rsidR="004F4AEB" w:rsidRPr="00012E78" w:rsidRDefault="004F4AEB" w:rsidP="004F4AEB">
            <w:pPr>
              <w:keepNext/>
              <w:jc w:val="right"/>
              <w:rPr>
                <w:sz w:val="20"/>
                <w:szCs w:val="20"/>
              </w:rPr>
            </w:pPr>
            <w:r w:rsidRPr="00012E78">
              <w:rPr>
                <w:color w:val="000000"/>
                <w:sz w:val="20"/>
                <w:szCs w:val="20"/>
                <w:lang w:val="en-GB" w:eastAsia="zh-CN"/>
              </w:rPr>
              <w:t>178,092,744</w:t>
            </w:r>
          </w:p>
        </w:tc>
      </w:tr>
      <w:tr w:rsidR="004F4AEB" w:rsidRPr="00012E78" w14:paraId="16FFA2CE" w14:textId="77777777" w:rsidTr="005D7E27">
        <w:trPr>
          <w:trHeight w:val="107"/>
        </w:trPr>
        <w:tc>
          <w:tcPr>
            <w:tcW w:w="1002" w:type="pct"/>
            <w:tcBorders>
              <w:top w:val="nil"/>
              <w:left w:val="single" w:sz="4" w:space="0" w:color="auto"/>
              <w:bottom w:val="single" w:sz="4" w:space="0" w:color="auto"/>
              <w:right w:val="single" w:sz="4" w:space="0" w:color="auto"/>
            </w:tcBorders>
            <w:noWrap/>
            <w:vAlign w:val="bottom"/>
            <w:hideMark/>
          </w:tcPr>
          <w:p w14:paraId="142FE45B" w14:textId="5F9B5845" w:rsidR="004F4AEB" w:rsidRPr="00012E78" w:rsidRDefault="004F4AEB" w:rsidP="004F4AEB">
            <w:pPr>
              <w:keepNext/>
              <w:jc w:val="left"/>
              <w:rPr>
                <w:color w:val="000000"/>
                <w:sz w:val="20"/>
                <w:szCs w:val="20"/>
                <w:lang w:val="en-GB" w:eastAsia="zh-CN"/>
              </w:rPr>
            </w:pPr>
            <w:r w:rsidRPr="00012E78">
              <w:rPr>
                <w:color w:val="000000"/>
                <w:sz w:val="20"/>
                <w:szCs w:val="20"/>
              </w:rPr>
              <w:t>UNDP</w:t>
            </w:r>
          </w:p>
        </w:tc>
        <w:tc>
          <w:tcPr>
            <w:tcW w:w="1192" w:type="pct"/>
            <w:tcBorders>
              <w:top w:val="nil"/>
              <w:left w:val="nil"/>
              <w:bottom w:val="single" w:sz="4" w:space="0" w:color="auto"/>
              <w:right w:val="single" w:sz="4" w:space="0" w:color="auto"/>
            </w:tcBorders>
            <w:noWrap/>
            <w:vAlign w:val="bottom"/>
            <w:hideMark/>
          </w:tcPr>
          <w:p w14:paraId="0C582884" w14:textId="50CDEE5C" w:rsidR="004F4AEB" w:rsidRPr="00012E78" w:rsidRDefault="004F4AEB" w:rsidP="004F4AEB">
            <w:pPr>
              <w:keepNext/>
              <w:jc w:val="right"/>
              <w:rPr>
                <w:i/>
                <w:iCs/>
                <w:color w:val="000000"/>
                <w:sz w:val="20"/>
                <w:szCs w:val="20"/>
                <w:lang w:val="en-GB" w:eastAsia="zh-CN"/>
              </w:rPr>
            </w:pPr>
            <w:r w:rsidRPr="00012E78">
              <w:rPr>
                <w:color w:val="000000"/>
                <w:sz w:val="20"/>
                <w:szCs w:val="20"/>
              </w:rPr>
              <w:t>1,029,007,660</w:t>
            </w:r>
          </w:p>
        </w:tc>
        <w:tc>
          <w:tcPr>
            <w:tcW w:w="1403" w:type="pct"/>
            <w:tcBorders>
              <w:top w:val="nil"/>
              <w:left w:val="nil"/>
              <w:bottom w:val="single" w:sz="4" w:space="0" w:color="auto"/>
              <w:right w:val="single" w:sz="4" w:space="0" w:color="auto"/>
            </w:tcBorders>
            <w:noWrap/>
            <w:vAlign w:val="bottom"/>
            <w:hideMark/>
          </w:tcPr>
          <w:p w14:paraId="2D16FEEF" w14:textId="76FC92BF" w:rsidR="004F4AEB" w:rsidRPr="00012E78" w:rsidRDefault="004F4AEB" w:rsidP="004F4AEB">
            <w:pPr>
              <w:keepNext/>
              <w:jc w:val="right"/>
              <w:rPr>
                <w:i/>
                <w:iCs/>
                <w:color w:val="000000"/>
                <w:sz w:val="20"/>
                <w:szCs w:val="20"/>
                <w:lang w:val="en-GB" w:eastAsia="zh-CN"/>
              </w:rPr>
            </w:pPr>
            <w:r w:rsidRPr="00012E78">
              <w:rPr>
                <w:color w:val="000000"/>
                <w:sz w:val="20"/>
                <w:szCs w:val="20"/>
              </w:rPr>
              <w:t>140,421,986</w:t>
            </w:r>
          </w:p>
        </w:tc>
        <w:tc>
          <w:tcPr>
            <w:tcW w:w="1403" w:type="pct"/>
            <w:tcBorders>
              <w:top w:val="nil"/>
              <w:left w:val="nil"/>
              <w:bottom w:val="single" w:sz="4" w:space="0" w:color="auto"/>
              <w:right w:val="single" w:sz="4" w:space="0" w:color="auto"/>
            </w:tcBorders>
            <w:noWrap/>
            <w:vAlign w:val="bottom"/>
          </w:tcPr>
          <w:p w14:paraId="663EEC64" w14:textId="781A616E" w:rsidR="004F4AEB" w:rsidRPr="00012E78" w:rsidRDefault="004F4AEB" w:rsidP="004F4AEB">
            <w:pPr>
              <w:keepNext/>
              <w:jc w:val="right"/>
              <w:rPr>
                <w:sz w:val="20"/>
                <w:szCs w:val="20"/>
              </w:rPr>
            </w:pPr>
            <w:r w:rsidRPr="00012E78">
              <w:rPr>
                <w:color w:val="000000"/>
                <w:sz w:val="20"/>
                <w:szCs w:val="20"/>
              </w:rPr>
              <w:t>1,006,760,239</w:t>
            </w:r>
          </w:p>
        </w:tc>
      </w:tr>
      <w:tr w:rsidR="004F4AEB" w:rsidRPr="00012E78" w14:paraId="6435E00B" w14:textId="77777777" w:rsidTr="005D7E27">
        <w:trPr>
          <w:trHeight w:val="143"/>
        </w:trPr>
        <w:tc>
          <w:tcPr>
            <w:tcW w:w="1002" w:type="pct"/>
            <w:tcBorders>
              <w:top w:val="nil"/>
              <w:left w:val="single" w:sz="4" w:space="0" w:color="auto"/>
              <w:bottom w:val="single" w:sz="4" w:space="0" w:color="auto"/>
              <w:right w:val="single" w:sz="4" w:space="0" w:color="auto"/>
            </w:tcBorders>
            <w:noWrap/>
            <w:vAlign w:val="bottom"/>
            <w:hideMark/>
          </w:tcPr>
          <w:p w14:paraId="68157095" w14:textId="76B01E2D" w:rsidR="004F4AEB" w:rsidRPr="00012E78" w:rsidRDefault="004F4AEB" w:rsidP="004F4AEB">
            <w:pPr>
              <w:jc w:val="left"/>
              <w:rPr>
                <w:color w:val="000000"/>
                <w:sz w:val="20"/>
                <w:szCs w:val="20"/>
                <w:lang w:val="en-GB" w:eastAsia="zh-CN"/>
              </w:rPr>
            </w:pPr>
            <w:r w:rsidRPr="00012E78">
              <w:rPr>
                <w:color w:val="000000"/>
                <w:sz w:val="20"/>
                <w:szCs w:val="20"/>
              </w:rPr>
              <w:t>UNEP</w:t>
            </w:r>
          </w:p>
        </w:tc>
        <w:tc>
          <w:tcPr>
            <w:tcW w:w="1192" w:type="pct"/>
            <w:tcBorders>
              <w:top w:val="nil"/>
              <w:left w:val="nil"/>
              <w:bottom w:val="single" w:sz="4" w:space="0" w:color="auto"/>
              <w:right w:val="single" w:sz="4" w:space="0" w:color="auto"/>
            </w:tcBorders>
            <w:noWrap/>
            <w:vAlign w:val="bottom"/>
            <w:hideMark/>
          </w:tcPr>
          <w:p w14:paraId="198CE35E" w14:textId="77D5A835" w:rsidR="004F4AEB" w:rsidRPr="00012E78" w:rsidRDefault="004F4AEB" w:rsidP="004F4AEB">
            <w:pPr>
              <w:jc w:val="right"/>
              <w:rPr>
                <w:i/>
                <w:iCs/>
                <w:color w:val="000000"/>
                <w:sz w:val="20"/>
                <w:szCs w:val="20"/>
                <w:lang w:val="en-GB" w:eastAsia="zh-CN"/>
              </w:rPr>
            </w:pPr>
            <w:r w:rsidRPr="00012E78">
              <w:rPr>
                <w:color w:val="000000"/>
                <w:sz w:val="20"/>
                <w:szCs w:val="20"/>
              </w:rPr>
              <w:t>489,196,550</w:t>
            </w:r>
          </w:p>
        </w:tc>
        <w:tc>
          <w:tcPr>
            <w:tcW w:w="1403" w:type="pct"/>
            <w:tcBorders>
              <w:top w:val="nil"/>
              <w:left w:val="nil"/>
              <w:bottom w:val="single" w:sz="4" w:space="0" w:color="auto"/>
              <w:right w:val="single" w:sz="4" w:space="0" w:color="auto"/>
            </w:tcBorders>
            <w:noWrap/>
            <w:vAlign w:val="bottom"/>
            <w:hideMark/>
          </w:tcPr>
          <w:p w14:paraId="4CFB3B74" w14:textId="355D9C76" w:rsidR="004F4AEB" w:rsidRPr="00012E78" w:rsidRDefault="004F4AEB" w:rsidP="004F4AEB">
            <w:pPr>
              <w:jc w:val="right"/>
              <w:rPr>
                <w:i/>
                <w:iCs/>
                <w:color w:val="000000"/>
                <w:sz w:val="20"/>
                <w:szCs w:val="20"/>
                <w:lang w:val="en-GB" w:eastAsia="zh-CN"/>
              </w:rPr>
            </w:pPr>
            <w:r w:rsidRPr="00012E78">
              <w:rPr>
                <w:color w:val="000000"/>
                <w:sz w:val="20"/>
                <w:szCs w:val="20"/>
              </w:rPr>
              <w:t>40,043,894</w:t>
            </w:r>
          </w:p>
        </w:tc>
        <w:tc>
          <w:tcPr>
            <w:tcW w:w="1403" w:type="pct"/>
            <w:tcBorders>
              <w:top w:val="nil"/>
              <w:left w:val="nil"/>
              <w:bottom w:val="single" w:sz="4" w:space="0" w:color="auto"/>
              <w:right w:val="single" w:sz="4" w:space="0" w:color="auto"/>
            </w:tcBorders>
            <w:noWrap/>
            <w:vAlign w:val="bottom"/>
          </w:tcPr>
          <w:p w14:paraId="5D24B4B8" w14:textId="6331FFE6" w:rsidR="004F4AEB" w:rsidRPr="00012E78" w:rsidRDefault="004F4AEB" w:rsidP="004F4AEB">
            <w:pPr>
              <w:keepNext/>
              <w:jc w:val="right"/>
              <w:rPr>
                <w:sz w:val="20"/>
                <w:szCs w:val="20"/>
              </w:rPr>
            </w:pPr>
            <w:r w:rsidRPr="00012E78">
              <w:rPr>
                <w:color w:val="000000"/>
                <w:sz w:val="20"/>
                <w:szCs w:val="20"/>
              </w:rPr>
              <w:t>420,903,713</w:t>
            </w:r>
          </w:p>
        </w:tc>
      </w:tr>
      <w:tr w:rsidR="004F4AEB" w:rsidRPr="00012E78" w14:paraId="6BB6B722" w14:textId="77777777" w:rsidTr="005D7E27">
        <w:trPr>
          <w:trHeight w:val="170"/>
        </w:trPr>
        <w:tc>
          <w:tcPr>
            <w:tcW w:w="1002" w:type="pct"/>
            <w:tcBorders>
              <w:top w:val="nil"/>
              <w:left w:val="single" w:sz="4" w:space="0" w:color="auto"/>
              <w:bottom w:val="single" w:sz="4" w:space="0" w:color="auto"/>
              <w:right w:val="single" w:sz="4" w:space="0" w:color="auto"/>
            </w:tcBorders>
            <w:noWrap/>
            <w:vAlign w:val="bottom"/>
            <w:hideMark/>
          </w:tcPr>
          <w:p w14:paraId="01E0E0BD" w14:textId="11CD4AB7" w:rsidR="004F4AEB" w:rsidRPr="00012E78" w:rsidRDefault="004F4AEB" w:rsidP="004F4AEB">
            <w:pPr>
              <w:jc w:val="left"/>
              <w:rPr>
                <w:color w:val="000000"/>
                <w:sz w:val="20"/>
                <w:szCs w:val="20"/>
                <w:lang w:val="en-GB" w:eastAsia="zh-CN"/>
              </w:rPr>
            </w:pPr>
            <w:r w:rsidRPr="00012E78">
              <w:rPr>
                <w:color w:val="000000"/>
                <w:sz w:val="20"/>
                <w:szCs w:val="20"/>
              </w:rPr>
              <w:t>UNIDO</w:t>
            </w:r>
          </w:p>
        </w:tc>
        <w:tc>
          <w:tcPr>
            <w:tcW w:w="1192" w:type="pct"/>
            <w:tcBorders>
              <w:top w:val="nil"/>
              <w:left w:val="nil"/>
              <w:bottom w:val="single" w:sz="4" w:space="0" w:color="auto"/>
              <w:right w:val="single" w:sz="4" w:space="0" w:color="auto"/>
            </w:tcBorders>
            <w:noWrap/>
            <w:vAlign w:val="bottom"/>
            <w:hideMark/>
          </w:tcPr>
          <w:p w14:paraId="2B1A64DD" w14:textId="2D948127" w:rsidR="004F4AEB" w:rsidRPr="00012E78" w:rsidRDefault="004F4AEB" w:rsidP="004F4AEB">
            <w:pPr>
              <w:jc w:val="right"/>
              <w:rPr>
                <w:i/>
                <w:iCs/>
                <w:color w:val="000000"/>
                <w:sz w:val="20"/>
                <w:szCs w:val="20"/>
                <w:lang w:val="en-GB" w:eastAsia="zh-CN"/>
              </w:rPr>
            </w:pPr>
            <w:r w:rsidRPr="00012E78">
              <w:rPr>
                <w:color w:val="000000"/>
                <w:sz w:val="20"/>
                <w:szCs w:val="20"/>
              </w:rPr>
              <w:t>1,047,809,243</w:t>
            </w:r>
          </w:p>
        </w:tc>
        <w:tc>
          <w:tcPr>
            <w:tcW w:w="1403" w:type="pct"/>
            <w:tcBorders>
              <w:top w:val="nil"/>
              <w:left w:val="nil"/>
              <w:bottom w:val="single" w:sz="4" w:space="0" w:color="auto"/>
              <w:right w:val="single" w:sz="4" w:space="0" w:color="auto"/>
            </w:tcBorders>
            <w:noWrap/>
            <w:vAlign w:val="bottom"/>
            <w:hideMark/>
          </w:tcPr>
          <w:p w14:paraId="2E9C4097" w14:textId="5EAAA47B" w:rsidR="004F4AEB" w:rsidRPr="00012E78" w:rsidRDefault="004F4AEB" w:rsidP="004F4AEB">
            <w:pPr>
              <w:jc w:val="right"/>
              <w:rPr>
                <w:i/>
                <w:iCs/>
                <w:color w:val="000000"/>
                <w:sz w:val="20"/>
                <w:szCs w:val="20"/>
                <w:lang w:val="en-GB" w:eastAsia="zh-CN"/>
              </w:rPr>
            </w:pPr>
            <w:r w:rsidRPr="00012E78">
              <w:rPr>
                <w:color w:val="000000"/>
                <w:sz w:val="20"/>
                <w:szCs w:val="20"/>
              </w:rPr>
              <w:t>136,339,199</w:t>
            </w:r>
          </w:p>
        </w:tc>
        <w:tc>
          <w:tcPr>
            <w:tcW w:w="1403" w:type="pct"/>
            <w:tcBorders>
              <w:top w:val="nil"/>
              <w:left w:val="nil"/>
              <w:bottom w:val="single" w:sz="4" w:space="0" w:color="auto"/>
              <w:right w:val="single" w:sz="4" w:space="0" w:color="auto"/>
            </w:tcBorders>
            <w:noWrap/>
            <w:vAlign w:val="bottom"/>
          </w:tcPr>
          <w:p w14:paraId="3B66A437" w14:textId="47A6D68C" w:rsidR="004F4AEB" w:rsidRPr="00012E78" w:rsidRDefault="004F4AEB" w:rsidP="004F4AEB">
            <w:pPr>
              <w:keepNext/>
              <w:jc w:val="right"/>
              <w:rPr>
                <w:sz w:val="20"/>
                <w:szCs w:val="20"/>
              </w:rPr>
            </w:pPr>
            <w:r w:rsidRPr="00012E78">
              <w:rPr>
                <w:color w:val="000000"/>
                <w:sz w:val="20"/>
                <w:szCs w:val="20"/>
              </w:rPr>
              <w:t>980,153,720</w:t>
            </w:r>
          </w:p>
        </w:tc>
      </w:tr>
      <w:tr w:rsidR="004F4AEB" w:rsidRPr="00012E78" w14:paraId="0E01057F" w14:textId="77777777" w:rsidTr="005D7E27">
        <w:trPr>
          <w:trHeight w:val="116"/>
        </w:trPr>
        <w:tc>
          <w:tcPr>
            <w:tcW w:w="1002" w:type="pct"/>
            <w:tcBorders>
              <w:top w:val="nil"/>
              <w:left w:val="single" w:sz="4" w:space="0" w:color="auto"/>
              <w:bottom w:val="single" w:sz="4" w:space="0" w:color="auto"/>
              <w:right w:val="single" w:sz="4" w:space="0" w:color="auto"/>
            </w:tcBorders>
            <w:noWrap/>
            <w:vAlign w:val="bottom"/>
            <w:hideMark/>
          </w:tcPr>
          <w:p w14:paraId="5B9C756E" w14:textId="134795D1" w:rsidR="004F4AEB" w:rsidRPr="00012E78" w:rsidRDefault="004F4AEB" w:rsidP="004F4AEB">
            <w:pPr>
              <w:jc w:val="left"/>
              <w:rPr>
                <w:color w:val="000000"/>
                <w:sz w:val="20"/>
                <w:szCs w:val="20"/>
                <w:lang w:val="en-GB" w:eastAsia="zh-CN"/>
              </w:rPr>
            </w:pPr>
            <w:r w:rsidRPr="00012E78">
              <w:rPr>
                <w:color w:val="000000"/>
                <w:sz w:val="20"/>
                <w:szCs w:val="20"/>
              </w:rPr>
              <w:t>World Bank</w:t>
            </w:r>
          </w:p>
        </w:tc>
        <w:tc>
          <w:tcPr>
            <w:tcW w:w="1192" w:type="pct"/>
            <w:tcBorders>
              <w:top w:val="nil"/>
              <w:left w:val="nil"/>
              <w:bottom w:val="single" w:sz="4" w:space="0" w:color="auto"/>
              <w:right w:val="single" w:sz="4" w:space="0" w:color="auto"/>
            </w:tcBorders>
            <w:noWrap/>
            <w:vAlign w:val="bottom"/>
            <w:hideMark/>
          </w:tcPr>
          <w:p w14:paraId="1C51F453" w14:textId="2974B5F2" w:rsidR="004F4AEB" w:rsidRPr="00012E78" w:rsidRDefault="004F4AEB" w:rsidP="004F4AEB">
            <w:pPr>
              <w:jc w:val="right"/>
              <w:rPr>
                <w:i/>
                <w:iCs/>
                <w:color w:val="000000"/>
                <w:sz w:val="20"/>
                <w:szCs w:val="20"/>
                <w:lang w:val="en-GB" w:eastAsia="zh-CN"/>
              </w:rPr>
            </w:pPr>
            <w:r w:rsidRPr="00012E78">
              <w:rPr>
                <w:color w:val="000000"/>
                <w:sz w:val="20"/>
                <w:szCs w:val="20"/>
              </w:rPr>
              <w:t>1,267,057,836</w:t>
            </w:r>
          </w:p>
        </w:tc>
        <w:tc>
          <w:tcPr>
            <w:tcW w:w="1403" w:type="pct"/>
            <w:tcBorders>
              <w:top w:val="nil"/>
              <w:left w:val="nil"/>
              <w:bottom w:val="single" w:sz="4" w:space="0" w:color="auto"/>
              <w:right w:val="single" w:sz="4" w:space="0" w:color="auto"/>
            </w:tcBorders>
            <w:noWrap/>
            <w:vAlign w:val="bottom"/>
            <w:hideMark/>
          </w:tcPr>
          <w:p w14:paraId="0F16D532" w14:textId="05BDD8DE" w:rsidR="004F4AEB" w:rsidRPr="00012E78" w:rsidRDefault="004F4AEB" w:rsidP="004F4AEB">
            <w:pPr>
              <w:jc w:val="right"/>
              <w:rPr>
                <w:i/>
                <w:iCs/>
                <w:color w:val="000000"/>
                <w:sz w:val="20"/>
                <w:szCs w:val="20"/>
                <w:lang w:val="en-GB" w:eastAsia="zh-CN"/>
              </w:rPr>
            </w:pPr>
            <w:r w:rsidRPr="00012E78">
              <w:rPr>
                <w:color w:val="000000"/>
                <w:sz w:val="20"/>
                <w:szCs w:val="20"/>
              </w:rPr>
              <w:t>135,470,297</w:t>
            </w:r>
          </w:p>
        </w:tc>
        <w:tc>
          <w:tcPr>
            <w:tcW w:w="1403" w:type="pct"/>
            <w:tcBorders>
              <w:top w:val="nil"/>
              <w:left w:val="nil"/>
              <w:bottom w:val="single" w:sz="4" w:space="0" w:color="auto"/>
              <w:right w:val="single" w:sz="4" w:space="0" w:color="auto"/>
            </w:tcBorders>
            <w:noWrap/>
            <w:vAlign w:val="bottom"/>
          </w:tcPr>
          <w:p w14:paraId="79FD85C0" w14:textId="22FB2C31" w:rsidR="004F4AEB" w:rsidRPr="00012E78" w:rsidRDefault="004F4AEB" w:rsidP="004F4AEB">
            <w:pPr>
              <w:keepNext/>
              <w:jc w:val="right"/>
              <w:rPr>
                <w:sz w:val="20"/>
                <w:szCs w:val="20"/>
              </w:rPr>
            </w:pPr>
            <w:r w:rsidRPr="00012E78">
              <w:rPr>
                <w:color w:val="000000"/>
                <w:sz w:val="20"/>
                <w:szCs w:val="20"/>
              </w:rPr>
              <w:t>1,315,537,916</w:t>
            </w:r>
          </w:p>
        </w:tc>
      </w:tr>
      <w:tr w:rsidR="004F4AEB" w:rsidRPr="00012E78" w14:paraId="57402E6E" w14:textId="77777777" w:rsidTr="005D7E27">
        <w:trPr>
          <w:trHeight w:val="143"/>
        </w:trPr>
        <w:tc>
          <w:tcPr>
            <w:tcW w:w="1002" w:type="pct"/>
            <w:tcBorders>
              <w:top w:val="nil"/>
              <w:left w:val="single" w:sz="4" w:space="0" w:color="auto"/>
              <w:bottom w:val="single" w:sz="4" w:space="0" w:color="auto"/>
              <w:right w:val="single" w:sz="4" w:space="0" w:color="auto"/>
            </w:tcBorders>
            <w:noWrap/>
            <w:vAlign w:val="bottom"/>
            <w:hideMark/>
          </w:tcPr>
          <w:p w14:paraId="583C9E98" w14:textId="2881A023" w:rsidR="004F4AEB" w:rsidRPr="00012E78" w:rsidRDefault="004F4AEB" w:rsidP="004F4AEB">
            <w:pPr>
              <w:jc w:val="left"/>
              <w:rPr>
                <w:b/>
                <w:bCs/>
                <w:color w:val="000000"/>
                <w:sz w:val="20"/>
                <w:szCs w:val="20"/>
                <w:lang w:val="en-GB" w:eastAsia="zh-CN"/>
              </w:rPr>
            </w:pPr>
            <w:r w:rsidRPr="00012E78">
              <w:rPr>
                <w:b/>
                <w:bCs/>
                <w:color w:val="000000"/>
                <w:sz w:val="20"/>
                <w:szCs w:val="20"/>
              </w:rPr>
              <w:t>Total</w:t>
            </w:r>
          </w:p>
        </w:tc>
        <w:tc>
          <w:tcPr>
            <w:tcW w:w="1192" w:type="pct"/>
            <w:tcBorders>
              <w:top w:val="nil"/>
              <w:left w:val="nil"/>
              <w:bottom w:val="single" w:sz="4" w:space="0" w:color="auto"/>
              <w:right w:val="single" w:sz="4" w:space="0" w:color="auto"/>
            </w:tcBorders>
            <w:noWrap/>
            <w:vAlign w:val="bottom"/>
            <w:hideMark/>
          </w:tcPr>
          <w:p w14:paraId="289D15AC" w14:textId="7C2F2AAD" w:rsidR="004F4AEB" w:rsidRPr="00012E78" w:rsidRDefault="004F4AEB" w:rsidP="004F4AEB">
            <w:pPr>
              <w:jc w:val="right"/>
              <w:rPr>
                <w:b/>
                <w:bCs/>
                <w:i/>
                <w:iCs/>
                <w:color w:val="000000"/>
                <w:sz w:val="20"/>
                <w:szCs w:val="20"/>
                <w:lang w:val="en-GB" w:eastAsia="zh-CN"/>
              </w:rPr>
            </w:pPr>
            <w:r w:rsidRPr="00012E78">
              <w:rPr>
                <w:b/>
                <w:bCs/>
                <w:color w:val="000000"/>
                <w:sz w:val="20"/>
                <w:szCs w:val="20"/>
              </w:rPr>
              <w:t>4,019,079,178</w:t>
            </w:r>
          </w:p>
        </w:tc>
        <w:tc>
          <w:tcPr>
            <w:tcW w:w="1403" w:type="pct"/>
            <w:tcBorders>
              <w:top w:val="nil"/>
              <w:left w:val="nil"/>
              <w:bottom w:val="single" w:sz="4" w:space="0" w:color="auto"/>
              <w:right w:val="single" w:sz="4" w:space="0" w:color="auto"/>
            </w:tcBorders>
            <w:noWrap/>
            <w:vAlign w:val="bottom"/>
            <w:hideMark/>
          </w:tcPr>
          <w:p w14:paraId="2D5522E7" w14:textId="66992C6B" w:rsidR="004F4AEB" w:rsidRPr="00012E78" w:rsidRDefault="004F4AEB" w:rsidP="004F4AEB">
            <w:pPr>
              <w:jc w:val="right"/>
              <w:rPr>
                <w:b/>
                <w:bCs/>
                <w:i/>
                <w:iCs/>
                <w:color w:val="000000"/>
                <w:sz w:val="20"/>
                <w:szCs w:val="20"/>
                <w:lang w:val="en-GB" w:eastAsia="zh-CN"/>
              </w:rPr>
            </w:pPr>
            <w:r w:rsidRPr="00012E78">
              <w:rPr>
                <w:b/>
                <w:bCs/>
                <w:color w:val="000000"/>
                <w:sz w:val="20"/>
                <w:szCs w:val="20"/>
              </w:rPr>
              <w:t>470,639,717</w:t>
            </w:r>
          </w:p>
        </w:tc>
        <w:tc>
          <w:tcPr>
            <w:tcW w:w="1403" w:type="pct"/>
            <w:tcBorders>
              <w:top w:val="nil"/>
              <w:left w:val="nil"/>
              <w:bottom w:val="single" w:sz="4" w:space="0" w:color="auto"/>
              <w:right w:val="single" w:sz="4" w:space="0" w:color="auto"/>
            </w:tcBorders>
            <w:noWrap/>
            <w:vAlign w:val="bottom"/>
          </w:tcPr>
          <w:p w14:paraId="3628D355" w14:textId="393BF7E6" w:rsidR="004F4AEB" w:rsidRPr="00012E78" w:rsidRDefault="004F4AEB" w:rsidP="004F4AEB">
            <w:pPr>
              <w:keepNext/>
              <w:jc w:val="right"/>
              <w:rPr>
                <w:b/>
                <w:bCs/>
                <w:sz w:val="20"/>
                <w:szCs w:val="20"/>
              </w:rPr>
            </w:pPr>
            <w:r w:rsidRPr="00012E78">
              <w:rPr>
                <w:b/>
                <w:bCs/>
                <w:color w:val="000000"/>
                <w:sz w:val="20"/>
                <w:szCs w:val="20"/>
              </w:rPr>
              <w:t>3,901,448,332</w:t>
            </w:r>
          </w:p>
        </w:tc>
      </w:tr>
    </w:tbl>
    <w:p w14:paraId="544227E6" w14:textId="2D2B64B0" w:rsidR="00FF2809" w:rsidRPr="00012E78" w:rsidRDefault="00FF2809" w:rsidP="009A0A67">
      <w:pPr>
        <w:pStyle w:val="CM28"/>
        <w:spacing w:after="0"/>
        <w:ind w:left="1276"/>
        <w:rPr>
          <w:sz w:val="20"/>
          <w:szCs w:val="20"/>
          <w:lang w:val="en-GB"/>
        </w:rPr>
      </w:pPr>
      <w:r w:rsidRPr="00012E78">
        <w:rPr>
          <w:sz w:val="20"/>
          <w:szCs w:val="20"/>
          <w:lang w:val="en-GB"/>
        </w:rPr>
        <w:t xml:space="preserve">* As at </w:t>
      </w:r>
      <w:r w:rsidR="00E929FB" w:rsidRPr="00012E78">
        <w:rPr>
          <w:sz w:val="20"/>
          <w:szCs w:val="20"/>
          <w:lang w:val="en-GB"/>
        </w:rPr>
        <w:t xml:space="preserve">4 September </w:t>
      </w:r>
      <w:r w:rsidR="00402E67" w:rsidRPr="00012E78">
        <w:rPr>
          <w:sz w:val="20"/>
          <w:szCs w:val="20"/>
          <w:lang w:val="en-GB"/>
        </w:rPr>
        <w:t>2026</w:t>
      </w:r>
      <w:r w:rsidRPr="00012E78">
        <w:rPr>
          <w:sz w:val="20"/>
          <w:szCs w:val="20"/>
          <w:lang w:val="en-GB"/>
        </w:rPr>
        <w:t xml:space="preserve"> (excluding cancelled and transferred projects).</w:t>
      </w:r>
    </w:p>
    <w:p w14:paraId="090178A7" w14:textId="53198506" w:rsidR="00FF2809" w:rsidRPr="00012E78" w:rsidRDefault="00FF2809" w:rsidP="009A0A67">
      <w:pPr>
        <w:pStyle w:val="CM28"/>
        <w:spacing w:after="240"/>
        <w:ind w:left="1276"/>
        <w:rPr>
          <w:sz w:val="20"/>
          <w:szCs w:val="20"/>
          <w:lang w:val="en-GB"/>
        </w:rPr>
      </w:pPr>
      <w:r w:rsidRPr="00012E78">
        <w:rPr>
          <w:sz w:val="20"/>
          <w:szCs w:val="20"/>
          <w:lang w:val="en-GB"/>
        </w:rPr>
        <w:t xml:space="preserve">** As at </w:t>
      </w:r>
      <w:r w:rsidR="00402E67" w:rsidRPr="00012E78">
        <w:rPr>
          <w:sz w:val="20"/>
          <w:szCs w:val="20"/>
          <w:lang w:val="en-GB"/>
        </w:rPr>
        <w:t>31 December 2024</w:t>
      </w:r>
      <w:r w:rsidRPr="00012E78">
        <w:rPr>
          <w:sz w:val="20"/>
          <w:szCs w:val="20"/>
          <w:lang w:val="en-GB"/>
        </w:rPr>
        <w:t xml:space="preserve"> (excluding cancelled and transferred projects).</w:t>
      </w:r>
    </w:p>
    <w:p w14:paraId="3259E2D6" w14:textId="0D7BA3FF" w:rsidR="001659A2" w:rsidRPr="00012E78" w:rsidRDefault="001659A2" w:rsidP="00136C74">
      <w:pPr>
        <w:pStyle w:val="CH1"/>
        <w:rPr>
          <w:lang w:val="en-CA"/>
        </w:rPr>
      </w:pPr>
    </w:p>
    <w:p w14:paraId="2813732E" w14:textId="77777777" w:rsidR="001659A2" w:rsidRPr="00012E78" w:rsidRDefault="001659A2">
      <w:pPr>
        <w:jc w:val="left"/>
        <w:rPr>
          <w:b/>
          <w:sz w:val="28"/>
          <w:szCs w:val="28"/>
          <w:lang w:val="en-GB"/>
        </w:rPr>
      </w:pPr>
      <w:r w:rsidRPr="00012E78">
        <w:br w:type="page"/>
      </w:r>
    </w:p>
    <w:p w14:paraId="4E134618" w14:textId="3D6007AE" w:rsidR="00136C74" w:rsidRPr="00012E78" w:rsidRDefault="00136C74" w:rsidP="00136C74">
      <w:pPr>
        <w:pStyle w:val="CH1"/>
      </w:pPr>
      <w:r w:rsidRPr="00012E78">
        <w:t>ANNEX</w:t>
      </w:r>
    </w:p>
    <w:p w14:paraId="6717C818" w14:textId="0925FD15" w:rsidR="00616680" w:rsidRPr="00012E78" w:rsidRDefault="00616680" w:rsidP="005D5C51">
      <w:pPr>
        <w:pStyle w:val="Heading3"/>
        <w:numPr>
          <w:ilvl w:val="2"/>
          <w:numId w:val="19"/>
        </w:numPr>
        <w:ind w:left="1276" w:firstLine="0"/>
        <w:rPr>
          <w:sz w:val="20"/>
          <w:szCs w:val="20"/>
        </w:rPr>
      </w:pPr>
      <w:r w:rsidRPr="00012E78">
        <w:rPr>
          <w:sz w:val="20"/>
          <w:szCs w:val="20"/>
        </w:rPr>
        <w:t>The annex to the present report contains the annual newsletter of the Multilateral Fund featuring a few successful projects and policy outcomes in 2025.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D4217" w:rsidRPr="009B0D30" w14:paraId="52C5B77B" w14:textId="77777777">
        <w:tc>
          <w:tcPr>
            <w:tcW w:w="1871" w:type="dxa"/>
          </w:tcPr>
          <w:p w14:paraId="14C704FD" w14:textId="77777777" w:rsidR="001D4217" w:rsidRPr="009B0D30" w:rsidRDefault="001D4217"/>
        </w:tc>
        <w:tc>
          <w:tcPr>
            <w:tcW w:w="1872" w:type="dxa"/>
          </w:tcPr>
          <w:p w14:paraId="321719B4" w14:textId="77777777" w:rsidR="001D4217" w:rsidRPr="009B0D30" w:rsidRDefault="001D4217"/>
        </w:tc>
        <w:tc>
          <w:tcPr>
            <w:tcW w:w="1872" w:type="dxa"/>
            <w:tcBorders>
              <w:bottom w:val="single" w:sz="4" w:space="0" w:color="auto"/>
            </w:tcBorders>
          </w:tcPr>
          <w:p w14:paraId="3B41E648" w14:textId="77777777" w:rsidR="001D4217" w:rsidRPr="009B0D30" w:rsidRDefault="001D4217"/>
        </w:tc>
        <w:tc>
          <w:tcPr>
            <w:tcW w:w="1872" w:type="dxa"/>
          </w:tcPr>
          <w:p w14:paraId="6A2C3477" w14:textId="77777777" w:rsidR="001D4217" w:rsidRPr="009B0D30" w:rsidRDefault="001D4217"/>
        </w:tc>
        <w:tc>
          <w:tcPr>
            <w:tcW w:w="1873" w:type="dxa"/>
          </w:tcPr>
          <w:p w14:paraId="3CE5B10B" w14:textId="77777777" w:rsidR="001D4217" w:rsidRPr="009B0D30" w:rsidRDefault="001D4217"/>
        </w:tc>
      </w:tr>
    </w:tbl>
    <w:p w14:paraId="19119C29" w14:textId="77777777" w:rsidR="00193CCD" w:rsidRDefault="00193CCD" w:rsidP="00193CCD"/>
    <w:sectPr w:rsidR="00193CCD" w:rsidSect="00437274">
      <w:headerReference w:type="even" r:id="rId13"/>
      <w:headerReference w:type="default" r:id="rId14"/>
      <w:footerReference w:type="even" r:id="rId15"/>
      <w:footerReference w:type="defaul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61817" w14:textId="77777777" w:rsidR="003F11CC" w:rsidRDefault="003F11CC" w:rsidP="004A504B">
      <w:r>
        <w:separator/>
      </w:r>
    </w:p>
  </w:endnote>
  <w:endnote w:type="continuationSeparator" w:id="0">
    <w:p w14:paraId="70F33401" w14:textId="77777777" w:rsidR="003F11CC" w:rsidRDefault="003F11CC" w:rsidP="004A504B">
      <w:r>
        <w:continuationSeparator/>
      </w:r>
    </w:p>
  </w:endnote>
  <w:endnote w:type="continuationNotice" w:id="1">
    <w:p w14:paraId="68054F87" w14:textId="77777777" w:rsidR="003F11CC" w:rsidRDefault="003F11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ourier">
    <w:altName w:val="Courier New"/>
    <w:panose1 w:val="02070409020205020404"/>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ED4D5" w14:textId="6C6F653B" w:rsidR="00486D8C" w:rsidRPr="00802AD7" w:rsidRDefault="00486D8C">
    <w:pPr>
      <w:jc w:val="center"/>
      <w:rPr>
        <w:sz w:val="20"/>
        <w:szCs w:val="20"/>
      </w:rPr>
    </w:pPr>
    <w:r w:rsidRPr="00802AD7">
      <w:rPr>
        <w:sz w:val="20"/>
        <w:szCs w:val="20"/>
      </w:rPr>
      <w:fldChar w:fldCharType="begin"/>
    </w:r>
    <w:r w:rsidRPr="00802AD7">
      <w:rPr>
        <w:sz w:val="20"/>
        <w:szCs w:val="20"/>
      </w:rPr>
      <w:instrText xml:space="preserve"> PAGE </w:instrText>
    </w:r>
    <w:r w:rsidRPr="00802AD7">
      <w:rPr>
        <w:sz w:val="20"/>
        <w:szCs w:val="20"/>
      </w:rPr>
      <w:fldChar w:fldCharType="separate"/>
    </w:r>
    <w:r w:rsidR="003D0925">
      <w:rPr>
        <w:noProof/>
        <w:sz w:val="20"/>
        <w:szCs w:val="20"/>
      </w:rPr>
      <w:t>22</w:t>
    </w:r>
    <w:r w:rsidRPr="00802AD7">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4EA35" w14:textId="5FFCEE38" w:rsidR="00486D8C" w:rsidRPr="00802AD7" w:rsidRDefault="00486D8C">
    <w:pPr>
      <w:jc w:val="center"/>
      <w:rPr>
        <w:sz w:val="20"/>
        <w:szCs w:val="20"/>
      </w:rPr>
    </w:pPr>
    <w:r w:rsidRPr="00802AD7">
      <w:rPr>
        <w:sz w:val="20"/>
        <w:szCs w:val="20"/>
      </w:rPr>
      <w:fldChar w:fldCharType="begin"/>
    </w:r>
    <w:r w:rsidRPr="00802AD7">
      <w:rPr>
        <w:sz w:val="20"/>
        <w:szCs w:val="20"/>
      </w:rPr>
      <w:instrText xml:space="preserve"> PAGE </w:instrText>
    </w:r>
    <w:r w:rsidRPr="00802AD7">
      <w:rPr>
        <w:sz w:val="20"/>
        <w:szCs w:val="20"/>
      </w:rPr>
      <w:fldChar w:fldCharType="separate"/>
    </w:r>
    <w:r w:rsidR="003D0925">
      <w:rPr>
        <w:noProof/>
        <w:sz w:val="20"/>
        <w:szCs w:val="20"/>
      </w:rPr>
      <w:t>31</w:t>
    </w:r>
    <w:r w:rsidRPr="00802AD7">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D94B8" w14:textId="77777777" w:rsidR="003F11CC" w:rsidRDefault="003F11CC" w:rsidP="000C6051">
      <w:pPr>
        <w:ind w:firstLine="624"/>
      </w:pPr>
      <w:r>
        <w:separator/>
      </w:r>
    </w:p>
  </w:footnote>
  <w:footnote w:type="continuationSeparator" w:id="0">
    <w:p w14:paraId="6605CA4E" w14:textId="77777777" w:rsidR="003F11CC" w:rsidRDefault="003F11CC" w:rsidP="004A504B">
      <w:r>
        <w:continuationSeparator/>
      </w:r>
    </w:p>
  </w:footnote>
  <w:footnote w:type="continuationNotice" w:id="1">
    <w:p w14:paraId="33E429EF" w14:textId="77777777" w:rsidR="003F11CC" w:rsidRDefault="003F11CC"/>
  </w:footnote>
  <w:footnote w:id="2">
    <w:p w14:paraId="30879450" w14:textId="1A72F96D" w:rsidR="00486D8C" w:rsidRPr="006638DC" w:rsidRDefault="00486D8C" w:rsidP="003C4D34">
      <w:pPr>
        <w:pStyle w:val="FootnoteText"/>
        <w:ind w:left="1276"/>
        <w:rPr>
          <w:sz w:val="18"/>
          <w:szCs w:val="18"/>
        </w:rPr>
      </w:pPr>
      <w:r w:rsidRPr="006638DC">
        <w:rPr>
          <w:rStyle w:val="FootnoteReference"/>
          <w:sz w:val="18"/>
          <w:szCs w:val="18"/>
        </w:rPr>
        <w:t>*</w:t>
      </w:r>
      <w:r w:rsidRPr="006638DC">
        <w:rPr>
          <w:sz w:val="18"/>
          <w:szCs w:val="18"/>
        </w:rPr>
        <w:t> UNEP/OzL.Pro.3</w:t>
      </w:r>
      <w:r w:rsidR="004A5387">
        <w:rPr>
          <w:sz w:val="18"/>
          <w:szCs w:val="18"/>
        </w:rPr>
        <w:t>8</w:t>
      </w:r>
      <w:r w:rsidRPr="006638DC">
        <w:rPr>
          <w:sz w:val="18"/>
          <w:szCs w:val="18"/>
        </w:rPr>
        <w:t>/1</w:t>
      </w:r>
    </w:p>
  </w:footnote>
  <w:footnote w:id="3">
    <w:p w14:paraId="3B627E05" w14:textId="485CDF5B" w:rsidR="000E1097" w:rsidRPr="00F70A60" w:rsidRDefault="000E1097" w:rsidP="00E43D6E">
      <w:pPr>
        <w:pStyle w:val="FootnoteText"/>
        <w:ind w:left="1276"/>
        <w:rPr>
          <w:sz w:val="18"/>
          <w:szCs w:val="18"/>
        </w:rPr>
      </w:pPr>
      <w:r w:rsidRPr="00E43D6E">
        <w:rPr>
          <w:rStyle w:val="FootnoteReference"/>
          <w:sz w:val="18"/>
          <w:szCs w:val="18"/>
        </w:rPr>
        <w:footnoteRef/>
      </w:r>
      <w:r w:rsidRPr="00E43D6E">
        <w:rPr>
          <w:sz w:val="18"/>
          <w:szCs w:val="18"/>
        </w:rPr>
        <w:t> UNEP/</w:t>
      </w:r>
      <w:proofErr w:type="spellStart"/>
      <w:r w:rsidRPr="00E43D6E">
        <w:rPr>
          <w:sz w:val="18"/>
          <w:szCs w:val="18"/>
        </w:rPr>
        <w:t>OzL.Pro</w:t>
      </w:r>
      <w:proofErr w:type="spellEnd"/>
      <w:r w:rsidRPr="00E43D6E">
        <w:rPr>
          <w:sz w:val="18"/>
          <w:szCs w:val="18"/>
        </w:rPr>
        <w:t>/ExCom/97/91 and UNEP/</w:t>
      </w:r>
      <w:proofErr w:type="spellStart"/>
      <w:r w:rsidRPr="00F70A60">
        <w:rPr>
          <w:sz w:val="18"/>
          <w:szCs w:val="18"/>
        </w:rPr>
        <w:t>OzL.Pro</w:t>
      </w:r>
      <w:proofErr w:type="spellEnd"/>
      <w:r w:rsidRPr="00F70A60">
        <w:rPr>
          <w:sz w:val="18"/>
          <w:szCs w:val="18"/>
        </w:rPr>
        <w:t>/ExCom/98/</w:t>
      </w:r>
      <w:r w:rsidR="00E43D6E" w:rsidRPr="00F70A60">
        <w:rPr>
          <w:sz w:val="18"/>
          <w:szCs w:val="18"/>
        </w:rPr>
        <w:t>6</w:t>
      </w:r>
      <w:r w:rsidR="001650E5">
        <w:rPr>
          <w:sz w:val="18"/>
          <w:szCs w:val="18"/>
        </w:rPr>
        <w:t>4</w:t>
      </w:r>
      <w:r w:rsidRPr="00F70A60">
        <w:rPr>
          <w:sz w:val="18"/>
          <w:szCs w:val="18"/>
        </w:rPr>
        <w:t>.</w:t>
      </w:r>
    </w:p>
  </w:footnote>
  <w:footnote w:id="4">
    <w:p w14:paraId="513A62F7" w14:textId="2895ECDA" w:rsidR="00C701FD" w:rsidRPr="00A348BD" w:rsidRDefault="00C701FD" w:rsidP="00F70A60">
      <w:pPr>
        <w:pStyle w:val="FootnoteText"/>
        <w:ind w:left="1276"/>
        <w:rPr>
          <w:sz w:val="18"/>
          <w:szCs w:val="18"/>
        </w:rPr>
      </w:pPr>
      <w:r w:rsidRPr="001650E5">
        <w:rPr>
          <w:sz w:val="18"/>
          <w:szCs w:val="18"/>
          <w:vertAlign w:val="superscript"/>
        </w:rPr>
        <w:footnoteRef/>
      </w:r>
      <w:r w:rsidRPr="00A348BD">
        <w:rPr>
          <w:sz w:val="18"/>
          <w:szCs w:val="18"/>
        </w:rPr>
        <w:t> UNEP/</w:t>
      </w:r>
      <w:proofErr w:type="spellStart"/>
      <w:r w:rsidRPr="00A348BD">
        <w:rPr>
          <w:sz w:val="18"/>
          <w:szCs w:val="18"/>
        </w:rPr>
        <w:t>OzL.Pro</w:t>
      </w:r>
      <w:proofErr w:type="spellEnd"/>
      <w:r w:rsidRPr="00A348BD">
        <w:rPr>
          <w:sz w:val="18"/>
          <w:szCs w:val="18"/>
        </w:rPr>
        <w:t>/ExCom/98/60.</w:t>
      </w:r>
    </w:p>
  </w:footnote>
  <w:footnote w:id="5">
    <w:p w14:paraId="5C13E601" w14:textId="14617122" w:rsidR="0047057B" w:rsidRPr="0047057B" w:rsidRDefault="0047057B" w:rsidP="0047057B">
      <w:pPr>
        <w:pStyle w:val="FootnoteText"/>
        <w:ind w:left="1276"/>
        <w:rPr>
          <w:lang w:val="en-GB"/>
        </w:rPr>
      </w:pPr>
      <w:r w:rsidRPr="001650E5">
        <w:rPr>
          <w:sz w:val="18"/>
          <w:szCs w:val="18"/>
          <w:vertAlign w:val="superscript"/>
        </w:rPr>
        <w:footnoteRef/>
      </w:r>
      <w:r w:rsidRPr="0047057B">
        <w:rPr>
          <w:sz w:val="18"/>
          <w:szCs w:val="18"/>
        </w:rPr>
        <w:t> UNEP/</w:t>
      </w:r>
      <w:proofErr w:type="spellStart"/>
      <w:r w:rsidRPr="0047057B">
        <w:rPr>
          <w:sz w:val="18"/>
          <w:szCs w:val="18"/>
        </w:rPr>
        <w:t>OzL.Pro</w:t>
      </w:r>
      <w:proofErr w:type="spellEnd"/>
      <w:r w:rsidRPr="0047057B">
        <w:rPr>
          <w:sz w:val="18"/>
          <w:szCs w:val="18"/>
        </w:rPr>
        <w:t>/ExCom/98/58.</w:t>
      </w:r>
    </w:p>
  </w:footnote>
  <w:footnote w:id="6">
    <w:p w14:paraId="4233CEDA" w14:textId="414F176C" w:rsidR="000E1097" w:rsidRPr="00E43D6E" w:rsidRDefault="000E1097" w:rsidP="00E43D6E">
      <w:pPr>
        <w:pStyle w:val="FootnoteText"/>
        <w:ind w:left="1276"/>
        <w:rPr>
          <w:sz w:val="18"/>
          <w:szCs w:val="18"/>
          <w:lang w:val="en-GB"/>
        </w:rPr>
      </w:pPr>
      <w:r w:rsidRPr="00F70A60">
        <w:rPr>
          <w:rStyle w:val="FootnoteReference"/>
          <w:sz w:val="18"/>
          <w:szCs w:val="18"/>
        </w:rPr>
        <w:footnoteRef/>
      </w:r>
      <w:r w:rsidR="002619A8">
        <w:rPr>
          <w:sz w:val="18"/>
          <w:szCs w:val="18"/>
        </w:rPr>
        <w:t> </w:t>
      </w:r>
      <w:r w:rsidRPr="00F70A60">
        <w:rPr>
          <w:sz w:val="18"/>
          <w:szCs w:val="18"/>
        </w:rPr>
        <w:t>UNEP/</w:t>
      </w:r>
      <w:proofErr w:type="spellStart"/>
      <w:r w:rsidRPr="00F70A60">
        <w:rPr>
          <w:sz w:val="18"/>
          <w:szCs w:val="18"/>
        </w:rPr>
        <w:t>OzL.Pro</w:t>
      </w:r>
      <w:proofErr w:type="spellEnd"/>
      <w:r w:rsidRPr="00F70A60">
        <w:rPr>
          <w:sz w:val="18"/>
          <w:szCs w:val="18"/>
        </w:rPr>
        <w:t>/ExCom/97/26, paragraphs 39</w:t>
      </w:r>
      <w:r w:rsidRPr="00E43D6E">
        <w:rPr>
          <w:sz w:val="18"/>
          <w:szCs w:val="18"/>
        </w:rPr>
        <w:t xml:space="preserve"> to 45</w:t>
      </w:r>
      <w:r w:rsidR="00CA1454">
        <w:rPr>
          <w:sz w:val="18"/>
          <w:szCs w:val="18"/>
        </w:rPr>
        <w:t xml:space="preserve">, and </w:t>
      </w:r>
      <w:r w:rsidR="00CA1454" w:rsidRPr="0047057B">
        <w:rPr>
          <w:sz w:val="18"/>
          <w:szCs w:val="18"/>
        </w:rPr>
        <w:t>UNEP/</w:t>
      </w:r>
      <w:proofErr w:type="spellStart"/>
      <w:r w:rsidR="00CA1454" w:rsidRPr="0047057B">
        <w:rPr>
          <w:sz w:val="18"/>
          <w:szCs w:val="18"/>
        </w:rPr>
        <w:t>OzL.Pro</w:t>
      </w:r>
      <w:proofErr w:type="spellEnd"/>
      <w:r w:rsidR="00CA1454" w:rsidRPr="0047057B">
        <w:rPr>
          <w:sz w:val="18"/>
          <w:szCs w:val="18"/>
        </w:rPr>
        <w:t>/ExCom/98/10, paragraphs 19 and 20</w:t>
      </w:r>
      <w:r w:rsidRPr="00E43D6E">
        <w:rPr>
          <w:sz w:val="18"/>
          <w:szCs w:val="18"/>
        </w:rPr>
        <w:t>.</w:t>
      </w:r>
    </w:p>
  </w:footnote>
  <w:footnote w:id="7">
    <w:p w14:paraId="45B8524D" w14:textId="77777777" w:rsidR="00292FAA" w:rsidRPr="00B26335" w:rsidRDefault="00292FAA" w:rsidP="00E43D6E">
      <w:pPr>
        <w:pStyle w:val="FootnoteText"/>
        <w:ind w:left="1276"/>
        <w:rPr>
          <w:sz w:val="18"/>
          <w:szCs w:val="18"/>
          <w:lang w:val="en-GB"/>
        </w:rPr>
      </w:pPr>
      <w:r w:rsidRPr="00E43D6E">
        <w:rPr>
          <w:rStyle w:val="FootnoteReference"/>
          <w:sz w:val="18"/>
          <w:szCs w:val="18"/>
        </w:rPr>
        <w:footnoteRef/>
      </w:r>
      <w:r w:rsidRPr="00B26335">
        <w:rPr>
          <w:sz w:val="18"/>
          <w:szCs w:val="18"/>
          <w:lang w:val="en-GB"/>
        </w:rPr>
        <w:t> UNEP/OzL.Pro/ExCom/97/85.</w:t>
      </w:r>
    </w:p>
  </w:footnote>
  <w:footnote w:id="8">
    <w:p w14:paraId="4B3A3980" w14:textId="77777777" w:rsidR="00292FAA" w:rsidRPr="00B26335" w:rsidRDefault="00292FAA" w:rsidP="002619A8">
      <w:pPr>
        <w:pStyle w:val="FootnoteText"/>
        <w:ind w:left="1276"/>
        <w:rPr>
          <w:sz w:val="18"/>
          <w:szCs w:val="18"/>
          <w:lang w:val="en-GB"/>
        </w:rPr>
      </w:pPr>
      <w:r w:rsidRPr="002619A8">
        <w:rPr>
          <w:sz w:val="18"/>
          <w:szCs w:val="18"/>
          <w:vertAlign w:val="superscript"/>
        </w:rPr>
        <w:footnoteRef/>
      </w:r>
      <w:r w:rsidRPr="00B26335">
        <w:rPr>
          <w:sz w:val="18"/>
          <w:szCs w:val="18"/>
          <w:lang w:val="en-GB"/>
        </w:rPr>
        <w:t> UNEP/OzL.Pro/ExCom/97/86.</w:t>
      </w:r>
    </w:p>
  </w:footnote>
  <w:footnote w:id="9">
    <w:p w14:paraId="09A774AD" w14:textId="4FB1CB61" w:rsidR="00D96CD3" w:rsidRPr="00B26335" w:rsidRDefault="00D96CD3" w:rsidP="002619A8">
      <w:pPr>
        <w:pStyle w:val="FootnoteText"/>
        <w:ind w:left="1276"/>
        <w:rPr>
          <w:sz w:val="18"/>
          <w:szCs w:val="18"/>
          <w:lang w:val="en-GB"/>
        </w:rPr>
      </w:pPr>
      <w:r w:rsidRPr="002619A8">
        <w:rPr>
          <w:sz w:val="18"/>
          <w:szCs w:val="18"/>
          <w:vertAlign w:val="superscript"/>
        </w:rPr>
        <w:footnoteRef/>
      </w:r>
      <w:r w:rsidRPr="00B26335">
        <w:rPr>
          <w:sz w:val="18"/>
          <w:szCs w:val="18"/>
          <w:lang w:val="en-GB"/>
        </w:rPr>
        <w:t> UNEP/OzL.Pro/ExCom/98/59.</w:t>
      </w:r>
    </w:p>
  </w:footnote>
  <w:footnote w:id="10">
    <w:p w14:paraId="0E8572D8" w14:textId="1E896D23" w:rsidR="008F1D8E" w:rsidRPr="00B26335" w:rsidRDefault="008F1D8E" w:rsidP="008F1D8E">
      <w:pPr>
        <w:pStyle w:val="FootnoteText"/>
        <w:ind w:left="1276"/>
        <w:rPr>
          <w:sz w:val="18"/>
          <w:szCs w:val="18"/>
          <w:lang w:val="en-GB"/>
        </w:rPr>
      </w:pPr>
      <w:r w:rsidRPr="008F1D8E">
        <w:rPr>
          <w:rStyle w:val="FootnoteReference"/>
          <w:sz w:val="18"/>
          <w:szCs w:val="18"/>
        </w:rPr>
        <w:footnoteRef/>
      </w:r>
      <w:r w:rsidRPr="00B26335">
        <w:rPr>
          <w:sz w:val="18"/>
          <w:szCs w:val="18"/>
          <w:lang w:val="en-GB"/>
        </w:rPr>
        <w:t> UNEP/OzL.Pro/ExCom/98/55.</w:t>
      </w:r>
    </w:p>
  </w:footnote>
  <w:footnote w:id="11">
    <w:p w14:paraId="1B1E785A" w14:textId="77777777" w:rsidR="00292FAA" w:rsidRPr="00B26335" w:rsidRDefault="00292FAA" w:rsidP="00BE460D">
      <w:pPr>
        <w:pStyle w:val="FootnoteText"/>
        <w:ind w:left="1276"/>
        <w:rPr>
          <w:sz w:val="18"/>
          <w:szCs w:val="18"/>
          <w:lang w:val="en-GB"/>
        </w:rPr>
      </w:pPr>
      <w:r w:rsidRPr="00BE460D">
        <w:rPr>
          <w:sz w:val="18"/>
          <w:szCs w:val="18"/>
          <w:vertAlign w:val="superscript"/>
        </w:rPr>
        <w:footnoteRef/>
      </w:r>
      <w:r w:rsidRPr="00B26335">
        <w:rPr>
          <w:sz w:val="18"/>
          <w:szCs w:val="18"/>
          <w:lang w:val="en-GB"/>
        </w:rPr>
        <w:t> UNEP/OzL.Pro/ExCom/97/87.</w:t>
      </w:r>
    </w:p>
  </w:footnote>
  <w:footnote w:id="12">
    <w:p w14:paraId="7AFBE05F" w14:textId="77777777" w:rsidR="00292FAA" w:rsidRPr="00B26335" w:rsidRDefault="00292FAA" w:rsidP="00BE460D">
      <w:pPr>
        <w:pStyle w:val="FootnoteText"/>
        <w:ind w:left="1276"/>
        <w:rPr>
          <w:sz w:val="18"/>
          <w:szCs w:val="18"/>
          <w:lang w:val="en-GB"/>
        </w:rPr>
      </w:pPr>
      <w:r w:rsidRPr="00BE460D">
        <w:rPr>
          <w:sz w:val="18"/>
          <w:szCs w:val="18"/>
          <w:vertAlign w:val="superscript"/>
        </w:rPr>
        <w:footnoteRef/>
      </w:r>
      <w:r w:rsidRPr="00B26335">
        <w:rPr>
          <w:sz w:val="18"/>
          <w:szCs w:val="18"/>
          <w:lang w:val="en-GB"/>
        </w:rPr>
        <w:t> UNEP/OzL.Pro/ExCom/97/26, paragraphs 34 to 38.</w:t>
      </w:r>
    </w:p>
  </w:footnote>
  <w:footnote w:id="13">
    <w:p w14:paraId="20F44037" w14:textId="5DC271BB" w:rsidR="00BE460D" w:rsidRPr="00B26335" w:rsidRDefault="00BE460D" w:rsidP="00BE460D">
      <w:pPr>
        <w:pStyle w:val="FootnoteText"/>
        <w:ind w:left="1276"/>
        <w:rPr>
          <w:sz w:val="18"/>
          <w:szCs w:val="18"/>
          <w:lang w:val="en-GB"/>
        </w:rPr>
      </w:pPr>
      <w:r w:rsidRPr="00BE460D">
        <w:rPr>
          <w:rStyle w:val="FootnoteReference"/>
          <w:sz w:val="18"/>
          <w:szCs w:val="18"/>
        </w:rPr>
        <w:footnoteRef/>
      </w:r>
      <w:r w:rsidRPr="00B26335">
        <w:rPr>
          <w:sz w:val="18"/>
          <w:szCs w:val="18"/>
          <w:lang w:val="en-GB"/>
        </w:rPr>
        <w:t> UNEP/OzL.Pro/ExCom/98/57.</w:t>
      </w:r>
    </w:p>
  </w:footnote>
  <w:footnote w:id="14">
    <w:p w14:paraId="2BDB87E3" w14:textId="77777777" w:rsidR="00292FAA" w:rsidRPr="00842030" w:rsidRDefault="00292FAA" w:rsidP="00842030">
      <w:pPr>
        <w:pStyle w:val="FootnoteText"/>
        <w:ind w:left="624" w:firstLine="624"/>
        <w:rPr>
          <w:sz w:val="18"/>
          <w:szCs w:val="18"/>
        </w:rPr>
      </w:pPr>
      <w:r w:rsidRPr="00842030">
        <w:rPr>
          <w:sz w:val="18"/>
          <w:szCs w:val="18"/>
          <w:vertAlign w:val="superscript"/>
        </w:rPr>
        <w:footnoteRef/>
      </w:r>
      <w:r w:rsidRPr="00842030">
        <w:rPr>
          <w:sz w:val="18"/>
          <w:szCs w:val="18"/>
        </w:rPr>
        <w:t> UNEP/</w:t>
      </w:r>
      <w:proofErr w:type="spellStart"/>
      <w:r w:rsidRPr="00842030">
        <w:rPr>
          <w:sz w:val="18"/>
          <w:szCs w:val="18"/>
        </w:rPr>
        <w:t>OzL.Pro</w:t>
      </w:r>
      <w:proofErr w:type="spellEnd"/>
      <w:r w:rsidRPr="00842030">
        <w:rPr>
          <w:sz w:val="18"/>
          <w:szCs w:val="18"/>
        </w:rPr>
        <w:t>/ExCom/97/26, paragraphs 14 to 33.</w:t>
      </w:r>
    </w:p>
  </w:footnote>
  <w:footnote w:id="15">
    <w:p w14:paraId="1FF8CE2F" w14:textId="77777777" w:rsidR="00292FAA" w:rsidRPr="00842030" w:rsidRDefault="00292FAA" w:rsidP="00F00F9E">
      <w:pPr>
        <w:pStyle w:val="FootnoteText"/>
        <w:ind w:left="624" w:firstLine="624"/>
        <w:rPr>
          <w:sz w:val="18"/>
          <w:szCs w:val="18"/>
        </w:rPr>
      </w:pPr>
      <w:r w:rsidRPr="00842030">
        <w:rPr>
          <w:sz w:val="18"/>
          <w:szCs w:val="18"/>
          <w:vertAlign w:val="superscript"/>
        </w:rPr>
        <w:footnoteRef/>
      </w:r>
      <w:r w:rsidRPr="00842030">
        <w:rPr>
          <w:sz w:val="18"/>
          <w:szCs w:val="18"/>
        </w:rPr>
        <w:t> UNEP/</w:t>
      </w:r>
      <w:proofErr w:type="spellStart"/>
      <w:r w:rsidRPr="00842030">
        <w:rPr>
          <w:sz w:val="18"/>
          <w:szCs w:val="18"/>
        </w:rPr>
        <w:t>OzL.Pro</w:t>
      </w:r>
      <w:proofErr w:type="spellEnd"/>
      <w:r w:rsidRPr="00842030">
        <w:rPr>
          <w:sz w:val="18"/>
          <w:szCs w:val="18"/>
        </w:rPr>
        <w:t>/ExCom/97/91, annex XXVIII.</w:t>
      </w:r>
    </w:p>
  </w:footnote>
  <w:footnote w:id="16">
    <w:p w14:paraId="49E8E9A5" w14:textId="14BA1D24" w:rsidR="00F00F9E" w:rsidRPr="00F41595" w:rsidRDefault="00F00F9E" w:rsidP="00F00F9E">
      <w:pPr>
        <w:pStyle w:val="FootnoteText"/>
        <w:ind w:left="624" w:firstLine="624"/>
        <w:rPr>
          <w:sz w:val="18"/>
          <w:szCs w:val="18"/>
          <w:lang w:val="pt-BR"/>
        </w:rPr>
      </w:pPr>
      <w:r w:rsidRPr="00842030">
        <w:rPr>
          <w:sz w:val="18"/>
          <w:szCs w:val="18"/>
          <w:vertAlign w:val="superscript"/>
        </w:rPr>
        <w:footnoteRef/>
      </w:r>
      <w:r w:rsidR="00842030" w:rsidRPr="00F41595">
        <w:rPr>
          <w:sz w:val="18"/>
          <w:szCs w:val="18"/>
          <w:lang w:val="pt-BR"/>
        </w:rPr>
        <w:t> </w:t>
      </w:r>
      <w:r w:rsidRPr="00F41595">
        <w:rPr>
          <w:sz w:val="18"/>
          <w:szCs w:val="18"/>
          <w:lang w:val="pt-BR"/>
        </w:rPr>
        <w:t>UNEP/OzL.Pro/ExCom/98/10/Add.1.</w:t>
      </w:r>
    </w:p>
  </w:footnote>
  <w:footnote w:id="17">
    <w:p w14:paraId="64D69DB6" w14:textId="2315F183" w:rsidR="00F00F9E" w:rsidRPr="00B26335" w:rsidRDefault="00F00F9E" w:rsidP="00F00F9E">
      <w:pPr>
        <w:pStyle w:val="FootnoteText"/>
        <w:ind w:left="624" w:firstLine="624"/>
        <w:rPr>
          <w:sz w:val="18"/>
          <w:szCs w:val="18"/>
        </w:rPr>
      </w:pPr>
      <w:r w:rsidRPr="00842030">
        <w:rPr>
          <w:sz w:val="18"/>
          <w:szCs w:val="18"/>
          <w:vertAlign w:val="superscript"/>
        </w:rPr>
        <w:footnoteRef/>
      </w:r>
      <w:r w:rsidRPr="00B26335">
        <w:rPr>
          <w:sz w:val="18"/>
          <w:szCs w:val="18"/>
        </w:rPr>
        <w:t> UNEP/OzL.Pro/ExCom/98/63, annex XXXIX.</w:t>
      </w:r>
    </w:p>
  </w:footnote>
  <w:footnote w:id="18">
    <w:p w14:paraId="4AECD788" w14:textId="77777777" w:rsidR="00C339F4" w:rsidRPr="00842030" w:rsidRDefault="00C339F4" w:rsidP="00842030">
      <w:pPr>
        <w:pStyle w:val="FootnoteText"/>
        <w:ind w:left="624" w:firstLine="624"/>
        <w:rPr>
          <w:sz w:val="18"/>
          <w:szCs w:val="18"/>
        </w:rPr>
      </w:pPr>
      <w:r w:rsidRPr="00842030">
        <w:rPr>
          <w:sz w:val="18"/>
          <w:szCs w:val="18"/>
          <w:vertAlign w:val="superscript"/>
        </w:rPr>
        <w:footnoteRef/>
      </w:r>
      <w:r w:rsidRPr="00842030">
        <w:rPr>
          <w:sz w:val="18"/>
          <w:szCs w:val="18"/>
        </w:rPr>
        <w:t> UNEP/</w:t>
      </w:r>
      <w:proofErr w:type="spellStart"/>
      <w:r w:rsidRPr="00842030">
        <w:rPr>
          <w:sz w:val="18"/>
          <w:szCs w:val="18"/>
        </w:rPr>
        <w:t>OzL.Pro</w:t>
      </w:r>
      <w:proofErr w:type="spellEnd"/>
      <w:r w:rsidRPr="00842030">
        <w:rPr>
          <w:sz w:val="18"/>
          <w:szCs w:val="18"/>
        </w:rPr>
        <w:t>/ExCom/98/10, paragraphs 13 to 17.</w:t>
      </w:r>
    </w:p>
  </w:footnote>
  <w:footnote w:id="19">
    <w:p w14:paraId="223A18C6" w14:textId="7DCB91B6" w:rsidR="004E1FE2" w:rsidRPr="003208C3" w:rsidRDefault="004E1FE2" w:rsidP="004F503A">
      <w:pPr>
        <w:pStyle w:val="FootnoteText"/>
        <w:ind w:left="624" w:firstLine="624"/>
        <w:rPr>
          <w:sz w:val="18"/>
          <w:szCs w:val="18"/>
          <w:lang w:val="en-GB"/>
        </w:rPr>
      </w:pPr>
      <w:r w:rsidRPr="004F503A">
        <w:rPr>
          <w:sz w:val="18"/>
          <w:szCs w:val="18"/>
          <w:vertAlign w:val="superscript"/>
        </w:rPr>
        <w:footnoteRef/>
      </w:r>
      <w:r w:rsidR="004F503A">
        <w:rPr>
          <w:sz w:val="18"/>
          <w:szCs w:val="18"/>
        </w:rPr>
        <w:t> </w:t>
      </w:r>
      <w:r w:rsidRPr="004F503A">
        <w:rPr>
          <w:sz w:val="18"/>
          <w:szCs w:val="18"/>
        </w:rPr>
        <w:t>UNEP/</w:t>
      </w:r>
      <w:proofErr w:type="spellStart"/>
      <w:r w:rsidRPr="004F503A">
        <w:rPr>
          <w:sz w:val="18"/>
          <w:szCs w:val="18"/>
        </w:rPr>
        <w:t>OzL.Pro</w:t>
      </w:r>
      <w:proofErr w:type="spellEnd"/>
      <w:r w:rsidRPr="004F503A">
        <w:rPr>
          <w:sz w:val="18"/>
          <w:szCs w:val="18"/>
        </w:rPr>
        <w:t>/</w:t>
      </w:r>
      <w:r w:rsidRPr="003208C3">
        <w:rPr>
          <w:sz w:val="18"/>
          <w:szCs w:val="18"/>
        </w:rPr>
        <w:t>ExCom/98/61</w:t>
      </w:r>
      <w:r w:rsidR="004F503A" w:rsidRPr="003208C3">
        <w:rPr>
          <w:sz w:val="18"/>
          <w:szCs w:val="18"/>
        </w:rPr>
        <w:t>.</w:t>
      </w:r>
    </w:p>
  </w:footnote>
  <w:footnote w:id="20">
    <w:p w14:paraId="48D82455" w14:textId="468147EF" w:rsidR="004E1FE2" w:rsidRPr="003208C3" w:rsidRDefault="004E1FE2" w:rsidP="004F503A">
      <w:pPr>
        <w:pStyle w:val="FootnoteText"/>
        <w:ind w:left="624" w:firstLine="624"/>
        <w:rPr>
          <w:sz w:val="18"/>
          <w:szCs w:val="18"/>
        </w:rPr>
      </w:pPr>
      <w:r w:rsidRPr="003208C3">
        <w:rPr>
          <w:sz w:val="18"/>
          <w:szCs w:val="18"/>
          <w:vertAlign w:val="superscript"/>
        </w:rPr>
        <w:footnoteRef/>
      </w:r>
      <w:r w:rsidR="004F503A" w:rsidRPr="003208C3">
        <w:rPr>
          <w:sz w:val="18"/>
          <w:szCs w:val="18"/>
        </w:rPr>
        <w:t> </w:t>
      </w:r>
      <w:r w:rsidRPr="003208C3">
        <w:rPr>
          <w:sz w:val="18"/>
          <w:szCs w:val="18"/>
        </w:rPr>
        <w:fldChar w:fldCharType="begin"/>
      </w:r>
      <w:r w:rsidRPr="003208C3">
        <w:rPr>
          <w:sz w:val="18"/>
          <w:szCs w:val="18"/>
        </w:rPr>
        <w:instrText>DOCPROPERTY "Document number"  \* MERGEFORMAT</w:instrText>
      </w:r>
      <w:r w:rsidRPr="003208C3">
        <w:rPr>
          <w:sz w:val="18"/>
          <w:szCs w:val="18"/>
        </w:rPr>
        <w:fldChar w:fldCharType="separate"/>
      </w:r>
      <w:r w:rsidRPr="003208C3">
        <w:rPr>
          <w:sz w:val="18"/>
          <w:szCs w:val="18"/>
        </w:rPr>
        <w:t>UNEP/</w:t>
      </w:r>
      <w:proofErr w:type="spellStart"/>
      <w:r w:rsidRPr="003208C3">
        <w:rPr>
          <w:sz w:val="18"/>
          <w:szCs w:val="18"/>
        </w:rPr>
        <w:t>OzL.Pro</w:t>
      </w:r>
      <w:proofErr w:type="spellEnd"/>
      <w:r w:rsidRPr="003208C3">
        <w:rPr>
          <w:sz w:val="18"/>
          <w:szCs w:val="18"/>
        </w:rPr>
        <w:t>/ExCom/98/64</w:t>
      </w:r>
      <w:r w:rsidRPr="003208C3">
        <w:rPr>
          <w:sz w:val="18"/>
          <w:szCs w:val="18"/>
        </w:rPr>
        <w:fldChar w:fldCharType="end"/>
      </w:r>
      <w:r w:rsidRPr="003208C3">
        <w:rPr>
          <w:sz w:val="18"/>
          <w:szCs w:val="18"/>
        </w:rPr>
        <w:t>, annexes LXX, LXXI and LXXII.</w:t>
      </w:r>
    </w:p>
  </w:footnote>
  <w:footnote w:id="21">
    <w:p w14:paraId="30E683C7" w14:textId="7A8031FD" w:rsidR="004F503A" w:rsidRPr="003208C3" w:rsidRDefault="004F503A" w:rsidP="004F503A">
      <w:pPr>
        <w:pStyle w:val="FootnoteText"/>
        <w:ind w:left="624" w:firstLine="624"/>
        <w:rPr>
          <w:sz w:val="18"/>
          <w:szCs w:val="18"/>
          <w:lang w:val="en-GB"/>
        </w:rPr>
      </w:pPr>
      <w:r w:rsidRPr="003208C3">
        <w:rPr>
          <w:sz w:val="18"/>
          <w:szCs w:val="18"/>
          <w:vertAlign w:val="superscript"/>
        </w:rPr>
        <w:footnoteRef/>
      </w:r>
      <w:r w:rsidRPr="003208C3">
        <w:rPr>
          <w:sz w:val="18"/>
          <w:szCs w:val="18"/>
        </w:rPr>
        <w:t> As specified in table 1 of document UNEP/</w:t>
      </w:r>
      <w:proofErr w:type="spellStart"/>
      <w:r w:rsidRPr="003208C3">
        <w:rPr>
          <w:sz w:val="18"/>
          <w:szCs w:val="18"/>
        </w:rPr>
        <w:t>OzL.Pro</w:t>
      </w:r>
      <w:proofErr w:type="spellEnd"/>
      <w:r w:rsidRPr="003208C3">
        <w:rPr>
          <w:sz w:val="18"/>
          <w:szCs w:val="18"/>
        </w:rPr>
        <w:t>/ExCom/98/61.</w:t>
      </w:r>
    </w:p>
  </w:footnote>
  <w:footnote w:id="22">
    <w:p w14:paraId="0F3C6D5A" w14:textId="77777777" w:rsidR="004E1FE2" w:rsidRPr="00FD4856" w:rsidRDefault="004E1FE2" w:rsidP="004E1FE2">
      <w:pPr>
        <w:pStyle w:val="FootnoteText"/>
        <w:ind w:left="624" w:firstLine="624"/>
        <w:rPr>
          <w:sz w:val="18"/>
          <w:szCs w:val="18"/>
        </w:rPr>
      </w:pPr>
      <w:r w:rsidRPr="00FD4856">
        <w:rPr>
          <w:sz w:val="18"/>
          <w:szCs w:val="18"/>
          <w:vertAlign w:val="superscript"/>
        </w:rPr>
        <w:footnoteRef/>
      </w:r>
      <w:r w:rsidRPr="00FD4856">
        <w:rPr>
          <w:sz w:val="18"/>
          <w:szCs w:val="18"/>
        </w:rPr>
        <w:t> UNEP/</w:t>
      </w:r>
      <w:proofErr w:type="spellStart"/>
      <w:r w:rsidRPr="00FD4856">
        <w:rPr>
          <w:sz w:val="18"/>
          <w:szCs w:val="18"/>
        </w:rPr>
        <w:t>OzL.Pro</w:t>
      </w:r>
      <w:proofErr w:type="spellEnd"/>
      <w:r w:rsidRPr="00FD4856">
        <w:rPr>
          <w:sz w:val="18"/>
          <w:szCs w:val="18"/>
        </w:rPr>
        <w:t>/ExCom/98/56.</w:t>
      </w:r>
    </w:p>
  </w:footnote>
  <w:footnote w:id="23">
    <w:p w14:paraId="13EA1984" w14:textId="4839B5AB" w:rsidR="00292FAA" w:rsidRPr="00FD4856" w:rsidRDefault="00292FAA" w:rsidP="00F00F9E">
      <w:pPr>
        <w:pStyle w:val="FootnoteText"/>
        <w:ind w:left="624" w:firstLine="624"/>
        <w:rPr>
          <w:sz w:val="18"/>
          <w:szCs w:val="18"/>
          <w:vertAlign w:val="superscript"/>
        </w:rPr>
      </w:pPr>
      <w:r w:rsidRPr="00FD4856">
        <w:rPr>
          <w:sz w:val="18"/>
          <w:szCs w:val="18"/>
          <w:vertAlign w:val="superscript"/>
        </w:rPr>
        <w:footnoteRef/>
      </w:r>
      <w:r w:rsidR="00FD4856">
        <w:rPr>
          <w:sz w:val="18"/>
          <w:szCs w:val="18"/>
        </w:rPr>
        <w:t> </w:t>
      </w:r>
      <w:r w:rsidRPr="00FD4856">
        <w:rPr>
          <w:sz w:val="18"/>
          <w:szCs w:val="18"/>
        </w:rPr>
        <w:t>UNEP/</w:t>
      </w:r>
      <w:proofErr w:type="spellStart"/>
      <w:r w:rsidRPr="00FD4856">
        <w:rPr>
          <w:sz w:val="18"/>
          <w:szCs w:val="18"/>
        </w:rPr>
        <w:t>OzL.Pro</w:t>
      </w:r>
      <w:proofErr w:type="spellEnd"/>
      <w:r w:rsidRPr="00FD4856">
        <w:rPr>
          <w:sz w:val="18"/>
          <w:szCs w:val="18"/>
        </w:rPr>
        <w:t>/ExCom/97/88.</w:t>
      </w:r>
    </w:p>
  </w:footnote>
  <w:footnote w:id="24">
    <w:p w14:paraId="16E1A017" w14:textId="09FAA4F4" w:rsidR="00292FAA" w:rsidRPr="00FD4856" w:rsidRDefault="00292FAA" w:rsidP="00F00F9E">
      <w:pPr>
        <w:pStyle w:val="FootnoteText"/>
        <w:ind w:left="624" w:firstLine="624"/>
        <w:rPr>
          <w:sz w:val="18"/>
          <w:szCs w:val="18"/>
          <w:lang w:val="en-GB"/>
        </w:rPr>
      </w:pPr>
      <w:r w:rsidRPr="00FD4856">
        <w:rPr>
          <w:sz w:val="18"/>
          <w:szCs w:val="18"/>
          <w:vertAlign w:val="superscript"/>
        </w:rPr>
        <w:footnoteRef/>
      </w:r>
      <w:r w:rsidR="00FD4856">
        <w:rPr>
          <w:sz w:val="18"/>
          <w:szCs w:val="18"/>
        </w:rPr>
        <w:t> </w:t>
      </w:r>
      <w:r w:rsidRPr="00FD4856">
        <w:rPr>
          <w:sz w:val="18"/>
          <w:szCs w:val="18"/>
        </w:rPr>
        <w:t>UNEP/</w:t>
      </w:r>
      <w:proofErr w:type="spellStart"/>
      <w:r w:rsidRPr="00FD4856">
        <w:rPr>
          <w:sz w:val="18"/>
          <w:szCs w:val="18"/>
        </w:rPr>
        <w:t>OzL.Pro</w:t>
      </w:r>
      <w:proofErr w:type="spellEnd"/>
      <w:r w:rsidRPr="00FD4856">
        <w:rPr>
          <w:sz w:val="18"/>
          <w:szCs w:val="18"/>
        </w:rPr>
        <w:t>/ExCom/97/89.</w:t>
      </w:r>
    </w:p>
  </w:footnote>
  <w:footnote w:id="25">
    <w:p w14:paraId="68C7629A" w14:textId="3AD673DA" w:rsidR="00292FAA" w:rsidRPr="00FD4856" w:rsidRDefault="00292FAA" w:rsidP="00FD4856">
      <w:pPr>
        <w:pStyle w:val="FootnoteText"/>
        <w:ind w:left="624" w:firstLine="624"/>
        <w:rPr>
          <w:sz w:val="18"/>
          <w:szCs w:val="18"/>
          <w:lang w:val="en-US"/>
        </w:rPr>
      </w:pPr>
      <w:r w:rsidRPr="00FD4856">
        <w:rPr>
          <w:sz w:val="18"/>
          <w:szCs w:val="18"/>
          <w:vertAlign w:val="superscript"/>
        </w:rPr>
        <w:footnoteRef/>
      </w:r>
      <w:r w:rsidRPr="00FD4856">
        <w:rPr>
          <w:sz w:val="18"/>
          <w:szCs w:val="18"/>
          <w:lang w:val="en-US"/>
        </w:rPr>
        <w:t> UNEP/</w:t>
      </w:r>
      <w:proofErr w:type="spellStart"/>
      <w:r w:rsidRPr="00FD4856">
        <w:rPr>
          <w:sz w:val="18"/>
          <w:szCs w:val="18"/>
          <w:lang w:val="en-US"/>
        </w:rPr>
        <w:t>OzL.Pro</w:t>
      </w:r>
      <w:proofErr w:type="spellEnd"/>
      <w:r w:rsidRPr="00FD4856">
        <w:rPr>
          <w:sz w:val="18"/>
          <w:szCs w:val="18"/>
          <w:lang w:val="en-US"/>
        </w:rPr>
        <w:t>/ExCom/97/90.</w:t>
      </w:r>
    </w:p>
  </w:footnote>
  <w:footnote w:id="26">
    <w:p w14:paraId="45329B4C" w14:textId="50E387EC" w:rsidR="00511DA2" w:rsidRPr="00D95837" w:rsidRDefault="00511DA2" w:rsidP="00D95837">
      <w:pPr>
        <w:pStyle w:val="FootnoteText"/>
        <w:ind w:left="624" w:firstLine="624"/>
        <w:rPr>
          <w:sz w:val="18"/>
          <w:szCs w:val="18"/>
        </w:rPr>
      </w:pPr>
      <w:r w:rsidRPr="00D95837">
        <w:rPr>
          <w:sz w:val="18"/>
          <w:szCs w:val="18"/>
          <w:vertAlign w:val="superscript"/>
        </w:rPr>
        <w:footnoteRef/>
      </w:r>
      <w:r w:rsidRPr="00D95837">
        <w:rPr>
          <w:sz w:val="18"/>
          <w:szCs w:val="18"/>
        </w:rPr>
        <w:t> UNEP/</w:t>
      </w:r>
      <w:proofErr w:type="spellStart"/>
      <w:r w:rsidRPr="00D95837">
        <w:rPr>
          <w:sz w:val="18"/>
          <w:szCs w:val="18"/>
        </w:rPr>
        <w:t>OzL.Pro</w:t>
      </w:r>
      <w:proofErr w:type="spellEnd"/>
      <w:r w:rsidRPr="00D95837">
        <w:rPr>
          <w:sz w:val="18"/>
          <w:szCs w:val="18"/>
        </w:rPr>
        <w:t>/ExCom/97/28 and UNEP/</w:t>
      </w:r>
      <w:proofErr w:type="spellStart"/>
      <w:r w:rsidRPr="00D95837">
        <w:rPr>
          <w:sz w:val="18"/>
          <w:szCs w:val="18"/>
        </w:rPr>
        <w:t>OzL.Pro</w:t>
      </w:r>
      <w:proofErr w:type="spellEnd"/>
      <w:r w:rsidRPr="00D95837">
        <w:rPr>
          <w:sz w:val="18"/>
          <w:szCs w:val="18"/>
        </w:rPr>
        <w:t>/ExCom/98/</w:t>
      </w:r>
      <w:r w:rsidR="00D95837" w:rsidRPr="00D95837">
        <w:rPr>
          <w:sz w:val="18"/>
          <w:szCs w:val="18"/>
        </w:rPr>
        <w:t>12</w:t>
      </w:r>
      <w:r w:rsidRPr="00D95837">
        <w:rPr>
          <w:sz w:val="18"/>
          <w:szCs w:val="18"/>
        </w:rPr>
        <w:t>.</w:t>
      </w:r>
    </w:p>
  </w:footnote>
  <w:footnote w:id="27">
    <w:p w14:paraId="417C94C4" w14:textId="419F47C5" w:rsidR="00511DA2" w:rsidRPr="004A5387" w:rsidRDefault="00511DA2" w:rsidP="00D95837">
      <w:pPr>
        <w:pStyle w:val="FootnoteText"/>
        <w:ind w:left="624" w:firstLine="624"/>
        <w:rPr>
          <w:sz w:val="18"/>
          <w:szCs w:val="18"/>
          <w:lang w:val="en-US"/>
        </w:rPr>
      </w:pPr>
      <w:r w:rsidRPr="00D95837">
        <w:rPr>
          <w:sz w:val="18"/>
          <w:szCs w:val="18"/>
          <w:vertAlign w:val="superscript"/>
        </w:rPr>
        <w:footnoteRef/>
      </w:r>
      <w:r w:rsidRPr="00D95837">
        <w:rPr>
          <w:sz w:val="18"/>
          <w:szCs w:val="18"/>
        </w:rPr>
        <w:t> UNEP/</w:t>
      </w:r>
      <w:proofErr w:type="spellStart"/>
      <w:r w:rsidRPr="00D95837">
        <w:rPr>
          <w:sz w:val="18"/>
          <w:szCs w:val="18"/>
        </w:rPr>
        <w:t>OzL.Pro</w:t>
      </w:r>
      <w:proofErr w:type="spellEnd"/>
      <w:r w:rsidRPr="00D95837">
        <w:rPr>
          <w:sz w:val="18"/>
          <w:szCs w:val="18"/>
        </w:rPr>
        <w:t xml:space="preserve">/ExCom/97/29 and </w:t>
      </w:r>
      <w:r w:rsidRPr="004A5387">
        <w:rPr>
          <w:sz w:val="18"/>
          <w:szCs w:val="18"/>
        </w:rPr>
        <w:t>UNEP/</w:t>
      </w:r>
      <w:proofErr w:type="spellStart"/>
      <w:r w:rsidRPr="004A5387">
        <w:rPr>
          <w:sz w:val="18"/>
          <w:szCs w:val="18"/>
        </w:rPr>
        <w:t>OzL.Pro</w:t>
      </w:r>
      <w:proofErr w:type="spellEnd"/>
      <w:r w:rsidRPr="004A5387">
        <w:rPr>
          <w:sz w:val="18"/>
          <w:szCs w:val="18"/>
        </w:rPr>
        <w:t>/ExCom/98/</w:t>
      </w:r>
      <w:r w:rsidR="00D95837" w:rsidRPr="004A5387">
        <w:rPr>
          <w:sz w:val="18"/>
          <w:szCs w:val="18"/>
        </w:rPr>
        <w:t>13</w:t>
      </w:r>
      <w:r w:rsidRPr="004A5387">
        <w:rPr>
          <w:sz w:val="18"/>
          <w:szCs w:val="18"/>
        </w:rPr>
        <w:t>.</w:t>
      </w:r>
    </w:p>
  </w:footnote>
  <w:footnote w:id="28">
    <w:p w14:paraId="6363FB18" w14:textId="77777777" w:rsidR="00511DA2" w:rsidRPr="004A5387" w:rsidRDefault="00511DA2" w:rsidP="004A5387">
      <w:pPr>
        <w:pStyle w:val="FootnoteText"/>
        <w:ind w:left="624" w:firstLine="624"/>
        <w:rPr>
          <w:sz w:val="18"/>
          <w:szCs w:val="18"/>
          <w:lang w:val="en-US"/>
        </w:rPr>
      </w:pPr>
      <w:r w:rsidRPr="004A5387">
        <w:rPr>
          <w:sz w:val="18"/>
          <w:szCs w:val="18"/>
          <w:vertAlign w:val="superscript"/>
        </w:rPr>
        <w:footnoteRef/>
      </w:r>
      <w:r w:rsidRPr="004A5387">
        <w:rPr>
          <w:sz w:val="18"/>
          <w:szCs w:val="18"/>
        </w:rPr>
        <w:t> UNEP/</w:t>
      </w:r>
      <w:proofErr w:type="spellStart"/>
      <w:r w:rsidRPr="004A5387">
        <w:rPr>
          <w:sz w:val="18"/>
          <w:szCs w:val="18"/>
        </w:rPr>
        <w:t>OzL.Pro</w:t>
      </w:r>
      <w:proofErr w:type="spellEnd"/>
      <w:r w:rsidRPr="004A5387">
        <w:rPr>
          <w:sz w:val="18"/>
          <w:szCs w:val="18"/>
        </w:rPr>
        <w:t>/ExCom/97/27.</w:t>
      </w:r>
      <w:r w:rsidRPr="004A5387">
        <w:rPr>
          <w:sz w:val="18"/>
          <w:szCs w:val="18"/>
          <w:lang w:val="en-US"/>
        </w:rPr>
        <w:t xml:space="preserve"> </w:t>
      </w:r>
    </w:p>
  </w:footnote>
  <w:footnote w:id="29">
    <w:p w14:paraId="0DA4A409" w14:textId="77777777" w:rsidR="00511DA2" w:rsidRPr="004A5387" w:rsidRDefault="00511DA2" w:rsidP="004A5387">
      <w:pPr>
        <w:pStyle w:val="FootnoteText"/>
        <w:ind w:left="624" w:firstLine="624"/>
        <w:rPr>
          <w:sz w:val="18"/>
          <w:szCs w:val="18"/>
          <w:lang w:val="en-US"/>
        </w:rPr>
      </w:pPr>
      <w:r w:rsidRPr="004A5387">
        <w:rPr>
          <w:rStyle w:val="FootnoteReference"/>
          <w:sz w:val="18"/>
          <w:szCs w:val="18"/>
        </w:rPr>
        <w:footnoteRef/>
      </w:r>
      <w:r w:rsidRPr="004A5387">
        <w:rPr>
          <w:sz w:val="18"/>
          <w:szCs w:val="18"/>
          <w:lang w:val="en-US"/>
        </w:rPr>
        <w:t> UNEP/</w:t>
      </w:r>
      <w:proofErr w:type="spellStart"/>
      <w:r w:rsidRPr="004A5387">
        <w:rPr>
          <w:sz w:val="18"/>
          <w:szCs w:val="18"/>
          <w:lang w:val="en-US"/>
        </w:rPr>
        <w:t>OzL.Pro</w:t>
      </w:r>
      <w:proofErr w:type="spellEnd"/>
      <w:r w:rsidRPr="004A5387">
        <w:rPr>
          <w:sz w:val="18"/>
          <w:szCs w:val="18"/>
          <w:lang w:val="en-US"/>
        </w:rPr>
        <w:t>/ExCom/97/30.</w:t>
      </w:r>
    </w:p>
  </w:footnote>
  <w:footnote w:id="30">
    <w:p w14:paraId="0035985C" w14:textId="77777777" w:rsidR="00511DA2" w:rsidRPr="004A5387" w:rsidRDefault="00511DA2" w:rsidP="004A5387">
      <w:pPr>
        <w:pStyle w:val="FootnoteText"/>
        <w:ind w:left="624" w:firstLine="624"/>
        <w:rPr>
          <w:sz w:val="18"/>
          <w:szCs w:val="18"/>
          <w:lang w:val="en-US"/>
        </w:rPr>
      </w:pPr>
      <w:r w:rsidRPr="004A5387">
        <w:rPr>
          <w:rStyle w:val="FootnoteReference"/>
          <w:sz w:val="18"/>
          <w:szCs w:val="18"/>
        </w:rPr>
        <w:footnoteRef/>
      </w:r>
      <w:r w:rsidRPr="004A5387">
        <w:rPr>
          <w:sz w:val="18"/>
          <w:szCs w:val="18"/>
          <w:lang w:val="en-US"/>
        </w:rPr>
        <w:t> UNEP/</w:t>
      </w:r>
      <w:proofErr w:type="spellStart"/>
      <w:r w:rsidRPr="004A5387">
        <w:rPr>
          <w:sz w:val="18"/>
          <w:szCs w:val="18"/>
          <w:lang w:val="en-US"/>
        </w:rPr>
        <w:t>OzL.Pro</w:t>
      </w:r>
      <w:proofErr w:type="spellEnd"/>
      <w:r w:rsidRPr="004A5387">
        <w:rPr>
          <w:sz w:val="18"/>
          <w:szCs w:val="18"/>
          <w:lang w:val="en-US"/>
        </w:rPr>
        <w:t>/ExCom/97/31.</w:t>
      </w:r>
    </w:p>
  </w:footnote>
  <w:footnote w:id="31">
    <w:p w14:paraId="23229F8C" w14:textId="77777777" w:rsidR="00511DA2" w:rsidRPr="004A5387" w:rsidRDefault="00511DA2" w:rsidP="004A5387">
      <w:pPr>
        <w:pStyle w:val="FootnoteText"/>
        <w:ind w:left="624" w:firstLine="624"/>
        <w:rPr>
          <w:sz w:val="18"/>
          <w:szCs w:val="18"/>
          <w:lang w:val="en-US"/>
        </w:rPr>
      </w:pPr>
      <w:r w:rsidRPr="004A5387">
        <w:rPr>
          <w:sz w:val="18"/>
          <w:szCs w:val="18"/>
          <w:vertAlign w:val="superscript"/>
          <w:lang w:val="en-US"/>
        </w:rPr>
        <w:footnoteRef/>
      </w:r>
      <w:r w:rsidRPr="004A5387">
        <w:rPr>
          <w:sz w:val="18"/>
          <w:szCs w:val="18"/>
          <w:lang w:val="en-US"/>
        </w:rPr>
        <w:t> UNEP/</w:t>
      </w:r>
      <w:proofErr w:type="spellStart"/>
      <w:r w:rsidRPr="004A5387">
        <w:rPr>
          <w:sz w:val="18"/>
          <w:szCs w:val="18"/>
          <w:lang w:val="en-US"/>
        </w:rPr>
        <w:t>OzL.Pro</w:t>
      </w:r>
      <w:proofErr w:type="spellEnd"/>
      <w:r w:rsidRPr="004A5387">
        <w:rPr>
          <w:sz w:val="18"/>
          <w:szCs w:val="18"/>
          <w:lang w:val="en-US"/>
        </w:rPr>
        <w:t>/ExCom/97/32.</w:t>
      </w:r>
    </w:p>
  </w:footnote>
  <w:footnote w:id="32">
    <w:p w14:paraId="024F7217" w14:textId="77777777" w:rsidR="00511DA2" w:rsidRPr="00F41595" w:rsidRDefault="00511DA2" w:rsidP="004A5387">
      <w:pPr>
        <w:pStyle w:val="FootnoteText"/>
        <w:ind w:left="624" w:firstLine="624"/>
        <w:rPr>
          <w:lang w:val="en-US"/>
        </w:rPr>
      </w:pPr>
      <w:r w:rsidRPr="004A5387">
        <w:rPr>
          <w:rStyle w:val="FootnoteReference"/>
          <w:sz w:val="18"/>
          <w:szCs w:val="18"/>
        </w:rPr>
        <w:footnoteRef/>
      </w:r>
      <w:r w:rsidRPr="00F41595">
        <w:rPr>
          <w:sz w:val="18"/>
          <w:szCs w:val="18"/>
          <w:lang w:val="en-US"/>
        </w:rPr>
        <w:t> UNEP/</w:t>
      </w:r>
      <w:proofErr w:type="spellStart"/>
      <w:r w:rsidRPr="00F41595">
        <w:rPr>
          <w:sz w:val="18"/>
          <w:szCs w:val="18"/>
          <w:lang w:val="en-US"/>
        </w:rPr>
        <w:t>OzL.Pro</w:t>
      </w:r>
      <w:proofErr w:type="spellEnd"/>
      <w:r w:rsidRPr="00F41595">
        <w:rPr>
          <w:sz w:val="18"/>
          <w:szCs w:val="18"/>
          <w:lang w:val="en-US"/>
        </w:rPr>
        <w:t>/ExCom/97/33.</w:t>
      </w:r>
    </w:p>
  </w:footnote>
  <w:footnote w:id="33">
    <w:p w14:paraId="681D362D" w14:textId="2F767F2D" w:rsidR="008A0F0C" w:rsidRPr="00847B2C" w:rsidRDefault="008A0F0C" w:rsidP="00847B2C">
      <w:pPr>
        <w:pStyle w:val="FootnoteText"/>
        <w:ind w:left="624" w:firstLine="624"/>
        <w:rPr>
          <w:sz w:val="18"/>
          <w:szCs w:val="18"/>
          <w:lang w:val="en-US"/>
        </w:rPr>
      </w:pPr>
      <w:r w:rsidRPr="00847B2C">
        <w:rPr>
          <w:rStyle w:val="FootnoteReference"/>
          <w:sz w:val="18"/>
          <w:szCs w:val="18"/>
        </w:rPr>
        <w:footnoteRef/>
      </w:r>
      <w:r w:rsidRPr="00847B2C">
        <w:rPr>
          <w:sz w:val="18"/>
          <w:szCs w:val="18"/>
          <w:lang w:val="en-US"/>
        </w:rPr>
        <w:t> UNEP/</w:t>
      </w:r>
      <w:proofErr w:type="spellStart"/>
      <w:r w:rsidRPr="00847B2C">
        <w:rPr>
          <w:sz w:val="18"/>
          <w:szCs w:val="18"/>
          <w:lang w:val="en-US"/>
        </w:rPr>
        <w:t>OzL.Pro</w:t>
      </w:r>
      <w:proofErr w:type="spellEnd"/>
      <w:r w:rsidRPr="00847B2C">
        <w:rPr>
          <w:sz w:val="18"/>
          <w:szCs w:val="18"/>
          <w:lang w:val="en-US"/>
        </w:rPr>
        <w:t>/ExCom/9</w:t>
      </w:r>
      <w:r w:rsidR="001F1159" w:rsidRPr="00847B2C">
        <w:rPr>
          <w:sz w:val="18"/>
          <w:szCs w:val="18"/>
          <w:lang w:val="en-US"/>
        </w:rPr>
        <w:t>8</w:t>
      </w:r>
      <w:r w:rsidRPr="00847B2C">
        <w:rPr>
          <w:sz w:val="18"/>
          <w:szCs w:val="18"/>
          <w:lang w:val="en-US"/>
        </w:rPr>
        <w:t>/</w:t>
      </w:r>
      <w:r w:rsidR="001F1159" w:rsidRPr="00847B2C">
        <w:rPr>
          <w:sz w:val="18"/>
          <w:szCs w:val="18"/>
          <w:lang w:val="en-US"/>
        </w:rPr>
        <w:t>11</w:t>
      </w:r>
      <w:r w:rsidRPr="00847B2C">
        <w:rPr>
          <w:sz w:val="18"/>
          <w:szCs w:val="18"/>
          <w:lang w:val="en-US"/>
        </w:rPr>
        <w:t>.</w:t>
      </w:r>
    </w:p>
  </w:footnote>
  <w:footnote w:id="34">
    <w:p w14:paraId="43B454D5" w14:textId="5BDB00BB" w:rsidR="008A0F0C" w:rsidRPr="00847B2C" w:rsidRDefault="008A0F0C" w:rsidP="00847B2C">
      <w:pPr>
        <w:pStyle w:val="FootnoteText"/>
        <w:ind w:left="624" w:firstLine="624"/>
        <w:rPr>
          <w:sz w:val="18"/>
          <w:szCs w:val="18"/>
          <w:lang w:val="en-US"/>
        </w:rPr>
      </w:pPr>
      <w:r w:rsidRPr="00847B2C">
        <w:rPr>
          <w:rStyle w:val="FootnoteReference"/>
          <w:sz w:val="18"/>
          <w:szCs w:val="18"/>
        </w:rPr>
        <w:footnoteRef/>
      </w:r>
      <w:r w:rsidRPr="00847B2C">
        <w:rPr>
          <w:sz w:val="18"/>
          <w:szCs w:val="18"/>
          <w:lang w:val="en-US"/>
        </w:rPr>
        <w:t> UNEP/</w:t>
      </w:r>
      <w:proofErr w:type="spellStart"/>
      <w:r w:rsidRPr="00847B2C">
        <w:rPr>
          <w:sz w:val="18"/>
          <w:szCs w:val="18"/>
          <w:lang w:val="en-US"/>
        </w:rPr>
        <w:t>OzL.Pro</w:t>
      </w:r>
      <w:proofErr w:type="spellEnd"/>
      <w:r w:rsidRPr="00847B2C">
        <w:rPr>
          <w:sz w:val="18"/>
          <w:szCs w:val="18"/>
          <w:lang w:val="en-US"/>
        </w:rPr>
        <w:t>/ExCom/98/14.</w:t>
      </w:r>
    </w:p>
  </w:footnote>
  <w:footnote w:id="35">
    <w:p w14:paraId="78274C36" w14:textId="437767CA" w:rsidR="008A0F0C" w:rsidRPr="00847B2C" w:rsidRDefault="008A0F0C" w:rsidP="00847B2C">
      <w:pPr>
        <w:pStyle w:val="FootnoteText"/>
        <w:ind w:left="624" w:firstLine="624"/>
        <w:rPr>
          <w:sz w:val="18"/>
          <w:szCs w:val="18"/>
          <w:lang w:val="en-US"/>
        </w:rPr>
      </w:pPr>
      <w:r w:rsidRPr="00847B2C">
        <w:rPr>
          <w:rStyle w:val="FootnoteReference"/>
          <w:sz w:val="18"/>
          <w:szCs w:val="18"/>
        </w:rPr>
        <w:footnoteRef/>
      </w:r>
      <w:r w:rsidRPr="00847B2C">
        <w:rPr>
          <w:sz w:val="18"/>
          <w:szCs w:val="18"/>
          <w:lang w:val="en-US"/>
        </w:rPr>
        <w:t> UNEP/</w:t>
      </w:r>
      <w:proofErr w:type="spellStart"/>
      <w:r w:rsidRPr="00847B2C">
        <w:rPr>
          <w:sz w:val="18"/>
          <w:szCs w:val="18"/>
          <w:lang w:val="en-US"/>
        </w:rPr>
        <w:t>OzL.Pro</w:t>
      </w:r>
      <w:proofErr w:type="spellEnd"/>
      <w:r w:rsidRPr="00847B2C">
        <w:rPr>
          <w:sz w:val="18"/>
          <w:szCs w:val="18"/>
          <w:lang w:val="en-US"/>
        </w:rPr>
        <w:t>/ExCom/98/15.</w:t>
      </w:r>
    </w:p>
  </w:footnote>
  <w:footnote w:id="36">
    <w:p w14:paraId="4F54D151" w14:textId="609FF827" w:rsidR="0031371B" w:rsidRPr="0031371B" w:rsidRDefault="0031371B" w:rsidP="0031371B">
      <w:pPr>
        <w:pStyle w:val="FootnoteText"/>
        <w:ind w:left="624" w:firstLine="624"/>
        <w:rPr>
          <w:lang w:val="en-GB"/>
        </w:rPr>
      </w:pPr>
      <w:r w:rsidRPr="0031371B">
        <w:rPr>
          <w:sz w:val="18"/>
          <w:szCs w:val="18"/>
          <w:vertAlign w:val="superscript"/>
          <w:lang w:val="en-US"/>
        </w:rPr>
        <w:footnoteRef/>
      </w:r>
      <w:r w:rsidRPr="00847B2C">
        <w:rPr>
          <w:sz w:val="18"/>
          <w:szCs w:val="18"/>
          <w:lang w:val="en-US"/>
        </w:rPr>
        <w:t> UNEP/</w:t>
      </w:r>
      <w:proofErr w:type="spellStart"/>
      <w:r w:rsidRPr="00847B2C">
        <w:rPr>
          <w:sz w:val="18"/>
          <w:szCs w:val="18"/>
          <w:lang w:val="en-US"/>
        </w:rPr>
        <w:t>OzL.Pro</w:t>
      </w:r>
      <w:proofErr w:type="spellEnd"/>
      <w:r w:rsidRPr="00847B2C">
        <w:rPr>
          <w:sz w:val="18"/>
          <w:szCs w:val="18"/>
          <w:lang w:val="en-US"/>
        </w:rPr>
        <w:t>/ExCom/98/1</w:t>
      </w:r>
      <w:r>
        <w:rPr>
          <w:sz w:val="18"/>
          <w:szCs w:val="18"/>
          <w:lang w:val="en-US"/>
        </w:rPr>
        <w:t>6.</w:t>
      </w:r>
    </w:p>
  </w:footnote>
  <w:footnote w:id="37">
    <w:p w14:paraId="3CD88F02" w14:textId="77777777" w:rsidR="00511DA2" w:rsidRPr="00847B2C" w:rsidRDefault="00511DA2" w:rsidP="00847B2C">
      <w:pPr>
        <w:pStyle w:val="FootnoteText"/>
        <w:ind w:left="624" w:firstLine="624"/>
        <w:rPr>
          <w:sz w:val="18"/>
          <w:szCs w:val="18"/>
        </w:rPr>
      </w:pPr>
      <w:r w:rsidRPr="00847B2C">
        <w:rPr>
          <w:rStyle w:val="FootnoteReference"/>
          <w:sz w:val="18"/>
          <w:szCs w:val="18"/>
        </w:rPr>
        <w:footnoteRef/>
      </w:r>
      <w:r w:rsidRPr="00847B2C">
        <w:rPr>
          <w:sz w:val="18"/>
          <w:szCs w:val="18"/>
        </w:rPr>
        <w:t> </w:t>
      </w:r>
      <w:r w:rsidRPr="00847B2C">
        <w:rPr>
          <w:sz w:val="18"/>
          <w:szCs w:val="18"/>
          <w:lang w:val="en-US"/>
        </w:rPr>
        <w:t>UNEP</w:t>
      </w:r>
      <w:r w:rsidRPr="00847B2C">
        <w:rPr>
          <w:sz w:val="18"/>
          <w:szCs w:val="18"/>
        </w:rPr>
        <w:t>/</w:t>
      </w:r>
      <w:proofErr w:type="spellStart"/>
      <w:r w:rsidRPr="00847B2C">
        <w:rPr>
          <w:sz w:val="18"/>
          <w:szCs w:val="18"/>
        </w:rPr>
        <w:t>OzL.Pro</w:t>
      </w:r>
      <w:proofErr w:type="spellEnd"/>
      <w:r w:rsidRPr="00847B2C">
        <w:rPr>
          <w:sz w:val="18"/>
          <w:szCs w:val="18"/>
        </w:rPr>
        <w:t xml:space="preserve">/ExCom/97/83 and </w:t>
      </w:r>
      <w:proofErr w:type="gramStart"/>
      <w:r w:rsidRPr="00847B2C">
        <w:rPr>
          <w:sz w:val="18"/>
          <w:szCs w:val="18"/>
        </w:rPr>
        <w:t>Add</w:t>
      </w:r>
      <w:proofErr w:type="gramEnd"/>
      <w:r w:rsidRPr="00847B2C">
        <w:rPr>
          <w:sz w:val="18"/>
          <w:szCs w:val="18"/>
        </w:rPr>
        <w:t>.1.</w:t>
      </w:r>
    </w:p>
  </w:footnote>
  <w:footnote w:id="38">
    <w:p w14:paraId="5AF31179" w14:textId="77777777"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w:t>
      </w:r>
      <w:r w:rsidRPr="00847B2C">
        <w:rPr>
          <w:sz w:val="18"/>
          <w:szCs w:val="18"/>
          <w:lang w:val="en-US"/>
        </w:rPr>
        <w:t>UNEP</w:t>
      </w:r>
      <w:r w:rsidRPr="00847B2C">
        <w:rPr>
          <w:sz w:val="18"/>
          <w:szCs w:val="18"/>
          <w:lang w:val="en-GB"/>
        </w:rPr>
        <w:t>/</w:t>
      </w:r>
      <w:proofErr w:type="spellStart"/>
      <w:r w:rsidRPr="00847B2C">
        <w:rPr>
          <w:sz w:val="18"/>
          <w:szCs w:val="18"/>
          <w:lang w:val="en-GB"/>
        </w:rPr>
        <w:t>OzL.Pro</w:t>
      </w:r>
      <w:proofErr w:type="spellEnd"/>
      <w:r w:rsidRPr="00847B2C">
        <w:rPr>
          <w:sz w:val="18"/>
          <w:szCs w:val="18"/>
          <w:lang w:val="en-GB"/>
        </w:rPr>
        <w:t>/ExCom/97/91, annex LIX.</w:t>
      </w:r>
    </w:p>
  </w:footnote>
  <w:footnote w:id="39">
    <w:p w14:paraId="39F24652" w14:textId="77777777"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w:t>
      </w:r>
      <w:r w:rsidRPr="00847B2C">
        <w:rPr>
          <w:sz w:val="18"/>
          <w:szCs w:val="18"/>
          <w:lang w:val="en-GB"/>
        </w:rPr>
        <w:t>UNEP/</w:t>
      </w:r>
      <w:proofErr w:type="spellStart"/>
      <w:r w:rsidRPr="00847B2C">
        <w:rPr>
          <w:sz w:val="18"/>
          <w:szCs w:val="18"/>
          <w:lang w:val="en-GB"/>
        </w:rPr>
        <w:t>OzL.Pro</w:t>
      </w:r>
      <w:proofErr w:type="spellEnd"/>
      <w:r w:rsidRPr="00847B2C">
        <w:rPr>
          <w:sz w:val="18"/>
          <w:szCs w:val="18"/>
          <w:lang w:val="en-GB"/>
        </w:rPr>
        <w:t>/ExCom/97/84.</w:t>
      </w:r>
    </w:p>
  </w:footnote>
  <w:footnote w:id="40">
    <w:p w14:paraId="792ADCDD" w14:textId="77777777"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lang w:val="en-GB"/>
        </w:rPr>
        <w:t> UNEP/</w:t>
      </w:r>
      <w:proofErr w:type="spellStart"/>
      <w:r w:rsidRPr="00847B2C">
        <w:rPr>
          <w:sz w:val="18"/>
          <w:szCs w:val="18"/>
          <w:lang w:val="en-GB"/>
        </w:rPr>
        <w:t>OzL.Pro</w:t>
      </w:r>
      <w:proofErr w:type="spellEnd"/>
      <w:r w:rsidRPr="00847B2C">
        <w:rPr>
          <w:sz w:val="18"/>
          <w:szCs w:val="18"/>
          <w:lang w:val="en-GB"/>
        </w:rPr>
        <w:t>/ExCom/97/8.</w:t>
      </w:r>
    </w:p>
  </w:footnote>
  <w:footnote w:id="41">
    <w:p w14:paraId="7C67F667" w14:textId="69F0D949" w:rsidR="00511DA2" w:rsidRPr="00A45288" w:rsidRDefault="00511DA2" w:rsidP="00847B2C">
      <w:pPr>
        <w:pStyle w:val="FootnoteText"/>
        <w:ind w:left="624" w:firstLine="624"/>
        <w:rPr>
          <w:lang w:val="en-GB"/>
        </w:rPr>
      </w:pPr>
      <w:r w:rsidRPr="00847B2C">
        <w:rPr>
          <w:rStyle w:val="FootnoteReference"/>
          <w:sz w:val="18"/>
          <w:szCs w:val="18"/>
        </w:rPr>
        <w:footnoteRef/>
      </w:r>
      <w:r w:rsidRPr="00847B2C">
        <w:rPr>
          <w:sz w:val="18"/>
          <w:szCs w:val="18"/>
        </w:rPr>
        <w:t> </w:t>
      </w:r>
      <w:r w:rsidRPr="00847B2C">
        <w:rPr>
          <w:sz w:val="18"/>
          <w:szCs w:val="18"/>
          <w:lang w:val="en-GB"/>
        </w:rPr>
        <w:t>UNEP/</w:t>
      </w:r>
      <w:proofErr w:type="spellStart"/>
      <w:r w:rsidRPr="00847B2C">
        <w:rPr>
          <w:sz w:val="18"/>
          <w:szCs w:val="18"/>
          <w:lang w:val="en-GB"/>
        </w:rPr>
        <w:t>OzL.Pro</w:t>
      </w:r>
      <w:proofErr w:type="spellEnd"/>
      <w:r w:rsidRPr="00847B2C">
        <w:rPr>
          <w:sz w:val="18"/>
          <w:szCs w:val="18"/>
          <w:lang w:val="en-GB"/>
        </w:rPr>
        <w:t>/ExCom/98/</w:t>
      </w:r>
      <w:r w:rsidR="00572792" w:rsidRPr="00847B2C">
        <w:rPr>
          <w:sz w:val="18"/>
          <w:szCs w:val="18"/>
          <w:lang w:val="en-GB"/>
        </w:rPr>
        <w:t>5</w:t>
      </w:r>
      <w:r w:rsidRPr="00847B2C">
        <w:rPr>
          <w:sz w:val="18"/>
          <w:szCs w:val="18"/>
          <w:lang w:val="en-GB"/>
        </w:rPr>
        <w:t>.</w:t>
      </w:r>
    </w:p>
  </w:footnote>
  <w:footnote w:id="42">
    <w:p w14:paraId="0E9BDD04" w14:textId="2DACE333" w:rsidR="003E5C5A" w:rsidRPr="00847B2C" w:rsidRDefault="003E5C5A"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UNEP/</w:t>
      </w:r>
      <w:proofErr w:type="spellStart"/>
      <w:r w:rsidRPr="00847B2C">
        <w:rPr>
          <w:sz w:val="18"/>
          <w:szCs w:val="18"/>
        </w:rPr>
        <w:t>OzL.Pro</w:t>
      </w:r>
      <w:proofErr w:type="spellEnd"/>
      <w:r w:rsidRPr="00847B2C">
        <w:rPr>
          <w:sz w:val="18"/>
          <w:szCs w:val="18"/>
        </w:rPr>
        <w:t>/ExCom/98/9.</w:t>
      </w:r>
    </w:p>
  </w:footnote>
  <w:footnote w:id="43">
    <w:p w14:paraId="0E2F98F3" w14:textId="7B01A65D" w:rsidR="003E5C5A" w:rsidRPr="00847B2C" w:rsidRDefault="003E5C5A"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UNEP/</w:t>
      </w:r>
      <w:proofErr w:type="spellStart"/>
      <w:r w:rsidRPr="00847B2C">
        <w:rPr>
          <w:sz w:val="18"/>
          <w:szCs w:val="18"/>
        </w:rPr>
        <w:t>OzL.Pro</w:t>
      </w:r>
      <w:proofErr w:type="spellEnd"/>
      <w:r w:rsidRPr="00847B2C">
        <w:rPr>
          <w:sz w:val="18"/>
          <w:szCs w:val="18"/>
        </w:rPr>
        <w:t>/ExCom/98/64, annex XXXVIII.</w:t>
      </w:r>
    </w:p>
  </w:footnote>
  <w:footnote w:id="44">
    <w:p w14:paraId="3B64D1D1" w14:textId="77777777"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w:t>
      </w:r>
      <w:r w:rsidRPr="00847B2C">
        <w:rPr>
          <w:sz w:val="18"/>
          <w:szCs w:val="18"/>
          <w:lang w:val="en-GB"/>
        </w:rPr>
        <w:t>UNEP/</w:t>
      </w:r>
      <w:proofErr w:type="spellStart"/>
      <w:r w:rsidRPr="00847B2C">
        <w:rPr>
          <w:sz w:val="18"/>
          <w:szCs w:val="18"/>
          <w:lang w:val="en-GB"/>
        </w:rPr>
        <w:t>OzL.Pro</w:t>
      </w:r>
      <w:proofErr w:type="spellEnd"/>
      <w:r w:rsidRPr="00847B2C">
        <w:rPr>
          <w:sz w:val="18"/>
          <w:szCs w:val="18"/>
          <w:lang w:val="en-GB"/>
        </w:rPr>
        <w:t>/ExCom/97/11.</w:t>
      </w:r>
    </w:p>
  </w:footnote>
  <w:footnote w:id="45">
    <w:p w14:paraId="25D21745" w14:textId="77777777"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w:t>
      </w:r>
      <w:r w:rsidRPr="00847B2C">
        <w:rPr>
          <w:sz w:val="18"/>
          <w:szCs w:val="18"/>
          <w:lang w:val="en-GB"/>
        </w:rPr>
        <w:t>UNEP/</w:t>
      </w:r>
      <w:proofErr w:type="spellStart"/>
      <w:r w:rsidRPr="00847B2C">
        <w:rPr>
          <w:sz w:val="18"/>
          <w:szCs w:val="18"/>
          <w:lang w:val="en-GB"/>
        </w:rPr>
        <w:t>OzL.Pro</w:t>
      </w:r>
      <w:proofErr w:type="spellEnd"/>
      <w:r w:rsidRPr="00847B2C">
        <w:rPr>
          <w:sz w:val="18"/>
          <w:szCs w:val="18"/>
          <w:lang w:val="en-GB"/>
        </w:rPr>
        <w:t>/ExCom/97/12.</w:t>
      </w:r>
    </w:p>
  </w:footnote>
  <w:footnote w:id="46">
    <w:p w14:paraId="07D36B77" w14:textId="77777777"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w:t>
      </w:r>
      <w:r w:rsidRPr="00847B2C">
        <w:rPr>
          <w:sz w:val="18"/>
          <w:szCs w:val="18"/>
          <w:lang w:val="en-GB"/>
        </w:rPr>
        <w:t>UNEP/</w:t>
      </w:r>
      <w:proofErr w:type="spellStart"/>
      <w:r w:rsidRPr="00847B2C">
        <w:rPr>
          <w:sz w:val="18"/>
          <w:szCs w:val="18"/>
          <w:lang w:val="en-GB"/>
        </w:rPr>
        <w:t>OzL.Pro</w:t>
      </w:r>
      <w:proofErr w:type="spellEnd"/>
      <w:r w:rsidRPr="00847B2C">
        <w:rPr>
          <w:sz w:val="18"/>
          <w:szCs w:val="18"/>
          <w:lang w:val="en-GB"/>
        </w:rPr>
        <w:t>/ExCom/97/13.</w:t>
      </w:r>
    </w:p>
  </w:footnote>
  <w:footnote w:id="47">
    <w:p w14:paraId="54CE6CF3" w14:textId="77777777"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w:t>
      </w:r>
      <w:r w:rsidRPr="00847B2C">
        <w:rPr>
          <w:sz w:val="18"/>
          <w:szCs w:val="18"/>
          <w:lang w:val="en-GB"/>
        </w:rPr>
        <w:t>UNEP/</w:t>
      </w:r>
      <w:proofErr w:type="spellStart"/>
      <w:r w:rsidRPr="00847B2C">
        <w:rPr>
          <w:sz w:val="18"/>
          <w:szCs w:val="18"/>
          <w:lang w:val="en-GB"/>
        </w:rPr>
        <w:t>OzL.Pro</w:t>
      </w:r>
      <w:proofErr w:type="spellEnd"/>
      <w:r w:rsidRPr="00847B2C">
        <w:rPr>
          <w:sz w:val="18"/>
          <w:szCs w:val="18"/>
          <w:lang w:val="en-GB"/>
        </w:rPr>
        <w:t>/ExCom/97/14.</w:t>
      </w:r>
    </w:p>
  </w:footnote>
  <w:footnote w:id="48">
    <w:p w14:paraId="0E369360" w14:textId="77777777"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w:t>
      </w:r>
      <w:r w:rsidRPr="00847B2C">
        <w:rPr>
          <w:sz w:val="18"/>
          <w:szCs w:val="18"/>
          <w:lang w:val="en-GB"/>
        </w:rPr>
        <w:t>UNEP/</w:t>
      </w:r>
      <w:proofErr w:type="spellStart"/>
      <w:r w:rsidRPr="00847B2C">
        <w:rPr>
          <w:sz w:val="18"/>
          <w:szCs w:val="18"/>
          <w:lang w:val="en-GB"/>
        </w:rPr>
        <w:t>OzL.Pro</w:t>
      </w:r>
      <w:proofErr w:type="spellEnd"/>
      <w:r w:rsidRPr="00847B2C">
        <w:rPr>
          <w:sz w:val="18"/>
          <w:szCs w:val="18"/>
          <w:lang w:val="en-GB"/>
        </w:rPr>
        <w:t>/ExCom/97/15.</w:t>
      </w:r>
    </w:p>
  </w:footnote>
  <w:footnote w:id="49">
    <w:p w14:paraId="5EC08F55" w14:textId="77777777"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w:t>
      </w:r>
      <w:r w:rsidRPr="00847B2C">
        <w:rPr>
          <w:sz w:val="18"/>
          <w:szCs w:val="18"/>
          <w:lang w:val="en-GB"/>
        </w:rPr>
        <w:t>UNEP/</w:t>
      </w:r>
      <w:proofErr w:type="spellStart"/>
      <w:r w:rsidRPr="00847B2C">
        <w:rPr>
          <w:sz w:val="18"/>
          <w:szCs w:val="18"/>
          <w:lang w:val="en-GB"/>
        </w:rPr>
        <w:t>OzL.Pro</w:t>
      </w:r>
      <w:proofErr w:type="spellEnd"/>
      <w:r w:rsidRPr="00847B2C">
        <w:rPr>
          <w:sz w:val="18"/>
          <w:szCs w:val="18"/>
          <w:lang w:val="en-GB"/>
        </w:rPr>
        <w:t>/ExCom/97/16.</w:t>
      </w:r>
    </w:p>
  </w:footnote>
  <w:footnote w:id="50">
    <w:p w14:paraId="1C479855" w14:textId="77777777"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w:t>
      </w:r>
      <w:r w:rsidRPr="00847B2C">
        <w:rPr>
          <w:sz w:val="18"/>
          <w:szCs w:val="18"/>
          <w:lang w:val="en-GB"/>
        </w:rPr>
        <w:t>UNEP/</w:t>
      </w:r>
      <w:proofErr w:type="spellStart"/>
      <w:r w:rsidRPr="00847B2C">
        <w:rPr>
          <w:sz w:val="18"/>
          <w:szCs w:val="18"/>
          <w:lang w:val="en-GB"/>
        </w:rPr>
        <w:t>OzL.Pro</w:t>
      </w:r>
      <w:proofErr w:type="spellEnd"/>
      <w:r w:rsidRPr="00847B2C">
        <w:rPr>
          <w:sz w:val="18"/>
          <w:szCs w:val="18"/>
          <w:lang w:val="en-GB"/>
        </w:rPr>
        <w:t>/ExCom/97/91, annexes IV to VIII.</w:t>
      </w:r>
    </w:p>
  </w:footnote>
  <w:footnote w:id="51">
    <w:p w14:paraId="01ABB04D" w14:textId="77777777"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lang w:val="en-GB"/>
        </w:rPr>
        <w:t> UNEP/</w:t>
      </w:r>
      <w:proofErr w:type="spellStart"/>
      <w:r w:rsidRPr="00847B2C">
        <w:rPr>
          <w:sz w:val="18"/>
          <w:szCs w:val="18"/>
          <w:lang w:val="en-GB"/>
        </w:rPr>
        <w:t>OzL.Pro</w:t>
      </w:r>
      <w:proofErr w:type="spellEnd"/>
      <w:r w:rsidRPr="00847B2C">
        <w:rPr>
          <w:sz w:val="18"/>
          <w:szCs w:val="18"/>
          <w:lang w:val="en-GB"/>
        </w:rPr>
        <w:t>/ExCom/97/17 and UNEP/</w:t>
      </w:r>
      <w:proofErr w:type="spellStart"/>
      <w:r w:rsidRPr="00847B2C">
        <w:rPr>
          <w:sz w:val="18"/>
          <w:szCs w:val="18"/>
          <w:lang w:val="en-GB"/>
        </w:rPr>
        <w:t>OzL.Pro</w:t>
      </w:r>
      <w:proofErr w:type="spellEnd"/>
      <w:r w:rsidRPr="00847B2C">
        <w:rPr>
          <w:sz w:val="18"/>
          <w:szCs w:val="18"/>
          <w:lang w:val="en-GB"/>
        </w:rPr>
        <w:t>/ExCom/97/18.</w:t>
      </w:r>
    </w:p>
  </w:footnote>
  <w:footnote w:id="52">
    <w:p w14:paraId="32972F06" w14:textId="30C5F0BB"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lang w:val="en-GB"/>
        </w:rPr>
        <w:t> UNEP/</w:t>
      </w:r>
      <w:proofErr w:type="spellStart"/>
      <w:r w:rsidRPr="00847B2C">
        <w:rPr>
          <w:sz w:val="18"/>
          <w:szCs w:val="18"/>
          <w:lang w:val="en-GB"/>
        </w:rPr>
        <w:t>OzL.Pro</w:t>
      </w:r>
      <w:proofErr w:type="spellEnd"/>
      <w:r w:rsidRPr="00847B2C">
        <w:rPr>
          <w:sz w:val="18"/>
          <w:szCs w:val="18"/>
          <w:lang w:val="en-GB"/>
        </w:rPr>
        <w:t>/ExCom/98/</w:t>
      </w:r>
      <w:r w:rsidR="001335E3" w:rsidRPr="00847B2C">
        <w:rPr>
          <w:sz w:val="18"/>
          <w:szCs w:val="18"/>
          <w:lang w:val="en-GB"/>
        </w:rPr>
        <w:t>6</w:t>
      </w:r>
      <w:r w:rsidRPr="00847B2C">
        <w:rPr>
          <w:sz w:val="18"/>
          <w:szCs w:val="18"/>
          <w:lang w:val="en-GB"/>
        </w:rPr>
        <w:t>.</w:t>
      </w:r>
    </w:p>
  </w:footnote>
  <w:footnote w:id="53">
    <w:p w14:paraId="611EB459" w14:textId="33EAF94A" w:rsidR="001335E3" w:rsidRPr="00C57BCB" w:rsidRDefault="001335E3" w:rsidP="00C57BCB">
      <w:pPr>
        <w:pStyle w:val="FootnoteText"/>
        <w:ind w:left="624" w:firstLine="624"/>
        <w:rPr>
          <w:sz w:val="18"/>
          <w:szCs w:val="18"/>
        </w:rPr>
      </w:pPr>
      <w:r w:rsidRPr="00C57BCB">
        <w:rPr>
          <w:vertAlign w:val="superscript"/>
        </w:rPr>
        <w:footnoteRef/>
      </w:r>
      <w:r w:rsidR="000F6645" w:rsidRPr="00847B2C">
        <w:rPr>
          <w:sz w:val="18"/>
          <w:szCs w:val="18"/>
        </w:rPr>
        <w:t> </w:t>
      </w:r>
      <w:r w:rsidRPr="00C57BCB">
        <w:rPr>
          <w:sz w:val="18"/>
          <w:szCs w:val="18"/>
        </w:rPr>
        <w:t>UNEP/</w:t>
      </w:r>
      <w:proofErr w:type="spellStart"/>
      <w:r w:rsidRPr="00C57BCB">
        <w:rPr>
          <w:sz w:val="18"/>
          <w:szCs w:val="18"/>
        </w:rPr>
        <w:t>OzL.Pro</w:t>
      </w:r>
      <w:proofErr w:type="spellEnd"/>
      <w:r w:rsidRPr="00C57BCB">
        <w:rPr>
          <w:sz w:val="18"/>
          <w:szCs w:val="18"/>
        </w:rPr>
        <w:t>/ExCom/98/64, annexes IV to XXXVII.</w:t>
      </w:r>
    </w:p>
  </w:footnote>
  <w:footnote w:id="54">
    <w:p w14:paraId="2026139C" w14:textId="0BAAE434" w:rsidR="000F6645" w:rsidRPr="00C57BCB" w:rsidRDefault="000F6645" w:rsidP="00C57BCB">
      <w:pPr>
        <w:pStyle w:val="FootnoteText"/>
        <w:ind w:left="624" w:firstLine="624"/>
        <w:rPr>
          <w:sz w:val="18"/>
          <w:szCs w:val="18"/>
        </w:rPr>
      </w:pPr>
      <w:r w:rsidRPr="00C57BCB">
        <w:rPr>
          <w:sz w:val="18"/>
          <w:szCs w:val="18"/>
          <w:vertAlign w:val="superscript"/>
        </w:rPr>
        <w:footnoteRef/>
      </w:r>
      <w:r w:rsidRPr="00C57BCB">
        <w:rPr>
          <w:sz w:val="18"/>
          <w:szCs w:val="18"/>
        </w:rPr>
        <w:t> UNEP/</w:t>
      </w:r>
      <w:proofErr w:type="spellStart"/>
      <w:r w:rsidRPr="00C57BCB">
        <w:rPr>
          <w:sz w:val="18"/>
          <w:szCs w:val="18"/>
        </w:rPr>
        <w:t>OzL.Pro</w:t>
      </w:r>
      <w:proofErr w:type="spellEnd"/>
      <w:r w:rsidRPr="00C57BCB">
        <w:rPr>
          <w:sz w:val="18"/>
          <w:szCs w:val="18"/>
        </w:rPr>
        <w:t>/ExCom/98/7.</w:t>
      </w:r>
    </w:p>
  </w:footnote>
  <w:footnote w:id="55">
    <w:p w14:paraId="7E028E18" w14:textId="77777777" w:rsidR="00CA1473" w:rsidRPr="00F67751" w:rsidRDefault="00CA1473" w:rsidP="00C57BCB">
      <w:pPr>
        <w:pStyle w:val="FootnoteText"/>
        <w:ind w:left="624" w:firstLine="624"/>
        <w:rPr>
          <w:lang w:val="en-GB"/>
        </w:rPr>
      </w:pPr>
      <w:r w:rsidRPr="00C57BCB">
        <w:rPr>
          <w:sz w:val="18"/>
          <w:szCs w:val="18"/>
          <w:vertAlign w:val="superscript"/>
        </w:rPr>
        <w:footnoteRef/>
      </w:r>
      <w:r w:rsidRPr="00C57BCB">
        <w:rPr>
          <w:sz w:val="18"/>
          <w:szCs w:val="18"/>
        </w:rPr>
        <w:t> UNEP/</w:t>
      </w:r>
      <w:proofErr w:type="spellStart"/>
      <w:r w:rsidRPr="00C57BCB">
        <w:rPr>
          <w:sz w:val="18"/>
          <w:szCs w:val="18"/>
        </w:rPr>
        <w:t>OzL.Pro</w:t>
      </w:r>
      <w:proofErr w:type="spellEnd"/>
      <w:r w:rsidRPr="00C57BCB">
        <w:rPr>
          <w:sz w:val="18"/>
          <w:szCs w:val="18"/>
        </w:rPr>
        <w:t>/ExCom/97/9.</w:t>
      </w:r>
    </w:p>
  </w:footnote>
  <w:footnote w:id="56">
    <w:p w14:paraId="431232D1" w14:textId="77777777" w:rsidR="00CA1473" w:rsidRPr="00DC525E" w:rsidRDefault="00CA1473" w:rsidP="00DC525E">
      <w:pPr>
        <w:pStyle w:val="FootnoteText"/>
        <w:ind w:left="1276"/>
        <w:rPr>
          <w:sz w:val="18"/>
          <w:szCs w:val="18"/>
          <w:lang w:val="en-US"/>
        </w:rPr>
      </w:pPr>
      <w:r w:rsidRPr="00DC525E">
        <w:rPr>
          <w:sz w:val="18"/>
          <w:szCs w:val="18"/>
          <w:vertAlign w:val="superscript"/>
          <w:lang w:val="en-US"/>
        </w:rPr>
        <w:footnoteRef/>
      </w:r>
      <w:r w:rsidRPr="00DC525E">
        <w:rPr>
          <w:sz w:val="18"/>
          <w:szCs w:val="18"/>
          <w:lang w:val="en-US"/>
        </w:rPr>
        <w:t xml:space="preserve"> UNEP/</w:t>
      </w:r>
      <w:proofErr w:type="spellStart"/>
      <w:r w:rsidRPr="00DC525E">
        <w:rPr>
          <w:sz w:val="18"/>
          <w:szCs w:val="18"/>
          <w:lang w:val="en-US"/>
        </w:rPr>
        <w:t>OzL.Pro</w:t>
      </w:r>
      <w:proofErr w:type="spellEnd"/>
      <w:r w:rsidRPr="00DC525E">
        <w:rPr>
          <w:sz w:val="18"/>
          <w:szCs w:val="18"/>
          <w:lang w:val="en-US"/>
        </w:rPr>
        <w:t>/ExCom/97/10.</w:t>
      </w:r>
    </w:p>
  </w:footnote>
  <w:footnote w:id="57">
    <w:p w14:paraId="2C345EC2" w14:textId="77777777" w:rsidR="00CA1473" w:rsidRPr="00DC525E" w:rsidRDefault="00CA1473" w:rsidP="00DC525E">
      <w:pPr>
        <w:pStyle w:val="FootnoteText"/>
        <w:ind w:left="1276"/>
        <w:rPr>
          <w:sz w:val="18"/>
          <w:szCs w:val="18"/>
          <w:lang w:val="en-US"/>
        </w:rPr>
      </w:pPr>
      <w:r w:rsidRPr="00DC525E">
        <w:rPr>
          <w:sz w:val="18"/>
          <w:szCs w:val="18"/>
          <w:vertAlign w:val="superscript"/>
          <w:lang w:val="en-US"/>
        </w:rPr>
        <w:footnoteRef/>
      </w:r>
      <w:r w:rsidRPr="00DC525E">
        <w:rPr>
          <w:sz w:val="18"/>
          <w:szCs w:val="18"/>
          <w:lang w:val="en-US"/>
        </w:rPr>
        <w:t xml:space="preserve"> UNEP/</w:t>
      </w:r>
      <w:proofErr w:type="spellStart"/>
      <w:r w:rsidRPr="00DC525E">
        <w:rPr>
          <w:sz w:val="18"/>
          <w:szCs w:val="18"/>
          <w:lang w:val="en-US"/>
        </w:rPr>
        <w:t>OzL.Pro</w:t>
      </w:r>
      <w:proofErr w:type="spellEnd"/>
      <w:r w:rsidRPr="00DC525E">
        <w:rPr>
          <w:sz w:val="18"/>
          <w:szCs w:val="18"/>
          <w:lang w:val="en-US"/>
        </w:rPr>
        <w:t>/ExCom/97/91, annex III.</w:t>
      </w:r>
    </w:p>
  </w:footnote>
  <w:footnote w:id="58">
    <w:p w14:paraId="6C11E66C" w14:textId="77777777" w:rsidR="00CA1473" w:rsidRPr="00DC525E" w:rsidRDefault="00CA1473" w:rsidP="00DC525E">
      <w:pPr>
        <w:pStyle w:val="FootnoteText"/>
        <w:ind w:left="1276"/>
        <w:rPr>
          <w:sz w:val="18"/>
          <w:szCs w:val="18"/>
          <w:lang w:val="en-US"/>
        </w:rPr>
      </w:pPr>
      <w:r w:rsidRPr="00DC525E">
        <w:rPr>
          <w:sz w:val="18"/>
          <w:szCs w:val="18"/>
          <w:vertAlign w:val="superscript"/>
          <w:lang w:val="en-US"/>
        </w:rPr>
        <w:footnoteRef/>
      </w:r>
      <w:r w:rsidRPr="00DC525E">
        <w:rPr>
          <w:sz w:val="18"/>
          <w:szCs w:val="18"/>
          <w:lang w:val="en-US"/>
        </w:rPr>
        <w:t> UNEP/</w:t>
      </w:r>
      <w:proofErr w:type="spellStart"/>
      <w:r w:rsidRPr="00DC525E">
        <w:rPr>
          <w:sz w:val="18"/>
          <w:szCs w:val="18"/>
          <w:lang w:val="en-US"/>
        </w:rPr>
        <w:t>OzL.Pro</w:t>
      </w:r>
      <w:proofErr w:type="spellEnd"/>
      <w:r w:rsidRPr="00DC525E">
        <w:rPr>
          <w:sz w:val="18"/>
          <w:szCs w:val="18"/>
          <w:lang w:val="en-US"/>
        </w:rPr>
        <w:t>/ExCom/97/19.</w:t>
      </w:r>
    </w:p>
  </w:footnote>
  <w:footnote w:id="59">
    <w:p w14:paraId="05C1A397" w14:textId="77777777" w:rsidR="00CA1473" w:rsidRPr="00DC525E" w:rsidRDefault="00CA1473" w:rsidP="00DC525E">
      <w:pPr>
        <w:pStyle w:val="FootnoteText"/>
        <w:ind w:left="1276"/>
        <w:rPr>
          <w:sz w:val="18"/>
          <w:szCs w:val="18"/>
          <w:lang w:val="en-US"/>
        </w:rPr>
      </w:pPr>
      <w:r w:rsidRPr="00DC525E">
        <w:rPr>
          <w:sz w:val="18"/>
          <w:szCs w:val="18"/>
          <w:vertAlign w:val="superscript"/>
          <w:lang w:val="en-US"/>
        </w:rPr>
        <w:footnoteRef/>
      </w:r>
      <w:r w:rsidRPr="00DC525E">
        <w:rPr>
          <w:sz w:val="18"/>
          <w:szCs w:val="18"/>
          <w:lang w:val="en-US"/>
        </w:rPr>
        <w:t> UNEP/</w:t>
      </w:r>
      <w:proofErr w:type="spellStart"/>
      <w:r w:rsidRPr="00DC525E">
        <w:rPr>
          <w:sz w:val="18"/>
          <w:szCs w:val="18"/>
          <w:lang w:val="en-US"/>
        </w:rPr>
        <w:t>OzL.Pro</w:t>
      </w:r>
      <w:proofErr w:type="spellEnd"/>
      <w:r w:rsidRPr="00DC525E">
        <w:rPr>
          <w:sz w:val="18"/>
          <w:szCs w:val="18"/>
          <w:lang w:val="en-US"/>
        </w:rPr>
        <w:t>/ExCom/97/20.</w:t>
      </w:r>
    </w:p>
  </w:footnote>
  <w:footnote w:id="60">
    <w:p w14:paraId="70AD9020" w14:textId="77777777" w:rsidR="00CA1473" w:rsidRPr="00DC525E" w:rsidRDefault="00CA1473" w:rsidP="00DC525E">
      <w:pPr>
        <w:pStyle w:val="FootnoteText"/>
        <w:ind w:left="1276"/>
        <w:rPr>
          <w:sz w:val="18"/>
          <w:szCs w:val="18"/>
          <w:lang w:val="en-US"/>
        </w:rPr>
      </w:pPr>
      <w:r w:rsidRPr="00DC525E">
        <w:rPr>
          <w:sz w:val="18"/>
          <w:szCs w:val="18"/>
          <w:vertAlign w:val="superscript"/>
          <w:lang w:val="en-US"/>
        </w:rPr>
        <w:footnoteRef/>
      </w:r>
      <w:r w:rsidRPr="00DC525E">
        <w:rPr>
          <w:sz w:val="18"/>
          <w:szCs w:val="18"/>
          <w:lang w:val="en-US"/>
        </w:rPr>
        <w:t> UNEP/</w:t>
      </w:r>
      <w:proofErr w:type="spellStart"/>
      <w:r w:rsidRPr="00DC525E">
        <w:rPr>
          <w:sz w:val="18"/>
          <w:szCs w:val="18"/>
          <w:lang w:val="en-US"/>
        </w:rPr>
        <w:t>OzL.Pro</w:t>
      </w:r>
      <w:proofErr w:type="spellEnd"/>
      <w:r w:rsidRPr="00DC525E">
        <w:rPr>
          <w:sz w:val="18"/>
          <w:szCs w:val="18"/>
          <w:lang w:val="en-US"/>
        </w:rPr>
        <w:t>/ExCom/97/21.</w:t>
      </w:r>
    </w:p>
  </w:footnote>
  <w:footnote w:id="61">
    <w:p w14:paraId="4D7F0546" w14:textId="77777777" w:rsidR="00CA1473" w:rsidRPr="00DC525E" w:rsidRDefault="00CA1473" w:rsidP="00DC525E">
      <w:pPr>
        <w:pStyle w:val="FootnoteText"/>
        <w:ind w:left="1276"/>
        <w:rPr>
          <w:sz w:val="18"/>
          <w:szCs w:val="18"/>
          <w:lang w:val="en-US"/>
        </w:rPr>
      </w:pPr>
      <w:r w:rsidRPr="00DC525E">
        <w:rPr>
          <w:sz w:val="18"/>
          <w:szCs w:val="18"/>
          <w:vertAlign w:val="superscript"/>
          <w:lang w:val="en-US"/>
        </w:rPr>
        <w:footnoteRef/>
      </w:r>
      <w:r w:rsidRPr="00DC525E">
        <w:rPr>
          <w:sz w:val="18"/>
          <w:szCs w:val="18"/>
          <w:lang w:val="en-US"/>
        </w:rPr>
        <w:t> UNEP/</w:t>
      </w:r>
      <w:proofErr w:type="spellStart"/>
      <w:r w:rsidRPr="00DC525E">
        <w:rPr>
          <w:sz w:val="18"/>
          <w:szCs w:val="18"/>
          <w:lang w:val="en-US"/>
        </w:rPr>
        <w:t>OzL.Pro</w:t>
      </w:r>
      <w:proofErr w:type="spellEnd"/>
      <w:r w:rsidRPr="00DC525E">
        <w:rPr>
          <w:sz w:val="18"/>
          <w:szCs w:val="18"/>
          <w:lang w:val="en-US"/>
        </w:rPr>
        <w:t>/ExCom/97/22.</w:t>
      </w:r>
    </w:p>
  </w:footnote>
  <w:footnote w:id="62">
    <w:p w14:paraId="1CFA2CC4" w14:textId="77777777" w:rsidR="00CA1473" w:rsidRPr="00DC525E" w:rsidRDefault="00CA1473" w:rsidP="00DC525E">
      <w:pPr>
        <w:pStyle w:val="FootnoteText"/>
        <w:ind w:left="1276"/>
        <w:rPr>
          <w:sz w:val="18"/>
          <w:szCs w:val="18"/>
          <w:lang w:val="en-US"/>
        </w:rPr>
      </w:pPr>
      <w:r w:rsidRPr="00DC525E">
        <w:rPr>
          <w:sz w:val="18"/>
          <w:szCs w:val="18"/>
          <w:vertAlign w:val="superscript"/>
          <w:lang w:val="en-US"/>
        </w:rPr>
        <w:footnoteRef/>
      </w:r>
      <w:r w:rsidRPr="00DC525E">
        <w:rPr>
          <w:sz w:val="18"/>
          <w:szCs w:val="18"/>
          <w:lang w:val="en-US"/>
        </w:rPr>
        <w:t> UNEP/</w:t>
      </w:r>
      <w:proofErr w:type="spellStart"/>
      <w:r w:rsidRPr="00DC525E">
        <w:rPr>
          <w:sz w:val="18"/>
          <w:szCs w:val="18"/>
          <w:lang w:val="en-US"/>
        </w:rPr>
        <w:t>OzL.Pro</w:t>
      </w:r>
      <w:proofErr w:type="spellEnd"/>
      <w:r w:rsidRPr="00DC525E">
        <w:rPr>
          <w:sz w:val="18"/>
          <w:szCs w:val="18"/>
          <w:lang w:val="en-US"/>
        </w:rPr>
        <w:t>/ExCom/97/23.</w:t>
      </w:r>
    </w:p>
  </w:footnote>
  <w:footnote w:id="63">
    <w:p w14:paraId="449428FB" w14:textId="77777777" w:rsidR="00CA1473" w:rsidRPr="00DC525E" w:rsidRDefault="00CA1473" w:rsidP="00DC525E">
      <w:pPr>
        <w:pStyle w:val="FootnoteText"/>
        <w:ind w:left="1276"/>
        <w:rPr>
          <w:sz w:val="18"/>
          <w:szCs w:val="18"/>
          <w:lang w:val="en-US"/>
        </w:rPr>
      </w:pPr>
      <w:r w:rsidRPr="00DC525E">
        <w:rPr>
          <w:sz w:val="18"/>
          <w:szCs w:val="18"/>
          <w:vertAlign w:val="superscript"/>
          <w:lang w:val="en-US"/>
        </w:rPr>
        <w:footnoteRef/>
      </w:r>
      <w:r w:rsidRPr="00DC525E">
        <w:rPr>
          <w:sz w:val="18"/>
          <w:szCs w:val="18"/>
          <w:lang w:val="en-US"/>
        </w:rPr>
        <w:t> UNEP/</w:t>
      </w:r>
      <w:proofErr w:type="spellStart"/>
      <w:r w:rsidRPr="00DC525E">
        <w:rPr>
          <w:sz w:val="18"/>
          <w:szCs w:val="18"/>
          <w:lang w:val="en-US"/>
        </w:rPr>
        <w:t>OzL.Pro</w:t>
      </w:r>
      <w:proofErr w:type="spellEnd"/>
      <w:r w:rsidRPr="00DC525E">
        <w:rPr>
          <w:sz w:val="18"/>
          <w:szCs w:val="18"/>
          <w:lang w:val="en-US"/>
        </w:rPr>
        <w:t>/ExCom/97/24.</w:t>
      </w:r>
    </w:p>
  </w:footnote>
  <w:footnote w:id="64">
    <w:p w14:paraId="02F4ED7E" w14:textId="77777777" w:rsidR="00CA1473" w:rsidRPr="00DC525E" w:rsidRDefault="00CA1473" w:rsidP="00DC525E">
      <w:pPr>
        <w:pStyle w:val="FootnoteText"/>
        <w:ind w:left="1276"/>
        <w:rPr>
          <w:sz w:val="18"/>
          <w:szCs w:val="18"/>
          <w:lang w:val="en-US"/>
        </w:rPr>
      </w:pPr>
      <w:r w:rsidRPr="00DC525E">
        <w:rPr>
          <w:sz w:val="18"/>
          <w:szCs w:val="18"/>
          <w:vertAlign w:val="superscript"/>
          <w:lang w:val="en-US"/>
        </w:rPr>
        <w:footnoteRef/>
      </w:r>
      <w:r w:rsidRPr="00DC525E">
        <w:rPr>
          <w:sz w:val="18"/>
          <w:szCs w:val="18"/>
          <w:lang w:val="en-US"/>
        </w:rPr>
        <w:t> UNEP/</w:t>
      </w:r>
      <w:proofErr w:type="spellStart"/>
      <w:r w:rsidRPr="00DC525E">
        <w:rPr>
          <w:sz w:val="18"/>
          <w:szCs w:val="18"/>
          <w:lang w:val="en-US"/>
        </w:rPr>
        <w:t>OzL.Pro</w:t>
      </w:r>
      <w:proofErr w:type="spellEnd"/>
      <w:r w:rsidRPr="00DC525E">
        <w:rPr>
          <w:sz w:val="18"/>
          <w:szCs w:val="18"/>
          <w:lang w:val="en-US"/>
        </w:rPr>
        <w:t>/ExCom/97/25.</w:t>
      </w:r>
    </w:p>
  </w:footnote>
  <w:footnote w:id="65">
    <w:p w14:paraId="0947B91E" w14:textId="77777777" w:rsidR="00CA1473" w:rsidRPr="00DC525E" w:rsidRDefault="00CA1473" w:rsidP="00DC525E">
      <w:pPr>
        <w:pStyle w:val="FootnoteText"/>
        <w:ind w:left="1276"/>
        <w:rPr>
          <w:sz w:val="18"/>
          <w:szCs w:val="18"/>
          <w:lang w:val="en-US"/>
        </w:rPr>
      </w:pPr>
      <w:r w:rsidRPr="00DC525E">
        <w:rPr>
          <w:sz w:val="18"/>
          <w:szCs w:val="18"/>
          <w:vertAlign w:val="superscript"/>
          <w:lang w:val="en-US"/>
        </w:rPr>
        <w:footnoteRef/>
      </w:r>
      <w:r w:rsidRPr="00DC525E">
        <w:rPr>
          <w:sz w:val="18"/>
          <w:szCs w:val="18"/>
          <w:lang w:val="en-US"/>
        </w:rPr>
        <w:t> UNEP/</w:t>
      </w:r>
      <w:proofErr w:type="spellStart"/>
      <w:r w:rsidRPr="00DC525E">
        <w:rPr>
          <w:sz w:val="18"/>
          <w:szCs w:val="18"/>
          <w:lang w:val="en-US"/>
        </w:rPr>
        <w:t>OzL.Pro</w:t>
      </w:r>
      <w:proofErr w:type="spellEnd"/>
      <w:r w:rsidRPr="00DC525E">
        <w:rPr>
          <w:sz w:val="18"/>
          <w:szCs w:val="18"/>
          <w:lang w:val="en-US"/>
        </w:rPr>
        <w:t>/ExCom/97/91, annexes XXIV, XXV, XXVI and XXVII.</w:t>
      </w:r>
    </w:p>
  </w:footnote>
  <w:footnote w:id="66">
    <w:p w14:paraId="585CA041" w14:textId="329C7864" w:rsidR="0040579D" w:rsidRPr="00F41595" w:rsidRDefault="0040579D" w:rsidP="00DC525E">
      <w:pPr>
        <w:pStyle w:val="FootnoteText"/>
        <w:ind w:left="1276"/>
        <w:rPr>
          <w:sz w:val="18"/>
          <w:szCs w:val="18"/>
          <w:lang w:val="pt-BR"/>
        </w:rPr>
      </w:pPr>
      <w:r w:rsidRPr="00DC525E">
        <w:rPr>
          <w:sz w:val="18"/>
          <w:szCs w:val="18"/>
          <w:vertAlign w:val="superscript"/>
          <w:lang w:val="en-US"/>
        </w:rPr>
        <w:footnoteRef/>
      </w:r>
      <w:r w:rsidRPr="00F41595">
        <w:rPr>
          <w:sz w:val="18"/>
          <w:szCs w:val="18"/>
          <w:lang w:val="pt-BR"/>
        </w:rPr>
        <w:t xml:space="preserve"> UNEP/OzL.Pro/ExCom/98/8</w:t>
      </w:r>
      <w:r w:rsidR="00A76163">
        <w:rPr>
          <w:sz w:val="18"/>
          <w:szCs w:val="18"/>
          <w:lang w:val="pt-BR"/>
        </w:rPr>
        <w:t>.</w:t>
      </w:r>
    </w:p>
  </w:footnote>
  <w:footnote w:id="67">
    <w:p w14:paraId="68ED593C" w14:textId="0EEB964E"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F41595">
        <w:rPr>
          <w:sz w:val="18"/>
          <w:szCs w:val="18"/>
          <w:lang w:val="pt-BR"/>
        </w:rPr>
        <w:t> UNEP/OzL.Pro/ExCom/98/</w:t>
      </w:r>
      <w:r w:rsidR="00847B2C" w:rsidRPr="00F41595">
        <w:rPr>
          <w:sz w:val="18"/>
          <w:szCs w:val="18"/>
          <w:lang w:val="pt-BR"/>
        </w:rPr>
        <w:t>64</w:t>
      </w:r>
      <w:r w:rsidRPr="00F41595">
        <w:rPr>
          <w:sz w:val="18"/>
          <w:szCs w:val="18"/>
          <w:lang w:val="pt-BR"/>
        </w:rPr>
        <w:t xml:space="preserve">, annex </w:t>
      </w:r>
      <w:r w:rsidR="00847B2C" w:rsidRPr="00F41595">
        <w:rPr>
          <w:sz w:val="18"/>
          <w:szCs w:val="18"/>
          <w:lang w:val="pt-BR"/>
        </w:rPr>
        <w:t>I</w:t>
      </w:r>
      <w:r w:rsidRPr="00F41595">
        <w:rPr>
          <w:sz w:val="18"/>
          <w:szCs w:val="18"/>
          <w:lang w:val="pt-BR"/>
        </w:rPr>
        <w:t>.</w:t>
      </w:r>
    </w:p>
  </w:footnote>
  <w:footnote w:id="68">
    <w:p w14:paraId="5D3D10ED" w14:textId="77777777" w:rsidR="00CA1473" w:rsidRPr="00F41595" w:rsidRDefault="00CA1473" w:rsidP="00DC525E">
      <w:pPr>
        <w:pStyle w:val="FootnoteText"/>
        <w:ind w:left="1276"/>
        <w:rPr>
          <w:sz w:val="18"/>
          <w:szCs w:val="18"/>
          <w:lang w:val="pt-BR"/>
        </w:rPr>
      </w:pPr>
      <w:r w:rsidRPr="00B5115B">
        <w:rPr>
          <w:sz w:val="18"/>
          <w:szCs w:val="18"/>
          <w:vertAlign w:val="superscript"/>
          <w:lang w:val="en-US"/>
        </w:rPr>
        <w:footnoteRef/>
      </w:r>
      <w:r w:rsidRPr="00F41595">
        <w:rPr>
          <w:sz w:val="18"/>
          <w:szCs w:val="18"/>
          <w:vertAlign w:val="superscript"/>
          <w:lang w:val="pt-BR"/>
        </w:rPr>
        <w:t> </w:t>
      </w:r>
      <w:r w:rsidRPr="00F41595">
        <w:rPr>
          <w:sz w:val="18"/>
          <w:szCs w:val="18"/>
          <w:lang w:val="pt-BR"/>
        </w:rPr>
        <w:t>UNEP/OzL.Pro/ExCom/97/3.</w:t>
      </w:r>
    </w:p>
  </w:footnote>
  <w:footnote w:id="69">
    <w:p w14:paraId="0ABF3CDA"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F41595">
        <w:rPr>
          <w:sz w:val="18"/>
          <w:szCs w:val="18"/>
          <w:lang w:val="pt-BR"/>
        </w:rPr>
        <w:t> UNEP/OzL.Pro/ExCom/97/4.</w:t>
      </w:r>
    </w:p>
  </w:footnote>
  <w:footnote w:id="70">
    <w:p w14:paraId="658E281F"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F41595">
        <w:rPr>
          <w:sz w:val="18"/>
          <w:szCs w:val="18"/>
          <w:lang w:val="pt-BR"/>
        </w:rPr>
        <w:t> UNEP/OzL.Pro/ExCom/97/5.</w:t>
      </w:r>
    </w:p>
  </w:footnote>
  <w:footnote w:id="71">
    <w:p w14:paraId="19A61E8E"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F41595">
        <w:rPr>
          <w:sz w:val="18"/>
          <w:szCs w:val="18"/>
          <w:lang w:val="pt-BR"/>
        </w:rPr>
        <w:t> UNEP/OzL.Pro/ExCom/97/6.</w:t>
      </w:r>
    </w:p>
  </w:footnote>
  <w:footnote w:id="72">
    <w:p w14:paraId="14EEF9A4"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F41595">
        <w:rPr>
          <w:sz w:val="18"/>
          <w:szCs w:val="18"/>
          <w:lang w:val="pt-BR"/>
        </w:rPr>
        <w:t> UNEP/OzL.Pro/ExCom/97/7.</w:t>
      </w:r>
    </w:p>
  </w:footnote>
  <w:footnote w:id="73">
    <w:p w14:paraId="2EEBCA11"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F41595">
        <w:rPr>
          <w:sz w:val="18"/>
          <w:szCs w:val="18"/>
          <w:lang w:val="pt-BR"/>
        </w:rPr>
        <w:t xml:space="preserve"> UNEP/OzL.Pro/ExCom/97/91, annex II.</w:t>
      </w:r>
    </w:p>
  </w:footnote>
  <w:footnote w:id="74">
    <w:p w14:paraId="7A624B12" w14:textId="50C5E103" w:rsidR="00DC525E" w:rsidRPr="00F41595" w:rsidRDefault="00DC525E" w:rsidP="00DC525E">
      <w:pPr>
        <w:pStyle w:val="FootnoteText"/>
        <w:ind w:left="1276"/>
        <w:rPr>
          <w:sz w:val="18"/>
          <w:szCs w:val="18"/>
          <w:lang w:val="pt-BR"/>
        </w:rPr>
      </w:pPr>
      <w:r w:rsidRPr="00DC525E">
        <w:rPr>
          <w:sz w:val="18"/>
          <w:szCs w:val="18"/>
          <w:vertAlign w:val="superscript"/>
          <w:lang w:val="en-US"/>
        </w:rPr>
        <w:footnoteRef/>
      </w:r>
      <w:r w:rsidRPr="00F41595">
        <w:rPr>
          <w:sz w:val="18"/>
          <w:szCs w:val="18"/>
          <w:lang w:val="pt-BR"/>
        </w:rPr>
        <w:t> UNEP/OzL.Pro/ExCom/98/3.</w:t>
      </w:r>
    </w:p>
  </w:footnote>
  <w:footnote w:id="75">
    <w:p w14:paraId="2B23D302" w14:textId="1E0E0C89" w:rsidR="00DC525E" w:rsidRPr="00F41595" w:rsidRDefault="00DC525E" w:rsidP="00DC525E">
      <w:pPr>
        <w:pStyle w:val="FootnoteText"/>
        <w:ind w:left="1276"/>
        <w:rPr>
          <w:sz w:val="18"/>
          <w:szCs w:val="18"/>
          <w:lang w:val="pt-BR"/>
        </w:rPr>
      </w:pPr>
      <w:r w:rsidRPr="00DC525E">
        <w:rPr>
          <w:sz w:val="18"/>
          <w:szCs w:val="18"/>
          <w:vertAlign w:val="superscript"/>
          <w:lang w:val="en-US"/>
        </w:rPr>
        <w:footnoteRef/>
      </w:r>
      <w:r w:rsidRPr="00F41595">
        <w:rPr>
          <w:sz w:val="18"/>
          <w:szCs w:val="18"/>
          <w:lang w:val="pt-BR"/>
        </w:rPr>
        <w:t> UNEP/OzL.Pro/ExCom/98/4.</w:t>
      </w:r>
    </w:p>
  </w:footnote>
  <w:footnote w:id="76">
    <w:p w14:paraId="78AC60D7"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F41595">
        <w:rPr>
          <w:sz w:val="18"/>
          <w:szCs w:val="18"/>
          <w:lang w:val="pt-BR"/>
        </w:rPr>
        <w:t> UNEP/OzL.Pro/ExCom/97/2.</w:t>
      </w:r>
    </w:p>
  </w:footnote>
  <w:footnote w:id="77">
    <w:p w14:paraId="080C06EE" w14:textId="5C2CDB0C" w:rsidR="00CA1473" w:rsidRPr="00F41595" w:rsidRDefault="00CA1473" w:rsidP="00DC525E">
      <w:pPr>
        <w:pStyle w:val="FootnoteText"/>
        <w:ind w:left="1276"/>
        <w:rPr>
          <w:lang w:val="pt-BR"/>
        </w:rPr>
      </w:pPr>
      <w:r w:rsidRPr="00DC525E">
        <w:rPr>
          <w:sz w:val="18"/>
          <w:szCs w:val="18"/>
          <w:vertAlign w:val="superscript"/>
          <w:lang w:val="en-US"/>
        </w:rPr>
        <w:footnoteRef/>
      </w:r>
      <w:r w:rsidRPr="00F41595">
        <w:rPr>
          <w:sz w:val="18"/>
          <w:szCs w:val="18"/>
          <w:lang w:val="pt-BR"/>
        </w:rPr>
        <w:t> UNEP/OzL.Pro/ExCom/98/</w:t>
      </w:r>
      <w:r w:rsidR="00DC525E" w:rsidRPr="00F41595">
        <w:rPr>
          <w:sz w:val="18"/>
          <w:szCs w:val="18"/>
          <w:lang w:val="pt-BR"/>
        </w:rPr>
        <w:t>2</w:t>
      </w:r>
      <w:r w:rsidRPr="00F41595">
        <w:rPr>
          <w:sz w:val="18"/>
          <w:szCs w:val="18"/>
          <w:lang w:val="pt-BR"/>
        </w:rPr>
        <w:t>.</w:t>
      </w:r>
    </w:p>
  </w:footnote>
  <w:footnote w:id="78">
    <w:p w14:paraId="098E4359" w14:textId="77777777" w:rsidR="001D4217" w:rsidRPr="00461D9A" w:rsidRDefault="001D4217" w:rsidP="00FF2809">
      <w:pPr>
        <w:pStyle w:val="FootnoteText"/>
        <w:ind w:left="1276"/>
        <w:rPr>
          <w:sz w:val="18"/>
          <w:szCs w:val="18"/>
          <w:lang w:val="en-US"/>
        </w:rPr>
      </w:pPr>
      <w:r w:rsidRPr="000422D9">
        <w:rPr>
          <w:rStyle w:val="FootnoteReference"/>
          <w:sz w:val="18"/>
          <w:szCs w:val="18"/>
        </w:rPr>
        <w:footnoteRef/>
      </w:r>
      <w:r w:rsidRPr="00461D9A">
        <w:rPr>
          <w:sz w:val="18"/>
          <w:szCs w:val="18"/>
          <w:lang w:val="en-US"/>
        </w:rPr>
        <w:t> Refers only to projects approved and funded by regular contributions.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9BAC" w14:textId="4696DAB6" w:rsidR="00486D8C" w:rsidRPr="00802AD7" w:rsidRDefault="00EF12E2">
    <w:pPr>
      <w:rPr>
        <w:sz w:val="20"/>
        <w:szCs w:val="20"/>
      </w:rPr>
    </w:pPr>
    <w:r w:rsidRPr="00792C6A">
      <w:rPr>
        <w:sz w:val="20"/>
        <w:szCs w:val="20"/>
      </w:rPr>
      <w:t>UNEP/OzL.Pro.38/8</w:t>
    </w:r>
  </w:p>
  <w:p w14:paraId="4318F877" w14:textId="7F179407" w:rsidR="00486D8C" w:rsidRPr="00802AD7" w:rsidRDefault="00486D8C">
    <w:pPr>
      <w:rPr>
        <w:sz w:val="20"/>
        <w:szCs w:val="20"/>
      </w:rPr>
    </w:pPr>
  </w:p>
  <w:p w14:paraId="3000C50C" w14:textId="77777777" w:rsidR="00486D8C" w:rsidRPr="00802AD7" w:rsidRDefault="00486D8C">
    <w:pP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9F8F5" w14:textId="5FC559FF" w:rsidR="00486D8C" w:rsidRPr="00802AD7" w:rsidRDefault="00100557">
    <w:pPr>
      <w:jc w:val="right"/>
      <w:rPr>
        <w:sz w:val="20"/>
        <w:szCs w:val="20"/>
      </w:rPr>
    </w:pPr>
    <w:r w:rsidRPr="00792C6A">
      <w:rPr>
        <w:sz w:val="20"/>
        <w:szCs w:val="20"/>
      </w:rPr>
      <w:t>UNEP/OzL.Pro.38/8</w:t>
    </w:r>
  </w:p>
  <w:p w14:paraId="7480B979" w14:textId="77777777" w:rsidR="00486D8C" w:rsidRPr="00802AD7" w:rsidRDefault="00486D8C">
    <w:pPr>
      <w:rPr>
        <w:sz w:val="20"/>
        <w:szCs w:val="20"/>
      </w:rPr>
    </w:pPr>
  </w:p>
  <w:p w14:paraId="09585B6F" w14:textId="77777777" w:rsidR="00486D8C" w:rsidRPr="00802AD7" w:rsidRDefault="00486D8C">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DB2175A"/>
    <w:styleLink w:val="ArticleSection12"/>
    <w:lvl w:ilvl="0">
      <w:start w:val="1"/>
      <w:numFmt w:val="decimal"/>
      <w:lvlText w:val="%1."/>
      <w:lvlJc w:val="left"/>
      <w:pPr>
        <w:tabs>
          <w:tab w:val="num" w:pos="1800"/>
        </w:tabs>
        <w:ind w:left="1800" w:hanging="360"/>
      </w:pPr>
    </w:lvl>
  </w:abstractNum>
  <w:abstractNum w:abstractNumId="1" w15:restartNumberingAfterBreak="0">
    <w:nsid w:val="FFFFFF83"/>
    <w:multiLevelType w:val="singleLevel"/>
    <w:tmpl w:val="4C3AD18E"/>
    <w:styleLink w:val="CurrentList11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FB"/>
    <w:multiLevelType w:val="multilevel"/>
    <w:tmpl w:val="7548BB0C"/>
    <w:styleLink w:val="ArticleSection11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8F8189B"/>
    <w:multiLevelType w:val="multilevel"/>
    <w:tmpl w:val="2A52F8DC"/>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0"/>
        <w:szCs w:val="20"/>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9295F3E"/>
    <w:multiLevelType w:val="hybridMultilevel"/>
    <w:tmpl w:val="BBE0274E"/>
    <w:lvl w:ilvl="0" w:tplc="87E6F8D6">
      <w:start w:val="1"/>
      <w:numFmt w:val="lowerRoman"/>
      <w:pStyle w:val="Letteredlist"/>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Newheader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15:restartNumberingAfterBreak="0">
    <w:nsid w:val="58EE6F10"/>
    <w:multiLevelType w:val="hybridMultilevel"/>
    <w:tmpl w:val="77A0BE68"/>
    <w:lvl w:ilvl="0" w:tplc="4268E54A">
      <w:start w:val="1"/>
      <w:numFmt w:val="lowerLetter"/>
      <w:pStyle w:val="Listlettered"/>
      <w:lvlText w:val="(%1)"/>
      <w:lvlJc w:val="left"/>
      <w:pPr>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5"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9C7E42"/>
    <w:multiLevelType w:val="multilevel"/>
    <w:tmpl w:val="2A52F8DC"/>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0"/>
        <w:szCs w:val="20"/>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num w:numId="1" w16cid:durableId="872812686">
    <w:abstractNumId w:val="2"/>
  </w:num>
  <w:num w:numId="2" w16cid:durableId="2032874041">
    <w:abstractNumId w:val="7"/>
  </w:num>
  <w:num w:numId="3" w16cid:durableId="1681932515">
    <w:abstractNumId w:val="10"/>
  </w:num>
  <w:num w:numId="4" w16cid:durableId="623081576">
    <w:abstractNumId w:val="11"/>
  </w:num>
  <w:num w:numId="5" w16cid:durableId="825439201">
    <w:abstractNumId w:val="16"/>
  </w:num>
  <w:num w:numId="6" w16cid:durableId="1432819273">
    <w:abstractNumId w:val="8"/>
  </w:num>
  <w:num w:numId="7" w16cid:durableId="1785298131">
    <w:abstractNumId w:val="12"/>
  </w:num>
  <w:num w:numId="8" w16cid:durableId="969438327">
    <w:abstractNumId w:val="5"/>
  </w:num>
  <w:num w:numId="9" w16cid:durableId="292643302">
    <w:abstractNumId w:val="14"/>
  </w:num>
  <w:num w:numId="10" w16cid:durableId="668095613">
    <w:abstractNumId w:val="3"/>
  </w:num>
  <w:num w:numId="11" w16cid:durableId="384335192">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12" w16cid:durableId="1223829628">
    <w:abstractNumId w:val="4"/>
  </w:num>
  <w:num w:numId="13" w16cid:durableId="1182629551">
    <w:abstractNumId w:val="15"/>
  </w:num>
  <w:num w:numId="14" w16cid:durableId="1308780019">
    <w:abstractNumId w:val="1"/>
  </w:num>
  <w:num w:numId="15" w16cid:durableId="784426817">
    <w:abstractNumId w:val="0"/>
  </w:num>
  <w:num w:numId="16" w16cid:durableId="1913078684">
    <w:abstractNumId w:val="17"/>
  </w:num>
  <w:num w:numId="17" w16cid:durableId="1679964872">
    <w:abstractNumId w:val="13"/>
  </w:num>
  <w:num w:numId="18" w16cid:durableId="1906840218">
    <w:abstractNumId w:val="9"/>
  </w:num>
  <w:num w:numId="19" w16cid:durableId="793793754">
    <w:abstractNumId w:val="6"/>
  </w:num>
  <w:num w:numId="20" w16cid:durableId="1757169435">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activeWritingStyle w:appName="MSWord" w:lang="es-ES_tradnl" w:vendorID="64" w:dllVersion="6" w:nlCheck="1" w:checkStyle="0"/>
  <w:activeWritingStyle w:appName="MSWord" w:lang="en-CA" w:vendorID="64" w:dllVersion="6" w:nlCheck="1" w:checkStyle="0"/>
  <w:activeWritingStyle w:appName="MSWord" w:lang="en-US" w:vendorID="64" w:dllVersion="6" w:nlCheck="1" w:checkStyle="0"/>
  <w:activeWritingStyle w:appName="MSWord" w:lang="en-GB"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24"/>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C123B"/>
    <w:rsid w:val="000006CA"/>
    <w:rsid w:val="00000FED"/>
    <w:rsid w:val="0000434E"/>
    <w:rsid w:val="00005577"/>
    <w:rsid w:val="0000561C"/>
    <w:rsid w:val="00006DBD"/>
    <w:rsid w:val="00007772"/>
    <w:rsid w:val="000078B3"/>
    <w:rsid w:val="00011DE2"/>
    <w:rsid w:val="000128E2"/>
    <w:rsid w:val="00012E78"/>
    <w:rsid w:val="000147B5"/>
    <w:rsid w:val="00015C15"/>
    <w:rsid w:val="000167B1"/>
    <w:rsid w:val="00016A27"/>
    <w:rsid w:val="000211A9"/>
    <w:rsid w:val="0002228F"/>
    <w:rsid w:val="00023448"/>
    <w:rsid w:val="00024F5B"/>
    <w:rsid w:val="00024FDC"/>
    <w:rsid w:val="0002538B"/>
    <w:rsid w:val="000256E3"/>
    <w:rsid w:val="00026079"/>
    <w:rsid w:val="00027004"/>
    <w:rsid w:val="00030261"/>
    <w:rsid w:val="00030B76"/>
    <w:rsid w:val="00030F3D"/>
    <w:rsid w:val="00031260"/>
    <w:rsid w:val="00031DAA"/>
    <w:rsid w:val="00032058"/>
    <w:rsid w:val="0003206B"/>
    <w:rsid w:val="00033200"/>
    <w:rsid w:val="0003681A"/>
    <w:rsid w:val="000372B7"/>
    <w:rsid w:val="00040235"/>
    <w:rsid w:val="000417EA"/>
    <w:rsid w:val="000422D9"/>
    <w:rsid w:val="00042C33"/>
    <w:rsid w:val="00043665"/>
    <w:rsid w:val="00044F88"/>
    <w:rsid w:val="00050F6E"/>
    <w:rsid w:val="00051061"/>
    <w:rsid w:val="0005159D"/>
    <w:rsid w:val="00053C51"/>
    <w:rsid w:val="000567B4"/>
    <w:rsid w:val="000568AD"/>
    <w:rsid w:val="00057C87"/>
    <w:rsid w:val="000600AC"/>
    <w:rsid w:val="000607BB"/>
    <w:rsid w:val="000609B1"/>
    <w:rsid w:val="0006113D"/>
    <w:rsid w:val="000615C7"/>
    <w:rsid w:val="00061EC2"/>
    <w:rsid w:val="000621FB"/>
    <w:rsid w:val="000628B4"/>
    <w:rsid w:val="000632EB"/>
    <w:rsid w:val="00063937"/>
    <w:rsid w:val="00063C01"/>
    <w:rsid w:val="00064D5D"/>
    <w:rsid w:val="00065579"/>
    <w:rsid w:val="00065707"/>
    <w:rsid w:val="000661B5"/>
    <w:rsid w:val="0006685E"/>
    <w:rsid w:val="00066CE8"/>
    <w:rsid w:val="00067439"/>
    <w:rsid w:val="000731D4"/>
    <w:rsid w:val="00074941"/>
    <w:rsid w:val="00075BF9"/>
    <w:rsid w:val="00077124"/>
    <w:rsid w:val="0008048D"/>
    <w:rsid w:val="00080C9B"/>
    <w:rsid w:val="00080ED0"/>
    <w:rsid w:val="00081DE2"/>
    <w:rsid w:val="0008315E"/>
    <w:rsid w:val="00084271"/>
    <w:rsid w:val="00085B8F"/>
    <w:rsid w:val="00086BE7"/>
    <w:rsid w:val="00087980"/>
    <w:rsid w:val="00087AEF"/>
    <w:rsid w:val="00090481"/>
    <w:rsid w:val="000904BE"/>
    <w:rsid w:val="00091AE9"/>
    <w:rsid w:val="00091CC2"/>
    <w:rsid w:val="0009298F"/>
    <w:rsid w:val="00093D4C"/>
    <w:rsid w:val="0009427C"/>
    <w:rsid w:val="00094557"/>
    <w:rsid w:val="00094977"/>
    <w:rsid w:val="00094B4A"/>
    <w:rsid w:val="000952E8"/>
    <w:rsid w:val="000958D2"/>
    <w:rsid w:val="00095E2E"/>
    <w:rsid w:val="00096ED5"/>
    <w:rsid w:val="00097BDA"/>
    <w:rsid w:val="000A03A5"/>
    <w:rsid w:val="000A134D"/>
    <w:rsid w:val="000A1893"/>
    <w:rsid w:val="000A1A88"/>
    <w:rsid w:val="000A2C31"/>
    <w:rsid w:val="000A30DE"/>
    <w:rsid w:val="000A3103"/>
    <w:rsid w:val="000A3826"/>
    <w:rsid w:val="000A3860"/>
    <w:rsid w:val="000A3978"/>
    <w:rsid w:val="000A4A4D"/>
    <w:rsid w:val="000A6988"/>
    <w:rsid w:val="000A6C26"/>
    <w:rsid w:val="000A6E65"/>
    <w:rsid w:val="000A79FC"/>
    <w:rsid w:val="000B0C31"/>
    <w:rsid w:val="000B3268"/>
    <w:rsid w:val="000B3F0F"/>
    <w:rsid w:val="000B42D3"/>
    <w:rsid w:val="000B4971"/>
    <w:rsid w:val="000B74FD"/>
    <w:rsid w:val="000C03E1"/>
    <w:rsid w:val="000C3CE5"/>
    <w:rsid w:val="000C473B"/>
    <w:rsid w:val="000C4CCE"/>
    <w:rsid w:val="000C5462"/>
    <w:rsid w:val="000C57A0"/>
    <w:rsid w:val="000C6051"/>
    <w:rsid w:val="000C6A81"/>
    <w:rsid w:val="000C7855"/>
    <w:rsid w:val="000C7982"/>
    <w:rsid w:val="000D07AB"/>
    <w:rsid w:val="000D1CD3"/>
    <w:rsid w:val="000D3F5D"/>
    <w:rsid w:val="000D52A4"/>
    <w:rsid w:val="000D6353"/>
    <w:rsid w:val="000D6AB7"/>
    <w:rsid w:val="000D7C4D"/>
    <w:rsid w:val="000D7F0B"/>
    <w:rsid w:val="000E07BC"/>
    <w:rsid w:val="000E1097"/>
    <w:rsid w:val="000E1DF9"/>
    <w:rsid w:val="000E3178"/>
    <w:rsid w:val="000E3CA7"/>
    <w:rsid w:val="000E4BFE"/>
    <w:rsid w:val="000E4C87"/>
    <w:rsid w:val="000E6AEC"/>
    <w:rsid w:val="000F0039"/>
    <w:rsid w:val="000F01CB"/>
    <w:rsid w:val="000F1CD4"/>
    <w:rsid w:val="000F271D"/>
    <w:rsid w:val="000F2D30"/>
    <w:rsid w:val="000F2D5D"/>
    <w:rsid w:val="000F3D41"/>
    <w:rsid w:val="000F4103"/>
    <w:rsid w:val="000F4905"/>
    <w:rsid w:val="000F4A5F"/>
    <w:rsid w:val="000F551D"/>
    <w:rsid w:val="000F56F1"/>
    <w:rsid w:val="000F5E80"/>
    <w:rsid w:val="000F6645"/>
    <w:rsid w:val="000F70A7"/>
    <w:rsid w:val="000F757C"/>
    <w:rsid w:val="001003AA"/>
    <w:rsid w:val="00100557"/>
    <w:rsid w:val="00101A4F"/>
    <w:rsid w:val="001030FC"/>
    <w:rsid w:val="00104AD4"/>
    <w:rsid w:val="00106A7B"/>
    <w:rsid w:val="0011248C"/>
    <w:rsid w:val="00113A97"/>
    <w:rsid w:val="00113CCA"/>
    <w:rsid w:val="00114F5A"/>
    <w:rsid w:val="001156A1"/>
    <w:rsid w:val="00115991"/>
    <w:rsid w:val="001175FE"/>
    <w:rsid w:val="00117C10"/>
    <w:rsid w:val="00122F25"/>
    <w:rsid w:val="0012423F"/>
    <w:rsid w:val="0012495D"/>
    <w:rsid w:val="00124A00"/>
    <w:rsid w:val="00124F3F"/>
    <w:rsid w:val="00126441"/>
    <w:rsid w:val="00126533"/>
    <w:rsid w:val="00126A9D"/>
    <w:rsid w:val="00126DFE"/>
    <w:rsid w:val="00127D20"/>
    <w:rsid w:val="00131537"/>
    <w:rsid w:val="001334DE"/>
    <w:rsid w:val="001335E3"/>
    <w:rsid w:val="001357FA"/>
    <w:rsid w:val="00135980"/>
    <w:rsid w:val="00135E60"/>
    <w:rsid w:val="001360D6"/>
    <w:rsid w:val="001361D6"/>
    <w:rsid w:val="0013654E"/>
    <w:rsid w:val="00136C74"/>
    <w:rsid w:val="001417A5"/>
    <w:rsid w:val="00141F6B"/>
    <w:rsid w:val="00142211"/>
    <w:rsid w:val="001425A5"/>
    <w:rsid w:val="001426BE"/>
    <w:rsid w:val="00143732"/>
    <w:rsid w:val="0014549A"/>
    <w:rsid w:val="0014645A"/>
    <w:rsid w:val="00147026"/>
    <w:rsid w:val="00153E55"/>
    <w:rsid w:val="00154FB3"/>
    <w:rsid w:val="00156270"/>
    <w:rsid w:val="00164719"/>
    <w:rsid w:val="001648A7"/>
    <w:rsid w:val="00164984"/>
    <w:rsid w:val="001650E5"/>
    <w:rsid w:val="001659A2"/>
    <w:rsid w:val="00165D0E"/>
    <w:rsid w:val="00166AEB"/>
    <w:rsid w:val="00166FC4"/>
    <w:rsid w:val="001677AC"/>
    <w:rsid w:val="001718F3"/>
    <w:rsid w:val="001737A4"/>
    <w:rsid w:val="0017463D"/>
    <w:rsid w:val="001769E3"/>
    <w:rsid w:val="001804EA"/>
    <w:rsid w:val="001813E1"/>
    <w:rsid w:val="00181432"/>
    <w:rsid w:val="00181D4D"/>
    <w:rsid w:val="00182655"/>
    <w:rsid w:val="001827ED"/>
    <w:rsid w:val="00182981"/>
    <w:rsid w:val="00182CF0"/>
    <w:rsid w:val="001847B1"/>
    <w:rsid w:val="00184D22"/>
    <w:rsid w:val="00185E83"/>
    <w:rsid w:val="0019004B"/>
    <w:rsid w:val="00190A61"/>
    <w:rsid w:val="00192522"/>
    <w:rsid w:val="00192C8E"/>
    <w:rsid w:val="00193CCD"/>
    <w:rsid w:val="00193CE7"/>
    <w:rsid w:val="00195152"/>
    <w:rsid w:val="001952BD"/>
    <w:rsid w:val="00197EE4"/>
    <w:rsid w:val="001A18F7"/>
    <w:rsid w:val="001A2215"/>
    <w:rsid w:val="001A3207"/>
    <w:rsid w:val="001A3342"/>
    <w:rsid w:val="001A3A70"/>
    <w:rsid w:val="001A3E3D"/>
    <w:rsid w:val="001A48F0"/>
    <w:rsid w:val="001A551D"/>
    <w:rsid w:val="001A564F"/>
    <w:rsid w:val="001A58AF"/>
    <w:rsid w:val="001A678A"/>
    <w:rsid w:val="001A7049"/>
    <w:rsid w:val="001A7491"/>
    <w:rsid w:val="001B0DD0"/>
    <w:rsid w:val="001B0E40"/>
    <w:rsid w:val="001B0F93"/>
    <w:rsid w:val="001B1E40"/>
    <w:rsid w:val="001B1EE2"/>
    <w:rsid w:val="001B2063"/>
    <w:rsid w:val="001B339C"/>
    <w:rsid w:val="001B39ED"/>
    <w:rsid w:val="001B435A"/>
    <w:rsid w:val="001B65DE"/>
    <w:rsid w:val="001B7000"/>
    <w:rsid w:val="001B7B48"/>
    <w:rsid w:val="001C04A5"/>
    <w:rsid w:val="001C0F5C"/>
    <w:rsid w:val="001C1AE1"/>
    <w:rsid w:val="001C34ED"/>
    <w:rsid w:val="001C38D1"/>
    <w:rsid w:val="001C50D4"/>
    <w:rsid w:val="001C5ADE"/>
    <w:rsid w:val="001C6BD9"/>
    <w:rsid w:val="001C764E"/>
    <w:rsid w:val="001D0CC3"/>
    <w:rsid w:val="001D150C"/>
    <w:rsid w:val="001D19B0"/>
    <w:rsid w:val="001D359F"/>
    <w:rsid w:val="001D3AF1"/>
    <w:rsid w:val="001D4217"/>
    <w:rsid w:val="001D42A2"/>
    <w:rsid w:val="001D4A22"/>
    <w:rsid w:val="001D560A"/>
    <w:rsid w:val="001D5FD2"/>
    <w:rsid w:val="001E0A68"/>
    <w:rsid w:val="001E1052"/>
    <w:rsid w:val="001E2078"/>
    <w:rsid w:val="001E21B1"/>
    <w:rsid w:val="001E2F93"/>
    <w:rsid w:val="001E4554"/>
    <w:rsid w:val="001E4DD4"/>
    <w:rsid w:val="001E5E93"/>
    <w:rsid w:val="001E61E5"/>
    <w:rsid w:val="001E6DAE"/>
    <w:rsid w:val="001F1159"/>
    <w:rsid w:val="001F2159"/>
    <w:rsid w:val="001F5851"/>
    <w:rsid w:val="001F74DC"/>
    <w:rsid w:val="002004FF"/>
    <w:rsid w:val="00200502"/>
    <w:rsid w:val="002007D3"/>
    <w:rsid w:val="00202BB7"/>
    <w:rsid w:val="00203D08"/>
    <w:rsid w:val="00204139"/>
    <w:rsid w:val="00204CDE"/>
    <w:rsid w:val="00205BAF"/>
    <w:rsid w:val="00206A95"/>
    <w:rsid w:val="0020711E"/>
    <w:rsid w:val="002073E7"/>
    <w:rsid w:val="00210AD7"/>
    <w:rsid w:val="00210B8B"/>
    <w:rsid w:val="002123E7"/>
    <w:rsid w:val="00214863"/>
    <w:rsid w:val="002156B4"/>
    <w:rsid w:val="00215993"/>
    <w:rsid w:val="002206FF"/>
    <w:rsid w:val="00220C49"/>
    <w:rsid w:val="00223D5E"/>
    <w:rsid w:val="00224FCD"/>
    <w:rsid w:val="00225948"/>
    <w:rsid w:val="00230503"/>
    <w:rsid w:val="0023064F"/>
    <w:rsid w:val="002306E4"/>
    <w:rsid w:val="00231207"/>
    <w:rsid w:val="0023193A"/>
    <w:rsid w:val="00231AD6"/>
    <w:rsid w:val="002327EA"/>
    <w:rsid w:val="00232E07"/>
    <w:rsid w:val="00233A88"/>
    <w:rsid w:val="00233AB4"/>
    <w:rsid w:val="00235951"/>
    <w:rsid w:val="00235DF4"/>
    <w:rsid w:val="0024063F"/>
    <w:rsid w:val="002407EF"/>
    <w:rsid w:val="00241853"/>
    <w:rsid w:val="00242324"/>
    <w:rsid w:val="002437C7"/>
    <w:rsid w:val="00244D65"/>
    <w:rsid w:val="002454E8"/>
    <w:rsid w:val="002460B6"/>
    <w:rsid w:val="00246B9D"/>
    <w:rsid w:val="00247F06"/>
    <w:rsid w:val="0025010F"/>
    <w:rsid w:val="00250A4D"/>
    <w:rsid w:val="002527E9"/>
    <w:rsid w:val="002528C5"/>
    <w:rsid w:val="00253222"/>
    <w:rsid w:val="002533C3"/>
    <w:rsid w:val="00254AB0"/>
    <w:rsid w:val="0025745A"/>
    <w:rsid w:val="00257A67"/>
    <w:rsid w:val="00257C89"/>
    <w:rsid w:val="002619A8"/>
    <w:rsid w:val="00262847"/>
    <w:rsid w:val="00262F56"/>
    <w:rsid w:val="002633B0"/>
    <w:rsid w:val="002645CB"/>
    <w:rsid w:val="0026570C"/>
    <w:rsid w:val="002668F1"/>
    <w:rsid w:val="00266998"/>
    <w:rsid w:val="002675AB"/>
    <w:rsid w:val="00275570"/>
    <w:rsid w:val="00275D91"/>
    <w:rsid w:val="00276A0A"/>
    <w:rsid w:val="00276A75"/>
    <w:rsid w:val="002772FB"/>
    <w:rsid w:val="00277367"/>
    <w:rsid w:val="00277594"/>
    <w:rsid w:val="0028091B"/>
    <w:rsid w:val="00281BB2"/>
    <w:rsid w:val="002826ED"/>
    <w:rsid w:val="002827D0"/>
    <w:rsid w:val="00282FE8"/>
    <w:rsid w:val="0028434A"/>
    <w:rsid w:val="00284748"/>
    <w:rsid w:val="00284D9A"/>
    <w:rsid w:val="002854CA"/>
    <w:rsid w:val="00286009"/>
    <w:rsid w:val="00286444"/>
    <w:rsid w:val="0028691F"/>
    <w:rsid w:val="002875FC"/>
    <w:rsid w:val="00287DCA"/>
    <w:rsid w:val="002913FC"/>
    <w:rsid w:val="00292311"/>
    <w:rsid w:val="00292889"/>
    <w:rsid w:val="00292FAA"/>
    <w:rsid w:val="00295126"/>
    <w:rsid w:val="00295728"/>
    <w:rsid w:val="00295E44"/>
    <w:rsid w:val="00297433"/>
    <w:rsid w:val="00297847"/>
    <w:rsid w:val="002A007C"/>
    <w:rsid w:val="002A018C"/>
    <w:rsid w:val="002A1DFF"/>
    <w:rsid w:val="002A2842"/>
    <w:rsid w:val="002A387A"/>
    <w:rsid w:val="002A391C"/>
    <w:rsid w:val="002A4C08"/>
    <w:rsid w:val="002B09C7"/>
    <w:rsid w:val="002B11D4"/>
    <w:rsid w:val="002B254E"/>
    <w:rsid w:val="002B667C"/>
    <w:rsid w:val="002B72E9"/>
    <w:rsid w:val="002B7E51"/>
    <w:rsid w:val="002C0957"/>
    <w:rsid w:val="002C1682"/>
    <w:rsid w:val="002C2295"/>
    <w:rsid w:val="002C22A6"/>
    <w:rsid w:val="002C3AA0"/>
    <w:rsid w:val="002C3B2F"/>
    <w:rsid w:val="002C4066"/>
    <w:rsid w:val="002C4D1F"/>
    <w:rsid w:val="002C59E2"/>
    <w:rsid w:val="002C74D4"/>
    <w:rsid w:val="002C7998"/>
    <w:rsid w:val="002D05A1"/>
    <w:rsid w:val="002D110B"/>
    <w:rsid w:val="002D2291"/>
    <w:rsid w:val="002D3D50"/>
    <w:rsid w:val="002D5DCD"/>
    <w:rsid w:val="002D6E84"/>
    <w:rsid w:val="002D728B"/>
    <w:rsid w:val="002D750A"/>
    <w:rsid w:val="002D75D8"/>
    <w:rsid w:val="002D7C91"/>
    <w:rsid w:val="002E0656"/>
    <w:rsid w:val="002E10C4"/>
    <w:rsid w:val="002E1AD9"/>
    <w:rsid w:val="002E1D13"/>
    <w:rsid w:val="002E22CA"/>
    <w:rsid w:val="002E27EE"/>
    <w:rsid w:val="002E4012"/>
    <w:rsid w:val="002E6086"/>
    <w:rsid w:val="002E64F0"/>
    <w:rsid w:val="002F0AB5"/>
    <w:rsid w:val="002F17C7"/>
    <w:rsid w:val="002F1E53"/>
    <w:rsid w:val="002F20E9"/>
    <w:rsid w:val="002F2CAA"/>
    <w:rsid w:val="002F2ED3"/>
    <w:rsid w:val="002F2F3B"/>
    <w:rsid w:val="002F3142"/>
    <w:rsid w:val="002F4ADB"/>
    <w:rsid w:val="002F77CB"/>
    <w:rsid w:val="002F7980"/>
    <w:rsid w:val="002F7CD0"/>
    <w:rsid w:val="002F7DA5"/>
    <w:rsid w:val="002F7F3C"/>
    <w:rsid w:val="00300400"/>
    <w:rsid w:val="0030052C"/>
    <w:rsid w:val="003010BB"/>
    <w:rsid w:val="0030118F"/>
    <w:rsid w:val="00301547"/>
    <w:rsid w:val="00301F02"/>
    <w:rsid w:val="00302630"/>
    <w:rsid w:val="00302929"/>
    <w:rsid w:val="003036DE"/>
    <w:rsid w:val="00303DEF"/>
    <w:rsid w:val="00304097"/>
    <w:rsid w:val="00304A1D"/>
    <w:rsid w:val="00305462"/>
    <w:rsid w:val="0030580C"/>
    <w:rsid w:val="00307FC5"/>
    <w:rsid w:val="003102B4"/>
    <w:rsid w:val="00310E08"/>
    <w:rsid w:val="00311533"/>
    <w:rsid w:val="003135F8"/>
    <w:rsid w:val="0031371B"/>
    <w:rsid w:val="003147E5"/>
    <w:rsid w:val="0031551D"/>
    <w:rsid w:val="00317403"/>
    <w:rsid w:val="00317AE9"/>
    <w:rsid w:val="003208C3"/>
    <w:rsid w:val="00320C55"/>
    <w:rsid w:val="00320CA7"/>
    <w:rsid w:val="00321A02"/>
    <w:rsid w:val="00321FD4"/>
    <w:rsid w:val="00322444"/>
    <w:rsid w:val="003238A4"/>
    <w:rsid w:val="00323ED0"/>
    <w:rsid w:val="00323F96"/>
    <w:rsid w:val="00324979"/>
    <w:rsid w:val="00326081"/>
    <w:rsid w:val="00326B01"/>
    <w:rsid w:val="003272AD"/>
    <w:rsid w:val="003306E1"/>
    <w:rsid w:val="00331C7A"/>
    <w:rsid w:val="00331F49"/>
    <w:rsid w:val="003320E4"/>
    <w:rsid w:val="00333FC0"/>
    <w:rsid w:val="00334BC4"/>
    <w:rsid w:val="003351E5"/>
    <w:rsid w:val="0033525D"/>
    <w:rsid w:val="00335498"/>
    <w:rsid w:val="0033693C"/>
    <w:rsid w:val="0033745E"/>
    <w:rsid w:val="0034054A"/>
    <w:rsid w:val="00340A49"/>
    <w:rsid w:val="003414F3"/>
    <w:rsid w:val="003431B1"/>
    <w:rsid w:val="003437BA"/>
    <w:rsid w:val="00344718"/>
    <w:rsid w:val="00344BAC"/>
    <w:rsid w:val="00345043"/>
    <w:rsid w:val="003503D5"/>
    <w:rsid w:val="00350442"/>
    <w:rsid w:val="00350B36"/>
    <w:rsid w:val="00351639"/>
    <w:rsid w:val="003517F6"/>
    <w:rsid w:val="003527C3"/>
    <w:rsid w:val="0035325F"/>
    <w:rsid w:val="00355761"/>
    <w:rsid w:val="003558C4"/>
    <w:rsid w:val="0035613E"/>
    <w:rsid w:val="0035658D"/>
    <w:rsid w:val="00356DA6"/>
    <w:rsid w:val="00357C9B"/>
    <w:rsid w:val="00357D02"/>
    <w:rsid w:val="00360314"/>
    <w:rsid w:val="0036103C"/>
    <w:rsid w:val="0036130A"/>
    <w:rsid w:val="00361A26"/>
    <w:rsid w:val="00362601"/>
    <w:rsid w:val="00363EE9"/>
    <w:rsid w:val="003642D7"/>
    <w:rsid w:val="0036507D"/>
    <w:rsid w:val="003666E6"/>
    <w:rsid w:val="00367061"/>
    <w:rsid w:val="00367CDE"/>
    <w:rsid w:val="00370D86"/>
    <w:rsid w:val="00371F02"/>
    <w:rsid w:val="00372043"/>
    <w:rsid w:val="0037291D"/>
    <w:rsid w:val="00372F67"/>
    <w:rsid w:val="00373438"/>
    <w:rsid w:val="00373F98"/>
    <w:rsid w:val="00374706"/>
    <w:rsid w:val="003747C9"/>
    <w:rsid w:val="00376128"/>
    <w:rsid w:val="003768A4"/>
    <w:rsid w:val="00376F73"/>
    <w:rsid w:val="003772EA"/>
    <w:rsid w:val="0037742E"/>
    <w:rsid w:val="003779C7"/>
    <w:rsid w:val="00377D56"/>
    <w:rsid w:val="00377E25"/>
    <w:rsid w:val="00380306"/>
    <w:rsid w:val="00380D12"/>
    <w:rsid w:val="00380D1E"/>
    <w:rsid w:val="003810D5"/>
    <w:rsid w:val="003815BE"/>
    <w:rsid w:val="00381811"/>
    <w:rsid w:val="00382360"/>
    <w:rsid w:val="0038245A"/>
    <w:rsid w:val="00382C24"/>
    <w:rsid w:val="00383D85"/>
    <w:rsid w:val="003840E6"/>
    <w:rsid w:val="00385CFC"/>
    <w:rsid w:val="00386168"/>
    <w:rsid w:val="00386A5D"/>
    <w:rsid w:val="00386E04"/>
    <w:rsid w:val="003879CC"/>
    <w:rsid w:val="00387A5C"/>
    <w:rsid w:val="00390475"/>
    <w:rsid w:val="0039337A"/>
    <w:rsid w:val="0039343A"/>
    <w:rsid w:val="00393ACA"/>
    <w:rsid w:val="003949E3"/>
    <w:rsid w:val="0039626A"/>
    <w:rsid w:val="0039710E"/>
    <w:rsid w:val="0039742D"/>
    <w:rsid w:val="00397626"/>
    <w:rsid w:val="003A0C33"/>
    <w:rsid w:val="003A1B46"/>
    <w:rsid w:val="003A20C1"/>
    <w:rsid w:val="003A20F6"/>
    <w:rsid w:val="003A3189"/>
    <w:rsid w:val="003A3CA7"/>
    <w:rsid w:val="003A47B6"/>
    <w:rsid w:val="003A4876"/>
    <w:rsid w:val="003B0F4C"/>
    <w:rsid w:val="003B33BD"/>
    <w:rsid w:val="003B569D"/>
    <w:rsid w:val="003B57FE"/>
    <w:rsid w:val="003B620B"/>
    <w:rsid w:val="003B7CC8"/>
    <w:rsid w:val="003B7FBC"/>
    <w:rsid w:val="003C05D1"/>
    <w:rsid w:val="003C0E9B"/>
    <w:rsid w:val="003C3C0E"/>
    <w:rsid w:val="003C443F"/>
    <w:rsid w:val="003C46BF"/>
    <w:rsid w:val="003C4D34"/>
    <w:rsid w:val="003C5293"/>
    <w:rsid w:val="003C6FE7"/>
    <w:rsid w:val="003C724E"/>
    <w:rsid w:val="003C7501"/>
    <w:rsid w:val="003C77CD"/>
    <w:rsid w:val="003D0925"/>
    <w:rsid w:val="003D1473"/>
    <w:rsid w:val="003D2367"/>
    <w:rsid w:val="003D393E"/>
    <w:rsid w:val="003D42A6"/>
    <w:rsid w:val="003D42EB"/>
    <w:rsid w:val="003D4F21"/>
    <w:rsid w:val="003D4FAC"/>
    <w:rsid w:val="003D50B2"/>
    <w:rsid w:val="003D6D41"/>
    <w:rsid w:val="003E0733"/>
    <w:rsid w:val="003E0826"/>
    <w:rsid w:val="003E12AD"/>
    <w:rsid w:val="003E1713"/>
    <w:rsid w:val="003E3729"/>
    <w:rsid w:val="003E3F1A"/>
    <w:rsid w:val="003E4612"/>
    <w:rsid w:val="003E4E36"/>
    <w:rsid w:val="003E58D5"/>
    <w:rsid w:val="003E5C5A"/>
    <w:rsid w:val="003E60FB"/>
    <w:rsid w:val="003E6198"/>
    <w:rsid w:val="003E7906"/>
    <w:rsid w:val="003F0342"/>
    <w:rsid w:val="003F11CC"/>
    <w:rsid w:val="003F1986"/>
    <w:rsid w:val="003F1AFD"/>
    <w:rsid w:val="003F2191"/>
    <w:rsid w:val="003F3C50"/>
    <w:rsid w:val="003F4510"/>
    <w:rsid w:val="003F4B86"/>
    <w:rsid w:val="003F4FBE"/>
    <w:rsid w:val="003F5392"/>
    <w:rsid w:val="003F5493"/>
    <w:rsid w:val="003F68E0"/>
    <w:rsid w:val="003F6E33"/>
    <w:rsid w:val="00401159"/>
    <w:rsid w:val="0040122E"/>
    <w:rsid w:val="0040199F"/>
    <w:rsid w:val="00402D5F"/>
    <w:rsid w:val="00402E67"/>
    <w:rsid w:val="0040322A"/>
    <w:rsid w:val="0040385F"/>
    <w:rsid w:val="0040430F"/>
    <w:rsid w:val="00404980"/>
    <w:rsid w:val="0040579D"/>
    <w:rsid w:val="00405846"/>
    <w:rsid w:val="00405E39"/>
    <w:rsid w:val="00406A6A"/>
    <w:rsid w:val="00406B22"/>
    <w:rsid w:val="00406FE3"/>
    <w:rsid w:val="00407963"/>
    <w:rsid w:val="00410A49"/>
    <w:rsid w:val="00410D6D"/>
    <w:rsid w:val="00410D8B"/>
    <w:rsid w:val="00412FB2"/>
    <w:rsid w:val="004132C6"/>
    <w:rsid w:val="00413720"/>
    <w:rsid w:val="00416761"/>
    <w:rsid w:val="00416BAB"/>
    <w:rsid w:val="0042072C"/>
    <w:rsid w:val="00422088"/>
    <w:rsid w:val="00422198"/>
    <w:rsid w:val="00422F90"/>
    <w:rsid w:val="00424055"/>
    <w:rsid w:val="004256B5"/>
    <w:rsid w:val="0042640D"/>
    <w:rsid w:val="00426875"/>
    <w:rsid w:val="00430793"/>
    <w:rsid w:val="004311EC"/>
    <w:rsid w:val="00431D9E"/>
    <w:rsid w:val="00432354"/>
    <w:rsid w:val="004328A7"/>
    <w:rsid w:val="00434C74"/>
    <w:rsid w:val="004368F2"/>
    <w:rsid w:val="00436BCE"/>
    <w:rsid w:val="004370E3"/>
    <w:rsid w:val="00437274"/>
    <w:rsid w:val="00440684"/>
    <w:rsid w:val="00440819"/>
    <w:rsid w:val="00441ABC"/>
    <w:rsid w:val="00441C70"/>
    <w:rsid w:val="00441D00"/>
    <w:rsid w:val="004423BB"/>
    <w:rsid w:val="004428F0"/>
    <w:rsid w:val="00442FF2"/>
    <w:rsid w:val="00443334"/>
    <w:rsid w:val="00443B81"/>
    <w:rsid w:val="00446440"/>
    <w:rsid w:val="0044658C"/>
    <w:rsid w:val="00450319"/>
    <w:rsid w:val="004515EA"/>
    <w:rsid w:val="00452637"/>
    <w:rsid w:val="00452C2B"/>
    <w:rsid w:val="00453EBA"/>
    <w:rsid w:val="004549FE"/>
    <w:rsid w:val="00455179"/>
    <w:rsid w:val="00456370"/>
    <w:rsid w:val="00456EB4"/>
    <w:rsid w:val="004576C7"/>
    <w:rsid w:val="00457CCB"/>
    <w:rsid w:val="0046045F"/>
    <w:rsid w:val="004607A3"/>
    <w:rsid w:val="004607A9"/>
    <w:rsid w:val="00461C09"/>
    <w:rsid w:val="00462BA8"/>
    <w:rsid w:val="00465340"/>
    <w:rsid w:val="004662C5"/>
    <w:rsid w:val="0046637D"/>
    <w:rsid w:val="004663E2"/>
    <w:rsid w:val="004673AC"/>
    <w:rsid w:val="00467700"/>
    <w:rsid w:val="0047049E"/>
    <w:rsid w:val="0047057B"/>
    <w:rsid w:val="004718F3"/>
    <w:rsid w:val="00471EA5"/>
    <w:rsid w:val="00472EAA"/>
    <w:rsid w:val="00473B4D"/>
    <w:rsid w:val="00474B0F"/>
    <w:rsid w:val="00475040"/>
    <w:rsid w:val="00475314"/>
    <w:rsid w:val="0048014E"/>
    <w:rsid w:val="004801D8"/>
    <w:rsid w:val="0048320B"/>
    <w:rsid w:val="00483A6C"/>
    <w:rsid w:val="004845F6"/>
    <w:rsid w:val="00486D8C"/>
    <w:rsid w:val="0048718D"/>
    <w:rsid w:val="00490E1C"/>
    <w:rsid w:val="004911DC"/>
    <w:rsid w:val="00491500"/>
    <w:rsid w:val="00493D40"/>
    <w:rsid w:val="00493EAA"/>
    <w:rsid w:val="00495A2E"/>
    <w:rsid w:val="004967B6"/>
    <w:rsid w:val="00497B74"/>
    <w:rsid w:val="00497CEB"/>
    <w:rsid w:val="004A041B"/>
    <w:rsid w:val="004A07E2"/>
    <w:rsid w:val="004A2550"/>
    <w:rsid w:val="004A25B9"/>
    <w:rsid w:val="004A27AC"/>
    <w:rsid w:val="004A3AF1"/>
    <w:rsid w:val="004A504B"/>
    <w:rsid w:val="004A5206"/>
    <w:rsid w:val="004A5387"/>
    <w:rsid w:val="004A605C"/>
    <w:rsid w:val="004A6150"/>
    <w:rsid w:val="004A657A"/>
    <w:rsid w:val="004A6911"/>
    <w:rsid w:val="004A7832"/>
    <w:rsid w:val="004A7BA7"/>
    <w:rsid w:val="004B1288"/>
    <w:rsid w:val="004B1E15"/>
    <w:rsid w:val="004B3407"/>
    <w:rsid w:val="004B4124"/>
    <w:rsid w:val="004B54E0"/>
    <w:rsid w:val="004B6C7B"/>
    <w:rsid w:val="004B6DC7"/>
    <w:rsid w:val="004B7384"/>
    <w:rsid w:val="004B7944"/>
    <w:rsid w:val="004B7EE8"/>
    <w:rsid w:val="004C057D"/>
    <w:rsid w:val="004C32E6"/>
    <w:rsid w:val="004C34D7"/>
    <w:rsid w:val="004C4269"/>
    <w:rsid w:val="004C4E2D"/>
    <w:rsid w:val="004C50B5"/>
    <w:rsid w:val="004C6203"/>
    <w:rsid w:val="004D085F"/>
    <w:rsid w:val="004D1623"/>
    <w:rsid w:val="004D2C72"/>
    <w:rsid w:val="004D2FC4"/>
    <w:rsid w:val="004D32B6"/>
    <w:rsid w:val="004D34CA"/>
    <w:rsid w:val="004D384A"/>
    <w:rsid w:val="004D5032"/>
    <w:rsid w:val="004D6236"/>
    <w:rsid w:val="004D6AAE"/>
    <w:rsid w:val="004D6F32"/>
    <w:rsid w:val="004D7023"/>
    <w:rsid w:val="004D7F90"/>
    <w:rsid w:val="004E02F4"/>
    <w:rsid w:val="004E1FE2"/>
    <w:rsid w:val="004E2142"/>
    <w:rsid w:val="004E21B8"/>
    <w:rsid w:val="004E29E5"/>
    <w:rsid w:val="004E2F88"/>
    <w:rsid w:val="004E42C6"/>
    <w:rsid w:val="004E4DBB"/>
    <w:rsid w:val="004E4E41"/>
    <w:rsid w:val="004E5002"/>
    <w:rsid w:val="004E7D62"/>
    <w:rsid w:val="004E7F9C"/>
    <w:rsid w:val="004F00A8"/>
    <w:rsid w:val="004F02B5"/>
    <w:rsid w:val="004F1462"/>
    <w:rsid w:val="004F3493"/>
    <w:rsid w:val="004F41D0"/>
    <w:rsid w:val="004F42A0"/>
    <w:rsid w:val="004F4A73"/>
    <w:rsid w:val="004F4AEB"/>
    <w:rsid w:val="004F503A"/>
    <w:rsid w:val="004F5143"/>
    <w:rsid w:val="004F5448"/>
    <w:rsid w:val="004F5F13"/>
    <w:rsid w:val="004F5F65"/>
    <w:rsid w:val="004F6E4E"/>
    <w:rsid w:val="005007BD"/>
    <w:rsid w:val="005017FB"/>
    <w:rsid w:val="00501920"/>
    <w:rsid w:val="00501B99"/>
    <w:rsid w:val="00501DE8"/>
    <w:rsid w:val="00502108"/>
    <w:rsid w:val="0050255C"/>
    <w:rsid w:val="00502FDB"/>
    <w:rsid w:val="005042E1"/>
    <w:rsid w:val="005053C3"/>
    <w:rsid w:val="00507C01"/>
    <w:rsid w:val="00510223"/>
    <w:rsid w:val="00510CE7"/>
    <w:rsid w:val="00511DA2"/>
    <w:rsid w:val="00512B09"/>
    <w:rsid w:val="00512D99"/>
    <w:rsid w:val="0051326D"/>
    <w:rsid w:val="00514676"/>
    <w:rsid w:val="005146A0"/>
    <w:rsid w:val="00514B94"/>
    <w:rsid w:val="00514E7F"/>
    <w:rsid w:val="005154E3"/>
    <w:rsid w:val="00517B92"/>
    <w:rsid w:val="00520ADB"/>
    <w:rsid w:val="00520E8D"/>
    <w:rsid w:val="00520FDB"/>
    <w:rsid w:val="00521112"/>
    <w:rsid w:val="0052119A"/>
    <w:rsid w:val="005211DE"/>
    <w:rsid w:val="005220ED"/>
    <w:rsid w:val="005222DD"/>
    <w:rsid w:val="00522DED"/>
    <w:rsid w:val="005232CE"/>
    <w:rsid w:val="00523A67"/>
    <w:rsid w:val="00523A82"/>
    <w:rsid w:val="00523B32"/>
    <w:rsid w:val="00523E0B"/>
    <w:rsid w:val="00524312"/>
    <w:rsid w:val="0052514A"/>
    <w:rsid w:val="00525182"/>
    <w:rsid w:val="005265CF"/>
    <w:rsid w:val="0052797C"/>
    <w:rsid w:val="00530671"/>
    <w:rsid w:val="005328DA"/>
    <w:rsid w:val="005332C6"/>
    <w:rsid w:val="005334A8"/>
    <w:rsid w:val="005335AA"/>
    <w:rsid w:val="00533796"/>
    <w:rsid w:val="0053424E"/>
    <w:rsid w:val="00535135"/>
    <w:rsid w:val="005372A6"/>
    <w:rsid w:val="00537343"/>
    <w:rsid w:val="00537AE1"/>
    <w:rsid w:val="00537B81"/>
    <w:rsid w:val="005411C8"/>
    <w:rsid w:val="00543742"/>
    <w:rsid w:val="00543D94"/>
    <w:rsid w:val="005447A9"/>
    <w:rsid w:val="005454A2"/>
    <w:rsid w:val="00546224"/>
    <w:rsid w:val="005462AF"/>
    <w:rsid w:val="00546362"/>
    <w:rsid w:val="00546ECE"/>
    <w:rsid w:val="00550393"/>
    <w:rsid w:val="005517C1"/>
    <w:rsid w:val="0055225E"/>
    <w:rsid w:val="005529CC"/>
    <w:rsid w:val="00552FA1"/>
    <w:rsid w:val="005547EC"/>
    <w:rsid w:val="005559D3"/>
    <w:rsid w:val="00555D75"/>
    <w:rsid w:val="005566F3"/>
    <w:rsid w:val="00556EC6"/>
    <w:rsid w:val="0056015E"/>
    <w:rsid w:val="00560DF0"/>
    <w:rsid w:val="00562E85"/>
    <w:rsid w:val="00562ED1"/>
    <w:rsid w:val="00563D55"/>
    <w:rsid w:val="00564161"/>
    <w:rsid w:val="00564D56"/>
    <w:rsid w:val="0056614F"/>
    <w:rsid w:val="00566A32"/>
    <w:rsid w:val="0056759C"/>
    <w:rsid w:val="00567B6C"/>
    <w:rsid w:val="00572792"/>
    <w:rsid w:val="00572F2A"/>
    <w:rsid w:val="0057382F"/>
    <w:rsid w:val="005738A7"/>
    <w:rsid w:val="00573977"/>
    <w:rsid w:val="00573D4E"/>
    <w:rsid w:val="0057400C"/>
    <w:rsid w:val="00574CB8"/>
    <w:rsid w:val="00575EFA"/>
    <w:rsid w:val="005765A3"/>
    <w:rsid w:val="00576ADD"/>
    <w:rsid w:val="00583533"/>
    <w:rsid w:val="00583A7B"/>
    <w:rsid w:val="00583E9B"/>
    <w:rsid w:val="00583EF8"/>
    <w:rsid w:val="00584B40"/>
    <w:rsid w:val="00586048"/>
    <w:rsid w:val="005861E1"/>
    <w:rsid w:val="00587028"/>
    <w:rsid w:val="00587171"/>
    <w:rsid w:val="005874E2"/>
    <w:rsid w:val="005877AA"/>
    <w:rsid w:val="00590B3B"/>
    <w:rsid w:val="00591008"/>
    <w:rsid w:val="00592D1F"/>
    <w:rsid w:val="00593025"/>
    <w:rsid w:val="0059513E"/>
    <w:rsid w:val="005963D0"/>
    <w:rsid w:val="00597602"/>
    <w:rsid w:val="005A03A4"/>
    <w:rsid w:val="005A1447"/>
    <w:rsid w:val="005A1593"/>
    <w:rsid w:val="005A1795"/>
    <w:rsid w:val="005A1F01"/>
    <w:rsid w:val="005A230F"/>
    <w:rsid w:val="005A25F7"/>
    <w:rsid w:val="005A39DE"/>
    <w:rsid w:val="005A48CD"/>
    <w:rsid w:val="005A6AA4"/>
    <w:rsid w:val="005A6D9F"/>
    <w:rsid w:val="005A71AC"/>
    <w:rsid w:val="005B1299"/>
    <w:rsid w:val="005B158F"/>
    <w:rsid w:val="005B1B41"/>
    <w:rsid w:val="005B2F62"/>
    <w:rsid w:val="005B4664"/>
    <w:rsid w:val="005B48FF"/>
    <w:rsid w:val="005B4AAA"/>
    <w:rsid w:val="005B72B5"/>
    <w:rsid w:val="005B7860"/>
    <w:rsid w:val="005B7948"/>
    <w:rsid w:val="005C0D78"/>
    <w:rsid w:val="005C0FD0"/>
    <w:rsid w:val="005C2900"/>
    <w:rsid w:val="005C3B42"/>
    <w:rsid w:val="005C46FC"/>
    <w:rsid w:val="005C5267"/>
    <w:rsid w:val="005C5699"/>
    <w:rsid w:val="005C5E40"/>
    <w:rsid w:val="005C65A9"/>
    <w:rsid w:val="005C66BD"/>
    <w:rsid w:val="005C6C74"/>
    <w:rsid w:val="005C6EEF"/>
    <w:rsid w:val="005C7375"/>
    <w:rsid w:val="005C7485"/>
    <w:rsid w:val="005C77DF"/>
    <w:rsid w:val="005C78B4"/>
    <w:rsid w:val="005C7D9B"/>
    <w:rsid w:val="005D09D0"/>
    <w:rsid w:val="005D1544"/>
    <w:rsid w:val="005D2977"/>
    <w:rsid w:val="005D363C"/>
    <w:rsid w:val="005D363F"/>
    <w:rsid w:val="005D37DA"/>
    <w:rsid w:val="005D3A8A"/>
    <w:rsid w:val="005D5C51"/>
    <w:rsid w:val="005D656D"/>
    <w:rsid w:val="005D7361"/>
    <w:rsid w:val="005D7E27"/>
    <w:rsid w:val="005E1480"/>
    <w:rsid w:val="005E2AAC"/>
    <w:rsid w:val="005E2DE2"/>
    <w:rsid w:val="005E2E04"/>
    <w:rsid w:val="005E3283"/>
    <w:rsid w:val="005E358B"/>
    <w:rsid w:val="005E41F8"/>
    <w:rsid w:val="005E52AB"/>
    <w:rsid w:val="005E5C0A"/>
    <w:rsid w:val="005E6047"/>
    <w:rsid w:val="005E777F"/>
    <w:rsid w:val="005E7BC8"/>
    <w:rsid w:val="005F12D1"/>
    <w:rsid w:val="005F1D31"/>
    <w:rsid w:val="005F31C4"/>
    <w:rsid w:val="005F5A11"/>
    <w:rsid w:val="005F5F74"/>
    <w:rsid w:val="005F6230"/>
    <w:rsid w:val="005F6BF1"/>
    <w:rsid w:val="005F746C"/>
    <w:rsid w:val="005F7628"/>
    <w:rsid w:val="00600A8F"/>
    <w:rsid w:val="00600B65"/>
    <w:rsid w:val="00600C00"/>
    <w:rsid w:val="00600FC2"/>
    <w:rsid w:val="0060119F"/>
    <w:rsid w:val="00601365"/>
    <w:rsid w:val="006022EC"/>
    <w:rsid w:val="00602934"/>
    <w:rsid w:val="00602ECE"/>
    <w:rsid w:val="00603C5D"/>
    <w:rsid w:val="00604C15"/>
    <w:rsid w:val="00604D68"/>
    <w:rsid w:val="0061101C"/>
    <w:rsid w:val="00613D3E"/>
    <w:rsid w:val="006146CF"/>
    <w:rsid w:val="006158D5"/>
    <w:rsid w:val="00616680"/>
    <w:rsid w:val="00620019"/>
    <w:rsid w:val="00620529"/>
    <w:rsid w:val="00621C41"/>
    <w:rsid w:val="0062204F"/>
    <w:rsid w:val="0062210D"/>
    <w:rsid w:val="00623EB6"/>
    <w:rsid w:val="00624FC7"/>
    <w:rsid w:val="00625A03"/>
    <w:rsid w:val="00625D83"/>
    <w:rsid w:val="00626266"/>
    <w:rsid w:val="006308E0"/>
    <w:rsid w:val="0063311C"/>
    <w:rsid w:val="00633EC0"/>
    <w:rsid w:val="00637439"/>
    <w:rsid w:val="00637F94"/>
    <w:rsid w:val="00640383"/>
    <w:rsid w:val="006406C1"/>
    <w:rsid w:val="00640E96"/>
    <w:rsid w:val="006412FE"/>
    <w:rsid w:val="00641CF3"/>
    <w:rsid w:val="00642B0E"/>
    <w:rsid w:val="006434C6"/>
    <w:rsid w:val="00643A2A"/>
    <w:rsid w:val="00643C38"/>
    <w:rsid w:val="0064531A"/>
    <w:rsid w:val="0064648D"/>
    <w:rsid w:val="00646CB4"/>
    <w:rsid w:val="00647E8A"/>
    <w:rsid w:val="0065298E"/>
    <w:rsid w:val="00653107"/>
    <w:rsid w:val="006534A3"/>
    <w:rsid w:val="006551E2"/>
    <w:rsid w:val="00655680"/>
    <w:rsid w:val="00655A9E"/>
    <w:rsid w:val="00656D69"/>
    <w:rsid w:val="00657616"/>
    <w:rsid w:val="00660E2F"/>
    <w:rsid w:val="0066200C"/>
    <w:rsid w:val="006623E7"/>
    <w:rsid w:val="00662B80"/>
    <w:rsid w:val="006634D1"/>
    <w:rsid w:val="006638DC"/>
    <w:rsid w:val="0066602A"/>
    <w:rsid w:val="006666A7"/>
    <w:rsid w:val="0066684F"/>
    <w:rsid w:val="00667A65"/>
    <w:rsid w:val="00667F1F"/>
    <w:rsid w:val="00670F6C"/>
    <w:rsid w:val="00671483"/>
    <w:rsid w:val="006719D3"/>
    <w:rsid w:val="00672449"/>
    <w:rsid w:val="006724C4"/>
    <w:rsid w:val="00674A44"/>
    <w:rsid w:val="00675B58"/>
    <w:rsid w:val="006762BA"/>
    <w:rsid w:val="006766C2"/>
    <w:rsid w:val="0067744E"/>
    <w:rsid w:val="00677919"/>
    <w:rsid w:val="00677BFE"/>
    <w:rsid w:val="00677E09"/>
    <w:rsid w:val="006811E7"/>
    <w:rsid w:val="00681A31"/>
    <w:rsid w:val="00683093"/>
    <w:rsid w:val="00683151"/>
    <w:rsid w:val="006832F6"/>
    <w:rsid w:val="00683440"/>
    <w:rsid w:val="006852C7"/>
    <w:rsid w:val="006852CE"/>
    <w:rsid w:val="006865CD"/>
    <w:rsid w:val="006870F3"/>
    <w:rsid w:val="006900FA"/>
    <w:rsid w:val="006916F7"/>
    <w:rsid w:val="0069257E"/>
    <w:rsid w:val="00692D14"/>
    <w:rsid w:val="006944BF"/>
    <w:rsid w:val="00694E9C"/>
    <w:rsid w:val="0069598D"/>
    <w:rsid w:val="00697065"/>
    <w:rsid w:val="0069731F"/>
    <w:rsid w:val="006A1934"/>
    <w:rsid w:val="006A215C"/>
    <w:rsid w:val="006A4FEB"/>
    <w:rsid w:val="006A5B9A"/>
    <w:rsid w:val="006A5C9B"/>
    <w:rsid w:val="006A6736"/>
    <w:rsid w:val="006A67B4"/>
    <w:rsid w:val="006A69DB"/>
    <w:rsid w:val="006A74A1"/>
    <w:rsid w:val="006A76B4"/>
    <w:rsid w:val="006B0547"/>
    <w:rsid w:val="006B2359"/>
    <w:rsid w:val="006B2761"/>
    <w:rsid w:val="006B4CAA"/>
    <w:rsid w:val="006B623A"/>
    <w:rsid w:val="006B65C7"/>
    <w:rsid w:val="006B6835"/>
    <w:rsid w:val="006B7677"/>
    <w:rsid w:val="006B7FEE"/>
    <w:rsid w:val="006C1727"/>
    <w:rsid w:val="006C1A1E"/>
    <w:rsid w:val="006C2CC0"/>
    <w:rsid w:val="006C32FD"/>
    <w:rsid w:val="006C332D"/>
    <w:rsid w:val="006C39CE"/>
    <w:rsid w:val="006C3F71"/>
    <w:rsid w:val="006C5B1A"/>
    <w:rsid w:val="006C7BAE"/>
    <w:rsid w:val="006D0D7F"/>
    <w:rsid w:val="006D0FCC"/>
    <w:rsid w:val="006D10A6"/>
    <w:rsid w:val="006D21F5"/>
    <w:rsid w:val="006D4B03"/>
    <w:rsid w:val="006D5315"/>
    <w:rsid w:val="006D549E"/>
    <w:rsid w:val="006D5EB4"/>
    <w:rsid w:val="006D6F89"/>
    <w:rsid w:val="006D759C"/>
    <w:rsid w:val="006E126D"/>
    <w:rsid w:val="006E1FC3"/>
    <w:rsid w:val="006E2A16"/>
    <w:rsid w:val="006E325B"/>
    <w:rsid w:val="006E3846"/>
    <w:rsid w:val="006E3E0B"/>
    <w:rsid w:val="006E4EDE"/>
    <w:rsid w:val="006E4F5A"/>
    <w:rsid w:val="006E63E2"/>
    <w:rsid w:val="006F2D70"/>
    <w:rsid w:val="006F5F8D"/>
    <w:rsid w:val="006F62D0"/>
    <w:rsid w:val="006F6B84"/>
    <w:rsid w:val="006F6EDD"/>
    <w:rsid w:val="007000D4"/>
    <w:rsid w:val="00702B8D"/>
    <w:rsid w:val="00702C13"/>
    <w:rsid w:val="00703221"/>
    <w:rsid w:val="00703C3A"/>
    <w:rsid w:val="00704A20"/>
    <w:rsid w:val="00704CE9"/>
    <w:rsid w:val="007050CC"/>
    <w:rsid w:val="0070616B"/>
    <w:rsid w:val="00706295"/>
    <w:rsid w:val="00706969"/>
    <w:rsid w:val="00706FDA"/>
    <w:rsid w:val="007076D8"/>
    <w:rsid w:val="0071003F"/>
    <w:rsid w:val="007103BE"/>
    <w:rsid w:val="00710AFA"/>
    <w:rsid w:val="00710E65"/>
    <w:rsid w:val="007110B6"/>
    <w:rsid w:val="007118EA"/>
    <w:rsid w:val="00711F9A"/>
    <w:rsid w:val="00712F68"/>
    <w:rsid w:val="00713810"/>
    <w:rsid w:val="00713882"/>
    <w:rsid w:val="007154F3"/>
    <w:rsid w:val="007159C9"/>
    <w:rsid w:val="00715C7B"/>
    <w:rsid w:val="00716466"/>
    <w:rsid w:val="007179E9"/>
    <w:rsid w:val="00720C6F"/>
    <w:rsid w:val="00720E5E"/>
    <w:rsid w:val="0072281F"/>
    <w:rsid w:val="007237F5"/>
    <w:rsid w:val="00726027"/>
    <w:rsid w:val="007260BB"/>
    <w:rsid w:val="00726611"/>
    <w:rsid w:val="007303A5"/>
    <w:rsid w:val="00730B3E"/>
    <w:rsid w:val="00731305"/>
    <w:rsid w:val="00731B07"/>
    <w:rsid w:val="00732651"/>
    <w:rsid w:val="0073420B"/>
    <w:rsid w:val="0073441A"/>
    <w:rsid w:val="00734BC4"/>
    <w:rsid w:val="00735E4B"/>
    <w:rsid w:val="0073671F"/>
    <w:rsid w:val="00737595"/>
    <w:rsid w:val="00742397"/>
    <w:rsid w:val="007438D3"/>
    <w:rsid w:val="00743C00"/>
    <w:rsid w:val="00744CFB"/>
    <w:rsid w:val="0074736C"/>
    <w:rsid w:val="0074760E"/>
    <w:rsid w:val="00747D6E"/>
    <w:rsid w:val="00751035"/>
    <w:rsid w:val="0075179F"/>
    <w:rsid w:val="00751B14"/>
    <w:rsid w:val="00753D47"/>
    <w:rsid w:val="00754774"/>
    <w:rsid w:val="00754A5B"/>
    <w:rsid w:val="00754ABA"/>
    <w:rsid w:val="00755644"/>
    <w:rsid w:val="00755FD4"/>
    <w:rsid w:val="007562B4"/>
    <w:rsid w:val="00756BBB"/>
    <w:rsid w:val="00756D1D"/>
    <w:rsid w:val="00756E0F"/>
    <w:rsid w:val="00756E27"/>
    <w:rsid w:val="007579D3"/>
    <w:rsid w:val="007609FC"/>
    <w:rsid w:val="007638D0"/>
    <w:rsid w:val="0076453D"/>
    <w:rsid w:val="00764574"/>
    <w:rsid w:val="007645D9"/>
    <w:rsid w:val="007647F1"/>
    <w:rsid w:val="00764D26"/>
    <w:rsid w:val="00764E70"/>
    <w:rsid w:val="0076656B"/>
    <w:rsid w:val="00767A64"/>
    <w:rsid w:val="0077058E"/>
    <w:rsid w:val="0077158B"/>
    <w:rsid w:val="007737E6"/>
    <w:rsid w:val="007738E3"/>
    <w:rsid w:val="0077428A"/>
    <w:rsid w:val="00774699"/>
    <w:rsid w:val="00776B32"/>
    <w:rsid w:val="007770D6"/>
    <w:rsid w:val="0077741A"/>
    <w:rsid w:val="007778FC"/>
    <w:rsid w:val="00777C05"/>
    <w:rsid w:val="00780D3A"/>
    <w:rsid w:val="00781179"/>
    <w:rsid w:val="00781655"/>
    <w:rsid w:val="00781A31"/>
    <w:rsid w:val="00781D74"/>
    <w:rsid w:val="00783A32"/>
    <w:rsid w:val="00783F24"/>
    <w:rsid w:val="0078453B"/>
    <w:rsid w:val="00786912"/>
    <w:rsid w:val="00787640"/>
    <w:rsid w:val="00787F03"/>
    <w:rsid w:val="007903A8"/>
    <w:rsid w:val="007915AB"/>
    <w:rsid w:val="00792C6A"/>
    <w:rsid w:val="00792D82"/>
    <w:rsid w:val="007942C3"/>
    <w:rsid w:val="00794881"/>
    <w:rsid w:val="007958DD"/>
    <w:rsid w:val="00796869"/>
    <w:rsid w:val="0079715A"/>
    <w:rsid w:val="00797F9B"/>
    <w:rsid w:val="007A0073"/>
    <w:rsid w:val="007A0A70"/>
    <w:rsid w:val="007A1546"/>
    <w:rsid w:val="007A1652"/>
    <w:rsid w:val="007A228C"/>
    <w:rsid w:val="007A27F5"/>
    <w:rsid w:val="007A368E"/>
    <w:rsid w:val="007A3A4C"/>
    <w:rsid w:val="007A440D"/>
    <w:rsid w:val="007A4825"/>
    <w:rsid w:val="007A5868"/>
    <w:rsid w:val="007A66DE"/>
    <w:rsid w:val="007A7A5E"/>
    <w:rsid w:val="007B04BC"/>
    <w:rsid w:val="007B04CE"/>
    <w:rsid w:val="007B0BF0"/>
    <w:rsid w:val="007B0EBE"/>
    <w:rsid w:val="007B1D5D"/>
    <w:rsid w:val="007B219D"/>
    <w:rsid w:val="007B2D9B"/>
    <w:rsid w:val="007B4A97"/>
    <w:rsid w:val="007B5055"/>
    <w:rsid w:val="007B66BF"/>
    <w:rsid w:val="007B6871"/>
    <w:rsid w:val="007B7759"/>
    <w:rsid w:val="007B7A2F"/>
    <w:rsid w:val="007C09A3"/>
    <w:rsid w:val="007C118B"/>
    <w:rsid w:val="007C1484"/>
    <w:rsid w:val="007C2458"/>
    <w:rsid w:val="007C282F"/>
    <w:rsid w:val="007C3052"/>
    <w:rsid w:val="007C32AF"/>
    <w:rsid w:val="007C3D33"/>
    <w:rsid w:val="007C5AB4"/>
    <w:rsid w:val="007C689D"/>
    <w:rsid w:val="007C79A9"/>
    <w:rsid w:val="007C7D1B"/>
    <w:rsid w:val="007D019F"/>
    <w:rsid w:val="007D07DD"/>
    <w:rsid w:val="007D294A"/>
    <w:rsid w:val="007D295F"/>
    <w:rsid w:val="007D2970"/>
    <w:rsid w:val="007D2CFD"/>
    <w:rsid w:val="007D3B5E"/>
    <w:rsid w:val="007D41B2"/>
    <w:rsid w:val="007D47D2"/>
    <w:rsid w:val="007D5A75"/>
    <w:rsid w:val="007D6EC0"/>
    <w:rsid w:val="007D7E1D"/>
    <w:rsid w:val="007E1470"/>
    <w:rsid w:val="007E17C3"/>
    <w:rsid w:val="007E1894"/>
    <w:rsid w:val="007E1A26"/>
    <w:rsid w:val="007E23A3"/>
    <w:rsid w:val="007E240A"/>
    <w:rsid w:val="007E56BF"/>
    <w:rsid w:val="007E7421"/>
    <w:rsid w:val="007E7B7C"/>
    <w:rsid w:val="007E7DED"/>
    <w:rsid w:val="007F0180"/>
    <w:rsid w:val="007F36B1"/>
    <w:rsid w:val="007F38AA"/>
    <w:rsid w:val="007F4EA1"/>
    <w:rsid w:val="008008F1"/>
    <w:rsid w:val="0080105A"/>
    <w:rsid w:val="00801D83"/>
    <w:rsid w:val="00802250"/>
    <w:rsid w:val="00802AD7"/>
    <w:rsid w:val="00802E90"/>
    <w:rsid w:val="00803313"/>
    <w:rsid w:val="00803CD4"/>
    <w:rsid w:val="00804582"/>
    <w:rsid w:val="008054C6"/>
    <w:rsid w:val="0080584A"/>
    <w:rsid w:val="00805E47"/>
    <w:rsid w:val="00805EC2"/>
    <w:rsid w:val="00807DAE"/>
    <w:rsid w:val="008128AE"/>
    <w:rsid w:val="008132B2"/>
    <w:rsid w:val="00813CBF"/>
    <w:rsid w:val="00813E48"/>
    <w:rsid w:val="00815930"/>
    <w:rsid w:val="00815DA3"/>
    <w:rsid w:val="00820D62"/>
    <w:rsid w:val="00820E22"/>
    <w:rsid w:val="0082122C"/>
    <w:rsid w:val="008212BC"/>
    <w:rsid w:val="00823DA3"/>
    <w:rsid w:val="00824F59"/>
    <w:rsid w:val="00825EEC"/>
    <w:rsid w:val="00826071"/>
    <w:rsid w:val="0082617D"/>
    <w:rsid w:val="0083162D"/>
    <w:rsid w:val="00831979"/>
    <w:rsid w:val="00831D83"/>
    <w:rsid w:val="00832032"/>
    <w:rsid w:val="00833A11"/>
    <w:rsid w:val="00834520"/>
    <w:rsid w:val="00841925"/>
    <w:rsid w:val="00842030"/>
    <w:rsid w:val="00843731"/>
    <w:rsid w:val="00844641"/>
    <w:rsid w:val="0084540C"/>
    <w:rsid w:val="00845B13"/>
    <w:rsid w:val="0084736C"/>
    <w:rsid w:val="00847B2C"/>
    <w:rsid w:val="00850230"/>
    <w:rsid w:val="008502CA"/>
    <w:rsid w:val="00850C0B"/>
    <w:rsid w:val="008510E3"/>
    <w:rsid w:val="00851352"/>
    <w:rsid w:val="00851ABE"/>
    <w:rsid w:val="00851B5D"/>
    <w:rsid w:val="00852972"/>
    <w:rsid w:val="00852B16"/>
    <w:rsid w:val="00852E4C"/>
    <w:rsid w:val="00854AC2"/>
    <w:rsid w:val="00855D3F"/>
    <w:rsid w:val="00855E93"/>
    <w:rsid w:val="00856468"/>
    <w:rsid w:val="00856BBF"/>
    <w:rsid w:val="00857077"/>
    <w:rsid w:val="00857F41"/>
    <w:rsid w:val="00860C35"/>
    <w:rsid w:val="0086209F"/>
    <w:rsid w:val="00863230"/>
    <w:rsid w:val="008643AD"/>
    <w:rsid w:val="00865043"/>
    <w:rsid w:val="00865785"/>
    <w:rsid w:val="00865BD0"/>
    <w:rsid w:val="00865FF4"/>
    <w:rsid w:val="00867CBE"/>
    <w:rsid w:val="008717D8"/>
    <w:rsid w:val="00871F23"/>
    <w:rsid w:val="0087215C"/>
    <w:rsid w:val="008759F2"/>
    <w:rsid w:val="00875D25"/>
    <w:rsid w:val="008774B2"/>
    <w:rsid w:val="008779AB"/>
    <w:rsid w:val="00877E30"/>
    <w:rsid w:val="00877FE7"/>
    <w:rsid w:val="00880E35"/>
    <w:rsid w:val="0088176B"/>
    <w:rsid w:val="0088278F"/>
    <w:rsid w:val="00882CC0"/>
    <w:rsid w:val="008835D0"/>
    <w:rsid w:val="008839C5"/>
    <w:rsid w:val="0088406A"/>
    <w:rsid w:val="00884C7B"/>
    <w:rsid w:val="00886789"/>
    <w:rsid w:val="008875FE"/>
    <w:rsid w:val="0088797F"/>
    <w:rsid w:val="00887DD6"/>
    <w:rsid w:val="00887F8E"/>
    <w:rsid w:val="00891067"/>
    <w:rsid w:val="0089386B"/>
    <w:rsid w:val="00894360"/>
    <w:rsid w:val="00895CD7"/>
    <w:rsid w:val="00895D25"/>
    <w:rsid w:val="00895E9C"/>
    <w:rsid w:val="00896234"/>
    <w:rsid w:val="00897E43"/>
    <w:rsid w:val="008A0F0C"/>
    <w:rsid w:val="008A1C26"/>
    <w:rsid w:val="008A2347"/>
    <w:rsid w:val="008A2FDC"/>
    <w:rsid w:val="008A34B7"/>
    <w:rsid w:val="008A4335"/>
    <w:rsid w:val="008A4E5F"/>
    <w:rsid w:val="008A5038"/>
    <w:rsid w:val="008A6D64"/>
    <w:rsid w:val="008A731D"/>
    <w:rsid w:val="008B1818"/>
    <w:rsid w:val="008B1956"/>
    <w:rsid w:val="008B2CE3"/>
    <w:rsid w:val="008B33A9"/>
    <w:rsid w:val="008B49B6"/>
    <w:rsid w:val="008B53BB"/>
    <w:rsid w:val="008C1351"/>
    <w:rsid w:val="008C21EE"/>
    <w:rsid w:val="008C259A"/>
    <w:rsid w:val="008C32AE"/>
    <w:rsid w:val="008C3305"/>
    <w:rsid w:val="008C43E0"/>
    <w:rsid w:val="008C44AA"/>
    <w:rsid w:val="008C5601"/>
    <w:rsid w:val="008C5738"/>
    <w:rsid w:val="008C5A27"/>
    <w:rsid w:val="008C5C5C"/>
    <w:rsid w:val="008C5DEA"/>
    <w:rsid w:val="008C6861"/>
    <w:rsid w:val="008C7EAD"/>
    <w:rsid w:val="008D03E8"/>
    <w:rsid w:val="008D07FE"/>
    <w:rsid w:val="008D0CFE"/>
    <w:rsid w:val="008D16F5"/>
    <w:rsid w:val="008D290E"/>
    <w:rsid w:val="008D45F0"/>
    <w:rsid w:val="008D6152"/>
    <w:rsid w:val="008D7055"/>
    <w:rsid w:val="008D759E"/>
    <w:rsid w:val="008E0B50"/>
    <w:rsid w:val="008E1B14"/>
    <w:rsid w:val="008E243E"/>
    <w:rsid w:val="008E2A9A"/>
    <w:rsid w:val="008E2ED7"/>
    <w:rsid w:val="008E3472"/>
    <w:rsid w:val="008E4F1C"/>
    <w:rsid w:val="008E57F7"/>
    <w:rsid w:val="008E5AE8"/>
    <w:rsid w:val="008E6A8B"/>
    <w:rsid w:val="008E7768"/>
    <w:rsid w:val="008E7B49"/>
    <w:rsid w:val="008E7BA9"/>
    <w:rsid w:val="008E7EFF"/>
    <w:rsid w:val="008F0F81"/>
    <w:rsid w:val="008F1D8E"/>
    <w:rsid w:val="008F27BF"/>
    <w:rsid w:val="008F55B6"/>
    <w:rsid w:val="008F5728"/>
    <w:rsid w:val="008F7592"/>
    <w:rsid w:val="008F76BE"/>
    <w:rsid w:val="00900176"/>
    <w:rsid w:val="009010F6"/>
    <w:rsid w:val="009011D1"/>
    <w:rsid w:val="00902E5A"/>
    <w:rsid w:val="00903877"/>
    <w:rsid w:val="0090555D"/>
    <w:rsid w:val="00905651"/>
    <w:rsid w:val="00905912"/>
    <w:rsid w:val="00907E3D"/>
    <w:rsid w:val="00907F44"/>
    <w:rsid w:val="009118FF"/>
    <w:rsid w:val="00912CDE"/>
    <w:rsid w:val="0091406A"/>
    <w:rsid w:val="009142EC"/>
    <w:rsid w:val="009150DF"/>
    <w:rsid w:val="009154C3"/>
    <w:rsid w:val="00915541"/>
    <w:rsid w:val="009156C0"/>
    <w:rsid w:val="0091586E"/>
    <w:rsid w:val="0091657F"/>
    <w:rsid w:val="009171F3"/>
    <w:rsid w:val="00917A8F"/>
    <w:rsid w:val="00917D16"/>
    <w:rsid w:val="00921DC6"/>
    <w:rsid w:val="00923540"/>
    <w:rsid w:val="009247A6"/>
    <w:rsid w:val="00924FEB"/>
    <w:rsid w:val="0092538A"/>
    <w:rsid w:val="009261CB"/>
    <w:rsid w:val="00926767"/>
    <w:rsid w:val="00926B45"/>
    <w:rsid w:val="009306E0"/>
    <w:rsid w:val="00933DC9"/>
    <w:rsid w:val="00934215"/>
    <w:rsid w:val="0093540B"/>
    <w:rsid w:val="00935DED"/>
    <w:rsid w:val="009361AC"/>
    <w:rsid w:val="009361D5"/>
    <w:rsid w:val="009404D4"/>
    <w:rsid w:val="0094090B"/>
    <w:rsid w:val="00940B58"/>
    <w:rsid w:val="00941D59"/>
    <w:rsid w:val="009428A4"/>
    <w:rsid w:val="0094314A"/>
    <w:rsid w:val="00944143"/>
    <w:rsid w:val="009449FB"/>
    <w:rsid w:val="00945B8B"/>
    <w:rsid w:val="00945F6E"/>
    <w:rsid w:val="00946F7F"/>
    <w:rsid w:val="00950138"/>
    <w:rsid w:val="00950A52"/>
    <w:rsid w:val="00952D1F"/>
    <w:rsid w:val="00954AED"/>
    <w:rsid w:val="00954F71"/>
    <w:rsid w:val="00955178"/>
    <w:rsid w:val="00955F82"/>
    <w:rsid w:val="00956020"/>
    <w:rsid w:val="00956071"/>
    <w:rsid w:val="009568C9"/>
    <w:rsid w:val="0096076D"/>
    <w:rsid w:val="0096106F"/>
    <w:rsid w:val="009612C9"/>
    <w:rsid w:val="00961A31"/>
    <w:rsid w:val="00962912"/>
    <w:rsid w:val="009630B5"/>
    <w:rsid w:val="009634EA"/>
    <w:rsid w:val="0096384E"/>
    <w:rsid w:val="00963A72"/>
    <w:rsid w:val="009649D4"/>
    <w:rsid w:val="00964A62"/>
    <w:rsid w:val="009659F4"/>
    <w:rsid w:val="00970927"/>
    <w:rsid w:val="00970D60"/>
    <w:rsid w:val="009715B5"/>
    <w:rsid w:val="009733CF"/>
    <w:rsid w:val="0097348B"/>
    <w:rsid w:val="00973972"/>
    <w:rsid w:val="00973D1A"/>
    <w:rsid w:val="009752F5"/>
    <w:rsid w:val="0097551C"/>
    <w:rsid w:val="0097609B"/>
    <w:rsid w:val="0097674D"/>
    <w:rsid w:val="0098082A"/>
    <w:rsid w:val="00980D02"/>
    <w:rsid w:val="009814B1"/>
    <w:rsid w:val="0098227F"/>
    <w:rsid w:val="0098319C"/>
    <w:rsid w:val="00984630"/>
    <w:rsid w:val="0098528D"/>
    <w:rsid w:val="00985B28"/>
    <w:rsid w:val="00985E1C"/>
    <w:rsid w:val="00990036"/>
    <w:rsid w:val="009919DD"/>
    <w:rsid w:val="009929F7"/>
    <w:rsid w:val="0099390E"/>
    <w:rsid w:val="00993B05"/>
    <w:rsid w:val="009960E5"/>
    <w:rsid w:val="0099613D"/>
    <w:rsid w:val="00996A7B"/>
    <w:rsid w:val="009973CB"/>
    <w:rsid w:val="009974D0"/>
    <w:rsid w:val="009975E3"/>
    <w:rsid w:val="009A0A67"/>
    <w:rsid w:val="009A0EB9"/>
    <w:rsid w:val="009A293C"/>
    <w:rsid w:val="009A29BF"/>
    <w:rsid w:val="009A3B28"/>
    <w:rsid w:val="009A3D76"/>
    <w:rsid w:val="009A7ADC"/>
    <w:rsid w:val="009B0142"/>
    <w:rsid w:val="009B0D30"/>
    <w:rsid w:val="009B1925"/>
    <w:rsid w:val="009B262E"/>
    <w:rsid w:val="009B2C92"/>
    <w:rsid w:val="009B3A1A"/>
    <w:rsid w:val="009B47E6"/>
    <w:rsid w:val="009B6114"/>
    <w:rsid w:val="009B6D42"/>
    <w:rsid w:val="009B7D4E"/>
    <w:rsid w:val="009C00A2"/>
    <w:rsid w:val="009C038C"/>
    <w:rsid w:val="009C19B7"/>
    <w:rsid w:val="009C2193"/>
    <w:rsid w:val="009C309C"/>
    <w:rsid w:val="009C354F"/>
    <w:rsid w:val="009C3BFD"/>
    <w:rsid w:val="009C3CC2"/>
    <w:rsid w:val="009C3D7C"/>
    <w:rsid w:val="009C4631"/>
    <w:rsid w:val="009C5ABB"/>
    <w:rsid w:val="009C5C72"/>
    <w:rsid w:val="009C6E9D"/>
    <w:rsid w:val="009C71C5"/>
    <w:rsid w:val="009C7578"/>
    <w:rsid w:val="009C7875"/>
    <w:rsid w:val="009C7D4A"/>
    <w:rsid w:val="009D0BD8"/>
    <w:rsid w:val="009D0E5B"/>
    <w:rsid w:val="009D19F7"/>
    <w:rsid w:val="009D2BDA"/>
    <w:rsid w:val="009D6192"/>
    <w:rsid w:val="009D7C51"/>
    <w:rsid w:val="009E0132"/>
    <w:rsid w:val="009E196C"/>
    <w:rsid w:val="009E27E1"/>
    <w:rsid w:val="009E2F91"/>
    <w:rsid w:val="009E3C89"/>
    <w:rsid w:val="009E47B7"/>
    <w:rsid w:val="009E5FBA"/>
    <w:rsid w:val="009E64D8"/>
    <w:rsid w:val="009E789E"/>
    <w:rsid w:val="009E7CC2"/>
    <w:rsid w:val="009F01BB"/>
    <w:rsid w:val="009F0BCA"/>
    <w:rsid w:val="009F0D04"/>
    <w:rsid w:val="009F175E"/>
    <w:rsid w:val="009F1BE5"/>
    <w:rsid w:val="009F36BF"/>
    <w:rsid w:val="009F4E02"/>
    <w:rsid w:val="009F5260"/>
    <w:rsid w:val="009F6CEA"/>
    <w:rsid w:val="009F6F6F"/>
    <w:rsid w:val="00A000CB"/>
    <w:rsid w:val="00A014E5"/>
    <w:rsid w:val="00A02715"/>
    <w:rsid w:val="00A04779"/>
    <w:rsid w:val="00A048D7"/>
    <w:rsid w:val="00A05025"/>
    <w:rsid w:val="00A05291"/>
    <w:rsid w:val="00A05E13"/>
    <w:rsid w:val="00A06569"/>
    <w:rsid w:val="00A06D46"/>
    <w:rsid w:val="00A07B38"/>
    <w:rsid w:val="00A10902"/>
    <w:rsid w:val="00A10B0C"/>
    <w:rsid w:val="00A110F7"/>
    <w:rsid w:val="00A111B6"/>
    <w:rsid w:val="00A113C8"/>
    <w:rsid w:val="00A129BE"/>
    <w:rsid w:val="00A1383F"/>
    <w:rsid w:val="00A13FC3"/>
    <w:rsid w:val="00A14039"/>
    <w:rsid w:val="00A1468D"/>
    <w:rsid w:val="00A15648"/>
    <w:rsid w:val="00A174A1"/>
    <w:rsid w:val="00A17670"/>
    <w:rsid w:val="00A21399"/>
    <w:rsid w:val="00A22385"/>
    <w:rsid w:val="00A23B04"/>
    <w:rsid w:val="00A2475E"/>
    <w:rsid w:val="00A2533B"/>
    <w:rsid w:val="00A2663B"/>
    <w:rsid w:val="00A26D27"/>
    <w:rsid w:val="00A31A37"/>
    <w:rsid w:val="00A31ACD"/>
    <w:rsid w:val="00A325B9"/>
    <w:rsid w:val="00A331D3"/>
    <w:rsid w:val="00A3478A"/>
    <w:rsid w:val="00A348BD"/>
    <w:rsid w:val="00A35A48"/>
    <w:rsid w:val="00A369EC"/>
    <w:rsid w:val="00A37306"/>
    <w:rsid w:val="00A376D6"/>
    <w:rsid w:val="00A376EE"/>
    <w:rsid w:val="00A37714"/>
    <w:rsid w:val="00A40672"/>
    <w:rsid w:val="00A41513"/>
    <w:rsid w:val="00A42A99"/>
    <w:rsid w:val="00A4314A"/>
    <w:rsid w:val="00A43654"/>
    <w:rsid w:val="00A448C8"/>
    <w:rsid w:val="00A449C6"/>
    <w:rsid w:val="00A451CE"/>
    <w:rsid w:val="00A45730"/>
    <w:rsid w:val="00A50175"/>
    <w:rsid w:val="00A5151A"/>
    <w:rsid w:val="00A51B94"/>
    <w:rsid w:val="00A53139"/>
    <w:rsid w:val="00A54719"/>
    <w:rsid w:val="00A559FA"/>
    <w:rsid w:val="00A55B66"/>
    <w:rsid w:val="00A55F03"/>
    <w:rsid w:val="00A56590"/>
    <w:rsid w:val="00A56599"/>
    <w:rsid w:val="00A5676B"/>
    <w:rsid w:val="00A569BD"/>
    <w:rsid w:val="00A57927"/>
    <w:rsid w:val="00A5793D"/>
    <w:rsid w:val="00A57E0A"/>
    <w:rsid w:val="00A6200A"/>
    <w:rsid w:val="00A6287D"/>
    <w:rsid w:val="00A63F91"/>
    <w:rsid w:val="00A647D4"/>
    <w:rsid w:val="00A6577B"/>
    <w:rsid w:val="00A65BA0"/>
    <w:rsid w:val="00A65C4B"/>
    <w:rsid w:val="00A6631F"/>
    <w:rsid w:val="00A7178E"/>
    <w:rsid w:val="00A722DA"/>
    <w:rsid w:val="00A725C9"/>
    <w:rsid w:val="00A73756"/>
    <w:rsid w:val="00A74D1B"/>
    <w:rsid w:val="00A74EF6"/>
    <w:rsid w:val="00A75DF1"/>
    <w:rsid w:val="00A76163"/>
    <w:rsid w:val="00A77042"/>
    <w:rsid w:val="00A7710B"/>
    <w:rsid w:val="00A77437"/>
    <w:rsid w:val="00A82278"/>
    <w:rsid w:val="00A823AE"/>
    <w:rsid w:val="00A823F6"/>
    <w:rsid w:val="00A826D0"/>
    <w:rsid w:val="00A83EA7"/>
    <w:rsid w:val="00A84FB8"/>
    <w:rsid w:val="00A865E7"/>
    <w:rsid w:val="00A8719E"/>
    <w:rsid w:val="00A87B2F"/>
    <w:rsid w:val="00A901A0"/>
    <w:rsid w:val="00A90811"/>
    <w:rsid w:val="00A910A2"/>
    <w:rsid w:val="00A911C8"/>
    <w:rsid w:val="00A925E4"/>
    <w:rsid w:val="00A92632"/>
    <w:rsid w:val="00A92F84"/>
    <w:rsid w:val="00A93A9A"/>
    <w:rsid w:val="00A94D91"/>
    <w:rsid w:val="00A94E19"/>
    <w:rsid w:val="00A94FE0"/>
    <w:rsid w:val="00A959E4"/>
    <w:rsid w:val="00A95D00"/>
    <w:rsid w:val="00A964CF"/>
    <w:rsid w:val="00A96F90"/>
    <w:rsid w:val="00A97864"/>
    <w:rsid w:val="00A9797F"/>
    <w:rsid w:val="00AA0517"/>
    <w:rsid w:val="00AA0A89"/>
    <w:rsid w:val="00AA0B1C"/>
    <w:rsid w:val="00AA1C42"/>
    <w:rsid w:val="00AA6429"/>
    <w:rsid w:val="00AA70EC"/>
    <w:rsid w:val="00AA7EDA"/>
    <w:rsid w:val="00AB1E2C"/>
    <w:rsid w:val="00AB3BE3"/>
    <w:rsid w:val="00AB4540"/>
    <w:rsid w:val="00AB79E5"/>
    <w:rsid w:val="00AC0168"/>
    <w:rsid w:val="00AC01AA"/>
    <w:rsid w:val="00AC17F3"/>
    <w:rsid w:val="00AC1E76"/>
    <w:rsid w:val="00AC25FC"/>
    <w:rsid w:val="00AC4E6D"/>
    <w:rsid w:val="00AC4F72"/>
    <w:rsid w:val="00AC5F3F"/>
    <w:rsid w:val="00AC6BF0"/>
    <w:rsid w:val="00AC7121"/>
    <w:rsid w:val="00AC7366"/>
    <w:rsid w:val="00AC76E8"/>
    <w:rsid w:val="00AD04D9"/>
    <w:rsid w:val="00AD0FB0"/>
    <w:rsid w:val="00AD17EC"/>
    <w:rsid w:val="00AD2299"/>
    <w:rsid w:val="00AD230E"/>
    <w:rsid w:val="00AD3CA4"/>
    <w:rsid w:val="00AD4EC5"/>
    <w:rsid w:val="00AD4F7B"/>
    <w:rsid w:val="00AD6594"/>
    <w:rsid w:val="00AD69A4"/>
    <w:rsid w:val="00AE0150"/>
    <w:rsid w:val="00AE0731"/>
    <w:rsid w:val="00AE1DBE"/>
    <w:rsid w:val="00AE20EC"/>
    <w:rsid w:val="00AE2847"/>
    <w:rsid w:val="00AE2B4A"/>
    <w:rsid w:val="00AE3156"/>
    <w:rsid w:val="00AE3B97"/>
    <w:rsid w:val="00AE3FFA"/>
    <w:rsid w:val="00AE4468"/>
    <w:rsid w:val="00AE5159"/>
    <w:rsid w:val="00AE6018"/>
    <w:rsid w:val="00AF0E2B"/>
    <w:rsid w:val="00AF2016"/>
    <w:rsid w:val="00AF21F9"/>
    <w:rsid w:val="00AF3A3A"/>
    <w:rsid w:val="00AF4B24"/>
    <w:rsid w:val="00AF4C03"/>
    <w:rsid w:val="00AF5640"/>
    <w:rsid w:val="00AF586E"/>
    <w:rsid w:val="00AF598A"/>
    <w:rsid w:val="00AF6016"/>
    <w:rsid w:val="00AF6D90"/>
    <w:rsid w:val="00AF741A"/>
    <w:rsid w:val="00AF751C"/>
    <w:rsid w:val="00B000F9"/>
    <w:rsid w:val="00B00DEF"/>
    <w:rsid w:val="00B00F39"/>
    <w:rsid w:val="00B01481"/>
    <w:rsid w:val="00B01ADB"/>
    <w:rsid w:val="00B01FAB"/>
    <w:rsid w:val="00B02AF8"/>
    <w:rsid w:val="00B02DD3"/>
    <w:rsid w:val="00B03A36"/>
    <w:rsid w:val="00B03C27"/>
    <w:rsid w:val="00B03CED"/>
    <w:rsid w:val="00B04161"/>
    <w:rsid w:val="00B04B7B"/>
    <w:rsid w:val="00B04E6F"/>
    <w:rsid w:val="00B0512D"/>
    <w:rsid w:val="00B056F9"/>
    <w:rsid w:val="00B10021"/>
    <w:rsid w:val="00B11E3D"/>
    <w:rsid w:val="00B1278E"/>
    <w:rsid w:val="00B14A47"/>
    <w:rsid w:val="00B1692A"/>
    <w:rsid w:val="00B16BF4"/>
    <w:rsid w:val="00B1770D"/>
    <w:rsid w:val="00B17E82"/>
    <w:rsid w:val="00B2013A"/>
    <w:rsid w:val="00B212E9"/>
    <w:rsid w:val="00B2280D"/>
    <w:rsid w:val="00B23C28"/>
    <w:rsid w:val="00B24955"/>
    <w:rsid w:val="00B24BB0"/>
    <w:rsid w:val="00B26335"/>
    <w:rsid w:val="00B271CD"/>
    <w:rsid w:val="00B303BD"/>
    <w:rsid w:val="00B31582"/>
    <w:rsid w:val="00B31E8D"/>
    <w:rsid w:val="00B32B39"/>
    <w:rsid w:val="00B339B9"/>
    <w:rsid w:val="00B342BA"/>
    <w:rsid w:val="00B34727"/>
    <w:rsid w:val="00B34DDD"/>
    <w:rsid w:val="00B34F95"/>
    <w:rsid w:val="00B358D5"/>
    <w:rsid w:val="00B35964"/>
    <w:rsid w:val="00B369CC"/>
    <w:rsid w:val="00B37018"/>
    <w:rsid w:val="00B37E23"/>
    <w:rsid w:val="00B41C83"/>
    <w:rsid w:val="00B41D66"/>
    <w:rsid w:val="00B422F6"/>
    <w:rsid w:val="00B424D3"/>
    <w:rsid w:val="00B4287E"/>
    <w:rsid w:val="00B42EF5"/>
    <w:rsid w:val="00B44F2F"/>
    <w:rsid w:val="00B4575A"/>
    <w:rsid w:val="00B47762"/>
    <w:rsid w:val="00B50A3C"/>
    <w:rsid w:val="00B5115B"/>
    <w:rsid w:val="00B51A14"/>
    <w:rsid w:val="00B528F3"/>
    <w:rsid w:val="00B55F68"/>
    <w:rsid w:val="00B57458"/>
    <w:rsid w:val="00B575BA"/>
    <w:rsid w:val="00B57FC3"/>
    <w:rsid w:val="00B60823"/>
    <w:rsid w:val="00B61E09"/>
    <w:rsid w:val="00B625AD"/>
    <w:rsid w:val="00B627A8"/>
    <w:rsid w:val="00B63679"/>
    <w:rsid w:val="00B63951"/>
    <w:rsid w:val="00B65036"/>
    <w:rsid w:val="00B6671F"/>
    <w:rsid w:val="00B67411"/>
    <w:rsid w:val="00B67E84"/>
    <w:rsid w:val="00B71234"/>
    <w:rsid w:val="00B71608"/>
    <w:rsid w:val="00B72600"/>
    <w:rsid w:val="00B74966"/>
    <w:rsid w:val="00B76429"/>
    <w:rsid w:val="00B764BC"/>
    <w:rsid w:val="00B779EA"/>
    <w:rsid w:val="00B802ED"/>
    <w:rsid w:val="00B80654"/>
    <w:rsid w:val="00B80B0C"/>
    <w:rsid w:val="00B8606D"/>
    <w:rsid w:val="00B90A56"/>
    <w:rsid w:val="00B91138"/>
    <w:rsid w:val="00B91B13"/>
    <w:rsid w:val="00B91E0F"/>
    <w:rsid w:val="00B9227E"/>
    <w:rsid w:val="00B92984"/>
    <w:rsid w:val="00B92BDA"/>
    <w:rsid w:val="00B939D6"/>
    <w:rsid w:val="00B9485B"/>
    <w:rsid w:val="00B95145"/>
    <w:rsid w:val="00B956D4"/>
    <w:rsid w:val="00B96020"/>
    <w:rsid w:val="00B97446"/>
    <w:rsid w:val="00B97BD8"/>
    <w:rsid w:val="00B97E04"/>
    <w:rsid w:val="00BA014F"/>
    <w:rsid w:val="00BA0964"/>
    <w:rsid w:val="00BA13B9"/>
    <w:rsid w:val="00BA14FC"/>
    <w:rsid w:val="00BA3899"/>
    <w:rsid w:val="00BA3F34"/>
    <w:rsid w:val="00BA41F7"/>
    <w:rsid w:val="00BA5624"/>
    <w:rsid w:val="00BA5785"/>
    <w:rsid w:val="00BA6B1D"/>
    <w:rsid w:val="00BA7432"/>
    <w:rsid w:val="00BA78BD"/>
    <w:rsid w:val="00BA7B1E"/>
    <w:rsid w:val="00BB1446"/>
    <w:rsid w:val="00BB2764"/>
    <w:rsid w:val="00BB60C5"/>
    <w:rsid w:val="00BB63EB"/>
    <w:rsid w:val="00BB6464"/>
    <w:rsid w:val="00BC0C87"/>
    <w:rsid w:val="00BC0F9C"/>
    <w:rsid w:val="00BC1215"/>
    <w:rsid w:val="00BC19CE"/>
    <w:rsid w:val="00BC1A3E"/>
    <w:rsid w:val="00BC1AA0"/>
    <w:rsid w:val="00BC2495"/>
    <w:rsid w:val="00BC3472"/>
    <w:rsid w:val="00BC4495"/>
    <w:rsid w:val="00BC48D1"/>
    <w:rsid w:val="00BC5D4D"/>
    <w:rsid w:val="00BC6444"/>
    <w:rsid w:val="00BC6E4D"/>
    <w:rsid w:val="00BC7117"/>
    <w:rsid w:val="00BC7EB9"/>
    <w:rsid w:val="00BD0DDA"/>
    <w:rsid w:val="00BD11BA"/>
    <w:rsid w:val="00BD2643"/>
    <w:rsid w:val="00BD50B9"/>
    <w:rsid w:val="00BD53D1"/>
    <w:rsid w:val="00BD56B1"/>
    <w:rsid w:val="00BD6558"/>
    <w:rsid w:val="00BE0AF7"/>
    <w:rsid w:val="00BE0F11"/>
    <w:rsid w:val="00BE108B"/>
    <w:rsid w:val="00BE14A1"/>
    <w:rsid w:val="00BE35AE"/>
    <w:rsid w:val="00BE460D"/>
    <w:rsid w:val="00BE6815"/>
    <w:rsid w:val="00BE709A"/>
    <w:rsid w:val="00BF0EB0"/>
    <w:rsid w:val="00BF1C06"/>
    <w:rsid w:val="00BF2AF9"/>
    <w:rsid w:val="00BF2F76"/>
    <w:rsid w:val="00BF3022"/>
    <w:rsid w:val="00BF3214"/>
    <w:rsid w:val="00BF4124"/>
    <w:rsid w:val="00BF4192"/>
    <w:rsid w:val="00BF5573"/>
    <w:rsid w:val="00BF571B"/>
    <w:rsid w:val="00BF597A"/>
    <w:rsid w:val="00BF6DAC"/>
    <w:rsid w:val="00BF71C9"/>
    <w:rsid w:val="00C00D4D"/>
    <w:rsid w:val="00C019B4"/>
    <w:rsid w:val="00C023B5"/>
    <w:rsid w:val="00C02997"/>
    <w:rsid w:val="00C059CC"/>
    <w:rsid w:val="00C1331F"/>
    <w:rsid w:val="00C15867"/>
    <w:rsid w:val="00C163E6"/>
    <w:rsid w:val="00C16CB0"/>
    <w:rsid w:val="00C16CCA"/>
    <w:rsid w:val="00C179F5"/>
    <w:rsid w:val="00C17D1A"/>
    <w:rsid w:val="00C20931"/>
    <w:rsid w:val="00C209F5"/>
    <w:rsid w:val="00C20DBD"/>
    <w:rsid w:val="00C21007"/>
    <w:rsid w:val="00C21EA0"/>
    <w:rsid w:val="00C22146"/>
    <w:rsid w:val="00C2296D"/>
    <w:rsid w:val="00C22F4F"/>
    <w:rsid w:val="00C23155"/>
    <w:rsid w:val="00C235E5"/>
    <w:rsid w:val="00C24385"/>
    <w:rsid w:val="00C252B7"/>
    <w:rsid w:val="00C2533D"/>
    <w:rsid w:val="00C260DA"/>
    <w:rsid w:val="00C30806"/>
    <w:rsid w:val="00C30A7B"/>
    <w:rsid w:val="00C31192"/>
    <w:rsid w:val="00C31E53"/>
    <w:rsid w:val="00C32236"/>
    <w:rsid w:val="00C339F4"/>
    <w:rsid w:val="00C33E6D"/>
    <w:rsid w:val="00C36069"/>
    <w:rsid w:val="00C3646E"/>
    <w:rsid w:val="00C36CA8"/>
    <w:rsid w:val="00C37BEC"/>
    <w:rsid w:val="00C40C41"/>
    <w:rsid w:val="00C4254D"/>
    <w:rsid w:val="00C428FE"/>
    <w:rsid w:val="00C43CCD"/>
    <w:rsid w:val="00C4419D"/>
    <w:rsid w:val="00C445BD"/>
    <w:rsid w:val="00C452F2"/>
    <w:rsid w:val="00C45885"/>
    <w:rsid w:val="00C46483"/>
    <w:rsid w:val="00C50F22"/>
    <w:rsid w:val="00C51235"/>
    <w:rsid w:val="00C52A4C"/>
    <w:rsid w:val="00C54CF5"/>
    <w:rsid w:val="00C54DC6"/>
    <w:rsid w:val="00C5684C"/>
    <w:rsid w:val="00C57971"/>
    <w:rsid w:val="00C57BCB"/>
    <w:rsid w:val="00C6076D"/>
    <w:rsid w:val="00C607C1"/>
    <w:rsid w:val="00C61714"/>
    <w:rsid w:val="00C61A0B"/>
    <w:rsid w:val="00C6380B"/>
    <w:rsid w:val="00C65541"/>
    <w:rsid w:val="00C65BD7"/>
    <w:rsid w:val="00C67B45"/>
    <w:rsid w:val="00C701FD"/>
    <w:rsid w:val="00C708D8"/>
    <w:rsid w:val="00C71FA9"/>
    <w:rsid w:val="00C727F3"/>
    <w:rsid w:val="00C73385"/>
    <w:rsid w:val="00C7494F"/>
    <w:rsid w:val="00C74F1D"/>
    <w:rsid w:val="00C75991"/>
    <w:rsid w:val="00C76BA4"/>
    <w:rsid w:val="00C779A3"/>
    <w:rsid w:val="00C80473"/>
    <w:rsid w:val="00C83016"/>
    <w:rsid w:val="00C83A48"/>
    <w:rsid w:val="00C83D4C"/>
    <w:rsid w:val="00C84A16"/>
    <w:rsid w:val="00C85865"/>
    <w:rsid w:val="00C85E85"/>
    <w:rsid w:val="00C86333"/>
    <w:rsid w:val="00C86E1A"/>
    <w:rsid w:val="00C86F76"/>
    <w:rsid w:val="00C874DC"/>
    <w:rsid w:val="00C878E2"/>
    <w:rsid w:val="00C87E67"/>
    <w:rsid w:val="00C902F8"/>
    <w:rsid w:val="00C906FD"/>
    <w:rsid w:val="00C9193E"/>
    <w:rsid w:val="00C9328E"/>
    <w:rsid w:val="00C956C7"/>
    <w:rsid w:val="00C95E4D"/>
    <w:rsid w:val="00C96848"/>
    <w:rsid w:val="00C96A94"/>
    <w:rsid w:val="00C97D6B"/>
    <w:rsid w:val="00CA1454"/>
    <w:rsid w:val="00CA1473"/>
    <w:rsid w:val="00CA1D41"/>
    <w:rsid w:val="00CA1F45"/>
    <w:rsid w:val="00CA2033"/>
    <w:rsid w:val="00CA2082"/>
    <w:rsid w:val="00CA2EAE"/>
    <w:rsid w:val="00CA4A26"/>
    <w:rsid w:val="00CA4AC1"/>
    <w:rsid w:val="00CA4C5D"/>
    <w:rsid w:val="00CA51E4"/>
    <w:rsid w:val="00CA551F"/>
    <w:rsid w:val="00CA5638"/>
    <w:rsid w:val="00CA5A55"/>
    <w:rsid w:val="00CA779D"/>
    <w:rsid w:val="00CB0316"/>
    <w:rsid w:val="00CB0B11"/>
    <w:rsid w:val="00CB1712"/>
    <w:rsid w:val="00CB2395"/>
    <w:rsid w:val="00CB248A"/>
    <w:rsid w:val="00CB2F1F"/>
    <w:rsid w:val="00CB40B4"/>
    <w:rsid w:val="00CB426A"/>
    <w:rsid w:val="00CB50C6"/>
    <w:rsid w:val="00CB5354"/>
    <w:rsid w:val="00CB5A76"/>
    <w:rsid w:val="00CB5E29"/>
    <w:rsid w:val="00CC171B"/>
    <w:rsid w:val="00CC2D6D"/>
    <w:rsid w:val="00CC3C9E"/>
    <w:rsid w:val="00CC4778"/>
    <w:rsid w:val="00CC4E74"/>
    <w:rsid w:val="00CC5F27"/>
    <w:rsid w:val="00CC6316"/>
    <w:rsid w:val="00CC659E"/>
    <w:rsid w:val="00CC68ED"/>
    <w:rsid w:val="00CC698C"/>
    <w:rsid w:val="00CC6A14"/>
    <w:rsid w:val="00CC70A3"/>
    <w:rsid w:val="00CC70A9"/>
    <w:rsid w:val="00CC73C8"/>
    <w:rsid w:val="00CD0314"/>
    <w:rsid w:val="00CD0F0E"/>
    <w:rsid w:val="00CD2051"/>
    <w:rsid w:val="00CD23CF"/>
    <w:rsid w:val="00CD25D9"/>
    <w:rsid w:val="00CD2786"/>
    <w:rsid w:val="00CD2AA3"/>
    <w:rsid w:val="00CD4442"/>
    <w:rsid w:val="00CD53C3"/>
    <w:rsid w:val="00CD574E"/>
    <w:rsid w:val="00CD776A"/>
    <w:rsid w:val="00CE0092"/>
    <w:rsid w:val="00CE00F3"/>
    <w:rsid w:val="00CE136A"/>
    <w:rsid w:val="00CE1597"/>
    <w:rsid w:val="00CE1A8B"/>
    <w:rsid w:val="00CE27E6"/>
    <w:rsid w:val="00CE4C22"/>
    <w:rsid w:val="00CE5831"/>
    <w:rsid w:val="00CE5FFD"/>
    <w:rsid w:val="00CE6485"/>
    <w:rsid w:val="00CE76B2"/>
    <w:rsid w:val="00CF04DE"/>
    <w:rsid w:val="00CF08E3"/>
    <w:rsid w:val="00CF23B2"/>
    <w:rsid w:val="00CF41EC"/>
    <w:rsid w:val="00CF4803"/>
    <w:rsid w:val="00CF496C"/>
    <w:rsid w:val="00CF4AE4"/>
    <w:rsid w:val="00CF5D04"/>
    <w:rsid w:val="00CF5D4F"/>
    <w:rsid w:val="00CF5EBB"/>
    <w:rsid w:val="00CF71DD"/>
    <w:rsid w:val="00CF7FB6"/>
    <w:rsid w:val="00D00693"/>
    <w:rsid w:val="00D0114D"/>
    <w:rsid w:val="00D02DD9"/>
    <w:rsid w:val="00D033F9"/>
    <w:rsid w:val="00D03C8D"/>
    <w:rsid w:val="00D04D20"/>
    <w:rsid w:val="00D04DE4"/>
    <w:rsid w:val="00D04EA8"/>
    <w:rsid w:val="00D05192"/>
    <w:rsid w:val="00D05795"/>
    <w:rsid w:val="00D063F1"/>
    <w:rsid w:val="00D06430"/>
    <w:rsid w:val="00D07515"/>
    <w:rsid w:val="00D07E9B"/>
    <w:rsid w:val="00D10793"/>
    <w:rsid w:val="00D109A5"/>
    <w:rsid w:val="00D10E3D"/>
    <w:rsid w:val="00D1123C"/>
    <w:rsid w:val="00D118E6"/>
    <w:rsid w:val="00D11FAC"/>
    <w:rsid w:val="00D12ACD"/>
    <w:rsid w:val="00D146B1"/>
    <w:rsid w:val="00D14F22"/>
    <w:rsid w:val="00D165AD"/>
    <w:rsid w:val="00D16BC1"/>
    <w:rsid w:val="00D16C17"/>
    <w:rsid w:val="00D17E90"/>
    <w:rsid w:val="00D20072"/>
    <w:rsid w:val="00D20240"/>
    <w:rsid w:val="00D20393"/>
    <w:rsid w:val="00D21CDD"/>
    <w:rsid w:val="00D2369F"/>
    <w:rsid w:val="00D247F4"/>
    <w:rsid w:val="00D25410"/>
    <w:rsid w:val="00D27C3F"/>
    <w:rsid w:val="00D31496"/>
    <w:rsid w:val="00D315B8"/>
    <w:rsid w:val="00D3206F"/>
    <w:rsid w:val="00D34DF5"/>
    <w:rsid w:val="00D3585C"/>
    <w:rsid w:val="00D3734D"/>
    <w:rsid w:val="00D41C96"/>
    <w:rsid w:val="00D430E8"/>
    <w:rsid w:val="00D44869"/>
    <w:rsid w:val="00D454E6"/>
    <w:rsid w:val="00D45FAD"/>
    <w:rsid w:val="00D472C1"/>
    <w:rsid w:val="00D4741C"/>
    <w:rsid w:val="00D4785B"/>
    <w:rsid w:val="00D50372"/>
    <w:rsid w:val="00D534E1"/>
    <w:rsid w:val="00D5480B"/>
    <w:rsid w:val="00D551B9"/>
    <w:rsid w:val="00D56CEA"/>
    <w:rsid w:val="00D57559"/>
    <w:rsid w:val="00D57918"/>
    <w:rsid w:val="00D615FA"/>
    <w:rsid w:val="00D61924"/>
    <w:rsid w:val="00D6409B"/>
    <w:rsid w:val="00D7183E"/>
    <w:rsid w:val="00D72718"/>
    <w:rsid w:val="00D73DC6"/>
    <w:rsid w:val="00D74C1A"/>
    <w:rsid w:val="00D754C1"/>
    <w:rsid w:val="00D755D0"/>
    <w:rsid w:val="00D77393"/>
    <w:rsid w:val="00D7744F"/>
    <w:rsid w:val="00D77A35"/>
    <w:rsid w:val="00D81B3E"/>
    <w:rsid w:val="00D82370"/>
    <w:rsid w:val="00D84EF3"/>
    <w:rsid w:val="00D85A62"/>
    <w:rsid w:val="00D876D9"/>
    <w:rsid w:val="00D878F6"/>
    <w:rsid w:val="00D90C70"/>
    <w:rsid w:val="00D90E49"/>
    <w:rsid w:val="00D911BB"/>
    <w:rsid w:val="00D9161E"/>
    <w:rsid w:val="00D91B21"/>
    <w:rsid w:val="00D92730"/>
    <w:rsid w:val="00D9288B"/>
    <w:rsid w:val="00D94316"/>
    <w:rsid w:val="00D954E8"/>
    <w:rsid w:val="00D95837"/>
    <w:rsid w:val="00D960F5"/>
    <w:rsid w:val="00D969AA"/>
    <w:rsid w:val="00D96ADE"/>
    <w:rsid w:val="00D96CD3"/>
    <w:rsid w:val="00D97D26"/>
    <w:rsid w:val="00DA00F6"/>
    <w:rsid w:val="00DA0CE2"/>
    <w:rsid w:val="00DA0F8A"/>
    <w:rsid w:val="00DA28A0"/>
    <w:rsid w:val="00DA3B3A"/>
    <w:rsid w:val="00DA57C5"/>
    <w:rsid w:val="00DA5CF9"/>
    <w:rsid w:val="00DA7FA0"/>
    <w:rsid w:val="00DB21D4"/>
    <w:rsid w:val="00DB2804"/>
    <w:rsid w:val="00DB2B13"/>
    <w:rsid w:val="00DB44BB"/>
    <w:rsid w:val="00DB5A83"/>
    <w:rsid w:val="00DC0824"/>
    <w:rsid w:val="00DC12B2"/>
    <w:rsid w:val="00DC12D4"/>
    <w:rsid w:val="00DC2285"/>
    <w:rsid w:val="00DC26C4"/>
    <w:rsid w:val="00DC3C05"/>
    <w:rsid w:val="00DC49C5"/>
    <w:rsid w:val="00DC5091"/>
    <w:rsid w:val="00DC525E"/>
    <w:rsid w:val="00DC6989"/>
    <w:rsid w:val="00DC6A10"/>
    <w:rsid w:val="00DC77C7"/>
    <w:rsid w:val="00DC7B25"/>
    <w:rsid w:val="00DC7ED0"/>
    <w:rsid w:val="00DD123D"/>
    <w:rsid w:val="00DD2BBB"/>
    <w:rsid w:val="00DD37D5"/>
    <w:rsid w:val="00DD42B7"/>
    <w:rsid w:val="00DD4C20"/>
    <w:rsid w:val="00DD4F70"/>
    <w:rsid w:val="00DD5963"/>
    <w:rsid w:val="00DD5BD2"/>
    <w:rsid w:val="00DD715A"/>
    <w:rsid w:val="00DE08E6"/>
    <w:rsid w:val="00DE1888"/>
    <w:rsid w:val="00DE1EBF"/>
    <w:rsid w:val="00DE4452"/>
    <w:rsid w:val="00DE59CD"/>
    <w:rsid w:val="00DE657E"/>
    <w:rsid w:val="00DE7308"/>
    <w:rsid w:val="00DE74F4"/>
    <w:rsid w:val="00DE766A"/>
    <w:rsid w:val="00DF0DEF"/>
    <w:rsid w:val="00DF1A07"/>
    <w:rsid w:val="00DF3A27"/>
    <w:rsid w:val="00DF4704"/>
    <w:rsid w:val="00DF475C"/>
    <w:rsid w:val="00DF497B"/>
    <w:rsid w:val="00DF535B"/>
    <w:rsid w:val="00DF56F6"/>
    <w:rsid w:val="00DF5D60"/>
    <w:rsid w:val="00DF61CD"/>
    <w:rsid w:val="00DF759F"/>
    <w:rsid w:val="00E01090"/>
    <w:rsid w:val="00E011E5"/>
    <w:rsid w:val="00E01427"/>
    <w:rsid w:val="00E024AA"/>
    <w:rsid w:val="00E02AF4"/>
    <w:rsid w:val="00E054CD"/>
    <w:rsid w:val="00E07EF3"/>
    <w:rsid w:val="00E07FF0"/>
    <w:rsid w:val="00E10249"/>
    <w:rsid w:val="00E114B7"/>
    <w:rsid w:val="00E12AFA"/>
    <w:rsid w:val="00E13013"/>
    <w:rsid w:val="00E13FAE"/>
    <w:rsid w:val="00E140E5"/>
    <w:rsid w:val="00E15C77"/>
    <w:rsid w:val="00E15EA8"/>
    <w:rsid w:val="00E164FA"/>
    <w:rsid w:val="00E20ADA"/>
    <w:rsid w:val="00E2130D"/>
    <w:rsid w:val="00E21734"/>
    <w:rsid w:val="00E221FB"/>
    <w:rsid w:val="00E2257A"/>
    <w:rsid w:val="00E2279C"/>
    <w:rsid w:val="00E22CCF"/>
    <w:rsid w:val="00E23AAC"/>
    <w:rsid w:val="00E23BEF"/>
    <w:rsid w:val="00E250F1"/>
    <w:rsid w:val="00E25408"/>
    <w:rsid w:val="00E25B5E"/>
    <w:rsid w:val="00E26192"/>
    <w:rsid w:val="00E2653F"/>
    <w:rsid w:val="00E301B6"/>
    <w:rsid w:val="00E335C7"/>
    <w:rsid w:val="00E33A38"/>
    <w:rsid w:val="00E3550D"/>
    <w:rsid w:val="00E36A59"/>
    <w:rsid w:val="00E36C14"/>
    <w:rsid w:val="00E36DB1"/>
    <w:rsid w:val="00E405F8"/>
    <w:rsid w:val="00E417EB"/>
    <w:rsid w:val="00E41EC7"/>
    <w:rsid w:val="00E43D6E"/>
    <w:rsid w:val="00E45BE6"/>
    <w:rsid w:val="00E505DC"/>
    <w:rsid w:val="00E514EA"/>
    <w:rsid w:val="00E527F2"/>
    <w:rsid w:val="00E52838"/>
    <w:rsid w:val="00E529BF"/>
    <w:rsid w:val="00E52C99"/>
    <w:rsid w:val="00E52CC6"/>
    <w:rsid w:val="00E54886"/>
    <w:rsid w:val="00E54A21"/>
    <w:rsid w:val="00E557A8"/>
    <w:rsid w:val="00E557B7"/>
    <w:rsid w:val="00E57182"/>
    <w:rsid w:val="00E578DA"/>
    <w:rsid w:val="00E6016B"/>
    <w:rsid w:val="00E60255"/>
    <w:rsid w:val="00E614E0"/>
    <w:rsid w:val="00E62A83"/>
    <w:rsid w:val="00E62E83"/>
    <w:rsid w:val="00E64139"/>
    <w:rsid w:val="00E64332"/>
    <w:rsid w:val="00E647F0"/>
    <w:rsid w:val="00E65778"/>
    <w:rsid w:val="00E66738"/>
    <w:rsid w:val="00E674D8"/>
    <w:rsid w:val="00E67ADC"/>
    <w:rsid w:val="00E67C79"/>
    <w:rsid w:val="00E7004B"/>
    <w:rsid w:val="00E7010D"/>
    <w:rsid w:val="00E70331"/>
    <w:rsid w:val="00E71647"/>
    <w:rsid w:val="00E71BC5"/>
    <w:rsid w:val="00E71D94"/>
    <w:rsid w:val="00E71E5D"/>
    <w:rsid w:val="00E730DD"/>
    <w:rsid w:val="00E73F7F"/>
    <w:rsid w:val="00E74BA3"/>
    <w:rsid w:val="00E75633"/>
    <w:rsid w:val="00E771CF"/>
    <w:rsid w:val="00E80800"/>
    <w:rsid w:val="00E80A03"/>
    <w:rsid w:val="00E80C90"/>
    <w:rsid w:val="00E82C53"/>
    <w:rsid w:val="00E8322A"/>
    <w:rsid w:val="00E839C4"/>
    <w:rsid w:val="00E8490E"/>
    <w:rsid w:val="00E85409"/>
    <w:rsid w:val="00E85AB7"/>
    <w:rsid w:val="00E87B5F"/>
    <w:rsid w:val="00E87E5E"/>
    <w:rsid w:val="00E905E1"/>
    <w:rsid w:val="00E907EB"/>
    <w:rsid w:val="00E9246B"/>
    <w:rsid w:val="00E929FB"/>
    <w:rsid w:val="00E94992"/>
    <w:rsid w:val="00E959DE"/>
    <w:rsid w:val="00E97917"/>
    <w:rsid w:val="00E97C75"/>
    <w:rsid w:val="00EA01B3"/>
    <w:rsid w:val="00EA30B4"/>
    <w:rsid w:val="00EA30D2"/>
    <w:rsid w:val="00EA3A23"/>
    <w:rsid w:val="00EA429F"/>
    <w:rsid w:val="00EA4F9E"/>
    <w:rsid w:val="00EA5900"/>
    <w:rsid w:val="00EA63CA"/>
    <w:rsid w:val="00EA6A7F"/>
    <w:rsid w:val="00EA6D3B"/>
    <w:rsid w:val="00EA70E6"/>
    <w:rsid w:val="00EA74DC"/>
    <w:rsid w:val="00EA7F3B"/>
    <w:rsid w:val="00EB00AD"/>
    <w:rsid w:val="00EB05C7"/>
    <w:rsid w:val="00EB0EC2"/>
    <w:rsid w:val="00EB136C"/>
    <w:rsid w:val="00EB2E78"/>
    <w:rsid w:val="00EB480E"/>
    <w:rsid w:val="00EB4874"/>
    <w:rsid w:val="00EB4D28"/>
    <w:rsid w:val="00EB56E0"/>
    <w:rsid w:val="00EB5E3B"/>
    <w:rsid w:val="00EB5EC6"/>
    <w:rsid w:val="00EB6D97"/>
    <w:rsid w:val="00EB7FC9"/>
    <w:rsid w:val="00EC0ED4"/>
    <w:rsid w:val="00EC123B"/>
    <w:rsid w:val="00EC5872"/>
    <w:rsid w:val="00ED0519"/>
    <w:rsid w:val="00ED27E8"/>
    <w:rsid w:val="00ED3489"/>
    <w:rsid w:val="00ED391F"/>
    <w:rsid w:val="00ED41E9"/>
    <w:rsid w:val="00ED7137"/>
    <w:rsid w:val="00ED7378"/>
    <w:rsid w:val="00ED7C8A"/>
    <w:rsid w:val="00EE25E4"/>
    <w:rsid w:val="00EE3406"/>
    <w:rsid w:val="00EE4935"/>
    <w:rsid w:val="00EF06EA"/>
    <w:rsid w:val="00EF0A76"/>
    <w:rsid w:val="00EF0B5C"/>
    <w:rsid w:val="00EF12E2"/>
    <w:rsid w:val="00EF14A9"/>
    <w:rsid w:val="00EF2CE5"/>
    <w:rsid w:val="00EF3659"/>
    <w:rsid w:val="00EF4E48"/>
    <w:rsid w:val="00EF64FD"/>
    <w:rsid w:val="00EF7DD4"/>
    <w:rsid w:val="00F007B5"/>
    <w:rsid w:val="00F00F9E"/>
    <w:rsid w:val="00F01F7E"/>
    <w:rsid w:val="00F02249"/>
    <w:rsid w:val="00F031D7"/>
    <w:rsid w:val="00F03616"/>
    <w:rsid w:val="00F03AF1"/>
    <w:rsid w:val="00F05C70"/>
    <w:rsid w:val="00F071EA"/>
    <w:rsid w:val="00F07366"/>
    <w:rsid w:val="00F07949"/>
    <w:rsid w:val="00F102E0"/>
    <w:rsid w:val="00F104C5"/>
    <w:rsid w:val="00F11D27"/>
    <w:rsid w:val="00F12A2C"/>
    <w:rsid w:val="00F13148"/>
    <w:rsid w:val="00F13378"/>
    <w:rsid w:val="00F136F7"/>
    <w:rsid w:val="00F139C8"/>
    <w:rsid w:val="00F1717D"/>
    <w:rsid w:val="00F177E2"/>
    <w:rsid w:val="00F17C5B"/>
    <w:rsid w:val="00F21088"/>
    <w:rsid w:val="00F21D16"/>
    <w:rsid w:val="00F25EBC"/>
    <w:rsid w:val="00F304A3"/>
    <w:rsid w:val="00F327E7"/>
    <w:rsid w:val="00F32F62"/>
    <w:rsid w:val="00F33F7C"/>
    <w:rsid w:val="00F33FDE"/>
    <w:rsid w:val="00F3523F"/>
    <w:rsid w:val="00F35746"/>
    <w:rsid w:val="00F37455"/>
    <w:rsid w:val="00F4018F"/>
    <w:rsid w:val="00F4020D"/>
    <w:rsid w:val="00F4020E"/>
    <w:rsid w:val="00F408B6"/>
    <w:rsid w:val="00F41595"/>
    <w:rsid w:val="00F418DC"/>
    <w:rsid w:val="00F438BC"/>
    <w:rsid w:val="00F43A2C"/>
    <w:rsid w:val="00F447C7"/>
    <w:rsid w:val="00F459B4"/>
    <w:rsid w:val="00F46177"/>
    <w:rsid w:val="00F4716B"/>
    <w:rsid w:val="00F47E07"/>
    <w:rsid w:val="00F5198A"/>
    <w:rsid w:val="00F51BF8"/>
    <w:rsid w:val="00F5211B"/>
    <w:rsid w:val="00F526C4"/>
    <w:rsid w:val="00F530D8"/>
    <w:rsid w:val="00F5369B"/>
    <w:rsid w:val="00F53B7C"/>
    <w:rsid w:val="00F549A3"/>
    <w:rsid w:val="00F54C3F"/>
    <w:rsid w:val="00F551FF"/>
    <w:rsid w:val="00F554A9"/>
    <w:rsid w:val="00F558B2"/>
    <w:rsid w:val="00F57A67"/>
    <w:rsid w:val="00F60ED5"/>
    <w:rsid w:val="00F62494"/>
    <w:rsid w:val="00F62698"/>
    <w:rsid w:val="00F62BCA"/>
    <w:rsid w:val="00F63E3E"/>
    <w:rsid w:val="00F63F63"/>
    <w:rsid w:val="00F64973"/>
    <w:rsid w:val="00F64E68"/>
    <w:rsid w:val="00F658B1"/>
    <w:rsid w:val="00F678D5"/>
    <w:rsid w:val="00F678ED"/>
    <w:rsid w:val="00F70A60"/>
    <w:rsid w:val="00F716FD"/>
    <w:rsid w:val="00F7173C"/>
    <w:rsid w:val="00F71F89"/>
    <w:rsid w:val="00F72735"/>
    <w:rsid w:val="00F750AE"/>
    <w:rsid w:val="00F759A5"/>
    <w:rsid w:val="00F7666C"/>
    <w:rsid w:val="00F76821"/>
    <w:rsid w:val="00F76FFD"/>
    <w:rsid w:val="00F77E4A"/>
    <w:rsid w:val="00F77EBF"/>
    <w:rsid w:val="00F80355"/>
    <w:rsid w:val="00F804AA"/>
    <w:rsid w:val="00F81CBF"/>
    <w:rsid w:val="00F81D87"/>
    <w:rsid w:val="00F838E8"/>
    <w:rsid w:val="00F83B72"/>
    <w:rsid w:val="00F83BFD"/>
    <w:rsid w:val="00F83E2C"/>
    <w:rsid w:val="00F84948"/>
    <w:rsid w:val="00F8554C"/>
    <w:rsid w:val="00F85A9B"/>
    <w:rsid w:val="00F85EB1"/>
    <w:rsid w:val="00F873FF"/>
    <w:rsid w:val="00F87BD9"/>
    <w:rsid w:val="00F87C43"/>
    <w:rsid w:val="00F926D6"/>
    <w:rsid w:val="00F92E14"/>
    <w:rsid w:val="00F93739"/>
    <w:rsid w:val="00F9481D"/>
    <w:rsid w:val="00F94DF6"/>
    <w:rsid w:val="00F955E9"/>
    <w:rsid w:val="00F97425"/>
    <w:rsid w:val="00F97E45"/>
    <w:rsid w:val="00FA015C"/>
    <w:rsid w:val="00FA23B4"/>
    <w:rsid w:val="00FA30DB"/>
    <w:rsid w:val="00FA4C82"/>
    <w:rsid w:val="00FA50EA"/>
    <w:rsid w:val="00FA5722"/>
    <w:rsid w:val="00FA58BC"/>
    <w:rsid w:val="00FA5A4B"/>
    <w:rsid w:val="00FA7260"/>
    <w:rsid w:val="00FA7B5A"/>
    <w:rsid w:val="00FA7BDF"/>
    <w:rsid w:val="00FA7EF1"/>
    <w:rsid w:val="00FA7F5B"/>
    <w:rsid w:val="00FB0C81"/>
    <w:rsid w:val="00FB16E7"/>
    <w:rsid w:val="00FB41B3"/>
    <w:rsid w:val="00FB43A3"/>
    <w:rsid w:val="00FB6150"/>
    <w:rsid w:val="00FB692E"/>
    <w:rsid w:val="00FB6960"/>
    <w:rsid w:val="00FB69C2"/>
    <w:rsid w:val="00FB6D64"/>
    <w:rsid w:val="00FB7D2F"/>
    <w:rsid w:val="00FC1189"/>
    <w:rsid w:val="00FC2200"/>
    <w:rsid w:val="00FC2540"/>
    <w:rsid w:val="00FC2DA2"/>
    <w:rsid w:val="00FC4BB2"/>
    <w:rsid w:val="00FC66DD"/>
    <w:rsid w:val="00FC68BA"/>
    <w:rsid w:val="00FC6A7F"/>
    <w:rsid w:val="00FC7917"/>
    <w:rsid w:val="00FC7D7D"/>
    <w:rsid w:val="00FD27F5"/>
    <w:rsid w:val="00FD2E5C"/>
    <w:rsid w:val="00FD4856"/>
    <w:rsid w:val="00FD547F"/>
    <w:rsid w:val="00FE0C3B"/>
    <w:rsid w:val="00FE20FC"/>
    <w:rsid w:val="00FE25D1"/>
    <w:rsid w:val="00FE3BFB"/>
    <w:rsid w:val="00FE3E3A"/>
    <w:rsid w:val="00FE4DFA"/>
    <w:rsid w:val="00FE5373"/>
    <w:rsid w:val="00FE6F16"/>
    <w:rsid w:val="00FF0204"/>
    <w:rsid w:val="00FF1A7B"/>
    <w:rsid w:val="00FF1CEE"/>
    <w:rsid w:val="00FF2809"/>
    <w:rsid w:val="00FF2E2A"/>
    <w:rsid w:val="00FF2EDD"/>
    <w:rsid w:val="00FF3AED"/>
    <w:rsid w:val="00FF3C78"/>
    <w:rsid w:val="00FF48B6"/>
    <w:rsid w:val="00FF4A72"/>
    <w:rsid w:val="00FF4D2A"/>
    <w:rsid w:val="00FF542A"/>
    <w:rsid w:val="00FF64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0A7B"/>
  <w15:docId w15:val="{31E95067-726B-4C8C-B96F-4B1757DF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123B"/>
    <w:rPr>
      <w:sz w:val="22"/>
      <w:szCs w:val="22"/>
      <w:lang w:val="en-CA"/>
    </w:rPr>
  </w:style>
  <w:style w:type="character" w:customStyle="1" w:styleId="Heading3Char">
    <w:name w:val="Heading 3 Char"/>
    <w:basedOn w:val="DefaultParagraphFont"/>
    <w:qFormat/>
    <w:rsid w:val="00EC123B"/>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C123B"/>
    <w:rPr>
      <w:sz w:val="22"/>
      <w:szCs w:val="22"/>
      <w:lang w:val="en-CA"/>
    </w:rPr>
  </w:style>
  <w:style w:type="character" w:customStyle="1" w:styleId="Heading5Char">
    <w:name w:val="Heading 5 Char"/>
    <w:basedOn w:val="DefaultParagraphFont"/>
    <w:link w:val="Heading5"/>
    <w:rsid w:val="00EC123B"/>
    <w:rPr>
      <w:sz w:val="22"/>
      <w:szCs w:val="22"/>
      <w:lang w:val="en-CA"/>
    </w:rPr>
  </w:style>
  <w:style w:type="character" w:customStyle="1" w:styleId="Heading6Char">
    <w:name w:val="Heading 6 Char"/>
    <w:basedOn w:val="DefaultParagraphFont"/>
    <w:link w:val="Heading6"/>
    <w:rsid w:val="00EC123B"/>
    <w:rPr>
      <w:rFonts w:ascii="Arial" w:hAnsi="Arial"/>
      <w:i/>
      <w:sz w:val="22"/>
      <w:szCs w:val="22"/>
      <w:lang w:val="en-CA"/>
    </w:rPr>
  </w:style>
  <w:style w:type="character" w:customStyle="1" w:styleId="Heading7Char">
    <w:name w:val="Heading 7 Char"/>
    <w:basedOn w:val="DefaultParagraphFont"/>
    <w:link w:val="Heading7"/>
    <w:rsid w:val="00EC123B"/>
    <w:rPr>
      <w:rFonts w:ascii="Arial" w:hAnsi="Arial"/>
      <w:sz w:val="22"/>
      <w:szCs w:val="22"/>
      <w:lang w:val="en-CA"/>
    </w:rPr>
  </w:style>
  <w:style w:type="character" w:customStyle="1" w:styleId="Heading8Char">
    <w:name w:val="Heading 8 Char"/>
    <w:basedOn w:val="DefaultParagraphFont"/>
    <w:link w:val="Heading8"/>
    <w:rsid w:val="00EC123B"/>
    <w:rPr>
      <w:b/>
      <w:sz w:val="22"/>
      <w:szCs w:val="22"/>
      <w:lang w:val="en-CA"/>
    </w:rPr>
  </w:style>
  <w:style w:type="character" w:customStyle="1" w:styleId="Heading9Char">
    <w:name w:val="Heading 9 Char"/>
    <w:basedOn w:val="DefaultParagraphFont"/>
    <w:link w:val="Heading9"/>
    <w:rsid w:val="00EC123B"/>
    <w:rPr>
      <w:rFonts w:ascii="Arial" w:hAnsi="Arial"/>
      <w:i/>
      <w:sz w:val="18"/>
      <w:szCs w:val="22"/>
      <w:lang w:val="en-CA"/>
    </w:rPr>
  </w:style>
  <w:style w:type="character" w:styleId="PageNumber">
    <w:name w:val="page number"/>
    <w:basedOn w:val="DefaultParagraphFont"/>
    <w:rsid w:val="00EC123B"/>
    <w:rPr>
      <w:rFonts w:ascii="Times New Roman" w:hAnsi="Times New Roman"/>
      <w:b/>
      <w:sz w:val="18"/>
    </w:rPr>
  </w:style>
  <w:style w:type="table" w:customStyle="1" w:styleId="Tabledocright">
    <w:name w:val="Table_doc_right"/>
    <w:basedOn w:val="TableNormal"/>
    <w:rsid w:val="00EC12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EC123B"/>
    <w:pPr>
      <w:tabs>
        <w:tab w:val="left" w:pos="1247"/>
      </w:tabs>
      <w:ind w:left="1000"/>
      <w:jc w:val="left"/>
    </w:pPr>
    <w:rPr>
      <w:sz w:val="18"/>
      <w:szCs w:val="18"/>
      <w:lang w:val="en-GB"/>
    </w:rPr>
  </w:style>
  <w:style w:type="paragraph" w:styleId="TOC7">
    <w:name w:val="toc 7"/>
    <w:basedOn w:val="Normal"/>
    <w:next w:val="Normal"/>
    <w:autoRedefine/>
    <w:semiHidden/>
    <w:rsid w:val="00EC123B"/>
    <w:pPr>
      <w:tabs>
        <w:tab w:val="left" w:pos="1247"/>
      </w:tabs>
      <w:ind w:left="1200"/>
      <w:jc w:val="left"/>
    </w:pPr>
    <w:rPr>
      <w:sz w:val="18"/>
      <w:szCs w:val="18"/>
      <w:lang w:val="en-GB"/>
    </w:rPr>
  </w:style>
  <w:style w:type="paragraph" w:styleId="TOC8">
    <w:name w:val="toc 8"/>
    <w:basedOn w:val="Normal"/>
    <w:next w:val="Normal"/>
    <w:autoRedefine/>
    <w:semiHidden/>
    <w:rsid w:val="00EC123B"/>
    <w:pPr>
      <w:tabs>
        <w:tab w:val="left" w:pos="1247"/>
      </w:tabs>
      <w:ind w:left="1400"/>
      <w:jc w:val="left"/>
    </w:pPr>
    <w:rPr>
      <w:sz w:val="18"/>
      <w:szCs w:val="18"/>
      <w:lang w:val="en-GB"/>
    </w:rPr>
  </w:style>
  <w:style w:type="paragraph" w:styleId="TOC9">
    <w:name w:val="toc 9"/>
    <w:basedOn w:val="Normal"/>
    <w:next w:val="Normal"/>
    <w:autoRedefine/>
    <w:semiHidden/>
    <w:rsid w:val="00EC123B"/>
    <w:pPr>
      <w:tabs>
        <w:tab w:val="left" w:pos="1247"/>
      </w:tabs>
      <w:ind w:left="1600"/>
      <w:jc w:val="left"/>
    </w:pPr>
    <w:rPr>
      <w:sz w:val="18"/>
      <w:szCs w:val="18"/>
      <w:lang w:val="en-GB"/>
    </w:rPr>
  </w:style>
  <w:style w:type="paragraph" w:customStyle="1" w:styleId="Titlefigure">
    <w:name w:val="Title_figure"/>
    <w:basedOn w:val="Titletable"/>
    <w:next w:val="NormalNonumber"/>
    <w:rsid w:val="00EC123B"/>
    <w:rPr>
      <w:bCs w:val="0"/>
    </w:rPr>
  </w:style>
  <w:style w:type="paragraph" w:styleId="TableofFigures">
    <w:name w:val="table of figures"/>
    <w:basedOn w:val="Normal"/>
    <w:next w:val="Normal"/>
    <w:autoRedefine/>
    <w:semiHidden/>
    <w:rsid w:val="00EC123B"/>
    <w:pPr>
      <w:tabs>
        <w:tab w:val="left" w:pos="1247"/>
      </w:tabs>
      <w:ind w:left="1814" w:hanging="567"/>
      <w:jc w:val="left"/>
    </w:pPr>
    <w:rPr>
      <w:sz w:val="20"/>
      <w:szCs w:val="20"/>
      <w:lang w:val="en-GB"/>
    </w:rPr>
  </w:style>
  <w:style w:type="paragraph" w:customStyle="1" w:styleId="CH1">
    <w:name w:val="CH1"/>
    <w:basedOn w:val="Normalpool"/>
    <w:next w:val="CH2"/>
    <w:link w:val="CH1Char"/>
    <w:qFormat/>
    <w:rsid w:val="00EC123B"/>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EC123B"/>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EC123B"/>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EC12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EC123B"/>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C123B"/>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link w:val="NormalpoolChar"/>
    <w:rsid w:val="00EC123B"/>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EC123B"/>
    <w:pPr>
      <w:tabs>
        <w:tab w:val="left" w:pos="4321"/>
        <w:tab w:val="right" w:pos="8641"/>
      </w:tabs>
      <w:spacing w:before="60" w:after="120"/>
    </w:pPr>
    <w:rPr>
      <w:b/>
      <w:sz w:val="18"/>
    </w:rPr>
  </w:style>
  <w:style w:type="paragraph" w:customStyle="1" w:styleId="Header-pool">
    <w:name w:val="Header-pool"/>
    <w:basedOn w:val="Normal-pool"/>
    <w:next w:val="Normal-pool"/>
    <w:rsid w:val="00EC123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EC123B"/>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EC123B"/>
    <w:rPr>
      <w:sz w:val="22"/>
      <w:szCs w:val="22"/>
      <w:lang w:val="en-CA"/>
    </w:rPr>
  </w:style>
  <w:style w:type="character" w:customStyle="1" w:styleId="HeaderChar">
    <w:name w:val="Header Char"/>
    <w:aliases w:val="EthylHeader Char"/>
    <w:link w:val="Header"/>
    <w:uiPriority w:val="99"/>
    <w:rsid w:val="00EC123B"/>
    <w:rPr>
      <w:sz w:val="22"/>
      <w:szCs w:val="22"/>
      <w:lang w:val="en-CA"/>
    </w:rPr>
  </w:style>
  <w:style w:type="character" w:customStyle="1" w:styleId="CH2Char">
    <w:name w:val="CH2 Char"/>
    <w:link w:val="CH2"/>
    <w:locked/>
    <w:rsid w:val="00EC123B"/>
    <w:rPr>
      <w:b/>
      <w:sz w:val="24"/>
      <w:szCs w:val="24"/>
      <w:lang w:val="en-GB"/>
    </w:rPr>
  </w:style>
  <w:style w:type="character" w:customStyle="1" w:styleId="NormalnumberChar">
    <w:name w:val="Normal_number Char"/>
    <w:link w:val="Normalnumber"/>
    <w:locked/>
    <w:rsid w:val="00EC123B"/>
    <w:rPr>
      <w:lang w:val="en-GB"/>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列出段落YUAN"/>
    <w:basedOn w:val="Normal"/>
    <w:link w:val="ListParagraphChar"/>
    <w:uiPriority w:val="34"/>
    <w:qFormat/>
    <w:rsid w:val="00EC123B"/>
    <w:pPr>
      <w:spacing w:after="200" w:line="276" w:lineRule="auto"/>
      <w:ind w:left="720"/>
      <w:contextualSpacing/>
      <w:jc w:val="left"/>
    </w:pPr>
    <w:rPr>
      <w:rFonts w:ascii="Calibri" w:eastAsia="Calibri" w:hAnsi="Calibri" w:cs="Arial"/>
      <w:lang w:val="en-US"/>
    </w:rPr>
  </w:style>
  <w:style w:type="paragraph" w:styleId="NormalWeb">
    <w:name w:val="Normal (Web)"/>
    <w:basedOn w:val="Normal"/>
    <w:unhideWhenUsed/>
    <w:rsid w:val="00EC123B"/>
    <w:pPr>
      <w:spacing w:before="100" w:beforeAutospacing="1" w:after="100" w:afterAutospacing="1"/>
      <w:jc w:val="left"/>
    </w:pPr>
    <w:rPr>
      <w:sz w:val="24"/>
      <w:szCs w:val="24"/>
      <w:lang w:val="en-US" w:eastAsia="zh-CN"/>
    </w:rPr>
  </w:style>
  <w:style w:type="character" w:styleId="Emphasis">
    <w:name w:val="Emphasis"/>
    <w:qFormat/>
    <w:rsid w:val="00EC123B"/>
    <w:rPr>
      <w:i/>
      <w:iCs/>
    </w:rPr>
  </w:style>
  <w:style w:type="character" w:styleId="FollowedHyperlink">
    <w:name w:val="FollowedHyperlink"/>
    <w:uiPriority w:val="99"/>
    <w:unhideWhenUsed/>
    <w:rsid w:val="00EC123B"/>
    <w:rPr>
      <w:color w:val="954F72"/>
      <w:u w:val="single"/>
    </w:rPr>
  </w:style>
  <w:style w:type="paragraph" w:customStyle="1" w:styleId="xl63">
    <w:name w:val="xl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EC123B"/>
    <w:pPr>
      <w:spacing w:before="100" w:beforeAutospacing="1" w:after="100" w:afterAutospacing="1"/>
      <w:jc w:val="left"/>
    </w:pPr>
    <w:rPr>
      <w:rFonts w:ascii="Roboto" w:hAnsi="Roboto"/>
      <w:sz w:val="16"/>
      <w:szCs w:val="16"/>
      <w:lang w:val="en-GB"/>
    </w:rPr>
  </w:style>
  <w:style w:type="paragraph" w:customStyle="1" w:styleId="xl65">
    <w:name w:val="xl65"/>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EC123B"/>
    <w:pPr>
      <w:spacing w:before="100" w:beforeAutospacing="1" w:after="100" w:afterAutospacing="1"/>
      <w:jc w:val="left"/>
    </w:pPr>
    <w:rPr>
      <w:rFonts w:ascii="Roboto" w:hAnsi="Roboto"/>
      <w:sz w:val="16"/>
      <w:szCs w:val="16"/>
      <w:lang w:val="en-GB"/>
    </w:rPr>
  </w:style>
  <w:style w:type="paragraph" w:customStyle="1" w:styleId="xl67">
    <w:name w:val="xl6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EC123B"/>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EC123B"/>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EC123B"/>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EC123B"/>
    <w:rPr>
      <w:rFonts w:ascii="Courier" w:hAnsi="Courier"/>
      <w:sz w:val="24"/>
    </w:rPr>
  </w:style>
  <w:style w:type="character" w:styleId="EndnoteReference">
    <w:name w:val="endnote reference"/>
    <w:uiPriority w:val="99"/>
    <w:rsid w:val="00EC123B"/>
    <w:rPr>
      <w:vertAlign w:val="superscript"/>
    </w:rPr>
  </w:style>
  <w:style w:type="character" w:customStyle="1" w:styleId="DefaultPara">
    <w:name w:val="Default Para"/>
    <w:rsid w:val="00EC123B"/>
  </w:style>
  <w:style w:type="character" w:customStyle="1" w:styleId="endnoterefe">
    <w:name w:val="endnote refe"/>
    <w:rsid w:val="00EC123B"/>
    <w:rPr>
      <w:rFonts w:ascii="Courier" w:hAnsi="Courier"/>
      <w:noProof w:val="0"/>
      <w:sz w:val="24"/>
      <w:vertAlign w:val="superscript"/>
      <w:lang w:val="en-US"/>
    </w:rPr>
  </w:style>
  <w:style w:type="paragraph" w:customStyle="1" w:styleId="footnotetex">
    <w:name w:val="footnote tex"/>
    <w:rsid w:val="00EC123B"/>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EC123B"/>
    <w:rPr>
      <w:rFonts w:ascii="Courier" w:hAnsi="Courier"/>
      <w:noProof w:val="0"/>
      <w:sz w:val="24"/>
      <w:vertAlign w:val="superscript"/>
      <w:lang w:val="en-US"/>
    </w:rPr>
  </w:style>
  <w:style w:type="character" w:customStyle="1" w:styleId="EquationCa">
    <w:name w:val="_Equation Ca"/>
    <w:rsid w:val="00EC123B"/>
  </w:style>
  <w:style w:type="paragraph" w:customStyle="1" w:styleId="MSNormal">
    <w:name w:val="MSNormal"/>
    <w:rsid w:val="00EC123B"/>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EC123B"/>
  </w:style>
  <w:style w:type="character" w:customStyle="1" w:styleId="Document8">
    <w:name w:val="Document 8"/>
    <w:rsid w:val="00EC123B"/>
  </w:style>
  <w:style w:type="character" w:customStyle="1" w:styleId="Document4">
    <w:name w:val="Document 4"/>
    <w:rsid w:val="00EC123B"/>
    <w:rPr>
      <w:b/>
      <w:i/>
      <w:sz w:val="24"/>
    </w:rPr>
  </w:style>
  <w:style w:type="character" w:customStyle="1" w:styleId="Document6">
    <w:name w:val="Document 6"/>
    <w:rsid w:val="00EC123B"/>
  </w:style>
  <w:style w:type="character" w:customStyle="1" w:styleId="Document5">
    <w:name w:val="Document 5"/>
    <w:rsid w:val="00EC123B"/>
  </w:style>
  <w:style w:type="character" w:customStyle="1" w:styleId="Document2">
    <w:name w:val="Document 2"/>
    <w:rsid w:val="00EC123B"/>
    <w:rPr>
      <w:rFonts w:ascii="Courier" w:hAnsi="Courier"/>
      <w:noProof w:val="0"/>
      <w:sz w:val="24"/>
      <w:lang w:val="en-US"/>
    </w:rPr>
  </w:style>
  <w:style w:type="character" w:customStyle="1" w:styleId="Document7">
    <w:name w:val="Document 7"/>
    <w:rsid w:val="00EC123B"/>
  </w:style>
  <w:style w:type="character" w:customStyle="1" w:styleId="Bibliogrphy">
    <w:name w:val="Bibliogrphy"/>
    <w:rsid w:val="00EC123B"/>
  </w:style>
  <w:style w:type="character" w:customStyle="1" w:styleId="RightPar1">
    <w:name w:val="Right Par 1"/>
    <w:rsid w:val="00EC123B"/>
  </w:style>
  <w:style w:type="character" w:customStyle="1" w:styleId="RightPar2">
    <w:name w:val="Right Par 2"/>
    <w:rsid w:val="00EC123B"/>
  </w:style>
  <w:style w:type="character" w:customStyle="1" w:styleId="Document3">
    <w:name w:val="Document 3"/>
    <w:rsid w:val="00EC123B"/>
    <w:rPr>
      <w:rFonts w:ascii="Courier" w:hAnsi="Courier"/>
      <w:noProof w:val="0"/>
      <w:sz w:val="24"/>
      <w:lang w:val="en-US"/>
    </w:rPr>
  </w:style>
  <w:style w:type="character" w:customStyle="1" w:styleId="RightPar3">
    <w:name w:val="Right Par 3"/>
    <w:rsid w:val="00EC123B"/>
  </w:style>
  <w:style w:type="character" w:customStyle="1" w:styleId="RightPar4">
    <w:name w:val="Right Par 4"/>
    <w:rsid w:val="00EC123B"/>
  </w:style>
  <w:style w:type="character" w:customStyle="1" w:styleId="RightPar5">
    <w:name w:val="Right Par 5"/>
    <w:rsid w:val="00EC123B"/>
  </w:style>
  <w:style w:type="character" w:customStyle="1" w:styleId="RightPar6">
    <w:name w:val="Right Par 6"/>
    <w:rsid w:val="00EC123B"/>
  </w:style>
  <w:style w:type="character" w:customStyle="1" w:styleId="RightPar7">
    <w:name w:val="Right Par 7"/>
    <w:rsid w:val="00EC123B"/>
  </w:style>
  <w:style w:type="character" w:customStyle="1" w:styleId="RightPar8">
    <w:name w:val="Right Par 8"/>
    <w:rsid w:val="00EC123B"/>
  </w:style>
  <w:style w:type="paragraph" w:customStyle="1" w:styleId="Document1">
    <w:name w:val="Document 1"/>
    <w:rsid w:val="00EC123B"/>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EC123B"/>
  </w:style>
  <w:style w:type="character" w:customStyle="1" w:styleId="TechInit">
    <w:name w:val="Tech Init"/>
    <w:rsid w:val="00EC123B"/>
    <w:rPr>
      <w:rFonts w:ascii="Courier" w:hAnsi="Courier"/>
      <w:noProof w:val="0"/>
      <w:sz w:val="24"/>
      <w:lang w:val="en-US"/>
    </w:rPr>
  </w:style>
  <w:style w:type="character" w:customStyle="1" w:styleId="Technical5">
    <w:name w:val="Technical 5"/>
    <w:rsid w:val="00EC123B"/>
  </w:style>
  <w:style w:type="character" w:customStyle="1" w:styleId="Technical6">
    <w:name w:val="Technical 6"/>
    <w:rsid w:val="00EC123B"/>
  </w:style>
  <w:style w:type="character" w:customStyle="1" w:styleId="Technical2">
    <w:name w:val="Technical 2"/>
    <w:rsid w:val="00EC123B"/>
    <w:rPr>
      <w:rFonts w:ascii="Courier" w:hAnsi="Courier"/>
      <w:noProof w:val="0"/>
      <w:sz w:val="24"/>
      <w:lang w:val="en-US"/>
    </w:rPr>
  </w:style>
  <w:style w:type="character" w:customStyle="1" w:styleId="Technical3">
    <w:name w:val="Technical 3"/>
    <w:rsid w:val="00EC123B"/>
    <w:rPr>
      <w:rFonts w:ascii="Courier" w:hAnsi="Courier"/>
      <w:noProof w:val="0"/>
      <w:sz w:val="24"/>
      <w:lang w:val="en-US"/>
    </w:rPr>
  </w:style>
  <w:style w:type="character" w:customStyle="1" w:styleId="Technical4">
    <w:name w:val="Technical 4"/>
    <w:rsid w:val="00EC123B"/>
  </w:style>
  <w:style w:type="character" w:customStyle="1" w:styleId="Technical1">
    <w:name w:val="Technical 1"/>
    <w:rsid w:val="00EC123B"/>
    <w:rPr>
      <w:rFonts w:ascii="Courier" w:hAnsi="Courier"/>
      <w:noProof w:val="0"/>
      <w:sz w:val="24"/>
      <w:lang w:val="en-US"/>
    </w:rPr>
  </w:style>
  <w:style w:type="character" w:customStyle="1" w:styleId="Technical7">
    <w:name w:val="Technical 7"/>
    <w:rsid w:val="00EC123B"/>
  </w:style>
  <w:style w:type="character" w:customStyle="1" w:styleId="Technical8">
    <w:name w:val="Technical 8"/>
    <w:rsid w:val="00EC123B"/>
  </w:style>
  <w:style w:type="paragraph" w:styleId="Index1">
    <w:name w:val="index 1"/>
    <w:basedOn w:val="Normal"/>
    <w:next w:val="Normal"/>
    <w:rsid w:val="00EC123B"/>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EC123B"/>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EC123B"/>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EC123B"/>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EC123B"/>
  </w:style>
  <w:style w:type="paragraph" w:styleId="Revision">
    <w:name w:val="Revision"/>
    <w:hidden/>
    <w:uiPriority w:val="99"/>
    <w:semiHidden/>
    <w:rsid w:val="00EC123B"/>
    <w:rPr>
      <w:rFonts w:ascii="Courier" w:hAnsi="Courier"/>
      <w:sz w:val="24"/>
      <w:lang w:val="en-GB"/>
    </w:rPr>
  </w:style>
  <w:style w:type="paragraph" w:customStyle="1" w:styleId="font0">
    <w:name w:val="font0"/>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EC123B"/>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EC123B"/>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EC123B"/>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EC123B"/>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EC123B"/>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EC123B"/>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EC123B"/>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EC12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C123B"/>
    <w:pPr>
      <w:keepNext/>
      <w:keepLines/>
      <w:suppressAutoHyphens/>
      <w:ind w:right="5103"/>
    </w:pPr>
    <w:rPr>
      <w:b/>
      <w:lang w:val="en-GB"/>
    </w:rPr>
  </w:style>
  <w:style w:type="paragraph" w:customStyle="1" w:styleId="AATitle2">
    <w:name w:val="AA_Title2"/>
    <w:basedOn w:val="AATitle"/>
    <w:rsid w:val="00EC123B"/>
    <w:pPr>
      <w:tabs>
        <w:tab w:val="clear" w:pos="4082"/>
      </w:tabs>
      <w:spacing w:before="120" w:after="120"/>
      <w:ind w:right="4536"/>
    </w:pPr>
  </w:style>
  <w:style w:type="paragraph" w:customStyle="1" w:styleId="BBTitle">
    <w:name w:val="BB_Title"/>
    <w:basedOn w:val="Normalpool"/>
    <w:link w:val="BBTitleChar"/>
    <w:qFormat/>
    <w:rsid w:val="00EC123B"/>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EC123B"/>
    <w:rPr>
      <w:lang w:val="en-GB"/>
    </w:rPr>
  </w:style>
  <w:style w:type="character" w:customStyle="1" w:styleId="HeaderChar1">
    <w:name w:val="Header Char1"/>
    <w:basedOn w:val="DefaultParagraphFont"/>
    <w:uiPriority w:val="99"/>
    <w:semiHidden/>
    <w:rsid w:val="00EC123B"/>
    <w:rPr>
      <w:lang w:val="en-GB"/>
    </w:rPr>
  </w:style>
  <w:style w:type="character" w:styleId="Hyperlink">
    <w:name w:val="Hyperlink"/>
    <w:basedOn w:val="DefaultParagraphFont"/>
    <w:uiPriority w:val="99"/>
    <w:rsid w:val="00EC123B"/>
    <w:rPr>
      <w:rFonts w:ascii="Times New Roman" w:hAnsi="Times New Roman"/>
      <w:color w:val="auto"/>
      <w:sz w:val="20"/>
      <w:szCs w:val="20"/>
      <w:u w:val="none"/>
      <w:lang w:val="fr-FR"/>
    </w:rPr>
  </w:style>
  <w:style w:type="numbering" w:customStyle="1" w:styleId="Normallist">
    <w:name w:val="Normal_list"/>
    <w:basedOn w:val="NoList"/>
    <w:rsid w:val="00EC123B"/>
    <w:pPr>
      <w:numPr>
        <w:numId w:val="7"/>
      </w:numPr>
    </w:pPr>
  </w:style>
  <w:style w:type="paragraph" w:customStyle="1" w:styleId="NormalNonumber">
    <w:name w:val="Normal_No_number"/>
    <w:basedOn w:val="Normalpool"/>
    <w:rsid w:val="00EC123B"/>
    <w:pPr>
      <w:spacing w:after="120"/>
      <w:ind w:left="1247"/>
    </w:pPr>
    <w:rPr>
      <w:lang w:val="en-GB"/>
    </w:rPr>
  </w:style>
  <w:style w:type="paragraph" w:customStyle="1" w:styleId="Normalnumber">
    <w:name w:val="Normal_number"/>
    <w:basedOn w:val="Normalpool"/>
    <w:link w:val="NormalnumberChar"/>
    <w:qFormat/>
    <w:rsid w:val="00EC123B"/>
    <w:pPr>
      <w:spacing w:after="120"/>
    </w:pPr>
    <w:rPr>
      <w:lang w:val="en-GB"/>
    </w:rPr>
  </w:style>
  <w:style w:type="paragraph" w:customStyle="1" w:styleId="Titletable">
    <w:name w:val="Title_table"/>
    <w:basedOn w:val="Normalpool"/>
    <w:rsid w:val="00EC123B"/>
    <w:pPr>
      <w:keepNext/>
      <w:keepLines/>
      <w:suppressAutoHyphens/>
      <w:spacing w:after="60"/>
      <w:ind w:left="1247"/>
    </w:pPr>
    <w:rPr>
      <w:b/>
      <w:bCs/>
      <w:lang w:val="en-GB"/>
    </w:rPr>
  </w:style>
  <w:style w:type="paragraph" w:styleId="TOC1">
    <w:name w:val="toc 1"/>
    <w:basedOn w:val="Normalpool"/>
    <w:next w:val="Normalpool"/>
    <w:rsid w:val="00EC123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EC123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EC123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EC123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EC123B"/>
    <w:pPr>
      <w:tabs>
        <w:tab w:val="left" w:pos="1247"/>
      </w:tabs>
      <w:ind w:left="800"/>
      <w:jc w:val="left"/>
    </w:pPr>
    <w:rPr>
      <w:sz w:val="18"/>
      <w:szCs w:val="18"/>
      <w:lang w:val="en-GB"/>
    </w:rPr>
  </w:style>
  <w:style w:type="paragraph" w:customStyle="1" w:styleId="ZZAnxheader">
    <w:name w:val="ZZ_Anx_header"/>
    <w:basedOn w:val="Normalpool"/>
    <w:rsid w:val="00EC123B"/>
    <w:rPr>
      <w:b/>
      <w:bCs/>
      <w:sz w:val="28"/>
      <w:szCs w:val="22"/>
      <w:lang w:val="en-GB"/>
    </w:rPr>
  </w:style>
  <w:style w:type="paragraph" w:customStyle="1" w:styleId="ZZAnxtitle">
    <w:name w:val="ZZ_Anx_title"/>
    <w:basedOn w:val="Normalpool"/>
    <w:rsid w:val="00EC123B"/>
    <w:pPr>
      <w:spacing w:before="360" w:after="120"/>
      <w:ind w:left="1247"/>
    </w:pPr>
    <w:rPr>
      <w:b/>
      <w:bCs/>
      <w:sz w:val="28"/>
      <w:szCs w:val="26"/>
      <w:lang w:val="en-GB"/>
    </w:rPr>
  </w:style>
  <w:style w:type="paragraph" w:customStyle="1" w:styleId="xl79">
    <w:name w:val="xl79"/>
    <w:basedOn w:val="Normal"/>
    <w:rsid w:val="00EC123B"/>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EC123B"/>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EC123B"/>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EC123B"/>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EC123B"/>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EC123B"/>
    <w:pPr>
      <w:spacing w:before="100" w:beforeAutospacing="1" w:after="100" w:afterAutospacing="1"/>
      <w:jc w:val="left"/>
    </w:pPr>
    <w:rPr>
      <w:b/>
      <w:bCs/>
      <w:sz w:val="24"/>
      <w:szCs w:val="24"/>
      <w:lang w:val="en-US" w:eastAsia="zh-CN"/>
    </w:rPr>
  </w:style>
  <w:style w:type="paragraph" w:customStyle="1" w:styleId="xl86">
    <w:name w:val="xl86"/>
    <w:basedOn w:val="Normal"/>
    <w:rsid w:val="00EC123B"/>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EC123B"/>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EC123B"/>
    <w:pPr>
      <w:spacing w:before="100" w:beforeAutospacing="1" w:after="100" w:afterAutospacing="1"/>
      <w:jc w:val="center"/>
    </w:pPr>
    <w:rPr>
      <w:sz w:val="24"/>
      <w:szCs w:val="24"/>
      <w:lang w:val="en-US" w:eastAsia="zh-CN"/>
    </w:rPr>
  </w:style>
  <w:style w:type="paragraph" w:customStyle="1" w:styleId="xl89">
    <w:name w:val="xl89"/>
    <w:basedOn w:val="Normal"/>
    <w:rsid w:val="00EC123B"/>
    <w:pPr>
      <w:spacing w:before="100" w:beforeAutospacing="1" w:after="100" w:afterAutospacing="1"/>
      <w:jc w:val="center"/>
    </w:pPr>
    <w:rPr>
      <w:sz w:val="24"/>
      <w:szCs w:val="24"/>
      <w:u w:val="single"/>
      <w:lang w:val="en-US" w:eastAsia="zh-CN"/>
    </w:rPr>
  </w:style>
  <w:style w:type="paragraph" w:customStyle="1" w:styleId="xl90">
    <w:name w:val="xl90"/>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EC123B"/>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EC123B"/>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EC123B"/>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EC123B"/>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EC123B"/>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EC123B"/>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EC123B"/>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EC123B"/>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EC123B"/>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EC123B"/>
    <w:pPr>
      <w:spacing w:before="100" w:beforeAutospacing="1" w:after="100" w:afterAutospacing="1"/>
      <w:jc w:val="center"/>
    </w:pPr>
    <w:rPr>
      <w:b/>
      <w:bCs/>
      <w:sz w:val="24"/>
      <w:szCs w:val="24"/>
      <w:lang w:val="en-US" w:eastAsia="zh-CN"/>
    </w:rPr>
  </w:style>
  <w:style w:type="paragraph" w:customStyle="1" w:styleId="xl104">
    <w:name w:val="xl104"/>
    <w:basedOn w:val="Normal"/>
    <w:rsid w:val="00EC123B"/>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EC123B"/>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EC123B"/>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EC123B"/>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EC123B"/>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EC123B"/>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EC123B"/>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EC123B"/>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EC123B"/>
    <w:pPr>
      <w:spacing w:before="100" w:beforeAutospacing="1" w:after="100" w:afterAutospacing="1"/>
      <w:jc w:val="left"/>
    </w:pPr>
    <w:rPr>
      <w:color w:val="FF0000"/>
      <w:sz w:val="24"/>
      <w:szCs w:val="24"/>
      <w:lang w:val="en-US" w:eastAsia="zh-CN"/>
    </w:rPr>
  </w:style>
  <w:style w:type="paragraph" w:customStyle="1" w:styleId="xl118">
    <w:name w:val="xl118"/>
    <w:basedOn w:val="Normal"/>
    <w:rsid w:val="00EC123B"/>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EC123B"/>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EC123B"/>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EC123B"/>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EC123B"/>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EC123B"/>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EC123B"/>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EC123B"/>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EC123B"/>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EC123B"/>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EC123B"/>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EC123B"/>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EC123B"/>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EC123B"/>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EC123B"/>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EC123B"/>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EC123B"/>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EC123B"/>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EC123B"/>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EC123B"/>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EC123B"/>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EC123B"/>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EC123B"/>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EC123B"/>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EC123B"/>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EC123B"/>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EC123B"/>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EC123B"/>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EC123B"/>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EC123B"/>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EC123B"/>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EC123B"/>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EC123B"/>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EC123B"/>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EC123B"/>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EC123B"/>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EC123B"/>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EC123B"/>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EC123B"/>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EC123B"/>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EC123B"/>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EC123B"/>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EC123B"/>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EC123B"/>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EC123B"/>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EC123B"/>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EC123B"/>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EC123B"/>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EC123B"/>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EC123B"/>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EC123B"/>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EC123B"/>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EC123B"/>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EC123B"/>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EC123B"/>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EC123B"/>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EC123B"/>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EC123B"/>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EC123B"/>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EC123B"/>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EC123B"/>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EC123B"/>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EC123B"/>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EC123B"/>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EC123B"/>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EC123B"/>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EC123B"/>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EC123B"/>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EC123B"/>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EC123B"/>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EC123B"/>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EC123B"/>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EC123B"/>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EC123B"/>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EC123B"/>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EC123B"/>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EC123B"/>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EC123B"/>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EC123B"/>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EC123B"/>
    <w:pPr>
      <w:spacing w:before="100" w:beforeAutospacing="1" w:after="100" w:afterAutospacing="1"/>
      <w:jc w:val="left"/>
    </w:pPr>
    <w:rPr>
      <w:sz w:val="24"/>
      <w:szCs w:val="24"/>
      <w:lang w:val="en-US" w:eastAsia="zh-CN"/>
    </w:rPr>
  </w:style>
  <w:style w:type="paragraph" w:customStyle="1" w:styleId="xl229">
    <w:name w:val="xl229"/>
    <w:basedOn w:val="Normal"/>
    <w:rsid w:val="00EC123B"/>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EC123B"/>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EC123B"/>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EC123B"/>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EC123B"/>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EC123B"/>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EC123B"/>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EC123B"/>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EC123B"/>
    <w:pPr>
      <w:spacing w:before="100" w:beforeAutospacing="1" w:after="100" w:afterAutospacing="1"/>
      <w:jc w:val="left"/>
    </w:pPr>
    <w:rPr>
      <w:color w:val="FF0000"/>
      <w:sz w:val="24"/>
      <w:szCs w:val="24"/>
      <w:lang w:val="en-US" w:eastAsia="zh-CN"/>
    </w:rPr>
  </w:style>
  <w:style w:type="paragraph" w:customStyle="1" w:styleId="xl242">
    <w:name w:val="xl242"/>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EC123B"/>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character" w:customStyle="1" w:styleId="BodyText3Char">
    <w:name w:val="Body Text 3 Char"/>
    <w:basedOn w:val="DefaultParagraphFont"/>
    <w:link w:val="BodyText3"/>
    <w:semiHidden/>
    <w:rsid w:val="00EC123B"/>
    <w:rPr>
      <w:sz w:val="16"/>
      <w:szCs w:val="16"/>
      <w:lang w:val="en-CA"/>
    </w:rPr>
  </w:style>
  <w:style w:type="character" w:customStyle="1" w:styleId="BodyTextIndent3Char">
    <w:name w:val="Body Text Indent 3 Char"/>
    <w:basedOn w:val="DefaultParagraphFont"/>
    <w:link w:val="BodyTextIndent3"/>
    <w:semiHidden/>
    <w:rsid w:val="00EC123B"/>
    <w:rPr>
      <w:sz w:val="16"/>
      <w:szCs w:val="16"/>
      <w:lang w:val="en-CA"/>
    </w:rPr>
  </w:style>
  <w:style w:type="character" w:customStyle="1" w:styleId="PlainTextChar">
    <w:name w:val="Plain Text Char"/>
    <w:basedOn w:val="DefaultParagraphFont"/>
    <w:link w:val="PlainText"/>
    <w:semiHidden/>
    <w:rsid w:val="00EC123B"/>
    <w:rPr>
      <w:rFonts w:ascii="Courier New" w:hAnsi="Courier New" w:cs="Courier New"/>
      <w:szCs w:val="22"/>
      <w:lang w:val="en-CA"/>
    </w:rPr>
  </w:style>
  <w:style w:type="character" w:customStyle="1" w:styleId="SubtitleChar">
    <w:name w:val="Subtitle Char"/>
    <w:basedOn w:val="DefaultParagraphFont"/>
    <w:link w:val="Subtitle"/>
    <w:rsid w:val="00EC123B"/>
    <w:rPr>
      <w:rFonts w:ascii="Arial" w:hAnsi="Arial" w:cs="Arial"/>
      <w:sz w:val="22"/>
      <w:szCs w:val="22"/>
      <w:lang w:val="en-CA"/>
    </w:rPr>
  </w:style>
  <w:style w:type="character" w:customStyle="1" w:styleId="TitleChar">
    <w:name w:val="Title Char"/>
    <w:basedOn w:val="DefaultParagraphFont"/>
    <w:link w:val="Title"/>
    <w:rsid w:val="00EC123B"/>
    <w:rPr>
      <w:rFonts w:ascii="Arial" w:hAnsi="Arial" w:cs="Arial"/>
      <w:b/>
      <w:bCs/>
      <w:kern w:val="28"/>
      <w:sz w:val="22"/>
      <w:szCs w:val="22"/>
      <w:lang w:val="en-CA"/>
    </w:rPr>
  </w:style>
  <w:style w:type="character" w:customStyle="1" w:styleId="DateChar">
    <w:name w:val="Date Char"/>
    <w:basedOn w:val="DefaultParagraphFont"/>
    <w:link w:val="Date"/>
    <w:rsid w:val="00EC123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EC123B"/>
    <w:rPr>
      <w:sz w:val="22"/>
      <w:szCs w:val="22"/>
      <w:lang w:val="en-CA"/>
    </w:rPr>
  </w:style>
  <w:style w:type="paragraph" w:customStyle="1" w:styleId="Default">
    <w:name w:val="Default"/>
    <w:rsid w:val="00EC123B"/>
    <w:pPr>
      <w:widowControl w:val="0"/>
      <w:autoSpaceDE w:val="0"/>
      <w:autoSpaceDN w:val="0"/>
      <w:adjustRightInd w:val="0"/>
    </w:pPr>
    <w:rPr>
      <w:color w:val="000000"/>
      <w:sz w:val="24"/>
      <w:szCs w:val="24"/>
    </w:rPr>
  </w:style>
  <w:style w:type="paragraph" w:customStyle="1" w:styleId="CM30">
    <w:name w:val="CM30"/>
    <w:basedOn w:val="Default"/>
    <w:next w:val="Default"/>
    <w:rsid w:val="00EC123B"/>
    <w:pPr>
      <w:spacing w:after="320"/>
    </w:pPr>
    <w:rPr>
      <w:color w:val="auto"/>
    </w:rPr>
  </w:style>
  <w:style w:type="paragraph" w:customStyle="1" w:styleId="CM33">
    <w:name w:val="CM33"/>
    <w:basedOn w:val="Default"/>
    <w:next w:val="Default"/>
    <w:rsid w:val="00EC123B"/>
    <w:pPr>
      <w:spacing w:after="435"/>
    </w:pPr>
    <w:rPr>
      <w:color w:val="auto"/>
    </w:rPr>
  </w:style>
  <w:style w:type="paragraph" w:customStyle="1" w:styleId="Anxhead">
    <w:name w:val="Anx head"/>
    <w:basedOn w:val="Normal"/>
    <w:link w:val="AnxheadChar"/>
    <w:rsid w:val="00EC123B"/>
    <w:pPr>
      <w:jc w:val="left"/>
    </w:pPr>
    <w:rPr>
      <w:b/>
      <w:bCs/>
      <w:sz w:val="28"/>
      <w:lang w:val="en-GB"/>
    </w:rPr>
  </w:style>
  <w:style w:type="character" w:customStyle="1" w:styleId="AnxheadChar">
    <w:name w:val="Anx head Char"/>
    <w:link w:val="Anxhead"/>
    <w:rsid w:val="00EC123B"/>
    <w:rPr>
      <w:b/>
      <w:bCs/>
      <w:sz w:val="28"/>
      <w:szCs w:val="22"/>
      <w:lang w:val="en-GB"/>
    </w:rPr>
  </w:style>
  <w:style w:type="paragraph" w:styleId="ListBullet5">
    <w:name w:val="List Bullet 5"/>
    <w:basedOn w:val="Normal"/>
    <w:autoRedefine/>
    <w:semiHidden/>
    <w:rsid w:val="00EC123B"/>
    <w:pPr>
      <w:tabs>
        <w:tab w:val="num" w:pos="1800"/>
      </w:tabs>
      <w:ind w:left="1800" w:hanging="360"/>
    </w:pPr>
    <w:rPr>
      <w:lang w:val="en-GB"/>
    </w:rPr>
  </w:style>
  <w:style w:type="paragraph" w:customStyle="1" w:styleId="CM28">
    <w:name w:val="CM28"/>
    <w:basedOn w:val="Default"/>
    <w:next w:val="Default"/>
    <w:rsid w:val="00EC123B"/>
    <w:pPr>
      <w:spacing w:after="223"/>
    </w:pPr>
    <w:rPr>
      <w:color w:val="auto"/>
    </w:rPr>
  </w:style>
  <w:style w:type="paragraph" w:customStyle="1" w:styleId="Subtitle0">
    <w:name w:val="Sub title"/>
    <w:basedOn w:val="Heading2"/>
    <w:rsid w:val="00EC123B"/>
    <w:pPr>
      <w:keepNext/>
      <w:widowControl/>
      <w:numPr>
        <w:ilvl w:val="0"/>
        <w:numId w:val="0"/>
      </w:numPr>
      <w:tabs>
        <w:tab w:val="num" w:pos="0"/>
      </w:tabs>
      <w:spacing w:before="240" w:after="60"/>
    </w:pPr>
    <w:rPr>
      <w:rFonts w:ascii="Arial" w:hAnsi="Arial" w:cs="Arial"/>
      <w:b/>
      <w:bCs/>
      <w:i/>
      <w:iCs/>
      <w:sz w:val="28"/>
      <w:szCs w:val="28"/>
      <w:lang w:val="en-GB"/>
    </w:rPr>
  </w:style>
  <w:style w:type="numbering" w:customStyle="1" w:styleId="CurrentList1">
    <w:name w:val="Current List1"/>
    <w:rsid w:val="00EC123B"/>
    <w:pPr>
      <w:numPr>
        <w:numId w:val="8"/>
      </w:numPr>
    </w:pPr>
  </w:style>
  <w:style w:type="paragraph" w:customStyle="1" w:styleId="Title2">
    <w:name w:val="Title2"/>
    <w:rsid w:val="00EC123B"/>
    <w:pPr>
      <w:jc w:val="center"/>
      <w:outlineLvl w:val="0"/>
    </w:pPr>
    <w:rPr>
      <w:b/>
      <w:caps/>
      <w:sz w:val="22"/>
      <w:szCs w:val="22"/>
      <w:lang w:val="en-GB"/>
    </w:rPr>
  </w:style>
  <w:style w:type="paragraph" w:styleId="BodyText">
    <w:name w:val="Body Text"/>
    <w:basedOn w:val="Normal"/>
    <w:link w:val="BodyTextChar"/>
    <w:semiHidden/>
    <w:rsid w:val="00EC123B"/>
    <w:pPr>
      <w:spacing w:after="120"/>
    </w:pPr>
    <w:rPr>
      <w:lang w:val="en-GB"/>
    </w:rPr>
  </w:style>
  <w:style w:type="character" w:customStyle="1" w:styleId="BodyTextChar">
    <w:name w:val="Body Text Char"/>
    <w:basedOn w:val="DefaultParagraphFont"/>
    <w:link w:val="BodyText"/>
    <w:semiHidden/>
    <w:rsid w:val="00EC123B"/>
    <w:rPr>
      <w:sz w:val="22"/>
      <w:szCs w:val="22"/>
      <w:lang w:val="en-GB"/>
    </w:rPr>
  </w:style>
  <w:style w:type="paragraph" w:styleId="BodyText2">
    <w:name w:val="Body Text 2"/>
    <w:basedOn w:val="Normal"/>
    <w:link w:val="BodyText2Char"/>
    <w:semiHidden/>
    <w:rsid w:val="00EC123B"/>
    <w:pPr>
      <w:spacing w:after="120" w:line="480" w:lineRule="auto"/>
    </w:pPr>
    <w:rPr>
      <w:lang w:val="en-GB"/>
    </w:rPr>
  </w:style>
  <w:style w:type="character" w:customStyle="1" w:styleId="BodyText2Char">
    <w:name w:val="Body Text 2 Char"/>
    <w:basedOn w:val="DefaultParagraphFont"/>
    <w:link w:val="BodyText2"/>
    <w:semiHidden/>
    <w:rsid w:val="00EC123B"/>
    <w:rPr>
      <w:sz w:val="22"/>
      <w:szCs w:val="22"/>
      <w:lang w:val="en-GB"/>
    </w:rPr>
  </w:style>
  <w:style w:type="paragraph" w:styleId="BodyTextFirstIndent">
    <w:name w:val="Body Text First Indent"/>
    <w:basedOn w:val="BodyText"/>
    <w:link w:val="BodyTextFirstIndentChar"/>
    <w:rsid w:val="00EC123B"/>
    <w:pPr>
      <w:ind w:firstLine="210"/>
    </w:pPr>
  </w:style>
  <w:style w:type="character" w:customStyle="1" w:styleId="BodyTextFirstIndentChar">
    <w:name w:val="Body Text First Indent Char"/>
    <w:basedOn w:val="BodyTextChar"/>
    <w:link w:val="BodyTextFirstIndent"/>
    <w:rsid w:val="00EC123B"/>
    <w:rPr>
      <w:sz w:val="22"/>
      <w:szCs w:val="22"/>
      <w:lang w:val="en-GB"/>
    </w:rPr>
  </w:style>
  <w:style w:type="paragraph" w:styleId="BodyTextIndent">
    <w:name w:val="Body Text Indent"/>
    <w:basedOn w:val="Normal"/>
    <w:link w:val="BodyTextIndentChar"/>
    <w:semiHidden/>
    <w:rsid w:val="00EC123B"/>
    <w:pPr>
      <w:spacing w:after="120"/>
      <w:ind w:left="360"/>
    </w:pPr>
    <w:rPr>
      <w:lang w:val="en-GB"/>
    </w:rPr>
  </w:style>
  <w:style w:type="character" w:customStyle="1" w:styleId="BodyTextIndentChar">
    <w:name w:val="Body Text Indent Char"/>
    <w:basedOn w:val="DefaultParagraphFont"/>
    <w:link w:val="BodyTextIndent"/>
    <w:semiHidden/>
    <w:rsid w:val="00EC123B"/>
    <w:rPr>
      <w:sz w:val="22"/>
      <w:szCs w:val="22"/>
      <w:lang w:val="en-GB"/>
    </w:rPr>
  </w:style>
  <w:style w:type="paragraph" w:styleId="BodyTextFirstIndent2">
    <w:name w:val="Body Text First Indent 2"/>
    <w:basedOn w:val="BodyTextIndent"/>
    <w:link w:val="BodyTextFirstIndent2Char"/>
    <w:semiHidden/>
    <w:rsid w:val="00EC123B"/>
    <w:pPr>
      <w:ind w:firstLine="210"/>
    </w:pPr>
  </w:style>
  <w:style w:type="character" w:customStyle="1" w:styleId="BodyTextFirstIndent2Char">
    <w:name w:val="Body Text First Indent 2 Char"/>
    <w:basedOn w:val="BodyTextIndentChar"/>
    <w:link w:val="BodyTextFirstIndent2"/>
    <w:semiHidden/>
    <w:rsid w:val="00EC123B"/>
    <w:rPr>
      <w:sz w:val="22"/>
      <w:szCs w:val="22"/>
      <w:lang w:val="en-GB"/>
    </w:rPr>
  </w:style>
  <w:style w:type="paragraph" w:styleId="BodyTextIndent2">
    <w:name w:val="Body Text Indent 2"/>
    <w:basedOn w:val="Normal"/>
    <w:link w:val="BodyTextIndent2Char"/>
    <w:semiHidden/>
    <w:rsid w:val="00EC123B"/>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EC123B"/>
    <w:rPr>
      <w:sz w:val="22"/>
      <w:szCs w:val="22"/>
      <w:lang w:val="en-GB"/>
    </w:rPr>
  </w:style>
  <w:style w:type="paragraph" w:styleId="Closing">
    <w:name w:val="Closing"/>
    <w:basedOn w:val="Normal"/>
    <w:link w:val="ClosingChar"/>
    <w:semiHidden/>
    <w:rsid w:val="00EC123B"/>
    <w:pPr>
      <w:ind w:left="4320"/>
    </w:pPr>
    <w:rPr>
      <w:lang w:val="en-GB"/>
    </w:rPr>
  </w:style>
  <w:style w:type="character" w:customStyle="1" w:styleId="ClosingChar">
    <w:name w:val="Closing Char"/>
    <w:basedOn w:val="DefaultParagraphFont"/>
    <w:link w:val="Closing"/>
    <w:semiHidden/>
    <w:rsid w:val="00EC123B"/>
    <w:rPr>
      <w:sz w:val="22"/>
      <w:szCs w:val="22"/>
      <w:lang w:val="en-GB"/>
    </w:rPr>
  </w:style>
  <w:style w:type="paragraph" w:styleId="E-mailSignature">
    <w:name w:val="E-mail Signature"/>
    <w:basedOn w:val="Normal"/>
    <w:link w:val="E-mailSignatureChar"/>
    <w:semiHidden/>
    <w:rsid w:val="00EC123B"/>
    <w:rPr>
      <w:lang w:val="en-GB"/>
    </w:rPr>
  </w:style>
  <w:style w:type="character" w:customStyle="1" w:styleId="E-mailSignatureChar">
    <w:name w:val="E-mail Signature Char"/>
    <w:basedOn w:val="DefaultParagraphFont"/>
    <w:link w:val="E-mailSignature"/>
    <w:semiHidden/>
    <w:rsid w:val="00EC123B"/>
    <w:rPr>
      <w:sz w:val="22"/>
      <w:szCs w:val="22"/>
      <w:lang w:val="en-GB"/>
    </w:rPr>
  </w:style>
  <w:style w:type="paragraph" w:styleId="EnvelopeAddress">
    <w:name w:val="envelope address"/>
    <w:basedOn w:val="Normal"/>
    <w:semiHidden/>
    <w:rsid w:val="00EC123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EC123B"/>
    <w:rPr>
      <w:rFonts w:ascii="Arial" w:hAnsi="Arial" w:cs="Arial"/>
      <w:sz w:val="20"/>
      <w:lang w:val="en-GB"/>
    </w:rPr>
  </w:style>
  <w:style w:type="character" w:styleId="HTMLAcronym">
    <w:name w:val="HTML Acronym"/>
    <w:basedOn w:val="DefaultParagraphFont"/>
    <w:semiHidden/>
    <w:rsid w:val="00EC123B"/>
  </w:style>
  <w:style w:type="paragraph" w:styleId="HTMLAddress">
    <w:name w:val="HTML Address"/>
    <w:basedOn w:val="Normal"/>
    <w:link w:val="HTMLAddressChar"/>
    <w:semiHidden/>
    <w:rsid w:val="00EC123B"/>
    <w:rPr>
      <w:i/>
      <w:iCs/>
      <w:lang w:val="en-GB"/>
    </w:rPr>
  </w:style>
  <w:style w:type="character" w:customStyle="1" w:styleId="HTMLAddressChar">
    <w:name w:val="HTML Address Char"/>
    <w:basedOn w:val="DefaultParagraphFont"/>
    <w:link w:val="HTMLAddress"/>
    <w:semiHidden/>
    <w:rsid w:val="00EC123B"/>
    <w:rPr>
      <w:i/>
      <w:iCs/>
      <w:sz w:val="22"/>
      <w:szCs w:val="22"/>
      <w:lang w:val="en-GB"/>
    </w:rPr>
  </w:style>
  <w:style w:type="character" w:styleId="HTMLCite">
    <w:name w:val="HTML Cite"/>
    <w:semiHidden/>
    <w:rsid w:val="00EC123B"/>
    <w:rPr>
      <w:i/>
      <w:iCs/>
    </w:rPr>
  </w:style>
  <w:style w:type="character" w:styleId="HTMLCode">
    <w:name w:val="HTML Code"/>
    <w:semiHidden/>
    <w:rsid w:val="00EC123B"/>
    <w:rPr>
      <w:rFonts w:ascii="Courier New" w:hAnsi="Courier New" w:cs="Courier New"/>
      <w:sz w:val="20"/>
      <w:szCs w:val="20"/>
    </w:rPr>
  </w:style>
  <w:style w:type="character" w:styleId="HTMLDefinition">
    <w:name w:val="HTML Definition"/>
    <w:semiHidden/>
    <w:rsid w:val="00EC123B"/>
    <w:rPr>
      <w:i/>
      <w:iCs/>
    </w:rPr>
  </w:style>
  <w:style w:type="character" w:styleId="HTMLKeyboard">
    <w:name w:val="HTML Keyboard"/>
    <w:semiHidden/>
    <w:rsid w:val="00EC123B"/>
    <w:rPr>
      <w:rFonts w:ascii="Courier New" w:hAnsi="Courier New" w:cs="Courier New"/>
      <w:sz w:val="20"/>
      <w:szCs w:val="20"/>
    </w:rPr>
  </w:style>
  <w:style w:type="paragraph" w:styleId="HTMLPreformatted">
    <w:name w:val="HTML Preformatted"/>
    <w:basedOn w:val="Normal"/>
    <w:link w:val="HTMLPreformattedChar"/>
    <w:semiHidden/>
    <w:rsid w:val="00EC123B"/>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EC123B"/>
    <w:rPr>
      <w:rFonts w:ascii="Courier New" w:hAnsi="Courier New" w:cs="Courier New"/>
      <w:szCs w:val="22"/>
      <w:lang w:val="en-GB"/>
    </w:rPr>
  </w:style>
  <w:style w:type="character" w:styleId="HTMLSample">
    <w:name w:val="HTML Sample"/>
    <w:semiHidden/>
    <w:rsid w:val="00EC123B"/>
    <w:rPr>
      <w:rFonts w:ascii="Courier New" w:hAnsi="Courier New" w:cs="Courier New"/>
    </w:rPr>
  </w:style>
  <w:style w:type="character" w:styleId="HTMLTypewriter">
    <w:name w:val="HTML Typewriter"/>
    <w:semiHidden/>
    <w:rsid w:val="00EC123B"/>
    <w:rPr>
      <w:rFonts w:ascii="Courier New" w:hAnsi="Courier New" w:cs="Courier New"/>
      <w:sz w:val="20"/>
      <w:szCs w:val="20"/>
    </w:rPr>
  </w:style>
  <w:style w:type="character" w:styleId="HTMLVariable">
    <w:name w:val="HTML Variable"/>
    <w:semiHidden/>
    <w:rsid w:val="00EC123B"/>
    <w:rPr>
      <w:i/>
      <w:iCs/>
    </w:rPr>
  </w:style>
  <w:style w:type="character" w:styleId="LineNumber">
    <w:name w:val="line number"/>
    <w:basedOn w:val="DefaultParagraphFont"/>
    <w:semiHidden/>
    <w:rsid w:val="00EC123B"/>
  </w:style>
  <w:style w:type="paragraph" w:styleId="List">
    <w:name w:val="List"/>
    <w:basedOn w:val="Normal"/>
    <w:semiHidden/>
    <w:rsid w:val="00EC123B"/>
    <w:pPr>
      <w:ind w:left="360" w:hanging="360"/>
    </w:pPr>
    <w:rPr>
      <w:lang w:val="en-GB"/>
    </w:rPr>
  </w:style>
  <w:style w:type="paragraph" w:styleId="List2">
    <w:name w:val="List 2"/>
    <w:basedOn w:val="Normal"/>
    <w:semiHidden/>
    <w:rsid w:val="00EC123B"/>
    <w:pPr>
      <w:ind w:left="720" w:hanging="360"/>
    </w:pPr>
    <w:rPr>
      <w:lang w:val="en-GB"/>
    </w:rPr>
  </w:style>
  <w:style w:type="paragraph" w:styleId="List3">
    <w:name w:val="List 3"/>
    <w:basedOn w:val="Normal"/>
    <w:semiHidden/>
    <w:rsid w:val="00EC123B"/>
    <w:pPr>
      <w:ind w:left="1080" w:hanging="360"/>
    </w:pPr>
    <w:rPr>
      <w:lang w:val="en-GB"/>
    </w:rPr>
  </w:style>
  <w:style w:type="paragraph" w:styleId="List4">
    <w:name w:val="List 4"/>
    <w:basedOn w:val="Normal"/>
    <w:rsid w:val="00EC123B"/>
    <w:pPr>
      <w:ind w:left="1440" w:hanging="360"/>
    </w:pPr>
    <w:rPr>
      <w:lang w:val="en-GB"/>
    </w:rPr>
  </w:style>
  <w:style w:type="paragraph" w:styleId="List5">
    <w:name w:val="List 5"/>
    <w:basedOn w:val="Normal"/>
    <w:rsid w:val="00EC123B"/>
    <w:pPr>
      <w:ind w:left="1800" w:hanging="360"/>
    </w:pPr>
    <w:rPr>
      <w:lang w:val="en-GB"/>
    </w:rPr>
  </w:style>
  <w:style w:type="paragraph" w:styleId="ListBullet">
    <w:name w:val="List Bullet"/>
    <w:basedOn w:val="Normal"/>
    <w:autoRedefine/>
    <w:semiHidden/>
    <w:rsid w:val="00EC123B"/>
    <w:pPr>
      <w:tabs>
        <w:tab w:val="num" w:pos="360"/>
      </w:tabs>
      <w:ind w:left="360" w:hanging="360"/>
    </w:pPr>
    <w:rPr>
      <w:lang w:val="en-GB"/>
    </w:rPr>
  </w:style>
  <w:style w:type="paragraph" w:styleId="ListBullet2">
    <w:name w:val="List Bullet 2"/>
    <w:basedOn w:val="Normal"/>
    <w:autoRedefine/>
    <w:semiHidden/>
    <w:rsid w:val="00EC123B"/>
    <w:pPr>
      <w:tabs>
        <w:tab w:val="num" w:pos="720"/>
      </w:tabs>
      <w:ind w:left="720" w:hanging="360"/>
    </w:pPr>
    <w:rPr>
      <w:lang w:val="en-GB"/>
    </w:rPr>
  </w:style>
  <w:style w:type="paragraph" w:styleId="ListBullet3">
    <w:name w:val="List Bullet 3"/>
    <w:basedOn w:val="Normal"/>
    <w:autoRedefine/>
    <w:semiHidden/>
    <w:rsid w:val="00EC123B"/>
    <w:pPr>
      <w:tabs>
        <w:tab w:val="num" w:pos="1080"/>
      </w:tabs>
      <w:ind w:left="1080" w:hanging="360"/>
    </w:pPr>
    <w:rPr>
      <w:lang w:val="en-GB"/>
    </w:rPr>
  </w:style>
  <w:style w:type="paragraph" w:styleId="ListBullet4">
    <w:name w:val="List Bullet 4"/>
    <w:basedOn w:val="Normal"/>
    <w:autoRedefine/>
    <w:semiHidden/>
    <w:rsid w:val="00EC123B"/>
    <w:pPr>
      <w:tabs>
        <w:tab w:val="num" w:pos="1440"/>
      </w:tabs>
      <w:ind w:left="1440" w:hanging="360"/>
    </w:pPr>
    <w:rPr>
      <w:lang w:val="en-GB"/>
    </w:rPr>
  </w:style>
  <w:style w:type="paragraph" w:styleId="ListContinue">
    <w:name w:val="List Continue"/>
    <w:basedOn w:val="Normal"/>
    <w:semiHidden/>
    <w:rsid w:val="00EC123B"/>
    <w:pPr>
      <w:spacing w:after="120"/>
      <w:ind w:left="360"/>
    </w:pPr>
    <w:rPr>
      <w:lang w:val="en-GB"/>
    </w:rPr>
  </w:style>
  <w:style w:type="paragraph" w:styleId="ListContinue2">
    <w:name w:val="List Continue 2"/>
    <w:basedOn w:val="Normal"/>
    <w:semiHidden/>
    <w:rsid w:val="00EC123B"/>
    <w:pPr>
      <w:spacing w:after="120"/>
      <w:ind w:left="720"/>
    </w:pPr>
    <w:rPr>
      <w:lang w:val="en-GB"/>
    </w:rPr>
  </w:style>
  <w:style w:type="paragraph" w:styleId="ListContinue3">
    <w:name w:val="List Continue 3"/>
    <w:basedOn w:val="Normal"/>
    <w:semiHidden/>
    <w:rsid w:val="00EC123B"/>
    <w:pPr>
      <w:spacing w:after="120"/>
      <w:ind w:left="1080"/>
    </w:pPr>
    <w:rPr>
      <w:lang w:val="en-GB"/>
    </w:rPr>
  </w:style>
  <w:style w:type="paragraph" w:styleId="ListContinue4">
    <w:name w:val="List Continue 4"/>
    <w:basedOn w:val="Normal"/>
    <w:semiHidden/>
    <w:rsid w:val="00EC123B"/>
    <w:pPr>
      <w:spacing w:after="120"/>
      <w:ind w:left="1440"/>
    </w:pPr>
    <w:rPr>
      <w:lang w:val="en-GB"/>
    </w:rPr>
  </w:style>
  <w:style w:type="paragraph" w:styleId="ListContinue5">
    <w:name w:val="List Continue 5"/>
    <w:basedOn w:val="Normal"/>
    <w:semiHidden/>
    <w:rsid w:val="00EC123B"/>
    <w:pPr>
      <w:spacing w:after="120"/>
      <w:ind w:left="1800"/>
    </w:pPr>
    <w:rPr>
      <w:lang w:val="en-GB"/>
    </w:rPr>
  </w:style>
  <w:style w:type="paragraph" w:styleId="ListNumber">
    <w:name w:val="List Number"/>
    <w:basedOn w:val="Normal"/>
    <w:rsid w:val="00EC123B"/>
    <w:pPr>
      <w:tabs>
        <w:tab w:val="num" w:pos="360"/>
      </w:tabs>
      <w:ind w:left="360" w:hanging="360"/>
    </w:pPr>
    <w:rPr>
      <w:lang w:val="en-GB"/>
    </w:rPr>
  </w:style>
  <w:style w:type="paragraph" w:styleId="ListNumber2">
    <w:name w:val="List Number 2"/>
    <w:basedOn w:val="Normal"/>
    <w:semiHidden/>
    <w:rsid w:val="00EC123B"/>
    <w:pPr>
      <w:tabs>
        <w:tab w:val="num" w:pos="720"/>
      </w:tabs>
      <w:ind w:left="720" w:hanging="360"/>
    </w:pPr>
    <w:rPr>
      <w:lang w:val="en-GB"/>
    </w:rPr>
  </w:style>
  <w:style w:type="paragraph" w:styleId="ListNumber3">
    <w:name w:val="List Number 3"/>
    <w:basedOn w:val="Normal"/>
    <w:semiHidden/>
    <w:rsid w:val="00EC123B"/>
    <w:pPr>
      <w:tabs>
        <w:tab w:val="num" w:pos="1080"/>
      </w:tabs>
      <w:ind w:left="1080" w:hanging="360"/>
    </w:pPr>
    <w:rPr>
      <w:lang w:val="en-GB"/>
    </w:rPr>
  </w:style>
  <w:style w:type="paragraph" w:styleId="ListNumber4">
    <w:name w:val="List Number 4"/>
    <w:basedOn w:val="Normal"/>
    <w:semiHidden/>
    <w:rsid w:val="00EC123B"/>
    <w:pPr>
      <w:tabs>
        <w:tab w:val="num" w:pos="1440"/>
      </w:tabs>
      <w:ind w:left="1440" w:hanging="360"/>
    </w:pPr>
    <w:rPr>
      <w:lang w:val="en-GB"/>
    </w:rPr>
  </w:style>
  <w:style w:type="paragraph" w:styleId="ListNumber5">
    <w:name w:val="List Number 5"/>
    <w:basedOn w:val="Normal"/>
    <w:semiHidden/>
    <w:rsid w:val="00EC123B"/>
    <w:pPr>
      <w:tabs>
        <w:tab w:val="num" w:pos="1800"/>
      </w:tabs>
      <w:ind w:left="1800" w:hanging="360"/>
    </w:pPr>
    <w:rPr>
      <w:lang w:val="en-GB"/>
    </w:rPr>
  </w:style>
  <w:style w:type="paragraph" w:styleId="MessageHeader">
    <w:name w:val="Message Header"/>
    <w:basedOn w:val="Normal"/>
    <w:link w:val="MessageHeaderChar"/>
    <w:semiHidden/>
    <w:rsid w:val="00EC123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EC123B"/>
    <w:rPr>
      <w:rFonts w:ascii="Arial" w:hAnsi="Arial" w:cs="Arial"/>
      <w:sz w:val="22"/>
      <w:szCs w:val="24"/>
      <w:shd w:val="pct20" w:color="auto" w:fill="auto"/>
      <w:lang w:val="en-GB"/>
    </w:rPr>
  </w:style>
  <w:style w:type="paragraph" w:styleId="NormalIndent">
    <w:name w:val="Normal Indent"/>
    <w:basedOn w:val="Normal"/>
    <w:semiHidden/>
    <w:rsid w:val="00EC123B"/>
    <w:pPr>
      <w:ind w:left="720"/>
    </w:pPr>
    <w:rPr>
      <w:lang w:val="en-GB"/>
    </w:rPr>
  </w:style>
  <w:style w:type="paragraph" w:styleId="NoteHeading">
    <w:name w:val="Note Heading"/>
    <w:basedOn w:val="Normal"/>
    <w:next w:val="Normal"/>
    <w:link w:val="NoteHeadingChar"/>
    <w:semiHidden/>
    <w:rsid w:val="00EC123B"/>
    <w:rPr>
      <w:lang w:val="en-GB"/>
    </w:rPr>
  </w:style>
  <w:style w:type="character" w:customStyle="1" w:styleId="NoteHeadingChar">
    <w:name w:val="Note Heading Char"/>
    <w:basedOn w:val="DefaultParagraphFont"/>
    <w:link w:val="NoteHeading"/>
    <w:semiHidden/>
    <w:rsid w:val="00EC123B"/>
    <w:rPr>
      <w:sz w:val="22"/>
      <w:szCs w:val="22"/>
      <w:lang w:val="en-GB"/>
    </w:rPr>
  </w:style>
  <w:style w:type="paragraph" w:styleId="Salutation">
    <w:name w:val="Salutation"/>
    <w:basedOn w:val="Normal"/>
    <w:next w:val="Normal"/>
    <w:link w:val="SalutationChar"/>
    <w:rsid w:val="00EC123B"/>
    <w:rPr>
      <w:lang w:val="en-GB"/>
    </w:rPr>
  </w:style>
  <w:style w:type="character" w:customStyle="1" w:styleId="SalutationChar">
    <w:name w:val="Salutation Char"/>
    <w:basedOn w:val="DefaultParagraphFont"/>
    <w:link w:val="Salutation"/>
    <w:rsid w:val="00EC123B"/>
    <w:rPr>
      <w:sz w:val="22"/>
      <w:szCs w:val="22"/>
      <w:lang w:val="en-GB"/>
    </w:rPr>
  </w:style>
  <w:style w:type="paragraph" w:styleId="Signature">
    <w:name w:val="Signature"/>
    <w:basedOn w:val="Normal"/>
    <w:link w:val="SignatureChar"/>
    <w:semiHidden/>
    <w:rsid w:val="00EC123B"/>
    <w:pPr>
      <w:ind w:left="4320"/>
    </w:pPr>
    <w:rPr>
      <w:lang w:val="en-GB"/>
    </w:rPr>
  </w:style>
  <w:style w:type="character" w:customStyle="1" w:styleId="SignatureChar">
    <w:name w:val="Signature Char"/>
    <w:basedOn w:val="DefaultParagraphFont"/>
    <w:link w:val="Signature"/>
    <w:semiHidden/>
    <w:rsid w:val="00EC123B"/>
    <w:rPr>
      <w:sz w:val="22"/>
      <w:szCs w:val="22"/>
      <w:lang w:val="en-GB"/>
    </w:rPr>
  </w:style>
  <w:style w:type="character" w:styleId="Strong">
    <w:name w:val="Strong"/>
    <w:qFormat/>
    <w:rsid w:val="00EC123B"/>
    <w:rPr>
      <w:b/>
      <w:bCs/>
    </w:rPr>
  </w:style>
  <w:style w:type="paragraph" w:customStyle="1" w:styleId="Level3">
    <w:name w:val="Level3"/>
    <w:basedOn w:val="Normal"/>
    <w:autoRedefine/>
    <w:rsid w:val="00EC123B"/>
    <w:pPr>
      <w:numPr>
        <w:numId w:val="9"/>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EC123B"/>
    <w:pPr>
      <w:suppressAutoHyphens/>
      <w:spacing w:after="240"/>
      <w:jc w:val="right"/>
    </w:pPr>
    <w:rPr>
      <w:b/>
      <w:bCs/>
      <w:lang w:val="en-GB"/>
    </w:rPr>
  </w:style>
  <w:style w:type="character" w:customStyle="1" w:styleId="Paralevel1Char">
    <w:name w:val="Para level1 Char"/>
    <w:link w:val="Paralevel1"/>
    <w:uiPriority w:val="99"/>
    <w:rsid w:val="00EC123B"/>
    <w:rPr>
      <w:b/>
      <w:bCs/>
      <w:sz w:val="22"/>
      <w:szCs w:val="22"/>
      <w:lang w:val="en-GB"/>
    </w:rPr>
  </w:style>
  <w:style w:type="character" w:customStyle="1" w:styleId="Heading3Char3CharCharChar">
    <w:name w:val="Heading 3 Char3 Char Char Char"/>
    <w:rsid w:val="00EC123B"/>
    <w:rPr>
      <w:sz w:val="22"/>
      <w:szCs w:val="22"/>
      <w:lang w:val="en-GB" w:eastAsia="en-US" w:bidi="ar-SA"/>
    </w:rPr>
  </w:style>
  <w:style w:type="character" w:customStyle="1" w:styleId="Normal-poolChar">
    <w:name w:val="Normal-pool Char"/>
    <w:link w:val="Normal-pool"/>
    <w:locked/>
    <w:rsid w:val="00EC123B"/>
    <w:rPr>
      <w:lang w:val="en-GB"/>
    </w:rPr>
  </w:style>
  <w:style w:type="character" w:customStyle="1" w:styleId="bumpedfont15">
    <w:name w:val="bumpedfont15"/>
    <w:basedOn w:val="DefaultParagraphFont"/>
    <w:rsid w:val="00EC123B"/>
  </w:style>
  <w:style w:type="table" w:customStyle="1" w:styleId="Table3Deffects11">
    <w:name w:val="Table 3D effects 11"/>
    <w:basedOn w:val="TableNormal"/>
    <w:next w:val="Table3Deffects1"/>
    <w:semiHidden/>
    <w:rsid w:val="00EC123B"/>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C123B"/>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C123B"/>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C123B"/>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C123B"/>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C123B"/>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C123B"/>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C123B"/>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C123B"/>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C123B"/>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C123B"/>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C123B"/>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C123B"/>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C123B"/>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C123B"/>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C123B"/>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C123B"/>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C123B"/>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C123B"/>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C123B"/>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C123B"/>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C123B"/>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C123B"/>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C123B"/>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C123B"/>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C123B"/>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C123B"/>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C123B"/>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C123B"/>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C123B"/>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C123B"/>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EC123B"/>
    <w:pPr>
      <w:numPr>
        <w:ilvl w:val="0"/>
        <w:numId w:val="0"/>
      </w:numPr>
      <w:tabs>
        <w:tab w:val="num" w:pos="0"/>
        <w:tab w:val="num" w:pos="1080"/>
      </w:tabs>
      <w:ind w:left="1080" w:hanging="360"/>
    </w:pPr>
    <w:rPr>
      <w:b/>
      <w:bCs/>
      <w:lang w:val="en-GB"/>
    </w:rPr>
  </w:style>
  <w:style w:type="character" w:customStyle="1" w:styleId="0Heading0Char">
    <w:name w:val="0 Heading 0 Char"/>
    <w:link w:val="0Heading0"/>
    <w:rsid w:val="00EC123B"/>
    <w:rPr>
      <w:sz w:val="22"/>
      <w:szCs w:val="22"/>
      <w:lang w:val="en-GB"/>
    </w:rPr>
  </w:style>
  <w:style w:type="paragraph" w:customStyle="1" w:styleId="Indent1">
    <w:name w:val="Indent 1"/>
    <w:basedOn w:val="Normal"/>
    <w:qFormat/>
    <w:rsid w:val="00EC123B"/>
    <w:pPr>
      <w:spacing w:after="240" w:line="360" w:lineRule="auto"/>
      <w:ind w:left="1440" w:hanging="720"/>
      <w:jc w:val="left"/>
    </w:pPr>
    <w:rPr>
      <w:sz w:val="24"/>
      <w:szCs w:val="24"/>
      <w:lang w:val="en-US"/>
    </w:rPr>
  </w:style>
  <w:style w:type="paragraph" w:customStyle="1" w:styleId="msonormal0">
    <w:name w:val="msonormal"/>
    <w:basedOn w:val="Normal"/>
    <w:rsid w:val="00EC123B"/>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EC123B"/>
    <w:pPr>
      <w:numPr>
        <w:numId w:val="0"/>
      </w:numPr>
      <w:ind w:firstLine="720"/>
    </w:pPr>
    <w:rPr>
      <w:rFonts w:eastAsiaTheme="minorEastAsia"/>
      <w:b/>
      <w:lang w:val="en-GB" w:eastAsia="zh-CN"/>
    </w:rPr>
  </w:style>
  <w:style w:type="character" w:customStyle="1" w:styleId="Style3Char">
    <w:name w:val="Style3 Char"/>
    <w:basedOn w:val="Heading1Char1"/>
    <w:link w:val="Style3"/>
    <w:rsid w:val="00EC123B"/>
    <w:rPr>
      <w:rFonts w:eastAsiaTheme="minorEastAsia"/>
      <w:b/>
      <w:sz w:val="22"/>
      <w:szCs w:val="22"/>
      <w:lang w:val="en-GB" w:eastAsia="zh-CN"/>
    </w:rPr>
  </w:style>
  <w:style w:type="paragraph" w:customStyle="1" w:styleId="Style2">
    <w:name w:val="Style2"/>
    <w:basedOn w:val="Heading1"/>
    <w:link w:val="Style2Char"/>
    <w:qFormat/>
    <w:rsid w:val="00EC123B"/>
    <w:pPr>
      <w:numPr>
        <w:numId w:val="0"/>
      </w:numPr>
    </w:pPr>
    <w:rPr>
      <w:rFonts w:eastAsiaTheme="minorEastAsia"/>
      <w:b/>
      <w:lang w:val="en-GB" w:eastAsia="zh-CN"/>
    </w:rPr>
  </w:style>
  <w:style w:type="character" w:customStyle="1" w:styleId="Style2Char">
    <w:name w:val="Style2 Char"/>
    <w:basedOn w:val="Heading1Char1"/>
    <w:link w:val="Style2"/>
    <w:rsid w:val="00EC123B"/>
    <w:rPr>
      <w:rFonts w:eastAsiaTheme="minorEastAsia"/>
      <w:b/>
      <w:sz w:val="22"/>
      <w:szCs w:val="22"/>
      <w:lang w:val="en-GB" w:eastAsia="zh-CN"/>
    </w:rPr>
  </w:style>
  <w:style w:type="paragraph" w:customStyle="1" w:styleId="Style1">
    <w:name w:val="Style1"/>
    <w:basedOn w:val="Heading1"/>
    <w:link w:val="Style1Char"/>
    <w:qFormat/>
    <w:rsid w:val="00EC123B"/>
    <w:pPr>
      <w:numPr>
        <w:numId w:val="0"/>
      </w:numPr>
    </w:pPr>
    <w:rPr>
      <w:rFonts w:eastAsiaTheme="minorEastAsia"/>
      <w:b/>
      <w:lang w:val="en-GB" w:eastAsia="zh-CN"/>
    </w:rPr>
  </w:style>
  <w:style w:type="character" w:customStyle="1" w:styleId="Style1Char">
    <w:name w:val="Style1 Char"/>
    <w:basedOn w:val="Heading1Char1"/>
    <w:link w:val="Style1"/>
    <w:rsid w:val="00EC123B"/>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EC123B"/>
    <w:rPr>
      <w:rFonts w:ascii="Calibri" w:eastAsia="Calibri" w:hAnsi="Calibri" w:cs="Arial"/>
      <w:sz w:val="22"/>
      <w:szCs w:val="22"/>
    </w:rPr>
  </w:style>
  <w:style w:type="numbering" w:customStyle="1" w:styleId="ArticleSection11">
    <w:name w:val="Article / Section11"/>
    <w:basedOn w:val="NoList"/>
    <w:next w:val="ArticleSection"/>
    <w:rsid w:val="00EC123B"/>
    <w:pPr>
      <w:numPr>
        <w:numId w:val="10"/>
      </w:numPr>
    </w:pPr>
  </w:style>
  <w:style w:type="character" w:customStyle="1" w:styleId="CH1Char">
    <w:name w:val="CH1 Char"/>
    <w:link w:val="CH1"/>
    <w:locked/>
    <w:rsid w:val="00EC123B"/>
    <w:rPr>
      <w:b/>
      <w:sz w:val="28"/>
      <w:szCs w:val="28"/>
      <w:lang w:val="en-GB"/>
    </w:rPr>
  </w:style>
  <w:style w:type="paragraph" w:customStyle="1" w:styleId="Listparagraph2">
    <w:name w:val="List paragraph 2"/>
    <w:basedOn w:val="Normal"/>
    <w:qFormat/>
    <w:rsid w:val="00EC123B"/>
    <w:pPr>
      <w:numPr>
        <w:numId w:val="12"/>
      </w:numPr>
      <w:spacing w:after="240" w:line="360" w:lineRule="auto"/>
      <w:jc w:val="left"/>
    </w:pPr>
    <w:rPr>
      <w:sz w:val="24"/>
      <w:szCs w:val="24"/>
      <w:lang w:val="en-GB"/>
    </w:rPr>
  </w:style>
  <w:style w:type="character" w:customStyle="1" w:styleId="normaltextrun">
    <w:name w:val="normaltextrun"/>
    <w:basedOn w:val="DefaultParagraphFont"/>
    <w:rsid w:val="00EC123B"/>
  </w:style>
  <w:style w:type="character" w:customStyle="1" w:styleId="spellingerror">
    <w:name w:val="spellingerror"/>
    <w:basedOn w:val="DefaultParagraphFont"/>
    <w:rsid w:val="00EC123B"/>
  </w:style>
  <w:style w:type="paragraph" w:customStyle="1" w:styleId="Projecthead">
    <w:name w:val="Project head"/>
    <w:basedOn w:val="Normal"/>
    <w:qFormat/>
    <w:rsid w:val="00EC123B"/>
    <w:pPr>
      <w:spacing w:after="240" w:line="360" w:lineRule="auto"/>
      <w:jc w:val="left"/>
    </w:pPr>
    <w:rPr>
      <w:i/>
      <w:sz w:val="24"/>
      <w:szCs w:val="24"/>
      <w:lang w:val="en-US"/>
    </w:rPr>
  </w:style>
  <w:style w:type="paragraph" w:customStyle="1" w:styleId="letteredhead1">
    <w:name w:val="lettered head1"/>
    <w:basedOn w:val="Normal"/>
    <w:qFormat/>
    <w:rsid w:val="00EC123B"/>
    <w:pPr>
      <w:numPr>
        <w:numId w:val="13"/>
      </w:numPr>
      <w:spacing w:after="240" w:line="360" w:lineRule="auto"/>
    </w:pPr>
    <w:rPr>
      <w:sz w:val="24"/>
      <w:szCs w:val="24"/>
      <w:lang w:val="en-GB"/>
    </w:rPr>
  </w:style>
  <w:style w:type="paragraph" w:customStyle="1" w:styleId="font24">
    <w:name w:val="font24"/>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EC123B"/>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D50372"/>
    <w:rPr>
      <w:color w:val="605E5C"/>
      <w:shd w:val="clear" w:color="auto" w:fill="E1DFDD"/>
    </w:rPr>
  </w:style>
  <w:style w:type="character" w:customStyle="1" w:styleId="NormalpoolChar">
    <w:name w:val="Normal_pool Char"/>
    <w:link w:val="Normalpool"/>
    <w:locked/>
    <w:rsid w:val="005222DD"/>
    <w:rPr>
      <w:lang w:val="fr-FR"/>
    </w:rPr>
  </w:style>
  <w:style w:type="paragraph" w:customStyle="1" w:styleId="font26">
    <w:name w:val="font26"/>
    <w:basedOn w:val="Normal"/>
    <w:rsid w:val="00996A7B"/>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996A7B"/>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361A26"/>
    <w:pPr>
      <w:numPr>
        <w:numId w:val="14"/>
      </w:numPr>
    </w:pPr>
  </w:style>
  <w:style w:type="numbering" w:customStyle="1" w:styleId="ArticleSection12">
    <w:name w:val="Article / Section12"/>
    <w:basedOn w:val="NoList"/>
    <w:next w:val="ArticleSection"/>
    <w:semiHidden/>
    <w:rsid w:val="00361A26"/>
    <w:pPr>
      <w:numPr>
        <w:numId w:val="15"/>
      </w:numPr>
    </w:pPr>
  </w:style>
  <w:style w:type="numbering" w:customStyle="1" w:styleId="ArticleSection114">
    <w:name w:val="Article / Section114"/>
    <w:basedOn w:val="NoList"/>
    <w:next w:val="ArticleSection"/>
    <w:rsid w:val="00361A26"/>
    <w:pPr>
      <w:numPr>
        <w:numId w:val="1"/>
      </w:numPr>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657F"/>
    <w:pPr>
      <w:spacing w:after="160" w:line="240" w:lineRule="exact"/>
    </w:pPr>
    <w:rPr>
      <w:sz w:val="20"/>
      <w:szCs w:val="20"/>
      <w:vertAlign w:val="superscript"/>
      <w:lang w:val="en-US"/>
    </w:rPr>
  </w:style>
  <w:style w:type="character" w:customStyle="1" w:styleId="BBTitleChar">
    <w:name w:val="BB_Title Char"/>
    <w:link w:val="BBTitle"/>
    <w:rsid w:val="00193CCD"/>
    <w:rPr>
      <w:b/>
      <w:sz w:val="28"/>
      <w:szCs w:val="28"/>
      <w:lang w:val="en-GB"/>
    </w:rPr>
  </w:style>
  <w:style w:type="paragraph" w:customStyle="1" w:styleId="paragraph">
    <w:name w:val="paragraph"/>
    <w:basedOn w:val="Normal"/>
    <w:rsid w:val="00A048D7"/>
    <w:pPr>
      <w:spacing w:before="100" w:beforeAutospacing="1" w:after="100" w:afterAutospacing="1"/>
      <w:jc w:val="left"/>
    </w:pPr>
    <w:rPr>
      <w:sz w:val="24"/>
      <w:szCs w:val="24"/>
      <w:lang w:val="fr-FR" w:eastAsia="fr-FR"/>
    </w:rPr>
  </w:style>
  <w:style w:type="character" w:customStyle="1" w:styleId="eop">
    <w:name w:val="eop"/>
    <w:basedOn w:val="DefaultParagraphFont"/>
    <w:rsid w:val="00A048D7"/>
  </w:style>
  <w:style w:type="character" w:customStyle="1" w:styleId="tabchar">
    <w:name w:val="tabchar"/>
    <w:basedOn w:val="DefaultParagraphFont"/>
    <w:rsid w:val="00B01481"/>
  </w:style>
  <w:style w:type="paragraph" w:customStyle="1" w:styleId="Newheader4">
    <w:name w:val="New header 4"/>
    <w:basedOn w:val="Heading4"/>
    <w:next w:val="Normal"/>
    <w:qFormat/>
    <w:rsid w:val="001D4217"/>
    <w:pPr>
      <w:numPr>
        <w:numId w:val="4"/>
      </w:numPr>
    </w:pPr>
  </w:style>
  <w:style w:type="character" w:styleId="UnresolvedMention">
    <w:name w:val="Unresolved Mention"/>
    <w:basedOn w:val="DefaultParagraphFont"/>
    <w:uiPriority w:val="99"/>
    <w:semiHidden/>
    <w:unhideWhenUsed/>
    <w:rsid w:val="001D4217"/>
    <w:rPr>
      <w:color w:val="605E5C"/>
      <w:shd w:val="clear" w:color="auto" w:fill="E1DFDD"/>
    </w:rPr>
  </w:style>
  <w:style w:type="paragraph" w:customStyle="1" w:styleId="Underlinedheader">
    <w:name w:val="Underlined header"/>
    <w:basedOn w:val="Heading1"/>
    <w:qFormat/>
    <w:rsid w:val="001D4217"/>
    <w:pPr>
      <w:numPr>
        <w:numId w:val="0"/>
      </w:numPr>
      <w:spacing w:before="240"/>
      <w:ind w:firstLine="720"/>
    </w:pPr>
    <w:rPr>
      <w:u w:val="single"/>
    </w:rPr>
  </w:style>
  <w:style w:type="character" w:styleId="Mention">
    <w:name w:val="Mention"/>
    <w:basedOn w:val="DefaultParagraphFont"/>
    <w:uiPriority w:val="99"/>
    <w:unhideWhenUsed/>
    <w:rsid w:val="001D4217"/>
    <w:rPr>
      <w:color w:val="2B579A"/>
      <w:shd w:val="clear" w:color="auto" w:fill="E1DFDD"/>
    </w:rPr>
  </w:style>
  <w:style w:type="paragraph" w:customStyle="1" w:styleId="Listlettered">
    <w:name w:val="List lettered"/>
    <w:basedOn w:val="ListParagraph"/>
    <w:qFormat/>
    <w:rsid w:val="00F05C70"/>
    <w:pPr>
      <w:keepLines/>
      <w:widowControl w:val="0"/>
      <w:numPr>
        <w:numId w:val="17"/>
      </w:numPr>
      <w:spacing w:after="240" w:line="240" w:lineRule="auto"/>
      <w:contextualSpacing w:val="0"/>
      <w:jc w:val="both"/>
      <w:outlineLvl w:val="1"/>
    </w:pPr>
    <w:rPr>
      <w:rFonts w:ascii="Times New Roman" w:eastAsia="Times New Roman" w:hAnsi="Times New Roman" w:cs="Times New Roman"/>
      <w:lang w:val="en-GB"/>
    </w:rPr>
  </w:style>
  <w:style w:type="paragraph" w:customStyle="1" w:styleId="Numberedlist">
    <w:name w:val="Numbered list"/>
    <w:basedOn w:val="ListParagraph"/>
    <w:qFormat/>
    <w:rsid w:val="00D960F5"/>
    <w:pPr>
      <w:keepLines/>
      <w:widowControl w:val="0"/>
      <w:tabs>
        <w:tab w:val="num" w:pos="360"/>
      </w:tabs>
      <w:spacing w:after="240" w:line="240" w:lineRule="auto"/>
      <w:contextualSpacing w:val="0"/>
      <w:jc w:val="both"/>
      <w:outlineLvl w:val="1"/>
    </w:pPr>
    <w:rPr>
      <w:rFonts w:ascii="Times New Roman" w:eastAsia="Times New Roman" w:hAnsi="Times New Roman" w:cs="Times New Roman"/>
      <w:lang w:val="en-GB"/>
    </w:rPr>
  </w:style>
  <w:style w:type="paragraph" w:customStyle="1" w:styleId="Letteredlist">
    <w:name w:val="Lettered list"/>
    <w:basedOn w:val="ListParagraph"/>
    <w:qFormat/>
    <w:rsid w:val="000661B5"/>
    <w:pPr>
      <w:widowControl w:val="0"/>
      <w:numPr>
        <w:numId w:val="18"/>
      </w:numPr>
      <w:tabs>
        <w:tab w:val="num" w:pos="360"/>
      </w:tabs>
      <w:spacing w:after="240" w:line="240" w:lineRule="auto"/>
      <w:ind w:left="720" w:firstLine="0"/>
      <w:contextualSpacing w:val="0"/>
      <w:jc w:val="both"/>
      <w:outlineLvl w:val="2"/>
    </w:pPr>
    <w:rPr>
      <w:rFonts w:ascii="Times New Roman" w:eastAsia="Times New Roman" w:hAnsi="Times New Roman" w:cs="Times New Roman"/>
      <w:lang w:val="en-GB"/>
    </w:rPr>
  </w:style>
  <w:style w:type="paragraph" w:customStyle="1" w:styleId="newheader40">
    <w:name w:val="new header4"/>
    <w:basedOn w:val="Heading4"/>
    <w:next w:val="Normal"/>
    <w:qFormat/>
    <w:rsid w:val="00DC525E"/>
    <w:pPr>
      <w:keepNext w:val="0"/>
      <w:numPr>
        <w:ilvl w:val="0"/>
        <w:numId w:val="0"/>
      </w:numPr>
      <w:tabs>
        <w:tab w:val="num" w:pos="-90"/>
      </w:tabs>
      <w:spacing w:before="0" w:after="240"/>
      <w:ind w:left="2776" w:hanging="706"/>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1197">
      <w:bodyDiv w:val="1"/>
      <w:marLeft w:val="0"/>
      <w:marRight w:val="0"/>
      <w:marTop w:val="0"/>
      <w:marBottom w:val="0"/>
      <w:divBdr>
        <w:top w:val="none" w:sz="0" w:space="0" w:color="auto"/>
        <w:left w:val="none" w:sz="0" w:space="0" w:color="auto"/>
        <w:bottom w:val="none" w:sz="0" w:space="0" w:color="auto"/>
        <w:right w:val="none" w:sz="0" w:space="0" w:color="auto"/>
      </w:divBdr>
    </w:div>
    <w:div w:id="109513210">
      <w:bodyDiv w:val="1"/>
      <w:marLeft w:val="0"/>
      <w:marRight w:val="0"/>
      <w:marTop w:val="0"/>
      <w:marBottom w:val="0"/>
      <w:divBdr>
        <w:top w:val="none" w:sz="0" w:space="0" w:color="auto"/>
        <w:left w:val="none" w:sz="0" w:space="0" w:color="auto"/>
        <w:bottom w:val="none" w:sz="0" w:space="0" w:color="auto"/>
        <w:right w:val="none" w:sz="0" w:space="0" w:color="auto"/>
      </w:divBdr>
    </w:div>
    <w:div w:id="201484193">
      <w:bodyDiv w:val="1"/>
      <w:marLeft w:val="0"/>
      <w:marRight w:val="0"/>
      <w:marTop w:val="0"/>
      <w:marBottom w:val="0"/>
      <w:divBdr>
        <w:top w:val="none" w:sz="0" w:space="0" w:color="auto"/>
        <w:left w:val="none" w:sz="0" w:space="0" w:color="auto"/>
        <w:bottom w:val="none" w:sz="0" w:space="0" w:color="auto"/>
        <w:right w:val="none" w:sz="0" w:space="0" w:color="auto"/>
      </w:divBdr>
    </w:div>
    <w:div w:id="245920281">
      <w:bodyDiv w:val="1"/>
      <w:marLeft w:val="0"/>
      <w:marRight w:val="0"/>
      <w:marTop w:val="0"/>
      <w:marBottom w:val="0"/>
      <w:divBdr>
        <w:top w:val="none" w:sz="0" w:space="0" w:color="auto"/>
        <w:left w:val="none" w:sz="0" w:space="0" w:color="auto"/>
        <w:bottom w:val="none" w:sz="0" w:space="0" w:color="auto"/>
        <w:right w:val="none" w:sz="0" w:space="0" w:color="auto"/>
      </w:divBdr>
    </w:div>
    <w:div w:id="288362181">
      <w:bodyDiv w:val="1"/>
      <w:marLeft w:val="0"/>
      <w:marRight w:val="0"/>
      <w:marTop w:val="0"/>
      <w:marBottom w:val="0"/>
      <w:divBdr>
        <w:top w:val="none" w:sz="0" w:space="0" w:color="auto"/>
        <w:left w:val="none" w:sz="0" w:space="0" w:color="auto"/>
        <w:bottom w:val="none" w:sz="0" w:space="0" w:color="auto"/>
        <w:right w:val="none" w:sz="0" w:space="0" w:color="auto"/>
      </w:divBdr>
    </w:div>
    <w:div w:id="296179820">
      <w:bodyDiv w:val="1"/>
      <w:marLeft w:val="0"/>
      <w:marRight w:val="0"/>
      <w:marTop w:val="0"/>
      <w:marBottom w:val="0"/>
      <w:divBdr>
        <w:top w:val="none" w:sz="0" w:space="0" w:color="auto"/>
        <w:left w:val="none" w:sz="0" w:space="0" w:color="auto"/>
        <w:bottom w:val="none" w:sz="0" w:space="0" w:color="auto"/>
        <w:right w:val="none" w:sz="0" w:space="0" w:color="auto"/>
      </w:divBdr>
    </w:div>
    <w:div w:id="336268294">
      <w:bodyDiv w:val="1"/>
      <w:marLeft w:val="0"/>
      <w:marRight w:val="0"/>
      <w:marTop w:val="0"/>
      <w:marBottom w:val="0"/>
      <w:divBdr>
        <w:top w:val="none" w:sz="0" w:space="0" w:color="auto"/>
        <w:left w:val="none" w:sz="0" w:space="0" w:color="auto"/>
        <w:bottom w:val="none" w:sz="0" w:space="0" w:color="auto"/>
        <w:right w:val="none" w:sz="0" w:space="0" w:color="auto"/>
      </w:divBdr>
    </w:div>
    <w:div w:id="355035618">
      <w:bodyDiv w:val="1"/>
      <w:marLeft w:val="0"/>
      <w:marRight w:val="0"/>
      <w:marTop w:val="0"/>
      <w:marBottom w:val="0"/>
      <w:divBdr>
        <w:top w:val="none" w:sz="0" w:space="0" w:color="auto"/>
        <w:left w:val="none" w:sz="0" w:space="0" w:color="auto"/>
        <w:bottom w:val="none" w:sz="0" w:space="0" w:color="auto"/>
        <w:right w:val="none" w:sz="0" w:space="0" w:color="auto"/>
      </w:divBdr>
    </w:div>
    <w:div w:id="397869437">
      <w:bodyDiv w:val="1"/>
      <w:marLeft w:val="0"/>
      <w:marRight w:val="0"/>
      <w:marTop w:val="0"/>
      <w:marBottom w:val="0"/>
      <w:divBdr>
        <w:top w:val="none" w:sz="0" w:space="0" w:color="auto"/>
        <w:left w:val="none" w:sz="0" w:space="0" w:color="auto"/>
        <w:bottom w:val="none" w:sz="0" w:space="0" w:color="auto"/>
        <w:right w:val="none" w:sz="0" w:space="0" w:color="auto"/>
      </w:divBdr>
    </w:div>
    <w:div w:id="519204554">
      <w:bodyDiv w:val="1"/>
      <w:marLeft w:val="0"/>
      <w:marRight w:val="0"/>
      <w:marTop w:val="0"/>
      <w:marBottom w:val="0"/>
      <w:divBdr>
        <w:top w:val="none" w:sz="0" w:space="0" w:color="auto"/>
        <w:left w:val="none" w:sz="0" w:space="0" w:color="auto"/>
        <w:bottom w:val="none" w:sz="0" w:space="0" w:color="auto"/>
        <w:right w:val="none" w:sz="0" w:space="0" w:color="auto"/>
      </w:divBdr>
    </w:div>
    <w:div w:id="561868104">
      <w:bodyDiv w:val="1"/>
      <w:marLeft w:val="0"/>
      <w:marRight w:val="0"/>
      <w:marTop w:val="0"/>
      <w:marBottom w:val="0"/>
      <w:divBdr>
        <w:top w:val="none" w:sz="0" w:space="0" w:color="auto"/>
        <w:left w:val="none" w:sz="0" w:space="0" w:color="auto"/>
        <w:bottom w:val="none" w:sz="0" w:space="0" w:color="auto"/>
        <w:right w:val="none" w:sz="0" w:space="0" w:color="auto"/>
      </w:divBdr>
    </w:div>
    <w:div w:id="581598690">
      <w:bodyDiv w:val="1"/>
      <w:marLeft w:val="0"/>
      <w:marRight w:val="0"/>
      <w:marTop w:val="0"/>
      <w:marBottom w:val="0"/>
      <w:divBdr>
        <w:top w:val="none" w:sz="0" w:space="0" w:color="auto"/>
        <w:left w:val="none" w:sz="0" w:space="0" w:color="auto"/>
        <w:bottom w:val="none" w:sz="0" w:space="0" w:color="auto"/>
        <w:right w:val="none" w:sz="0" w:space="0" w:color="auto"/>
      </w:divBdr>
    </w:div>
    <w:div w:id="589895156">
      <w:bodyDiv w:val="1"/>
      <w:marLeft w:val="0"/>
      <w:marRight w:val="0"/>
      <w:marTop w:val="0"/>
      <w:marBottom w:val="0"/>
      <w:divBdr>
        <w:top w:val="none" w:sz="0" w:space="0" w:color="auto"/>
        <w:left w:val="none" w:sz="0" w:space="0" w:color="auto"/>
        <w:bottom w:val="none" w:sz="0" w:space="0" w:color="auto"/>
        <w:right w:val="none" w:sz="0" w:space="0" w:color="auto"/>
      </w:divBdr>
    </w:div>
    <w:div w:id="601961685">
      <w:bodyDiv w:val="1"/>
      <w:marLeft w:val="0"/>
      <w:marRight w:val="0"/>
      <w:marTop w:val="0"/>
      <w:marBottom w:val="0"/>
      <w:divBdr>
        <w:top w:val="none" w:sz="0" w:space="0" w:color="auto"/>
        <w:left w:val="none" w:sz="0" w:space="0" w:color="auto"/>
        <w:bottom w:val="none" w:sz="0" w:space="0" w:color="auto"/>
        <w:right w:val="none" w:sz="0" w:space="0" w:color="auto"/>
      </w:divBdr>
    </w:div>
    <w:div w:id="687171452">
      <w:bodyDiv w:val="1"/>
      <w:marLeft w:val="0"/>
      <w:marRight w:val="0"/>
      <w:marTop w:val="0"/>
      <w:marBottom w:val="0"/>
      <w:divBdr>
        <w:top w:val="none" w:sz="0" w:space="0" w:color="auto"/>
        <w:left w:val="none" w:sz="0" w:space="0" w:color="auto"/>
        <w:bottom w:val="none" w:sz="0" w:space="0" w:color="auto"/>
        <w:right w:val="none" w:sz="0" w:space="0" w:color="auto"/>
      </w:divBdr>
    </w:div>
    <w:div w:id="718288506">
      <w:bodyDiv w:val="1"/>
      <w:marLeft w:val="0"/>
      <w:marRight w:val="0"/>
      <w:marTop w:val="0"/>
      <w:marBottom w:val="0"/>
      <w:divBdr>
        <w:top w:val="none" w:sz="0" w:space="0" w:color="auto"/>
        <w:left w:val="none" w:sz="0" w:space="0" w:color="auto"/>
        <w:bottom w:val="none" w:sz="0" w:space="0" w:color="auto"/>
        <w:right w:val="none" w:sz="0" w:space="0" w:color="auto"/>
      </w:divBdr>
    </w:div>
    <w:div w:id="908005732">
      <w:bodyDiv w:val="1"/>
      <w:marLeft w:val="0"/>
      <w:marRight w:val="0"/>
      <w:marTop w:val="0"/>
      <w:marBottom w:val="0"/>
      <w:divBdr>
        <w:top w:val="none" w:sz="0" w:space="0" w:color="auto"/>
        <w:left w:val="none" w:sz="0" w:space="0" w:color="auto"/>
        <w:bottom w:val="none" w:sz="0" w:space="0" w:color="auto"/>
        <w:right w:val="none" w:sz="0" w:space="0" w:color="auto"/>
      </w:divBdr>
    </w:div>
    <w:div w:id="915018338">
      <w:bodyDiv w:val="1"/>
      <w:marLeft w:val="0"/>
      <w:marRight w:val="0"/>
      <w:marTop w:val="0"/>
      <w:marBottom w:val="0"/>
      <w:divBdr>
        <w:top w:val="none" w:sz="0" w:space="0" w:color="auto"/>
        <w:left w:val="none" w:sz="0" w:space="0" w:color="auto"/>
        <w:bottom w:val="none" w:sz="0" w:space="0" w:color="auto"/>
        <w:right w:val="none" w:sz="0" w:space="0" w:color="auto"/>
      </w:divBdr>
    </w:div>
    <w:div w:id="915360906">
      <w:bodyDiv w:val="1"/>
      <w:marLeft w:val="0"/>
      <w:marRight w:val="0"/>
      <w:marTop w:val="0"/>
      <w:marBottom w:val="0"/>
      <w:divBdr>
        <w:top w:val="none" w:sz="0" w:space="0" w:color="auto"/>
        <w:left w:val="none" w:sz="0" w:space="0" w:color="auto"/>
        <w:bottom w:val="none" w:sz="0" w:space="0" w:color="auto"/>
        <w:right w:val="none" w:sz="0" w:space="0" w:color="auto"/>
      </w:divBdr>
    </w:div>
    <w:div w:id="1096636468">
      <w:bodyDiv w:val="1"/>
      <w:marLeft w:val="0"/>
      <w:marRight w:val="0"/>
      <w:marTop w:val="0"/>
      <w:marBottom w:val="0"/>
      <w:divBdr>
        <w:top w:val="none" w:sz="0" w:space="0" w:color="auto"/>
        <w:left w:val="none" w:sz="0" w:space="0" w:color="auto"/>
        <w:bottom w:val="none" w:sz="0" w:space="0" w:color="auto"/>
        <w:right w:val="none" w:sz="0" w:space="0" w:color="auto"/>
      </w:divBdr>
    </w:div>
    <w:div w:id="1143233072">
      <w:bodyDiv w:val="1"/>
      <w:marLeft w:val="0"/>
      <w:marRight w:val="0"/>
      <w:marTop w:val="0"/>
      <w:marBottom w:val="0"/>
      <w:divBdr>
        <w:top w:val="none" w:sz="0" w:space="0" w:color="auto"/>
        <w:left w:val="none" w:sz="0" w:space="0" w:color="auto"/>
        <w:bottom w:val="none" w:sz="0" w:space="0" w:color="auto"/>
        <w:right w:val="none" w:sz="0" w:space="0" w:color="auto"/>
      </w:divBdr>
    </w:div>
    <w:div w:id="1259869633">
      <w:bodyDiv w:val="1"/>
      <w:marLeft w:val="0"/>
      <w:marRight w:val="0"/>
      <w:marTop w:val="0"/>
      <w:marBottom w:val="0"/>
      <w:divBdr>
        <w:top w:val="none" w:sz="0" w:space="0" w:color="auto"/>
        <w:left w:val="none" w:sz="0" w:space="0" w:color="auto"/>
        <w:bottom w:val="none" w:sz="0" w:space="0" w:color="auto"/>
        <w:right w:val="none" w:sz="0" w:space="0" w:color="auto"/>
      </w:divBdr>
    </w:div>
    <w:div w:id="1349528718">
      <w:bodyDiv w:val="1"/>
      <w:marLeft w:val="0"/>
      <w:marRight w:val="0"/>
      <w:marTop w:val="0"/>
      <w:marBottom w:val="0"/>
      <w:divBdr>
        <w:top w:val="none" w:sz="0" w:space="0" w:color="auto"/>
        <w:left w:val="none" w:sz="0" w:space="0" w:color="auto"/>
        <w:bottom w:val="none" w:sz="0" w:space="0" w:color="auto"/>
        <w:right w:val="none" w:sz="0" w:space="0" w:color="auto"/>
      </w:divBdr>
    </w:div>
    <w:div w:id="1349990279">
      <w:bodyDiv w:val="1"/>
      <w:marLeft w:val="0"/>
      <w:marRight w:val="0"/>
      <w:marTop w:val="0"/>
      <w:marBottom w:val="0"/>
      <w:divBdr>
        <w:top w:val="none" w:sz="0" w:space="0" w:color="auto"/>
        <w:left w:val="none" w:sz="0" w:space="0" w:color="auto"/>
        <w:bottom w:val="none" w:sz="0" w:space="0" w:color="auto"/>
        <w:right w:val="none" w:sz="0" w:space="0" w:color="auto"/>
      </w:divBdr>
    </w:div>
    <w:div w:id="1591623443">
      <w:bodyDiv w:val="1"/>
      <w:marLeft w:val="0"/>
      <w:marRight w:val="0"/>
      <w:marTop w:val="0"/>
      <w:marBottom w:val="0"/>
      <w:divBdr>
        <w:top w:val="none" w:sz="0" w:space="0" w:color="auto"/>
        <w:left w:val="none" w:sz="0" w:space="0" w:color="auto"/>
        <w:bottom w:val="none" w:sz="0" w:space="0" w:color="auto"/>
        <w:right w:val="none" w:sz="0" w:space="0" w:color="auto"/>
      </w:divBdr>
    </w:div>
    <w:div w:id="1702824462">
      <w:bodyDiv w:val="1"/>
      <w:marLeft w:val="0"/>
      <w:marRight w:val="0"/>
      <w:marTop w:val="0"/>
      <w:marBottom w:val="0"/>
      <w:divBdr>
        <w:top w:val="none" w:sz="0" w:space="0" w:color="auto"/>
        <w:left w:val="none" w:sz="0" w:space="0" w:color="auto"/>
        <w:bottom w:val="none" w:sz="0" w:space="0" w:color="auto"/>
        <w:right w:val="none" w:sz="0" w:space="0" w:color="auto"/>
      </w:divBdr>
    </w:div>
    <w:div w:id="1824925697">
      <w:bodyDiv w:val="1"/>
      <w:marLeft w:val="0"/>
      <w:marRight w:val="0"/>
      <w:marTop w:val="0"/>
      <w:marBottom w:val="0"/>
      <w:divBdr>
        <w:top w:val="none" w:sz="0" w:space="0" w:color="auto"/>
        <w:left w:val="none" w:sz="0" w:space="0" w:color="auto"/>
        <w:bottom w:val="none" w:sz="0" w:space="0" w:color="auto"/>
        <w:right w:val="none" w:sz="0" w:space="0" w:color="auto"/>
      </w:divBdr>
    </w:div>
    <w:div w:id="1826160641">
      <w:bodyDiv w:val="1"/>
      <w:marLeft w:val="0"/>
      <w:marRight w:val="0"/>
      <w:marTop w:val="0"/>
      <w:marBottom w:val="0"/>
      <w:divBdr>
        <w:top w:val="none" w:sz="0" w:space="0" w:color="auto"/>
        <w:left w:val="none" w:sz="0" w:space="0" w:color="auto"/>
        <w:bottom w:val="none" w:sz="0" w:space="0" w:color="auto"/>
        <w:right w:val="none" w:sz="0" w:space="0" w:color="auto"/>
      </w:divBdr>
    </w:div>
    <w:div w:id="1858544178">
      <w:bodyDiv w:val="1"/>
      <w:marLeft w:val="0"/>
      <w:marRight w:val="0"/>
      <w:marTop w:val="0"/>
      <w:marBottom w:val="0"/>
      <w:divBdr>
        <w:top w:val="none" w:sz="0" w:space="0" w:color="auto"/>
        <w:left w:val="none" w:sz="0" w:space="0" w:color="auto"/>
        <w:bottom w:val="none" w:sz="0" w:space="0" w:color="auto"/>
        <w:right w:val="none" w:sz="0" w:space="0" w:color="auto"/>
      </w:divBdr>
    </w:div>
    <w:div w:id="18615019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2831098">
      <w:bodyDiv w:val="1"/>
      <w:marLeft w:val="0"/>
      <w:marRight w:val="0"/>
      <w:marTop w:val="0"/>
      <w:marBottom w:val="0"/>
      <w:divBdr>
        <w:top w:val="none" w:sz="0" w:space="0" w:color="auto"/>
        <w:left w:val="none" w:sz="0" w:space="0" w:color="auto"/>
        <w:bottom w:val="none" w:sz="0" w:space="0" w:color="auto"/>
        <w:right w:val="none" w:sz="0" w:space="0" w:color="auto"/>
      </w:divBdr>
    </w:div>
    <w:div w:id="2023507756">
      <w:bodyDiv w:val="1"/>
      <w:marLeft w:val="0"/>
      <w:marRight w:val="0"/>
      <w:marTop w:val="0"/>
      <w:marBottom w:val="0"/>
      <w:divBdr>
        <w:top w:val="none" w:sz="0" w:space="0" w:color="auto"/>
        <w:left w:val="none" w:sz="0" w:space="0" w:color="auto"/>
        <w:bottom w:val="none" w:sz="0" w:space="0" w:color="auto"/>
        <w:right w:val="none" w:sz="0" w:space="0" w:color="auto"/>
      </w:divBdr>
    </w:div>
    <w:div w:id="209978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ultilateralfund.org/meeting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Download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287C24D-77C1-4188-BCA1-51BF972A0484}">
  <ds:schemaRefs>
    <ds:schemaRef ds:uri="http://schemas.microsoft.com/sharepoint/v3/contenttype/forms"/>
  </ds:schemaRefs>
</ds:datastoreItem>
</file>

<file path=customXml/itemProps2.xml><?xml version="1.0" encoding="utf-8"?>
<ds:datastoreItem xmlns:ds="http://schemas.openxmlformats.org/officeDocument/2006/customXml" ds:itemID="{4CE15F07-3966-404E-8118-C07532E59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63E98A-E856-44D2-B370-F21218D912D3}">
  <ds:schemaRefs>
    <ds:schemaRef ds:uri="http://schemas.openxmlformats.org/officeDocument/2006/bibliography"/>
  </ds:schemaRefs>
</ds:datastoreItem>
</file>

<file path=customXml/itemProps4.xml><?xml version="1.0" encoding="utf-8"?>
<ds:datastoreItem xmlns:ds="http://schemas.openxmlformats.org/officeDocument/2006/customXml" ds:itemID="{C69FFE94-26B8-4041-8A7B-96825C30E20A}">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Eec87G</Template>
  <TotalTime>11</TotalTime>
  <Pages>17</Pages>
  <Words>8032</Words>
  <Characters>45784</Characters>
  <Application>Microsoft Office Word</Application>
  <DocSecurity>0</DocSecurity>
  <Lines>381</Lines>
  <Paragraphs>107</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ExCom report to MOP37</vt:lpstr>
      <vt:lpstr>        The present report contains two sections and an annex as follows:</vt:lpstr>
      <vt:lpstr>        During the reporting period, the Executive Committee held its 97th and 98th meet</vt:lpstr>
      <vt:lpstr>        The 98th meeting was held in Montreal from 22 to 26 June 2026. The work of the 9</vt:lpstr>
      <vt:lpstr>        The reports of the 97th and 98th meetings  are available on the Multilateral Fun</vt:lpstr>
      <vt:lpstr>    A.	Policy matters related to the Kigali Amendment</vt:lpstr>
      <vt:lpstr>    1.	Strategic approaches to implementation of the Kigali Amendment</vt:lpstr>
      <vt:lpstr>        At the 98th meeting, the Executive Committee considered a document on strategic </vt:lpstr>
      <vt:lpstr>    Types of activities to facilitate transition in the refrigeration servicing and </vt:lpstr>
      <vt:lpstr>    Types of activities to facilitate manufacturing sector transition in the refrige</vt:lpstr>
      <vt:lpstr>    Possible elements to consider for future stages of the KIPs that would be part o</vt:lpstr>
      <vt:lpstr>    Lessons learned regarding the use of concessional funding by the Multilateral Fu</vt:lpstr>
      <vt:lpstr>    An update to the mapping of relevant activities undertaken by other funding inst</vt:lpstr>
      <vt:lpstr>        The Fund Secretariat was also requested to prepare, for the 102nd meeting, takin</vt:lpstr>
      <vt:lpstr>2.	Local installation and assembly subsector</vt:lpstr>
      <vt:lpstr>        Pursuant to decision 95/89, at the 98th meeting, the Executive Committee conside</vt:lpstr>
      <vt:lpstr>    3.	Deduction from the starting point for HFC consumption where Kigali HFC implem</vt:lpstr>
      <vt:lpstr>        At its 98th meeting, the Executive Committee considered the issue of the deducti</vt:lpstr>
      <vt:lpstr>    4.	Issues related to projects submitted under the operational framework on energ</vt:lpstr>
      <vt:lpstr>        At the 97th and 98th meetings, the Executive Committee discussed a number of mat</vt:lpstr>
      <vt:lpstr>    (a)	Proportion of equipment manufactured by an enterprise qualifying for the add</vt:lpstr>
      <vt:lpstr>        At the 97th meeting, the Executive Committee decided, for projects submitted und</vt:lpstr>
      <vt:lpstr>    (b)	Energy-efficiency projects under decision 94/60 for enterprises with convers</vt:lpstr>
      <vt:lpstr>        At its 98th meeting, after considering the issue of energy-efficiency projects u</vt:lpstr>
      <vt:lpstr>    (c)	Manufacturing volumes to be considered while evaluating additional component</vt:lpstr>
      <vt:lpstr>        At the 97th meeting, the Executive Committee decided to note that, for projects </vt:lpstr>
      <vt:lpstr>    (d)	Provision of additional capital costs to manufacturers that use complete kno</vt:lpstr>
      <vt:lpstr>        Also at the 97th meeting, following a discussion, the Executive Committee agreed</vt:lpstr>
      <vt:lpstr>    5.	Issues related to the energy-efficiency funding window established in decisio</vt:lpstr>
      <vt:lpstr>    (a)	Preparatory requests for projects related to energy efficiency pursuant to d</vt:lpstr>
      <vt:lpstr>        At its 98th meeting, the Executive Committee considered the issue of preparatory</vt:lpstr>
      <vt:lpstr>    (b)	Assessment of the funding window for energy efficiency established under dec</vt:lpstr>
      <vt:lpstr>        At the 98th meeting, an Executive Committee member said that there was a desire </vt:lpstr>
      <vt:lpstr>    6.	Operationalization of centres of excellence for sustainable cooling and testi</vt:lpstr>
      <vt:lpstr>    (a)	Operationalization of centres of excellence for sustainable cooling</vt:lpstr>
      <vt:lpstr>        At the 97th meeting, pursuant to decision 95/87(e), the Executive Committee cons</vt:lpstr>
      <vt:lpstr>        The Committee requested the Fund Secretariat to prepare, for the 99th meeting, t</vt:lpstr>
      <vt:lpstr>    (b)	Operationalization of testing centres for energy efficiency</vt:lpstr>
      <vt:lpstr>        At the 97th meeting, also pursuant to decision 95/87(e), the Executive Committee</vt:lpstr>
      <vt:lpstr>        At the 98th meeting, the Executive Committee considered the requested informatio</vt:lpstr>
      <vt:lpstr>        At the 98th meeting, while considering requests for funding for projects submitt</vt:lpstr>
      <vt:lpstr>8.	Consideration of the establishment of a funding window in line with decision </vt:lpstr>
      <vt:lpstr>        At its 97th meeting, the Executive Committee considered a report prepared pursua</vt:lpstr>
      <vt:lpstr>        At its 97th meeting, the Executive Committee also examined whether to extend the</vt:lpstr>
      <vt:lpstr>8.	Challenges in implementing conversion projects in the refrigeration, air-cond</vt:lpstr>
      <vt:lpstr>        Pursuant to decision 96/59, at its 98th meeting, the Executive Committee conside</vt:lpstr>
      <vt:lpstr>9.	Methodology used to calculate the climate impacts from the implementation of </vt:lpstr>
      <vt:lpstr>        At its 97th meeting, the Executive Committee discussed the methodology used to c</vt:lpstr>
      <vt:lpstr>        At the 98th meeting, the Executive Committee continued its consideration of the </vt:lpstr>
      <vt:lpstr>    10.	Verification issues</vt:lpstr>
      <vt:lpstr>    (a)	Funding withheld in cases of non-submission of the verification report with </vt:lpstr>
      <vt:lpstr>        At its 98th meeting, after considering the issue of funding withheld in cases of</vt:lpstr>
      <vt:lpstr>    (b)	Verification of compliance of selected low-volume-consuming countries with t</vt:lpstr>
      <vt:lpstr>        At the 98th meeting, the Executive Committee noted  that relevant bilateral and </vt:lpstr>
      <vt:lpstr>B.	All other policy matters</vt:lpstr>
      <vt:lpstr>1.	Matters relating to pilot projects to enhance regional atmospheric monitoring</vt:lpstr>
      <vt:lpstr>        Pursuant to decision 96/56, at the 98th meeting, the Executive Committee conside</vt:lpstr>
      <vt:lpstr>        Following discussions in plenary and in a contact group, the Executive Committee</vt:lpstr>
      <vt:lpstr>        The Executive Committee encouraged Article 5 countries to make use of the expert</vt:lpstr>
      <vt:lpstr>        The Committee noted that bilateral and implementing agencies of pilot projects t</vt:lpstr>
      <vt:lpstr>        The bilateral and implementing agencies were requested to include, in their rele</vt:lpstr>
      <vt:lpstr>2.	Alternatives in polyurethane-foam manufacturing, with a focus on small and me</vt:lpstr>
      <vt:lpstr>        At its 98th meeting, pursuant to decision 96/53(c), the Executive Committee cons</vt:lpstr>
      <vt:lpstr>3.	Implementation of decision XXXV/13 on the import and export of prohibited coo</vt:lpstr>
      <vt:lpstr>        At the 98th meeting, the Executive Committee, taking into account decision XXXV/</vt:lpstr>
      <vt:lpstr>4.	Review of the possibility of integration of reporting through project complet</vt:lpstr>
      <vt:lpstr>        At the 97th meeting, pursuant to decision 95/91(e), the Executive Committee cons</vt:lpstr>
      <vt:lpstr>5.	Midterm progress report on the implementation of the results framework</vt:lpstr>
      <vt:lpstr>        At the 97th meeting, the Executive Committee considered, pursuant to decision 93</vt:lpstr>
      <vt:lpstr>6.	Sub-group on the Production Sector</vt:lpstr>
      <vt:lpstr>        The Sub-group on the Production Sector met on the margins of the 97th meeting, p</vt:lpstr>
      <vt:lpstr>        Owing to time constraints, however, there was no meeting of the Sub-group on the</vt:lpstr>
      <vt:lpstr>7.	Assessment of the implementation of the Multilateral Fund gender mainstreamin</vt:lpstr>
      <vt:lpstr>        At the 98th meeting, during the adoption of the agenda, the Executive Committee </vt:lpstr>
      <vt:lpstr>    C.	Projects, implementation, and monitoring</vt:lpstr>
      <vt:lpstr>    1.	Approvals made during the reporting period</vt:lpstr>
      <vt:lpstr>        During the reporting period, the Executive Committee approved a total of ?? addi</vt:lpstr>
      <vt:lpstr>        At the 97th and 98th meetings, after consideration of the documents on projects </vt:lpstr>
      <vt:lpstr>(a)	Investment projects</vt:lpstr>
      <vt:lpstr>HCFC phase-out management plans</vt:lpstr>
      <vt:lpstr>        At the 97th meeting, the Executive Committee approved tranches of HPMPs for 19 c</vt:lpstr>
      <vt:lpstr>        Also at the 97th meeting, the Executive Committee approved individual project pr</vt:lpstr>
      <vt:lpstr>        At the 98th meeting, the Executive Committee approved tranches of HPMPs for 17 c</vt:lpstr>
      <vt:lpstr>        Also at the 98th meeting, the Executive Committee approved individual project pr</vt:lpstr>
      <vt:lpstr>        At the 97th meeting, the Executive Committee approved, in principle, stage I of </vt:lpstr>
      <vt:lpstr>        Also at the 97th meeting, in terms of stand-alone pilot projects related to main</vt:lpstr>
      <vt:lpstr>        At the 98th meeting, the Executive Committee approved, in principle, stage I of </vt:lpstr>
      <vt:lpstr>        Also at the 98th meeting, in terms of stand-alone pilot projects related to main</vt:lpstr>
      <vt:lpstr>(b)	Non-investment activities</vt:lpstr>
      <vt:lpstr>        At the 97th meeting, the Executive Committee approved all but one of the non-inv</vt:lpstr>
      <vt:lpstr>        At the 98th meeting, the Executive Committee approved all but five of the non-in</vt:lpstr>
      <vt:lpstr>(c)	2025 UNEP Compliance Assistance Programme budget </vt:lpstr>
      <vt:lpstr>        At the 97th meeting, the Executive Committee noted the 2025 progress report and </vt:lpstr>
      <vt:lpstr>(d)	Core unit costs for UNDP, UNIDO and the World Bank</vt:lpstr>
      <vt:lpstr>        At the 97th meeting, the Executive Committee approved the 2026 core unit budgets</vt:lpstr>
      <vt:lpstr>    2.	Implementation and reporting</vt:lpstr>
      <vt:lpstr>        (a)	Country programme data and prospects for compliance</vt:lpstr>
      <vt:lpstr>        At the 97th meeting  and the 98th meeting,  the Executive Committee considered d</vt:lpstr>
      <vt:lpstr>        (b)	Tranche submission delays</vt:lpstr>
      <vt:lpstr>        At the 98th meeting, the Executive Committee considered a report on tranche subm</vt:lpstr>
      <vt:lpstr>        (c)	Progress reports</vt:lpstr>
    </vt:vector>
  </TitlesOfParts>
  <Company>UNMFS</Company>
  <LinksUpToDate>false</LinksUpToDate>
  <CharactersWithSpaces>53709</CharactersWithSpaces>
  <SharedDoc>false</SharedDoc>
  <HLinks>
    <vt:vector size="6" baseType="variant">
      <vt:variant>
        <vt:i4>5242953</vt:i4>
      </vt:variant>
      <vt:variant>
        <vt:i4>0</vt:i4>
      </vt:variant>
      <vt:variant>
        <vt:i4>0</vt:i4>
      </vt:variant>
      <vt:variant>
        <vt:i4>5</vt:i4>
      </vt:variant>
      <vt:variant>
        <vt:lpwstr>https://www.multilateralfund.org/meetings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ExCom report to MOP37</dc:title>
  <dc:subject/>
  <dc:creator>Natalie Barker</dc:creator>
  <cp:keywords/>
  <cp:lastModifiedBy>Elina Yuen</cp:lastModifiedBy>
  <cp:revision>7</cp:revision>
  <cp:lastPrinted>2001-05-27T04:40:00Z</cp:lastPrinted>
  <dcterms:created xsi:type="dcterms:W3CDTF">2026-09-08T13:33:00Z</dcterms:created>
  <dcterms:modified xsi:type="dcterms:W3CDTF">2026-09-08T13:53:00Z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7/28/2025</vt:lpwstr>
  </property>
  <property fmtid="{D5CDD505-2E9C-101B-9397-08002B2CF9AE}" pid="3" name="ContentTypeId">
    <vt:lpwstr>0x010100C5F60F8E60516143877F7AC30EFBB2F3</vt:lpwstr>
  </property>
  <property fmtid="{D5CDD505-2E9C-101B-9397-08002B2CF9AE}" pid="4" name="MediaServiceImageTags">
    <vt:lpwstr/>
  </property>
  <property fmtid="{D5CDD505-2E9C-101B-9397-08002B2CF9AE}" pid="5" name="Document number">
    <vt:lpwstr>UNEP/OzL.Pro.37/8</vt:lpwstr>
  </property>
</Properties>
</file>