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E7" w:rsidRPr="006308D9" w:rsidRDefault="00455F2E" w:rsidP="001C78E7">
      <w:pPr>
        <w:pStyle w:val="CH2"/>
        <w:rPr>
          <w:lang w:val="en-US"/>
        </w:rPr>
      </w:pPr>
      <w:r>
        <w:rPr>
          <w:lang w:val="en-US"/>
        </w:rPr>
        <w:tab/>
      </w:r>
      <w:r>
        <w:rPr>
          <w:lang w:val="en-US"/>
        </w:rPr>
        <w:tab/>
      </w:r>
      <w:r w:rsidR="001C78E7" w:rsidRPr="006308D9">
        <w:rPr>
          <w:lang w:val="en-US"/>
        </w:rPr>
        <w:t>Draft decision XXIX</w:t>
      </w:r>
      <w:proofErr w:type="gramStart"/>
      <w:r w:rsidR="001C78E7" w:rsidRPr="006308D9">
        <w:rPr>
          <w:lang w:val="en-US"/>
        </w:rPr>
        <w:t>/[</w:t>
      </w:r>
      <w:proofErr w:type="gramEnd"/>
      <w:r w:rsidR="001C78E7" w:rsidRPr="006308D9">
        <w:rPr>
          <w:lang w:val="en-US"/>
        </w:rPr>
        <w:t>CC]: Financial reports and budgets for the Montreal Protocol</w:t>
      </w:r>
    </w:p>
    <w:p w:rsidR="001C78E7" w:rsidRPr="006308D9" w:rsidRDefault="001C78E7" w:rsidP="001C78E7">
      <w:pPr>
        <w:tabs>
          <w:tab w:val="left" w:pos="624"/>
        </w:tabs>
        <w:spacing w:after="120"/>
        <w:ind w:left="1247" w:firstLine="624"/>
        <w:rPr>
          <w:i/>
        </w:rPr>
      </w:pPr>
      <w:r w:rsidRPr="006308D9">
        <w:rPr>
          <w:i/>
        </w:rPr>
        <w:t>The Twenty-Ninth Meeting of the Parties decides:</w:t>
      </w:r>
    </w:p>
    <w:p w:rsidR="001C78E7" w:rsidRPr="006308D9" w:rsidRDefault="001C78E7" w:rsidP="001C78E7">
      <w:pPr>
        <w:tabs>
          <w:tab w:val="left" w:pos="624"/>
        </w:tabs>
        <w:spacing w:after="120"/>
        <w:ind w:left="1247" w:firstLine="624"/>
      </w:pPr>
      <w:r w:rsidRPr="006308D9">
        <w:rPr>
          <w:i/>
        </w:rPr>
        <w:t xml:space="preserve">Recalling </w:t>
      </w:r>
      <w:r w:rsidRPr="006308D9">
        <w:t>decision XXVIII/16 on financial reports and budgets for the Montreal Protocol</w:t>
      </w:r>
      <w:r>
        <w:t xml:space="preserve"> on Substances that Deplete the Ozone Layer</w:t>
      </w:r>
      <w:r w:rsidRPr="006308D9">
        <w:t>,</w:t>
      </w:r>
    </w:p>
    <w:p w:rsidR="001C78E7" w:rsidRPr="00533FB6" w:rsidRDefault="001C78E7" w:rsidP="001C78E7">
      <w:pPr>
        <w:tabs>
          <w:tab w:val="left" w:pos="624"/>
          <w:tab w:val="left" w:pos="6660"/>
        </w:tabs>
        <w:spacing w:after="120"/>
        <w:ind w:left="1247" w:firstLine="624"/>
        <w:rPr>
          <w:bCs/>
          <w:i/>
        </w:rPr>
      </w:pPr>
      <w:r w:rsidRPr="006308D9">
        <w:rPr>
          <w:i/>
        </w:rPr>
        <w:t xml:space="preserve">Taking note </w:t>
      </w:r>
      <w:r w:rsidRPr="006308D9">
        <w:t>of the</w:t>
      </w:r>
      <w:r w:rsidRPr="004B7F34">
        <w:t xml:space="preserve"> </w:t>
      </w:r>
      <w:r w:rsidRPr="006308D9">
        <w:t>f</w:t>
      </w:r>
      <w:r w:rsidRPr="004B7F34">
        <w:t>inancial report</w:t>
      </w:r>
      <w:r>
        <w:t xml:space="preserve"> on the T</w:t>
      </w:r>
      <w:r w:rsidRPr="004B7F34">
        <w:t xml:space="preserve">rust </w:t>
      </w:r>
      <w:r>
        <w:t>F</w:t>
      </w:r>
      <w:r w:rsidRPr="004B7F34">
        <w:t xml:space="preserve">und for the Montreal Protocol on Substances that Deplete the Ozone Layer </w:t>
      </w:r>
      <w:r w:rsidRPr="006308D9">
        <w:t>for the fiscal year 2016,</w:t>
      </w:r>
      <w:r w:rsidRPr="00533FB6">
        <w:rPr>
          <w:vertAlign w:val="superscript"/>
        </w:rPr>
        <w:footnoteReference w:id="1"/>
      </w:r>
    </w:p>
    <w:p w:rsidR="001C78E7" w:rsidRPr="006308D9" w:rsidRDefault="001C78E7" w:rsidP="001C78E7">
      <w:pPr>
        <w:tabs>
          <w:tab w:val="left" w:pos="624"/>
        </w:tabs>
        <w:spacing w:after="120"/>
        <w:ind w:left="1247" w:firstLine="624"/>
        <w:rPr>
          <w:i/>
        </w:rPr>
      </w:pPr>
      <w:r w:rsidRPr="006308D9">
        <w:rPr>
          <w:i/>
        </w:rPr>
        <w:t xml:space="preserve">Recognizing </w:t>
      </w:r>
      <w:r w:rsidRPr="006308D9">
        <w:t xml:space="preserve">that </w:t>
      </w:r>
      <w:r w:rsidRPr="00E114EE">
        <w:t xml:space="preserve">voluntary </w:t>
      </w:r>
      <w:r w:rsidRPr="00E114EE">
        <w:rPr>
          <w:bCs/>
          <w:color w:val="000000"/>
        </w:rPr>
        <w:t>contributions</w:t>
      </w:r>
      <w:r w:rsidRPr="006308D9">
        <w:t xml:space="preserve"> </w:t>
      </w:r>
      <w:r>
        <w:t xml:space="preserve">once agreed </w:t>
      </w:r>
      <w:r w:rsidRPr="006308D9">
        <w:t>are an essential complement for the effective implementation of the Montreal Protocol,</w:t>
      </w:r>
    </w:p>
    <w:p w:rsidR="001C78E7" w:rsidRPr="006308D9" w:rsidRDefault="001C78E7" w:rsidP="001C78E7">
      <w:pPr>
        <w:tabs>
          <w:tab w:val="left" w:pos="624"/>
        </w:tabs>
        <w:spacing w:after="120"/>
        <w:ind w:left="1247" w:firstLine="624"/>
      </w:pPr>
      <w:r w:rsidRPr="006308D9">
        <w:rPr>
          <w:i/>
        </w:rPr>
        <w:t xml:space="preserve">Welcoming </w:t>
      </w:r>
      <w:r w:rsidRPr="006308D9">
        <w:t>the continued efficient management by the Secretariat of the finances of the Trust Fund for the Montreal Protocol,</w:t>
      </w:r>
    </w:p>
    <w:p w:rsidR="002E5738" w:rsidRDefault="002E5738"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0E6083">
        <w:t xml:space="preserve">To </w:t>
      </w:r>
      <w:r w:rsidR="00686449">
        <w:t>express appreciation to</w:t>
      </w:r>
      <w:r w:rsidRPr="000E6083">
        <w:t xml:space="preserve"> </w:t>
      </w:r>
      <w:r>
        <w:t xml:space="preserve">the Government of </w:t>
      </w:r>
      <w:r w:rsidR="00686449">
        <w:t xml:space="preserve">Canada for the </w:t>
      </w:r>
      <w:r w:rsidR="00C7610C">
        <w:t xml:space="preserve">generous </w:t>
      </w:r>
      <w:r w:rsidRPr="000E6083">
        <w:t xml:space="preserve">hosting of and contribution towards the present meeting, and to allocate 50% of Canada's </w:t>
      </w:r>
      <w:bookmarkStart w:id="0" w:name="_GoBack"/>
      <w:bookmarkEnd w:id="0"/>
      <w:r w:rsidRPr="000E6083">
        <w:t>contribution entitled "contribution for the organization of the joint 29th Meeting of the Parties to the Montreal Protocol and the 11th Conference of the Par</w:t>
      </w:r>
      <w:r w:rsidR="000E6083" w:rsidRPr="000E6083">
        <w:t xml:space="preserve">ties to the Vienna Convention" </w:t>
      </w:r>
      <w:r w:rsidRPr="000E6083">
        <w:t>towards the Montreal Protocol Trust Fund to be reflected in t</w:t>
      </w:r>
      <w:r w:rsidR="00E00968">
        <w:t>h</w:t>
      </w:r>
      <w:r w:rsidR="00686449">
        <w:t>e financial statement for 2017;</w:t>
      </w:r>
      <w:r w:rsidRPr="000E6083">
        <w:t> </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approve the revised 2017 budget in the amount</w:t>
      </w:r>
      <w:r w:rsidR="001304AC">
        <w:t xml:space="preserve"> of $5,145,954 </w:t>
      </w:r>
      <w:r w:rsidR="00686449">
        <w:t>and the budget of $5,546,722</w:t>
      </w:r>
      <w:r w:rsidRPr="006308D9">
        <w:t xml:space="preserve"> for 2018, as set out in annex [XX] to the report of the </w:t>
      </w:r>
      <w:r w:rsidRPr="000E6083">
        <w:t xml:space="preserve">Twenty-Ninth Meeting of the </w:t>
      </w:r>
      <w:r w:rsidRPr="006308D9">
        <w:t>Parties to the Montreal Protocol;</w:t>
      </w:r>
      <w:r w:rsidRPr="00E00968">
        <w:rPr>
          <w:vertAlign w:val="superscript"/>
        </w:rPr>
        <w:footnoteReference w:id="2"/>
      </w:r>
    </w:p>
    <w:p w:rsidR="002E5738" w:rsidRPr="006308D9"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approve the contributions to</w:t>
      </w:r>
      <w:r w:rsidR="00686449">
        <w:t xml:space="preserve"> be paid by the parties of $5,546,722</w:t>
      </w:r>
      <w:r w:rsidRPr="006308D9">
        <w:t xml:space="preserve"> for 2018 and to</w:t>
      </w:r>
      <w:r w:rsidR="00686449">
        <w:t xml:space="preserve"> note the contributions of $5,594,470</w:t>
      </w:r>
      <w:r w:rsidRPr="006308D9">
        <w:t xml:space="preserve"> for </w:t>
      </w:r>
      <w:r w:rsidRPr="000E6083">
        <w:t>2019</w:t>
      </w:r>
      <w:r w:rsidRPr="006308D9">
        <w:t>, as set out in annex [XX] to the report of the Twenty-Ninth Meeting of the Parties;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That the contributions of individual parties for 2018 and indicative contributions for 2019 shall be listed in annex [XX] to the report of the </w:t>
      </w:r>
      <w:r w:rsidRPr="000E6083">
        <w:t>Twenty-</w:t>
      </w:r>
      <w:r w:rsidRPr="006308D9">
        <w:t>Ninth Meeting of the Parties;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w:t>
      </w:r>
      <w:r w:rsidRPr="000E6083">
        <w:t>reaffirm</w:t>
      </w:r>
      <w:r w:rsidRPr="006308D9">
        <w:t xml:space="preserve"> a working capital reserve at a level of 15 per cent of the annual budget to be used to meet the final expenditures under the Trust Fund; </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encourage parties, non-parties and other stakeholders to contribute financially and by other means </w:t>
      </w:r>
      <w:r w:rsidRPr="000E6083">
        <w:t>to</w:t>
      </w:r>
      <w:r w:rsidRPr="006308D9">
        <w:t xml:space="preserve"> assist members of the three assessment panels and their subsidiary bodies with a view to ensuring their continued participation in assessment activities under the Protocol;</w:t>
      </w:r>
    </w:p>
    <w:p w:rsidR="002E5738"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note with concern that a number of parties have not paid their contributions</w:t>
      </w:r>
      <w:r w:rsidRPr="00533FB6">
        <w:t xml:space="preserve"> for 2017 and prior years, and to urge those parties to pay both their outstanding contributions and their future contributions promptly and in full</w:t>
      </w:r>
      <w:r w:rsidRPr="006308D9">
        <w:t>;</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request the Executive Secretary and to invite the President of the Meeting of the Parties to enter into discussions with any party whose contributions are outstanding for two or more years with a view to finding a way forward, and to request that the Executive Secret</w:t>
      </w:r>
      <w:r>
        <w:t>ary report to the 30</w:t>
      </w:r>
      <w:r w:rsidRPr="004767FD">
        <w:t>th Meeting of the Parties on the outcome of the discussions;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decide to further consider how to address outstanding contributions to the trust fund at its next meeting and requests the Executive Secretary to continue to publish and regularly update information on the status of contributions to the Protocol's Trust Funds;</w:t>
      </w:r>
    </w:p>
    <w:p w:rsidR="002E5738"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request the Secretariat to ensure the full utilization of programme suppo</w:t>
      </w:r>
      <w:r>
        <w:t>rt costs available to it in 2018</w:t>
      </w:r>
      <w:r w:rsidRPr="004767FD">
        <w:t xml:space="preserve"> and later years and where possible to offset those costs against the administrative components of the approved budget;</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lastRenderedPageBreak/>
        <w:t>To request the Secretariat to indicate in future financial reports of the Trust Fund for the Montreal Protocol the amounts of cash on hand in the section entitled “Total reserves and fund balances” in addition to contributions that have not yet been received.</w:t>
      </w:r>
    </w:p>
    <w:p w:rsidR="001C78E7" w:rsidRPr="000E6083"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0E6083">
        <w:t>Requ</w:t>
      </w:r>
      <w:r w:rsidR="00EF4098">
        <w:t xml:space="preserve">ests the Executive  Secretary to prepare a results-based </w:t>
      </w:r>
      <w:r w:rsidRPr="000E6083">
        <w:t>bud</w:t>
      </w:r>
      <w:r w:rsidR="00EF4098">
        <w:t xml:space="preserve">get and </w:t>
      </w:r>
      <w:r w:rsidRPr="000E6083">
        <w:t xml:space="preserve">work programmes for the </w:t>
      </w:r>
      <w:r w:rsidR="00075801" w:rsidRPr="000E6083">
        <w:t>years 2019 and 2020</w:t>
      </w:r>
      <w:r w:rsidR="00EF4098">
        <w:t xml:space="preserve">, presenting two budget scenarios, and work programmes based on the projected </w:t>
      </w:r>
      <w:r w:rsidR="00E00968">
        <w:t xml:space="preserve">needs </w:t>
      </w:r>
      <w:r w:rsidR="00EF4098">
        <w:t xml:space="preserve">for the </w:t>
      </w:r>
      <w:r w:rsidR="00E00968">
        <w:t>biennium</w:t>
      </w:r>
      <w:r w:rsidR="00EF4098">
        <w:t xml:space="preserve"> in </w:t>
      </w:r>
      <w:r w:rsidR="00E00968">
        <w:t>(</w:t>
      </w:r>
      <w:proofErr w:type="spellStart"/>
      <w:r w:rsidR="00E00968">
        <w:t>i</w:t>
      </w:r>
      <w:proofErr w:type="spellEnd"/>
      <w:r w:rsidR="00EF4098">
        <w:t>) a zero nominal growth scenario; and</w:t>
      </w:r>
      <w:r w:rsidRPr="000E6083">
        <w:t xml:space="preserve"> (</w:t>
      </w:r>
      <w:r w:rsidR="00E00968">
        <w:t>ii</w:t>
      </w:r>
      <w:r w:rsidR="00EF4098">
        <w:t>) a scenario based on</w:t>
      </w:r>
      <w:r w:rsidRPr="000E6083">
        <w:t xml:space="preserve"> further</w:t>
      </w:r>
      <w:r w:rsidR="00EF4098">
        <w:t xml:space="preserve"> recommended adjustments to the first scenario </w:t>
      </w:r>
      <w:r w:rsidRPr="000E6083">
        <w:t>and</w:t>
      </w:r>
      <w:r w:rsidR="00EF4098">
        <w:t xml:space="preserve"> the </w:t>
      </w:r>
      <w:r w:rsidRPr="000E6083">
        <w:t xml:space="preserve">added </w:t>
      </w:r>
      <w:r w:rsidR="00EF4098">
        <w:t xml:space="preserve">costs or savings related </w:t>
      </w:r>
      <w:r w:rsidRPr="000E6083">
        <w:t>to them;</w:t>
      </w:r>
    </w:p>
    <w:p w:rsidR="00E00968" w:rsidRDefault="00E00968">
      <w:pPr>
        <w:tabs>
          <w:tab w:val="clear" w:pos="1247"/>
          <w:tab w:val="clear" w:pos="1814"/>
          <w:tab w:val="clear" w:pos="2381"/>
          <w:tab w:val="clear" w:pos="2948"/>
          <w:tab w:val="clear" w:pos="3515"/>
        </w:tabs>
        <w:spacing w:after="200" w:line="276" w:lineRule="auto"/>
      </w:pPr>
      <w:r>
        <w:br w:type="page"/>
      </w:r>
    </w:p>
    <w:p w:rsidR="001C78E7" w:rsidRPr="004767FD" w:rsidRDefault="001C78E7" w:rsidP="001C78E7">
      <w:pPr>
        <w:pStyle w:val="Normalnumber"/>
        <w:numPr>
          <w:ilvl w:val="0"/>
          <w:numId w:val="0"/>
        </w:numPr>
        <w:tabs>
          <w:tab w:val="clear" w:pos="1247"/>
          <w:tab w:val="clear" w:pos="1814"/>
          <w:tab w:val="clear" w:pos="2381"/>
          <w:tab w:val="clear" w:pos="2948"/>
          <w:tab w:val="clear" w:pos="3515"/>
        </w:tabs>
        <w:ind w:left="1247"/>
      </w:pPr>
    </w:p>
    <w:p w:rsidR="001C78E7" w:rsidRPr="001F0F53" w:rsidRDefault="00455F2E" w:rsidP="001C78E7">
      <w:pPr>
        <w:pStyle w:val="ZZAnxheader"/>
      </w:pPr>
      <w:r>
        <w:tab/>
      </w:r>
      <w:r w:rsidR="001C78E7" w:rsidRPr="001F0F53">
        <w:t>Annex I</w:t>
      </w:r>
    </w:p>
    <w:p w:rsidR="001C78E7" w:rsidRPr="001F0F53" w:rsidRDefault="001C78E7" w:rsidP="001C78E7">
      <w:pPr>
        <w:pStyle w:val="ZZAnxtitle"/>
      </w:pPr>
      <w:r w:rsidRPr="001F0F53">
        <w:t>Trust fund for the Montreal Protocol on substances that deplete the Ozone Layer</w:t>
      </w:r>
    </w:p>
    <w:p w:rsidR="001C78E7" w:rsidRPr="001F0F53" w:rsidRDefault="001C78E7" w:rsidP="001C78E7">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2018 and proposed 2019</w:t>
      </w:r>
      <w:r w:rsidRPr="001F0F53">
        <w:rPr>
          <w:rFonts w:eastAsiaTheme="minorHAnsi"/>
        </w:rPr>
        <w:t xml:space="preserve"> budgets (in United States dollars)</w:t>
      </w:r>
    </w:p>
    <w:p w:rsidR="00B51D07" w:rsidRPr="00B964BF" w:rsidRDefault="00455F2E" w:rsidP="00B51D07">
      <w:pPr>
        <w:pStyle w:val="Titlefigure"/>
        <w:rPr>
          <w:b w:val="0"/>
          <w:sz w:val="17"/>
          <w:szCs w:val="17"/>
        </w:rPr>
      </w:pPr>
      <w:r w:rsidRPr="00B964BF">
        <w:rPr>
          <w:b w:val="0"/>
          <w:sz w:val="17"/>
          <w:szCs w:val="17"/>
        </w:rPr>
        <w:t xml:space="preserve"> </w:t>
      </w:r>
      <w:r w:rsidR="00B51D07" w:rsidRPr="00B964BF">
        <w:rPr>
          <w:b w:val="0"/>
          <w:sz w:val="17"/>
          <w:szCs w:val="17"/>
        </w:rPr>
        <w:t>(United States dollars)</w:t>
      </w:r>
    </w:p>
    <w:tbl>
      <w:tblPr>
        <w:tblW w:w="5000" w:type="pct"/>
        <w:jc w:val="right"/>
        <w:tblLayout w:type="fixed"/>
        <w:tblLook w:val="04A0" w:firstRow="1" w:lastRow="0" w:firstColumn="1" w:lastColumn="0" w:noHBand="0" w:noVBand="1"/>
      </w:tblPr>
      <w:tblGrid>
        <w:gridCol w:w="1086"/>
        <w:gridCol w:w="5477"/>
        <w:gridCol w:w="1122"/>
        <w:gridCol w:w="954"/>
        <w:gridCol w:w="937"/>
      </w:tblGrid>
      <w:tr w:rsidR="00B51D07" w:rsidRPr="00B964BF" w:rsidTr="000C198C">
        <w:trPr>
          <w:trHeight w:val="63"/>
          <w:tblHeader/>
          <w:jc w:val="right"/>
        </w:trPr>
        <w:tc>
          <w:tcPr>
            <w:tcW w:w="567" w:type="pct"/>
            <w:tcBorders>
              <w:top w:val="single" w:sz="8" w:space="0" w:color="auto"/>
              <w:left w:val="nil"/>
              <w:bottom w:val="single" w:sz="12" w:space="0" w:color="auto"/>
              <w:right w:val="nil"/>
            </w:tcBorders>
          </w:tcPr>
          <w:p w:rsidR="00B51D07" w:rsidRPr="00B964BF" w:rsidRDefault="00B51D07" w:rsidP="000C198C">
            <w:pPr>
              <w:keepNext/>
              <w:keepLines/>
              <w:spacing w:before="40" w:after="40"/>
              <w:rPr>
                <w:i/>
                <w:color w:val="000000"/>
                <w:sz w:val="18"/>
              </w:rPr>
            </w:pPr>
          </w:p>
        </w:tc>
        <w:tc>
          <w:tcPr>
            <w:tcW w:w="2860"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rPr>
                <w:i/>
                <w:color w:val="000000"/>
                <w:sz w:val="18"/>
              </w:rPr>
            </w:pPr>
            <w:r w:rsidRPr="00B964BF">
              <w:rPr>
                <w:i/>
                <w:color w:val="000000"/>
                <w:sz w:val="18"/>
              </w:rPr>
              <w:t>Cost category</w:t>
            </w:r>
          </w:p>
        </w:tc>
        <w:tc>
          <w:tcPr>
            <w:tcW w:w="586"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jc w:val="center"/>
              <w:rPr>
                <w:i/>
                <w:color w:val="000000"/>
                <w:sz w:val="18"/>
              </w:rPr>
            </w:pPr>
            <w:r w:rsidRPr="00B964BF">
              <w:rPr>
                <w:i/>
                <w:color w:val="000000"/>
                <w:sz w:val="18"/>
              </w:rPr>
              <w:t>Revised 2017</w:t>
            </w:r>
          </w:p>
        </w:tc>
        <w:tc>
          <w:tcPr>
            <w:tcW w:w="498"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jc w:val="center"/>
              <w:rPr>
                <w:i/>
                <w:color w:val="000000"/>
                <w:sz w:val="18"/>
              </w:rPr>
            </w:pPr>
            <w:r w:rsidRPr="00B964BF">
              <w:rPr>
                <w:i/>
                <w:color w:val="000000"/>
                <w:sz w:val="18"/>
              </w:rPr>
              <w:t>Proposed 2018</w:t>
            </w:r>
          </w:p>
        </w:tc>
        <w:tc>
          <w:tcPr>
            <w:tcW w:w="489"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jc w:val="center"/>
              <w:rPr>
                <w:i/>
                <w:color w:val="000000"/>
                <w:sz w:val="18"/>
              </w:rPr>
            </w:pPr>
            <w:r w:rsidRPr="00B964BF">
              <w:rPr>
                <w:i/>
                <w:color w:val="000000"/>
                <w:sz w:val="18"/>
              </w:rPr>
              <w:t>Proposed 2019</w:t>
            </w:r>
          </w:p>
        </w:tc>
      </w:tr>
      <w:tr w:rsidR="00B51D07" w:rsidRPr="00B964BF" w:rsidTr="000C198C">
        <w:trPr>
          <w:trHeight w:val="73"/>
          <w:jc w:val="right"/>
        </w:trPr>
        <w:tc>
          <w:tcPr>
            <w:tcW w:w="567" w:type="pct"/>
            <w:tcBorders>
              <w:top w:val="single" w:sz="12" w:space="0" w:color="auto"/>
              <w:left w:val="nil"/>
              <w:right w:val="nil"/>
            </w:tcBorders>
          </w:tcPr>
          <w:p w:rsidR="00B51D07" w:rsidRPr="00B964BF" w:rsidRDefault="00B51D07" w:rsidP="000C198C">
            <w:pPr>
              <w:keepNext/>
              <w:keepLines/>
              <w:spacing w:before="40" w:after="40"/>
              <w:jc w:val="right"/>
              <w:rPr>
                <w:color w:val="000000"/>
                <w:sz w:val="18"/>
              </w:rPr>
            </w:pPr>
            <w:r w:rsidRPr="00B964BF">
              <w:rPr>
                <w:color w:val="000000"/>
                <w:sz w:val="18"/>
              </w:rPr>
              <w:t>1000</w:t>
            </w:r>
          </w:p>
        </w:tc>
        <w:tc>
          <w:tcPr>
            <w:tcW w:w="2860" w:type="pct"/>
            <w:tcBorders>
              <w:top w:val="single" w:sz="12" w:space="0" w:color="auto"/>
              <w:left w:val="nil"/>
              <w:right w:val="nil"/>
            </w:tcBorders>
            <w:shd w:val="clear" w:color="auto" w:fill="auto"/>
            <w:noWrap/>
            <w:vAlign w:val="center"/>
            <w:hideMark/>
          </w:tcPr>
          <w:p w:rsidR="00B51D07" w:rsidRPr="00B964BF" w:rsidRDefault="00B51D07" w:rsidP="000C198C">
            <w:pPr>
              <w:keepNext/>
              <w:keepLines/>
              <w:spacing w:before="40" w:after="40"/>
              <w:rPr>
                <w:color w:val="000000"/>
                <w:sz w:val="18"/>
              </w:rPr>
            </w:pPr>
            <w:r w:rsidRPr="00B964BF">
              <w:rPr>
                <w:color w:val="000000"/>
                <w:sz w:val="18"/>
              </w:rPr>
              <w:t>Employee salaries, allowances and benefits</w:t>
            </w:r>
          </w:p>
        </w:tc>
        <w:tc>
          <w:tcPr>
            <w:tcW w:w="586" w:type="pct"/>
            <w:tcBorders>
              <w:top w:val="single" w:sz="12" w:space="0" w:color="auto"/>
              <w:left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1 483 072</w:t>
            </w:r>
          </w:p>
        </w:tc>
        <w:tc>
          <w:tcPr>
            <w:tcW w:w="498" w:type="pct"/>
            <w:tcBorders>
              <w:top w:val="single" w:sz="12" w:space="0" w:color="auto"/>
              <w:left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1 512 734</w:t>
            </w:r>
          </w:p>
        </w:tc>
        <w:tc>
          <w:tcPr>
            <w:tcW w:w="489" w:type="pct"/>
            <w:tcBorders>
              <w:top w:val="single" w:sz="12" w:space="0" w:color="auto"/>
              <w:left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1 542 989</w:t>
            </w:r>
          </w:p>
        </w:tc>
      </w:tr>
      <w:tr w:rsidR="00B51D07" w:rsidRPr="00B964BF" w:rsidTr="000C198C">
        <w:trPr>
          <w:trHeight w:val="48"/>
          <w:jc w:val="right"/>
        </w:trPr>
        <w:tc>
          <w:tcPr>
            <w:tcW w:w="567" w:type="pct"/>
            <w:tcBorders>
              <w:left w:val="nil"/>
              <w:bottom w:val="single" w:sz="4" w:space="0" w:color="auto"/>
              <w:right w:val="nil"/>
            </w:tcBorders>
          </w:tcPr>
          <w:p w:rsidR="00B51D07" w:rsidRPr="00B964BF" w:rsidRDefault="00B51D07" w:rsidP="000C198C">
            <w:pPr>
              <w:keepNext/>
              <w:keepLines/>
              <w:spacing w:before="40" w:after="40"/>
              <w:jc w:val="right"/>
              <w:rPr>
                <w:color w:val="000000"/>
                <w:sz w:val="18"/>
              </w:rPr>
            </w:pPr>
            <w:r w:rsidRPr="00B964BF">
              <w:rPr>
                <w:color w:val="000000"/>
                <w:sz w:val="18"/>
              </w:rPr>
              <w:t>1200</w:t>
            </w:r>
          </w:p>
        </w:tc>
        <w:tc>
          <w:tcPr>
            <w:tcW w:w="2860" w:type="pct"/>
            <w:tcBorders>
              <w:left w:val="nil"/>
              <w:bottom w:val="single" w:sz="4" w:space="0" w:color="auto"/>
              <w:right w:val="nil"/>
            </w:tcBorders>
            <w:shd w:val="clear" w:color="auto" w:fill="auto"/>
            <w:noWrap/>
            <w:vAlign w:val="center"/>
            <w:hideMark/>
          </w:tcPr>
          <w:p w:rsidR="00B51D07" w:rsidRPr="00B964BF" w:rsidRDefault="00B51D07" w:rsidP="000C198C">
            <w:pPr>
              <w:keepNext/>
              <w:keepLines/>
              <w:spacing w:before="40" w:after="40"/>
              <w:rPr>
                <w:color w:val="000000"/>
                <w:sz w:val="18"/>
              </w:rPr>
            </w:pPr>
            <w:r w:rsidRPr="00B964BF">
              <w:rPr>
                <w:color w:val="000000"/>
                <w:sz w:val="18"/>
              </w:rPr>
              <w:t>Consultants</w:t>
            </w:r>
          </w:p>
        </w:tc>
        <w:tc>
          <w:tcPr>
            <w:tcW w:w="586" w:type="pct"/>
            <w:tcBorders>
              <w:left w:val="nil"/>
              <w:bottom w:val="single" w:sz="4"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85 000 </w:t>
            </w:r>
          </w:p>
        </w:tc>
        <w:tc>
          <w:tcPr>
            <w:tcW w:w="498" w:type="pct"/>
            <w:tcBorders>
              <w:left w:val="nil"/>
              <w:bottom w:val="single" w:sz="4"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85 000 </w:t>
            </w:r>
          </w:p>
        </w:tc>
        <w:tc>
          <w:tcPr>
            <w:tcW w:w="489" w:type="pct"/>
            <w:tcBorders>
              <w:left w:val="nil"/>
              <w:bottom w:val="single" w:sz="4"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85 000 </w:t>
            </w:r>
          </w:p>
        </w:tc>
      </w:tr>
      <w:tr w:rsidR="00B51D07" w:rsidRPr="00B964BF" w:rsidTr="000C198C">
        <w:trPr>
          <w:trHeight w:val="48"/>
          <w:jc w:val="right"/>
        </w:trPr>
        <w:tc>
          <w:tcPr>
            <w:tcW w:w="5000" w:type="pct"/>
            <w:gridSpan w:val="5"/>
            <w:tcBorders>
              <w:top w:val="single" w:sz="4"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Operating costs</w:t>
            </w:r>
          </w:p>
        </w:tc>
      </w:tr>
      <w:tr w:rsidR="00B51D07" w:rsidRPr="00B964BF"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keepNext/>
              <w:keepLines/>
              <w:spacing w:before="40" w:after="40"/>
              <w:jc w:val="right"/>
              <w:rPr>
                <w:b/>
                <w:color w:val="000000"/>
                <w:sz w:val="18"/>
              </w:rPr>
            </w:pPr>
            <w:r w:rsidRPr="00B964BF">
              <w:rPr>
                <w:b/>
                <w:color w:val="000000"/>
                <w:sz w:val="18"/>
              </w:rPr>
              <w:t>1300</w:t>
            </w:r>
          </w:p>
        </w:tc>
        <w:tc>
          <w:tcPr>
            <w:tcW w:w="2860" w:type="pct"/>
            <w:tcBorders>
              <w:top w:val="single" w:sz="4" w:space="0" w:color="auto"/>
              <w:left w:val="nil"/>
              <w:bottom w:val="single" w:sz="4" w:space="0" w:color="auto"/>
              <w:right w:val="nil"/>
            </w:tcBorders>
            <w:shd w:val="clear" w:color="auto" w:fill="auto"/>
            <w:noWrap/>
            <w:vAlign w:val="center"/>
          </w:tcPr>
          <w:p w:rsidR="00B51D07" w:rsidRPr="00B964BF" w:rsidRDefault="00B51D07" w:rsidP="000C198C">
            <w:pPr>
              <w:keepNext/>
              <w:keepLines/>
              <w:spacing w:before="40" w:after="40"/>
              <w:rPr>
                <w:b/>
                <w:color w:val="000000"/>
                <w:sz w:val="18"/>
              </w:rPr>
            </w:pPr>
            <w:r w:rsidRPr="00B964BF">
              <w:rPr>
                <w:b/>
                <w:color w:val="000000"/>
                <w:sz w:val="18"/>
              </w:rPr>
              <w:t>Meeting costs</w:t>
            </w:r>
          </w:p>
        </w:tc>
        <w:tc>
          <w:tcPr>
            <w:tcW w:w="586" w:type="pct"/>
            <w:tcBorders>
              <w:top w:val="single" w:sz="4"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color w:val="000000"/>
                <w:sz w:val="18"/>
              </w:rPr>
            </w:pPr>
          </w:p>
        </w:tc>
        <w:tc>
          <w:tcPr>
            <w:tcW w:w="498" w:type="pct"/>
            <w:tcBorders>
              <w:top w:val="single" w:sz="4"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color w:val="000000"/>
                <w:sz w:val="18"/>
              </w:rPr>
            </w:pPr>
          </w:p>
        </w:tc>
        <w:tc>
          <w:tcPr>
            <w:tcW w:w="489" w:type="pct"/>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jc w:val="right"/>
              <w:rPr>
                <w:color w:val="000000"/>
                <w:sz w:val="18"/>
              </w:rPr>
            </w:pP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keepNext/>
              <w:keepLines/>
              <w:spacing w:before="40" w:after="40"/>
              <w:jc w:val="right"/>
              <w:rPr>
                <w:color w:val="000000"/>
                <w:sz w:val="18"/>
              </w:rPr>
            </w:pPr>
            <w:r w:rsidRPr="00B964BF">
              <w:rPr>
                <w:color w:val="000000"/>
                <w:sz w:val="18"/>
              </w:rPr>
              <w:t>1321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0C198C">
            <w:pPr>
              <w:keepNext/>
              <w:keepLines/>
              <w:spacing w:before="40" w:after="40"/>
              <w:rPr>
                <w:color w:val="000000"/>
                <w:sz w:val="18"/>
              </w:rPr>
            </w:pPr>
            <w:r w:rsidRPr="00B964BF">
              <w:rPr>
                <w:color w:val="000000"/>
                <w:sz w:val="18"/>
              </w:rPr>
              <w:t xml:space="preserve">Conference Services costs: Open-ended Working Group meetings </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676 000 </w:t>
            </w:r>
          </w:p>
        </w:tc>
        <w:tc>
          <w:tcPr>
            <w:tcW w:w="498" w:type="pct"/>
            <w:tcBorders>
              <w:top w:val="single" w:sz="4" w:space="0" w:color="auto"/>
              <w:left w:val="nil"/>
              <w:bottom w:val="nil"/>
              <w:right w:val="nil"/>
            </w:tcBorders>
            <w:shd w:val="clear" w:color="auto" w:fill="auto"/>
            <w:noWrap/>
            <w:vAlign w:val="center"/>
          </w:tcPr>
          <w:p w:rsidR="00B51D07" w:rsidRPr="00357EF4" w:rsidRDefault="00D41BF6" w:rsidP="000C198C">
            <w:pPr>
              <w:spacing w:before="40" w:after="40"/>
              <w:jc w:val="right"/>
              <w:rPr>
                <w:color w:val="000000"/>
                <w:sz w:val="18"/>
                <w:highlight w:val="yellow"/>
              </w:rPr>
            </w:pPr>
            <w:r>
              <w:rPr>
                <w:color w:val="000000"/>
                <w:sz w:val="18"/>
              </w:rPr>
              <w:t>676,000</w:t>
            </w:r>
          </w:p>
        </w:tc>
        <w:tc>
          <w:tcPr>
            <w:tcW w:w="489" w:type="pct"/>
            <w:tcBorders>
              <w:top w:val="single" w:sz="4" w:space="0" w:color="auto"/>
              <w:left w:val="nil"/>
              <w:bottom w:val="nil"/>
              <w:right w:val="nil"/>
            </w:tcBorders>
            <w:shd w:val="clear" w:color="auto" w:fill="auto"/>
            <w:noWrap/>
            <w:vAlign w:val="center"/>
          </w:tcPr>
          <w:p w:rsidR="00B51D07" w:rsidRPr="00357EF4" w:rsidRDefault="00D41BF6" w:rsidP="000C198C">
            <w:pPr>
              <w:spacing w:before="40" w:after="40"/>
              <w:jc w:val="right"/>
              <w:rPr>
                <w:color w:val="000000"/>
                <w:sz w:val="18"/>
                <w:highlight w:val="yellow"/>
              </w:rPr>
            </w:pPr>
            <w:r>
              <w:rPr>
                <w:color w:val="000000"/>
                <w:sz w:val="18"/>
              </w:rPr>
              <w:t>676,000</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keepNext/>
              <w:keepLines/>
              <w:spacing w:before="40" w:after="40"/>
              <w:jc w:val="right"/>
              <w:rPr>
                <w:color w:val="000000"/>
                <w:sz w:val="18"/>
              </w:rPr>
            </w:pPr>
            <w:r w:rsidRPr="00B964BF">
              <w:rPr>
                <w:color w:val="000000"/>
                <w:sz w:val="18"/>
              </w:rPr>
              <w:t>1322</w:t>
            </w:r>
          </w:p>
        </w:tc>
        <w:tc>
          <w:tcPr>
            <w:tcW w:w="2860" w:type="pct"/>
            <w:tcBorders>
              <w:top w:val="nil"/>
              <w:left w:val="nil"/>
              <w:bottom w:val="nil"/>
              <w:right w:val="nil"/>
            </w:tcBorders>
            <w:shd w:val="clear" w:color="auto" w:fill="auto"/>
            <w:noWrap/>
            <w:vAlign w:val="center"/>
          </w:tcPr>
          <w:p w:rsidR="00B51D07" w:rsidRPr="00B964BF" w:rsidRDefault="00B51D07" w:rsidP="000C198C">
            <w:pPr>
              <w:keepNext/>
              <w:keepLines/>
              <w:spacing w:before="40" w:after="40"/>
              <w:rPr>
                <w:color w:val="000000"/>
                <w:sz w:val="18"/>
              </w:rPr>
            </w:pPr>
            <w:r w:rsidRPr="00B964BF">
              <w:rPr>
                <w:color w:val="000000"/>
                <w:sz w:val="18"/>
              </w:rPr>
              <w:t xml:space="preserve">Conference Services costs: preparatory meetings and meetings of the parties </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275 000 </w:t>
            </w:r>
          </w:p>
        </w:tc>
        <w:tc>
          <w:tcPr>
            <w:tcW w:w="498" w:type="pct"/>
            <w:tcBorders>
              <w:top w:val="nil"/>
              <w:left w:val="nil"/>
              <w:bottom w:val="nil"/>
              <w:right w:val="nil"/>
            </w:tcBorders>
            <w:shd w:val="clear" w:color="auto" w:fill="auto"/>
            <w:noWrap/>
            <w:vAlign w:val="center"/>
          </w:tcPr>
          <w:p w:rsidR="00B51D07" w:rsidRPr="00357EF4" w:rsidRDefault="00686449" w:rsidP="000C198C">
            <w:pPr>
              <w:spacing w:before="40" w:after="40"/>
              <w:jc w:val="right"/>
              <w:rPr>
                <w:color w:val="000000"/>
                <w:sz w:val="18"/>
                <w:highlight w:val="yellow"/>
              </w:rPr>
            </w:pPr>
            <w:r>
              <w:rPr>
                <w:color w:val="000000"/>
                <w:sz w:val="18"/>
              </w:rPr>
              <w:t>700</w:t>
            </w:r>
            <w:r w:rsidR="00D41BF6" w:rsidRPr="009B7127">
              <w:rPr>
                <w:color w:val="000000"/>
                <w:sz w:val="18"/>
              </w:rPr>
              <w:t>,000</w:t>
            </w:r>
          </w:p>
        </w:tc>
        <w:tc>
          <w:tcPr>
            <w:tcW w:w="489" w:type="pct"/>
            <w:tcBorders>
              <w:top w:val="nil"/>
              <w:left w:val="nil"/>
              <w:bottom w:val="nil"/>
              <w:right w:val="nil"/>
            </w:tcBorders>
            <w:shd w:val="clear" w:color="auto" w:fill="auto"/>
            <w:noWrap/>
            <w:vAlign w:val="center"/>
          </w:tcPr>
          <w:p w:rsidR="00B51D07" w:rsidRPr="00357EF4" w:rsidRDefault="00D41BF6" w:rsidP="000C198C">
            <w:pPr>
              <w:spacing w:before="40" w:after="40"/>
              <w:jc w:val="right"/>
              <w:rPr>
                <w:color w:val="000000"/>
                <w:sz w:val="18"/>
                <w:highlight w:val="yellow"/>
              </w:rPr>
            </w:pPr>
            <w:r>
              <w:rPr>
                <w:color w:val="000000"/>
                <w:sz w:val="18"/>
              </w:rPr>
              <w:t>712,000</w:t>
            </w:r>
            <w:r w:rsidR="00B51D07" w:rsidRPr="00357EF4">
              <w:rPr>
                <w:color w:val="000000"/>
                <w:sz w:val="18"/>
                <w:highlight w:val="yellow"/>
              </w:rPr>
              <w:t xml:space="preserve">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1323</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Communication costs of Article 5 assessment panel members and organizational costs of panel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70 000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70 000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70 000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1324</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costs: Bureau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1325</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costs: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125 000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1326</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costs: Montreal Protocol informal consultation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10 000 </w:t>
            </w:r>
          </w:p>
        </w:tc>
        <w:tc>
          <w:tcPr>
            <w:tcW w:w="498" w:type="pct"/>
            <w:tcBorders>
              <w:top w:val="nil"/>
              <w:left w:val="nil"/>
              <w:bottom w:val="nil"/>
              <w:right w:val="nil"/>
            </w:tcBorders>
            <w:shd w:val="clear" w:color="auto" w:fill="auto"/>
            <w:noWrap/>
            <w:vAlign w:val="center"/>
          </w:tcPr>
          <w:p w:rsidR="00B51D07" w:rsidRPr="00651D23" w:rsidRDefault="00651D23" w:rsidP="000C198C">
            <w:pPr>
              <w:spacing w:before="40" w:after="40"/>
              <w:jc w:val="right"/>
              <w:rPr>
                <w:color w:val="000000"/>
                <w:sz w:val="18"/>
              </w:rPr>
            </w:pPr>
            <w:r w:rsidRPr="00651D23">
              <w:rPr>
                <w:color w:val="000000"/>
                <w:sz w:val="18"/>
              </w:rPr>
              <w:t>0</w:t>
            </w:r>
            <w:r w:rsidR="00B51D07" w:rsidRPr="00651D23">
              <w:rPr>
                <w:color w:val="000000"/>
                <w:sz w:val="18"/>
              </w:rPr>
              <w:t xml:space="preserve"> </w:t>
            </w:r>
          </w:p>
        </w:tc>
        <w:tc>
          <w:tcPr>
            <w:tcW w:w="489" w:type="pct"/>
            <w:tcBorders>
              <w:top w:val="nil"/>
              <w:left w:val="nil"/>
              <w:bottom w:val="nil"/>
              <w:right w:val="nil"/>
            </w:tcBorders>
            <w:shd w:val="clear" w:color="auto" w:fill="auto"/>
            <w:noWrap/>
            <w:vAlign w:val="center"/>
          </w:tcPr>
          <w:p w:rsidR="00B51D07" w:rsidRPr="00651D23" w:rsidRDefault="00651D23" w:rsidP="000C198C">
            <w:pPr>
              <w:spacing w:before="40" w:after="40"/>
              <w:jc w:val="right"/>
              <w:rPr>
                <w:color w:val="000000"/>
                <w:sz w:val="18"/>
              </w:rPr>
            </w:pPr>
            <w:r w:rsidRPr="00651D23">
              <w:rPr>
                <w:color w:val="000000"/>
                <w:sz w:val="18"/>
              </w:rPr>
              <w:t>0</w:t>
            </w:r>
            <w:r w:rsidR="00B51D07" w:rsidRPr="00651D23">
              <w:rPr>
                <w:color w:val="000000"/>
                <w:sz w:val="18"/>
              </w:rPr>
              <w:t xml:space="preserve"> </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t>5401</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Hospitality</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25 000</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25 000</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25 000</w:t>
            </w:r>
          </w:p>
        </w:tc>
      </w:tr>
      <w:tr w:rsidR="00B51D07" w:rsidRPr="00B964BF" w:rsidTr="000C198C">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Subtotal: Meeting costs</w:t>
            </w:r>
          </w:p>
        </w:tc>
        <w:tc>
          <w:tcPr>
            <w:tcW w:w="586" w:type="pct"/>
            <w:tcBorders>
              <w:top w:val="single" w:sz="8" w:space="0" w:color="auto"/>
              <w:left w:val="nil"/>
              <w:bottom w:val="single" w:sz="4" w:space="0" w:color="auto"/>
              <w:right w:val="nil"/>
            </w:tcBorders>
            <w:shd w:val="clear" w:color="auto" w:fill="auto"/>
            <w:noWrap/>
            <w:vAlign w:val="center"/>
          </w:tcPr>
          <w:p w:rsidR="00B51D07" w:rsidRPr="00C82F83" w:rsidRDefault="00B51D07" w:rsidP="000C198C">
            <w:pPr>
              <w:spacing w:before="40" w:after="40"/>
              <w:jc w:val="right"/>
              <w:rPr>
                <w:b/>
                <w:color w:val="000000"/>
                <w:sz w:val="18"/>
              </w:rPr>
            </w:pPr>
            <w:r w:rsidRPr="00C82F83">
              <w:rPr>
                <w:b/>
                <w:color w:val="000000"/>
                <w:sz w:val="18"/>
              </w:rPr>
              <w:t xml:space="preserve">1 206 000 </w:t>
            </w:r>
          </w:p>
        </w:tc>
        <w:tc>
          <w:tcPr>
            <w:tcW w:w="498" w:type="pct"/>
            <w:tcBorders>
              <w:top w:val="single" w:sz="8" w:space="0" w:color="auto"/>
              <w:left w:val="nil"/>
              <w:bottom w:val="single" w:sz="4" w:space="0" w:color="auto"/>
              <w:right w:val="nil"/>
            </w:tcBorders>
            <w:shd w:val="clear" w:color="auto" w:fill="auto"/>
            <w:noWrap/>
            <w:vAlign w:val="center"/>
          </w:tcPr>
          <w:p w:rsidR="00B51D07" w:rsidRPr="00C82F83" w:rsidRDefault="00686449" w:rsidP="000C198C">
            <w:pPr>
              <w:spacing w:before="40" w:after="40"/>
              <w:jc w:val="right"/>
              <w:rPr>
                <w:b/>
                <w:color w:val="000000"/>
                <w:sz w:val="18"/>
              </w:rPr>
            </w:pPr>
            <w:r w:rsidRPr="00C82F83">
              <w:rPr>
                <w:b/>
                <w:color w:val="000000"/>
                <w:sz w:val="18"/>
              </w:rPr>
              <w:t>1 621,000</w:t>
            </w:r>
            <w:r w:rsidR="00B51D07" w:rsidRPr="00C82F83">
              <w:rPr>
                <w:b/>
                <w:color w:val="000000"/>
                <w:sz w:val="18"/>
              </w:rPr>
              <w:t xml:space="preserve"> </w:t>
            </w:r>
          </w:p>
        </w:tc>
        <w:tc>
          <w:tcPr>
            <w:tcW w:w="489" w:type="pct"/>
            <w:tcBorders>
              <w:top w:val="single" w:sz="8" w:space="0" w:color="auto"/>
              <w:left w:val="nil"/>
              <w:bottom w:val="single" w:sz="4" w:space="0" w:color="auto"/>
              <w:right w:val="nil"/>
            </w:tcBorders>
            <w:shd w:val="clear" w:color="auto" w:fill="auto"/>
            <w:noWrap/>
            <w:vAlign w:val="center"/>
          </w:tcPr>
          <w:p w:rsidR="00B51D07" w:rsidRPr="00C82F83" w:rsidRDefault="00C82F83" w:rsidP="000C198C">
            <w:pPr>
              <w:spacing w:before="40" w:after="40"/>
              <w:jc w:val="right"/>
              <w:rPr>
                <w:b/>
                <w:color w:val="000000"/>
                <w:sz w:val="18"/>
              </w:rPr>
            </w:pPr>
            <w:r w:rsidRPr="00C82F83">
              <w:rPr>
                <w:b/>
                <w:color w:val="000000"/>
                <w:sz w:val="18"/>
              </w:rPr>
              <w:t>1 633 000</w:t>
            </w:r>
            <w:r w:rsidR="00B51D07" w:rsidRPr="00C82F83">
              <w:rPr>
                <w:b/>
                <w:color w:val="000000"/>
                <w:sz w:val="18"/>
              </w:rPr>
              <w:t xml:space="preserve"> </w:t>
            </w:r>
          </w:p>
        </w:tc>
      </w:tr>
      <w:tr w:rsidR="00B51D07" w:rsidRPr="006F1F86"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spacing w:before="40" w:after="40"/>
              <w:jc w:val="right"/>
              <w:rPr>
                <w:b/>
                <w:color w:val="000000"/>
                <w:sz w:val="18"/>
              </w:rPr>
            </w:pPr>
            <w:r w:rsidRPr="00B964BF">
              <w:rPr>
                <w:b/>
                <w:color w:val="000000"/>
                <w:sz w:val="18"/>
              </w:rPr>
              <w:t>3300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rPr>
                <w:b/>
                <w:color w:val="000000"/>
                <w:sz w:val="18"/>
              </w:rPr>
            </w:pPr>
            <w:r w:rsidRPr="00B964BF">
              <w:rPr>
                <w:b/>
                <w:color w:val="000000"/>
                <w:sz w:val="18"/>
              </w:rPr>
              <w:t>Travel of Article 5 parties and experts</w:t>
            </w: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assessment panel meetings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400 000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400 000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400 000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3302</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preparatory meetings and meetings of the parties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375 000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375 000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375 000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3303</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Open-ended Working Group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325 000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3304</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Bureau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20 000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3305</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t>3306</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 xml:space="preserve">Travel of Article 5 parties: informal meeting consultations </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10 000 </w:t>
            </w:r>
          </w:p>
        </w:tc>
        <w:tc>
          <w:tcPr>
            <w:tcW w:w="498" w:type="pct"/>
            <w:tcBorders>
              <w:top w:val="nil"/>
              <w:left w:val="nil"/>
              <w:bottom w:val="single" w:sz="8" w:space="0" w:color="auto"/>
              <w:right w:val="nil"/>
            </w:tcBorders>
            <w:shd w:val="clear" w:color="auto" w:fill="auto"/>
            <w:noWrap/>
            <w:vAlign w:val="center"/>
          </w:tcPr>
          <w:p w:rsidR="00B51D07" w:rsidRPr="00B964BF" w:rsidRDefault="00651D23" w:rsidP="000C198C">
            <w:pPr>
              <w:spacing w:before="40" w:after="40"/>
              <w:jc w:val="right"/>
              <w:rPr>
                <w:color w:val="000000"/>
                <w:sz w:val="18"/>
              </w:rPr>
            </w:pPr>
            <w:r>
              <w:rPr>
                <w:color w:val="000000"/>
                <w:sz w:val="18"/>
              </w:rPr>
              <w:t>0</w:t>
            </w:r>
            <w:r w:rsidR="00B51D07" w:rsidRPr="00B964BF">
              <w:rPr>
                <w:color w:val="000000"/>
                <w:sz w:val="18"/>
              </w:rPr>
              <w:t xml:space="preserve"> </w:t>
            </w:r>
          </w:p>
        </w:tc>
        <w:tc>
          <w:tcPr>
            <w:tcW w:w="489" w:type="pct"/>
            <w:tcBorders>
              <w:top w:val="nil"/>
              <w:left w:val="nil"/>
              <w:bottom w:val="single" w:sz="8" w:space="0" w:color="auto"/>
              <w:right w:val="nil"/>
            </w:tcBorders>
            <w:shd w:val="clear" w:color="auto" w:fill="auto"/>
            <w:noWrap/>
            <w:vAlign w:val="center"/>
          </w:tcPr>
          <w:p w:rsidR="00B51D07" w:rsidRPr="00B964BF" w:rsidRDefault="00651D23" w:rsidP="000C198C">
            <w:pPr>
              <w:spacing w:before="40" w:after="40"/>
              <w:jc w:val="right"/>
              <w:rPr>
                <w:color w:val="000000"/>
                <w:sz w:val="18"/>
              </w:rPr>
            </w:pPr>
            <w:r>
              <w:rPr>
                <w:color w:val="000000"/>
                <w:sz w:val="18"/>
              </w:rPr>
              <w:t>0</w:t>
            </w:r>
            <w:r w:rsidR="00B51D07" w:rsidRPr="00B964BF">
              <w:rPr>
                <w:color w:val="000000"/>
                <w:sz w:val="18"/>
              </w:rPr>
              <w:t xml:space="preserve">      </w:t>
            </w:r>
          </w:p>
        </w:tc>
      </w:tr>
      <w:tr w:rsidR="00B51D07" w:rsidRPr="00B964BF" w:rsidTr="000C198C">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Subtotal: Travel of Article 5 parties and experts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1 255 000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C82F83" w:rsidRDefault="00C82F83" w:rsidP="000C198C">
            <w:pPr>
              <w:spacing w:before="40" w:after="40"/>
              <w:jc w:val="right"/>
              <w:rPr>
                <w:b/>
                <w:color w:val="000000"/>
                <w:sz w:val="18"/>
              </w:rPr>
            </w:pPr>
            <w:r w:rsidRPr="00C82F83">
              <w:rPr>
                <w:b/>
                <w:color w:val="000000"/>
                <w:sz w:val="18"/>
              </w:rPr>
              <w:t>1 24</w:t>
            </w:r>
            <w:r w:rsidR="00B51D07" w:rsidRPr="00C82F83">
              <w:rPr>
                <w:b/>
                <w:color w:val="000000"/>
                <w:sz w:val="18"/>
              </w:rPr>
              <w:t>5 000</w:t>
            </w:r>
          </w:p>
        </w:tc>
        <w:tc>
          <w:tcPr>
            <w:tcW w:w="489" w:type="pct"/>
            <w:tcBorders>
              <w:top w:val="single" w:sz="8" w:space="0" w:color="auto"/>
              <w:left w:val="nil"/>
              <w:bottom w:val="single" w:sz="4" w:space="0" w:color="auto"/>
              <w:right w:val="nil"/>
            </w:tcBorders>
            <w:shd w:val="clear" w:color="auto" w:fill="auto"/>
            <w:noWrap/>
            <w:vAlign w:val="center"/>
          </w:tcPr>
          <w:p w:rsidR="00B51D07" w:rsidRPr="00C82F83" w:rsidRDefault="00C82F83" w:rsidP="000C198C">
            <w:pPr>
              <w:spacing w:before="40" w:after="40"/>
              <w:jc w:val="right"/>
              <w:rPr>
                <w:b/>
                <w:color w:val="000000"/>
                <w:sz w:val="18"/>
              </w:rPr>
            </w:pPr>
            <w:r w:rsidRPr="00C82F83">
              <w:rPr>
                <w:b/>
                <w:color w:val="000000"/>
                <w:sz w:val="18"/>
              </w:rPr>
              <w:t>1 24</w:t>
            </w:r>
            <w:r w:rsidR="00B51D07" w:rsidRPr="00C82F83">
              <w:rPr>
                <w:b/>
                <w:color w:val="000000"/>
                <w:sz w:val="18"/>
              </w:rPr>
              <w:t xml:space="preserve">5 000 </w:t>
            </w:r>
          </w:p>
        </w:tc>
      </w:tr>
      <w:tr w:rsidR="00B51D07" w:rsidRPr="00B964BF"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spacing w:before="40" w:after="40"/>
              <w:jc w:val="right"/>
              <w:rPr>
                <w:b/>
                <w:color w:val="000000"/>
                <w:sz w:val="18"/>
              </w:rPr>
            </w:pPr>
            <w:r w:rsidRPr="00B964BF">
              <w:rPr>
                <w:b/>
                <w:color w:val="000000"/>
                <w:sz w:val="18"/>
              </w:rPr>
              <w:t>1600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rPr>
                <w:b/>
                <w:color w:val="000000"/>
                <w:sz w:val="18"/>
              </w:rPr>
            </w:pPr>
            <w:r w:rsidRPr="00B964BF">
              <w:rPr>
                <w:b/>
                <w:color w:val="000000"/>
                <w:sz w:val="18"/>
              </w:rPr>
              <w:t>Travel on official business</w:t>
            </w: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1601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Staff travel on official business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210 000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210 000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210 000 </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t>1602</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staff travel on official business</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15 000 </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15 000 </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15 000 </w:t>
            </w:r>
          </w:p>
        </w:tc>
      </w:tr>
      <w:tr w:rsidR="00B51D07" w:rsidRPr="00B964BF" w:rsidTr="000C198C">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Subtotal: Travel on official business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225 000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225 000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225 000 </w:t>
            </w:r>
          </w:p>
        </w:tc>
      </w:tr>
      <w:tr w:rsidR="00B51D07" w:rsidRPr="006F1F86"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spacing w:before="40" w:after="40"/>
              <w:jc w:val="right"/>
              <w:rPr>
                <w:b/>
                <w:color w:val="000000"/>
                <w:sz w:val="18"/>
              </w:rPr>
            </w:pPr>
            <w:r w:rsidRPr="00B964BF">
              <w:rPr>
                <w:b/>
                <w:sz w:val="18"/>
              </w:rPr>
              <w:t>4100-5300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rPr>
                <w:b/>
                <w:color w:val="000000"/>
                <w:sz w:val="18"/>
                <w:highlight w:val="lightGray"/>
              </w:rPr>
            </w:pPr>
            <w:r w:rsidRPr="00B964BF">
              <w:rPr>
                <w:b/>
                <w:color w:val="000000"/>
                <w:sz w:val="18"/>
              </w:rPr>
              <w:t xml:space="preserve">Other operating costs: supplies and consumables </w:t>
            </w: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4100</w:t>
            </w:r>
          </w:p>
        </w:tc>
        <w:tc>
          <w:tcPr>
            <w:tcW w:w="2860"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Expendable equipment</w:t>
            </w:r>
          </w:p>
        </w:tc>
        <w:tc>
          <w:tcPr>
            <w:tcW w:w="586"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18 000 </w:t>
            </w:r>
          </w:p>
        </w:tc>
        <w:tc>
          <w:tcPr>
            <w:tcW w:w="498"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18 000 </w:t>
            </w:r>
          </w:p>
        </w:tc>
        <w:tc>
          <w:tcPr>
            <w:tcW w:w="489"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18 000 </w:t>
            </w:r>
          </w:p>
        </w:tc>
      </w:tr>
      <w:tr w:rsidR="00B51D07" w:rsidRPr="00B964BF" w:rsidTr="000C198C">
        <w:trPr>
          <w:trHeight w:val="300"/>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4200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Non-expendable equipment</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25 000</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25 000</w:t>
            </w:r>
          </w:p>
        </w:tc>
        <w:tc>
          <w:tcPr>
            <w:tcW w:w="489" w:type="pct"/>
            <w:tcBorders>
              <w:top w:val="nil"/>
              <w:left w:val="nil"/>
              <w:bottom w:val="nil"/>
              <w:right w:val="nil"/>
            </w:tcBorders>
            <w:shd w:val="clear" w:color="auto" w:fill="auto"/>
            <w:noWrap/>
            <w:vAlign w:val="bottom"/>
            <w:hideMark/>
          </w:tcPr>
          <w:p w:rsidR="00B51D07" w:rsidRPr="00B964BF" w:rsidRDefault="00B51D07" w:rsidP="000C198C">
            <w:pPr>
              <w:spacing w:before="40" w:after="40"/>
              <w:jc w:val="right"/>
              <w:rPr>
                <w:color w:val="000000"/>
                <w:sz w:val="18"/>
              </w:rPr>
            </w:pPr>
            <w:r w:rsidRPr="00B964BF">
              <w:rPr>
                <w:color w:val="000000"/>
                <w:sz w:val="18"/>
              </w:rPr>
              <w:t>25 000</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4300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Rental of premises</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41 870 </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41 870 </w:t>
            </w:r>
          </w:p>
        </w:tc>
        <w:tc>
          <w:tcPr>
            <w:tcW w:w="489"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41 870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5100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Operational and maintenance of equipment</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20 000 </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20 000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5200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Reporting costs</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75 000</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75 000</w:t>
            </w:r>
          </w:p>
        </w:tc>
        <w:tc>
          <w:tcPr>
            <w:tcW w:w="489" w:type="pct"/>
            <w:tcBorders>
              <w:top w:val="nil"/>
              <w:left w:val="nil"/>
              <w:bottom w:val="nil"/>
              <w:right w:val="nil"/>
            </w:tcBorders>
            <w:shd w:val="clear" w:color="auto" w:fill="auto"/>
            <w:noWrap/>
            <w:vAlign w:val="bottom"/>
            <w:hideMark/>
          </w:tcPr>
          <w:p w:rsidR="00B51D07" w:rsidRPr="00B964BF" w:rsidRDefault="00B51D07" w:rsidP="000C198C">
            <w:pPr>
              <w:spacing w:before="40" w:after="40"/>
              <w:jc w:val="right"/>
              <w:rPr>
                <w:color w:val="000000"/>
                <w:sz w:val="18"/>
              </w:rPr>
            </w:pPr>
            <w:r w:rsidRPr="00B964BF">
              <w:rPr>
                <w:color w:val="000000"/>
                <w:sz w:val="18"/>
              </w:rPr>
              <w:t>75 000</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lastRenderedPageBreak/>
              <w:t>5300</w:t>
            </w:r>
          </w:p>
        </w:tc>
        <w:tc>
          <w:tcPr>
            <w:tcW w:w="2860" w:type="pct"/>
            <w:tcBorders>
              <w:top w:val="nil"/>
              <w:left w:val="nil"/>
              <w:bottom w:val="single" w:sz="8" w:space="0" w:color="auto"/>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Sundry</w:t>
            </w:r>
          </w:p>
        </w:tc>
        <w:tc>
          <w:tcPr>
            <w:tcW w:w="586" w:type="pct"/>
            <w:tcBorders>
              <w:top w:val="nil"/>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120 000</w:t>
            </w:r>
          </w:p>
        </w:tc>
        <w:tc>
          <w:tcPr>
            <w:tcW w:w="498" w:type="pct"/>
            <w:tcBorders>
              <w:top w:val="nil"/>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40 000</w:t>
            </w:r>
          </w:p>
        </w:tc>
        <w:tc>
          <w:tcPr>
            <w:tcW w:w="489" w:type="pct"/>
            <w:tcBorders>
              <w:top w:val="nil"/>
              <w:left w:val="nil"/>
              <w:bottom w:val="single" w:sz="8" w:space="0" w:color="auto"/>
              <w:right w:val="nil"/>
            </w:tcBorders>
            <w:shd w:val="clear" w:color="auto" w:fill="auto"/>
            <w:noWrap/>
            <w:vAlign w:val="bottom"/>
            <w:hideMark/>
          </w:tcPr>
          <w:p w:rsidR="00B51D07" w:rsidRPr="00B964BF" w:rsidRDefault="00B51D07" w:rsidP="000C198C">
            <w:pPr>
              <w:spacing w:before="40" w:after="40"/>
              <w:jc w:val="right"/>
              <w:rPr>
                <w:color w:val="000000"/>
                <w:sz w:val="18"/>
              </w:rPr>
            </w:pPr>
            <w:r w:rsidRPr="00B964BF">
              <w:rPr>
                <w:color w:val="000000"/>
                <w:sz w:val="18"/>
              </w:rPr>
              <w:t>40 000</w:t>
            </w:r>
          </w:p>
        </w:tc>
      </w:tr>
      <w:tr w:rsidR="00B51D07" w:rsidRPr="00B964BF" w:rsidTr="000C198C">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0C198C">
            <w:pPr>
              <w:spacing w:before="40" w:after="40"/>
              <w:rPr>
                <w:b/>
                <w:color w:val="000000"/>
                <w:sz w:val="18"/>
              </w:rPr>
            </w:pPr>
            <w:r w:rsidRPr="00B964BF">
              <w:rPr>
                <w:b/>
                <w:color w:val="000000"/>
                <w:sz w:val="18"/>
              </w:rPr>
              <w:t>Subtotal: Other operating costs: supplies and consumables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299 870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219 870 </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219 870 </w:t>
            </w:r>
          </w:p>
        </w:tc>
      </w:tr>
      <w:tr w:rsidR="00B51D07" w:rsidRPr="00B964BF" w:rsidTr="000C198C">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0C198C">
            <w:pPr>
              <w:spacing w:before="40" w:after="40"/>
              <w:rPr>
                <w:b/>
                <w:color w:val="000000"/>
                <w:sz w:val="18"/>
              </w:rPr>
            </w:pPr>
            <w:r w:rsidRPr="00B964BF">
              <w:rPr>
                <w:b/>
                <w:color w:val="000000"/>
                <w:sz w:val="18"/>
              </w:rPr>
              <w:t>Total direct costs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4 553 942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C82F83" w:rsidP="000C198C">
            <w:pPr>
              <w:spacing w:before="40" w:after="40"/>
              <w:jc w:val="right"/>
              <w:rPr>
                <w:b/>
                <w:color w:val="000000"/>
                <w:sz w:val="18"/>
              </w:rPr>
            </w:pPr>
            <w:r>
              <w:rPr>
                <w:b/>
                <w:color w:val="000000"/>
                <w:sz w:val="18"/>
              </w:rPr>
              <w:t>4 908 603</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1304AC" w:rsidRDefault="00C82F83" w:rsidP="000C198C">
            <w:pPr>
              <w:spacing w:before="40" w:after="40"/>
              <w:jc w:val="right"/>
              <w:rPr>
                <w:b/>
                <w:color w:val="000000"/>
                <w:sz w:val="18"/>
                <w:highlight w:val="yellow"/>
              </w:rPr>
            </w:pPr>
            <w:r w:rsidRPr="00C82F83">
              <w:rPr>
                <w:b/>
                <w:color w:val="000000"/>
                <w:sz w:val="18"/>
              </w:rPr>
              <w:t>4 950 858</w:t>
            </w:r>
          </w:p>
        </w:tc>
      </w:tr>
      <w:tr w:rsidR="00B51D07" w:rsidRPr="00B964BF" w:rsidTr="000C198C">
        <w:trPr>
          <w:trHeight w:val="315"/>
          <w:jc w:val="right"/>
        </w:trPr>
        <w:tc>
          <w:tcPr>
            <w:tcW w:w="567" w:type="pct"/>
            <w:tcBorders>
              <w:top w:val="single" w:sz="8" w:space="0" w:color="auto"/>
              <w:left w:val="nil"/>
              <w:bottom w:val="single" w:sz="8" w:space="0" w:color="auto"/>
              <w:right w:val="nil"/>
            </w:tcBorders>
          </w:tcPr>
          <w:p w:rsidR="00B51D07" w:rsidRPr="00B964BF" w:rsidRDefault="00B51D07" w:rsidP="000C198C">
            <w:pPr>
              <w:spacing w:before="40" w:after="40"/>
              <w:rPr>
                <w:color w:val="000000"/>
                <w:sz w:val="18"/>
              </w:rPr>
            </w:pPr>
          </w:p>
        </w:tc>
        <w:tc>
          <w:tcPr>
            <w:tcW w:w="2860"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Programme support costs (13 per cent)</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592 012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C82F83" w:rsidP="000C198C">
            <w:pPr>
              <w:spacing w:before="40" w:after="40"/>
              <w:jc w:val="right"/>
              <w:rPr>
                <w:color w:val="000000"/>
                <w:sz w:val="18"/>
              </w:rPr>
            </w:pPr>
            <w:r>
              <w:rPr>
                <w:color w:val="000000"/>
                <w:sz w:val="18"/>
              </w:rPr>
              <w:t>638 118</w:t>
            </w:r>
          </w:p>
        </w:tc>
        <w:tc>
          <w:tcPr>
            <w:tcW w:w="489" w:type="pct"/>
            <w:tcBorders>
              <w:top w:val="single" w:sz="8" w:space="0" w:color="auto"/>
              <w:left w:val="nil"/>
              <w:bottom w:val="single" w:sz="8" w:space="0" w:color="auto"/>
              <w:right w:val="nil"/>
            </w:tcBorders>
            <w:shd w:val="clear" w:color="auto" w:fill="auto"/>
            <w:noWrap/>
            <w:hideMark/>
          </w:tcPr>
          <w:p w:rsidR="00B51D07" w:rsidRPr="001304AC" w:rsidRDefault="00C82F83" w:rsidP="000C198C">
            <w:pPr>
              <w:spacing w:before="40" w:after="40"/>
              <w:jc w:val="right"/>
              <w:rPr>
                <w:color w:val="000000"/>
                <w:sz w:val="18"/>
                <w:highlight w:val="yellow"/>
              </w:rPr>
            </w:pPr>
            <w:r w:rsidRPr="00C82F83">
              <w:rPr>
                <w:color w:val="000000"/>
                <w:sz w:val="18"/>
              </w:rPr>
              <w:t>643,612</w:t>
            </w:r>
          </w:p>
        </w:tc>
      </w:tr>
      <w:tr w:rsidR="00B51D07" w:rsidRPr="00B964BF" w:rsidTr="000C198C">
        <w:trPr>
          <w:trHeight w:val="48"/>
          <w:jc w:val="right"/>
        </w:trPr>
        <w:tc>
          <w:tcPr>
            <w:tcW w:w="3427" w:type="pct"/>
            <w:gridSpan w:val="2"/>
            <w:tcBorders>
              <w:top w:val="single" w:sz="8" w:space="0" w:color="auto"/>
              <w:left w:val="nil"/>
              <w:bottom w:val="single" w:sz="12" w:space="0" w:color="auto"/>
              <w:right w:val="nil"/>
            </w:tcBorders>
          </w:tcPr>
          <w:p w:rsidR="00B51D07" w:rsidRPr="00B964BF" w:rsidRDefault="00B51D07" w:rsidP="000C198C">
            <w:pPr>
              <w:spacing w:before="40" w:after="40"/>
              <w:rPr>
                <w:b/>
                <w:color w:val="000000"/>
                <w:sz w:val="18"/>
              </w:rPr>
            </w:pPr>
            <w:r w:rsidRPr="00B964BF">
              <w:rPr>
                <w:b/>
                <w:color w:val="000000"/>
                <w:sz w:val="18"/>
              </w:rPr>
              <w:t>Grand total</w:t>
            </w:r>
          </w:p>
        </w:tc>
        <w:tc>
          <w:tcPr>
            <w:tcW w:w="586"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5 145 954 </w:t>
            </w:r>
          </w:p>
        </w:tc>
        <w:tc>
          <w:tcPr>
            <w:tcW w:w="498" w:type="pct"/>
            <w:tcBorders>
              <w:top w:val="single" w:sz="8" w:space="0" w:color="auto"/>
              <w:left w:val="nil"/>
              <w:bottom w:val="single" w:sz="12" w:space="0" w:color="auto"/>
              <w:right w:val="nil"/>
            </w:tcBorders>
            <w:shd w:val="clear" w:color="auto" w:fill="auto"/>
            <w:noWrap/>
            <w:vAlign w:val="center"/>
            <w:hideMark/>
          </w:tcPr>
          <w:p w:rsidR="00B51D07" w:rsidRPr="00B964BF" w:rsidRDefault="00C82F83" w:rsidP="000C198C">
            <w:pPr>
              <w:spacing w:before="40" w:after="40"/>
              <w:jc w:val="right"/>
              <w:rPr>
                <w:b/>
                <w:color w:val="000000"/>
                <w:sz w:val="18"/>
              </w:rPr>
            </w:pPr>
            <w:r>
              <w:rPr>
                <w:b/>
                <w:color w:val="000000"/>
                <w:sz w:val="18"/>
              </w:rPr>
              <w:t>5 546 722</w:t>
            </w:r>
          </w:p>
        </w:tc>
        <w:tc>
          <w:tcPr>
            <w:tcW w:w="489" w:type="pct"/>
            <w:tcBorders>
              <w:top w:val="single" w:sz="8" w:space="0" w:color="auto"/>
              <w:left w:val="nil"/>
              <w:bottom w:val="single" w:sz="12" w:space="0" w:color="auto"/>
              <w:right w:val="nil"/>
            </w:tcBorders>
            <w:shd w:val="clear" w:color="auto" w:fill="auto"/>
            <w:noWrap/>
            <w:vAlign w:val="center"/>
            <w:hideMark/>
          </w:tcPr>
          <w:p w:rsidR="00B51D07" w:rsidRPr="001304AC" w:rsidRDefault="00C82F83" w:rsidP="000C198C">
            <w:pPr>
              <w:spacing w:before="40" w:after="40"/>
              <w:jc w:val="right"/>
              <w:rPr>
                <w:b/>
                <w:color w:val="000000"/>
                <w:sz w:val="18"/>
                <w:highlight w:val="yellow"/>
              </w:rPr>
            </w:pPr>
            <w:r w:rsidRPr="00C82F83">
              <w:rPr>
                <w:b/>
                <w:color w:val="000000"/>
                <w:sz w:val="18"/>
              </w:rPr>
              <w:t>5 594 470</w:t>
            </w:r>
          </w:p>
        </w:tc>
      </w:tr>
    </w:tbl>
    <w:p w:rsidR="00B51D07" w:rsidRDefault="00B51D07" w:rsidP="00B51D07"/>
    <w:p w:rsidR="00455F2E" w:rsidRPr="00B964BF" w:rsidRDefault="00455F2E" w:rsidP="00B51D07"/>
    <w:p w:rsidR="00B51D07" w:rsidRPr="00B964BF" w:rsidRDefault="00B51D07" w:rsidP="00B51D07">
      <w:pPr>
        <w:pStyle w:val="Titletable"/>
      </w:pPr>
      <w:r w:rsidRPr="00B964BF">
        <w:t>Explanatory notes for the proposed revision to the approved budget for 2017 and the proposed budgets for 2018 and 2019 of the Trust Fund for the Montreal Protocol on Substances that Deplete the Ozone Layer</w:t>
      </w:r>
    </w:p>
    <w:tbl>
      <w:tblPr>
        <w:tblW w:w="9628" w:type="dxa"/>
        <w:jc w:val="right"/>
        <w:tblBorders>
          <w:bottom w:val="single" w:sz="12" w:space="0" w:color="auto"/>
        </w:tblBorders>
        <w:tblLayout w:type="fixed"/>
        <w:tblLook w:val="0000" w:firstRow="0" w:lastRow="0" w:firstColumn="0" w:lastColumn="0" w:noHBand="0" w:noVBand="0"/>
      </w:tblPr>
      <w:tblGrid>
        <w:gridCol w:w="1703"/>
        <w:gridCol w:w="1111"/>
        <w:gridCol w:w="6814"/>
      </w:tblGrid>
      <w:tr w:rsidR="00B51D07" w:rsidRPr="00B964BF" w:rsidTr="000C198C">
        <w:trPr>
          <w:trHeight w:val="311"/>
          <w:tblHeader/>
          <w:jc w:val="right"/>
        </w:trPr>
        <w:tc>
          <w:tcPr>
            <w:tcW w:w="1703" w:type="dxa"/>
            <w:tcBorders>
              <w:top w:val="single" w:sz="4" w:space="0" w:color="auto"/>
              <w:bottom w:val="single" w:sz="12" w:space="0" w:color="auto"/>
            </w:tcBorders>
            <w:shd w:val="clear" w:color="auto" w:fill="auto"/>
          </w:tcPr>
          <w:p w:rsidR="00B51D07" w:rsidRPr="00B964BF" w:rsidRDefault="00B51D07" w:rsidP="000C198C">
            <w:pPr>
              <w:tabs>
                <w:tab w:val="clear" w:pos="1247"/>
                <w:tab w:val="left" w:pos="913"/>
                <w:tab w:val="left" w:pos="4082"/>
              </w:tabs>
              <w:spacing w:before="20" w:after="20"/>
              <w:rPr>
                <w:i/>
                <w:sz w:val="18"/>
                <w:szCs w:val="18"/>
              </w:rPr>
            </w:pPr>
            <w:r w:rsidRPr="00B964BF">
              <w:rPr>
                <w:i/>
                <w:sz w:val="18"/>
                <w:szCs w:val="18"/>
              </w:rPr>
              <w:t xml:space="preserve">Cost category </w:t>
            </w:r>
          </w:p>
        </w:tc>
        <w:tc>
          <w:tcPr>
            <w:tcW w:w="1111" w:type="dxa"/>
            <w:tcBorders>
              <w:top w:val="single" w:sz="4" w:space="0" w:color="auto"/>
              <w:bottom w:val="single" w:sz="12" w:space="0" w:color="auto"/>
            </w:tcBorders>
            <w:shd w:val="clear" w:color="auto" w:fill="auto"/>
          </w:tcPr>
          <w:p w:rsidR="00B51D07" w:rsidRPr="00B964BF" w:rsidRDefault="00B51D07" w:rsidP="000C198C">
            <w:pPr>
              <w:tabs>
                <w:tab w:val="clear" w:pos="1247"/>
                <w:tab w:val="left" w:pos="913"/>
                <w:tab w:val="left" w:pos="4082"/>
              </w:tabs>
              <w:spacing w:before="20" w:after="20"/>
              <w:rPr>
                <w:i/>
                <w:sz w:val="18"/>
                <w:szCs w:val="18"/>
              </w:rPr>
            </w:pPr>
            <w:r w:rsidRPr="00B964BF">
              <w:rPr>
                <w:i/>
                <w:sz w:val="18"/>
                <w:szCs w:val="18"/>
              </w:rPr>
              <w:t>Budget line</w:t>
            </w:r>
          </w:p>
        </w:tc>
        <w:tc>
          <w:tcPr>
            <w:tcW w:w="6814" w:type="dxa"/>
            <w:tcBorders>
              <w:top w:val="single" w:sz="4" w:space="0" w:color="auto"/>
              <w:bottom w:val="single" w:sz="12" w:space="0" w:color="auto"/>
            </w:tcBorders>
          </w:tcPr>
          <w:p w:rsidR="00B51D07" w:rsidRPr="00B964BF" w:rsidRDefault="00B51D07" w:rsidP="000C198C">
            <w:pPr>
              <w:tabs>
                <w:tab w:val="clear" w:pos="1247"/>
                <w:tab w:val="left" w:pos="913"/>
                <w:tab w:val="left" w:pos="4082"/>
              </w:tabs>
              <w:spacing w:before="20" w:after="20"/>
              <w:rPr>
                <w:i/>
                <w:sz w:val="18"/>
                <w:szCs w:val="18"/>
              </w:rPr>
            </w:pPr>
            <w:r w:rsidRPr="00B964BF">
              <w:rPr>
                <w:i/>
                <w:sz w:val="18"/>
                <w:szCs w:val="18"/>
              </w:rPr>
              <w:t>Comment</w:t>
            </w:r>
          </w:p>
        </w:tc>
      </w:tr>
      <w:tr w:rsidR="00B51D07" w:rsidRPr="006F1F86" w:rsidTr="000C198C">
        <w:trPr>
          <w:trHeight w:val="1589"/>
          <w:jc w:val="right"/>
        </w:trPr>
        <w:tc>
          <w:tcPr>
            <w:tcW w:w="1703" w:type="dxa"/>
            <w:tcBorders>
              <w:top w:val="single" w:sz="12" w:space="0" w:color="auto"/>
            </w:tcBorders>
            <w:shd w:val="clear" w:color="auto" w:fill="auto"/>
          </w:tcPr>
          <w:p w:rsidR="00B51D07" w:rsidRPr="00B964BF" w:rsidRDefault="00B51D07" w:rsidP="000C198C">
            <w:pPr>
              <w:tabs>
                <w:tab w:val="clear" w:pos="1247"/>
                <w:tab w:val="left" w:pos="913"/>
                <w:tab w:val="left" w:pos="4082"/>
              </w:tabs>
              <w:spacing w:before="80" w:after="20"/>
              <w:rPr>
                <w:sz w:val="18"/>
                <w:szCs w:val="18"/>
              </w:rPr>
            </w:pPr>
            <w:r w:rsidRPr="00B964BF">
              <w:rPr>
                <w:sz w:val="18"/>
                <w:szCs w:val="18"/>
              </w:rPr>
              <w:t>Employee salaries, allowances and benefits</w:t>
            </w:r>
          </w:p>
        </w:tc>
        <w:tc>
          <w:tcPr>
            <w:tcW w:w="1111" w:type="dxa"/>
            <w:tcBorders>
              <w:top w:val="single" w:sz="12" w:space="0" w:color="auto"/>
            </w:tcBorders>
            <w:shd w:val="clear" w:color="auto" w:fill="auto"/>
          </w:tcPr>
          <w:p w:rsidR="00B51D07" w:rsidRPr="00B964BF" w:rsidRDefault="00B51D07" w:rsidP="000C198C">
            <w:pPr>
              <w:tabs>
                <w:tab w:val="clear" w:pos="1247"/>
                <w:tab w:val="left" w:pos="913"/>
                <w:tab w:val="left" w:pos="4082"/>
              </w:tabs>
              <w:spacing w:before="80" w:after="20"/>
              <w:rPr>
                <w:sz w:val="18"/>
                <w:szCs w:val="18"/>
              </w:rPr>
            </w:pPr>
            <w:r w:rsidRPr="00B964BF">
              <w:rPr>
                <w:sz w:val="18"/>
                <w:szCs w:val="18"/>
              </w:rPr>
              <w:t>1000</w:t>
            </w:r>
          </w:p>
        </w:tc>
        <w:tc>
          <w:tcPr>
            <w:tcW w:w="6814" w:type="dxa"/>
            <w:tcBorders>
              <w:top w:val="single" w:sz="12" w:space="0" w:color="auto"/>
            </w:tcBorders>
          </w:tcPr>
          <w:p w:rsidR="00B51D07" w:rsidRPr="00B964BF" w:rsidRDefault="00B51D07" w:rsidP="000C198C">
            <w:pPr>
              <w:tabs>
                <w:tab w:val="clear" w:pos="1247"/>
                <w:tab w:val="left" w:pos="913"/>
                <w:tab w:val="left" w:pos="4082"/>
              </w:tabs>
              <w:spacing w:before="80"/>
              <w:rPr>
                <w:sz w:val="18"/>
                <w:szCs w:val="18"/>
              </w:rPr>
            </w:pPr>
            <w:r w:rsidRPr="00B964BF">
              <w:rPr>
                <w:sz w:val="18"/>
                <w:szCs w:val="18"/>
              </w:rPr>
              <w:t>The 2018 and 2019 costs have been increased by 2</w:t>
            </w:r>
            <w:r w:rsidRPr="00B964BF">
              <w:rPr>
                <w:rFonts w:eastAsia="MS Mincho"/>
              </w:rPr>
              <w:t xml:space="preserve"> per cent</w:t>
            </w:r>
            <w:r w:rsidRPr="00B964BF">
              <w:rPr>
                <w:sz w:val="18"/>
                <w:szCs w:val="18"/>
              </w:rPr>
              <w:t xml:space="preserve"> to allow for inflation. </w:t>
            </w:r>
          </w:p>
          <w:p w:rsidR="00B51D07" w:rsidRPr="00B964BF" w:rsidRDefault="00B51D07" w:rsidP="000C198C">
            <w:pPr>
              <w:tabs>
                <w:tab w:val="clear" w:pos="1247"/>
                <w:tab w:val="left" w:pos="913"/>
                <w:tab w:val="left" w:pos="4082"/>
              </w:tabs>
              <w:spacing w:before="80"/>
              <w:rPr>
                <w:sz w:val="18"/>
                <w:szCs w:val="18"/>
              </w:rPr>
            </w:pPr>
            <w:r w:rsidRPr="00B964BF">
              <w:rPr>
                <w:sz w:val="18"/>
                <w:szCs w:val="18"/>
              </w:rPr>
              <w:t>Annex II sets out the detailed staffing table of the Secretariat.</w:t>
            </w:r>
            <w:r w:rsidRPr="00B964BF" w:rsidDel="001B0586">
              <w:rPr>
                <w:sz w:val="18"/>
                <w:szCs w:val="18"/>
              </w:rPr>
              <w:t xml:space="preserve"> </w:t>
            </w:r>
          </w:p>
          <w:p w:rsidR="00B51D07" w:rsidRPr="00B964BF" w:rsidRDefault="00B51D07" w:rsidP="000C198C">
            <w:pPr>
              <w:tabs>
                <w:tab w:val="clear" w:pos="1247"/>
                <w:tab w:val="left" w:pos="913"/>
                <w:tab w:val="left" w:pos="4082"/>
              </w:tabs>
              <w:spacing w:before="80"/>
              <w:rPr>
                <w:sz w:val="18"/>
                <w:szCs w:val="18"/>
              </w:rPr>
            </w:pPr>
            <w:r w:rsidRPr="00B964BF">
              <w:rPr>
                <w:sz w:val="18"/>
                <w:szCs w:val="18"/>
              </w:rPr>
              <w:t>The posts of the Senior Administrative Officer (P5) and the Senior Administrative Assistant (G7) are funded by the programme support cost budget.</w:t>
            </w:r>
          </w:p>
          <w:p w:rsidR="00B51D07" w:rsidRPr="00B964BF" w:rsidRDefault="00B51D07" w:rsidP="000C198C">
            <w:pPr>
              <w:tabs>
                <w:tab w:val="clear" w:pos="1247"/>
                <w:tab w:val="left" w:pos="913"/>
                <w:tab w:val="left" w:pos="4082"/>
              </w:tabs>
              <w:spacing w:before="80"/>
              <w:rPr>
                <w:sz w:val="18"/>
                <w:szCs w:val="18"/>
              </w:rPr>
            </w:pPr>
            <w:r w:rsidRPr="00B964BF">
              <w:rPr>
                <w:sz w:val="18"/>
                <w:szCs w:val="18"/>
              </w:rPr>
              <w:t>The post of Communications and Information Officer (P-3) is funded fully from the Trust Fund for the Vienna Convention.</w:t>
            </w:r>
          </w:p>
        </w:tc>
      </w:tr>
      <w:tr w:rsidR="00B51D07" w:rsidRPr="00B964BF" w:rsidTr="000C198C">
        <w:trPr>
          <w:trHeight w:val="708"/>
          <w:jc w:val="right"/>
        </w:trPr>
        <w:tc>
          <w:tcPr>
            <w:tcW w:w="1703" w:type="dxa"/>
          </w:tcPr>
          <w:p w:rsidR="00B51D07" w:rsidRPr="00B964BF" w:rsidRDefault="00B51D07" w:rsidP="000C198C">
            <w:pPr>
              <w:tabs>
                <w:tab w:val="clear" w:pos="1247"/>
                <w:tab w:val="left" w:pos="913"/>
                <w:tab w:val="left" w:pos="4082"/>
              </w:tabs>
              <w:spacing w:before="40" w:after="20"/>
              <w:rPr>
                <w:sz w:val="18"/>
                <w:szCs w:val="18"/>
              </w:rPr>
            </w:pPr>
            <w:r w:rsidRPr="00B964BF">
              <w:rPr>
                <w:sz w:val="18"/>
                <w:szCs w:val="18"/>
              </w:rPr>
              <w:t xml:space="preserve">Consultants </w:t>
            </w:r>
          </w:p>
        </w:tc>
        <w:tc>
          <w:tcPr>
            <w:tcW w:w="1111" w:type="dxa"/>
          </w:tcPr>
          <w:p w:rsidR="00B51D07" w:rsidRPr="00B964BF" w:rsidRDefault="00B51D07" w:rsidP="000C198C">
            <w:pPr>
              <w:tabs>
                <w:tab w:val="clear" w:pos="1247"/>
                <w:tab w:val="left" w:pos="913"/>
                <w:tab w:val="left" w:pos="4082"/>
              </w:tabs>
              <w:spacing w:before="40" w:after="20"/>
              <w:rPr>
                <w:sz w:val="18"/>
                <w:szCs w:val="18"/>
              </w:rPr>
            </w:pPr>
            <w:r w:rsidRPr="00B964BF">
              <w:rPr>
                <w:sz w:val="18"/>
                <w:szCs w:val="18"/>
              </w:rPr>
              <w:t>1200</w:t>
            </w:r>
          </w:p>
        </w:tc>
        <w:tc>
          <w:tcPr>
            <w:tcW w:w="6814" w:type="dxa"/>
          </w:tcPr>
          <w:p w:rsidR="00B51D07" w:rsidRPr="00B964BF" w:rsidRDefault="00B51D07" w:rsidP="000C198C">
            <w:pPr>
              <w:tabs>
                <w:tab w:val="clear" w:pos="1247"/>
                <w:tab w:val="left" w:pos="913"/>
                <w:tab w:val="left" w:pos="4082"/>
              </w:tabs>
              <w:spacing w:before="40" w:after="20"/>
              <w:rPr>
                <w:sz w:val="18"/>
                <w:szCs w:val="18"/>
              </w:rPr>
            </w:pPr>
            <w:r w:rsidRPr="00B964BF">
              <w:rPr>
                <w:sz w:val="18"/>
                <w:szCs w:val="18"/>
              </w:rPr>
              <w:t xml:space="preserve">Consultants are used by the Secretariat for meetings research and facilitation of the workshop on safety standards to be held on 11 July 2017. The approved amount for 2017 has been maintained for 2018 and 2019. </w:t>
            </w:r>
          </w:p>
        </w:tc>
      </w:tr>
      <w:tr w:rsidR="00B51D07" w:rsidRPr="006F1F86" w:rsidTr="000C198C">
        <w:trPr>
          <w:trHeight w:val="293"/>
          <w:jc w:val="right"/>
        </w:trPr>
        <w:tc>
          <w:tcPr>
            <w:tcW w:w="1703"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Operating expenses</w:t>
            </w:r>
          </w:p>
        </w:tc>
        <w:tc>
          <w:tcPr>
            <w:tcW w:w="1111" w:type="dxa"/>
          </w:tcPr>
          <w:p w:rsidR="00B51D07" w:rsidRPr="00B964BF" w:rsidRDefault="00B51D07" w:rsidP="000C198C">
            <w:pPr>
              <w:tabs>
                <w:tab w:val="clear" w:pos="1247"/>
                <w:tab w:val="left" w:pos="913"/>
                <w:tab w:val="left" w:pos="4082"/>
              </w:tabs>
              <w:spacing w:before="120" w:after="20"/>
              <w:rPr>
                <w:sz w:val="18"/>
                <w:szCs w:val="18"/>
              </w:rPr>
            </w:pP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This section includes meetings costs, travel of Article 5 participants and hospitality.</w:t>
            </w:r>
          </w:p>
        </w:tc>
      </w:tr>
      <w:tr w:rsidR="00B51D07" w:rsidRPr="006F1F86" w:rsidTr="000C198C">
        <w:trPr>
          <w:trHeight w:val="1559"/>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1300</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1321</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Meeting costs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Open-ended Working Group meetings</w:t>
            </w:r>
          </w:p>
          <w:p w:rsidR="00B51D07" w:rsidRPr="00B964BF" w:rsidRDefault="00B51D07" w:rsidP="000C198C">
            <w:pPr>
              <w:tabs>
                <w:tab w:val="clear" w:pos="1247"/>
                <w:tab w:val="left" w:pos="913"/>
                <w:tab w:val="left" w:pos="4082"/>
              </w:tabs>
              <w:spacing w:before="20" w:after="20"/>
              <w:rPr>
                <w:sz w:val="18"/>
                <w:szCs w:val="18"/>
              </w:rPr>
            </w:pPr>
            <w:r w:rsidRPr="00B964BF">
              <w:rPr>
                <w:sz w:val="18"/>
                <w:szCs w:val="18"/>
              </w:rPr>
              <w:t>The figure for 2017 is presented as an average cost across five duty stations: Bangkok, Montreal, Nairobi, Paris and Vienna, and the costs for 2018 and 2019 costs have been increased by 2</w:t>
            </w:r>
            <w:r w:rsidRPr="00B964BF">
              <w:rPr>
                <w:rFonts w:eastAsia="MS Mincho"/>
              </w:rPr>
              <w:t xml:space="preserve"> per cent</w:t>
            </w:r>
            <w:r w:rsidRPr="00B964BF">
              <w:rPr>
                <w:sz w:val="18"/>
                <w:szCs w:val="18"/>
              </w:rPr>
              <w:t xml:space="preserve"> each year to allow for inflation. The costs will be adjusted based on the venue of the meetings. </w:t>
            </w:r>
          </w:p>
        </w:tc>
      </w:tr>
      <w:tr w:rsidR="00B51D07" w:rsidRPr="006F1F86" w:rsidTr="000C198C">
        <w:trPr>
          <w:trHeight w:val="2926"/>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1322</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Preparatory meetings and Meetings of the Parties </w:t>
            </w:r>
          </w:p>
          <w:p w:rsidR="00B51D07" w:rsidRPr="00B964BF" w:rsidRDefault="00B51D07" w:rsidP="000C198C">
            <w:pPr>
              <w:tabs>
                <w:tab w:val="clear" w:pos="1247"/>
                <w:tab w:val="left" w:pos="913"/>
                <w:tab w:val="left" w:pos="4082"/>
              </w:tabs>
              <w:spacing w:before="20" w:after="20"/>
              <w:rPr>
                <w:sz w:val="18"/>
                <w:szCs w:val="18"/>
              </w:rPr>
            </w:pPr>
            <w:r w:rsidRPr="00B964BF">
              <w:rPr>
                <w:sz w:val="18"/>
                <w:szCs w:val="18"/>
              </w:rPr>
              <w:t xml:space="preserve">In 2017, the joint eleventh Conference of the Parties/Twenty-Ninth Meeting of the Parties will be hosted by the Government of Canada in Montreal. The meeting costs will be reduced by $185,000, which represents the UNON cost estimate for interpretation services that will instead be provided by the Government of Canada.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In 2017, the meeting cost of the joint eleventh Conference of the Parties/Twenty-Ninth Meeting of the Parties is shared with the Trust Fund for the Vienna Convention, which has a budget of $252,000. In 2018 and 2019, the full meeting cost will be charged to the Trust Fund for the Montreal Protocol.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2017 costs are presented as an average cost across five duty stations: Bangkok, Montreal, Nairobi, Paris and Vienna. The 2018 and 2019 meeting costs have been increased by 2</w:t>
            </w:r>
            <w:r w:rsidRPr="00B964BF">
              <w:rPr>
                <w:rFonts w:eastAsia="MS Mincho"/>
              </w:rPr>
              <w:t xml:space="preserve"> per cent</w:t>
            </w:r>
            <w:r w:rsidRPr="00B964BF">
              <w:rPr>
                <w:sz w:val="18"/>
                <w:szCs w:val="18"/>
              </w:rPr>
              <w:t xml:space="preserve"> to allow for inflation. The costs will be adjusted based on the venue of the meetings and whether they are </w:t>
            </w:r>
            <w:r w:rsidRPr="00B964BF">
              <w:rPr>
                <w:rFonts w:eastAsia="MS Mincho"/>
                <w:sz w:val="18"/>
                <w:szCs w:val="18"/>
              </w:rPr>
              <w:t>hosted by a party</w:t>
            </w:r>
            <w:r w:rsidRPr="00B964BF">
              <w:rPr>
                <w:sz w:val="18"/>
                <w:szCs w:val="18"/>
              </w:rPr>
              <w:t xml:space="preserve">. </w:t>
            </w:r>
          </w:p>
        </w:tc>
      </w:tr>
      <w:tr w:rsidR="00B51D07" w:rsidRPr="006F1F86" w:rsidTr="000C198C">
        <w:trPr>
          <w:trHeight w:val="745"/>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1324</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One Bureau meeting is scheduled for each of the years 2017, 2018 and 2019, with provision for interpretation and document translation into appropriate languages, depending on the membership of the Bureau. The proposed costs have remained the same as for the approved figures for 2017.</w:t>
            </w:r>
          </w:p>
        </w:tc>
      </w:tr>
      <w:tr w:rsidR="00B51D07" w:rsidRPr="006F1F86" w:rsidTr="000C198C">
        <w:trPr>
          <w:trHeight w:val="459"/>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1325</w:t>
            </w:r>
          </w:p>
        </w:tc>
        <w:tc>
          <w:tcPr>
            <w:tcW w:w="6814" w:type="dxa"/>
          </w:tcPr>
          <w:p w:rsidR="00B51D07" w:rsidRPr="00B964BF" w:rsidRDefault="00B51D07" w:rsidP="000C198C">
            <w:pPr>
              <w:tabs>
                <w:tab w:val="clear" w:pos="1247"/>
                <w:tab w:val="left" w:pos="913"/>
                <w:tab w:val="left" w:pos="4082"/>
              </w:tabs>
              <w:spacing w:before="120" w:after="20"/>
              <w:rPr>
                <w:rFonts w:eastAsia="Calibri"/>
                <w:sz w:val="18"/>
                <w:szCs w:val="18"/>
              </w:rPr>
            </w:pPr>
            <w:r w:rsidRPr="00B964BF">
              <w:rPr>
                <w:sz w:val="18"/>
                <w:szCs w:val="18"/>
              </w:rPr>
              <w:t>The proposed budgets for Implementation Committee meetings in 2018 and 2019 have remained the same as the approved figures for 2017.</w:t>
            </w:r>
          </w:p>
        </w:tc>
      </w:tr>
      <w:tr w:rsidR="00B51D07" w:rsidRPr="006F1F86" w:rsidTr="000C198C">
        <w:trPr>
          <w:trHeight w:val="845"/>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5401</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The hospitality costs cover receptions at the meetings of the Open-ended Working Group and the Meetings of the Parties. Necessary funds may be transferred from the conference servicing budget lines should such services be required, either through individual consultancies or corporate contracts.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0C198C">
        <w:trPr>
          <w:trHeight w:val="1715"/>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3300</w:t>
            </w:r>
          </w:p>
        </w:tc>
        <w:tc>
          <w:tcPr>
            <w:tcW w:w="6814" w:type="dxa"/>
          </w:tcPr>
          <w:p w:rsidR="00B51D07" w:rsidRPr="00B964BF" w:rsidRDefault="00B51D07" w:rsidP="000C198C">
            <w:pPr>
              <w:tabs>
                <w:tab w:val="clear" w:pos="1247"/>
                <w:tab w:val="left" w:pos="913"/>
                <w:tab w:val="left" w:pos="4082"/>
              </w:tabs>
              <w:spacing w:before="120" w:after="20"/>
              <w:rPr>
                <w:b/>
                <w:sz w:val="18"/>
                <w:szCs w:val="18"/>
              </w:rPr>
            </w:pPr>
            <w:r w:rsidRPr="00B964BF">
              <w:rPr>
                <w:b/>
                <w:sz w:val="18"/>
                <w:szCs w:val="18"/>
              </w:rPr>
              <w:t>Travel of Article 5 participants</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participation of representatives of parties operating under paragraph 1 of Article 5 in various Montreal Protocol meetings is budgeted at $5,000 per representative per meeting using the most appropriate and advantageous economy-class fare and United Nations daily subsistence allowances.</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0C198C">
        <w:trPr>
          <w:trHeight w:val="470"/>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20" w:after="20"/>
              <w:rPr>
                <w:sz w:val="18"/>
                <w:szCs w:val="18"/>
              </w:rPr>
            </w:pPr>
          </w:p>
        </w:tc>
        <w:tc>
          <w:tcPr>
            <w:tcW w:w="6814" w:type="dxa"/>
          </w:tcPr>
          <w:p w:rsidR="00B51D07" w:rsidRPr="00B964BF" w:rsidRDefault="00B51D07" w:rsidP="000C198C">
            <w:pPr>
              <w:tabs>
                <w:tab w:val="clear" w:pos="1247"/>
                <w:tab w:val="left" w:pos="913"/>
                <w:tab w:val="left" w:pos="4082"/>
              </w:tabs>
              <w:spacing w:after="20"/>
              <w:rPr>
                <w:sz w:val="18"/>
                <w:szCs w:val="18"/>
              </w:rPr>
            </w:pPr>
            <w:r w:rsidRPr="00B964BF">
              <w:rPr>
                <w:sz w:val="18"/>
                <w:szCs w:val="18"/>
              </w:rPr>
              <w:t xml:space="preserve">The Secretariat confirms that no funds from the budget lines in this section have been used to cover the cost of travel by representatives of non-Article 5 parties.  </w:t>
            </w:r>
          </w:p>
        </w:tc>
      </w:tr>
      <w:tr w:rsidR="00B51D07" w:rsidRPr="006F1F86" w:rsidTr="000C198C">
        <w:trPr>
          <w:trHeight w:val="562"/>
          <w:jc w:val="right"/>
        </w:trPr>
        <w:tc>
          <w:tcPr>
            <w:tcW w:w="1703"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Travel on official business</w:t>
            </w:r>
          </w:p>
        </w:tc>
        <w:tc>
          <w:tcPr>
            <w:tcW w:w="1111"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1600</w:t>
            </w:r>
          </w:p>
        </w:tc>
        <w:tc>
          <w:tcPr>
            <w:tcW w:w="6814"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Travel on official business for 2018 and 2019 is maintained at the 2017 approved level.</w:t>
            </w:r>
          </w:p>
        </w:tc>
      </w:tr>
      <w:tr w:rsidR="00B51D07" w:rsidRPr="006F1F86" w:rsidTr="000C198C">
        <w:trPr>
          <w:trHeight w:val="845"/>
          <w:jc w:val="right"/>
        </w:trPr>
        <w:tc>
          <w:tcPr>
            <w:tcW w:w="1703"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Other operating costs: supplies and consumables</w:t>
            </w:r>
          </w:p>
          <w:p w:rsidR="00B51D07" w:rsidRPr="00B964BF" w:rsidRDefault="00B51D07" w:rsidP="000C198C">
            <w:pPr>
              <w:keepNext/>
              <w:keepLines/>
              <w:tabs>
                <w:tab w:val="clear" w:pos="1247"/>
                <w:tab w:val="left" w:pos="913"/>
                <w:tab w:val="left" w:pos="4082"/>
              </w:tabs>
              <w:spacing w:before="120" w:after="20"/>
              <w:rPr>
                <w:sz w:val="18"/>
                <w:szCs w:val="18"/>
              </w:rPr>
            </w:pPr>
          </w:p>
        </w:tc>
        <w:tc>
          <w:tcPr>
            <w:tcW w:w="1111"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4100–5300</w:t>
            </w:r>
          </w:p>
        </w:tc>
        <w:tc>
          <w:tcPr>
            <w:tcW w:w="6814"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 xml:space="preserve">The section includes expendable equipment, non-expendable equipment and rental of office premises, reporting costs and sundry. </w:t>
            </w:r>
          </w:p>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 xml:space="preserve">The 2018 and 2019 proposed costs remain constant at the 2017 approved level, except for “Sundry”, which includes $10,000 for communication, $10,000 for freight, $10,000 for training and $10,000 for Ozone Day celebrations, which is increased to $90,000 in 2017 to cover an enhanced plan to mark the thirtieth anniversary of the Montreal Protocol. </w:t>
            </w:r>
          </w:p>
        </w:tc>
      </w:tr>
    </w:tbl>
    <w:p w:rsidR="0088455F" w:rsidRDefault="0088455F" w:rsidP="00AC0413"/>
    <w:p w:rsidR="00E00968" w:rsidRDefault="00E00968">
      <w:pPr>
        <w:tabs>
          <w:tab w:val="clear" w:pos="1247"/>
          <w:tab w:val="clear" w:pos="1814"/>
          <w:tab w:val="clear" w:pos="2381"/>
          <w:tab w:val="clear" w:pos="2948"/>
          <w:tab w:val="clear" w:pos="3515"/>
        </w:tabs>
        <w:spacing w:after="200" w:line="276" w:lineRule="auto"/>
      </w:pPr>
      <w:r>
        <w:br w:type="page"/>
      </w:r>
    </w:p>
    <w:p w:rsidR="00455F2E" w:rsidRDefault="00455F2E" w:rsidP="00AC0413"/>
    <w:p w:rsidR="00455F2E" w:rsidRPr="001F0F53" w:rsidRDefault="00455F2E" w:rsidP="00455F2E">
      <w:pPr>
        <w:pStyle w:val="ZZAnxheader"/>
      </w:pPr>
      <w:r>
        <w:tab/>
      </w:r>
      <w:r w:rsidRPr="001F0F53">
        <w:t>Annex I</w:t>
      </w:r>
      <w:r>
        <w:t>I</w:t>
      </w:r>
    </w:p>
    <w:p w:rsidR="00455F2E" w:rsidRDefault="00455F2E" w:rsidP="00455F2E">
      <w:pPr>
        <w:pStyle w:val="ZZAnxtitle"/>
      </w:pPr>
      <w:r>
        <w:t>Contributions by the parties</w:t>
      </w:r>
    </w:p>
    <w:p w:rsidR="00455F2E" w:rsidRPr="00455F2E" w:rsidRDefault="00455F2E" w:rsidP="00455F2E">
      <w:pPr>
        <w:pStyle w:val="ZZAnxtitle"/>
        <w:rPr>
          <w:sz w:val="20"/>
          <w:szCs w:val="20"/>
        </w:rPr>
      </w:pPr>
      <w:r w:rsidRPr="00455F2E">
        <w:rPr>
          <w:sz w:val="20"/>
          <w:szCs w:val="20"/>
        </w:rPr>
        <w:t>Trust fund for the Montreal Protocol on substances that deplete the Ozone Layer</w:t>
      </w:r>
    </w:p>
    <w:p w:rsidR="000C198C" w:rsidRPr="001F0F53" w:rsidRDefault="00455F2E" w:rsidP="00455F2E">
      <w:pPr>
        <w:pStyle w:val="CH3"/>
        <w:rPr>
          <w:rFonts w:eastAsiaTheme="minorHAnsi"/>
        </w:rPr>
      </w:pPr>
      <w:r w:rsidRPr="001F0F53">
        <w:rPr>
          <w:rFonts w:eastAsiaTheme="minorHAnsi"/>
        </w:rPr>
        <w:tab/>
      </w:r>
      <w:r w:rsidRPr="001F0F53">
        <w:rPr>
          <w:rFonts w:eastAsiaTheme="minorHAnsi"/>
        </w:rPr>
        <w:tab/>
      </w:r>
    </w:p>
    <w:tbl>
      <w:tblPr>
        <w:tblW w:w="6060" w:type="dxa"/>
        <w:tblInd w:w="93" w:type="dxa"/>
        <w:tblLook w:val="04A0" w:firstRow="1" w:lastRow="0" w:firstColumn="1" w:lastColumn="0" w:noHBand="0" w:noVBand="1"/>
      </w:tblPr>
      <w:tblGrid>
        <w:gridCol w:w="483"/>
        <w:gridCol w:w="3026"/>
        <w:gridCol w:w="968"/>
        <w:gridCol w:w="1086"/>
        <w:gridCol w:w="1053"/>
      </w:tblGrid>
      <w:tr w:rsidR="000C198C" w:rsidRPr="000C198C" w:rsidTr="000C198C">
        <w:trPr>
          <w:trHeight w:val="405"/>
        </w:trPr>
        <w:tc>
          <w:tcPr>
            <w:tcW w:w="3380" w:type="dxa"/>
            <w:gridSpan w:val="2"/>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r w:rsidRPr="000C198C">
              <w:rPr>
                <w:b/>
                <w:bCs/>
                <w:sz w:val="16"/>
                <w:szCs w:val="16"/>
                <w:lang w:val="en-US"/>
              </w:rPr>
              <w:t>Annex …</w:t>
            </w:r>
          </w:p>
        </w:tc>
        <w:tc>
          <w:tcPr>
            <w:tcW w:w="820" w:type="dxa"/>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c>
          <w:tcPr>
            <w:tcW w:w="940" w:type="dxa"/>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c>
          <w:tcPr>
            <w:tcW w:w="920" w:type="dxa"/>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r>
      <w:tr w:rsidR="000C198C" w:rsidRPr="000C198C" w:rsidTr="000C198C">
        <w:trPr>
          <w:trHeight w:val="600"/>
        </w:trPr>
        <w:tc>
          <w:tcPr>
            <w:tcW w:w="4200" w:type="dxa"/>
            <w:gridSpan w:val="3"/>
            <w:tcBorders>
              <w:top w:val="nil"/>
              <w:left w:val="nil"/>
              <w:bottom w:val="nil"/>
              <w:right w:val="nil"/>
            </w:tcBorders>
            <w:shd w:val="clear" w:color="auto" w:fill="auto"/>
            <w:noWrap/>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r w:rsidRPr="000C198C">
              <w:rPr>
                <w:b/>
                <w:bCs/>
                <w:sz w:val="16"/>
                <w:szCs w:val="16"/>
                <w:lang w:val="en-US"/>
              </w:rPr>
              <w:t>Scale of Contributions by the Parties - proposed options</w:t>
            </w:r>
          </w:p>
        </w:tc>
        <w:tc>
          <w:tcPr>
            <w:tcW w:w="940" w:type="dxa"/>
            <w:tcBorders>
              <w:top w:val="nil"/>
              <w:left w:val="nil"/>
              <w:bottom w:val="nil"/>
              <w:right w:val="nil"/>
            </w:tcBorders>
            <w:shd w:val="clear" w:color="auto" w:fill="auto"/>
            <w:noWrap/>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c>
          <w:tcPr>
            <w:tcW w:w="920" w:type="dxa"/>
            <w:tcBorders>
              <w:top w:val="nil"/>
              <w:left w:val="nil"/>
              <w:bottom w:val="nil"/>
              <w:right w:val="nil"/>
            </w:tcBorders>
            <w:shd w:val="clear" w:color="auto" w:fill="auto"/>
            <w:noWrap/>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r>
      <w:tr w:rsidR="000C198C" w:rsidRPr="000C198C" w:rsidTr="000C198C">
        <w:trPr>
          <w:trHeight w:val="705"/>
        </w:trPr>
        <w:tc>
          <w:tcPr>
            <w:tcW w:w="6060" w:type="dxa"/>
            <w:gridSpan w:val="5"/>
            <w:tcBorders>
              <w:top w:val="single" w:sz="4" w:space="0" w:color="auto"/>
              <w:left w:val="single" w:sz="4" w:space="0" w:color="auto"/>
              <w:bottom w:val="nil"/>
              <w:right w:val="nil"/>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b/>
                <w:bCs/>
                <w:sz w:val="16"/>
                <w:szCs w:val="16"/>
                <w:lang w:val="en-US"/>
              </w:rPr>
            </w:pPr>
            <w:r w:rsidRPr="000C198C">
              <w:rPr>
                <w:b/>
                <w:bCs/>
                <w:sz w:val="16"/>
                <w:szCs w:val="16"/>
                <w:lang w:val="en-US"/>
              </w:rPr>
              <w:t>Trust Fund for the Montreal Protocol on Substances that Deplete the Ozone Layer</w:t>
            </w:r>
          </w:p>
        </w:tc>
      </w:tr>
      <w:tr w:rsidR="000C198C" w:rsidRPr="000C198C" w:rsidTr="000C198C">
        <w:trPr>
          <w:trHeight w:val="810"/>
        </w:trPr>
        <w:tc>
          <w:tcPr>
            <w:tcW w:w="6060" w:type="dxa"/>
            <w:gridSpan w:val="5"/>
            <w:tcBorders>
              <w:top w:val="nil"/>
              <w:left w:val="single" w:sz="4" w:space="0" w:color="auto"/>
              <w:bottom w:val="single" w:sz="4" w:space="0" w:color="auto"/>
              <w:right w:val="nil"/>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b/>
                <w:bCs/>
                <w:sz w:val="16"/>
                <w:szCs w:val="16"/>
                <w:lang w:val="en-US"/>
              </w:rPr>
            </w:pPr>
            <w:r w:rsidRPr="000C198C">
              <w:rPr>
                <w:b/>
                <w:bCs/>
                <w:sz w:val="16"/>
                <w:szCs w:val="16"/>
                <w:lang w:val="en-US"/>
              </w:rPr>
              <w:t>(General Assembly Resolution A/70/245 of 23 December 2015 with a maximum assessment rate of 22 per cent)</w:t>
            </w:r>
          </w:p>
        </w:tc>
      </w:tr>
      <w:tr w:rsidR="000C198C" w:rsidRPr="000C198C" w:rsidTr="000C198C">
        <w:trPr>
          <w:trHeight w:val="192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rPr>
                <w:rFonts w:ascii="Arial" w:hAnsi="Arial" w:cs="Arial"/>
                <w:sz w:val="16"/>
                <w:szCs w:val="16"/>
                <w:lang w:val="en-US"/>
              </w:rPr>
            </w:pPr>
            <w:r w:rsidRPr="000C198C">
              <w:rPr>
                <w:rFonts w:ascii="Arial" w:hAnsi="Arial" w:cs="Arial"/>
                <w:sz w:val="16"/>
                <w:szCs w:val="16"/>
                <w:lang w:val="en-US"/>
              </w:rPr>
              <w:t> </w:t>
            </w:r>
          </w:p>
        </w:tc>
        <w:tc>
          <w:tcPr>
            <w:tcW w:w="3026"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ind w:firstLineChars="100" w:firstLine="161"/>
              <w:rPr>
                <w:rFonts w:ascii="Arial Narrow" w:hAnsi="Arial Narrow" w:cs="Arial"/>
                <w:b/>
                <w:bCs/>
                <w:sz w:val="16"/>
                <w:szCs w:val="16"/>
                <w:lang w:val="en-US"/>
              </w:rPr>
            </w:pPr>
            <w:r w:rsidRPr="000C198C">
              <w:rPr>
                <w:rFonts w:ascii="Arial Narrow" w:hAnsi="Arial Narrow" w:cs="Arial"/>
                <w:b/>
                <w:bCs/>
                <w:sz w:val="16"/>
                <w:szCs w:val="16"/>
                <w:lang w:val="en-US"/>
              </w:rPr>
              <w:t>NAME OF PARTY</w:t>
            </w:r>
          </w:p>
        </w:tc>
        <w:tc>
          <w:tcPr>
            <w:tcW w:w="820" w:type="dxa"/>
            <w:tcBorders>
              <w:top w:val="nil"/>
              <w:left w:val="nil"/>
              <w:bottom w:val="single" w:sz="4" w:space="0" w:color="auto"/>
              <w:right w:val="single" w:sz="4" w:space="0" w:color="auto"/>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0C198C">
              <w:rPr>
                <w:rFonts w:ascii="Arial Narrow" w:hAnsi="Arial Narrow" w:cs="Arial"/>
                <w:b/>
                <w:bCs/>
                <w:sz w:val="16"/>
                <w:szCs w:val="16"/>
                <w:lang w:val="en-US"/>
              </w:rPr>
              <w:t xml:space="preserve">Adjusted UN scale with 22% maximum assessment rate considered </w:t>
            </w:r>
          </w:p>
        </w:tc>
        <w:tc>
          <w:tcPr>
            <w:tcW w:w="940" w:type="dxa"/>
            <w:tcBorders>
              <w:top w:val="nil"/>
              <w:left w:val="nil"/>
              <w:bottom w:val="single" w:sz="4" w:space="0" w:color="auto"/>
              <w:right w:val="single" w:sz="4" w:space="0" w:color="auto"/>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rFonts w:ascii="Arial Narrow" w:hAnsi="Arial Narrow" w:cs="Arial"/>
                <w:sz w:val="18"/>
                <w:szCs w:val="18"/>
                <w:lang w:val="en-US"/>
              </w:rPr>
            </w:pPr>
            <w:r w:rsidRPr="000C198C">
              <w:rPr>
                <w:rFonts w:ascii="Arial Narrow" w:hAnsi="Arial Narrow" w:cs="Arial"/>
                <w:sz w:val="18"/>
                <w:szCs w:val="18"/>
                <w:lang w:val="en-US"/>
              </w:rPr>
              <w:t xml:space="preserve"> 2018 Contributions by parties </w:t>
            </w:r>
          </w:p>
        </w:tc>
        <w:tc>
          <w:tcPr>
            <w:tcW w:w="920" w:type="dxa"/>
            <w:tcBorders>
              <w:top w:val="nil"/>
              <w:left w:val="nil"/>
              <w:bottom w:val="single" w:sz="4" w:space="0" w:color="auto"/>
              <w:right w:val="single" w:sz="4" w:space="0" w:color="auto"/>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rFonts w:ascii="Arial Narrow" w:hAnsi="Arial Narrow" w:cs="Arial"/>
                <w:sz w:val="18"/>
                <w:szCs w:val="18"/>
                <w:lang w:val="en-US"/>
              </w:rPr>
            </w:pPr>
            <w:r w:rsidRPr="000C198C">
              <w:rPr>
                <w:rFonts w:ascii="Arial Narrow" w:hAnsi="Arial Narrow" w:cs="Arial"/>
                <w:sz w:val="18"/>
                <w:szCs w:val="18"/>
                <w:lang w:val="en-US"/>
              </w:rPr>
              <w:t xml:space="preserve"> 2019 contributions by parties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Afghanistan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D</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D</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Albania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Algeria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0.160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8,892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8,969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Andorra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Angola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Antigua and Barbuda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Argentina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0.888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49,265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49,689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Armenia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Australia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2.327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129,072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130,183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Austria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0.717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39,765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40,108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Azerbaijan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Bahamas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Bahrain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Bangladesh</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Barbados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Belarus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Belgium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0.881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48,878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49,299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Belize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Benin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20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Bhutan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Bolivia (</w:t>
            </w:r>
            <w:proofErr w:type="spellStart"/>
            <w:r w:rsidRPr="000C198C">
              <w:rPr>
                <w:rFonts w:ascii="Arial Narrow" w:hAnsi="Arial Narrow" w:cs="Arial"/>
                <w:sz w:val="16"/>
                <w:szCs w:val="16"/>
                <w:lang w:val="en-US"/>
              </w:rPr>
              <w:t>Plurinational</w:t>
            </w:r>
            <w:proofErr w:type="spellEnd"/>
            <w:r w:rsidRPr="000C198C">
              <w:rPr>
                <w:rFonts w:ascii="Arial Narrow" w:hAnsi="Arial Narrow" w:cs="Arial"/>
                <w:sz w:val="16"/>
                <w:szCs w:val="16"/>
                <w:lang w:val="en-US"/>
              </w:rPr>
              <w:t xml:space="preserve"> State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Bosnia and Herzegovina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Botswana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Brazil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3.807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211,143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212,961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Brunei Darussalam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Bulgaria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Burkina Faso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Burundi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proofErr w:type="spellStart"/>
            <w:r w:rsidRPr="000C198C">
              <w:rPr>
                <w:rFonts w:ascii="Arial Narrow" w:hAnsi="Arial Narrow" w:cs="Arial"/>
                <w:sz w:val="16"/>
                <w:szCs w:val="16"/>
                <w:lang w:val="en-US"/>
              </w:rPr>
              <w:t>Cabo</w:t>
            </w:r>
            <w:proofErr w:type="spellEnd"/>
            <w:r w:rsidRPr="000C198C">
              <w:rPr>
                <w:rFonts w:ascii="Arial Narrow" w:hAnsi="Arial Narrow" w:cs="Arial"/>
                <w:sz w:val="16"/>
                <w:szCs w:val="16"/>
                <w:lang w:val="en-US"/>
              </w:rPr>
              <w:t xml:space="preserve"> Verde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Cambodia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Cameroon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15"/>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Canada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2.908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161,326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162,715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33</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Central African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Chad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Chile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0.397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22,037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22,226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China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7.887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437,475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441,241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Colombia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0.321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17,784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17,937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Comoros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Congo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Cook Islands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Costa Rica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 xml:space="preserve">Cote d' </w:t>
            </w:r>
            <w:proofErr w:type="spellStart"/>
            <w:r w:rsidRPr="000C198C">
              <w:rPr>
                <w:rFonts w:ascii="Arial Narrow" w:hAnsi="Arial Narrow" w:cs="Arial"/>
                <w:sz w:val="16"/>
                <w:szCs w:val="16"/>
                <w:lang w:val="en-US"/>
              </w:rPr>
              <w:t>Ivoire</w:t>
            </w:r>
            <w:proofErr w:type="spellEnd"/>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Croatia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Cuba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Cyprus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Czech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0.343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18,999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19,163 </w:t>
            </w:r>
          </w:p>
        </w:tc>
      </w:tr>
      <w:tr w:rsidR="000C198C" w:rsidRPr="000C198C" w:rsidTr="000C198C">
        <w:trPr>
          <w:trHeight w:val="495"/>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47</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Democratic People's Republic of Korea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48</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Democratic Republic of Congo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Denmark</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0.581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32,254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32,532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Djibouti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Dominica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Dominican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Ecuador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Egypt</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0.151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8,395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8,467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El Salvador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Equatorial Guinea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Eritrea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Estonia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Ethiopia</w:t>
            </w:r>
          </w:p>
        </w:tc>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European Union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2.489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138,074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139,263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61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Fiji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Finland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0.454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25,185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25,402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France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4.838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268,361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270,671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Gabon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Gambia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Georgia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Germany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6.362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352,863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355,900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Ghana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Greece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0.469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26,013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26,237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Grenada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Guatemala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Guinea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Guinea-Bissau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Guyana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Haiti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Holy See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Honduras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Hungary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0.160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8,892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8,969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Iceland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India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0.734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40,704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41,055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Indonesia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0.502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27,836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28,075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Iran (Islamic Republic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0.469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26,013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26,237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Iraq</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0.128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7,125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7,186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Ireland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0.334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18,502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18,661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Israel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0.428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23,749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23,953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Italy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3.732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207,001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208,783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Jamaica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Japan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9.639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534,624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539,226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Jordan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Kazakhstan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0.190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10,549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10,640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Kenya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Kiribati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Kuwait</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0.284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15,740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15,876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Kyrgyzstan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Lao People's Democratic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Latvia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Lebanon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Lesotho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Liberia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Libya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0.124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6,904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6,963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Liechtenstein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102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Lithuania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Luxembourg</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Madagascar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Malawi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Malaysia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0.321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17,784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17,937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Maldives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Malta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Marshall Islands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Mauritania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Mauritius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Mexico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1.429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79,255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79,937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Micronesia (Federated States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Monaco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Mongolia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Montenegro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Morocco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Mozambique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Myanmar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Namibia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Nauru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Nepal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Netherlands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1.476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81,850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82,555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New Zealand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0.267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14,802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14,929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Nicaragua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Niger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Nigeria</w:t>
            </w:r>
          </w:p>
        </w:tc>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0.208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11,543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11,642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129</w:t>
            </w:r>
          </w:p>
        </w:tc>
        <w:tc>
          <w:tcPr>
            <w:tcW w:w="3026" w:type="dxa"/>
            <w:tcBorders>
              <w:top w:val="nil"/>
              <w:left w:val="single" w:sz="12" w:space="0" w:color="auto"/>
              <w:bottom w:val="single" w:sz="4" w:space="0" w:color="auto"/>
              <w:right w:val="nil"/>
            </w:tcBorders>
            <w:shd w:val="clear" w:color="000000" w:fill="FFFFFF"/>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Niue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Norway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0.845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46,890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47,294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Oman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0.113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6,241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6,295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Pakistan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Palau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Panama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Papua New Guinea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Paraguay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Peru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0.135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7,511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7,576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Philippines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0.164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9,113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9,191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Poland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0.837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46,448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46,848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Portugal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0.390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21,650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21,836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Qatar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0.268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14,857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14,985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Republic of Korea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2.030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112,613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113,583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143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Republic of Moldova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Romania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0.183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10,162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10,250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Russian Federation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3.075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170,549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172,018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Rwanda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Saint Kitts and Nevis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Saint Lucia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 xml:space="preserve">Saint Vincent and the Grenadines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Samoa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San Marino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Sao Tome and Principe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Saudi Arabia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1.141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63,293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63,838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Senegal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Serbia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Seychelles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Sierra Leone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Singapore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0.445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24,688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24,900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Slovakia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0.159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8,837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8,913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Slovenia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Solomon Islands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Somalia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South Africa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0.362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20,104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20,277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South Sudan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Spain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2.433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134,926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136,088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Sri Lanka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Sudan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Suriname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Swaziland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Sweden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0.952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52,800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53,254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Switzerland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1.135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62,962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63,504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Syrian Arab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Tajikistan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Thailand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0.290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16,072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16,210 </w:t>
            </w:r>
          </w:p>
        </w:tc>
      </w:tr>
      <w:tr w:rsidR="000C198C" w:rsidRPr="000C198C" w:rsidTr="000C198C">
        <w:trPr>
          <w:trHeight w:val="495"/>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175</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The former Yugoslav Republic of  Macedonia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176</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Timor-Leste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Togo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Tonga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Trinidad and Tobago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Tunisia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Turkey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1.014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56,224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56,708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Turkmenistan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Tuvalu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184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Uganda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Ukraine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0.103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5,689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5,738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Arab Emirates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0.601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33,359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33,646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Kingdom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4.444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246,490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248,612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Republic of Tanzania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States of America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21.906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1,215,054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1,225,514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Uruguay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Uzbekistan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Vanuatu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Venezuela (Bolivarian Republic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0.569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31,536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31,808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Vietnam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Yemen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Zambia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197</w:t>
            </w:r>
          </w:p>
        </w:tc>
        <w:tc>
          <w:tcPr>
            <w:tcW w:w="3026" w:type="dxa"/>
            <w:tcBorders>
              <w:top w:val="nil"/>
              <w:left w:val="single" w:sz="12" w:space="0" w:color="auto"/>
              <w:bottom w:val="nil"/>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Zimbabwe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402"/>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rPr>
                <w:rFonts w:ascii="Arial" w:hAnsi="Arial" w:cs="Arial"/>
                <w:sz w:val="16"/>
                <w:szCs w:val="16"/>
                <w:lang w:val="en-US"/>
              </w:rPr>
            </w:pPr>
            <w:r w:rsidRPr="000C198C">
              <w:rPr>
                <w:rFonts w:ascii="Arial" w:hAnsi="Arial" w:cs="Arial"/>
                <w:sz w:val="16"/>
                <w:szCs w:val="16"/>
                <w:lang w:val="en-US"/>
              </w:rPr>
              <w:t> </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ind w:firstLineChars="100" w:firstLine="161"/>
              <w:rPr>
                <w:rFonts w:ascii="Arial" w:hAnsi="Arial" w:cs="Arial"/>
                <w:b/>
                <w:bCs/>
                <w:sz w:val="16"/>
                <w:szCs w:val="16"/>
                <w:lang w:val="en-US"/>
              </w:rPr>
            </w:pPr>
            <w:r w:rsidRPr="000C198C">
              <w:rPr>
                <w:rFonts w:ascii="Arial" w:hAnsi="Arial" w:cs="Arial"/>
                <w:b/>
                <w:bCs/>
                <w:sz w:val="16"/>
                <w:szCs w:val="16"/>
                <w:lang w:val="en-US"/>
              </w:rPr>
              <w:t>Total</w:t>
            </w:r>
          </w:p>
        </w:tc>
        <w:tc>
          <w:tcPr>
            <w:tcW w:w="820"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b/>
                <w:bCs/>
                <w:sz w:val="16"/>
                <w:szCs w:val="16"/>
                <w:lang w:val="en-US"/>
              </w:rPr>
            </w:pPr>
            <w:r w:rsidRPr="000C198C">
              <w:rPr>
                <w:rFonts w:ascii="Arial" w:hAnsi="Arial" w:cs="Arial"/>
                <w:b/>
                <w:bCs/>
                <w:sz w:val="16"/>
                <w:szCs w:val="16"/>
                <w:lang w:val="en-US"/>
              </w:rPr>
              <w:t xml:space="preserve">100.000 </w:t>
            </w:r>
          </w:p>
        </w:tc>
        <w:tc>
          <w:tcPr>
            <w:tcW w:w="940"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b/>
                <w:bCs/>
                <w:sz w:val="16"/>
                <w:szCs w:val="16"/>
                <w:lang w:val="en-US"/>
              </w:rPr>
            </w:pPr>
            <w:r w:rsidRPr="000C198C">
              <w:rPr>
                <w:rFonts w:ascii="Arial" w:hAnsi="Arial" w:cs="Arial"/>
                <w:b/>
                <w:bCs/>
                <w:sz w:val="16"/>
                <w:szCs w:val="16"/>
                <w:lang w:val="en-US"/>
              </w:rPr>
              <w:t xml:space="preserve">5,546,722 </w:t>
            </w:r>
          </w:p>
        </w:tc>
        <w:tc>
          <w:tcPr>
            <w:tcW w:w="920"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b/>
                <w:bCs/>
                <w:sz w:val="16"/>
                <w:szCs w:val="16"/>
                <w:lang w:val="en-US"/>
              </w:rPr>
            </w:pPr>
            <w:r w:rsidRPr="000C198C">
              <w:rPr>
                <w:rFonts w:ascii="Arial" w:hAnsi="Arial" w:cs="Arial"/>
                <w:b/>
                <w:bCs/>
                <w:sz w:val="16"/>
                <w:szCs w:val="16"/>
                <w:lang w:val="en-US"/>
              </w:rPr>
              <w:t xml:space="preserve">5,594,470 </w:t>
            </w:r>
          </w:p>
        </w:tc>
      </w:tr>
    </w:tbl>
    <w:p w:rsidR="00455F2E" w:rsidRPr="001F0F53" w:rsidRDefault="00455F2E" w:rsidP="00455F2E">
      <w:pPr>
        <w:pStyle w:val="CH3"/>
        <w:rPr>
          <w:rFonts w:eastAsiaTheme="minorHAnsi"/>
        </w:rPr>
      </w:pPr>
    </w:p>
    <w:p w:rsidR="00455F2E" w:rsidRPr="00B964BF" w:rsidRDefault="00455F2E" w:rsidP="00455F2E">
      <w:pPr>
        <w:pStyle w:val="Titletable"/>
      </w:pPr>
      <w:r w:rsidRPr="00B964BF">
        <w:rPr>
          <w:b w:val="0"/>
          <w:sz w:val="17"/>
          <w:szCs w:val="17"/>
        </w:rPr>
        <w:t xml:space="preserve"> </w:t>
      </w:r>
    </w:p>
    <w:p w:rsidR="00455F2E" w:rsidRDefault="00455F2E" w:rsidP="00AC0413"/>
    <w:sectPr w:rsidR="0045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CB9" w:rsidRDefault="004B3CB9" w:rsidP="00D461AD">
      <w:r>
        <w:separator/>
      </w:r>
    </w:p>
  </w:endnote>
  <w:endnote w:type="continuationSeparator" w:id="0">
    <w:p w:rsidR="004B3CB9" w:rsidRDefault="004B3CB9" w:rsidP="00D4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CB9" w:rsidRDefault="004B3CB9" w:rsidP="00D461AD">
      <w:r>
        <w:separator/>
      </w:r>
    </w:p>
  </w:footnote>
  <w:footnote w:type="continuationSeparator" w:id="0">
    <w:p w:rsidR="004B3CB9" w:rsidRDefault="004B3CB9" w:rsidP="00D461AD">
      <w:r>
        <w:continuationSeparator/>
      </w:r>
    </w:p>
  </w:footnote>
  <w:footnote w:id="1">
    <w:p w:rsidR="000C198C" w:rsidRPr="006308D9" w:rsidRDefault="000C198C"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UNEP/OzL.Pro.29/4/Add.1.</w:t>
      </w:r>
    </w:p>
  </w:footnote>
  <w:footnote w:id="2">
    <w:p w:rsidR="000C198C" w:rsidRPr="00533FB6" w:rsidRDefault="000C198C"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5335616B"/>
    <w:multiLevelType w:val="hybridMultilevel"/>
    <w:tmpl w:val="1B026D3E"/>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
  </w:num>
  <w:num w:numId="2">
    <w:abstractNumId w:val="0"/>
    <w:lvlOverride w:ilvl="0">
      <w:lvl w:ilvl="0">
        <w:start w:val="1"/>
        <w:numFmt w:val="decimal"/>
        <w:pStyle w:val="Normalnumber"/>
        <w:lvlText w:val="%1."/>
        <w:lvlJc w:val="left"/>
        <w:pPr>
          <w:tabs>
            <w:tab w:val="num" w:pos="567"/>
          </w:tabs>
          <w:ind w:left="1247" w:firstLine="0"/>
        </w:pPr>
        <w:rPr>
          <w:rFonts w:hint="default"/>
        </w:r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lvlOverride w:ilvl="0">
      <w:lvl w:ilvl="0">
        <w:start w:val="1"/>
        <w:numFmt w:val="decimal"/>
        <w:pStyle w:val="Normalnumber"/>
        <w:lvlText w:val="%1."/>
        <w:lvlJc w:val="left"/>
        <w:pPr>
          <w:tabs>
            <w:tab w:val="num" w:pos="567"/>
          </w:tabs>
          <w:ind w:left="1247"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AD"/>
    <w:rsid w:val="00075801"/>
    <w:rsid w:val="000A7FDD"/>
    <w:rsid w:val="000C198C"/>
    <w:rsid w:val="000E6083"/>
    <w:rsid w:val="000F5DA3"/>
    <w:rsid w:val="001304AC"/>
    <w:rsid w:val="001C78E7"/>
    <w:rsid w:val="00275A49"/>
    <w:rsid w:val="002E5738"/>
    <w:rsid w:val="00347F0E"/>
    <w:rsid w:val="00357EF4"/>
    <w:rsid w:val="004406C3"/>
    <w:rsid w:val="00455F2E"/>
    <w:rsid w:val="004B3CB9"/>
    <w:rsid w:val="004D2C7B"/>
    <w:rsid w:val="004D592B"/>
    <w:rsid w:val="00604C4A"/>
    <w:rsid w:val="00651D23"/>
    <w:rsid w:val="00675EFF"/>
    <w:rsid w:val="00686449"/>
    <w:rsid w:val="007046E5"/>
    <w:rsid w:val="00707294"/>
    <w:rsid w:val="008537C0"/>
    <w:rsid w:val="0088455F"/>
    <w:rsid w:val="00910235"/>
    <w:rsid w:val="009B7127"/>
    <w:rsid w:val="009C570B"/>
    <w:rsid w:val="00AC0413"/>
    <w:rsid w:val="00B51D07"/>
    <w:rsid w:val="00C7610C"/>
    <w:rsid w:val="00C82F83"/>
    <w:rsid w:val="00CF69B3"/>
    <w:rsid w:val="00D41BF6"/>
    <w:rsid w:val="00D461AD"/>
    <w:rsid w:val="00E00968"/>
    <w:rsid w:val="00EF4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 w:type="character" w:styleId="Hyperlink">
    <w:name w:val="Hyperlink"/>
    <w:basedOn w:val="DefaultParagraphFont"/>
    <w:uiPriority w:val="99"/>
    <w:semiHidden/>
    <w:unhideWhenUsed/>
    <w:rsid w:val="000C198C"/>
    <w:rPr>
      <w:color w:val="0000FF"/>
      <w:u w:val="single"/>
    </w:rPr>
  </w:style>
  <w:style w:type="character" w:styleId="FollowedHyperlink">
    <w:name w:val="FollowedHyperlink"/>
    <w:basedOn w:val="DefaultParagraphFont"/>
    <w:uiPriority w:val="99"/>
    <w:semiHidden/>
    <w:unhideWhenUsed/>
    <w:rsid w:val="000C198C"/>
    <w:rPr>
      <w:color w:val="800080"/>
      <w:u w:val="single"/>
    </w:rPr>
  </w:style>
  <w:style w:type="paragraph" w:customStyle="1" w:styleId="xl65">
    <w:name w:val="xl65"/>
    <w:basedOn w:val="Normal"/>
    <w:rsid w:val="000C198C"/>
    <w:pPr>
      <w:tabs>
        <w:tab w:val="clear" w:pos="1247"/>
        <w:tab w:val="clear" w:pos="1814"/>
        <w:tab w:val="clear" w:pos="2381"/>
        <w:tab w:val="clear" w:pos="2948"/>
        <w:tab w:val="clear" w:pos="3515"/>
      </w:tabs>
      <w:spacing w:before="100" w:beforeAutospacing="1" w:after="100" w:afterAutospacing="1"/>
      <w:textAlignment w:val="center"/>
    </w:pPr>
    <w:rPr>
      <w:b/>
      <w:bCs/>
      <w:sz w:val="16"/>
      <w:szCs w:val="16"/>
      <w:lang w:val="en-US"/>
    </w:rPr>
  </w:style>
  <w:style w:type="paragraph" w:customStyle="1" w:styleId="xl66">
    <w:name w:val="xl66"/>
    <w:basedOn w:val="Normal"/>
    <w:rsid w:val="000C198C"/>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7">
    <w:name w:val="xl67"/>
    <w:basedOn w:val="Normal"/>
    <w:rsid w:val="000C198C"/>
    <w:pPr>
      <w:tabs>
        <w:tab w:val="clear" w:pos="1247"/>
        <w:tab w:val="clear" w:pos="1814"/>
        <w:tab w:val="clear" w:pos="2381"/>
        <w:tab w:val="clear" w:pos="2948"/>
        <w:tab w:val="clear" w:pos="3515"/>
      </w:tabs>
      <w:spacing w:before="100" w:beforeAutospacing="1" w:after="100" w:afterAutospacing="1"/>
      <w:textAlignment w:val="top"/>
    </w:pPr>
    <w:rPr>
      <w:b/>
      <w:bCs/>
      <w:sz w:val="16"/>
      <w:szCs w:val="16"/>
      <w:lang w:val="en-US"/>
    </w:rPr>
  </w:style>
  <w:style w:type="paragraph" w:customStyle="1" w:styleId="xl68">
    <w:name w:val="xl68"/>
    <w:basedOn w:val="Normal"/>
    <w:rsid w:val="000C198C"/>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9">
    <w:name w:val="xl69"/>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Narrow" w:hAnsi="Arial Narrow"/>
      <w:b/>
      <w:bCs/>
      <w:sz w:val="16"/>
      <w:szCs w:val="16"/>
      <w:lang w:val="en-US"/>
    </w:rPr>
  </w:style>
  <w:style w:type="paragraph" w:customStyle="1" w:styleId="xl70">
    <w:name w:val="xl70"/>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71">
    <w:name w:val="xl71"/>
    <w:basedOn w:val="Normal"/>
    <w:rsid w:val="000C198C"/>
    <w:pPr>
      <w:pBdr>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2">
    <w:name w:val="xl7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3">
    <w:name w:val="xl7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4">
    <w:name w:val="xl74"/>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5">
    <w:name w:val="xl75"/>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6">
    <w:name w:val="xl76"/>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7">
    <w:name w:val="xl77"/>
    <w:basedOn w:val="Normal"/>
    <w:rsid w:val="000C198C"/>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8">
    <w:name w:val="xl78"/>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9">
    <w:name w:val="xl79"/>
    <w:basedOn w:val="Normal"/>
    <w:rsid w:val="000C198C"/>
    <w:pPr>
      <w:pBdr>
        <w:top w:val="single" w:sz="4" w:space="0" w:color="auto"/>
        <w:left w:val="single" w:sz="12" w:space="11" w:color="auto"/>
        <w:bottom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0">
    <w:name w:val="xl80"/>
    <w:basedOn w:val="Normal"/>
    <w:rsid w:val="000C198C"/>
    <w:pPr>
      <w:pBdr>
        <w:top w:val="single" w:sz="4" w:space="0" w:color="auto"/>
        <w:left w:val="single" w:sz="12" w:space="11"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1">
    <w:name w:val="xl81"/>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82">
    <w:name w:val="xl8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3">
    <w:name w:val="xl8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4">
    <w:name w:val="xl84"/>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sz w:val="18"/>
      <w:szCs w:val="18"/>
      <w:lang w:val="en-US"/>
    </w:rPr>
  </w:style>
  <w:style w:type="paragraph" w:customStyle="1" w:styleId="xl85">
    <w:name w:val="xl85"/>
    <w:basedOn w:val="Normal"/>
    <w:rsid w:val="000C198C"/>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6">
    <w:name w:val="xl86"/>
    <w:basedOn w:val="Normal"/>
    <w:rsid w:val="000C198C"/>
    <w:pPr>
      <w:pBdr>
        <w:top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7">
    <w:name w:val="xl87"/>
    <w:basedOn w:val="Normal"/>
    <w:rsid w:val="000C198C"/>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8">
    <w:name w:val="xl88"/>
    <w:basedOn w:val="Normal"/>
    <w:rsid w:val="000C198C"/>
    <w:pPr>
      <w:pBdr>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 w:type="character" w:styleId="Hyperlink">
    <w:name w:val="Hyperlink"/>
    <w:basedOn w:val="DefaultParagraphFont"/>
    <w:uiPriority w:val="99"/>
    <w:semiHidden/>
    <w:unhideWhenUsed/>
    <w:rsid w:val="000C198C"/>
    <w:rPr>
      <w:color w:val="0000FF"/>
      <w:u w:val="single"/>
    </w:rPr>
  </w:style>
  <w:style w:type="character" w:styleId="FollowedHyperlink">
    <w:name w:val="FollowedHyperlink"/>
    <w:basedOn w:val="DefaultParagraphFont"/>
    <w:uiPriority w:val="99"/>
    <w:semiHidden/>
    <w:unhideWhenUsed/>
    <w:rsid w:val="000C198C"/>
    <w:rPr>
      <w:color w:val="800080"/>
      <w:u w:val="single"/>
    </w:rPr>
  </w:style>
  <w:style w:type="paragraph" w:customStyle="1" w:styleId="xl65">
    <w:name w:val="xl65"/>
    <w:basedOn w:val="Normal"/>
    <w:rsid w:val="000C198C"/>
    <w:pPr>
      <w:tabs>
        <w:tab w:val="clear" w:pos="1247"/>
        <w:tab w:val="clear" w:pos="1814"/>
        <w:tab w:val="clear" w:pos="2381"/>
        <w:tab w:val="clear" w:pos="2948"/>
        <w:tab w:val="clear" w:pos="3515"/>
      </w:tabs>
      <w:spacing w:before="100" w:beforeAutospacing="1" w:after="100" w:afterAutospacing="1"/>
      <w:textAlignment w:val="center"/>
    </w:pPr>
    <w:rPr>
      <w:b/>
      <w:bCs/>
      <w:sz w:val="16"/>
      <w:szCs w:val="16"/>
      <w:lang w:val="en-US"/>
    </w:rPr>
  </w:style>
  <w:style w:type="paragraph" w:customStyle="1" w:styleId="xl66">
    <w:name w:val="xl66"/>
    <w:basedOn w:val="Normal"/>
    <w:rsid w:val="000C198C"/>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7">
    <w:name w:val="xl67"/>
    <w:basedOn w:val="Normal"/>
    <w:rsid w:val="000C198C"/>
    <w:pPr>
      <w:tabs>
        <w:tab w:val="clear" w:pos="1247"/>
        <w:tab w:val="clear" w:pos="1814"/>
        <w:tab w:val="clear" w:pos="2381"/>
        <w:tab w:val="clear" w:pos="2948"/>
        <w:tab w:val="clear" w:pos="3515"/>
      </w:tabs>
      <w:spacing w:before="100" w:beforeAutospacing="1" w:after="100" w:afterAutospacing="1"/>
      <w:textAlignment w:val="top"/>
    </w:pPr>
    <w:rPr>
      <w:b/>
      <w:bCs/>
      <w:sz w:val="16"/>
      <w:szCs w:val="16"/>
      <w:lang w:val="en-US"/>
    </w:rPr>
  </w:style>
  <w:style w:type="paragraph" w:customStyle="1" w:styleId="xl68">
    <w:name w:val="xl68"/>
    <w:basedOn w:val="Normal"/>
    <w:rsid w:val="000C198C"/>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9">
    <w:name w:val="xl69"/>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Narrow" w:hAnsi="Arial Narrow"/>
      <w:b/>
      <w:bCs/>
      <w:sz w:val="16"/>
      <w:szCs w:val="16"/>
      <w:lang w:val="en-US"/>
    </w:rPr>
  </w:style>
  <w:style w:type="paragraph" w:customStyle="1" w:styleId="xl70">
    <w:name w:val="xl70"/>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71">
    <w:name w:val="xl71"/>
    <w:basedOn w:val="Normal"/>
    <w:rsid w:val="000C198C"/>
    <w:pPr>
      <w:pBdr>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2">
    <w:name w:val="xl7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3">
    <w:name w:val="xl7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4">
    <w:name w:val="xl74"/>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5">
    <w:name w:val="xl75"/>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6">
    <w:name w:val="xl76"/>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7">
    <w:name w:val="xl77"/>
    <w:basedOn w:val="Normal"/>
    <w:rsid w:val="000C198C"/>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8">
    <w:name w:val="xl78"/>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9">
    <w:name w:val="xl79"/>
    <w:basedOn w:val="Normal"/>
    <w:rsid w:val="000C198C"/>
    <w:pPr>
      <w:pBdr>
        <w:top w:val="single" w:sz="4" w:space="0" w:color="auto"/>
        <w:left w:val="single" w:sz="12" w:space="11" w:color="auto"/>
        <w:bottom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0">
    <w:name w:val="xl80"/>
    <w:basedOn w:val="Normal"/>
    <w:rsid w:val="000C198C"/>
    <w:pPr>
      <w:pBdr>
        <w:top w:val="single" w:sz="4" w:space="0" w:color="auto"/>
        <w:left w:val="single" w:sz="12" w:space="11"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1">
    <w:name w:val="xl81"/>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82">
    <w:name w:val="xl8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3">
    <w:name w:val="xl8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4">
    <w:name w:val="xl84"/>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sz w:val="18"/>
      <w:szCs w:val="18"/>
      <w:lang w:val="en-US"/>
    </w:rPr>
  </w:style>
  <w:style w:type="paragraph" w:customStyle="1" w:styleId="xl85">
    <w:name w:val="xl85"/>
    <w:basedOn w:val="Normal"/>
    <w:rsid w:val="000C198C"/>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6">
    <w:name w:val="xl86"/>
    <w:basedOn w:val="Normal"/>
    <w:rsid w:val="000C198C"/>
    <w:pPr>
      <w:pBdr>
        <w:top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7">
    <w:name w:val="xl87"/>
    <w:basedOn w:val="Normal"/>
    <w:rsid w:val="000C198C"/>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8">
    <w:name w:val="xl88"/>
    <w:basedOn w:val="Normal"/>
    <w:rsid w:val="000C198C"/>
    <w:pPr>
      <w:pBdr>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84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2E495F-9D1E-46D5-B689-17BA39385C33}"/>
</file>

<file path=customXml/itemProps2.xml><?xml version="1.0" encoding="utf-8"?>
<ds:datastoreItem xmlns:ds="http://schemas.openxmlformats.org/officeDocument/2006/customXml" ds:itemID="{7ECD7CA8-DB7F-430F-A5BF-BB29A8E675E3}"/>
</file>

<file path=customXml/itemProps3.xml><?xml version="1.0" encoding="utf-8"?>
<ds:datastoreItem xmlns:ds="http://schemas.openxmlformats.org/officeDocument/2006/customXml" ds:itemID="{AD4A444C-69EA-4869-9533-FAAB309B7716}"/>
</file>

<file path=docProps/app.xml><?xml version="1.0" encoding="utf-8"?>
<Properties xmlns="http://schemas.openxmlformats.org/officeDocument/2006/extended-properties" xmlns:vt="http://schemas.openxmlformats.org/officeDocument/2006/docPropsVTypes">
  <Template>Normal</Template>
  <TotalTime>0</TotalTime>
  <Pages>11</Pages>
  <Words>2645</Words>
  <Characters>15078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Creavalle</dc:creator>
  <cp:lastModifiedBy>Kathleen Creavalle</cp:lastModifiedBy>
  <cp:revision>2</cp:revision>
  <cp:lastPrinted>2017-11-24T19:08:00Z</cp:lastPrinted>
  <dcterms:created xsi:type="dcterms:W3CDTF">2017-11-24T19:31:00Z</dcterms:created>
  <dcterms:modified xsi:type="dcterms:W3CDTF">2017-11-24T19:31:00Z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