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9441" w:type="dxa"/>
        <w:jc w:val="right"/>
        <w:tblLayout w:type="fixed"/>
        <w:tblLook w:val="0000" w:firstRow="0" w:lastRow="0" w:firstColumn="0" w:lastColumn="0" w:noHBand="0" w:noVBand="0"/>
      </w:tblPr>
      <w:tblGrid>
        <w:gridCol w:w="1551"/>
        <w:gridCol w:w="4790"/>
        <w:gridCol w:w="3100"/>
      </w:tblGrid>
      <w:tr w:rsidR="00565077" w:rsidRPr="00565077" w14:paraId="01D16A8B" w14:textId="77777777" w:rsidTr="00A56AE1">
        <w:trPr>
          <w:trHeight w:val="850"/>
          <w:jc w:val="right"/>
        </w:trPr>
        <w:tc>
          <w:tcPr>
            <w:tcW w:w="1559" w:type="dxa"/>
          </w:tcPr>
          <w:p w14:paraId="077E085E" w14:textId="75317BC3" w:rsidR="00565077" w:rsidRPr="00565077" w:rsidRDefault="00565077" w:rsidP="00565077">
            <w:pPr>
              <w:bidi/>
              <w:adjustRightInd w:val="0"/>
              <w:snapToGrid w:val="0"/>
              <w:spacing w:line="540" w:lineRule="exact"/>
              <w:rPr>
                <w:rFonts w:ascii="Simplified Arabic" w:hAnsi="Simplified Arabic" w:hint="default"/>
                <w:b/>
                <w:caps/>
                <w:sz w:val="44"/>
                <w:szCs w:val="44"/>
                <w:lang w:val="en-US" w:eastAsia="en-US"/>
              </w:rPr>
            </w:pPr>
            <w:r w:rsidRPr="00565077">
              <w:rPr>
                <w:rFonts w:ascii="Simplified Arabic" w:hAnsi="Simplified Arabic"/>
                <w:bCs/>
                <w:caps/>
                <w:sz w:val="44"/>
                <w:szCs w:val="44"/>
                <w:rtl/>
                <w:lang w:val="en-GB" w:eastAsia="en-US"/>
              </w:rPr>
              <w:t>الأ</w:t>
            </w:r>
            <w:r w:rsidR="00806A79">
              <w:rPr>
                <w:rFonts w:ascii="Simplified Arabic" w:hAnsi="Simplified Arabic"/>
                <w:bCs/>
                <w:caps/>
                <w:sz w:val="44"/>
                <w:szCs w:val="44"/>
                <w:rtl/>
                <w:lang w:val="en-GB" w:eastAsia="en-US"/>
              </w:rPr>
              <w:t>م</w:t>
            </w:r>
            <w:r w:rsidRPr="00565077">
              <w:rPr>
                <w:rFonts w:ascii="Simplified Arabic" w:hAnsi="Simplified Arabic"/>
                <w:bCs/>
                <w:caps/>
                <w:sz w:val="44"/>
                <w:szCs w:val="44"/>
                <w:rtl/>
                <w:lang w:val="en-GB" w:eastAsia="en-US"/>
              </w:rPr>
              <w:t>م المتحدة</w:t>
            </w:r>
          </w:p>
        </w:tc>
        <w:tc>
          <w:tcPr>
            <w:tcW w:w="4819" w:type="dxa"/>
          </w:tcPr>
          <w:p w14:paraId="0913A078" w14:textId="77777777" w:rsidR="00565077" w:rsidRPr="00565077" w:rsidRDefault="00565077" w:rsidP="00565077">
            <w:pPr>
              <w:tabs>
                <w:tab w:val="left" w:pos="4082"/>
              </w:tabs>
              <w:rPr>
                <w:rFonts w:eastAsia="Times New Roman" w:cs="Times New Roman" w:hint="default"/>
                <w:szCs w:val="20"/>
                <w:lang w:val="en-US" w:eastAsia="en-US"/>
              </w:rPr>
            </w:pPr>
            <w:r w:rsidRPr="00565077">
              <w:rPr>
                <w:rFonts w:eastAsia="Times New Roman" w:cs="Times New Roman"/>
                <w:b/>
                <w:bCs/>
                <w:noProof/>
                <w:szCs w:val="20"/>
                <w:rtl/>
                <w:lang w:val="en-US" w:eastAsia="en-US"/>
              </w:rPr>
              <w:drawing>
                <wp:anchor distT="0" distB="0" distL="114300" distR="114300" simplePos="0" relativeHeight="251659264" behindDoc="0" locked="0" layoutInCell="1" allowOverlap="0" wp14:anchorId="3EAE6AC0" wp14:editId="444211DB">
                  <wp:simplePos x="0" y="0"/>
                  <wp:positionH relativeFrom="column">
                    <wp:posOffset>1623590</wp:posOffset>
                  </wp:positionH>
                  <wp:positionV relativeFrom="paragraph">
                    <wp:posOffset>6985</wp:posOffset>
                  </wp:positionV>
                  <wp:extent cx="1394501" cy="610815"/>
                  <wp:effectExtent l="0" t="0" r="0" b="0"/>
                  <wp:wrapNone/>
                  <wp:docPr id="1" name="Picture 1"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with low confidence"/>
                          <pic:cNvPicPr/>
                        </pic:nvPicPr>
                        <pic:blipFill>
                          <a:blip r:embed="rId11">
                            <a:extLst>
                              <a:ext uri="{28A0092B-C50C-407E-A947-70E740481C1C}">
                                <a14:useLocalDpi xmlns:a14="http://schemas.microsoft.com/office/drawing/2010/main" val="0"/>
                              </a:ext>
                            </a:extLst>
                          </a:blip>
                          <a:stretch>
                            <a:fillRect/>
                          </a:stretch>
                        </pic:blipFill>
                        <pic:spPr>
                          <a:xfrm>
                            <a:off x="0" y="0"/>
                            <a:ext cx="1394501" cy="610815"/>
                          </a:xfrm>
                          <a:prstGeom prst="rect">
                            <a:avLst/>
                          </a:prstGeom>
                        </pic:spPr>
                      </pic:pic>
                    </a:graphicData>
                  </a:graphic>
                  <wp14:sizeRelH relativeFrom="margin">
                    <wp14:pctWidth>0</wp14:pctWidth>
                  </wp14:sizeRelH>
                  <wp14:sizeRelV relativeFrom="margin">
                    <wp14:pctHeight>0</wp14:pctHeight>
                  </wp14:sizeRelV>
                </wp:anchor>
              </w:drawing>
            </w:r>
          </w:p>
        </w:tc>
        <w:tc>
          <w:tcPr>
            <w:tcW w:w="3118" w:type="dxa"/>
          </w:tcPr>
          <w:p w14:paraId="50FFD669" w14:textId="77777777" w:rsidR="00565077" w:rsidRPr="00565077" w:rsidRDefault="00565077" w:rsidP="00565077">
            <w:pPr>
              <w:tabs>
                <w:tab w:val="left" w:pos="4082"/>
              </w:tabs>
              <w:jc w:val="right"/>
              <w:rPr>
                <w:rFonts w:eastAsia="Times New Roman" w:cs="Times New Roman" w:hint="default"/>
                <w:szCs w:val="20"/>
                <w:lang w:val="en-US" w:eastAsia="en-US"/>
              </w:rPr>
            </w:pPr>
          </w:p>
        </w:tc>
      </w:tr>
    </w:tbl>
    <w:p w14:paraId="59F0F54A" w14:textId="77777777" w:rsidR="00565077" w:rsidRPr="00565077" w:rsidRDefault="00565077" w:rsidP="00565077">
      <w:pPr>
        <w:tabs>
          <w:tab w:val="left" w:pos="4082"/>
        </w:tabs>
        <w:rPr>
          <w:rFonts w:eastAsia="Times New Roman" w:cs="Times New Roman" w:hint="default"/>
          <w:sz w:val="2"/>
          <w:szCs w:val="20"/>
          <w:lang w:val="en-GB" w:eastAsia="en-US"/>
        </w:rPr>
      </w:pPr>
    </w:p>
    <w:tbl>
      <w:tblPr>
        <w:bidiVisual/>
        <w:tblW w:w="9497" w:type="dxa"/>
        <w:jc w:val="right"/>
        <w:tblLook w:val="0000" w:firstRow="0" w:lastRow="0" w:firstColumn="0" w:lastColumn="0" w:noHBand="0" w:noVBand="0"/>
      </w:tblPr>
      <w:tblGrid>
        <w:gridCol w:w="6285"/>
        <w:gridCol w:w="3212"/>
      </w:tblGrid>
      <w:tr w:rsidR="00565077" w:rsidRPr="00A50247" w14:paraId="4113F5CC" w14:textId="77777777" w:rsidTr="00A56AE1">
        <w:trPr>
          <w:trHeight w:val="340"/>
          <w:jc w:val="right"/>
        </w:trPr>
        <w:tc>
          <w:tcPr>
            <w:tcW w:w="6378" w:type="dxa"/>
            <w:vAlign w:val="bottom"/>
          </w:tcPr>
          <w:p w14:paraId="0BFF0AD4" w14:textId="77777777" w:rsidR="00565077" w:rsidRPr="00565077" w:rsidRDefault="00565077" w:rsidP="00565077">
            <w:pPr>
              <w:tabs>
                <w:tab w:val="left" w:pos="4082"/>
              </w:tabs>
              <w:rPr>
                <w:rFonts w:eastAsia="Times New Roman" w:cs="Times New Roman" w:hint="default"/>
                <w:szCs w:val="20"/>
                <w:lang w:val="en-US" w:eastAsia="en-US"/>
              </w:rPr>
            </w:pPr>
          </w:p>
        </w:tc>
        <w:tc>
          <w:tcPr>
            <w:tcW w:w="3119" w:type="dxa"/>
            <w:noWrap/>
            <w:vAlign w:val="bottom"/>
          </w:tcPr>
          <w:p w14:paraId="524F238F" w14:textId="2509D407" w:rsidR="00565077" w:rsidRPr="00565077" w:rsidRDefault="00565077" w:rsidP="00565077">
            <w:pPr>
              <w:rPr>
                <w:rFonts w:eastAsia="Times New Roman" w:cs="Times New Roman" w:hint="default"/>
                <w:szCs w:val="20"/>
                <w:rtl/>
                <w:lang w:val="en-US" w:eastAsia="en-US" w:bidi="ar-EG"/>
              </w:rPr>
            </w:pPr>
            <w:r w:rsidRPr="00565077">
              <w:rPr>
                <w:rFonts w:eastAsia="Times New Roman" w:cs="Times New Roman"/>
                <w:b/>
                <w:sz w:val="28"/>
                <w:szCs w:val="28"/>
                <w:lang w:val="en-GB" w:eastAsia="en-US"/>
              </w:rPr>
              <w:t>UNEP</w:t>
            </w:r>
            <w:r w:rsidRPr="00565077">
              <w:rPr>
                <w:rFonts w:eastAsia="Times New Roman" w:cs="Times New Roman"/>
                <w:bCs/>
                <w:szCs w:val="20"/>
                <w:lang w:val="en-GB" w:eastAsia="en-US"/>
              </w:rPr>
              <w:t>/OzL.Pro.WG.1/48/</w:t>
            </w:r>
            <w:r w:rsidR="008D21DB">
              <w:rPr>
                <w:rFonts w:eastAsia="Times New Roman" w:cs="Times New Roman" w:hint="default"/>
                <w:bCs/>
                <w:szCs w:val="20"/>
                <w:lang w:val="en-GB" w:eastAsia="en-US"/>
              </w:rPr>
              <w:t>2/Add.1</w:t>
            </w:r>
          </w:p>
        </w:tc>
      </w:tr>
    </w:tbl>
    <w:p w14:paraId="35C96C93" w14:textId="77777777" w:rsidR="00565077" w:rsidRPr="00565077" w:rsidRDefault="00565077" w:rsidP="00565077">
      <w:pPr>
        <w:tabs>
          <w:tab w:val="left" w:pos="4082"/>
        </w:tabs>
        <w:rPr>
          <w:rFonts w:eastAsia="Times New Roman" w:cs="Times New Roman" w:hint="default"/>
          <w:sz w:val="2"/>
          <w:szCs w:val="20"/>
          <w:lang w:val="en-GB" w:eastAsia="en-US"/>
        </w:rPr>
      </w:pPr>
    </w:p>
    <w:tbl>
      <w:tblPr>
        <w:bidiVisual/>
        <w:tblW w:w="9441" w:type="dxa"/>
        <w:jc w:val="right"/>
        <w:tblBorders>
          <w:top w:val="single" w:sz="4" w:space="0" w:color="auto"/>
          <w:bottom w:val="single" w:sz="24" w:space="0" w:color="auto"/>
        </w:tblBorders>
        <w:tblLayout w:type="fixed"/>
        <w:tblLook w:val="0000" w:firstRow="0" w:lastRow="0" w:firstColumn="0" w:lastColumn="0" w:noHBand="0" w:noVBand="0"/>
      </w:tblPr>
      <w:tblGrid>
        <w:gridCol w:w="5070"/>
        <w:gridCol w:w="1271"/>
        <w:gridCol w:w="3100"/>
      </w:tblGrid>
      <w:tr w:rsidR="00565077" w:rsidRPr="00A50247" w14:paraId="6BDB5B34" w14:textId="77777777" w:rsidTr="00A56AE1">
        <w:trPr>
          <w:trHeight w:val="2776"/>
          <w:jc w:val="right"/>
        </w:trPr>
        <w:tc>
          <w:tcPr>
            <w:tcW w:w="5100" w:type="dxa"/>
          </w:tcPr>
          <w:p w14:paraId="0B571899" w14:textId="77777777" w:rsidR="00565077" w:rsidRPr="00565077" w:rsidRDefault="00565077" w:rsidP="00565077">
            <w:pPr>
              <w:tabs>
                <w:tab w:val="clear" w:pos="1247"/>
                <w:tab w:val="clear" w:pos="1814"/>
                <w:tab w:val="clear" w:pos="2381"/>
                <w:tab w:val="clear" w:pos="2948"/>
                <w:tab w:val="clear" w:pos="3515"/>
              </w:tabs>
              <w:bidi/>
              <w:adjustRightInd w:val="0"/>
              <w:snapToGrid w:val="0"/>
              <w:spacing w:after="240" w:line="680" w:lineRule="exact"/>
              <w:ind w:right="1332"/>
              <w:jc w:val="lowKashida"/>
              <w:rPr>
                <w:rFonts w:ascii="Simplified Arabic" w:hAnsi="Simplified Arabic" w:hint="default"/>
                <w:b/>
                <w:bCs/>
                <w:sz w:val="44"/>
                <w:szCs w:val="44"/>
                <w:lang w:val="en-GB" w:eastAsia="en-US"/>
              </w:rPr>
            </w:pPr>
            <w:r w:rsidRPr="00565077">
              <w:rPr>
                <w:rFonts w:ascii="Simplified Arabic" w:hAnsi="Simplified Arabic"/>
                <w:b/>
                <w:bCs/>
                <w:sz w:val="44"/>
                <w:szCs w:val="44"/>
                <w:rtl/>
                <w:lang w:val="en-GB" w:eastAsia="en-US"/>
              </w:rPr>
              <w:t>بروتوكول مونتريال بشأن المواد المستنفدة لطبقة الأوزون</w:t>
            </w:r>
          </w:p>
        </w:tc>
        <w:tc>
          <w:tcPr>
            <w:tcW w:w="1278" w:type="dxa"/>
          </w:tcPr>
          <w:p w14:paraId="27576D37" w14:textId="235D3E08" w:rsidR="00565077" w:rsidRPr="00565077" w:rsidRDefault="00565077" w:rsidP="00565077">
            <w:pPr>
              <w:tabs>
                <w:tab w:val="left" w:pos="4082"/>
              </w:tabs>
              <w:rPr>
                <w:rFonts w:eastAsia="Times New Roman" w:cs="Times New Roman" w:hint="default"/>
                <w:szCs w:val="20"/>
                <w:lang w:val="en-US" w:eastAsia="en-US"/>
              </w:rPr>
            </w:pPr>
          </w:p>
        </w:tc>
        <w:tc>
          <w:tcPr>
            <w:tcW w:w="3118" w:type="dxa"/>
          </w:tcPr>
          <w:p w14:paraId="6005A355" w14:textId="5F268162" w:rsidR="00565077" w:rsidRPr="00565077" w:rsidRDefault="00565077" w:rsidP="00565077">
            <w:pPr>
              <w:tabs>
                <w:tab w:val="left" w:pos="4082"/>
              </w:tabs>
              <w:adjustRightInd w:val="0"/>
              <w:snapToGrid w:val="0"/>
              <w:spacing w:before="120"/>
              <w:rPr>
                <w:rFonts w:cs="Times New Roman" w:hint="default"/>
                <w:szCs w:val="20"/>
                <w:lang w:val="en-GB" w:eastAsia="en-US"/>
              </w:rPr>
            </w:pPr>
            <w:r w:rsidRPr="00565077">
              <w:rPr>
                <w:rFonts w:cs="Times New Roman"/>
                <w:szCs w:val="20"/>
                <w:lang w:val="en-GB" w:eastAsia="en-US"/>
              </w:rPr>
              <w:t>Distr.: General</w:t>
            </w:r>
            <w:r w:rsidRPr="00565077">
              <w:rPr>
                <w:rFonts w:cs="Times New Roman"/>
                <w:szCs w:val="20"/>
                <w:lang w:val="en-GB" w:eastAsia="en-US"/>
              </w:rPr>
              <w:br/>
            </w:r>
            <w:r w:rsidR="008D21DB">
              <w:rPr>
                <w:rFonts w:cs="Times New Roman" w:hint="default"/>
                <w:szCs w:val="20"/>
                <w:lang w:val="en-GB" w:eastAsia="en-US"/>
              </w:rPr>
              <w:t xml:space="preserve">20 </w:t>
            </w:r>
            <w:r w:rsidRPr="00565077">
              <w:rPr>
                <w:rFonts w:cs="Times New Roman"/>
                <w:szCs w:val="20"/>
                <w:lang w:val="en-GB" w:eastAsia="en-US"/>
              </w:rPr>
              <w:t>Ma</w:t>
            </w:r>
            <w:r w:rsidR="008D21DB">
              <w:rPr>
                <w:rFonts w:cs="Times New Roman" w:hint="default"/>
                <w:szCs w:val="20"/>
                <w:lang w:val="en-GB" w:eastAsia="en-US"/>
              </w:rPr>
              <w:t>y</w:t>
            </w:r>
            <w:r w:rsidRPr="00565077">
              <w:rPr>
                <w:rFonts w:cs="Times New Roman"/>
                <w:szCs w:val="20"/>
                <w:lang w:val="en-GB" w:eastAsia="en-US"/>
              </w:rPr>
              <w:t xml:space="preserve"> 2026</w:t>
            </w:r>
          </w:p>
          <w:p w14:paraId="5357D13D" w14:textId="77777777" w:rsidR="00565077" w:rsidRPr="00565077" w:rsidRDefault="00565077" w:rsidP="00565077">
            <w:pPr>
              <w:tabs>
                <w:tab w:val="left" w:pos="4082"/>
              </w:tabs>
              <w:adjustRightInd w:val="0"/>
              <w:snapToGrid w:val="0"/>
              <w:spacing w:before="120"/>
              <w:rPr>
                <w:rFonts w:cs="Times New Roman" w:hint="default"/>
                <w:szCs w:val="20"/>
                <w:lang w:val="en-GB" w:eastAsia="en-US"/>
              </w:rPr>
            </w:pPr>
            <w:bookmarkStart w:id="0" w:name="DistributionLang"/>
            <w:r w:rsidRPr="00565077">
              <w:rPr>
                <w:rFonts w:cs="Times New Roman"/>
                <w:szCs w:val="20"/>
                <w:lang w:val="en-GB" w:eastAsia="en-US"/>
              </w:rPr>
              <w:t>Arabic</w:t>
            </w:r>
          </w:p>
          <w:p w14:paraId="6B02F76F" w14:textId="77777777" w:rsidR="00565077" w:rsidRPr="00565077" w:rsidRDefault="00565077" w:rsidP="00565077">
            <w:pPr>
              <w:tabs>
                <w:tab w:val="left" w:pos="4082"/>
              </w:tabs>
              <w:adjustRightInd w:val="0"/>
              <w:snapToGrid w:val="0"/>
              <w:rPr>
                <w:rFonts w:cs="Times New Roman" w:hint="default"/>
                <w:szCs w:val="20"/>
                <w:lang w:val="en-GB" w:eastAsia="en-US"/>
              </w:rPr>
            </w:pPr>
            <w:r w:rsidRPr="00565077">
              <w:rPr>
                <w:rFonts w:cs="Times New Roman"/>
                <w:szCs w:val="20"/>
                <w:lang w:val="en-GB" w:eastAsia="en-US"/>
              </w:rPr>
              <w:t>Original: English</w:t>
            </w:r>
            <w:bookmarkEnd w:id="0"/>
          </w:p>
        </w:tc>
      </w:tr>
    </w:tbl>
    <w:p w14:paraId="5946B9B9" w14:textId="77777777" w:rsidR="00565077" w:rsidRPr="00565077" w:rsidRDefault="00565077" w:rsidP="00565077">
      <w:pPr>
        <w:tabs>
          <w:tab w:val="left" w:pos="4082"/>
        </w:tabs>
        <w:rPr>
          <w:rFonts w:eastAsia="Times New Roman" w:cs="Times New Roman" w:hint="default"/>
          <w:sz w:val="2"/>
          <w:szCs w:val="20"/>
          <w:lang w:val="en-GB" w:eastAsia="en-US"/>
        </w:rPr>
      </w:pPr>
    </w:p>
    <w:tbl>
      <w:tblPr>
        <w:bidiVisual/>
        <w:tblW w:w="9496" w:type="dxa"/>
        <w:jc w:val="right"/>
        <w:tblLayout w:type="fixed"/>
        <w:tblCellMar>
          <w:left w:w="0" w:type="dxa"/>
          <w:right w:w="70" w:type="dxa"/>
        </w:tblCellMar>
        <w:tblLook w:val="0000" w:firstRow="0" w:lastRow="0" w:firstColumn="0" w:lastColumn="0" w:noHBand="0" w:noVBand="0"/>
      </w:tblPr>
      <w:tblGrid>
        <w:gridCol w:w="5669"/>
        <w:gridCol w:w="3827"/>
      </w:tblGrid>
      <w:tr w:rsidR="00565077" w:rsidRPr="00A50247" w14:paraId="3A7D6D03" w14:textId="77777777" w:rsidTr="00A56AE1">
        <w:trPr>
          <w:trHeight w:val="57"/>
          <w:jc w:val="right"/>
        </w:trPr>
        <w:tc>
          <w:tcPr>
            <w:tcW w:w="5669" w:type="dxa"/>
          </w:tcPr>
          <w:p w14:paraId="094FD457" w14:textId="77777777" w:rsidR="00565077" w:rsidRPr="00565077" w:rsidRDefault="00565077" w:rsidP="00565077">
            <w:pPr>
              <w:keepNext/>
              <w:keepLines/>
              <w:tabs>
                <w:tab w:val="clear" w:pos="1247"/>
                <w:tab w:val="clear" w:pos="1814"/>
                <w:tab w:val="clear" w:pos="2381"/>
                <w:tab w:val="clear" w:pos="2948"/>
                <w:tab w:val="clear" w:pos="3515"/>
              </w:tabs>
              <w:suppressAutoHyphens/>
              <w:bidi/>
              <w:spacing w:line="400" w:lineRule="exact"/>
              <w:ind w:right="1418"/>
              <w:jc w:val="lowKashida"/>
              <w:rPr>
                <w:rFonts w:eastAsia="Times New Roman" w:hint="default"/>
                <w:bCs/>
                <w:sz w:val="24"/>
                <w:szCs w:val="24"/>
                <w:lang w:val="en-US" w:eastAsia="en-US"/>
              </w:rPr>
            </w:pPr>
            <w:r w:rsidRPr="00565077">
              <w:rPr>
                <w:rFonts w:eastAsia="Times New Roman"/>
                <w:bCs/>
                <w:sz w:val="24"/>
                <w:szCs w:val="24"/>
                <w:rtl/>
                <w:lang w:val="en-US" w:eastAsia="en-US"/>
              </w:rPr>
              <w:t>الفريق العامل المفتوح العضوية للأطراف في بروتوكول مونتريال بشأن المواد المستنفدة لطبقة الأوزون</w:t>
            </w:r>
          </w:p>
          <w:p w14:paraId="5691B0D2" w14:textId="77777777" w:rsidR="00565077" w:rsidRPr="00565077" w:rsidRDefault="00565077" w:rsidP="00565077">
            <w:pPr>
              <w:keepNext/>
              <w:keepLines/>
              <w:tabs>
                <w:tab w:val="clear" w:pos="1247"/>
                <w:tab w:val="clear" w:pos="1814"/>
                <w:tab w:val="clear" w:pos="2381"/>
                <w:tab w:val="clear" w:pos="2948"/>
                <w:tab w:val="clear" w:pos="3515"/>
              </w:tabs>
              <w:suppressAutoHyphens/>
              <w:bidi/>
              <w:spacing w:line="400" w:lineRule="exact"/>
              <w:ind w:right="2268"/>
              <w:jc w:val="both"/>
              <w:rPr>
                <w:rFonts w:eastAsia="Times New Roman" w:hint="default"/>
                <w:bCs/>
                <w:sz w:val="24"/>
                <w:szCs w:val="24"/>
                <w:lang w:val="en-US" w:eastAsia="en-US"/>
              </w:rPr>
            </w:pPr>
            <w:r w:rsidRPr="00565077">
              <w:rPr>
                <w:rFonts w:eastAsia="Times New Roman"/>
                <w:bCs/>
                <w:sz w:val="24"/>
                <w:szCs w:val="24"/>
                <w:rtl/>
                <w:lang w:val="en-US" w:eastAsia="en-US"/>
              </w:rPr>
              <w:t>الاجتماع الثامن والأربعون</w:t>
            </w:r>
          </w:p>
          <w:p w14:paraId="00D78D6E" w14:textId="77777777" w:rsidR="00565077" w:rsidRPr="001C547C" w:rsidRDefault="00565077" w:rsidP="00984A76">
            <w:pPr>
              <w:tabs>
                <w:tab w:val="clear" w:pos="1247"/>
                <w:tab w:val="clear" w:pos="1814"/>
                <w:tab w:val="clear" w:pos="2381"/>
                <w:tab w:val="clear" w:pos="2948"/>
                <w:tab w:val="clear" w:pos="3515"/>
              </w:tabs>
              <w:bidi/>
              <w:spacing w:line="400" w:lineRule="exact"/>
              <w:ind w:right="2268"/>
              <w:jc w:val="both"/>
              <w:rPr>
                <w:rFonts w:ascii="Simplified Arabic" w:eastAsia="Times New Roman" w:hAnsi="Simplified Arabic" w:hint="default"/>
                <w:b/>
                <w:sz w:val="24"/>
                <w:szCs w:val="24"/>
                <w:lang w:val="en-US" w:eastAsia="en-US"/>
              </w:rPr>
            </w:pPr>
            <w:r w:rsidRPr="001C547C">
              <w:rPr>
                <w:rFonts w:ascii="Simplified Arabic" w:eastAsia="Times New Roman" w:hAnsi="Simplified Arabic" w:hint="default"/>
                <w:b/>
                <w:sz w:val="24"/>
                <w:szCs w:val="24"/>
                <w:rtl/>
                <w:lang w:val="en-US" w:eastAsia="en-US"/>
              </w:rPr>
              <w:t>بانكوك، 13-17 تموز/يوليه 2026</w:t>
            </w:r>
          </w:p>
          <w:p w14:paraId="2E39505E" w14:textId="685970E7" w:rsidR="00984A76" w:rsidRPr="00984A76" w:rsidRDefault="00984A76" w:rsidP="00984A76">
            <w:pPr>
              <w:tabs>
                <w:tab w:val="clear" w:pos="1247"/>
                <w:tab w:val="clear" w:pos="1814"/>
                <w:tab w:val="clear" w:pos="2381"/>
                <w:tab w:val="clear" w:pos="2948"/>
                <w:tab w:val="clear" w:pos="3515"/>
              </w:tabs>
              <w:bidi/>
              <w:spacing w:before="80" w:after="360" w:line="340" w:lineRule="exact"/>
              <w:jc w:val="both"/>
              <w:rPr>
                <w:rFonts w:eastAsia="Times New Roman" w:hint="default"/>
                <w:b/>
                <w:sz w:val="24"/>
                <w:szCs w:val="24"/>
                <w:lang w:val="en-US" w:eastAsia="en-US"/>
              </w:rPr>
            </w:pPr>
            <w:r w:rsidRPr="001C547C">
              <w:rPr>
                <w:rFonts w:ascii="Simplified Arabic" w:hAnsi="Simplified Arabic" w:hint="default"/>
                <w:sz w:val="24"/>
                <w:szCs w:val="24"/>
                <w:rtl/>
              </w:rPr>
              <w:t>البنود 3–5 من جدول الأعمال المؤقت</w:t>
            </w:r>
            <w:r w:rsidRPr="00087C24">
              <w:rPr>
                <w:rStyle w:val="FootnoteReference"/>
                <w:rFonts w:ascii="Simplified Arabic" w:hAnsi="Simplified Arabic"/>
                <w:sz w:val="28"/>
                <w:szCs w:val="28"/>
                <w:lang w:val="en-US"/>
              </w:rPr>
              <w:footnoteReference w:customMarkFollows="1" w:id="2"/>
              <w:t>*</w:t>
            </w:r>
          </w:p>
        </w:tc>
        <w:tc>
          <w:tcPr>
            <w:tcW w:w="3827" w:type="dxa"/>
          </w:tcPr>
          <w:p w14:paraId="67CCE516" w14:textId="77777777" w:rsidR="00565077" w:rsidRPr="00565077" w:rsidRDefault="00565077" w:rsidP="00565077">
            <w:pPr>
              <w:rPr>
                <w:rFonts w:eastAsia="Times New Roman" w:cs="Times New Roman" w:hint="default"/>
                <w:szCs w:val="20"/>
                <w:lang w:val="en-GB" w:eastAsia="en-US"/>
              </w:rPr>
            </w:pPr>
          </w:p>
        </w:tc>
      </w:tr>
    </w:tbl>
    <w:p w14:paraId="006C8A55" w14:textId="77777777" w:rsidR="00D44330" w:rsidRPr="00A50247" w:rsidRDefault="00D44330" w:rsidP="00CA7ED6">
      <w:pPr>
        <w:tabs>
          <w:tab w:val="clear" w:pos="1247"/>
          <w:tab w:val="clear" w:pos="1814"/>
          <w:tab w:val="clear" w:pos="2381"/>
          <w:tab w:val="clear" w:pos="2948"/>
          <w:tab w:val="clear" w:pos="3515"/>
        </w:tabs>
        <w:bidi/>
        <w:spacing w:after="240" w:line="440" w:lineRule="exact"/>
        <w:ind w:left="1134"/>
        <w:jc w:val="lowKashida"/>
        <w:textDirection w:val="tbRlV"/>
        <w:rPr>
          <w:rFonts w:ascii="Simplified Arabic" w:hAnsi="Simplified Arabic" w:hint="default"/>
          <w:b/>
          <w:bCs/>
          <w:sz w:val="30"/>
          <w:lang w:val="en-US"/>
        </w:rPr>
      </w:pPr>
      <w:r w:rsidRPr="00B627B3">
        <w:rPr>
          <w:rFonts w:ascii="Simplified Arabic" w:hAnsi="Simplified Arabic" w:hint="default"/>
          <w:b/>
          <w:bCs/>
          <w:sz w:val="30"/>
          <w:rtl/>
        </w:rPr>
        <w:t>مسائل مطروحة لكي يناقشها الفريق العامل المفتوح العضوية للأطراف في بروتوكول مونتريال في اجتماعه الثامن والأربعين ومعلومات مقدمة لكي يطلع عليها‏</w:t>
      </w:r>
    </w:p>
    <w:p w14:paraId="5F0387F0" w14:textId="77777777" w:rsidR="00D44330" w:rsidRPr="00A50247" w:rsidRDefault="00D44330" w:rsidP="00B627B3">
      <w:pPr>
        <w:tabs>
          <w:tab w:val="clear" w:pos="1247"/>
          <w:tab w:val="clear" w:pos="1814"/>
          <w:tab w:val="clear" w:pos="2381"/>
          <w:tab w:val="clear" w:pos="2948"/>
          <w:tab w:val="clear" w:pos="3515"/>
        </w:tabs>
        <w:bidi/>
        <w:spacing w:after="240" w:line="360" w:lineRule="exact"/>
        <w:ind w:left="1134"/>
        <w:jc w:val="both"/>
        <w:textDirection w:val="tbRlV"/>
        <w:rPr>
          <w:rFonts w:ascii="Simplified Arabic" w:hAnsi="Simplified Arabic" w:hint="default"/>
          <w:b/>
          <w:bCs/>
          <w:sz w:val="28"/>
          <w:szCs w:val="28"/>
          <w:lang w:val="en-US"/>
        </w:rPr>
      </w:pPr>
      <w:r w:rsidRPr="00B627B3">
        <w:rPr>
          <w:rFonts w:ascii="Simplified Arabic" w:hAnsi="Simplified Arabic" w:hint="default"/>
          <w:b/>
          <w:bCs/>
          <w:sz w:val="28"/>
          <w:szCs w:val="28"/>
          <w:rtl/>
        </w:rPr>
        <w:t>مذكِّرة من الأمانة</w:t>
      </w:r>
    </w:p>
    <w:p w14:paraId="2582F0B6" w14:textId="77777777" w:rsidR="00D44330" w:rsidRPr="00984A76" w:rsidRDefault="00D44330" w:rsidP="00781A5C">
      <w:pPr>
        <w:pStyle w:val="CH3"/>
        <w:keepNext w:val="0"/>
        <w:keepLines w:val="0"/>
        <w:tabs>
          <w:tab w:val="clear" w:pos="851"/>
          <w:tab w:val="clear" w:pos="1247"/>
        </w:tabs>
        <w:suppressAutoHyphens w:val="0"/>
        <w:bidi/>
        <w:spacing w:before="0" w:after="240" w:line="360" w:lineRule="exact"/>
        <w:ind w:left="1134" w:right="0" w:firstLine="0"/>
        <w:jc w:val="both"/>
        <w:textDirection w:val="tbRlV"/>
        <w:rPr>
          <w:rFonts w:ascii="Simplified Arabic" w:hAnsi="Simplified Arabic" w:cs="Simplified Arabic"/>
          <w:sz w:val="24"/>
          <w:szCs w:val="24"/>
          <w:lang w:val="ar-SA" w:eastAsia="zh-TW" w:bidi="en-GB"/>
        </w:rPr>
      </w:pPr>
      <w:r w:rsidRPr="00984A76">
        <w:rPr>
          <w:rFonts w:ascii="Simplified Arabic" w:hAnsi="Simplified Arabic" w:cs="Simplified Arabic"/>
          <w:b w:val="0"/>
          <w:bCs/>
          <w:sz w:val="24"/>
          <w:szCs w:val="24"/>
          <w:rtl/>
        </w:rPr>
        <w:t>إضافة</w:t>
      </w:r>
    </w:p>
    <w:p w14:paraId="2B5931FD" w14:textId="77777777" w:rsidR="00D44330" w:rsidRPr="007B1C53" w:rsidRDefault="00D44330" w:rsidP="007104E2">
      <w:pPr>
        <w:pStyle w:val="CH1"/>
        <w:keepLines w:val="0"/>
        <w:tabs>
          <w:tab w:val="clear" w:pos="851"/>
          <w:tab w:val="clear" w:pos="1247"/>
        </w:tabs>
        <w:suppressAutoHyphens w:val="0"/>
        <w:bidi/>
        <w:spacing w:before="0" w:after="100" w:line="350" w:lineRule="exact"/>
        <w:ind w:left="1135" w:right="0" w:hanging="851"/>
        <w:jc w:val="both"/>
        <w:textDirection w:val="tbRlV"/>
        <w:rPr>
          <w:rFonts w:ascii="Simplified Arabic" w:hAnsi="Simplified Arabic" w:cs="Simplified Arabic"/>
          <w:bCs/>
          <w:sz w:val="26"/>
          <w:szCs w:val="26"/>
          <w:rtl/>
          <w:lang w:val="ar-SA" w:eastAsia="zh-TW" w:bidi="en-GB"/>
        </w:rPr>
      </w:pPr>
      <w:r w:rsidRPr="007B1C53">
        <w:rPr>
          <w:rFonts w:ascii="Simplified Arabic" w:hAnsi="Simplified Arabic" w:cs="Simplified Arabic"/>
          <w:bCs/>
          <w:sz w:val="26"/>
          <w:szCs w:val="26"/>
          <w:rtl/>
        </w:rPr>
        <w:t>أولاً-</w:t>
      </w:r>
      <w:r w:rsidRPr="007B1C53">
        <w:rPr>
          <w:rFonts w:ascii="Simplified Arabic" w:hAnsi="Simplified Arabic" w:cs="Simplified Arabic"/>
          <w:bCs/>
          <w:sz w:val="26"/>
          <w:szCs w:val="26"/>
          <w:rtl/>
        </w:rPr>
        <w:tab/>
        <w:t>مقدمة</w:t>
      </w:r>
    </w:p>
    <w:p w14:paraId="17DF6F69" w14:textId="77777777" w:rsidR="00D44330" w:rsidRPr="00984A76" w:rsidRDefault="00D44330" w:rsidP="007104E2">
      <w:pPr>
        <w:pStyle w:val="ARNormalnumber"/>
        <w:numPr>
          <w:ilvl w:val="0"/>
          <w:numId w:val="22"/>
        </w:numPr>
        <w:tabs>
          <w:tab w:val="clear" w:pos="1247"/>
          <w:tab w:val="clear" w:pos="1814"/>
          <w:tab w:val="clear" w:pos="2381"/>
          <w:tab w:val="clear" w:pos="2948"/>
          <w:tab w:val="clear" w:pos="3515"/>
          <w:tab w:val="clear" w:pos="4082"/>
          <w:tab w:val="left" w:pos="1843"/>
        </w:tabs>
        <w:bidi/>
        <w:spacing w:after="100" w:line="350" w:lineRule="exact"/>
        <w:ind w:left="1134" w:firstLine="0"/>
        <w:textDirection w:val="tbRlV"/>
        <w:rPr>
          <w:rFonts w:cs="Simplified Arabic"/>
          <w:szCs w:val="24"/>
          <w:rtl/>
          <w:lang w:val="ar-SA" w:eastAsia="zh-TW" w:bidi="en-GB"/>
        </w:rPr>
      </w:pPr>
      <w:r w:rsidRPr="00984A76">
        <w:rPr>
          <w:rFonts w:cs="Simplified Arabic"/>
          <w:szCs w:val="24"/>
          <w:rtl/>
        </w:rPr>
        <w:t>تحتوي هذه الإضافة إلى المذكرة التي أعدتها الأمانة بشأن مسائل مطروحة لكي يناقشها الفريق العامل المفتوح العضوية للأطراف في بروتوكول مونتريال بشأن المواد المستنفدة لطبقة الأوزون في اجتماعه الثامن والأربعين ومعلومات مقدمة لكي يطلع عليها في ذلك الاجتماع (</w:t>
      </w:r>
      <w:r w:rsidRPr="00CA7ED6">
        <w:rPr>
          <w:rFonts w:asciiTheme="majorBidi" w:hAnsiTheme="majorBidi" w:cstheme="majorBidi"/>
          <w:sz w:val="22"/>
          <w:szCs w:val="22"/>
          <w:rtl/>
        </w:rPr>
        <w:t>UNEP/OzL.Pro.WG.1/48/2</w:t>
      </w:r>
      <w:r w:rsidRPr="00984A76">
        <w:rPr>
          <w:rFonts w:cs="Simplified Arabic"/>
          <w:szCs w:val="24"/>
          <w:rtl/>
        </w:rPr>
        <w:t xml:space="preserve">) على معلومات أصبحت متاحة منذ إعداد تلك المذكرة. ويعرض الفرع الثاني من الإضافة معلومات جديدة ومستكملة قدمها فريق التقييم التكنولوجي والاقتصادي في تقريره لعام 2026 وقدمتها الأمانة فيما يتعلق بالبنود 3-5 من جدول الأعمال المؤقت. ويتضمن الفرع الثالث معلومات مستكملة ذات صلة بالاجتماع الثامن والثلاثين للأطراف في بروتوكول مونتريال بشأن التقارير المقدمة من الأطراف استجابةً للمقرر 37/3، بشأن </w:t>
      </w:r>
      <w:r w:rsidRPr="00984A76">
        <w:rPr>
          <w:rFonts w:cs="Simplified Arabic"/>
          <w:szCs w:val="24"/>
          <w:rtl/>
          <w:lang w:val="ar-SA" w:eastAsia="zh-TW"/>
        </w:rPr>
        <w:t>المواد الخاضعة للرقابة المعاد تدويرها والمستعملة وغير المرغوب فيها، والمقرر 37/5، بشأن المبادرات الوطنية والإقليمية لدعم تنفيذ تعديل كيغالي لبروتوكول مونتريال.</w:t>
      </w:r>
    </w:p>
    <w:p w14:paraId="71C1C0F8" w14:textId="77777777" w:rsidR="00D44330" w:rsidRPr="00984A76" w:rsidRDefault="00D44330" w:rsidP="00781A5C">
      <w:pPr>
        <w:pStyle w:val="ARNormalnumber"/>
        <w:keepNext/>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textDirection w:val="tbRlV"/>
        <w:rPr>
          <w:rFonts w:cs="Simplified Arabic"/>
          <w:szCs w:val="24"/>
          <w:lang w:val="ar-SA" w:eastAsia="zh-TW" w:bidi="en-GB"/>
        </w:rPr>
      </w:pPr>
      <w:bookmarkStart w:id="1" w:name="_Hlk137637470"/>
      <w:r w:rsidRPr="00984A76">
        <w:rPr>
          <w:rFonts w:cs="Simplified Arabic"/>
          <w:szCs w:val="24"/>
          <w:rtl/>
        </w:rPr>
        <w:lastRenderedPageBreak/>
        <w:t>ويتألف تقرير فريق التقييم التكنولوجي والاقتصادي لعام 2026 حالياً من مجلدين</w:t>
      </w:r>
      <w:r w:rsidRPr="00984A76">
        <w:rPr>
          <w:rFonts w:cs="Simplified Arabic"/>
          <w:szCs w:val="24"/>
          <w:vertAlign w:val="superscript"/>
          <w:rtl/>
        </w:rPr>
        <w:t>(</w:t>
      </w:r>
      <w:r w:rsidRPr="00984A76">
        <w:rPr>
          <w:rFonts w:cs="Simplified Arabic"/>
          <w:szCs w:val="24"/>
          <w:vertAlign w:val="superscript"/>
          <w:rtl/>
        </w:rPr>
        <w:footnoteReference w:id="3"/>
      </w:r>
      <w:r w:rsidRPr="00984A76">
        <w:rPr>
          <w:rFonts w:cs="Simplified Arabic"/>
          <w:szCs w:val="24"/>
          <w:vertAlign w:val="superscript"/>
          <w:rtl/>
        </w:rPr>
        <w:t>)</w:t>
      </w:r>
      <w:r w:rsidRPr="00984A76">
        <w:rPr>
          <w:rFonts w:cs="Simplified Arabic"/>
          <w:szCs w:val="24"/>
          <w:rtl/>
        </w:rPr>
        <w:t>.</w:t>
      </w:r>
    </w:p>
    <w:p w14:paraId="3114E248" w14:textId="77777777" w:rsidR="00D44330" w:rsidRPr="00984A76" w:rsidRDefault="00D44330" w:rsidP="00781A5C">
      <w:pPr>
        <w:pStyle w:val="ARNormalnumber"/>
        <w:numPr>
          <w:ilvl w:val="0"/>
          <w:numId w:val="31"/>
        </w:numPr>
        <w:tabs>
          <w:tab w:val="clear" w:pos="1247"/>
          <w:tab w:val="clear" w:pos="1814"/>
          <w:tab w:val="clear" w:pos="2381"/>
          <w:tab w:val="clear" w:pos="2948"/>
          <w:tab w:val="clear" w:pos="3515"/>
          <w:tab w:val="clear" w:pos="4082"/>
          <w:tab w:val="left" w:pos="2552"/>
        </w:tabs>
        <w:bidi/>
        <w:spacing w:after="120" w:line="360" w:lineRule="exact"/>
        <w:ind w:left="1134" w:firstLine="709"/>
        <w:textDirection w:val="tbRlV"/>
        <w:rPr>
          <w:rFonts w:cs="Simplified Arabic"/>
          <w:szCs w:val="24"/>
          <w:lang w:val="ar-SA" w:eastAsia="zh-TW" w:bidi="en-GB"/>
        </w:rPr>
      </w:pPr>
      <w:r w:rsidRPr="00984A76">
        <w:rPr>
          <w:rFonts w:cs="Simplified Arabic"/>
          <w:szCs w:val="24"/>
          <w:rtl/>
          <w:lang w:val="ar-SA" w:eastAsia="zh-TW"/>
        </w:rPr>
        <w:t>المجلد 1: تقرير مرحلي (أيار/مايو 2026)؛</w:t>
      </w:r>
    </w:p>
    <w:p w14:paraId="0939A51F" w14:textId="77777777" w:rsidR="00D44330" w:rsidRPr="00984A76" w:rsidRDefault="00D44330" w:rsidP="00781A5C">
      <w:pPr>
        <w:pStyle w:val="ARNormalnumber"/>
        <w:numPr>
          <w:ilvl w:val="0"/>
          <w:numId w:val="31"/>
        </w:numPr>
        <w:tabs>
          <w:tab w:val="clear" w:pos="1247"/>
          <w:tab w:val="clear" w:pos="1814"/>
          <w:tab w:val="clear" w:pos="2381"/>
          <w:tab w:val="clear" w:pos="2948"/>
          <w:tab w:val="clear" w:pos="3515"/>
          <w:tab w:val="clear" w:pos="4082"/>
          <w:tab w:val="left" w:pos="2552"/>
        </w:tabs>
        <w:bidi/>
        <w:spacing w:after="120" w:line="360" w:lineRule="exact"/>
        <w:ind w:left="1134" w:firstLine="709"/>
        <w:textDirection w:val="tbRlV"/>
        <w:rPr>
          <w:rFonts w:cs="Simplified Arabic"/>
          <w:szCs w:val="24"/>
          <w:rtl/>
          <w:lang w:val="ar-SA" w:eastAsia="zh-TW" w:bidi="en-GB"/>
        </w:rPr>
      </w:pPr>
      <w:r w:rsidRPr="00984A76">
        <w:rPr>
          <w:rFonts w:cs="Simplified Arabic"/>
          <w:szCs w:val="24"/>
          <w:rtl/>
          <w:lang w:val="ar-SA" w:eastAsia="zh-TW"/>
        </w:rPr>
        <w:t>المجلد 2: تقييم احتياجات التمويل اللازمة لتجديد موارد الصندوق المتعدد الأطراف لفترة السنوات الثلاث 2027-2029.</w:t>
      </w:r>
    </w:p>
    <w:bookmarkEnd w:id="1"/>
    <w:p w14:paraId="03805C40" w14:textId="77777777" w:rsidR="00D44330" w:rsidRPr="00CA1B8B" w:rsidRDefault="00D44330" w:rsidP="00781A5C">
      <w:pPr>
        <w:pStyle w:val="CH1"/>
        <w:keepLines w:val="0"/>
        <w:tabs>
          <w:tab w:val="clear" w:pos="851"/>
          <w:tab w:val="clear" w:pos="1247"/>
        </w:tabs>
        <w:suppressAutoHyphens w:val="0"/>
        <w:bidi/>
        <w:spacing w:before="0" w:line="360" w:lineRule="exact"/>
        <w:ind w:left="1135" w:right="0" w:hanging="851"/>
        <w:jc w:val="both"/>
        <w:textDirection w:val="tbRlV"/>
        <w:rPr>
          <w:rFonts w:ascii="Simplified Arabic" w:hAnsi="Simplified Arabic" w:cs="Simplified Arabic"/>
          <w:bCs/>
          <w:sz w:val="26"/>
          <w:szCs w:val="26"/>
          <w:rtl/>
          <w:lang w:bidi="en-GB"/>
        </w:rPr>
      </w:pPr>
      <w:r w:rsidRPr="00CA1B8B">
        <w:rPr>
          <w:rFonts w:ascii="Simplified Arabic" w:hAnsi="Simplified Arabic" w:cs="Simplified Arabic"/>
          <w:bCs/>
          <w:sz w:val="26"/>
          <w:szCs w:val="26"/>
          <w:rtl/>
        </w:rPr>
        <w:t>ثانياً-</w:t>
      </w:r>
      <w:r w:rsidRPr="00CA1B8B">
        <w:rPr>
          <w:rFonts w:ascii="Simplified Arabic" w:hAnsi="Simplified Arabic" w:cs="Simplified Arabic"/>
          <w:bCs/>
          <w:sz w:val="26"/>
          <w:szCs w:val="26"/>
          <w:rtl/>
        </w:rPr>
        <w:tab/>
        <w:t xml:space="preserve">موجز للمسائل التي سيناقشها الفريق العامل المفتوح العضوية في اجتماعه الثامن والأربعين </w:t>
      </w:r>
    </w:p>
    <w:p w14:paraId="6E5FA963" w14:textId="77777777" w:rsidR="00D44330" w:rsidRPr="00984A76" w:rsidRDefault="00D44330" w:rsidP="00781A5C">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textDirection w:val="tbRlV"/>
        <w:rPr>
          <w:rFonts w:cs="Simplified Arabic"/>
          <w:szCs w:val="24"/>
          <w:rtl/>
          <w:lang w:bidi="en-GB"/>
        </w:rPr>
      </w:pPr>
      <w:r w:rsidRPr="00984A76">
        <w:rPr>
          <w:rFonts w:cs="Simplified Arabic"/>
          <w:szCs w:val="24"/>
          <w:rtl/>
        </w:rPr>
        <w:t>ترد أدناه المسائل المشمولة في هذه الإضافة حسب ترتيب البنود ذات الصلة في جدول الأعمال المؤقت للاجتماع.</w:t>
      </w:r>
    </w:p>
    <w:p w14:paraId="66F22643" w14:textId="77777777" w:rsidR="00D44330" w:rsidRPr="00646A7F" w:rsidRDefault="00D44330" w:rsidP="00781A5C">
      <w:pPr>
        <w:pStyle w:val="CH2"/>
        <w:keepNext w:val="0"/>
        <w:keepLines w:val="0"/>
        <w:tabs>
          <w:tab w:val="clear" w:pos="851"/>
          <w:tab w:val="clear" w:pos="1247"/>
        </w:tabs>
        <w:suppressAutoHyphens w:val="0"/>
        <w:bidi/>
        <w:spacing w:before="0" w:line="360" w:lineRule="exact"/>
        <w:ind w:left="1134" w:right="0" w:firstLine="0"/>
        <w:jc w:val="both"/>
        <w:textDirection w:val="tbRlV"/>
        <w:rPr>
          <w:rFonts w:ascii="Simplified Arabic" w:hAnsi="Simplified Arabic" w:cs="Simplified Arabic"/>
          <w:sz w:val="26"/>
          <w:szCs w:val="26"/>
          <w:rtl/>
          <w:lang w:val="ar-SA" w:eastAsia="zh-TW" w:bidi="en-GB"/>
        </w:rPr>
      </w:pPr>
      <w:r w:rsidRPr="00646A7F">
        <w:rPr>
          <w:rFonts w:ascii="Simplified Arabic" w:hAnsi="Simplified Arabic" w:cs="Simplified Arabic"/>
          <w:bCs/>
          <w:sz w:val="26"/>
          <w:szCs w:val="26"/>
          <w:rtl/>
        </w:rPr>
        <w:t>البند 3 من جدول الأعمال</w:t>
      </w:r>
    </w:p>
    <w:p w14:paraId="72B2B65F" w14:textId="77777777" w:rsidR="00D44330" w:rsidRPr="00984A76" w:rsidRDefault="00D44330" w:rsidP="00781A5C">
      <w:pPr>
        <w:pStyle w:val="CH2"/>
        <w:keepNext w:val="0"/>
        <w:keepLines w:val="0"/>
        <w:tabs>
          <w:tab w:val="clear" w:pos="851"/>
          <w:tab w:val="clear" w:pos="1247"/>
        </w:tabs>
        <w:suppressAutoHyphens w:val="0"/>
        <w:bidi/>
        <w:spacing w:before="0" w:line="360" w:lineRule="exact"/>
        <w:ind w:left="1134" w:right="0" w:firstLine="0"/>
        <w:jc w:val="both"/>
        <w:textDirection w:val="tbRlV"/>
        <w:rPr>
          <w:rFonts w:ascii="Simplified Arabic" w:hAnsi="Simplified Arabic" w:cs="Simplified Arabic"/>
          <w:bCs/>
          <w:rtl/>
        </w:rPr>
      </w:pPr>
      <w:r w:rsidRPr="00984A76">
        <w:rPr>
          <w:rFonts w:ascii="Simplified Arabic" w:hAnsi="Simplified Arabic" w:cs="Simplified Arabic"/>
          <w:bCs/>
          <w:rtl/>
        </w:rPr>
        <w:t xml:space="preserve">تقرير فريق التقييم التكنولوجي والاقتصادي بشأن عملية تجديد موارد الصندوق المتعدد الأطراف لتنفيذ بروتوكول مونتريال للفترة 2027-2029 (المقرر 37/6) </w:t>
      </w:r>
    </w:p>
    <w:p w14:paraId="4D0B5924" w14:textId="77777777" w:rsidR="00D44330" w:rsidRPr="00BB04F7" w:rsidRDefault="00D44330" w:rsidP="00781A5C">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jc w:val="lowKashida"/>
        <w:textDirection w:val="tbRlV"/>
        <w:rPr>
          <w:rFonts w:cs="Simplified Arabic"/>
          <w:w w:val="101"/>
          <w:szCs w:val="24"/>
        </w:rPr>
      </w:pPr>
      <w:r w:rsidRPr="00BB04F7">
        <w:rPr>
          <w:rFonts w:cs="Simplified Arabic"/>
          <w:w w:val="101"/>
          <w:szCs w:val="24"/>
          <w:rtl/>
        </w:rPr>
        <w:t xml:space="preserve">عملاً بالمقرر 37/6 وكما هو موضح في مذكرة الأمانة </w:t>
      </w:r>
      <w:r w:rsidRPr="00BB04F7">
        <w:rPr>
          <w:rFonts w:cs="Simplified Arabic"/>
          <w:w w:val="101"/>
          <w:szCs w:val="24"/>
        </w:rPr>
        <w:t>(</w:t>
      </w:r>
      <w:r w:rsidRPr="00BB04F7">
        <w:rPr>
          <w:rFonts w:asciiTheme="majorBidi" w:hAnsiTheme="majorBidi" w:cstheme="majorBidi"/>
          <w:w w:val="101"/>
          <w:sz w:val="22"/>
          <w:szCs w:val="22"/>
        </w:rPr>
        <w:t>UNEP/OzL.Pro.WG.1/48/2</w:t>
      </w:r>
      <w:r w:rsidRPr="00BB04F7">
        <w:rPr>
          <w:rFonts w:cs="Simplified Arabic"/>
          <w:w w:val="101"/>
          <w:szCs w:val="24"/>
          <w:rtl/>
        </w:rPr>
        <w:t>، الفقرات 4-9)، أنشأ فريق التقييم التكنولوجي والاقتصادي فرقة عمل</w:t>
      </w:r>
      <w:r w:rsidRPr="00BB04F7">
        <w:rPr>
          <w:rFonts w:cs="Simplified Arabic"/>
          <w:w w:val="101"/>
          <w:szCs w:val="24"/>
          <w:vertAlign w:val="superscript"/>
          <w:rtl/>
        </w:rPr>
        <w:t>(</w:t>
      </w:r>
      <w:r w:rsidRPr="00BB04F7">
        <w:rPr>
          <w:rFonts w:cs="Simplified Arabic"/>
          <w:w w:val="101"/>
          <w:szCs w:val="24"/>
          <w:vertAlign w:val="superscript"/>
          <w:rtl/>
        </w:rPr>
        <w:footnoteReference w:id="4"/>
      </w:r>
      <w:r w:rsidRPr="00BB04F7">
        <w:rPr>
          <w:rFonts w:cs="Simplified Arabic"/>
          <w:w w:val="101"/>
          <w:szCs w:val="24"/>
          <w:vertAlign w:val="superscript"/>
          <w:rtl/>
        </w:rPr>
        <w:t>)</w:t>
      </w:r>
      <w:r w:rsidRPr="00BB04F7">
        <w:rPr>
          <w:rFonts w:cs="Simplified Arabic"/>
          <w:w w:val="101"/>
          <w:szCs w:val="24"/>
          <w:rtl/>
        </w:rPr>
        <w:t xml:space="preserve"> لإعداد تقرير عن المستوى المناسب لتجديد موارد الصندوق المتعدد الأطراف لتنفيذ بروتوكول مونتريال لفترة السنوات الثلاث 2027-2029 دعماً للأطراف العاملة بموجب الفقرة 1 من المادة 5 لتقديمه إلى الاجتماع الثامن والثلاثين للأطراف من خلال الفريق العامل المفتوح العضوية في اجتماعه الثامن والأربعين. ويرد الموجز التنفيذي للتقرير، كما ورد من الفريق ودون أي تحرير رسمي، في المرفق الأول لهذه الإضافة. </w:t>
      </w:r>
      <w:bookmarkStart w:id="2" w:name="_Hlk42353497"/>
    </w:p>
    <w:bookmarkEnd w:id="2"/>
    <w:p w14:paraId="47679305" w14:textId="77777777" w:rsidR="00D44330" w:rsidRPr="00781A5C" w:rsidRDefault="00D44330" w:rsidP="00781A5C">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textDirection w:val="tbRlV"/>
        <w:rPr>
          <w:rFonts w:cs="Simplified Arabic"/>
          <w:w w:val="98"/>
          <w:szCs w:val="24"/>
        </w:rPr>
      </w:pPr>
      <w:r w:rsidRPr="00781A5C">
        <w:rPr>
          <w:rFonts w:cs="Simplified Arabic"/>
          <w:w w:val="98"/>
          <w:szCs w:val="24"/>
          <w:rtl/>
        </w:rPr>
        <w:t xml:space="preserve">وتقدم فرقة العمل في هذا التقرير، عبر عدة فصول ومرفقات، تحليلاً مفصلاً لتقديراتها المتعلقة باحتياجات التمويل لفترة السنوات الثلاث 2027–2029، إضافةً إلى أرقام إرشادية لفترتي السنوات الثلاث 2030–2032 و2035–2033. وتستند التقديرات إلى البيانات التي قدمتها الأطراف بموجب المادة 7 إلى الأمانة، والمعلومات الواردة في خطة العمل الموحدة للصندوق المتعدد الأطراف للفترة 2026–2028، والمقررات ذات الصلة الصادرة عن اللجنة التنفيذية للصندوق المتعدد الأطراف في اجتماعاتها السابقة حتى الاجتماع السابع والتسعين وبما في ذلك الاجتماع السابع والتسعين، والمبادئ التوجيهية الحالية المتعلقة بالتكاليف، وقيم الفعالية من حيث التكلفة الحالية وتلك المستمدة من آراء الخبراء، والمعلومات ذات الصلة المتاحة من خلال أمانة الصندوق المتعدد الأطراف وأمانة الأوزون. </w:t>
      </w:r>
    </w:p>
    <w:p w14:paraId="6B7FF198" w14:textId="7B7E8D10" w:rsidR="00D44330" w:rsidRPr="006258BA" w:rsidRDefault="00D44330" w:rsidP="00781A5C">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jc w:val="lowKashida"/>
        <w:textDirection w:val="tbRlV"/>
        <w:rPr>
          <w:rFonts w:cs="Simplified Arabic"/>
          <w:w w:val="102"/>
          <w:szCs w:val="24"/>
        </w:rPr>
      </w:pPr>
      <w:r w:rsidRPr="006258BA">
        <w:rPr>
          <w:rFonts w:cs="Simplified Arabic"/>
          <w:w w:val="102"/>
          <w:szCs w:val="24"/>
          <w:rtl/>
        </w:rPr>
        <w:t>وتشمل التقديرات الأنشطة المتعلقة بالتخلص التدريجي من استهلاك وإنتاج مركبات الكربون الهيدروكلورية فلورية؛ والتخفيض التدريجي لاستهلاك وإنتاج مركبات الكربون الهيدروفلورية، بما في ذلك الحد من انبعاثات الناتج العرضي، مركب الكربون الهيدروفلوري-23؛ وتعزيز المؤسسات والأنشطة المعيارية (أي التكاليف المتصلة ببرنامج مساعدات الامتثال التابع لبرنامج الأمم المتحدة للبيئة، والوكالات المنفذة الأخرى، وأمانة الصندوق المتعدد الأطراف وأمين خزانة الصندوق). كذلك أُدرج التمويل المخصص لكفاءة الطاقة، الذي تم تناوله في عدة مقررات للجنة التنفيذية، ضمن احتياجات التمويل المقدرة للتخلص التدريجي من مركبات الكربون الهيدروكلورية فلورية والتخفيض التدريجي لمركبات الكربون الهيدروفلورية خلال فترة السنوات الثلاث 2027–2029. وتضمنت تقديرات التمويل لفترتي السنوات الثلاث 2027–2029 و203</w:t>
      </w:r>
      <w:r w:rsidR="006258BA" w:rsidRPr="006258BA">
        <w:rPr>
          <w:rFonts w:cs="Simplified Arabic" w:hint="cs"/>
          <w:w w:val="102"/>
          <w:szCs w:val="24"/>
          <w:rtl/>
        </w:rPr>
        <w:t>0</w:t>
      </w:r>
      <w:r w:rsidRPr="006258BA">
        <w:rPr>
          <w:rFonts w:cs="Simplified Arabic"/>
          <w:w w:val="102"/>
          <w:szCs w:val="24"/>
          <w:rtl/>
        </w:rPr>
        <w:t>–203</w:t>
      </w:r>
      <w:r w:rsidR="006258BA" w:rsidRPr="006258BA">
        <w:rPr>
          <w:rFonts w:cs="Simplified Arabic" w:hint="cs"/>
          <w:w w:val="102"/>
          <w:szCs w:val="24"/>
          <w:rtl/>
        </w:rPr>
        <w:t>2</w:t>
      </w:r>
      <w:r w:rsidRPr="006258BA">
        <w:rPr>
          <w:rFonts w:cs="Simplified Arabic"/>
          <w:w w:val="102"/>
          <w:szCs w:val="24"/>
          <w:rtl/>
        </w:rPr>
        <w:t xml:space="preserve"> أيضاً نافذة تمويل مخصصة لتمويل المشاريع التجريبية المتعلقة برصد المواد الخاضعة للرقابة في الغلاف الجوي على </w:t>
      </w:r>
      <w:r w:rsidRPr="006258BA">
        <w:rPr>
          <w:rFonts w:cs="Simplified Arabic"/>
          <w:w w:val="102"/>
          <w:szCs w:val="24"/>
          <w:rtl/>
        </w:rPr>
        <w:lastRenderedPageBreak/>
        <w:t>المستوى الإقليمي. وترد تحليلات تفصيلية لتقديرات التمويل المخصصة لكفاءة الطاقة ورصد الغلاف الجوي الإقليمي في الفصلين 7 و10 من تقرير فرقة العمل، على التوالي.</w:t>
      </w:r>
    </w:p>
    <w:p w14:paraId="266438B3" w14:textId="77777777" w:rsidR="00D44330" w:rsidRPr="00984A76" w:rsidRDefault="00D44330" w:rsidP="00781A5C">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textDirection w:val="tbRlV"/>
        <w:rPr>
          <w:rFonts w:cs="Simplified Arabic"/>
          <w:szCs w:val="24"/>
        </w:rPr>
      </w:pPr>
      <w:r w:rsidRPr="00984A76">
        <w:rPr>
          <w:rFonts w:cs="Simplified Arabic"/>
          <w:szCs w:val="24"/>
          <w:rtl/>
        </w:rPr>
        <w:t>ووفقاً لما ورد في المقرر 37/6، أُدرجت تقديرات التمويل الخاصة بالاحتياجات الخاصة للبلدان ذات حجم الاستهلاك المنخفض والبلدان ذات حجم الاستهلاك المنخفض جداً ضمن التقديرات الإجمالية لجميع فترات الثلاث سنوات الثلاث، مع مراعاة المقررات ذات الصلة الصادرة عن اللجنة التنفيذية. ورغم أن هذه التقديرات تستند إلى المبادئ التوجيهية الحالية المتعلقة بالتكاليف، فإن التحليل الإضافي للاحتياجات الخاصة لتلك البلدان، الوارد في الفصل 6 من تقرير فرقة العمل، يشير إلى ضرورة النظر في زيادة التمويل في إطار أي استعراض محتمل للمبادئ التوجيهية المتعلقة بالتكاليف في عام 2028.</w:t>
      </w:r>
    </w:p>
    <w:p w14:paraId="6DDFF4D4" w14:textId="33CC5A2B" w:rsidR="00D44330" w:rsidRPr="00984A76" w:rsidRDefault="00A50247" w:rsidP="00781A5C">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textDirection w:val="tbRlV"/>
        <w:rPr>
          <w:rFonts w:cs="Simplified Arabic"/>
          <w:szCs w:val="24"/>
        </w:rPr>
      </w:pPr>
      <w:r w:rsidRPr="00A50247">
        <w:rPr>
          <w:rFonts w:cs="Simplified Arabic"/>
          <w:szCs w:val="24"/>
        </w:rPr>
        <w:t>فضلاً عن ذلك</w:t>
      </w:r>
      <w:r w:rsidR="00D44330" w:rsidRPr="00984A76">
        <w:rPr>
          <w:rFonts w:cs="Simplified Arabic"/>
          <w:szCs w:val="24"/>
          <w:rtl/>
        </w:rPr>
        <w:t>، تناولت فرقة العمل المسائل المتعلقة بإدارة المواد المبردة طيلة دورة حياتها والتكنولوجيا الرقمية في قطاع الصيانة بشكل منفصل في الفصلين 8 و9، على التوالي. ورغم تقديم معلومات مفصلة عن تلك المواضيع لكي تنظر فيها الأطراف، فإن هذه المواضيع لم تؤخذ في الاعتبار عند تقدير احتياجات التمويل لفترات الثلاث سنوات الثلاث.</w:t>
      </w:r>
    </w:p>
    <w:p w14:paraId="43C065FF" w14:textId="77777777" w:rsidR="00D44330" w:rsidRPr="00984A76" w:rsidRDefault="00D44330" w:rsidP="00781A5C">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textDirection w:val="tbRlV"/>
        <w:rPr>
          <w:rFonts w:cs="Simplified Arabic"/>
          <w:szCs w:val="24"/>
        </w:rPr>
      </w:pPr>
      <w:r w:rsidRPr="00984A76">
        <w:rPr>
          <w:rFonts w:cs="Simplified Arabic"/>
          <w:szCs w:val="24"/>
          <w:rtl/>
        </w:rPr>
        <w:t>أما بالنسبة لقطاع استهلاك مركبات الكربون الهيدروكلورية فلورية، فقد استندت فرقة العمل في تقديراتها للتمويل إلى افتراض التخلص التدريجي الكامل بحلول عام 2030، مع السماح فقط بكميات إضافية محدودة لأغراض الصيانة خلال الفترة 2030–2040</w:t>
      </w:r>
      <w:r w:rsidRPr="00984A76">
        <w:rPr>
          <w:rFonts w:cs="Simplified Arabic"/>
          <w:szCs w:val="24"/>
          <w:vertAlign w:val="superscript"/>
          <w:rtl/>
        </w:rPr>
        <w:t>(</w:t>
      </w:r>
      <w:r w:rsidRPr="00984A76">
        <w:rPr>
          <w:rFonts w:cs="Simplified Arabic"/>
          <w:szCs w:val="24"/>
          <w:vertAlign w:val="superscript"/>
          <w:rtl/>
        </w:rPr>
        <w:footnoteReference w:id="5"/>
      </w:r>
      <w:r w:rsidRPr="00984A76">
        <w:rPr>
          <w:rFonts w:cs="Simplified Arabic"/>
          <w:szCs w:val="24"/>
          <w:vertAlign w:val="superscript"/>
          <w:rtl/>
        </w:rPr>
        <w:t>)</w:t>
      </w:r>
      <w:r w:rsidRPr="00984A76">
        <w:rPr>
          <w:rFonts w:cs="Simplified Arabic"/>
          <w:szCs w:val="24"/>
          <w:rtl/>
        </w:rPr>
        <w:t>. وافترضت الفرقة كذلك أن احتياجات التمويل بعد عام 2030 ستقتصر في المقام الأول على المدفوعات المتعلقة بالشرائح المخصصة بموجب خطط إدارة التخلص التدريجي من مركبات الكربون الهيدروكلورية فلورية. علاوةً على ذلك، افترضت فرقة العمل أن 90 في المئة من تمويل خطة إدارة التخلص التدريجي من مركبات الكربون الهيدروكلورية فلورية سيتم تخصيصها خلال فترة الثلاث سنوات 2027–2029، على أن يتم تخصيص الـ 10 في المئة المتبقية خلال فترة الثلاث سنوات 2030–2032</w:t>
      </w:r>
      <w:r w:rsidRPr="00984A76">
        <w:rPr>
          <w:rFonts w:cs="Simplified Arabic"/>
          <w:szCs w:val="24"/>
          <w:vertAlign w:val="superscript"/>
          <w:rtl/>
        </w:rPr>
        <w:t>(</w:t>
      </w:r>
      <w:r w:rsidRPr="00984A76">
        <w:rPr>
          <w:rFonts w:cs="Simplified Arabic"/>
          <w:szCs w:val="24"/>
          <w:vertAlign w:val="superscript"/>
          <w:rtl/>
        </w:rPr>
        <w:footnoteReference w:id="6"/>
      </w:r>
      <w:r w:rsidRPr="00984A76">
        <w:rPr>
          <w:rFonts w:cs="Simplified Arabic"/>
          <w:szCs w:val="24"/>
          <w:vertAlign w:val="superscript"/>
          <w:rtl/>
        </w:rPr>
        <w:t>)</w:t>
      </w:r>
      <w:r w:rsidRPr="00984A76">
        <w:rPr>
          <w:rFonts w:cs="Simplified Arabic"/>
          <w:szCs w:val="24"/>
          <w:rtl/>
        </w:rPr>
        <w:t>.</w:t>
      </w:r>
    </w:p>
    <w:p w14:paraId="4715C094" w14:textId="77777777" w:rsidR="00D44330" w:rsidRPr="00984A76" w:rsidRDefault="00D44330" w:rsidP="00781A5C">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textDirection w:val="tbRlV"/>
        <w:rPr>
          <w:rFonts w:cs="Simplified Arabic"/>
          <w:szCs w:val="24"/>
        </w:rPr>
      </w:pPr>
      <w:r w:rsidRPr="00984A76">
        <w:rPr>
          <w:rFonts w:cs="Simplified Arabic"/>
          <w:szCs w:val="24"/>
          <w:rtl/>
        </w:rPr>
        <w:t>واستجابةً لطلب الأطراف الوارد في المقرر 37/6 وضع منهجية قائمة على الامتثال ومستقلة عن خطة عمل الصندوق المتعدد الأطراف، وضعت فرقة العمل سيناريوهين لفعالية التكلفة لـ 15 طرفًا من غير الأطراف ذات حجم الاستهلاك المنخفض والتي لا يزال لديها استهلاك تصنيعي مؤهل: السيناريو 1 الخاص بمركبات الكربون الهيدروكلورية فلورية، استنادًا إلى متوسط القيم القديمة لفعالية التكلفة؛ والسيناريو 2 الخاص بمركبات الكربون الهيدروكلورية فلورية، استنادًا إلى عتبات فعالية التكلفة المحددة بموجب المبادئ التوجيهية الحالية المتعلقة بالتكلفة.</w:t>
      </w:r>
    </w:p>
    <w:p w14:paraId="2889B88C" w14:textId="25FB7317" w:rsidR="00D44330" w:rsidRPr="00984A76" w:rsidRDefault="00D44330" w:rsidP="00781A5C">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textDirection w:val="tbRlV"/>
        <w:rPr>
          <w:rFonts w:cs="Simplified Arabic"/>
          <w:szCs w:val="24"/>
        </w:rPr>
      </w:pPr>
      <w:r w:rsidRPr="00984A76">
        <w:rPr>
          <w:rFonts w:cs="Simplified Arabic"/>
          <w:szCs w:val="24"/>
          <w:rtl/>
        </w:rPr>
        <w:t>أما فيما يخص قطاع إنتاج مركبات الكربون الهيدروكلورية فلورية، فتشمل تقديرات التمويل تكاليف خطط إدارة التخلص التدريجي من إنتاج مركبات الكربون الهيدروكلورية فلورية المتبقية، بما في ذلك أنشطة التحقق المتعلقة بمشروع واحد يُتوقع أن يحتاج إلى تمويل خلال فترة الثلاث سنوات 2027–2029.</w:t>
      </w:r>
    </w:p>
    <w:p w14:paraId="467990FA" w14:textId="77777777" w:rsidR="00D44330" w:rsidRPr="00984A76" w:rsidRDefault="00D44330" w:rsidP="00781A5C">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textDirection w:val="tbRlV"/>
        <w:rPr>
          <w:rFonts w:cs="Simplified Arabic"/>
          <w:szCs w:val="24"/>
        </w:rPr>
      </w:pPr>
      <w:r w:rsidRPr="00984A76">
        <w:rPr>
          <w:rFonts w:cs="Simplified Arabic"/>
          <w:szCs w:val="24"/>
          <w:rtl/>
        </w:rPr>
        <w:t>وفيما يخص قطاع استهلاك مركبات الكربون الهيدروفلورية، تُقدِّر المنهجية المطبقة التمويل اللازم لتلبية احتياجات الأطراف العاملة بموجب المادة 5 من أجل الامتثال لجداول التخفيض التدريجي المنصوص عليها في تعديل كيغالي على النحو التالي:</w:t>
      </w:r>
    </w:p>
    <w:p w14:paraId="40BB908D" w14:textId="3A7AF91F" w:rsidR="00D44330" w:rsidRPr="00984A76" w:rsidRDefault="00D44330" w:rsidP="00781A5C">
      <w:pPr>
        <w:pStyle w:val="Normalnumber"/>
        <w:numPr>
          <w:ilvl w:val="1"/>
          <w:numId w:val="1"/>
        </w:numPr>
        <w:tabs>
          <w:tab w:val="clear" w:pos="1247"/>
          <w:tab w:val="clear" w:pos="1814"/>
          <w:tab w:val="clear" w:pos="2381"/>
          <w:tab w:val="clear" w:pos="2495"/>
          <w:tab w:val="clear" w:pos="2948"/>
          <w:tab w:val="clear" w:pos="3515"/>
          <w:tab w:val="left" w:pos="624"/>
          <w:tab w:val="left" w:pos="2552"/>
        </w:tabs>
        <w:bidi/>
        <w:spacing w:line="360" w:lineRule="exact"/>
        <w:ind w:left="1134" w:firstLine="709"/>
        <w:jc w:val="both"/>
        <w:textDirection w:val="tbRlV"/>
        <w:rPr>
          <w:rFonts w:ascii="Simplified Arabic" w:hAnsi="Simplified Arabic" w:hint="default"/>
          <w:sz w:val="24"/>
          <w:szCs w:val="24"/>
          <w:rtl/>
          <w:lang w:val="ar-SA" w:eastAsia="zh-TW" w:bidi="en-GB"/>
        </w:rPr>
      </w:pPr>
      <w:r w:rsidRPr="00984A76">
        <w:rPr>
          <w:rFonts w:ascii="Simplified Arabic" w:hAnsi="Simplified Arabic" w:hint="default"/>
          <w:sz w:val="24"/>
          <w:szCs w:val="24"/>
          <w:rtl/>
        </w:rPr>
        <w:t>المجموعة 1 من الأطراف العاملة بموجب المادة 5: تخفيض بنسبة 10 في المئة مقارنة بخط الأساس بحلول عام 2029، وتخفيض بنسبة 30 في المئة مقارنة بخط الأساس بحلول عام 2035؛</w:t>
      </w:r>
    </w:p>
    <w:p w14:paraId="76A540DE" w14:textId="1AB3E3D8" w:rsidR="00D44330" w:rsidRPr="00984A76" w:rsidRDefault="00D44330" w:rsidP="00781A5C">
      <w:pPr>
        <w:pStyle w:val="ListParagraph"/>
        <w:keepNext/>
        <w:keepLines/>
        <w:numPr>
          <w:ilvl w:val="1"/>
          <w:numId w:val="1"/>
        </w:numPr>
        <w:tabs>
          <w:tab w:val="clear" w:pos="2381"/>
          <w:tab w:val="left" w:pos="2552"/>
        </w:tabs>
        <w:bidi/>
        <w:spacing w:after="120" w:line="360" w:lineRule="exact"/>
        <w:ind w:left="1134" w:firstLine="709"/>
        <w:contextualSpacing w:val="0"/>
        <w:jc w:val="both"/>
        <w:textDirection w:val="tbRlV"/>
        <w:rPr>
          <w:rFonts w:ascii="Simplified Arabic" w:hAnsi="Simplified Arabic" w:hint="default"/>
          <w:sz w:val="24"/>
          <w:szCs w:val="24"/>
          <w:rtl/>
          <w:lang w:val="ar-SA" w:eastAsia="zh-TW" w:bidi="en-GB"/>
        </w:rPr>
      </w:pPr>
      <w:r w:rsidRPr="00984A76">
        <w:rPr>
          <w:rFonts w:ascii="Simplified Arabic" w:hAnsi="Simplified Arabic" w:hint="default"/>
          <w:sz w:val="24"/>
          <w:szCs w:val="24"/>
          <w:rtl/>
        </w:rPr>
        <w:lastRenderedPageBreak/>
        <w:t>المجموعة 2 من الأطراف العاملة بموجب المادة 5: تجميد الانبعاثات عند مستوى خط الأساس بحلول عام 2028 وتخفيض بنسبة 10 في المئة مقارنة بخط الأساس بحلول عام 2032.</w:t>
      </w:r>
    </w:p>
    <w:p w14:paraId="418F0B75" w14:textId="77777777" w:rsidR="00D44330" w:rsidRPr="00984A76" w:rsidRDefault="00D44330" w:rsidP="00781A5C">
      <w:pPr>
        <w:pStyle w:val="ARNormalnumber"/>
        <w:keepNext/>
        <w:keepLines/>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textDirection w:val="tbRlV"/>
        <w:rPr>
          <w:rFonts w:cs="Simplified Arabic"/>
          <w:szCs w:val="24"/>
        </w:rPr>
      </w:pPr>
      <w:r w:rsidRPr="00984A76">
        <w:rPr>
          <w:rFonts w:cs="Simplified Arabic"/>
          <w:szCs w:val="24"/>
          <w:rtl/>
        </w:rPr>
        <w:t>ورغم أن التحليل يأخذ في الاعتبار أن 125 طرفاً من أصل 144 طرفاً من الأطراف العاملة بموجب المادة 5 قد صدقت على تعديل كيغالي اعتبارًا من نيسان/أبريل 2026، إلا أنه يفترض أن جميع الأطراف المتبقية ستصدق على التعديل بحلول عام 2029، مما يجعل جميع الأطراف العاملة بموجب المادة 5 مؤهلة للحصول على التمويل خلال فترة الثلاث سنوات 2027–2029.</w:t>
      </w:r>
    </w:p>
    <w:p w14:paraId="27B75714" w14:textId="77777777" w:rsidR="00D44330" w:rsidRPr="00984A76" w:rsidRDefault="00D44330" w:rsidP="00F90E85">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jc w:val="lowKashida"/>
        <w:textDirection w:val="tbRlV"/>
        <w:rPr>
          <w:rFonts w:cs="Simplified Arabic"/>
          <w:szCs w:val="24"/>
        </w:rPr>
      </w:pPr>
      <w:r w:rsidRPr="00984A76">
        <w:rPr>
          <w:rFonts w:cs="Simplified Arabic"/>
          <w:szCs w:val="24"/>
          <w:rtl/>
        </w:rPr>
        <w:t xml:space="preserve">ويعتمد النموذج المستخدم على بيانات خط الأساس لمركبات الكربون الهيدروفلورية التي قُدمت إلى الأمانة ويولد تقديرات لخطوط الأساس الناقصة باستخدام منهجيات طُبقت في التقارير السابقة لفرقة العمل. أيضاً يأخذ النموذج في الاعتبار خطط التنفيذ لمركبات الكربون الهيدروفلورية بموجب تعديل كيغالي التي تمت الموافقة عليها بالفعل، ويطبق عتبات فعالية التكلفة الحالية وتقديرات خبراء فرقة العمل في الحالات التي لا تتوفر فيها قيم قياسية، ويوزع التمويل على فترات ثلاثية السنوات لبيان الجداول الزمنية المتفاوتة للتنفيذ، وأهداف التخفيض، ودورات الموافقة. </w:t>
      </w:r>
    </w:p>
    <w:p w14:paraId="3F94705C" w14:textId="77777777" w:rsidR="00D44330" w:rsidRPr="00984A76" w:rsidRDefault="00D44330" w:rsidP="00984A76">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textDirection w:val="tbRlV"/>
        <w:rPr>
          <w:rFonts w:cs="Simplified Arabic"/>
          <w:szCs w:val="24"/>
        </w:rPr>
      </w:pPr>
      <w:r w:rsidRPr="00984A76">
        <w:rPr>
          <w:rFonts w:cs="Simplified Arabic"/>
          <w:szCs w:val="24"/>
          <w:rtl/>
        </w:rPr>
        <w:t>ولعرض مجموعة من التقديرات، حسبت فرقة العمل التكاليف الإجمالية لعملية التخفيض التدريجي لمركبات الكربون الهيدروفلورية في المرحلتين الأولى والثانية من خطط التنفيذ لمركبات الكربون الهيدروفلورية بموجب تعديل كيغالي على مدى فترات الثلاث سنوات الثلاث، مع مراعاة أهداف التخفيض حتى عام 2035، ثم طبقت سيناريوهين للتمويل: السيناريو 1 الخاص بمركبات الكربون الهيدروفلورية، باستخدام عتبات فعالية التكلفة وفقاً للمبادئ التوجيهية المتعلقة بالتكاليف أو التقديرات المستمدة من فرقة العمل ودون أخذ المؤسسات الصغيرة والمتوسطة الحجم في الاعتبار؛ والسيناريو 2 الخاص بمركبات الكربون الهيدروفلورية، باستخدام عتبات فعالية التكلفة المعدلة التي تبين مشاركة الشركات الصغيرة والمتوسطة.</w:t>
      </w:r>
    </w:p>
    <w:p w14:paraId="3CA747F2" w14:textId="77777777" w:rsidR="00D44330" w:rsidRPr="00984A76" w:rsidRDefault="00D44330" w:rsidP="00984A76">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textDirection w:val="tbRlV"/>
        <w:rPr>
          <w:rFonts w:cs="Simplified Arabic"/>
          <w:szCs w:val="24"/>
        </w:rPr>
      </w:pPr>
      <w:r w:rsidRPr="00984A76">
        <w:rPr>
          <w:rFonts w:cs="Simplified Arabic"/>
          <w:szCs w:val="24"/>
          <w:rtl/>
        </w:rPr>
        <w:t>إضافةً إلى ذلك، تقترح فرقة العمل، لكل سيناريو، جدولين لتخصيص الموارد (ألف وباء)، يردان في الجدول 1-4 من تقرير فرقة العمل، ويختلفان في توزيع التمويل على فترات الثلاث سنوات: يبين الجدول ألف نهج تمويل أسرع يركز على المراحل الأولى بمستويات تمويل أعلى لفترة السنوات الثلاث 2027-2029، بينما يفترض الجدول باء زيادة أكثر تدريجيةً مع مستويات تمويل أقل في فترة السنوات الثلاث 2027-2029 ومستويات تمويل أعلى خلال فترات السنوات الثلاث اللاحقة.</w:t>
      </w:r>
    </w:p>
    <w:p w14:paraId="787FF689" w14:textId="77777777" w:rsidR="00D44330" w:rsidRPr="00984A76" w:rsidRDefault="00D44330" w:rsidP="00984A76">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textDirection w:val="tbRlV"/>
        <w:rPr>
          <w:rFonts w:cs="Simplified Arabic"/>
          <w:szCs w:val="24"/>
        </w:rPr>
      </w:pPr>
      <w:r w:rsidRPr="00984A76">
        <w:rPr>
          <w:rFonts w:cs="Simplified Arabic"/>
          <w:szCs w:val="24"/>
          <w:rtl/>
        </w:rPr>
        <w:t>وتشمل الافتراضات الإضافية متوسط تكاليف دعم الوكالات المنفذة البالغ 9,6 في المئة وخصمًا بنسبة 15 في المئة على الملكية الأجنبية يُطبق في قطاعات التصنيع.</w:t>
      </w:r>
    </w:p>
    <w:p w14:paraId="6021EDFD" w14:textId="036C4B67" w:rsidR="00D44330" w:rsidRPr="00984A76" w:rsidRDefault="00D44330" w:rsidP="00984A76">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textDirection w:val="tbRlV"/>
        <w:rPr>
          <w:rFonts w:cs="Simplified Arabic"/>
          <w:szCs w:val="24"/>
        </w:rPr>
      </w:pPr>
      <w:r w:rsidRPr="00984A76">
        <w:rPr>
          <w:rFonts w:cs="Simplified Arabic"/>
          <w:szCs w:val="24"/>
          <w:rtl/>
        </w:rPr>
        <w:t>وفيما يخص قطاع إنتاج مركبات الكربون الهيدروفلورية، تشمل تقديرات التمويل للفترة 2027–2029 إعداد المشاريع، وخطط تنفيذ التخلص التدريجي من إنتاج مركبات الكربون الهيدروفلورية بموجب تعديل كيغالي بالنسبة لطرفين، ومشاريع التخفيف من مركب الكربون الهيدروفلوري-23 وما يتصل بها من أعمال تحضيرية لأربعة أطراف من الأطراف العاملة بموجب المادة 5.</w:t>
      </w:r>
    </w:p>
    <w:p w14:paraId="10B3E572" w14:textId="5589C6D6" w:rsidR="00D44330" w:rsidRPr="00984A76" w:rsidRDefault="00D44330" w:rsidP="00984A76">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textDirection w:val="tbRlV"/>
        <w:rPr>
          <w:rFonts w:cs="Simplified Arabic"/>
          <w:szCs w:val="24"/>
        </w:rPr>
      </w:pPr>
      <w:r w:rsidRPr="00984A76">
        <w:rPr>
          <w:rFonts w:cs="Simplified Arabic"/>
          <w:szCs w:val="24"/>
          <w:rtl/>
        </w:rPr>
        <w:t>وبناءً على تحليل مفصل، تقدر فرقة العمل إجمالي احتياجات التمويل لتجديد موارد الصندوق المتعدد الأطراف لفترة الثلاث سنوات 2027-2029 بما يتراوح بين 1,282 و1,361 مليار دولار في سيناريو الحد الأدنى، وبين 1,672 و1,755 مليار دولار في سيناريو الحد الأعلى، على النحو الملخص في الجدول 1. وتُحسب نطاقات احتياجات التمويل الإجمالية استناداً إلى سيناريوهات مختلفة وجداول تخصيص الموارد من أجل التخلص التدريجي من مركبات الكربون الهيدروكلورية فلورية والتخفيض التدريجي لمركبات الكربون الهيدروفلورية. وترد معلومات مفصلة عن منهجية التقدير في مرفقات التقرير.</w:t>
      </w:r>
    </w:p>
    <w:p w14:paraId="6075F46B" w14:textId="77777777" w:rsidR="00D44330" w:rsidRPr="00984A76" w:rsidRDefault="00D44330" w:rsidP="00984A76">
      <w:pPr>
        <w:pStyle w:val="Titletable"/>
        <w:bidi/>
        <w:spacing w:after="120" w:line="360" w:lineRule="exact"/>
        <w:ind w:left="1134"/>
        <w:jc w:val="both"/>
        <w:textDirection w:val="tbRlV"/>
        <w:rPr>
          <w:rFonts w:ascii="Simplified Arabic" w:hAnsi="Simplified Arabic" w:cs="Simplified Arabic"/>
          <w:b w:val="0"/>
          <w:bCs w:val="0"/>
          <w:sz w:val="24"/>
          <w:szCs w:val="24"/>
          <w:rtl/>
        </w:rPr>
      </w:pPr>
      <w:r w:rsidRPr="00984A76">
        <w:rPr>
          <w:rFonts w:ascii="Simplified Arabic" w:hAnsi="Simplified Arabic" w:cs="Simplified Arabic"/>
          <w:b w:val="0"/>
          <w:bCs w:val="0"/>
          <w:sz w:val="24"/>
          <w:szCs w:val="24"/>
          <w:rtl/>
        </w:rPr>
        <w:lastRenderedPageBreak/>
        <w:t>الجدول 1</w:t>
      </w:r>
    </w:p>
    <w:p w14:paraId="282E9AF1" w14:textId="77777777" w:rsidR="00D44330" w:rsidRPr="006B2069" w:rsidRDefault="00D44330" w:rsidP="00F166C6">
      <w:pPr>
        <w:pStyle w:val="Titletable"/>
        <w:bidi/>
        <w:spacing w:after="120" w:line="360" w:lineRule="exact"/>
        <w:ind w:left="1134"/>
        <w:jc w:val="lowKashida"/>
        <w:textDirection w:val="tbRlV"/>
        <w:rPr>
          <w:rFonts w:ascii="Simplified Arabic" w:hAnsi="Simplified Arabic" w:cs="Simplified Arabic"/>
          <w:w w:val="105"/>
          <w:sz w:val="24"/>
          <w:szCs w:val="24"/>
          <w:rtl/>
          <w:lang w:val="ar-SA" w:eastAsia="zh-TW" w:bidi="en-GB"/>
        </w:rPr>
      </w:pPr>
      <w:r w:rsidRPr="006B2069">
        <w:rPr>
          <w:rFonts w:ascii="Simplified Arabic" w:hAnsi="Simplified Arabic" w:cs="Simplified Arabic"/>
          <w:w w:val="105"/>
          <w:sz w:val="24"/>
          <w:szCs w:val="24"/>
          <w:rtl/>
        </w:rPr>
        <w:t xml:space="preserve">احتياجات التمويل الإجمالية التقديرية لتجديد موارد الصندوق المتعدد الأطراف لفترة الثلاث سنوات 2027–2029، نطاق الحد الأدنى ونطاق الحد الأعلى </w:t>
      </w:r>
    </w:p>
    <w:p w14:paraId="1EFAE2E0" w14:textId="77777777" w:rsidR="00D44330" w:rsidRPr="00984A76" w:rsidRDefault="00D44330" w:rsidP="00984A76">
      <w:pPr>
        <w:pStyle w:val="Titletable"/>
        <w:bidi/>
        <w:spacing w:after="120" w:line="360" w:lineRule="exact"/>
        <w:ind w:left="1134"/>
        <w:jc w:val="both"/>
        <w:textDirection w:val="tbRlV"/>
        <w:rPr>
          <w:rFonts w:ascii="Simplified Arabic" w:hAnsi="Simplified Arabic" w:cs="Simplified Arabic"/>
          <w:b w:val="0"/>
          <w:bCs w:val="0"/>
          <w:sz w:val="24"/>
          <w:szCs w:val="24"/>
          <w:rtl/>
          <w:lang w:val="ar-SA" w:eastAsia="zh-TW" w:bidi="en-GB"/>
        </w:rPr>
      </w:pPr>
      <w:r w:rsidRPr="00984A76">
        <w:rPr>
          <w:rFonts w:ascii="Simplified Arabic" w:hAnsi="Simplified Arabic" w:cs="Simplified Arabic"/>
          <w:b w:val="0"/>
          <w:bCs w:val="0"/>
          <w:sz w:val="24"/>
          <w:szCs w:val="24"/>
          <w:rtl/>
        </w:rPr>
        <w:t>(بملايين دولارات الولايات المتحدة)</w:t>
      </w:r>
    </w:p>
    <w:tbl>
      <w:tblPr>
        <w:bidiVisual/>
        <w:tblW w:w="8363" w:type="dxa"/>
        <w:tblInd w:w="1134" w:type="dxa"/>
        <w:tblLayout w:type="fixed"/>
        <w:tblCellMar>
          <w:left w:w="0" w:type="dxa"/>
          <w:right w:w="0" w:type="dxa"/>
        </w:tblCellMar>
        <w:tblLook w:val="04A0" w:firstRow="1" w:lastRow="0" w:firstColumn="1" w:lastColumn="0" w:noHBand="0" w:noVBand="1"/>
      </w:tblPr>
      <w:tblGrid>
        <w:gridCol w:w="4712"/>
        <w:gridCol w:w="1825"/>
        <w:gridCol w:w="1826"/>
      </w:tblGrid>
      <w:tr w:rsidR="00D44330" w:rsidRPr="00F90E85" w14:paraId="5CEAE43D" w14:textId="77777777" w:rsidTr="00F90E85">
        <w:trPr>
          <w:trHeight w:val="57"/>
        </w:trPr>
        <w:tc>
          <w:tcPr>
            <w:tcW w:w="2817" w:type="pct"/>
            <w:tcBorders>
              <w:top w:val="single" w:sz="4" w:space="0" w:color="auto"/>
              <w:bottom w:val="single" w:sz="12" w:space="0" w:color="auto"/>
            </w:tcBorders>
            <w:noWrap/>
            <w:tcMar>
              <w:top w:w="0" w:type="dxa"/>
              <w:left w:w="108" w:type="dxa"/>
              <w:bottom w:w="0" w:type="dxa"/>
              <w:right w:w="108" w:type="dxa"/>
            </w:tcMar>
            <w:hideMark/>
          </w:tcPr>
          <w:p w14:paraId="19DE5E41" w14:textId="77777777" w:rsidR="00D44330" w:rsidRPr="00F90E85" w:rsidRDefault="00D44330" w:rsidP="00F90E85">
            <w:pPr>
              <w:pStyle w:val="Normal-pool-Table"/>
              <w:keepNext/>
              <w:keepLines/>
              <w:bidi/>
              <w:spacing w:line="280" w:lineRule="exact"/>
              <w:jc w:val="both"/>
              <w:textDirection w:val="tbRlV"/>
              <w:rPr>
                <w:rFonts w:ascii="Simplified Arabic" w:hAnsi="Simplified Arabic" w:cs="Simplified Arabic"/>
                <w:i/>
                <w:sz w:val="20"/>
                <w:rtl/>
                <w:lang w:val="ar-SA" w:eastAsia="zh-TW" w:bidi="en-GB"/>
              </w:rPr>
            </w:pPr>
            <w:r w:rsidRPr="00F90E85">
              <w:rPr>
                <w:rFonts w:ascii="Simplified Arabic" w:hAnsi="Simplified Arabic" w:cs="Simplified Arabic"/>
                <w:i/>
                <w:iCs/>
                <w:color w:val="000000"/>
                <w:sz w:val="20"/>
                <w:rtl/>
              </w:rPr>
              <w:t>فترة السنوات الثلاث 2027-2029</w:t>
            </w:r>
          </w:p>
        </w:tc>
        <w:tc>
          <w:tcPr>
            <w:tcW w:w="1091" w:type="pct"/>
            <w:tcBorders>
              <w:top w:val="single" w:sz="4" w:space="0" w:color="auto"/>
              <w:bottom w:val="single" w:sz="12" w:space="0" w:color="auto"/>
            </w:tcBorders>
            <w:tcMar>
              <w:top w:w="0" w:type="dxa"/>
              <w:left w:w="108" w:type="dxa"/>
              <w:bottom w:w="0" w:type="dxa"/>
              <w:right w:w="108" w:type="dxa"/>
            </w:tcMar>
            <w:hideMark/>
          </w:tcPr>
          <w:p w14:paraId="02D2A3E8" w14:textId="77777777" w:rsidR="00D44330" w:rsidRPr="00F90E85" w:rsidRDefault="00D44330" w:rsidP="00E41170">
            <w:pPr>
              <w:pStyle w:val="Normal-pool-Table"/>
              <w:keepNext/>
              <w:keepLines/>
              <w:bidi/>
              <w:spacing w:line="280" w:lineRule="exact"/>
              <w:jc w:val="right"/>
              <w:textDirection w:val="tbRlV"/>
              <w:rPr>
                <w:rFonts w:ascii="Simplified Arabic" w:hAnsi="Simplified Arabic" w:cs="Simplified Arabic"/>
                <w:i/>
                <w:sz w:val="20"/>
                <w:rtl/>
                <w:lang w:val="ar-SA" w:eastAsia="zh-TW" w:bidi="en-GB"/>
              </w:rPr>
            </w:pPr>
            <w:r w:rsidRPr="00F90E85">
              <w:rPr>
                <w:rFonts w:ascii="Simplified Arabic" w:hAnsi="Simplified Arabic" w:cs="Simplified Arabic"/>
                <w:i/>
                <w:iCs/>
                <w:color w:val="000000"/>
                <w:sz w:val="20"/>
                <w:rtl/>
              </w:rPr>
              <w:t>نطاق الحد الأدنى</w:t>
            </w:r>
            <w:r w:rsidRPr="00F90E85">
              <w:rPr>
                <w:rFonts w:ascii="Simplified Arabic" w:hAnsi="Simplified Arabic" w:cs="Simplified Arabic"/>
                <w:i/>
                <w:iCs/>
                <w:color w:val="000000"/>
                <w:sz w:val="20"/>
                <w:vertAlign w:val="superscript"/>
                <w:rtl/>
              </w:rPr>
              <w:t>(أ)</w:t>
            </w:r>
          </w:p>
        </w:tc>
        <w:tc>
          <w:tcPr>
            <w:tcW w:w="1092" w:type="pct"/>
            <w:tcBorders>
              <w:top w:val="single" w:sz="4" w:space="0" w:color="auto"/>
              <w:bottom w:val="single" w:sz="12" w:space="0" w:color="auto"/>
            </w:tcBorders>
            <w:tcMar>
              <w:top w:w="0" w:type="dxa"/>
              <w:left w:w="108" w:type="dxa"/>
              <w:bottom w:w="0" w:type="dxa"/>
              <w:right w:w="108" w:type="dxa"/>
            </w:tcMar>
            <w:hideMark/>
          </w:tcPr>
          <w:p w14:paraId="65E6A8E9" w14:textId="77777777" w:rsidR="00D44330" w:rsidRPr="00F90E85" w:rsidRDefault="00D44330" w:rsidP="00E41170">
            <w:pPr>
              <w:pStyle w:val="Normal-pool-Table"/>
              <w:keepNext/>
              <w:keepLines/>
              <w:bidi/>
              <w:spacing w:line="280" w:lineRule="exact"/>
              <w:jc w:val="right"/>
              <w:textDirection w:val="tbRlV"/>
              <w:rPr>
                <w:rFonts w:ascii="Simplified Arabic" w:hAnsi="Simplified Arabic" w:cs="Simplified Arabic"/>
                <w:i/>
                <w:sz w:val="20"/>
                <w:rtl/>
                <w:lang w:val="ar-SA" w:eastAsia="zh-TW" w:bidi="en-GB"/>
              </w:rPr>
            </w:pPr>
            <w:r w:rsidRPr="00F90E85">
              <w:rPr>
                <w:rFonts w:ascii="Simplified Arabic" w:hAnsi="Simplified Arabic" w:cs="Simplified Arabic"/>
                <w:i/>
                <w:iCs/>
                <w:color w:val="000000"/>
                <w:sz w:val="20"/>
                <w:rtl/>
              </w:rPr>
              <w:t>نطاق الحد الأعلى</w:t>
            </w:r>
            <w:r w:rsidRPr="00F90E85">
              <w:rPr>
                <w:rFonts w:ascii="Simplified Arabic" w:hAnsi="Simplified Arabic" w:cs="Simplified Arabic"/>
                <w:i/>
                <w:iCs/>
                <w:color w:val="000000"/>
                <w:sz w:val="20"/>
                <w:vertAlign w:val="superscript"/>
                <w:rtl/>
              </w:rPr>
              <w:t>(ب)</w:t>
            </w:r>
          </w:p>
        </w:tc>
      </w:tr>
      <w:tr w:rsidR="00D44330" w:rsidRPr="00F90E85" w14:paraId="0B7A0228" w14:textId="77777777" w:rsidTr="00F90E85">
        <w:trPr>
          <w:trHeight w:val="135"/>
        </w:trPr>
        <w:tc>
          <w:tcPr>
            <w:tcW w:w="2817" w:type="pct"/>
            <w:tcBorders>
              <w:top w:val="single" w:sz="12" w:space="0" w:color="auto"/>
            </w:tcBorders>
            <w:noWrap/>
            <w:tcMar>
              <w:top w:w="0" w:type="dxa"/>
              <w:left w:w="108" w:type="dxa"/>
              <w:bottom w:w="0" w:type="dxa"/>
              <w:right w:w="108" w:type="dxa"/>
            </w:tcMar>
            <w:vAlign w:val="center"/>
            <w:hideMark/>
          </w:tcPr>
          <w:p w14:paraId="3A42D0BA" w14:textId="77777777" w:rsidR="00D44330" w:rsidRPr="00F90E85" w:rsidRDefault="00D44330" w:rsidP="00F90E85">
            <w:pPr>
              <w:pStyle w:val="Normal-pool-Table"/>
              <w:keepNext/>
              <w:keepLines/>
              <w:bidi/>
              <w:spacing w:line="280" w:lineRule="exact"/>
              <w:jc w:val="both"/>
              <w:textDirection w:val="tbRlV"/>
              <w:rPr>
                <w:rFonts w:ascii="Simplified Arabic" w:hAnsi="Simplified Arabic" w:cs="Simplified Arabic"/>
                <w:sz w:val="20"/>
                <w:rtl/>
                <w:lang w:val="ar-SA" w:eastAsia="zh-TW" w:bidi="en-GB"/>
              </w:rPr>
            </w:pPr>
            <w:r w:rsidRPr="00F90E85">
              <w:rPr>
                <w:rFonts w:ascii="Simplified Arabic" w:hAnsi="Simplified Arabic" w:cs="Simplified Arabic"/>
                <w:color w:val="000000"/>
                <w:sz w:val="20"/>
                <w:rtl/>
              </w:rPr>
              <w:t>أنشطة مركبات الكربون الهيدروكلورية فلورية (بما في ذلك كفاءة الطاقة)</w:t>
            </w:r>
          </w:p>
        </w:tc>
        <w:tc>
          <w:tcPr>
            <w:tcW w:w="1091" w:type="pct"/>
            <w:tcBorders>
              <w:top w:val="single" w:sz="12" w:space="0" w:color="auto"/>
            </w:tcBorders>
            <w:noWrap/>
            <w:tcMar>
              <w:top w:w="0" w:type="dxa"/>
              <w:left w:w="108" w:type="dxa"/>
              <w:bottom w:w="0" w:type="dxa"/>
              <w:right w:w="108" w:type="dxa"/>
            </w:tcMar>
            <w:vAlign w:val="bottom"/>
            <w:hideMark/>
          </w:tcPr>
          <w:p w14:paraId="304E3DDF" w14:textId="77777777" w:rsidR="00D44330" w:rsidRPr="00F90E85" w:rsidRDefault="00D44330" w:rsidP="00E41170">
            <w:pPr>
              <w:pStyle w:val="Normal-pool-Table"/>
              <w:keepNext/>
              <w:keepLines/>
              <w:bidi/>
              <w:spacing w:line="280" w:lineRule="exact"/>
              <w:jc w:val="right"/>
              <w:textDirection w:val="tbRlV"/>
              <w:rPr>
                <w:rFonts w:ascii="Simplified Arabic" w:hAnsi="Simplified Arabic" w:cs="Simplified Arabic"/>
                <w:bCs/>
                <w:sz w:val="20"/>
                <w:rtl/>
                <w:lang w:val="ar-SA" w:eastAsia="zh-TW" w:bidi="en-GB"/>
              </w:rPr>
            </w:pPr>
            <w:r w:rsidRPr="00F90E85">
              <w:rPr>
                <w:rFonts w:ascii="Simplified Arabic" w:hAnsi="Simplified Arabic" w:cs="Simplified Arabic"/>
                <w:color w:val="000000"/>
                <w:sz w:val="20"/>
                <w:rtl/>
              </w:rPr>
              <w:t>451</w:t>
            </w:r>
          </w:p>
        </w:tc>
        <w:tc>
          <w:tcPr>
            <w:tcW w:w="1092" w:type="pct"/>
            <w:tcBorders>
              <w:top w:val="single" w:sz="12" w:space="0" w:color="auto"/>
            </w:tcBorders>
            <w:noWrap/>
            <w:tcMar>
              <w:top w:w="0" w:type="dxa"/>
              <w:left w:w="108" w:type="dxa"/>
              <w:bottom w:w="0" w:type="dxa"/>
              <w:right w:w="108" w:type="dxa"/>
            </w:tcMar>
            <w:vAlign w:val="bottom"/>
            <w:hideMark/>
          </w:tcPr>
          <w:p w14:paraId="44A866BC" w14:textId="77777777" w:rsidR="00D44330" w:rsidRPr="00F90E85" w:rsidRDefault="00D44330" w:rsidP="00E41170">
            <w:pPr>
              <w:pStyle w:val="Normal-pool-Table"/>
              <w:keepNext/>
              <w:keepLines/>
              <w:bidi/>
              <w:spacing w:line="280" w:lineRule="exact"/>
              <w:jc w:val="right"/>
              <w:textDirection w:val="tbRlV"/>
              <w:rPr>
                <w:rFonts w:ascii="Simplified Arabic" w:hAnsi="Simplified Arabic" w:cs="Simplified Arabic"/>
                <w:bCs/>
                <w:sz w:val="20"/>
                <w:rtl/>
                <w:lang w:val="ar-SA" w:eastAsia="zh-TW" w:bidi="en-GB"/>
              </w:rPr>
            </w:pPr>
            <w:r w:rsidRPr="00F90E85">
              <w:rPr>
                <w:rFonts w:ascii="Simplified Arabic" w:hAnsi="Simplified Arabic" w:cs="Simplified Arabic"/>
                <w:color w:val="000000"/>
                <w:sz w:val="20"/>
                <w:rtl/>
              </w:rPr>
              <w:t>573</w:t>
            </w:r>
          </w:p>
        </w:tc>
      </w:tr>
      <w:tr w:rsidR="00D44330" w:rsidRPr="00F90E85" w14:paraId="571593DC" w14:textId="77777777" w:rsidTr="00F90E85">
        <w:trPr>
          <w:trHeight w:val="42"/>
        </w:trPr>
        <w:tc>
          <w:tcPr>
            <w:tcW w:w="2817" w:type="pct"/>
            <w:noWrap/>
            <w:tcMar>
              <w:top w:w="0" w:type="dxa"/>
              <w:left w:w="108" w:type="dxa"/>
              <w:bottom w:w="0" w:type="dxa"/>
              <w:right w:w="108" w:type="dxa"/>
            </w:tcMar>
            <w:vAlign w:val="center"/>
            <w:hideMark/>
          </w:tcPr>
          <w:p w14:paraId="62B1736C" w14:textId="77777777" w:rsidR="00D44330" w:rsidRPr="00F90E85" w:rsidRDefault="00D44330" w:rsidP="00F90E85">
            <w:pPr>
              <w:pStyle w:val="Normal-pool-Table"/>
              <w:keepNext/>
              <w:keepLines/>
              <w:bidi/>
              <w:spacing w:line="280" w:lineRule="exact"/>
              <w:jc w:val="both"/>
              <w:textDirection w:val="tbRlV"/>
              <w:rPr>
                <w:rFonts w:ascii="Simplified Arabic" w:hAnsi="Simplified Arabic" w:cs="Simplified Arabic"/>
                <w:sz w:val="20"/>
                <w:rtl/>
                <w:lang w:val="ar-SA" w:eastAsia="zh-TW" w:bidi="en-GB"/>
              </w:rPr>
            </w:pPr>
            <w:r w:rsidRPr="00F90E85">
              <w:rPr>
                <w:rFonts w:ascii="Simplified Arabic" w:hAnsi="Simplified Arabic" w:cs="Simplified Arabic"/>
                <w:color w:val="000000"/>
                <w:sz w:val="20"/>
                <w:rtl/>
              </w:rPr>
              <w:t xml:space="preserve">أنشطة مركبات الكربون الهيدروفلورية (بما في ذلك كفاءة الطاقة، والتخفيف من مركب الكربون الهيدروفلوري-23 </w:t>
            </w:r>
          </w:p>
          <w:p w14:paraId="4CA5ED98" w14:textId="77777777" w:rsidR="00D44330" w:rsidRPr="00F90E85" w:rsidRDefault="00D44330" w:rsidP="00F90E85">
            <w:pPr>
              <w:pStyle w:val="Normal-pool-Table"/>
              <w:keepNext/>
              <w:keepLines/>
              <w:bidi/>
              <w:spacing w:line="280" w:lineRule="exact"/>
              <w:jc w:val="both"/>
              <w:textDirection w:val="tbRlV"/>
              <w:rPr>
                <w:rFonts w:ascii="Simplified Arabic" w:hAnsi="Simplified Arabic" w:cs="Simplified Arabic"/>
                <w:sz w:val="20"/>
                <w:rtl/>
                <w:lang w:val="ar-SA" w:eastAsia="zh-TW" w:bidi="en-GB"/>
              </w:rPr>
            </w:pPr>
            <w:r w:rsidRPr="00F90E85">
              <w:rPr>
                <w:rFonts w:ascii="Simplified Arabic" w:hAnsi="Simplified Arabic" w:cs="Simplified Arabic"/>
                <w:color w:val="000000"/>
                <w:sz w:val="20"/>
                <w:rtl/>
              </w:rPr>
              <w:t>ورصد الغلاف الجوي على المستوى الإقليمي)</w:t>
            </w:r>
          </w:p>
        </w:tc>
        <w:tc>
          <w:tcPr>
            <w:tcW w:w="1091" w:type="pct"/>
            <w:noWrap/>
            <w:tcMar>
              <w:top w:w="0" w:type="dxa"/>
              <w:left w:w="108" w:type="dxa"/>
              <w:bottom w:w="0" w:type="dxa"/>
              <w:right w:w="108" w:type="dxa"/>
            </w:tcMar>
            <w:vAlign w:val="bottom"/>
            <w:hideMark/>
          </w:tcPr>
          <w:p w14:paraId="1498C79F" w14:textId="77777777" w:rsidR="00D44330" w:rsidRPr="00F90E85" w:rsidRDefault="00D44330" w:rsidP="00E41170">
            <w:pPr>
              <w:pStyle w:val="Normal-pool-Table"/>
              <w:keepNext/>
              <w:keepLines/>
              <w:bidi/>
              <w:spacing w:line="280" w:lineRule="exact"/>
              <w:jc w:val="right"/>
              <w:rPr>
                <w:rFonts w:ascii="Simplified Arabic" w:hAnsi="Simplified Arabic" w:cs="Simplified Arabic"/>
                <w:b/>
                <w:sz w:val="20"/>
                <w:rtl/>
              </w:rPr>
            </w:pPr>
            <w:r w:rsidRPr="00F90E85">
              <w:rPr>
                <w:rFonts w:ascii="Simplified Arabic" w:hAnsi="Simplified Arabic" w:cs="Simplified Arabic"/>
                <w:b/>
                <w:color w:val="000000"/>
                <w:sz w:val="20"/>
                <w:rtl/>
              </w:rPr>
              <w:t>702–781</w:t>
            </w:r>
          </w:p>
        </w:tc>
        <w:tc>
          <w:tcPr>
            <w:tcW w:w="1092" w:type="pct"/>
            <w:noWrap/>
            <w:tcMar>
              <w:top w:w="0" w:type="dxa"/>
              <w:left w:w="108" w:type="dxa"/>
              <w:bottom w:w="0" w:type="dxa"/>
              <w:right w:w="108" w:type="dxa"/>
            </w:tcMar>
            <w:vAlign w:val="bottom"/>
            <w:hideMark/>
          </w:tcPr>
          <w:p w14:paraId="442EEBB7" w14:textId="77777777" w:rsidR="00D44330" w:rsidRPr="00F90E85" w:rsidRDefault="00D44330" w:rsidP="00E41170">
            <w:pPr>
              <w:pStyle w:val="Normal-pool-Table"/>
              <w:keepNext/>
              <w:keepLines/>
              <w:bidi/>
              <w:spacing w:line="280" w:lineRule="exact"/>
              <w:jc w:val="right"/>
              <w:rPr>
                <w:rFonts w:ascii="Simplified Arabic" w:hAnsi="Simplified Arabic" w:cs="Simplified Arabic"/>
                <w:b/>
                <w:sz w:val="20"/>
                <w:rtl/>
              </w:rPr>
            </w:pPr>
            <w:r w:rsidRPr="00F90E85">
              <w:rPr>
                <w:rFonts w:ascii="Simplified Arabic" w:hAnsi="Simplified Arabic" w:cs="Simplified Arabic"/>
                <w:b/>
                <w:color w:val="000000"/>
                <w:sz w:val="20"/>
                <w:rtl/>
                <w:lang w:val="en-US"/>
              </w:rPr>
              <w:t>970–053 1</w:t>
            </w:r>
          </w:p>
        </w:tc>
      </w:tr>
      <w:tr w:rsidR="00D44330" w:rsidRPr="00F90E85" w14:paraId="69603FAA" w14:textId="77777777" w:rsidTr="00F90E85">
        <w:trPr>
          <w:trHeight w:val="57"/>
        </w:trPr>
        <w:tc>
          <w:tcPr>
            <w:tcW w:w="2817" w:type="pct"/>
            <w:tcBorders>
              <w:bottom w:val="single" w:sz="4" w:space="0" w:color="auto"/>
            </w:tcBorders>
            <w:tcMar>
              <w:top w:w="0" w:type="dxa"/>
              <w:left w:w="108" w:type="dxa"/>
              <w:bottom w:w="0" w:type="dxa"/>
              <w:right w:w="108" w:type="dxa"/>
            </w:tcMar>
            <w:vAlign w:val="center"/>
            <w:hideMark/>
          </w:tcPr>
          <w:p w14:paraId="71D64A97" w14:textId="77777777" w:rsidR="00D44330" w:rsidRPr="00F90E85" w:rsidRDefault="00D44330" w:rsidP="00F90E85">
            <w:pPr>
              <w:pStyle w:val="Normal-pool-Table"/>
              <w:keepNext/>
              <w:keepLines/>
              <w:bidi/>
              <w:spacing w:line="280" w:lineRule="exact"/>
              <w:jc w:val="both"/>
              <w:textDirection w:val="tbRlV"/>
              <w:rPr>
                <w:rFonts w:ascii="Simplified Arabic" w:hAnsi="Simplified Arabic" w:cs="Simplified Arabic"/>
                <w:sz w:val="20"/>
                <w:rtl/>
                <w:lang w:val="ar-SA" w:eastAsia="zh-TW" w:bidi="en-GB"/>
              </w:rPr>
            </w:pPr>
            <w:r w:rsidRPr="00F90E85">
              <w:rPr>
                <w:rFonts w:ascii="Simplified Arabic" w:hAnsi="Simplified Arabic" w:cs="Simplified Arabic"/>
                <w:color w:val="000000"/>
                <w:sz w:val="20"/>
                <w:rtl/>
              </w:rPr>
              <w:t xml:space="preserve">تعزيز المؤسسات والأنشطة المعيارية </w:t>
            </w:r>
          </w:p>
        </w:tc>
        <w:tc>
          <w:tcPr>
            <w:tcW w:w="1091" w:type="pct"/>
            <w:tcBorders>
              <w:bottom w:val="single" w:sz="4" w:space="0" w:color="auto"/>
            </w:tcBorders>
            <w:noWrap/>
            <w:tcMar>
              <w:top w:w="0" w:type="dxa"/>
              <w:left w:w="108" w:type="dxa"/>
              <w:bottom w:w="0" w:type="dxa"/>
              <w:right w:w="108" w:type="dxa"/>
            </w:tcMar>
            <w:vAlign w:val="bottom"/>
            <w:hideMark/>
          </w:tcPr>
          <w:p w14:paraId="44F883BB" w14:textId="77777777" w:rsidR="00D44330" w:rsidRPr="00F90E85" w:rsidRDefault="00D44330" w:rsidP="00E41170">
            <w:pPr>
              <w:pStyle w:val="Normal-pool-Table"/>
              <w:keepNext/>
              <w:keepLines/>
              <w:bidi/>
              <w:spacing w:line="280" w:lineRule="exact"/>
              <w:jc w:val="right"/>
              <w:textDirection w:val="tbRlV"/>
              <w:rPr>
                <w:rFonts w:ascii="Simplified Arabic" w:hAnsi="Simplified Arabic" w:cs="Simplified Arabic"/>
                <w:b/>
                <w:sz w:val="20"/>
                <w:rtl/>
                <w:lang w:val="ar-SA" w:eastAsia="zh-TW" w:bidi="en-GB"/>
              </w:rPr>
            </w:pPr>
            <w:r w:rsidRPr="00F90E85">
              <w:rPr>
                <w:rFonts w:ascii="Simplified Arabic" w:hAnsi="Simplified Arabic" w:cs="Simplified Arabic"/>
                <w:b/>
                <w:color w:val="000000"/>
                <w:sz w:val="20"/>
                <w:rtl/>
              </w:rPr>
              <w:t>129</w:t>
            </w:r>
          </w:p>
        </w:tc>
        <w:tc>
          <w:tcPr>
            <w:tcW w:w="1092" w:type="pct"/>
            <w:tcBorders>
              <w:bottom w:val="single" w:sz="4" w:space="0" w:color="auto"/>
            </w:tcBorders>
            <w:noWrap/>
            <w:tcMar>
              <w:top w:w="0" w:type="dxa"/>
              <w:left w:w="108" w:type="dxa"/>
              <w:bottom w:w="0" w:type="dxa"/>
              <w:right w:w="108" w:type="dxa"/>
            </w:tcMar>
            <w:vAlign w:val="bottom"/>
            <w:hideMark/>
          </w:tcPr>
          <w:p w14:paraId="0CE286F6" w14:textId="77777777" w:rsidR="00D44330" w:rsidRPr="00F90E85" w:rsidRDefault="00D44330" w:rsidP="00E41170">
            <w:pPr>
              <w:pStyle w:val="Normal-pool-Table"/>
              <w:keepNext/>
              <w:keepLines/>
              <w:bidi/>
              <w:spacing w:line="280" w:lineRule="exact"/>
              <w:jc w:val="right"/>
              <w:textDirection w:val="tbRlV"/>
              <w:rPr>
                <w:rFonts w:ascii="Simplified Arabic" w:hAnsi="Simplified Arabic" w:cs="Simplified Arabic"/>
                <w:b/>
                <w:sz w:val="20"/>
                <w:rtl/>
                <w:lang w:val="ar-SA" w:eastAsia="zh-TW" w:bidi="en-GB"/>
              </w:rPr>
            </w:pPr>
            <w:r w:rsidRPr="00F90E85">
              <w:rPr>
                <w:rFonts w:ascii="Simplified Arabic" w:hAnsi="Simplified Arabic" w:cs="Simplified Arabic"/>
                <w:b/>
                <w:color w:val="000000"/>
                <w:sz w:val="20"/>
                <w:rtl/>
              </w:rPr>
              <w:t>129</w:t>
            </w:r>
          </w:p>
        </w:tc>
      </w:tr>
      <w:tr w:rsidR="00D44330" w:rsidRPr="00F90E85" w14:paraId="3119C62D" w14:textId="77777777" w:rsidTr="00F90E85">
        <w:trPr>
          <w:trHeight w:val="57"/>
        </w:trPr>
        <w:tc>
          <w:tcPr>
            <w:tcW w:w="2817" w:type="pct"/>
            <w:tcBorders>
              <w:top w:val="single" w:sz="4" w:space="0" w:color="auto"/>
              <w:bottom w:val="single" w:sz="12" w:space="0" w:color="auto"/>
            </w:tcBorders>
            <w:noWrap/>
            <w:tcMar>
              <w:top w:w="0" w:type="dxa"/>
              <w:left w:w="108" w:type="dxa"/>
              <w:bottom w:w="0" w:type="dxa"/>
              <w:right w:w="108" w:type="dxa"/>
            </w:tcMar>
            <w:vAlign w:val="center"/>
            <w:hideMark/>
          </w:tcPr>
          <w:p w14:paraId="2C7754B8" w14:textId="77777777" w:rsidR="00D44330" w:rsidRPr="00F90E85" w:rsidRDefault="00D44330" w:rsidP="00F90E85">
            <w:pPr>
              <w:pStyle w:val="Normal-pool-Table"/>
              <w:keepNext/>
              <w:keepLines/>
              <w:bidi/>
              <w:spacing w:line="280" w:lineRule="exact"/>
              <w:jc w:val="both"/>
              <w:textDirection w:val="tbRlV"/>
              <w:rPr>
                <w:rFonts w:ascii="Simplified Arabic" w:hAnsi="Simplified Arabic" w:cs="Simplified Arabic"/>
                <w:b/>
                <w:sz w:val="20"/>
                <w:rtl/>
                <w:lang w:val="ar-SA" w:eastAsia="zh-TW" w:bidi="en-GB"/>
              </w:rPr>
            </w:pPr>
            <w:r w:rsidRPr="00F90E85">
              <w:rPr>
                <w:rFonts w:ascii="Simplified Arabic" w:hAnsi="Simplified Arabic" w:cs="Simplified Arabic"/>
                <w:b/>
                <w:bCs/>
                <w:color w:val="000000"/>
                <w:sz w:val="20"/>
                <w:rtl/>
              </w:rPr>
              <w:t>المجموع</w:t>
            </w:r>
          </w:p>
        </w:tc>
        <w:tc>
          <w:tcPr>
            <w:tcW w:w="1091" w:type="pct"/>
            <w:tcBorders>
              <w:top w:val="single" w:sz="4" w:space="0" w:color="auto"/>
              <w:bottom w:val="single" w:sz="12" w:space="0" w:color="auto"/>
            </w:tcBorders>
            <w:noWrap/>
            <w:tcMar>
              <w:top w:w="0" w:type="dxa"/>
              <w:left w:w="108" w:type="dxa"/>
              <w:bottom w:w="0" w:type="dxa"/>
              <w:right w:w="108" w:type="dxa"/>
            </w:tcMar>
            <w:hideMark/>
          </w:tcPr>
          <w:p w14:paraId="78F9E943" w14:textId="77777777" w:rsidR="00D44330" w:rsidRPr="00F90E85" w:rsidRDefault="00D44330" w:rsidP="00E41170">
            <w:pPr>
              <w:pStyle w:val="Normal-pool-Table"/>
              <w:keepNext/>
              <w:keepLines/>
              <w:bidi/>
              <w:spacing w:line="280" w:lineRule="exact"/>
              <w:jc w:val="right"/>
              <w:rPr>
                <w:rFonts w:ascii="Simplified Arabic" w:hAnsi="Simplified Arabic" w:cs="Simplified Arabic"/>
                <w:b/>
                <w:sz w:val="20"/>
                <w:rtl/>
              </w:rPr>
            </w:pPr>
            <w:r w:rsidRPr="00F90E85">
              <w:rPr>
                <w:rFonts w:ascii="Simplified Arabic" w:hAnsi="Simplified Arabic" w:cs="Simplified Arabic"/>
                <w:b/>
                <w:bCs/>
                <w:color w:val="000000"/>
                <w:sz w:val="20"/>
                <w:rtl/>
                <w:lang w:val="en-US"/>
              </w:rPr>
              <w:t>282 1–361 1</w:t>
            </w:r>
          </w:p>
        </w:tc>
        <w:tc>
          <w:tcPr>
            <w:tcW w:w="1092" w:type="pct"/>
            <w:tcBorders>
              <w:top w:val="single" w:sz="4" w:space="0" w:color="auto"/>
              <w:bottom w:val="single" w:sz="12" w:space="0" w:color="auto"/>
            </w:tcBorders>
            <w:noWrap/>
            <w:tcMar>
              <w:top w:w="0" w:type="dxa"/>
              <w:left w:w="108" w:type="dxa"/>
              <w:bottom w:w="0" w:type="dxa"/>
              <w:right w:w="108" w:type="dxa"/>
            </w:tcMar>
            <w:hideMark/>
          </w:tcPr>
          <w:p w14:paraId="2676A80D" w14:textId="77777777" w:rsidR="00D44330" w:rsidRPr="00F90E85" w:rsidRDefault="00D44330" w:rsidP="00E41170">
            <w:pPr>
              <w:pStyle w:val="Normal-pool-Table"/>
              <w:keepNext/>
              <w:keepLines/>
              <w:bidi/>
              <w:spacing w:line="280" w:lineRule="exact"/>
              <w:jc w:val="right"/>
              <w:rPr>
                <w:rFonts w:ascii="Simplified Arabic" w:hAnsi="Simplified Arabic" w:cs="Simplified Arabic"/>
                <w:b/>
                <w:sz w:val="20"/>
                <w:rtl/>
              </w:rPr>
            </w:pPr>
            <w:r w:rsidRPr="00F90E85">
              <w:rPr>
                <w:rFonts w:ascii="Simplified Arabic" w:hAnsi="Simplified Arabic" w:cs="Simplified Arabic"/>
                <w:b/>
                <w:bCs/>
                <w:color w:val="000000"/>
                <w:sz w:val="20"/>
                <w:rtl/>
                <w:lang w:val="en-US"/>
              </w:rPr>
              <w:t>672 1–755 1</w:t>
            </w:r>
          </w:p>
        </w:tc>
      </w:tr>
    </w:tbl>
    <w:p w14:paraId="27AB56EE" w14:textId="472BDF8D" w:rsidR="00D44330" w:rsidRPr="00F90E85" w:rsidRDefault="00D44330" w:rsidP="00CC2E74">
      <w:pPr>
        <w:pStyle w:val="Normal-pool"/>
        <w:bidi/>
        <w:spacing w:after="40" w:line="280" w:lineRule="exact"/>
        <w:ind w:left="1843"/>
        <w:jc w:val="both"/>
        <w:textDirection w:val="tbRlV"/>
        <w:rPr>
          <w:rFonts w:ascii="Simplified Arabic" w:hAnsi="Simplified Arabic" w:cs="Simplified Arabic"/>
          <w:rtl/>
          <w:lang w:val="ar-SA" w:eastAsia="zh-TW" w:bidi="en-GB"/>
        </w:rPr>
      </w:pPr>
      <w:r w:rsidRPr="00F90E85">
        <w:rPr>
          <w:rFonts w:ascii="Simplified Arabic" w:hAnsi="Simplified Arabic" w:cs="Simplified Arabic"/>
          <w:rtl/>
        </w:rPr>
        <w:t>(أ)</w:t>
      </w:r>
      <w:r w:rsidR="005500AB" w:rsidRPr="00F90E85">
        <w:rPr>
          <w:rFonts w:ascii="Simplified Arabic" w:hAnsi="Simplified Arabic" w:cs="Simplified Arabic"/>
        </w:rPr>
        <w:t xml:space="preserve"> </w:t>
      </w:r>
      <w:r w:rsidRPr="00F90E85">
        <w:rPr>
          <w:rFonts w:ascii="Simplified Arabic" w:hAnsi="Simplified Arabic" w:cs="Simplified Arabic"/>
          <w:rtl/>
        </w:rPr>
        <w:t>يُحسب نطاق الحد الأدنى استنادًا إلى السيناريوهين التاليين:</w:t>
      </w:r>
    </w:p>
    <w:p w14:paraId="7332BB7B" w14:textId="77777777" w:rsidR="00D44330" w:rsidRPr="00F90E85" w:rsidRDefault="00D44330" w:rsidP="00CC2E74">
      <w:pPr>
        <w:pStyle w:val="Normal-pool"/>
        <w:numPr>
          <w:ilvl w:val="0"/>
          <w:numId w:val="33"/>
        </w:numPr>
        <w:tabs>
          <w:tab w:val="clear" w:pos="624"/>
          <w:tab w:val="clear" w:pos="1247"/>
          <w:tab w:val="clear" w:pos="1871"/>
          <w:tab w:val="clear" w:pos="2495"/>
          <w:tab w:val="clear" w:pos="3119"/>
          <w:tab w:val="clear" w:pos="3742"/>
          <w:tab w:val="clear" w:pos="4366"/>
          <w:tab w:val="clear" w:pos="4990"/>
          <w:tab w:val="left" w:pos="2977"/>
        </w:tabs>
        <w:bidi/>
        <w:spacing w:after="40" w:line="280" w:lineRule="exact"/>
        <w:ind w:left="1843" w:firstLine="709"/>
        <w:jc w:val="both"/>
        <w:textDirection w:val="tbRlV"/>
        <w:rPr>
          <w:rFonts w:ascii="Simplified Arabic" w:hAnsi="Simplified Arabic" w:cs="Simplified Arabic"/>
          <w:rtl/>
          <w:lang w:val="ar-SA" w:eastAsia="zh-TW" w:bidi="en-GB"/>
        </w:rPr>
      </w:pPr>
      <w:r w:rsidRPr="00F90E85">
        <w:rPr>
          <w:rFonts w:ascii="Simplified Arabic" w:hAnsi="Simplified Arabic" w:cs="Simplified Arabic"/>
          <w:rtl/>
        </w:rPr>
        <w:t xml:space="preserve">السيناريو 1 الخاص بمركبات الكربون الهيدروكلورية فلورية (العتبات التاريخية لفعالية التكلفة في قطاعات التصنيع) مع تخصيص ما نسبته 90 في المئة من التمويل خلال فترة الثلاث سنوات 2027–2029 و10 في المئة خلال فترة الثلاث سنوات 2030–2032؛ </w:t>
      </w:r>
    </w:p>
    <w:p w14:paraId="7C4F4169" w14:textId="77777777" w:rsidR="00D44330" w:rsidRPr="00CD2EFE" w:rsidRDefault="00D44330" w:rsidP="005874BA">
      <w:pPr>
        <w:pStyle w:val="Normal-pool"/>
        <w:numPr>
          <w:ilvl w:val="0"/>
          <w:numId w:val="33"/>
        </w:numPr>
        <w:tabs>
          <w:tab w:val="clear" w:pos="624"/>
          <w:tab w:val="clear" w:pos="1247"/>
          <w:tab w:val="clear" w:pos="1871"/>
          <w:tab w:val="clear" w:pos="2495"/>
          <w:tab w:val="clear" w:pos="3119"/>
          <w:tab w:val="clear" w:pos="3742"/>
          <w:tab w:val="clear" w:pos="4366"/>
          <w:tab w:val="clear" w:pos="4990"/>
          <w:tab w:val="left" w:pos="2977"/>
        </w:tabs>
        <w:bidi/>
        <w:spacing w:after="40" w:line="280" w:lineRule="exact"/>
        <w:ind w:left="1843" w:firstLine="709"/>
        <w:jc w:val="lowKashida"/>
        <w:textDirection w:val="tbRlV"/>
        <w:rPr>
          <w:rFonts w:ascii="Simplified Arabic" w:hAnsi="Simplified Arabic" w:cs="Simplified Arabic"/>
          <w:w w:val="101"/>
          <w:rtl/>
          <w:lang w:val="ar-SA" w:eastAsia="zh-TW" w:bidi="en-GB"/>
        </w:rPr>
      </w:pPr>
      <w:r w:rsidRPr="00CD2EFE">
        <w:rPr>
          <w:rFonts w:ascii="Simplified Arabic" w:hAnsi="Simplified Arabic" w:cs="Simplified Arabic"/>
          <w:w w:val="101"/>
          <w:rtl/>
        </w:rPr>
        <w:t>فيما يخص مركبات الكربون الهيدروفلورية، يقدر نطاق التكاليف الإجمالية باستخدام سيناريوهين: السيناريو 1 الخاص بمركبات الكربون الهيدروفلورية (المبادئ التوجيهية المتعلقة بالتكاليف أو عتبات فعالية التكلفة المستمدة من آراء الخبراء دون أخذ الشركات الصغيرة والمتوسطة في الاعتبار) والسيناريو 2 الخاص بمركبات الكربون الهيدروفلورية (المبادئ التوجيهية المتعلقة بالتكاليف أو عتبات فعالية التكلفة المستمدة من آراء الخبراء مع أخذ الشركات الصغيرة والمتوسطة في الاعتبار)، مع تخصيص الموارد في الجدول باء (نهج التمويل التدريجي).</w:t>
      </w:r>
    </w:p>
    <w:p w14:paraId="078D505C" w14:textId="2893D7E8" w:rsidR="00D44330" w:rsidRPr="00F90E85" w:rsidRDefault="00CC2E74" w:rsidP="00CC2E74">
      <w:pPr>
        <w:pStyle w:val="Normal-pool"/>
        <w:bidi/>
        <w:spacing w:after="40" w:line="280" w:lineRule="exact"/>
        <w:ind w:left="1843"/>
        <w:jc w:val="both"/>
        <w:textDirection w:val="tbRlV"/>
        <w:rPr>
          <w:rFonts w:ascii="Simplified Arabic" w:hAnsi="Simplified Arabic" w:cs="Simplified Arabic"/>
          <w:rtl/>
          <w:lang w:val="ar-SA" w:eastAsia="zh-TW" w:bidi="en-GB"/>
        </w:rPr>
      </w:pPr>
      <w:r>
        <w:rPr>
          <w:rFonts w:ascii="Simplified Arabic" w:hAnsi="Simplified Arabic" w:cs="Simplified Arabic" w:hint="cs"/>
          <w:rtl/>
        </w:rPr>
        <w:t>(ب)</w:t>
      </w:r>
      <w:r w:rsidR="00D44330" w:rsidRPr="00F90E85">
        <w:rPr>
          <w:rFonts w:ascii="Simplified Arabic" w:hAnsi="Simplified Arabic" w:cs="Simplified Arabic"/>
          <w:rtl/>
        </w:rPr>
        <w:t xml:space="preserve"> يُحسب نطاق الحد الأعلى استنادًا إلى السيناريوهين التاليين:</w:t>
      </w:r>
    </w:p>
    <w:p w14:paraId="53508C99" w14:textId="77777777" w:rsidR="00D44330" w:rsidRPr="00F90E85" w:rsidRDefault="00D44330" w:rsidP="00CC2E74">
      <w:pPr>
        <w:pStyle w:val="Normal-pool"/>
        <w:numPr>
          <w:ilvl w:val="0"/>
          <w:numId w:val="32"/>
        </w:numPr>
        <w:tabs>
          <w:tab w:val="clear" w:pos="624"/>
          <w:tab w:val="clear" w:pos="1247"/>
          <w:tab w:val="clear" w:pos="1871"/>
          <w:tab w:val="clear" w:pos="2495"/>
          <w:tab w:val="clear" w:pos="3119"/>
          <w:tab w:val="clear" w:pos="3742"/>
          <w:tab w:val="clear" w:pos="4366"/>
          <w:tab w:val="clear" w:pos="4990"/>
          <w:tab w:val="left" w:pos="2977"/>
        </w:tabs>
        <w:bidi/>
        <w:spacing w:after="40" w:line="280" w:lineRule="exact"/>
        <w:ind w:left="1843" w:firstLine="709"/>
        <w:jc w:val="both"/>
        <w:textDirection w:val="tbRlV"/>
        <w:rPr>
          <w:rFonts w:ascii="Simplified Arabic" w:hAnsi="Simplified Arabic" w:cs="Simplified Arabic"/>
          <w:rtl/>
          <w:lang w:val="ar-SA" w:eastAsia="zh-TW" w:bidi="en-GB"/>
        </w:rPr>
      </w:pPr>
      <w:r w:rsidRPr="00F90E85">
        <w:rPr>
          <w:rFonts w:ascii="Simplified Arabic" w:hAnsi="Simplified Arabic" w:cs="Simplified Arabic"/>
          <w:rtl/>
        </w:rPr>
        <w:t>السيناريو 2 الخاص بمركبات الكربون الهيدروكلورية فلورية (عتبات فعالية التكلفة المطبقة وفقاً للمبادئ التوجيهية المتعلقة بالتكاليف في قطاعات التصنيع) مع تخصيص ما نسبته 90 في المئة من التمويل خلال فترة الثلاث سنوات 2027–2029 و10 في المئة خلال فترة الثلاث سنوات 2030–2032؛</w:t>
      </w:r>
    </w:p>
    <w:p w14:paraId="542EA5BE" w14:textId="77777777" w:rsidR="00D44330" w:rsidRPr="00CD2EFE" w:rsidRDefault="00D44330" w:rsidP="00CD2EFE">
      <w:pPr>
        <w:pStyle w:val="Normal-pool"/>
        <w:numPr>
          <w:ilvl w:val="0"/>
          <w:numId w:val="32"/>
        </w:numPr>
        <w:tabs>
          <w:tab w:val="clear" w:pos="624"/>
          <w:tab w:val="clear" w:pos="1247"/>
          <w:tab w:val="clear" w:pos="1871"/>
          <w:tab w:val="clear" w:pos="2495"/>
          <w:tab w:val="clear" w:pos="3119"/>
          <w:tab w:val="clear" w:pos="3742"/>
          <w:tab w:val="clear" w:pos="4366"/>
          <w:tab w:val="clear" w:pos="4990"/>
          <w:tab w:val="left" w:pos="2977"/>
        </w:tabs>
        <w:bidi/>
        <w:spacing w:after="120" w:line="280" w:lineRule="exact"/>
        <w:ind w:left="1843" w:firstLine="709"/>
        <w:jc w:val="lowKashida"/>
        <w:textDirection w:val="tbRlV"/>
        <w:rPr>
          <w:rFonts w:ascii="Simplified Arabic" w:hAnsi="Simplified Arabic" w:cs="Simplified Arabic"/>
          <w:w w:val="101"/>
          <w:rtl/>
          <w:lang w:val="ar-SA" w:eastAsia="zh-TW" w:bidi="en-GB"/>
        </w:rPr>
      </w:pPr>
      <w:r w:rsidRPr="00CD2EFE">
        <w:rPr>
          <w:rFonts w:ascii="Simplified Arabic" w:hAnsi="Simplified Arabic" w:cs="Simplified Arabic"/>
          <w:w w:val="101"/>
          <w:rtl/>
        </w:rPr>
        <w:t>فيما يخص مركبات الكربون الهيدروفلورية، يقدر نطاق التكاليف الإجمالية باستخدام سيناريوهين: السيناريو 1 الخاص بمركبات الكربون الهيدروفلورية والسيناريو 2 الخاص بمركبات الكربون الهيدروفلورية مع تخصيص الموارد في الجدول ألف (نهج التمويل الذي يركز على المراحل الأولى).</w:t>
      </w:r>
    </w:p>
    <w:p w14:paraId="1C9953E6" w14:textId="65264487" w:rsidR="00D44330" w:rsidRPr="00984A76" w:rsidRDefault="00D44330" w:rsidP="00984A76">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textDirection w:val="tbRlV"/>
        <w:rPr>
          <w:rFonts w:cs="Simplified Arabic"/>
          <w:szCs w:val="24"/>
        </w:rPr>
      </w:pPr>
      <w:r w:rsidRPr="00984A76">
        <w:rPr>
          <w:rFonts w:cs="Simplified Arabic"/>
          <w:szCs w:val="24"/>
          <w:rtl/>
        </w:rPr>
        <w:t>وتقدِّم فرقة العمل أيضاً، وفقاً لاختصاصاتها، نطاقات إرشادية للاحتياجات من التمويل لفترتي السنوات الثلاث اللاحقتين 2030-2032 و203</w:t>
      </w:r>
      <w:r w:rsidR="00546EB6">
        <w:rPr>
          <w:rFonts w:cs="Simplified Arabic" w:hint="cs"/>
          <w:szCs w:val="24"/>
          <w:rtl/>
        </w:rPr>
        <w:t>3</w:t>
      </w:r>
      <w:r w:rsidRPr="00984A76">
        <w:rPr>
          <w:rFonts w:cs="Simplified Arabic"/>
          <w:szCs w:val="24"/>
          <w:rtl/>
        </w:rPr>
        <w:t>-203</w:t>
      </w:r>
      <w:r w:rsidR="00546EB6">
        <w:rPr>
          <w:rFonts w:cs="Simplified Arabic" w:hint="cs"/>
          <w:szCs w:val="24"/>
          <w:rtl/>
        </w:rPr>
        <w:t>5</w:t>
      </w:r>
      <w:r w:rsidRPr="00984A76">
        <w:rPr>
          <w:rFonts w:cs="Simplified Arabic"/>
          <w:szCs w:val="24"/>
          <w:rtl/>
        </w:rPr>
        <w:t>، على النحو المبيَّن في الجدول 2.</w:t>
      </w:r>
    </w:p>
    <w:p w14:paraId="42F3B91A" w14:textId="5CCFC993" w:rsidR="00A7415C" w:rsidRDefault="00A7415C">
      <w:pPr>
        <w:tabs>
          <w:tab w:val="clear" w:pos="1247"/>
          <w:tab w:val="clear" w:pos="1814"/>
          <w:tab w:val="clear" w:pos="2381"/>
          <w:tab w:val="clear" w:pos="2948"/>
          <w:tab w:val="clear" w:pos="3515"/>
        </w:tabs>
        <w:rPr>
          <w:rFonts w:ascii="Simplified Arabic" w:eastAsia="Times New Roman" w:hAnsi="Simplified Arabic" w:hint="default"/>
          <w:sz w:val="24"/>
          <w:szCs w:val="24"/>
          <w:rtl/>
          <w:lang w:val="en-US"/>
        </w:rPr>
      </w:pPr>
      <w:r>
        <w:rPr>
          <w:rFonts w:ascii="Simplified Arabic" w:hAnsi="Simplified Arabic"/>
          <w:b/>
          <w:bCs/>
          <w:sz w:val="24"/>
          <w:szCs w:val="24"/>
          <w:rtl/>
          <w:lang w:val="en-US"/>
        </w:rPr>
        <w:br w:type="page"/>
      </w:r>
    </w:p>
    <w:p w14:paraId="41346B48" w14:textId="5C3D9E6E" w:rsidR="00D44330" w:rsidRPr="00984A76" w:rsidRDefault="00D44330" w:rsidP="00A7415C">
      <w:pPr>
        <w:pStyle w:val="Titletable"/>
        <w:keepNext w:val="0"/>
        <w:keepLines w:val="0"/>
        <w:bidi/>
        <w:spacing w:after="120" w:line="360" w:lineRule="exact"/>
        <w:ind w:left="1134"/>
        <w:jc w:val="both"/>
        <w:textDirection w:val="tbRlV"/>
        <w:rPr>
          <w:rFonts w:ascii="Simplified Arabic" w:hAnsi="Simplified Arabic" w:cs="Simplified Arabic"/>
          <w:b w:val="0"/>
          <w:bCs w:val="0"/>
          <w:sz w:val="24"/>
          <w:szCs w:val="24"/>
          <w:rtl/>
        </w:rPr>
      </w:pPr>
      <w:r w:rsidRPr="00984A76">
        <w:rPr>
          <w:rFonts w:ascii="Simplified Arabic" w:hAnsi="Simplified Arabic" w:cs="Simplified Arabic"/>
          <w:b w:val="0"/>
          <w:bCs w:val="0"/>
          <w:sz w:val="24"/>
          <w:szCs w:val="24"/>
          <w:rtl/>
        </w:rPr>
        <w:lastRenderedPageBreak/>
        <w:t>الجدول 2</w:t>
      </w:r>
    </w:p>
    <w:p w14:paraId="13048300" w14:textId="382146FC" w:rsidR="00D44330" w:rsidRPr="00B40089" w:rsidRDefault="00D44330" w:rsidP="00B40089">
      <w:pPr>
        <w:pStyle w:val="Titletable"/>
        <w:keepNext w:val="0"/>
        <w:keepLines w:val="0"/>
        <w:bidi/>
        <w:spacing w:after="120" w:line="360" w:lineRule="exact"/>
        <w:ind w:left="1134"/>
        <w:jc w:val="lowKashida"/>
        <w:textDirection w:val="tbRlV"/>
        <w:rPr>
          <w:rFonts w:ascii="Simplified Arabic" w:hAnsi="Simplified Arabic" w:cs="Simplified Arabic"/>
          <w:w w:val="102"/>
          <w:sz w:val="24"/>
          <w:szCs w:val="24"/>
          <w:lang w:val="ar-SA" w:eastAsia="zh-TW" w:bidi="en-GB"/>
        </w:rPr>
      </w:pPr>
      <w:r w:rsidRPr="00B40089">
        <w:rPr>
          <w:rFonts w:ascii="Simplified Arabic" w:hAnsi="Simplified Arabic" w:cs="Simplified Arabic"/>
          <w:w w:val="102"/>
          <w:sz w:val="24"/>
          <w:szCs w:val="24"/>
          <w:rtl/>
        </w:rPr>
        <w:t>احتياجات التمويل الإجمالية الإرشادية لتجديد موارد الصندوق المتعدد الأطراف لفترتي الثلاث سنوات 2030–2032 و203</w:t>
      </w:r>
      <w:r w:rsidR="00BB4904">
        <w:rPr>
          <w:rFonts w:ascii="Simplified Arabic" w:hAnsi="Simplified Arabic" w:cs="Simplified Arabic" w:hint="cs"/>
          <w:w w:val="102"/>
          <w:sz w:val="24"/>
          <w:szCs w:val="24"/>
          <w:rtl/>
        </w:rPr>
        <w:t>3</w:t>
      </w:r>
      <w:r w:rsidRPr="00B40089">
        <w:rPr>
          <w:rFonts w:ascii="Simplified Arabic" w:hAnsi="Simplified Arabic" w:cs="Simplified Arabic"/>
          <w:w w:val="102"/>
          <w:sz w:val="24"/>
          <w:szCs w:val="24"/>
          <w:rtl/>
        </w:rPr>
        <w:t>–203</w:t>
      </w:r>
      <w:r w:rsidR="00BB4904">
        <w:rPr>
          <w:rFonts w:ascii="Simplified Arabic" w:hAnsi="Simplified Arabic" w:cs="Simplified Arabic" w:hint="cs"/>
          <w:w w:val="102"/>
          <w:sz w:val="24"/>
          <w:szCs w:val="24"/>
          <w:rtl/>
        </w:rPr>
        <w:t>5</w:t>
      </w:r>
      <w:r w:rsidRPr="00B40089">
        <w:rPr>
          <w:rFonts w:ascii="Simplified Arabic" w:hAnsi="Simplified Arabic" w:cs="Simplified Arabic"/>
          <w:w w:val="102"/>
          <w:sz w:val="24"/>
          <w:szCs w:val="24"/>
          <w:rtl/>
        </w:rPr>
        <w:t>، نطاق الحد الأدنى ونطاق الحد الأعلى</w:t>
      </w:r>
    </w:p>
    <w:p w14:paraId="2F22424F" w14:textId="77777777" w:rsidR="00D44330" w:rsidRPr="00984A76" w:rsidRDefault="00D44330" w:rsidP="00546EB6">
      <w:pPr>
        <w:pStyle w:val="Titletable"/>
        <w:keepNext w:val="0"/>
        <w:keepLines w:val="0"/>
        <w:bidi/>
        <w:spacing w:after="120" w:line="360" w:lineRule="exact"/>
        <w:ind w:left="1134"/>
        <w:jc w:val="both"/>
        <w:textDirection w:val="tbRlV"/>
        <w:rPr>
          <w:rFonts w:ascii="Simplified Arabic" w:hAnsi="Simplified Arabic" w:cs="Simplified Arabic"/>
          <w:b w:val="0"/>
          <w:bCs w:val="0"/>
          <w:sz w:val="24"/>
          <w:szCs w:val="24"/>
          <w:lang w:val="ar-SA" w:eastAsia="zh-TW" w:bidi="en-GB"/>
        </w:rPr>
      </w:pPr>
      <w:r w:rsidRPr="00984A76">
        <w:rPr>
          <w:rFonts w:ascii="Simplified Arabic" w:hAnsi="Simplified Arabic" w:cs="Simplified Arabic"/>
          <w:b w:val="0"/>
          <w:bCs w:val="0"/>
          <w:sz w:val="24"/>
          <w:szCs w:val="24"/>
          <w:rtl/>
        </w:rPr>
        <w:t>(بملايين دولارات الولايات المتحدة)</w:t>
      </w:r>
    </w:p>
    <w:tbl>
      <w:tblPr>
        <w:bidiVisual/>
        <w:tblW w:w="8363" w:type="dxa"/>
        <w:tblInd w:w="1134" w:type="dxa"/>
        <w:tblLayout w:type="fixed"/>
        <w:tblLook w:val="04A0" w:firstRow="1" w:lastRow="0" w:firstColumn="1" w:lastColumn="0" w:noHBand="0" w:noVBand="1"/>
      </w:tblPr>
      <w:tblGrid>
        <w:gridCol w:w="4711"/>
        <w:gridCol w:w="1826"/>
        <w:gridCol w:w="1826"/>
      </w:tblGrid>
      <w:tr w:rsidR="00D44330" w:rsidRPr="00CC2E74" w14:paraId="110E7F15" w14:textId="77777777" w:rsidTr="00546EB6">
        <w:trPr>
          <w:trHeight w:val="65"/>
          <w:tblHeader/>
        </w:trPr>
        <w:tc>
          <w:tcPr>
            <w:tcW w:w="2816" w:type="pct"/>
            <w:tcBorders>
              <w:top w:val="single" w:sz="4" w:space="0" w:color="auto"/>
              <w:bottom w:val="single" w:sz="12" w:space="0" w:color="auto"/>
            </w:tcBorders>
            <w:noWrap/>
            <w:vAlign w:val="bottom"/>
          </w:tcPr>
          <w:p w14:paraId="5056AA17" w14:textId="77777777" w:rsidR="00D44330" w:rsidRPr="00CC2E74" w:rsidRDefault="00D44330" w:rsidP="00546EB6">
            <w:pPr>
              <w:pStyle w:val="Normal-pool-Table"/>
              <w:bidi/>
              <w:spacing w:line="280" w:lineRule="exact"/>
              <w:jc w:val="both"/>
              <w:textDirection w:val="tbRlV"/>
              <w:rPr>
                <w:rFonts w:ascii="Simplified Arabic" w:hAnsi="Simplified Arabic" w:cs="Simplified Arabic"/>
                <w:i/>
                <w:iCs/>
                <w:color w:val="000000"/>
                <w:sz w:val="20"/>
                <w:rtl/>
                <w:lang w:bidi="en-GB"/>
              </w:rPr>
            </w:pPr>
            <w:r w:rsidRPr="00CC2E74">
              <w:rPr>
                <w:rFonts w:ascii="Simplified Arabic" w:hAnsi="Simplified Arabic" w:cs="Simplified Arabic"/>
                <w:i/>
                <w:iCs/>
                <w:color w:val="000000"/>
                <w:sz w:val="20"/>
                <w:rtl/>
              </w:rPr>
              <w:t>فترة السنوات الثلاث</w:t>
            </w:r>
          </w:p>
        </w:tc>
        <w:tc>
          <w:tcPr>
            <w:tcW w:w="1092" w:type="pct"/>
            <w:tcBorders>
              <w:top w:val="single" w:sz="4" w:space="0" w:color="auto"/>
              <w:bottom w:val="single" w:sz="12" w:space="0" w:color="auto"/>
            </w:tcBorders>
            <w:noWrap/>
            <w:vAlign w:val="bottom"/>
          </w:tcPr>
          <w:p w14:paraId="27C80295" w14:textId="77777777" w:rsidR="00D44330" w:rsidRPr="00CC2E74" w:rsidRDefault="00D44330" w:rsidP="00546EB6">
            <w:pPr>
              <w:pStyle w:val="Normal-pool-Table"/>
              <w:bidi/>
              <w:spacing w:line="280" w:lineRule="exact"/>
              <w:jc w:val="right"/>
              <w:textDirection w:val="tbRlV"/>
              <w:rPr>
                <w:rFonts w:ascii="Simplified Arabic" w:hAnsi="Simplified Arabic" w:cs="Simplified Arabic"/>
                <w:i/>
                <w:iCs/>
                <w:color w:val="000000"/>
                <w:sz w:val="20"/>
                <w:rtl/>
                <w:lang w:bidi="en-GB"/>
              </w:rPr>
            </w:pPr>
            <w:r w:rsidRPr="00CC2E74">
              <w:rPr>
                <w:rFonts w:ascii="Simplified Arabic" w:hAnsi="Simplified Arabic" w:cs="Simplified Arabic"/>
                <w:i/>
                <w:iCs/>
                <w:color w:val="000000"/>
                <w:sz w:val="20"/>
                <w:rtl/>
              </w:rPr>
              <w:t>نطاق الحد الأدنى</w:t>
            </w:r>
            <w:r w:rsidRPr="009B01ED">
              <w:rPr>
                <w:rFonts w:ascii="Simplified Arabic" w:hAnsi="Simplified Arabic" w:cs="Simplified Arabic"/>
                <w:i/>
                <w:iCs/>
                <w:color w:val="000000"/>
                <w:sz w:val="20"/>
                <w:vertAlign w:val="superscript"/>
                <w:rtl/>
              </w:rPr>
              <w:t>(أ)</w:t>
            </w:r>
          </w:p>
        </w:tc>
        <w:tc>
          <w:tcPr>
            <w:tcW w:w="1092" w:type="pct"/>
            <w:tcBorders>
              <w:top w:val="single" w:sz="4" w:space="0" w:color="auto"/>
              <w:bottom w:val="single" w:sz="12" w:space="0" w:color="auto"/>
            </w:tcBorders>
            <w:noWrap/>
            <w:vAlign w:val="bottom"/>
          </w:tcPr>
          <w:p w14:paraId="3F17D9E2" w14:textId="77777777" w:rsidR="00D44330" w:rsidRPr="00CC2E74" w:rsidRDefault="00D44330" w:rsidP="00546EB6">
            <w:pPr>
              <w:pStyle w:val="Normal-pool-Table"/>
              <w:bidi/>
              <w:spacing w:line="280" w:lineRule="exact"/>
              <w:jc w:val="right"/>
              <w:textDirection w:val="tbRlV"/>
              <w:rPr>
                <w:rFonts w:ascii="Simplified Arabic" w:hAnsi="Simplified Arabic" w:cs="Simplified Arabic"/>
                <w:i/>
                <w:iCs/>
                <w:color w:val="000000"/>
                <w:sz w:val="20"/>
                <w:rtl/>
                <w:lang w:bidi="en-GB"/>
              </w:rPr>
            </w:pPr>
            <w:r w:rsidRPr="00CC2E74">
              <w:rPr>
                <w:rFonts w:ascii="Simplified Arabic" w:hAnsi="Simplified Arabic" w:cs="Simplified Arabic"/>
                <w:i/>
                <w:iCs/>
                <w:color w:val="000000"/>
                <w:sz w:val="20"/>
                <w:rtl/>
              </w:rPr>
              <w:t>نطاق الحد الأعلى</w:t>
            </w:r>
            <w:r w:rsidRPr="009B01ED">
              <w:rPr>
                <w:rFonts w:ascii="Simplified Arabic" w:hAnsi="Simplified Arabic" w:cs="Simplified Arabic"/>
                <w:i/>
                <w:iCs/>
                <w:color w:val="000000"/>
                <w:sz w:val="20"/>
                <w:vertAlign w:val="superscript"/>
                <w:rtl/>
              </w:rPr>
              <w:t>(ب)</w:t>
            </w:r>
          </w:p>
        </w:tc>
      </w:tr>
      <w:tr w:rsidR="00D44330" w:rsidRPr="00CC2E74" w14:paraId="4C4EB330" w14:textId="77777777" w:rsidTr="00CC2E74">
        <w:trPr>
          <w:trHeight w:val="65"/>
        </w:trPr>
        <w:tc>
          <w:tcPr>
            <w:tcW w:w="2816" w:type="pct"/>
            <w:tcBorders>
              <w:top w:val="single" w:sz="12" w:space="0" w:color="auto"/>
            </w:tcBorders>
            <w:noWrap/>
            <w:hideMark/>
          </w:tcPr>
          <w:p w14:paraId="742E0325" w14:textId="77777777" w:rsidR="00D44330" w:rsidRPr="00C60963" w:rsidRDefault="00D44330" w:rsidP="00546EB6">
            <w:pPr>
              <w:pStyle w:val="Normal-pool-Table"/>
              <w:bidi/>
              <w:spacing w:line="280" w:lineRule="exact"/>
              <w:jc w:val="both"/>
              <w:textDirection w:val="tbRlV"/>
              <w:rPr>
                <w:rFonts w:ascii="Simplified Arabic" w:hAnsi="Simplified Arabic" w:cs="Simplified Arabic"/>
                <w:b/>
                <w:bCs/>
                <w:color w:val="000000"/>
                <w:sz w:val="20"/>
                <w:rtl/>
                <w:lang w:bidi="en-GB"/>
              </w:rPr>
            </w:pPr>
            <w:r w:rsidRPr="00C60963">
              <w:rPr>
                <w:rFonts w:ascii="Simplified Arabic" w:hAnsi="Simplified Arabic" w:cs="Simplified Arabic"/>
                <w:b/>
                <w:bCs/>
                <w:color w:val="000000"/>
                <w:sz w:val="20"/>
                <w:rtl/>
              </w:rPr>
              <w:t>2030-2032</w:t>
            </w:r>
          </w:p>
        </w:tc>
        <w:tc>
          <w:tcPr>
            <w:tcW w:w="1092" w:type="pct"/>
            <w:tcBorders>
              <w:top w:val="single" w:sz="12" w:space="0" w:color="auto"/>
            </w:tcBorders>
            <w:noWrap/>
          </w:tcPr>
          <w:p w14:paraId="243B9D53" w14:textId="77777777" w:rsidR="00D44330" w:rsidRPr="009B01ED" w:rsidRDefault="00D44330" w:rsidP="00546EB6">
            <w:pPr>
              <w:pStyle w:val="Normal-pool-Table"/>
              <w:bidi/>
              <w:spacing w:line="280" w:lineRule="exact"/>
              <w:jc w:val="right"/>
              <w:rPr>
                <w:rFonts w:ascii="Simplified Arabic" w:hAnsi="Simplified Arabic" w:cs="Simplified Arabic"/>
                <w:color w:val="000000"/>
                <w:sz w:val="20"/>
                <w:rtl/>
              </w:rPr>
            </w:pPr>
          </w:p>
        </w:tc>
        <w:tc>
          <w:tcPr>
            <w:tcW w:w="1092" w:type="pct"/>
            <w:tcBorders>
              <w:top w:val="single" w:sz="12" w:space="0" w:color="auto"/>
            </w:tcBorders>
            <w:noWrap/>
          </w:tcPr>
          <w:p w14:paraId="1E0F4ECC" w14:textId="77777777" w:rsidR="00D44330" w:rsidRPr="009B01ED" w:rsidRDefault="00D44330" w:rsidP="00546EB6">
            <w:pPr>
              <w:pStyle w:val="Normal-pool-Table"/>
              <w:bidi/>
              <w:spacing w:line="280" w:lineRule="exact"/>
              <w:jc w:val="right"/>
              <w:rPr>
                <w:rFonts w:ascii="Simplified Arabic" w:hAnsi="Simplified Arabic" w:cs="Simplified Arabic"/>
                <w:color w:val="000000"/>
                <w:sz w:val="20"/>
                <w:rtl/>
              </w:rPr>
            </w:pPr>
          </w:p>
        </w:tc>
      </w:tr>
      <w:tr w:rsidR="00D44330" w:rsidRPr="00CC2E74" w14:paraId="02C3C666" w14:textId="77777777" w:rsidTr="00CC2E74">
        <w:trPr>
          <w:trHeight w:val="65"/>
        </w:trPr>
        <w:tc>
          <w:tcPr>
            <w:tcW w:w="2816" w:type="pct"/>
            <w:noWrap/>
          </w:tcPr>
          <w:p w14:paraId="023D126E" w14:textId="77777777" w:rsidR="00D44330" w:rsidRPr="009B01ED" w:rsidRDefault="00D44330" w:rsidP="00546EB6">
            <w:pPr>
              <w:pStyle w:val="Normal-pool-Table"/>
              <w:bidi/>
              <w:spacing w:line="280" w:lineRule="exact"/>
              <w:jc w:val="both"/>
              <w:textDirection w:val="tbRlV"/>
              <w:rPr>
                <w:rFonts w:ascii="Simplified Arabic" w:hAnsi="Simplified Arabic" w:cs="Simplified Arabic"/>
                <w:color w:val="000000"/>
                <w:sz w:val="20"/>
                <w:rtl/>
                <w:lang w:bidi="en-GB"/>
              </w:rPr>
            </w:pPr>
            <w:r w:rsidRPr="009B01ED">
              <w:rPr>
                <w:rFonts w:ascii="Simplified Arabic" w:hAnsi="Simplified Arabic" w:cs="Simplified Arabic"/>
                <w:color w:val="000000"/>
                <w:sz w:val="20"/>
                <w:rtl/>
              </w:rPr>
              <w:t>أنشطة مركبات الكربون الهيدروكلورية فلورية</w:t>
            </w:r>
          </w:p>
        </w:tc>
        <w:tc>
          <w:tcPr>
            <w:tcW w:w="1092" w:type="pct"/>
            <w:noWrap/>
            <w:vAlign w:val="center"/>
          </w:tcPr>
          <w:p w14:paraId="7BF8BF34" w14:textId="77777777" w:rsidR="00D44330" w:rsidRPr="009B01ED" w:rsidRDefault="00D44330" w:rsidP="00546EB6">
            <w:pPr>
              <w:pStyle w:val="Normal-pool-Table"/>
              <w:bidi/>
              <w:spacing w:line="280" w:lineRule="exact"/>
              <w:jc w:val="right"/>
              <w:textDirection w:val="tbRlV"/>
              <w:rPr>
                <w:rFonts w:ascii="Simplified Arabic" w:hAnsi="Simplified Arabic" w:cs="Simplified Arabic"/>
                <w:color w:val="000000"/>
                <w:sz w:val="20"/>
                <w:rtl/>
                <w:lang w:bidi="en-GB"/>
              </w:rPr>
            </w:pPr>
            <w:r w:rsidRPr="009B01ED">
              <w:rPr>
                <w:rFonts w:ascii="Simplified Arabic" w:hAnsi="Simplified Arabic" w:cs="Simplified Arabic"/>
                <w:color w:val="000000"/>
                <w:sz w:val="20"/>
                <w:rtl/>
              </w:rPr>
              <w:t>83</w:t>
            </w:r>
          </w:p>
        </w:tc>
        <w:tc>
          <w:tcPr>
            <w:tcW w:w="1092" w:type="pct"/>
            <w:noWrap/>
            <w:vAlign w:val="center"/>
          </w:tcPr>
          <w:p w14:paraId="10CC2568" w14:textId="77777777" w:rsidR="00D44330" w:rsidRPr="009B01ED" w:rsidRDefault="00D44330" w:rsidP="00546EB6">
            <w:pPr>
              <w:pStyle w:val="Normal-pool-Table"/>
              <w:bidi/>
              <w:spacing w:line="280" w:lineRule="exact"/>
              <w:jc w:val="right"/>
              <w:textDirection w:val="tbRlV"/>
              <w:rPr>
                <w:rFonts w:ascii="Simplified Arabic" w:hAnsi="Simplified Arabic" w:cs="Simplified Arabic"/>
                <w:color w:val="000000"/>
                <w:sz w:val="20"/>
                <w:rtl/>
                <w:lang w:bidi="en-GB"/>
              </w:rPr>
            </w:pPr>
            <w:r w:rsidRPr="009B01ED">
              <w:rPr>
                <w:rFonts w:ascii="Simplified Arabic" w:hAnsi="Simplified Arabic" w:cs="Simplified Arabic"/>
                <w:color w:val="000000"/>
                <w:sz w:val="20"/>
                <w:rtl/>
              </w:rPr>
              <w:t>96</w:t>
            </w:r>
          </w:p>
        </w:tc>
      </w:tr>
      <w:tr w:rsidR="00D44330" w:rsidRPr="00CC2E74" w14:paraId="708AAEA7" w14:textId="77777777" w:rsidTr="00CC2E74">
        <w:trPr>
          <w:trHeight w:val="65"/>
        </w:trPr>
        <w:tc>
          <w:tcPr>
            <w:tcW w:w="2816" w:type="pct"/>
            <w:noWrap/>
          </w:tcPr>
          <w:p w14:paraId="2B9EF2B3" w14:textId="77777777" w:rsidR="00D44330" w:rsidRPr="009B01ED" w:rsidRDefault="00D44330" w:rsidP="00546EB6">
            <w:pPr>
              <w:pStyle w:val="Normal-pool-Table"/>
              <w:bidi/>
              <w:spacing w:line="280" w:lineRule="exact"/>
              <w:jc w:val="both"/>
              <w:textDirection w:val="tbRlV"/>
              <w:rPr>
                <w:rFonts w:ascii="Simplified Arabic" w:hAnsi="Simplified Arabic" w:cs="Simplified Arabic"/>
                <w:color w:val="000000"/>
                <w:sz w:val="20"/>
                <w:rtl/>
                <w:lang w:bidi="en-GB"/>
              </w:rPr>
            </w:pPr>
            <w:r w:rsidRPr="009B01ED">
              <w:rPr>
                <w:rFonts w:ascii="Simplified Arabic" w:hAnsi="Simplified Arabic" w:cs="Simplified Arabic"/>
                <w:color w:val="000000"/>
                <w:sz w:val="20"/>
                <w:rtl/>
              </w:rPr>
              <w:t>أنشطة مركبات الكربون الهيدروفلورية</w:t>
            </w:r>
          </w:p>
        </w:tc>
        <w:tc>
          <w:tcPr>
            <w:tcW w:w="1092" w:type="pct"/>
            <w:noWrap/>
            <w:vAlign w:val="center"/>
          </w:tcPr>
          <w:p w14:paraId="0BD186FD" w14:textId="77777777" w:rsidR="00D44330" w:rsidRPr="009B01ED" w:rsidRDefault="00D44330" w:rsidP="00546EB6">
            <w:pPr>
              <w:pStyle w:val="Normal-pool-Table"/>
              <w:bidi/>
              <w:spacing w:line="280" w:lineRule="exact"/>
              <w:jc w:val="right"/>
              <w:rPr>
                <w:rFonts w:ascii="Simplified Arabic" w:hAnsi="Simplified Arabic" w:cs="Simplified Arabic"/>
                <w:color w:val="000000"/>
                <w:sz w:val="20"/>
                <w:rtl/>
              </w:rPr>
            </w:pPr>
            <w:r w:rsidRPr="009B01ED">
              <w:rPr>
                <w:rFonts w:ascii="Simplified Arabic" w:hAnsi="Simplified Arabic" w:cs="Simplified Arabic"/>
                <w:color w:val="000000"/>
                <w:sz w:val="20"/>
                <w:rtl/>
              </w:rPr>
              <w:t>877–908</w:t>
            </w:r>
          </w:p>
        </w:tc>
        <w:tc>
          <w:tcPr>
            <w:tcW w:w="1092" w:type="pct"/>
            <w:noWrap/>
            <w:vAlign w:val="center"/>
          </w:tcPr>
          <w:p w14:paraId="003446BF" w14:textId="77777777" w:rsidR="00D44330" w:rsidRPr="009B01ED" w:rsidRDefault="00D44330" w:rsidP="00546EB6">
            <w:pPr>
              <w:pStyle w:val="Normal-pool-Table"/>
              <w:bidi/>
              <w:spacing w:line="280" w:lineRule="exact"/>
              <w:jc w:val="right"/>
              <w:rPr>
                <w:rFonts w:ascii="Simplified Arabic" w:hAnsi="Simplified Arabic" w:cs="Simplified Arabic"/>
                <w:color w:val="000000"/>
                <w:sz w:val="20"/>
                <w:rtl/>
              </w:rPr>
            </w:pPr>
            <w:r w:rsidRPr="009B01ED">
              <w:rPr>
                <w:rFonts w:ascii="Simplified Arabic" w:hAnsi="Simplified Arabic" w:cs="Simplified Arabic"/>
                <w:color w:val="000000"/>
                <w:sz w:val="20"/>
                <w:rtl/>
              </w:rPr>
              <w:t>050 1–085 1</w:t>
            </w:r>
          </w:p>
        </w:tc>
      </w:tr>
      <w:tr w:rsidR="00D44330" w:rsidRPr="00CC2E74" w14:paraId="6FBE145A" w14:textId="77777777" w:rsidTr="00432183">
        <w:trPr>
          <w:trHeight w:val="65"/>
        </w:trPr>
        <w:tc>
          <w:tcPr>
            <w:tcW w:w="2816" w:type="pct"/>
            <w:tcBorders>
              <w:bottom w:val="single" w:sz="4" w:space="0" w:color="auto"/>
            </w:tcBorders>
            <w:noWrap/>
            <w:vAlign w:val="center"/>
          </w:tcPr>
          <w:p w14:paraId="135B2F63" w14:textId="77777777" w:rsidR="00D44330" w:rsidRPr="009B01ED" w:rsidRDefault="00D44330" w:rsidP="00546EB6">
            <w:pPr>
              <w:pStyle w:val="Normal-pool-Table"/>
              <w:bidi/>
              <w:spacing w:line="280" w:lineRule="exact"/>
              <w:jc w:val="both"/>
              <w:textDirection w:val="tbRlV"/>
              <w:rPr>
                <w:rFonts w:ascii="Simplified Arabic" w:hAnsi="Simplified Arabic" w:cs="Simplified Arabic"/>
                <w:color w:val="000000"/>
                <w:sz w:val="20"/>
                <w:rtl/>
                <w:lang w:bidi="en-GB"/>
              </w:rPr>
            </w:pPr>
            <w:r w:rsidRPr="009B01ED">
              <w:rPr>
                <w:rFonts w:ascii="Simplified Arabic" w:hAnsi="Simplified Arabic" w:cs="Simplified Arabic"/>
                <w:color w:val="000000"/>
                <w:sz w:val="20"/>
                <w:rtl/>
              </w:rPr>
              <w:t xml:space="preserve">تعزيز المؤسسات والأنشطة المعيارية </w:t>
            </w:r>
          </w:p>
        </w:tc>
        <w:tc>
          <w:tcPr>
            <w:tcW w:w="1092" w:type="pct"/>
            <w:tcBorders>
              <w:bottom w:val="single" w:sz="4" w:space="0" w:color="auto"/>
            </w:tcBorders>
            <w:noWrap/>
            <w:vAlign w:val="center"/>
          </w:tcPr>
          <w:p w14:paraId="2C35AE6D" w14:textId="77777777" w:rsidR="00D44330" w:rsidRPr="009B01ED" w:rsidRDefault="00D44330" w:rsidP="00546EB6">
            <w:pPr>
              <w:pStyle w:val="Normal-pool-Table"/>
              <w:bidi/>
              <w:spacing w:line="280" w:lineRule="exact"/>
              <w:jc w:val="right"/>
              <w:textDirection w:val="tbRlV"/>
              <w:rPr>
                <w:rFonts w:ascii="Simplified Arabic" w:hAnsi="Simplified Arabic" w:cs="Simplified Arabic"/>
                <w:color w:val="000000"/>
                <w:sz w:val="20"/>
                <w:rtl/>
                <w:lang w:bidi="en-GB"/>
              </w:rPr>
            </w:pPr>
            <w:r w:rsidRPr="009B01ED">
              <w:rPr>
                <w:rFonts w:ascii="Simplified Arabic" w:hAnsi="Simplified Arabic" w:cs="Simplified Arabic"/>
                <w:color w:val="000000"/>
                <w:sz w:val="20"/>
                <w:rtl/>
              </w:rPr>
              <w:t>137</w:t>
            </w:r>
          </w:p>
        </w:tc>
        <w:tc>
          <w:tcPr>
            <w:tcW w:w="1092" w:type="pct"/>
            <w:tcBorders>
              <w:bottom w:val="single" w:sz="4" w:space="0" w:color="auto"/>
            </w:tcBorders>
            <w:noWrap/>
            <w:vAlign w:val="center"/>
          </w:tcPr>
          <w:p w14:paraId="22714DB0" w14:textId="77777777" w:rsidR="00D44330" w:rsidRPr="009B01ED" w:rsidRDefault="00D44330" w:rsidP="00546EB6">
            <w:pPr>
              <w:pStyle w:val="Normal-pool-Table"/>
              <w:bidi/>
              <w:spacing w:line="280" w:lineRule="exact"/>
              <w:jc w:val="right"/>
              <w:textDirection w:val="tbRlV"/>
              <w:rPr>
                <w:rFonts w:ascii="Simplified Arabic" w:hAnsi="Simplified Arabic" w:cs="Simplified Arabic"/>
                <w:color w:val="000000"/>
                <w:sz w:val="20"/>
                <w:rtl/>
                <w:lang w:bidi="en-GB"/>
              </w:rPr>
            </w:pPr>
            <w:r w:rsidRPr="009B01ED">
              <w:rPr>
                <w:rFonts w:ascii="Simplified Arabic" w:hAnsi="Simplified Arabic" w:cs="Simplified Arabic"/>
                <w:color w:val="000000"/>
                <w:sz w:val="20"/>
                <w:rtl/>
              </w:rPr>
              <w:t>137</w:t>
            </w:r>
          </w:p>
        </w:tc>
      </w:tr>
      <w:tr w:rsidR="00D44330" w:rsidRPr="00CC2E74" w14:paraId="4254445A" w14:textId="77777777" w:rsidTr="00432183">
        <w:trPr>
          <w:trHeight w:val="65"/>
        </w:trPr>
        <w:tc>
          <w:tcPr>
            <w:tcW w:w="2816" w:type="pct"/>
            <w:tcBorders>
              <w:top w:val="single" w:sz="4" w:space="0" w:color="auto"/>
              <w:bottom w:val="single" w:sz="12" w:space="0" w:color="auto"/>
            </w:tcBorders>
            <w:noWrap/>
          </w:tcPr>
          <w:p w14:paraId="6A1FC278" w14:textId="77777777" w:rsidR="00D44330" w:rsidRPr="00D06E12" w:rsidRDefault="00D44330" w:rsidP="00546EB6">
            <w:pPr>
              <w:pStyle w:val="Normal-pool-Table"/>
              <w:bidi/>
              <w:spacing w:line="280" w:lineRule="exact"/>
              <w:jc w:val="both"/>
              <w:textDirection w:val="tbRlV"/>
              <w:rPr>
                <w:rFonts w:ascii="Simplified Arabic" w:hAnsi="Simplified Arabic" w:cs="Simplified Arabic"/>
                <w:b/>
                <w:bCs/>
                <w:color w:val="000000"/>
                <w:sz w:val="20"/>
                <w:rtl/>
                <w:lang w:bidi="en-GB"/>
              </w:rPr>
            </w:pPr>
            <w:r w:rsidRPr="00D06E12">
              <w:rPr>
                <w:rFonts w:ascii="Simplified Arabic" w:hAnsi="Simplified Arabic" w:cs="Simplified Arabic"/>
                <w:b/>
                <w:bCs/>
                <w:color w:val="000000"/>
                <w:sz w:val="20"/>
                <w:rtl/>
              </w:rPr>
              <w:t>المجموع</w:t>
            </w:r>
          </w:p>
        </w:tc>
        <w:tc>
          <w:tcPr>
            <w:tcW w:w="1092" w:type="pct"/>
            <w:tcBorders>
              <w:top w:val="single" w:sz="4" w:space="0" w:color="auto"/>
              <w:bottom w:val="single" w:sz="12" w:space="0" w:color="auto"/>
            </w:tcBorders>
            <w:noWrap/>
            <w:vAlign w:val="center"/>
          </w:tcPr>
          <w:p w14:paraId="5F746682" w14:textId="77777777" w:rsidR="00D44330" w:rsidRPr="00D06E12" w:rsidRDefault="00D44330" w:rsidP="00546EB6">
            <w:pPr>
              <w:pStyle w:val="Normal-pool-Table"/>
              <w:bidi/>
              <w:spacing w:line="280" w:lineRule="exact"/>
              <w:jc w:val="right"/>
              <w:rPr>
                <w:rFonts w:ascii="Simplified Arabic" w:hAnsi="Simplified Arabic" w:cs="Simplified Arabic"/>
                <w:b/>
                <w:bCs/>
                <w:color w:val="000000"/>
                <w:sz w:val="20"/>
                <w:rtl/>
              </w:rPr>
            </w:pPr>
            <w:r w:rsidRPr="00D06E12">
              <w:rPr>
                <w:rFonts w:ascii="Simplified Arabic" w:hAnsi="Simplified Arabic" w:cs="Simplified Arabic"/>
                <w:b/>
                <w:bCs/>
                <w:color w:val="000000"/>
                <w:sz w:val="20"/>
                <w:rtl/>
              </w:rPr>
              <w:t>097 1–128 1</w:t>
            </w:r>
          </w:p>
        </w:tc>
        <w:tc>
          <w:tcPr>
            <w:tcW w:w="1092" w:type="pct"/>
            <w:tcBorders>
              <w:top w:val="single" w:sz="4" w:space="0" w:color="auto"/>
              <w:bottom w:val="single" w:sz="12" w:space="0" w:color="auto"/>
            </w:tcBorders>
            <w:noWrap/>
            <w:vAlign w:val="center"/>
          </w:tcPr>
          <w:p w14:paraId="0F8D7F2B" w14:textId="77777777" w:rsidR="00D44330" w:rsidRPr="00D06E12" w:rsidRDefault="00D44330" w:rsidP="00546EB6">
            <w:pPr>
              <w:pStyle w:val="Normal-pool-Table"/>
              <w:bidi/>
              <w:spacing w:line="280" w:lineRule="exact"/>
              <w:jc w:val="right"/>
              <w:rPr>
                <w:rFonts w:ascii="Simplified Arabic" w:hAnsi="Simplified Arabic" w:cs="Simplified Arabic"/>
                <w:b/>
                <w:bCs/>
                <w:color w:val="000000"/>
                <w:sz w:val="20"/>
                <w:rtl/>
              </w:rPr>
            </w:pPr>
            <w:r w:rsidRPr="00D06E12">
              <w:rPr>
                <w:rFonts w:ascii="Simplified Arabic" w:hAnsi="Simplified Arabic" w:cs="Simplified Arabic"/>
                <w:b/>
                <w:bCs/>
                <w:color w:val="000000"/>
                <w:sz w:val="20"/>
                <w:rtl/>
              </w:rPr>
              <w:t>283 1–318 1</w:t>
            </w:r>
          </w:p>
        </w:tc>
      </w:tr>
      <w:tr w:rsidR="00D44330" w:rsidRPr="00CC2E74" w14:paraId="4C5B29A8" w14:textId="77777777" w:rsidTr="00432183">
        <w:trPr>
          <w:trHeight w:val="65"/>
        </w:trPr>
        <w:tc>
          <w:tcPr>
            <w:tcW w:w="2816" w:type="pct"/>
            <w:tcBorders>
              <w:top w:val="single" w:sz="12" w:space="0" w:color="auto"/>
            </w:tcBorders>
            <w:noWrap/>
            <w:hideMark/>
          </w:tcPr>
          <w:p w14:paraId="35CEFF39" w14:textId="77777777" w:rsidR="00D44330" w:rsidRPr="00C60963" w:rsidRDefault="00D44330" w:rsidP="00FA00C9">
            <w:pPr>
              <w:pStyle w:val="Normal-pool-Table"/>
              <w:keepNext/>
              <w:keepLines/>
              <w:bidi/>
              <w:spacing w:line="280" w:lineRule="exact"/>
              <w:jc w:val="both"/>
              <w:textDirection w:val="tbRlV"/>
              <w:rPr>
                <w:rFonts w:ascii="Simplified Arabic" w:hAnsi="Simplified Arabic" w:cs="Simplified Arabic"/>
                <w:b/>
                <w:bCs/>
                <w:color w:val="000000"/>
                <w:sz w:val="20"/>
                <w:rtl/>
                <w:lang w:bidi="en-GB"/>
              </w:rPr>
            </w:pPr>
            <w:r w:rsidRPr="00C60963">
              <w:rPr>
                <w:rFonts w:ascii="Simplified Arabic" w:hAnsi="Simplified Arabic" w:cs="Simplified Arabic"/>
                <w:b/>
                <w:bCs/>
                <w:color w:val="000000"/>
                <w:sz w:val="20"/>
                <w:rtl/>
              </w:rPr>
              <w:t>2033-2035</w:t>
            </w:r>
          </w:p>
        </w:tc>
        <w:tc>
          <w:tcPr>
            <w:tcW w:w="1092" w:type="pct"/>
            <w:tcBorders>
              <w:top w:val="single" w:sz="12" w:space="0" w:color="auto"/>
            </w:tcBorders>
            <w:noWrap/>
            <w:vAlign w:val="center"/>
          </w:tcPr>
          <w:p w14:paraId="6121EEF8" w14:textId="77777777" w:rsidR="00D44330" w:rsidRPr="009B01ED" w:rsidRDefault="00D44330" w:rsidP="00FA00C9">
            <w:pPr>
              <w:pStyle w:val="Normal-pool-Table"/>
              <w:keepNext/>
              <w:keepLines/>
              <w:bidi/>
              <w:spacing w:line="280" w:lineRule="exact"/>
              <w:jc w:val="right"/>
              <w:rPr>
                <w:rFonts w:ascii="Simplified Arabic" w:hAnsi="Simplified Arabic" w:cs="Simplified Arabic"/>
                <w:color w:val="000000"/>
                <w:sz w:val="20"/>
                <w:rtl/>
              </w:rPr>
            </w:pPr>
          </w:p>
        </w:tc>
        <w:tc>
          <w:tcPr>
            <w:tcW w:w="1092" w:type="pct"/>
            <w:tcBorders>
              <w:top w:val="single" w:sz="12" w:space="0" w:color="auto"/>
            </w:tcBorders>
            <w:noWrap/>
            <w:vAlign w:val="center"/>
          </w:tcPr>
          <w:p w14:paraId="6DD981F3" w14:textId="77777777" w:rsidR="00D44330" w:rsidRPr="009B01ED" w:rsidRDefault="00D44330" w:rsidP="00FA00C9">
            <w:pPr>
              <w:pStyle w:val="Normal-pool-Table"/>
              <w:keepNext/>
              <w:keepLines/>
              <w:bidi/>
              <w:spacing w:line="280" w:lineRule="exact"/>
              <w:jc w:val="right"/>
              <w:rPr>
                <w:rFonts w:ascii="Simplified Arabic" w:hAnsi="Simplified Arabic" w:cs="Simplified Arabic"/>
                <w:color w:val="000000"/>
                <w:sz w:val="20"/>
                <w:rtl/>
              </w:rPr>
            </w:pPr>
          </w:p>
        </w:tc>
      </w:tr>
      <w:tr w:rsidR="00D44330" w:rsidRPr="00CC2E74" w14:paraId="1AB9A289" w14:textId="77777777" w:rsidTr="00CC2E74">
        <w:trPr>
          <w:trHeight w:val="65"/>
        </w:trPr>
        <w:tc>
          <w:tcPr>
            <w:tcW w:w="2816" w:type="pct"/>
            <w:noWrap/>
          </w:tcPr>
          <w:p w14:paraId="6059FEE7" w14:textId="77777777" w:rsidR="00D44330" w:rsidRPr="009B01ED" w:rsidRDefault="00D44330" w:rsidP="00FA00C9">
            <w:pPr>
              <w:pStyle w:val="Normal-pool-Table"/>
              <w:keepNext/>
              <w:keepLines/>
              <w:bidi/>
              <w:spacing w:line="280" w:lineRule="exact"/>
              <w:jc w:val="both"/>
              <w:textDirection w:val="tbRlV"/>
              <w:rPr>
                <w:rFonts w:ascii="Simplified Arabic" w:hAnsi="Simplified Arabic" w:cs="Simplified Arabic"/>
                <w:color w:val="000000"/>
                <w:sz w:val="20"/>
                <w:rtl/>
                <w:lang w:bidi="en-GB"/>
              </w:rPr>
            </w:pPr>
            <w:r w:rsidRPr="009B01ED">
              <w:rPr>
                <w:rFonts w:ascii="Simplified Arabic" w:hAnsi="Simplified Arabic" w:cs="Simplified Arabic"/>
                <w:color w:val="000000"/>
                <w:sz w:val="20"/>
                <w:rtl/>
              </w:rPr>
              <w:t>أنشطة مركبات الكربون الهيدروكلورية فلورية</w:t>
            </w:r>
          </w:p>
        </w:tc>
        <w:tc>
          <w:tcPr>
            <w:tcW w:w="1092" w:type="pct"/>
            <w:noWrap/>
            <w:vAlign w:val="center"/>
          </w:tcPr>
          <w:p w14:paraId="7794BAD5" w14:textId="77777777" w:rsidR="00D44330" w:rsidRPr="009B01ED" w:rsidRDefault="00D44330" w:rsidP="00FA00C9">
            <w:pPr>
              <w:pStyle w:val="Normal-pool-Table"/>
              <w:keepNext/>
              <w:keepLines/>
              <w:bidi/>
              <w:spacing w:line="280" w:lineRule="exact"/>
              <w:jc w:val="right"/>
              <w:rPr>
                <w:rFonts w:ascii="Simplified Arabic" w:hAnsi="Simplified Arabic" w:cs="Simplified Arabic"/>
                <w:color w:val="000000"/>
                <w:sz w:val="20"/>
                <w:rtl/>
              </w:rPr>
            </w:pPr>
            <w:r w:rsidRPr="009B01ED">
              <w:rPr>
                <w:rFonts w:ascii="Simplified Arabic" w:hAnsi="Simplified Arabic" w:cs="Simplified Arabic"/>
                <w:color w:val="000000"/>
                <w:sz w:val="20"/>
                <w:rtl/>
              </w:rPr>
              <w:sym w:font="Symbol" w:char="F02D"/>
            </w:r>
          </w:p>
        </w:tc>
        <w:tc>
          <w:tcPr>
            <w:tcW w:w="1092" w:type="pct"/>
            <w:noWrap/>
            <w:vAlign w:val="center"/>
          </w:tcPr>
          <w:p w14:paraId="1FD07232" w14:textId="77777777" w:rsidR="00D44330" w:rsidRPr="009B01ED" w:rsidRDefault="00D44330" w:rsidP="00FA00C9">
            <w:pPr>
              <w:pStyle w:val="Normal-pool-Table"/>
              <w:keepNext/>
              <w:keepLines/>
              <w:bidi/>
              <w:spacing w:line="280" w:lineRule="exact"/>
              <w:jc w:val="right"/>
              <w:rPr>
                <w:rFonts w:ascii="Simplified Arabic" w:hAnsi="Simplified Arabic" w:cs="Simplified Arabic"/>
                <w:color w:val="000000"/>
                <w:sz w:val="20"/>
                <w:rtl/>
              </w:rPr>
            </w:pPr>
            <w:r w:rsidRPr="009B01ED">
              <w:rPr>
                <w:rFonts w:ascii="Simplified Arabic" w:hAnsi="Simplified Arabic" w:cs="Simplified Arabic"/>
                <w:color w:val="000000"/>
                <w:sz w:val="20"/>
                <w:rtl/>
              </w:rPr>
              <w:sym w:font="Symbol" w:char="F02D"/>
            </w:r>
          </w:p>
        </w:tc>
      </w:tr>
      <w:tr w:rsidR="00D44330" w:rsidRPr="00CC2E74" w14:paraId="27C8C18A" w14:textId="77777777" w:rsidTr="00CC2E74">
        <w:trPr>
          <w:trHeight w:val="65"/>
        </w:trPr>
        <w:tc>
          <w:tcPr>
            <w:tcW w:w="2816" w:type="pct"/>
            <w:noWrap/>
          </w:tcPr>
          <w:p w14:paraId="5E9D285A" w14:textId="77777777" w:rsidR="00D44330" w:rsidRPr="009B01ED" w:rsidRDefault="00D44330" w:rsidP="00FA00C9">
            <w:pPr>
              <w:pStyle w:val="Normal-pool-Table"/>
              <w:keepNext/>
              <w:keepLines/>
              <w:bidi/>
              <w:spacing w:line="280" w:lineRule="exact"/>
              <w:jc w:val="both"/>
              <w:textDirection w:val="tbRlV"/>
              <w:rPr>
                <w:rFonts w:ascii="Simplified Arabic" w:hAnsi="Simplified Arabic" w:cs="Simplified Arabic"/>
                <w:color w:val="000000"/>
                <w:sz w:val="20"/>
                <w:rtl/>
                <w:lang w:bidi="en-GB"/>
              </w:rPr>
            </w:pPr>
            <w:r w:rsidRPr="009B01ED">
              <w:rPr>
                <w:rFonts w:ascii="Simplified Arabic" w:hAnsi="Simplified Arabic" w:cs="Simplified Arabic"/>
                <w:color w:val="000000"/>
                <w:sz w:val="20"/>
                <w:rtl/>
              </w:rPr>
              <w:t>أنشطة مركبات الكربون الهيدروفلورية</w:t>
            </w:r>
          </w:p>
        </w:tc>
        <w:tc>
          <w:tcPr>
            <w:tcW w:w="1092" w:type="pct"/>
            <w:noWrap/>
            <w:vAlign w:val="center"/>
          </w:tcPr>
          <w:p w14:paraId="4E21E294" w14:textId="77777777" w:rsidR="00D44330" w:rsidRPr="009B01ED" w:rsidRDefault="00D44330" w:rsidP="00FA00C9">
            <w:pPr>
              <w:pStyle w:val="Normal-pool-Table"/>
              <w:keepNext/>
              <w:keepLines/>
              <w:bidi/>
              <w:spacing w:line="280" w:lineRule="exact"/>
              <w:jc w:val="right"/>
              <w:rPr>
                <w:rFonts w:ascii="Simplified Arabic" w:hAnsi="Simplified Arabic" w:cs="Simplified Arabic"/>
                <w:color w:val="000000"/>
                <w:sz w:val="20"/>
                <w:rtl/>
              </w:rPr>
            </w:pPr>
            <w:r w:rsidRPr="009B01ED">
              <w:rPr>
                <w:rFonts w:ascii="Simplified Arabic" w:hAnsi="Simplified Arabic" w:cs="Simplified Arabic"/>
                <w:color w:val="000000"/>
                <w:sz w:val="20"/>
                <w:rtl/>
              </w:rPr>
              <w:t>488–503</w:t>
            </w:r>
          </w:p>
        </w:tc>
        <w:tc>
          <w:tcPr>
            <w:tcW w:w="1092" w:type="pct"/>
            <w:noWrap/>
            <w:vAlign w:val="center"/>
          </w:tcPr>
          <w:p w14:paraId="04FE3876" w14:textId="77777777" w:rsidR="00D44330" w:rsidRPr="009B01ED" w:rsidRDefault="00D44330" w:rsidP="00FA00C9">
            <w:pPr>
              <w:pStyle w:val="Normal-pool-Table"/>
              <w:keepNext/>
              <w:keepLines/>
              <w:bidi/>
              <w:spacing w:line="280" w:lineRule="exact"/>
              <w:jc w:val="right"/>
              <w:rPr>
                <w:rFonts w:ascii="Simplified Arabic" w:hAnsi="Simplified Arabic" w:cs="Simplified Arabic"/>
                <w:color w:val="000000"/>
                <w:sz w:val="20"/>
                <w:rtl/>
              </w:rPr>
            </w:pPr>
            <w:r w:rsidRPr="009B01ED">
              <w:rPr>
                <w:rFonts w:ascii="Simplified Arabic" w:hAnsi="Simplified Arabic" w:cs="Simplified Arabic"/>
                <w:color w:val="000000"/>
                <w:sz w:val="20"/>
                <w:rtl/>
              </w:rPr>
              <w:t>583–600</w:t>
            </w:r>
          </w:p>
        </w:tc>
      </w:tr>
      <w:tr w:rsidR="00D44330" w:rsidRPr="00CC2E74" w14:paraId="117E9BF8" w14:textId="77777777" w:rsidTr="00CC2E74">
        <w:trPr>
          <w:trHeight w:val="65"/>
        </w:trPr>
        <w:tc>
          <w:tcPr>
            <w:tcW w:w="2816" w:type="pct"/>
            <w:tcBorders>
              <w:bottom w:val="single" w:sz="4" w:space="0" w:color="auto"/>
            </w:tcBorders>
            <w:noWrap/>
            <w:vAlign w:val="center"/>
          </w:tcPr>
          <w:p w14:paraId="5BB58739" w14:textId="77777777" w:rsidR="00D44330" w:rsidRPr="009B01ED" w:rsidRDefault="00D44330" w:rsidP="00CC2E74">
            <w:pPr>
              <w:pStyle w:val="Normal-pool-Table"/>
              <w:keepNext/>
              <w:keepLines/>
              <w:bidi/>
              <w:spacing w:line="280" w:lineRule="exact"/>
              <w:jc w:val="both"/>
              <w:textDirection w:val="tbRlV"/>
              <w:rPr>
                <w:rFonts w:ascii="Simplified Arabic" w:hAnsi="Simplified Arabic" w:cs="Simplified Arabic"/>
                <w:color w:val="000000"/>
                <w:sz w:val="20"/>
                <w:rtl/>
                <w:lang w:bidi="en-GB"/>
              </w:rPr>
            </w:pPr>
            <w:r w:rsidRPr="009B01ED">
              <w:rPr>
                <w:rFonts w:ascii="Simplified Arabic" w:hAnsi="Simplified Arabic" w:cs="Simplified Arabic"/>
                <w:color w:val="000000"/>
                <w:sz w:val="20"/>
                <w:rtl/>
              </w:rPr>
              <w:t xml:space="preserve">تعزيز المؤسسات والأنشطة المعيارية </w:t>
            </w:r>
          </w:p>
        </w:tc>
        <w:tc>
          <w:tcPr>
            <w:tcW w:w="1092" w:type="pct"/>
            <w:tcBorders>
              <w:bottom w:val="single" w:sz="4" w:space="0" w:color="auto"/>
            </w:tcBorders>
            <w:noWrap/>
            <w:vAlign w:val="center"/>
          </w:tcPr>
          <w:p w14:paraId="5E118978" w14:textId="77777777" w:rsidR="00D44330" w:rsidRPr="009B01ED" w:rsidRDefault="00D44330" w:rsidP="009B01ED">
            <w:pPr>
              <w:pStyle w:val="Normal-pool-Table"/>
              <w:keepNext/>
              <w:keepLines/>
              <w:bidi/>
              <w:spacing w:line="280" w:lineRule="exact"/>
              <w:jc w:val="right"/>
              <w:textDirection w:val="tbRlV"/>
              <w:rPr>
                <w:rFonts w:ascii="Simplified Arabic" w:hAnsi="Simplified Arabic" w:cs="Simplified Arabic"/>
                <w:color w:val="000000"/>
                <w:sz w:val="20"/>
                <w:rtl/>
                <w:lang w:bidi="en-GB"/>
              </w:rPr>
            </w:pPr>
            <w:r w:rsidRPr="009B01ED">
              <w:rPr>
                <w:rFonts w:ascii="Simplified Arabic" w:hAnsi="Simplified Arabic" w:cs="Simplified Arabic"/>
                <w:color w:val="000000"/>
                <w:sz w:val="20"/>
                <w:rtl/>
              </w:rPr>
              <w:t>145</w:t>
            </w:r>
          </w:p>
        </w:tc>
        <w:tc>
          <w:tcPr>
            <w:tcW w:w="1092" w:type="pct"/>
            <w:tcBorders>
              <w:bottom w:val="single" w:sz="4" w:space="0" w:color="auto"/>
            </w:tcBorders>
            <w:noWrap/>
            <w:vAlign w:val="center"/>
          </w:tcPr>
          <w:p w14:paraId="61D3B2C8" w14:textId="77777777" w:rsidR="00D44330" w:rsidRPr="009B01ED" w:rsidRDefault="00D44330" w:rsidP="009B01ED">
            <w:pPr>
              <w:pStyle w:val="Normal-pool-Table"/>
              <w:keepNext/>
              <w:keepLines/>
              <w:bidi/>
              <w:spacing w:line="280" w:lineRule="exact"/>
              <w:jc w:val="right"/>
              <w:textDirection w:val="tbRlV"/>
              <w:rPr>
                <w:rFonts w:ascii="Simplified Arabic" w:hAnsi="Simplified Arabic" w:cs="Simplified Arabic"/>
                <w:color w:val="000000"/>
                <w:sz w:val="20"/>
                <w:rtl/>
                <w:lang w:bidi="en-GB"/>
              </w:rPr>
            </w:pPr>
            <w:r w:rsidRPr="009B01ED">
              <w:rPr>
                <w:rFonts w:ascii="Simplified Arabic" w:hAnsi="Simplified Arabic" w:cs="Simplified Arabic"/>
                <w:color w:val="000000"/>
                <w:sz w:val="20"/>
                <w:rtl/>
              </w:rPr>
              <w:t>145</w:t>
            </w:r>
          </w:p>
        </w:tc>
      </w:tr>
      <w:tr w:rsidR="00D44330" w:rsidRPr="00CC2E74" w14:paraId="63F0625C" w14:textId="77777777" w:rsidTr="00CC2E74">
        <w:trPr>
          <w:trHeight w:val="65"/>
        </w:trPr>
        <w:tc>
          <w:tcPr>
            <w:tcW w:w="2816" w:type="pct"/>
            <w:tcBorders>
              <w:top w:val="single" w:sz="4" w:space="0" w:color="auto"/>
              <w:bottom w:val="single" w:sz="12" w:space="0" w:color="auto"/>
            </w:tcBorders>
            <w:noWrap/>
          </w:tcPr>
          <w:p w14:paraId="41322F7E" w14:textId="77777777" w:rsidR="00D44330" w:rsidRPr="00D06E12" w:rsidRDefault="00D44330" w:rsidP="00CC2E74">
            <w:pPr>
              <w:pStyle w:val="Normal-pool-Table"/>
              <w:keepNext/>
              <w:keepLines/>
              <w:bidi/>
              <w:spacing w:line="280" w:lineRule="exact"/>
              <w:jc w:val="both"/>
              <w:textDirection w:val="tbRlV"/>
              <w:rPr>
                <w:rFonts w:ascii="Simplified Arabic" w:hAnsi="Simplified Arabic" w:cs="Simplified Arabic"/>
                <w:b/>
                <w:bCs/>
                <w:color w:val="000000"/>
                <w:sz w:val="20"/>
                <w:rtl/>
                <w:lang w:bidi="en-GB"/>
              </w:rPr>
            </w:pPr>
            <w:r w:rsidRPr="00D06E12">
              <w:rPr>
                <w:rFonts w:ascii="Simplified Arabic" w:hAnsi="Simplified Arabic" w:cs="Simplified Arabic"/>
                <w:b/>
                <w:bCs/>
                <w:color w:val="000000"/>
                <w:sz w:val="20"/>
                <w:rtl/>
              </w:rPr>
              <w:t>المجموع</w:t>
            </w:r>
          </w:p>
        </w:tc>
        <w:tc>
          <w:tcPr>
            <w:tcW w:w="1092" w:type="pct"/>
            <w:tcBorders>
              <w:top w:val="single" w:sz="4" w:space="0" w:color="auto"/>
              <w:bottom w:val="single" w:sz="12" w:space="0" w:color="auto"/>
            </w:tcBorders>
            <w:noWrap/>
            <w:vAlign w:val="center"/>
          </w:tcPr>
          <w:p w14:paraId="3D54C9AB" w14:textId="77777777" w:rsidR="00D44330" w:rsidRPr="00D06E12" w:rsidRDefault="00D44330" w:rsidP="009B01ED">
            <w:pPr>
              <w:pStyle w:val="Normal-pool-Table"/>
              <w:keepNext/>
              <w:keepLines/>
              <w:bidi/>
              <w:spacing w:line="280" w:lineRule="exact"/>
              <w:jc w:val="right"/>
              <w:rPr>
                <w:rFonts w:ascii="Simplified Arabic" w:hAnsi="Simplified Arabic" w:cs="Simplified Arabic"/>
                <w:b/>
                <w:bCs/>
                <w:color w:val="000000"/>
                <w:sz w:val="20"/>
                <w:rtl/>
              </w:rPr>
            </w:pPr>
            <w:r w:rsidRPr="00D06E12">
              <w:rPr>
                <w:rFonts w:ascii="Simplified Arabic" w:hAnsi="Simplified Arabic" w:cs="Simplified Arabic"/>
                <w:b/>
                <w:bCs/>
                <w:color w:val="000000"/>
                <w:sz w:val="20"/>
                <w:rtl/>
              </w:rPr>
              <w:t>633–648</w:t>
            </w:r>
          </w:p>
        </w:tc>
        <w:tc>
          <w:tcPr>
            <w:tcW w:w="1092" w:type="pct"/>
            <w:tcBorders>
              <w:top w:val="single" w:sz="4" w:space="0" w:color="auto"/>
              <w:bottom w:val="single" w:sz="12" w:space="0" w:color="auto"/>
            </w:tcBorders>
            <w:noWrap/>
            <w:vAlign w:val="center"/>
          </w:tcPr>
          <w:p w14:paraId="78C9773D" w14:textId="77777777" w:rsidR="00D44330" w:rsidRPr="00D06E12" w:rsidRDefault="00D44330" w:rsidP="009B01ED">
            <w:pPr>
              <w:pStyle w:val="Normal-pool-Table"/>
              <w:keepNext/>
              <w:keepLines/>
              <w:bidi/>
              <w:spacing w:line="280" w:lineRule="exact"/>
              <w:jc w:val="right"/>
              <w:rPr>
                <w:rFonts w:ascii="Simplified Arabic" w:hAnsi="Simplified Arabic" w:cs="Simplified Arabic"/>
                <w:b/>
                <w:bCs/>
                <w:color w:val="000000"/>
                <w:sz w:val="20"/>
                <w:rtl/>
              </w:rPr>
            </w:pPr>
            <w:r w:rsidRPr="00D06E12">
              <w:rPr>
                <w:rFonts w:ascii="Simplified Arabic" w:hAnsi="Simplified Arabic" w:cs="Simplified Arabic"/>
                <w:b/>
                <w:bCs/>
                <w:color w:val="000000"/>
                <w:sz w:val="20"/>
                <w:rtl/>
              </w:rPr>
              <w:t>728–745</w:t>
            </w:r>
          </w:p>
        </w:tc>
      </w:tr>
    </w:tbl>
    <w:p w14:paraId="765D8163" w14:textId="7F8BBAB6" w:rsidR="00D44330" w:rsidRPr="00087C24" w:rsidRDefault="00D44330" w:rsidP="002778FE">
      <w:pPr>
        <w:pStyle w:val="Normal-pool"/>
        <w:bidi/>
        <w:spacing w:after="40" w:line="280" w:lineRule="exact"/>
        <w:ind w:left="1843"/>
        <w:jc w:val="both"/>
        <w:textDirection w:val="tbRlV"/>
        <w:rPr>
          <w:rFonts w:ascii="Simplified Arabic" w:hAnsi="Simplified Arabic" w:cs="Simplified Arabic"/>
          <w:lang w:bidi="en-GB"/>
        </w:rPr>
      </w:pPr>
      <w:bookmarkStart w:id="3" w:name="_Hlk42177853"/>
      <w:r w:rsidRPr="00CC2E74">
        <w:rPr>
          <w:rFonts w:ascii="Simplified Arabic" w:hAnsi="Simplified Arabic" w:cs="Simplified Arabic"/>
          <w:rtl/>
        </w:rPr>
        <w:t>(أ)</w:t>
      </w:r>
      <w:r w:rsidR="005500AB" w:rsidRPr="00CC2E74">
        <w:rPr>
          <w:rFonts w:ascii="Simplified Arabic" w:hAnsi="Simplified Arabic" w:cs="Simplified Arabic"/>
        </w:rPr>
        <w:t xml:space="preserve"> </w:t>
      </w:r>
      <w:r w:rsidRPr="00CC2E74">
        <w:rPr>
          <w:rFonts w:ascii="Simplified Arabic" w:hAnsi="Simplified Arabic" w:cs="Simplified Arabic"/>
          <w:rtl/>
        </w:rPr>
        <w:t>يُحسب نطاق الحد الأدنى استنادًا إلى السيناريوهين التاليين:</w:t>
      </w:r>
    </w:p>
    <w:p w14:paraId="7C39B26A" w14:textId="77777777" w:rsidR="00D44330" w:rsidRPr="00CC2E74" w:rsidRDefault="00D44330" w:rsidP="00CC2E74">
      <w:pPr>
        <w:pStyle w:val="Normal-pool"/>
        <w:numPr>
          <w:ilvl w:val="0"/>
          <w:numId w:val="34"/>
        </w:numPr>
        <w:tabs>
          <w:tab w:val="clear" w:pos="624"/>
          <w:tab w:val="clear" w:pos="1247"/>
          <w:tab w:val="clear" w:pos="1871"/>
          <w:tab w:val="clear" w:pos="2495"/>
          <w:tab w:val="clear" w:pos="3119"/>
          <w:tab w:val="clear" w:pos="3742"/>
          <w:tab w:val="clear" w:pos="4366"/>
          <w:tab w:val="clear" w:pos="4990"/>
          <w:tab w:val="left" w:pos="2977"/>
        </w:tabs>
        <w:bidi/>
        <w:spacing w:after="40" w:line="280" w:lineRule="exact"/>
        <w:ind w:left="1843" w:firstLine="709"/>
        <w:jc w:val="both"/>
        <w:textDirection w:val="tbRlV"/>
        <w:rPr>
          <w:rFonts w:ascii="Simplified Arabic" w:hAnsi="Simplified Arabic" w:cs="Simplified Arabic"/>
          <w:rtl/>
          <w:lang w:val="ar-SA" w:eastAsia="zh-TW" w:bidi="en-GB"/>
        </w:rPr>
      </w:pPr>
      <w:r w:rsidRPr="00CC2E74">
        <w:rPr>
          <w:rFonts w:ascii="Simplified Arabic" w:hAnsi="Simplified Arabic" w:cs="Simplified Arabic"/>
          <w:rtl/>
        </w:rPr>
        <w:t xml:space="preserve">السيناريو 1 الخاص بمركبات الكربون الهيدروكلورية فلورية (العتبات التاريخية لفعالية التكلفة في قطاعات التصنيع) مع تخصيص ما نسبته 90 في المئة من التمويل خلال فترة الثلاث سنوات 2027–2029 و10 في المئة خلال فترة الثلاث سنوات 2030–2032؛ </w:t>
      </w:r>
    </w:p>
    <w:p w14:paraId="4C7E8BA9" w14:textId="30041E1C" w:rsidR="00D44330" w:rsidRPr="00CD2EFE" w:rsidRDefault="00D44330" w:rsidP="005874BA">
      <w:pPr>
        <w:pStyle w:val="Normal-pool"/>
        <w:numPr>
          <w:ilvl w:val="0"/>
          <w:numId w:val="34"/>
        </w:numPr>
        <w:tabs>
          <w:tab w:val="clear" w:pos="624"/>
          <w:tab w:val="clear" w:pos="1247"/>
          <w:tab w:val="clear" w:pos="1871"/>
          <w:tab w:val="clear" w:pos="2495"/>
          <w:tab w:val="clear" w:pos="3119"/>
          <w:tab w:val="clear" w:pos="3742"/>
          <w:tab w:val="clear" w:pos="4366"/>
          <w:tab w:val="clear" w:pos="4990"/>
          <w:tab w:val="left" w:pos="2977"/>
        </w:tabs>
        <w:bidi/>
        <w:spacing w:after="40" w:line="280" w:lineRule="exact"/>
        <w:ind w:left="1843" w:firstLine="709"/>
        <w:jc w:val="lowKashida"/>
        <w:textDirection w:val="tbRlV"/>
        <w:rPr>
          <w:rFonts w:ascii="Simplified Arabic" w:hAnsi="Simplified Arabic" w:cs="Simplified Arabic"/>
          <w:w w:val="101"/>
          <w:rtl/>
          <w:lang w:val="ar-SA" w:eastAsia="zh-TW" w:bidi="en-GB"/>
        </w:rPr>
      </w:pPr>
      <w:r w:rsidRPr="00CD2EFE">
        <w:rPr>
          <w:rFonts w:ascii="Simplified Arabic" w:hAnsi="Simplified Arabic" w:cs="Simplified Arabic"/>
          <w:w w:val="101"/>
          <w:rtl/>
        </w:rPr>
        <w:t>فيما يخص مركبات الكربون الهيدروفلورية، يقدر نطاق التكاليف الإجمالية باستخدام سيناريوهين: السيناريو 1 الخاص بمركبات الكربون الهيدروفلورية (المبادئ التوجيهية المتعلقة بالتكاليف أو عتبات فعالية التكلفة المستمدة من آراء الخبراء دون أخذ الشركات الصغيرة والمتوسطة في الاعتبار) والسيناريو 2 الخاص بمركبات الكربون الهيدروفلورية (المبادئ التوجيهية المتعلقة بالتكاليف أو عتبات فعالية التكلفة المستمدة من آراء الخبراء مع أخذ الشركات الصغيرة والمتوسطة في الاعتبار) مع تخصيص الموارد في الجدول ألف (نهج التمويل الذي يركز على المراحل الأولى).</w:t>
      </w:r>
    </w:p>
    <w:p w14:paraId="2DC0B5AD" w14:textId="7BA728AF" w:rsidR="00D44330" w:rsidRPr="00CC2E74" w:rsidRDefault="00D44330" w:rsidP="002778FE">
      <w:pPr>
        <w:pStyle w:val="Normal-pool"/>
        <w:bidi/>
        <w:spacing w:after="40" w:line="280" w:lineRule="exact"/>
        <w:ind w:left="1843"/>
        <w:jc w:val="both"/>
        <w:textDirection w:val="tbRlV"/>
        <w:rPr>
          <w:rFonts w:ascii="Simplified Arabic" w:hAnsi="Simplified Arabic" w:cs="Simplified Arabic"/>
          <w:rtl/>
          <w:lang w:bidi="en-GB"/>
        </w:rPr>
      </w:pPr>
      <w:r w:rsidRPr="00CC2E74">
        <w:rPr>
          <w:rFonts w:ascii="Simplified Arabic" w:hAnsi="Simplified Arabic" w:cs="Simplified Arabic"/>
          <w:rtl/>
        </w:rPr>
        <w:t>(ب) يُحسب نطاق الحد الأعلى استنادًا إلى السيناريوهين التاليين:</w:t>
      </w:r>
    </w:p>
    <w:p w14:paraId="55067B2C" w14:textId="77777777" w:rsidR="00D44330" w:rsidRPr="00CC2E74" w:rsidRDefault="00D44330" w:rsidP="00CC2E74">
      <w:pPr>
        <w:pStyle w:val="Normal-pool"/>
        <w:numPr>
          <w:ilvl w:val="0"/>
          <w:numId w:val="41"/>
        </w:numPr>
        <w:tabs>
          <w:tab w:val="clear" w:pos="624"/>
          <w:tab w:val="clear" w:pos="1247"/>
          <w:tab w:val="clear" w:pos="1871"/>
          <w:tab w:val="clear" w:pos="2495"/>
          <w:tab w:val="clear" w:pos="3119"/>
          <w:tab w:val="clear" w:pos="3742"/>
          <w:tab w:val="clear" w:pos="4366"/>
          <w:tab w:val="clear" w:pos="4990"/>
          <w:tab w:val="left" w:pos="2977"/>
        </w:tabs>
        <w:bidi/>
        <w:spacing w:after="40" w:line="280" w:lineRule="exact"/>
        <w:ind w:left="1843" w:firstLine="709"/>
        <w:jc w:val="both"/>
        <w:textDirection w:val="tbRlV"/>
        <w:rPr>
          <w:rFonts w:ascii="Simplified Arabic" w:hAnsi="Simplified Arabic" w:cs="Simplified Arabic"/>
          <w:rtl/>
          <w:lang w:bidi="en-GB"/>
        </w:rPr>
      </w:pPr>
      <w:r w:rsidRPr="00CC2E74">
        <w:rPr>
          <w:rFonts w:ascii="Simplified Arabic" w:hAnsi="Simplified Arabic" w:cs="Simplified Arabic"/>
          <w:rtl/>
        </w:rPr>
        <w:t xml:space="preserve">السيناريو 2 الخاص بمركبات الكربون الهيدروكلورية فلورية (عتبات فعالية التكلفة المطبقة وفقاً للمبادئ التوجيهية المتعلقة بالتكاليف في قطاعات التصنيع) مع تخصيص ما نسبته 90 في المئة من التمويل خلال فترة الثلاث سنوات 2027–2029 و10 في المئة خلال فترة الثلاث سنوات 2030–2032؛ </w:t>
      </w:r>
    </w:p>
    <w:p w14:paraId="74B03234" w14:textId="38EA5E6C" w:rsidR="00D44330" w:rsidRPr="00CD2EFE" w:rsidRDefault="00D44330" w:rsidP="005874BA">
      <w:pPr>
        <w:pStyle w:val="Normal-pool"/>
        <w:numPr>
          <w:ilvl w:val="0"/>
          <w:numId w:val="41"/>
        </w:numPr>
        <w:tabs>
          <w:tab w:val="clear" w:pos="624"/>
          <w:tab w:val="clear" w:pos="1247"/>
          <w:tab w:val="clear" w:pos="1871"/>
          <w:tab w:val="clear" w:pos="2495"/>
          <w:tab w:val="clear" w:pos="3119"/>
          <w:tab w:val="clear" w:pos="3742"/>
          <w:tab w:val="clear" w:pos="4366"/>
          <w:tab w:val="clear" w:pos="4990"/>
          <w:tab w:val="left" w:pos="2977"/>
        </w:tabs>
        <w:bidi/>
        <w:spacing w:after="120" w:line="280" w:lineRule="exact"/>
        <w:ind w:left="1843" w:firstLine="709"/>
        <w:jc w:val="lowKashida"/>
        <w:textDirection w:val="tbRlV"/>
        <w:rPr>
          <w:rFonts w:ascii="Simplified Arabic" w:hAnsi="Simplified Arabic" w:cs="Simplified Arabic"/>
          <w:w w:val="101"/>
          <w:rtl/>
          <w:lang w:bidi="en-GB"/>
        </w:rPr>
      </w:pPr>
      <w:r w:rsidRPr="00CD2EFE">
        <w:rPr>
          <w:rFonts w:ascii="Simplified Arabic" w:hAnsi="Simplified Arabic" w:cs="Simplified Arabic"/>
          <w:w w:val="101"/>
          <w:rtl/>
        </w:rPr>
        <w:t>فيما يخص مركبات الكربون الهيدروفلورية، يقدر نطاق التكاليف الإجمالية باستخدام سيناريوهين: السيناريو 1 الخاص بمركبات الكربون الهيدروفلورية والسيناريو 2 الخاص بمركبات الكربون الهيدروفلورية مع تخصيص الموارد في الجدول باء (نهج التمويل التدريجي).</w:t>
      </w:r>
    </w:p>
    <w:p w14:paraId="2682F253" w14:textId="77777777" w:rsidR="00D44330" w:rsidRPr="00984A76" w:rsidRDefault="00D44330" w:rsidP="008C39C2">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jc w:val="lowKashida"/>
        <w:textDirection w:val="tbRlV"/>
        <w:rPr>
          <w:rFonts w:cs="Simplified Arabic"/>
          <w:szCs w:val="24"/>
        </w:rPr>
      </w:pPr>
      <w:r w:rsidRPr="00984A76">
        <w:rPr>
          <w:rFonts w:cs="Simplified Arabic"/>
          <w:szCs w:val="24"/>
          <w:rtl/>
        </w:rPr>
        <w:t xml:space="preserve">وقد يرغب الفريق العامل المفتوح العضوية في النظر في العمل الأولي لفرقة العمل. وكما جرت العادة، قد ترغب الأطراف في مناقشة المعلومات الإضافية التي سيتم تضمينها في التقرير التكميلي الذي قد تعده فرقة العمل قبل انعقاد الاجتماع الثامن والثلاثين للأطراف، والاتفاق عليها. </w:t>
      </w:r>
    </w:p>
    <w:bookmarkEnd w:id="3"/>
    <w:p w14:paraId="08971054" w14:textId="163DE1D8" w:rsidR="00D44330" w:rsidRPr="002C7B46" w:rsidRDefault="00D44330" w:rsidP="00984A76">
      <w:pPr>
        <w:pStyle w:val="CH2"/>
        <w:bidi/>
        <w:spacing w:before="0" w:line="360" w:lineRule="exact"/>
        <w:ind w:left="1134" w:right="0" w:firstLine="0"/>
        <w:jc w:val="both"/>
        <w:textDirection w:val="tbRlV"/>
        <w:rPr>
          <w:rFonts w:ascii="Simplified Arabic" w:hAnsi="Simplified Arabic" w:cs="Simplified Arabic"/>
          <w:sz w:val="26"/>
          <w:szCs w:val="26"/>
          <w:lang w:val="ar-SA" w:eastAsia="zh-TW" w:bidi="en-GB"/>
        </w:rPr>
      </w:pPr>
      <w:r w:rsidRPr="002C7B46">
        <w:rPr>
          <w:rFonts w:ascii="Simplified Arabic" w:hAnsi="Simplified Arabic" w:cs="Simplified Arabic"/>
          <w:bCs/>
          <w:sz w:val="26"/>
          <w:szCs w:val="26"/>
          <w:rtl/>
        </w:rPr>
        <w:t>البند 4 من جدول الأعمال</w:t>
      </w:r>
    </w:p>
    <w:p w14:paraId="265A2682" w14:textId="2F479168" w:rsidR="00D44330" w:rsidRPr="00984A76" w:rsidRDefault="00D44330" w:rsidP="00984A76">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bidi/>
        <w:spacing w:after="120" w:line="360" w:lineRule="exact"/>
        <w:ind w:left="1134"/>
        <w:jc w:val="both"/>
        <w:textDirection w:val="tbRlV"/>
        <w:rPr>
          <w:rFonts w:ascii="Simplified Arabic" w:hAnsi="Simplified Arabic" w:hint="default"/>
          <w:b/>
          <w:sz w:val="24"/>
          <w:szCs w:val="24"/>
          <w:lang w:val="ar-SA" w:eastAsia="zh-TW" w:bidi="en-GB"/>
        </w:rPr>
      </w:pPr>
      <w:r w:rsidRPr="00984A76">
        <w:rPr>
          <w:rFonts w:ascii="Simplified Arabic" w:hAnsi="Simplified Arabic" w:hint="default"/>
          <w:b/>
          <w:bCs/>
          <w:sz w:val="24"/>
          <w:szCs w:val="24"/>
          <w:rtl/>
        </w:rPr>
        <w:t>عروض من فريق التقييم التكنولوجي والاقتصادي بشأن تقريره المرحلي لعام 2026</w:t>
      </w:r>
    </w:p>
    <w:p w14:paraId="6B840158" w14:textId="77777777" w:rsidR="00D44330" w:rsidRPr="00984A76" w:rsidRDefault="00D44330" w:rsidP="00984A76">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textDirection w:val="tbRlV"/>
        <w:rPr>
          <w:rFonts w:cs="Simplified Arabic"/>
          <w:szCs w:val="24"/>
        </w:rPr>
      </w:pPr>
      <w:r w:rsidRPr="00984A76">
        <w:rPr>
          <w:rFonts w:cs="Simplified Arabic"/>
          <w:szCs w:val="24"/>
          <w:rtl/>
        </w:rPr>
        <w:t>ستنظر الأطراف، في إطار البند 4 من جدول الأعمال المؤقت، في المعلومات المقدمة من فريق التقييم التكنولوجي والاقتصادي في تقريره المرحلي لعام 2026</w:t>
      </w:r>
      <w:r w:rsidRPr="00984A76">
        <w:rPr>
          <w:rFonts w:cs="Simplified Arabic"/>
          <w:szCs w:val="24"/>
          <w:vertAlign w:val="superscript"/>
          <w:rtl/>
        </w:rPr>
        <w:t>(</w:t>
      </w:r>
      <w:r w:rsidRPr="00984A76">
        <w:rPr>
          <w:rFonts w:cs="Simplified Arabic"/>
          <w:szCs w:val="24"/>
          <w:vertAlign w:val="superscript"/>
          <w:rtl/>
        </w:rPr>
        <w:footnoteReference w:id="7"/>
      </w:r>
      <w:r w:rsidRPr="00984A76">
        <w:rPr>
          <w:rFonts w:cs="Simplified Arabic"/>
          <w:szCs w:val="24"/>
          <w:vertAlign w:val="superscript"/>
          <w:rtl/>
        </w:rPr>
        <w:t>)</w:t>
      </w:r>
      <w:r w:rsidRPr="00984A76">
        <w:rPr>
          <w:rFonts w:cs="Simplified Arabic"/>
          <w:szCs w:val="24"/>
          <w:rtl/>
        </w:rPr>
        <w:t xml:space="preserve">، الذي يتضمن تقارير مرحلية صادرة عن لجان الخيارات التقنية التابعة له؛ والإجراءات المتخذة استجابةً لمقررات اجتماعات الأطراف المتعلقة بالهالون 1301 ومواد أخرى </w:t>
      </w:r>
      <w:r w:rsidRPr="00984A76">
        <w:rPr>
          <w:rFonts w:cs="Simplified Arabic"/>
          <w:szCs w:val="24"/>
          <w:rtl/>
        </w:rPr>
        <w:lastRenderedPageBreak/>
        <w:t xml:space="preserve">خاضعة للرقابة مستخدمة في إخماد الحرائق (المقرر 37/4)؛ والبخاخات المحددة الجرعات المحتوية على مواد دافعة منخفضة القدرة على إحداث الاحترار العالمي (المقرر 36/6)؛ وخيارات لتنظيم الفريق ولجان الخيارات التقنية التابعة له (المقرر 35/20)؛ والتغييرات في عضوية الفريق؛ وغير ذلك من المسائل، بما في ذلك تقييم تقنية التدمير التي قدمتها كندا والمعلومات المحدثة بشأن المواد الألكيلية البيرفلورية والمتعددة الفلور. </w:t>
      </w:r>
    </w:p>
    <w:p w14:paraId="42348F0B" w14:textId="77777777" w:rsidR="00D44330" w:rsidRPr="00984A76" w:rsidRDefault="00D44330" w:rsidP="00984A76">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textDirection w:val="tbRlV"/>
        <w:rPr>
          <w:rFonts w:cs="Simplified Arabic"/>
          <w:szCs w:val="24"/>
        </w:rPr>
      </w:pPr>
      <w:r w:rsidRPr="00984A76">
        <w:rPr>
          <w:rFonts w:cs="Simplified Arabic"/>
          <w:szCs w:val="24"/>
          <w:rtl/>
        </w:rPr>
        <w:t xml:space="preserve">وقد أُدرجت الرسائل الرئيسية المستمدة من التقارير المرحلية للجان الخيارات التقنية، على النحو الوارد في التقرير المرحلي للفريق، في المرفق الأول لهذه الإضافة، دون أي تنقيح رسمي. وتجنباً للتكرار، حُذفت الأجزاء من الرسائل الرئيسية المتعلقة بالمقررات 37/4 و36/6 و35/20، فضلاً عن المعلومات المتعلقة بالمسائل الرئيسية الأخرى، من المرفق 1، ولم يتم تناولها إلا في الأقسام الفرعية (أ) و(ب) و(ج) و(هـ) أدناه. </w:t>
      </w:r>
    </w:p>
    <w:p w14:paraId="75607F6C" w14:textId="49E32ACA" w:rsidR="00D44330" w:rsidRPr="00984A76" w:rsidRDefault="00D44330" w:rsidP="002C7B46">
      <w:pPr>
        <w:pStyle w:val="CH3"/>
        <w:numPr>
          <w:ilvl w:val="0"/>
          <w:numId w:val="40"/>
        </w:numPr>
        <w:tabs>
          <w:tab w:val="clear" w:pos="851"/>
          <w:tab w:val="clear" w:pos="1247"/>
          <w:tab w:val="clear" w:pos="1871"/>
          <w:tab w:val="clear" w:pos="2495"/>
          <w:tab w:val="clear" w:pos="3119"/>
          <w:tab w:val="clear" w:pos="3742"/>
          <w:tab w:val="clear" w:pos="4366"/>
          <w:tab w:val="clear" w:pos="4990"/>
        </w:tabs>
        <w:bidi/>
        <w:spacing w:before="0" w:line="360" w:lineRule="exact"/>
        <w:ind w:left="1135" w:right="0" w:hanging="851"/>
        <w:jc w:val="both"/>
        <w:textDirection w:val="tbRlV"/>
        <w:rPr>
          <w:rFonts w:ascii="Simplified Arabic" w:hAnsi="Simplified Arabic" w:cs="Simplified Arabic"/>
          <w:sz w:val="24"/>
          <w:szCs w:val="24"/>
          <w:rtl/>
          <w:lang w:val="ar-SA" w:eastAsia="zh-TW" w:bidi="en-GB"/>
        </w:rPr>
      </w:pPr>
      <w:r w:rsidRPr="00984A76">
        <w:rPr>
          <w:rFonts w:ascii="Simplified Arabic" w:hAnsi="Simplified Arabic" w:cs="Simplified Arabic"/>
          <w:bCs/>
          <w:sz w:val="24"/>
          <w:szCs w:val="24"/>
          <w:rtl/>
        </w:rPr>
        <w:t>الهالون 1301 واستمرار استخدامه في صناعة الطيران؛</w:t>
      </w:r>
      <w:r w:rsidRPr="00984A76">
        <w:rPr>
          <w:rFonts w:ascii="Simplified Arabic" w:hAnsi="Simplified Arabic" w:cs="Simplified Arabic"/>
          <w:sz w:val="24"/>
          <w:szCs w:val="24"/>
          <w:rtl/>
        </w:rPr>
        <w:t xml:space="preserve"> </w:t>
      </w:r>
      <w:r w:rsidRPr="00984A76">
        <w:rPr>
          <w:rFonts w:ascii="Simplified Arabic" w:hAnsi="Simplified Arabic" w:cs="Simplified Arabic"/>
          <w:bCs/>
          <w:sz w:val="24"/>
          <w:szCs w:val="24"/>
          <w:rtl/>
        </w:rPr>
        <w:t>وإدارة المواد الأخرى الخاضعة للرقابة المستخدمة في إخماد الحرائق (المقرر 37/4)</w:t>
      </w:r>
    </w:p>
    <w:p w14:paraId="120537B1" w14:textId="33CB856C" w:rsidR="00D44330" w:rsidRPr="00984A76" w:rsidRDefault="00D44330" w:rsidP="00984A76">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textDirection w:val="tbRlV"/>
        <w:rPr>
          <w:rFonts w:cs="Simplified Arabic"/>
          <w:szCs w:val="24"/>
        </w:rPr>
      </w:pPr>
      <w:r w:rsidRPr="00984A76">
        <w:rPr>
          <w:rFonts w:cs="Simplified Arabic"/>
          <w:szCs w:val="24"/>
          <w:rtl/>
        </w:rPr>
        <w:t xml:space="preserve">كما ورد في مذكرة الأمانة </w:t>
      </w:r>
      <w:r w:rsidR="001F230D">
        <w:rPr>
          <w:rFonts w:cs="Simplified Arabic" w:hint="cs"/>
          <w:szCs w:val="24"/>
          <w:rtl/>
        </w:rPr>
        <w:t>(</w:t>
      </w:r>
      <w:r w:rsidRPr="00020BFA">
        <w:rPr>
          <w:rFonts w:asciiTheme="majorBidi" w:hAnsiTheme="majorBidi" w:cstheme="majorBidi"/>
          <w:sz w:val="22"/>
          <w:szCs w:val="22"/>
        </w:rPr>
        <w:t>UNEP/OzL.Pro.WG.1/48/2</w:t>
      </w:r>
      <w:r w:rsidRPr="00984A76">
        <w:rPr>
          <w:rFonts w:cs="Simplified Arabic"/>
          <w:szCs w:val="24"/>
          <w:rtl/>
        </w:rPr>
        <w:t xml:space="preserve">، الفقرات 10–15)، طلب الاجتماع السابع والثلاثون للأطراف، في مقرره 37/4، إلى الأمانة أن تتواصل مع أمانة منظمة الطيران المدني الدولي بشأن مسألة عوامل إخماد الحرائق الخاضعة للرقابة بموجب بروتوكول مونتريال، وأن تيسر تبادل المعلومات بين فريق التقييم التكنولوجي والاقتصادي، من خلال لجنة الخيارات التقنية لإخماد الحرائق التابعة له، واللجان التقنية وأفرقة العمل ذات الصلة التابعة لمنظمة الطيران المدني الدولي من أجل تمكين الفريق من تقديم تقرير إلى الأطراف عن توافر الهالونات والتوزيع العالمي لأرصدة الهالونات قبل انعقاد الاجتماع الثامن والأربعين للفريق العامل المفتوح العضوية. ويرد رد الفريق، الذي أعدته لجنة الخيارات التقنية لإخماد الحرائق، في الفرع 3-8 من تقريره المرحلي. ويرد موجز في الفقرات التالية. </w:t>
      </w:r>
    </w:p>
    <w:p w14:paraId="6D3632AD" w14:textId="77777777" w:rsidR="00D44330" w:rsidRPr="00984A76" w:rsidRDefault="00D44330" w:rsidP="00984A76">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textDirection w:val="tbRlV"/>
        <w:rPr>
          <w:rFonts w:cs="Simplified Arabic"/>
          <w:szCs w:val="24"/>
        </w:rPr>
      </w:pPr>
      <w:r w:rsidRPr="00984A76">
        <w:rPr>
          <w:rFonts w:cs="Simplified Arabic"/>
          <w:szCs w:val="24"/>
          <w:rtl/>
        </w:rPr>
        <w:t xml:space="preserve">ورداً على رسالة الأمانة الموجهة إلى منظمة الطيران المدني الدولي بتاريخ 4 شباط/فبراير 2026، والمشار إليها في مذكرة الأمانة، عينت أمانة منظمة الطيران المدني الدولي، في رسالة مؤرخة 29 نيسان/أبريل 2026، رئيس قسم أمان التشغيل بإدارة الملاحة الجوية كجهة اتصال معنية بالمسائل المتعلقة بإدارة الهالونات وبدائلها في مجال الطيران المدني. وأشارت الرسالة أيضًا إلى قرار منظمة الطيران المدني الدولي </w:t>
      </w:r>
      <w:r w:rsidRPr="001F230D">
        <w:rPr>
          <w:rFonts w:asciiTheme="majorBidi" w:hAnsiTheme="majorBidi" w:cstheme="majorBidi"/>
          <w:sz w:val="22"/>
          <w:szCs w:val="22"/>
          <w:rtl/>
        </w:rPr>
        <w:t>A42-11</w:t>
      </w:r>
      <w:r w:rsidRPr="00984A76">
        <w:rPr>
          <w:rFonts w:cs="Simplified Arabic"/>
          <w:szCs w:val="24"/>
          <w:rtl/>
        </w:rPr>
        <w:t xml:space="preserve"> بشأن استبدال الهالونات، الذي اعتمدته جمعية منظمة الطيران المدني الدولي في دورتها الثانية والأربعين، التي عُقدت في مونتريال، كندا في الفترة من 23 أيلول/سبتمبر إلى 3 تشرين الأول/أكتوبر 2025. وعلى وجه الخصوص، أُشير إلى الفقرة 6 من القرار، التي شُجعت فيها الدول على التواصل، بمساعدة منظمة الطيران المدني الدولي، مع أمانة الأوزون وفريق التقييم التكنولوجي والاقتصادي ولجنة الخيارات التقنية لإخماد الحرائق التابعة له، من أجل تقييم احتياطيات الهالونات العالمية ودعم الإدارة المستدامة لأرصدة الهالونات الحالية، بما في ذلك ترشيح للاستخدامات الضرورية للهالونات في تطبيقات مقصورات الشحن بالطائرات بموجب بروتوكول مونتريال للحفاظ على سلامة الطيران.</w:t>
      </w:r>
    </w:p>
    <w:p w14:paraId="53430B96" w14:textId="77777777" w:rsidR="00D44330" w:rsidRPr="00984A76" w:rsidRDefault="00D44330" w:rsidP="00984A76">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textDirection w:val="tbRlV"/>
        <w:rPr>
          <w:rFonts w:cs="Simplified Arabic"/>
          <w:szCs w:val="24"/>
        </w:rPr>
      </w:pPr>
      <w:r w:rsidRPr="00984A76">
        <w:rPr>
          <w:rFonts w:cs="Simplified Arabic"/>
          <w:szCs w:val="24"/>
          <w:rtl/>
        </w:rPr>
        <w:t xml:space="preserve">وفي هذا الصدد، من المهم أيضًا الإشارة إلى أن الجمعية، في الفقرة 7 من القرار </w:t>
      </w:r>
      <w:r w:rsidRPr="001F230D">
        <w:rPr>
          <w:rFonts w:asciiTheme="majorBidi" w:hAnsiTheme="majorBidi" w:cstheme="majorBidi"/>
          <w:sz w:val="22"/>
          <w:szCs w:val="22"/>
          <w:rtl/>
        </w:rPr>
        <w:t>A42-11</w:t>
      </w:r>
      <w:r w:rsidRPr="00984A76">
        <w:rPr>
          <w:rFonts w:cs="Simplified Arabic"/>
          <w:szCs w:val="24"/>
          <w:rtl/>
        </w:rPr>
        <w:t>، وجهت مجلس منظمة الطيران المدني الدولي إلى أن يضع، بالتنسيق مع القطاع الصناعي ومع مراعاة تقييم مدى توفر احتياطيات الهالونات العالمية، مقترحاً بشأن موعد نهائي منقح ومستدام وفعال لاستبدال الهالونات في طلبات الشهادات لأنواع الطائرات الجديدة. ووفقاً للقرار، ينبغي أن يستند المقترح إلى بيانات شاملة، بما في ذلك البيانات المتعلقة بتوافر الهالونات، والتقدم المحرز في تطوير حلول بديلة، كما ينبغي أن يراعي الاعتبارات المتعلقة بالسلامة.</w:t>
      </w:r>
    </w:p>
    <w:p w14:paraId="4E205355" w14:textId="5F0979F5" w:rsidR="00D44330" w:rsidRPr="00984A76" w:rsidRDefault="00D44330" w:rsidP="00984A76">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textDirection w:val="tbRlV"/>
        <w:rPr>
          <w:rFonts w:cs="Simplified Arabic"/>
          <w:szCs w:val="24"/>
        </w:rPr>
      </w:pPr>
      <w:r w:rsidRPr="00984A76">
        <w:rPr>
          <w:rFonts w:cs="Simplified Arabic"/>
          <w:szCs w:val="24"/>
          <w:rtl/>
        </w:rPr>
        <w:t xml:space="preserve">وفي غضون ذلك، تعمل لجنة الخيارات التقنية لإخماد الحرائق على التنسيق مع الفريق الاستشاري المعني باستبدال الهالونات في مقصورات الشحن، الذي أُنشئ في إطار مجلس التنسيق الدولي لرابطات صناعات الفضاء الجوي. وقد اقترح فريقا الخبراء أن تنظر أمانتا الأوزون والمنظمة الدولية للطيران المدني في إعداد رسالة مشتركة </w:t>
      </w:r>
      <w:r w:rsidRPr="00984A76">
        <w:rPr>
          <w:rFonts w:cs="Simplified Arabic"/>
          <w:szCs w:val="24"/>
          <w:rtl/>
        </w:rPr>
        <w:lastRenderedPageBreak/>
        <w:t>تطلب فيها بيانات من الأطراف في بروتوكول مونتريال بهدف تقييم الاستخدام المستقبلي للهالونات والحاجة إليها في مجال الطيران المدني تقييماً أفضل.</w:t>
      </w:r>
    </w:p>
    <w:p w14:paraId="4929B58D" w14:textId="77777777" w:rsidR="00D44330" w:rsidRPr="00984A76" w:rsidRDefault="00D44330" w:rsidP="00E879BF">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jc w:val="lowKashida"/>
        <w:textDirection w:val="tbRlV"/>
        <w:rPr>
          <w:rFonts w:cs="Simplified Arabic"/>
          <w:szCs w:val="24"/>
        </w:rPr>
      </w:pPr>
      <w:r w:rsidRPr="00984A76">
        <w:rPr>
          <w:rFonts w:cs="Simplified Arabic"/>
          <w:szCs w:val="24"/>
          <w:rtl/>
        </w:rPr>
        <w:t>وطلبت أمانة منظمة الطيران المدني الدولي أيضاً تشكيل فريق خبراء رسمي من خلال فريق خبراء صلاحية الطائرات للطيران، يضم، على سبيل المثال لا الحصر، الشركات المصنعة للمعدات الأصلية، وكيانات الصيانة والإصلاح والتجديد، والموردين، وشركات إعادة التدوير، والمنظمات غير الحكومية، وفريق التقييم التكنولوجي والاقتصادي ولجنة الخيارات التقنية لإخماد الحرائق التابعة له، وغيرهم من أصحاب المصلحة المعنيين. وتهدف هذه المبادرة المستمرة إلى تسهيل تبادل المعلومات.</w:t>
      </w:r>
    </w:p>
    <w:p w14:paraId="6026BB9C" w14:textId="77777777" w:rsidR="00D44330" w:rsidRPr="00984A76" w:rsidRDefault="00D44330" w:rsidP="00984A76">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textDirection w:val="tbRlV"/>
        <w:rPr>
          <w:rFonts w:cs="Simplified Arabic"/>
          <w:szCs w:val="24"/>
        </w:rPr>
      </w:pPr>
      <w:r w:rsidRPr="00984A76">
        <w:rPr>
          <w:rFonts w:cs="Simplified Arabic"/>
          <w:szCs w:val="24"/>
          <w:rtl/>
        </w:rPr>
        <w:t xml:space="preserve">واستجابةً لقرار جمعية منظمة الطيران المدني الدولي </w:t>
      </w:r>
      <w:r w:rsidRPr="000D404F">
        <w:rPr>
          <w:rFonts w:asciiTheme="majorBidi" w:hAnsiTheme="majorBidi" w:cstheme="majorBidi"/>
          <w:sz w:val="22"/>
          <w:szCs w:val="22"/>
          <w:rtl/>
        </w:rPr>
        <w:t>A42-11</w:t>
      </w:r>
      <w:r w:rsidRPr="00984A76">
        <w:rPr>
          <w:rFonts w:cs="Simplified Arabic"/>
          <w:szCs w:val="24"/>
          <w:rtl/>
        </w:rPr>
        <w:t xml:space="preserve"> والمقرر 37/4 الصادر عن الاجتماع السابع والثلاثين للأطراف، شكل الفريق الاستشاري المعني باستبدال الهالونات في مقصورات الشحن فريقاً عاملاً صغيرًا، يضم عضوًا في لجنة الخيارات التقنية لإخماد الحرائق وهو أيضًا عضو في الفريق الاستشاري، لتنسيق جمع البيانات وتحليلها بهدف تقييم الطلب المستقبلي على الهالون 1301. ويركز عمل الفريق على الكميات اللازمة لخدمة أسطول الطائرات العاملة حالياً وعلى توقع احتياجات الهالون 1301 المرتبطة بتسليم الطائرات في المستقبل واستمرار تشغيلها. وستساعد تلك الجهود في تحديد ما إذا كانت هناك حاجة إلى تقديم طلبات للاستخدام الضروري في المستقبل أم لا.</w:t>
      </w:r>
    </w:p>
    <w:p w14:paraId="48F84443" w14:textId="77777777" w:rsidR="00D44330" w:rsidRPr="00984A76" w:rsidRDefault="00D44330" w:rsidP="00984A76">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textDirection w:val="tbRlV"/>
        <w:rPr>
          <w:rFonts w:cs="Simplified Arabic"/>
          <w:szCs w:val="24"/>
        </w:rPr>
      </w:pPr>
      <w:r w:rsidRPr="00984A76">
        <w:rPr>
          <w:rFonts w:cs="Simplified Arabic"/>
          <w:szCs w:val="24"/>
          <w:rtl/>
        </w:rPr>
        <w:t>واستناداً إلى مجموعة متنوعة من مصادر البيانات ذات الصلة وعدد من الافتراضات الموضحة في التقرير المرحلي، قيم الفريق كمية الهالونات المثبتة حالياً في الأسطول الفعلي قيد الخدمة (المتوسط</w:t>
      </w:r>
      <w:r w:rsidRPr="00984A76">
        <w:rPr>
          <w:rFonts w:cs="Simplified Arabic"/>
          <w:szCs w:val="24"/>
        </w:rPr>
        <w:t>:</w:t>
      </w:r>
      <w:r w:rsidRPr="00984A76">
        <w:rPr>
          <w:rFonts w:cs="Simplified Arabic"/>
          <w:szCs w:val="24"/>
          <w:rtl/>
        </w:rPr>
        <w:t xml:space="preserve"> 302 2 طن متري). واستناداً إلى هذا التحليل، أمكن تقدير الكميات اللازمة لتعويض الفقدان الناجم عن عمليات التفريغ من النظام أثناء حوادث الحريق أو الإنذارات الكاذبة، والتسرب والتلوث أثناء أنشطة الصيانة، ووضع توقعات للاحتياجات المستقبلية من الهالون 1301 للطائرات الجديدة (بمتوسط</w:t>
      </w:r>
      <w:r w:rsidRPr="00984A76">
        <w:rPr>
          <w:rFonts w:cs="Simplified Arabic"/>
          <w:szCs w:val="24"/>
        </w:rPr>
        <w:t>:</w:t>
      </w:r>
      <w:r w:rsidRPr="00984A76">
        <w:rPr>
          <w:rFonts w:cs="Simplified Arabic"/>
          <w:szCs w:val="24"/>
          <w:rtl/>
        </w:rPr>
        <w:t xml:space="preserve"> 175 طناً مترياً سنوياً). </w:t>
      </w:r>
    </w:p>
    <w:p w14:paraId="775F8A17" w14:textId="77777777" w:rsidR="00D44330" w:rsidRPr="00984A76" w:rsidRDefault="00D44330" w:rsidP="00984A76">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textDirection w:val="tbRlV"/>
        <w:rPr>
          <w:rFonts w:cs="Simplified Arabic"/>
          <w:szCs w:val="24"/>
        </w:rPr>
      </w:pPr>
      <w:r w:rsidRPr="00984A76">
        <w:rPr>
          <w:rFonts w:cs="Simplified Arabic"/>
          <w:szCs w:val="24"/>
          <w:rtl/>
        </w:rPr>
        <w:t>وقدرت لجنة الخيارات التقنية لإخماد الحرائق أيضاً تواريخ استنفاد الهالون 1301 المحدثة، وذلك باستخدام بيانات أرصدة القطاعات المنقحة المستمدة من نموذجها، والتي عُدلت بناءً على رأي الخبراء وقُيِّمت عبر 20 سيناريو تتنوع فيها أحجام الأرصدة ومعدلات الانبعاثات. واستُخدم نهجا نمذجة لمواءمة الانبعاثات المتوقعة مع البيانات التاريخية للانبعاثات الصادرة عن لجنة الخيارات التقنية لإخماد الحرائق للفترة 2015–2024. وقد توقع النموذج في البداية استنفاد الرصيد المتاح، ثم نظر بعد ذلك في استخدام المخزونات الاحتياطية التي تدعم الاستخدامات المستدامة، بما في ذلك الطيران المدني.</w:t>
      </w:r>
    </w:p>
    <w:p w14:paraId="274186B3" w14:textId="77777777" w:rsidR="00D44330" w:rsidRPr="00984A76" w:rsidRDefault="00D44330" w:rsidP="00984A76">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textDirection w:val="tbRlV"/>
        <w:rPr>
          <w:rFonts w:cs="Simplified Arabic"/>
          <w:szCs w:val="24"/>
        </w:rPr>
      </w:pPr>
      <w:r w:rsidRPr="00984A76">
        <w:rPr>
          <w:rFonts w:cs="Simplified Arabic"/>
          <w:szCs w:val="24"/>
          <w:rtl/>
        </w:rPr>
        <w:t>وقد أظهرت سيناريوهات النمذجة تواريخ استنفاد تقديرية تتراوح بين عامي 2030 و2042. ومع ذلك، فقد اعتُبرت السيناريوهات التي تتطلب معدلات انبعاثات عالية بشكل غير واقعي سيناريوهات غير معقولة، ولذلك استُبعدت. وعلى هذا الأساس، يُقدَّر أن يكون تاريخ الاستنفاد الأكثر مصداقية هو بين عامي 2031 و2039، ويتركز حول عام 2035 بزيادة أو نقصان أربع سنوات.</w:t>
      </w:r>
    </w:p>
    <w:p w14:paraId="17D93BB3" w14:textId="77777777" w:rsidR="00D44330" w:rsidRPr="00984A76" w:rsidRDefault="00D44330" w:rsidP="00984A76">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textDirection w:val="tbRlV"/>
        <w:rPr>
          <w:rFonts w:cs="Simplified Arabic"/>
          <w:szCs w:val="24"/>
        </w:rPr>
      </w:pPr>
      <w:r w:rsidRPr="00984A76">
        <w:rPr>
          <w:rFonts w:cs="Simplified Arabic"/>
          <w:szCs w:val="24"/>
          <w:rtl/>
        </w:rPr>
        <w:t>وفي ضوء هذه النتائج، ترى اللجنة أن الأطراف قد ترغب في النظر فيما إذا كان من الضروري إجراء أي تغييرات على إجراءات ترشيحات الاستخدامات الضرورية وعمليات التقييم، نظراً إلى أن فرادى الأطراف قد لا تكون قادرة بعد الآن على تحديد احتياجاتها السنوية من إنتاج واستهلاك الهالون 1301 في مجال الطيران المدني.</w:t>
      </w:r>
    </w:p>
    <w:p w14:paraId="03D3FE20" w14:textId="77777777" w:rsidR="00D44330" w:rsidRPr="00984A76" w:rsidRDefault="00D44330" w:rsidP="00984A76">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textDirection w:val="tbRlV"/>
        <w:rPr>
          <w:rFonts w:cs="Simplified Arabic"/>
          <w:szCs w:val="24"/>
        </w:rPr>
      </w:pPr>
      <w:r w:rsidRPr="00984A76">
        <w:rPr>
          <w:rFonts w:cs="Simplified Arabic"/>
          <w:szCs w:val="24"/>
          <w:rtl/>
        </w:rPr>
        <w:t xml:space="preserve">وفي الفقرة 4 من المقرر 37/4، دُعيت الأطراف أن تقدم إلى أمانة الأوزون، على أساس طوعي بحلول 31 آذار/مارس 2026، المعلومات المتاحة بشأن تطوير بدائل مناسبة للاستخدام كبدائل في إخماد الحرائق، وطُلب إلى الأمانة أن تحيل المعلومات الواردة إلى فريق التقييم التكنولوجي والاقتصادي للنظر فيها وإدراجها في تقريره المرحلي لعام 2027، على أقصى تقدير. وحتى وقت إعداد هذه الإضافة، استجابت ثلاث أطراف – الأرجنتين وإكوادور وسانت فنسنت وجزر غرينادين – للمقرر، إضافةً إلى 33 طرفاً كانت قد استجابت له بحلول وقت إعداد </w:t>
      </w:r>
      <w:r w:rsidRPr="00984A76">
        <w:rPr>
          <w:rFonts w:cs="Simplified Arabic"/>
          <w:szCs w:val="24"/>
          <w:rtl/>
        </w:rPr>
        <w:lastRenderedPageBreak/>
        <w:t xml:space="preserve">مذكرة الأمانة. وأُحيلت جميع تلك التقارير إلى فريق التقييم التكنولوجي والاقتصادي للنظر فيها عند إعداد تقريره المرحلي لعام 2026، وربما تقرير عام 2027. </w:t>
      </w:r>
    </w:p>
    <w:p w14:paraId="76C8B8A9" w14:textId="77777777" w:rsidR="00D44330" w:rsidRPr="00984A76" w:rsidRDefault="00D44330" w:rsidP="00984A76">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textDirection w:val="tbRlV"/>
        <w:rPr>
          <w:rFonts w:cs="Simplified Arabic"/>
          <w:szCs w:val="24"/>
          <w:rtl/>
        </w:rPr>
      </w:pPr>
      <w:r w:rsidRPr="00984A76">
        <w:rPr>
          <w:rFonts w:cs="Simplified Arabic"/>
          <w:szCs w:val="24"/>
          <w:rtl/>
        </w:rPr>
        <w:t>وقد يرغب الفريق العامل المفتوح العضوية في النظر في التقرير والتوصية بسبل للمضي قدماً.</w:t>
      </w:r>
    </w:p>
    <w:p w14:paraId="0D611D97" w14:textId="1CBF6313" w:rsidR="00D44330" w:rsidRPr="005874BA" w:rsidRDefault="00D44330" w:rsidP="005874BA">
      <w:pPr>
        <w:pStyle w:val="CH3"/>
        <w:numPr>
          <w:ilvl w:val="0"/>
          <w:numId w:val="40"/>
        </w:numPr>
        <w:tabs>
          <w:tab w:val="clear" w:pos="851"/>
          <w:tab w:val="clear" w:pos="1247"/>
          <w:tab w:val="clear" w:pos="1871"/>
          <w:tab w:val="clear" w:pos="2495"/>
          <w:tab w:val="clear" w:pos="3119"/>
          <w:tab w:val="clear" w:pos="3742"/>
          <w:tab w:val="clear" w:pos="4366"/>
          <w:tab w:val="clear" w:pos="4990"/>
        </w:tabs>
        <w:bidi/>
        <w:spacing w:before="0" w:line="360" w:lineRule="exact"/>
        <w:ind w:left="1135" w:right="0" w:hanging="851"/>
        <w:jc w:val="lowKashida"/>
        <w:textDirection w:val="tbRlV"/>
        <w:rPr>
          <w:rFonts w:ascii="Simplified Arabic" w:hAnsi="Simplified Arabic" w:cs="Simplified Arabic"/>
          <w:bCs/>
          <w:w w:val="109"/>
          <w:sz w:val="24"/>
          <w:szCs w:val="24"/>
          <w:rtl/>
          <w:lang w:bidi="en-GB"/>
        </w:rPr>
      </w:pPr>
      <w:r w:rsidRPr="005874BA">
        <w:rPr>
          <w:rFonts w:ascii="Simplified Arabic" w:hAnsi="Simplified Arabic" w:cs="Simplified Arabic"/>
          <w:bCs/>
          <w:w w:val="109"/>
          <w:sz w:val="24"/>
          <w:szCs w:val="24"/>
          <w:rtl/>
        </w:rPr>
        <w:t>البخاخات المحددة الجرعات المحتوية على مواد دافعة منخفضة القدرة على إحداث الاحترار العالمي (المقرر 36/6)</w:t>
      </w:r>
      <w:bookmarkStart w:id="4" w:name="_Hlk192678240"/>
      <w:bookmarkEnd w:id="4"/>
    </w:p>
    <w:p w14:paraId="61B8D670" w14:textId="4F5EF34D" w:rsidR="00D44330" w:rsidRPr="005874BA" w:rsidRDefault="00D44330" w:rsidP="005874BA">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jc w:val="lowKashida"/>
        <w:textDirection w:val="tbRlV"/>
        <w:rPr>
          <w:rFonts w:cs="Simplified Arabic"/>
          <w:w w:val="105"/>
          <w:szCs w:val="24"/>
          <w:lang w:bidi="en-GB"/>
        </w:rPr>
      </w:pPr>
      <w:r w:rsidRPr="005874BA">
        <w:rPr>
          <w:rFonts w:cs="Simplified Arabic"/>
          <w:w w:val="105"/>
          <w:szCs w:val="24"/>
          <w:rtl/>
        </w:rPr>
        <w:t>وفق ما هو مذكور في مذكرة الأمانة (</w:t>
      </w:r>
      <w:r w:rsidRPr="005874BA">
        <w:rPr>
          <w:rFonts w:asciiTheme="majorBidi" w:hAnsiTheme="majorBidi" w:cstheme="majorBidi"/>
          <w:w w:val="105"/>
          <w:sz w:val="22"/>
          <w:szCs w:val="22"/>
          <w:rtl/>
        </w:rPr>
        <w:t>UNEP/OzL.Pro.WG.1/48/2</w:t>
      </w:r>
      <w:r w:rsidRPr="005874BA">
        <w:rPr>
          <w:rFonts w:cs="Simplified Arabic"/>
          <w:w w:val="105"/>
          <w:szCs w:val="24"/>
          <w:rtl/>
        </w:rPr>
        <w:t>، الفقرات 16-19)، طلب الاجتماع السادس والثلاثون للأطراف في المقرر 36/6 إلى فريق التقييم التكنولوجي والاقتصادي مواصلة تقديم معلومات محدثة في تقاريره المرحلية السنوية عن المواد الدافعة المنخفضة القدرة على إحداث الاحترار العالمي المستخدمة في البخاخات المحددة الجرعات، وإلى استكمال تقريره عن التقييم الذي يُجرى كل أربع سنوات لعام 2026 بمعلومات آنية، بما في ذلك عن توافر تلك المواد وجدواها التقنية وصلاحيتها الاقتصادية وسلامتها ونفاذها إلى الأسواق لدى جميع الأطراف. ويرد رد الفريق، الذي أعدته لجنة الخيارات التقنية الطبية والكيميائية، في الفرع 5-8 من تقريره المرحلي. ويرد موجز في الفقرات التالية.</w:t>
      </w:r>
    </w:p>
    <w:p w14:paraId="0B076374" w14:textId="77777777" w:rsidR="00D44330" w:rsidRPr="00984A76" w:rsidRDefault="00D44330" w:rsidP="00984A76">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textDirection w:val="tbRlV"/>
        <w:rPr>
          <w:rFonts w:cs="Simplified Arabic"/>
          <w:szCs w:val="24"/>
        </w:rPr>
      </w:pPr>
      <w:r w:rsidRPr="00984A76">
        <w:rPr>
          <w:rFonts w:cs="Simplified Arabic"/>
          <w:szCs w:val="24"/>
          <w:rtl/>
        </w:rPr>
        <w:t>وتسلط التقارير الصادرة مؤخرًا بشأن إدارة الربو ومرض الانسداد الرئوي المزمن الضوء على الجهود المستمرة الرامية إلى تحسين مكافحة الأمراض وتوسيع نطاق الحصول على الأدوية. ويعتمد علاج الربو على الكورتيكوستيرويدات المستنشقة للحد من النوبات الحادة، في حين لا تزال هناك مخاوف بشأن الاستخدام المفرط للبخاخات القصيرة المفعول. وتعتمد معالجة مرض الانسداد الرئوي المزمن بشكل متزايد على البخاخات الطويلة المفعول والعلاجات البيولوجية الأحدث للحالات الشديدة. ومع ذلك، لا تزال التكاليف العالية للأدوية ومحدودية توافرها تشكل عوائق كبيرة، لا سيما في البلدان ذات الدخل المنخفض والمتوسط.</w:t>
      </w:r>
    </w:p>
    <w:p w14:paraId="357F07AC" w14:textId="77777777" w:rsidR="00D44330" w:rsidRPr="000D404F" w:rsidRDefault="00D44330" w:rsidP="000D404F">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jc w:val="lowKashida"/>
        <w:textDirection w:val="tbRlV"/>
        <w:rPr>
          <w:rFonts w:cs="Simplified Arabic"/>
          <w:w w:val="101"/>
          <w:szCs w:val="24"/>
        </w:rPr>
      </w:pPr>
      <w:r w:rsidRPr="000D404F">
        <w:rPr>
          <w:rFonts w:cs="Simplified Arabic"/>
          <w:w w:val="101"/>
          <w:szCs w:val="24"/>
          <w:rtl/>
        </w:rPr>
        <w:t>وتُستخدم أنواع عديدة من البخاخات لعلاج الربو ومرض الانسداد الرئوي المزمن، بما في ذلك البخاخات المحددة الجرعات المضغوطة، وبخاخات المسحوق الجاف، وبخاخات الرذاذ الناعم، والرذاذات. ومن بين هذه البخاخات، تظل البخاخات المحددة الجرعات المضغوطة هي الأكثر استخدامًا، حيث تمثل زهاء 70 في المئة من جرعات البخاخات على مستوى العالم، وتستحوذ البخاخات المحددة الجرعات المضغوطة التي تحتوي على السالبيوتامول على الحصة الأكبر. وعلى الرغم من تزايد استخدام بخاخات المسحوق الجاف والبدائل الأخرى، فإن استبدال البخاخات المحددة الجرعات المضغوطة سيتطلب استثمارات كبيرة وتغييرات في عملية التصنيع ووقتًا طويلاً.</w:t>
      </w:r>
    </w:p>
    <w:p w14:paraId="6556239B" w14:textId="77777777" w:rsidR="00D44330" w:rsidRPr="00984A76" w:rsidRDefault="00D44330" w:rsidP="00984A76">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textDirection w:val="tbRlV"/>
        <w:rPr>
          <w:rFonts w:cs="Simplified Arabic"/>
          <w:szCs w:val="24"/>
        </w:rPr>
      </w:pPr>
      <w:r w:rsidRPr="00984A76">
        <w:rPr>
          <w:rFonts w:cs="Simplified Arabic"/>
          <w:szCs w:val="24"/>
          <w:rtl/>
        </w:rPr>
        <w:t>ومع تراجع الاستخدام العالمي لمركبات الكربون الهيدروفلورية، تزداد أهمية النسبة المستخدمة منها في البخاخات المحددة الجرعات المضغوطة. وقد تؤثر اللوائح الجديدة للاتحاد الأوروبي التي تهدف إلى خفض استهلاك مركبات الكربون الهيدروفلورية على الإمدادات المستقبلية من مركبات الكربون الهيدروفلورية ذات الجودة الصيدلانية الضرورية للبخاخات. ولذلك يجري التخطيط لإجراء مراجعات واتخاذ تدابير سياساتية لمنع حدوث نقص في الإمدادات والحفاظ على إمكانية الحصول على الرعاية الصحية.</w:t>
      </w:r>
    </w:p>
    <w:p w14:paraId="34A0CE25" w14:textId="77777777" w:rsidR="00D44330" w:rsidRPr="000D404F" w:rsidRDefault="00D44330" w:rsidP="000D404F">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jc w:val="lowKashida"/>
        <w:textDirection w:val="tbRlV"/>
        <w:rPr>
          <w:rFonts w:cs="Simplified Arabic"/>
          <w:w w:val="101"/>
          <w:szCs w:val="24"/>
        </w:rPr>
      </w:pPr>
      <w:r w:rsidRPr="000D404F">
        <w:rPr>
          <w:rFonts w:cs="Simplified Arabic"/>
          <w:w w:val="101"/>
          <w:szCs w:val="24"/>
          <w:rtl/>
        </w:rPr>
        <w:t>وتواصل الولايات المتحدة الأمريكية والدول الأوروبية الكبرى هيمنتها على سوق البخاخات العالمية، مع تزايد الطلب على البخاخات المركبة الأحدث المخصصة لعلاج الربو الحاد ومرض الانسداد الرئوي المزمن. وسيتطلب الانتقال إما إلى بخاخات المسحوق الجاف أو إلى البخاخات المحددة الجرعات المضغوطة التي تستخدم مواد دافعة ذات قدرة أقل على إحداث الاحترار العالمي، إجراء تحسينات تكنولوجية كبيرة واستثمارات في البنية التحتية.</w:t>
      </w:r>
    </w:p>
    <w:p w14:paraId="18113D4E" w14:textId="1FADBDB2" w:rsidR="00D44330" w:rsidRPr="00984A76" w:rsidRDefault="00D44330" w:rsidP="002C7B46">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jc w:val="lowKashida"/>
        <w:textDirection w:val="tbRlV"/>
        <w:rPr>
          <w:rFonts w:cs="Simplified Arabic"/>
          <w:szCs w:val="24"/>
        </w:rPr>
      </w:pPr>
      <w:r w:rsidRPr="00984A76">
        <w:rPr>
          <w:rFonts w:cs="Simplified Arabic"/>
          <w:szCs w:val="24"/>
          <w:rtl/>
        </w:rPr>
        <w:t xml:space="preserve">لقد أصبح توفير المواد الدافعة من مركبات الكربون الهيدروفلورية ذات الجودة الصيدلانية المستخدمة في البخاخات </w:t>
      </w:r>
      <w:r w:rsidR="005D5A1D" w:rsidRPr="00087C24">
        <w:rPr>
          <w:rFonts w:cs="Simplified Arabic"/>
          <w:szCs w:val="24"/>
        </w:rPr>
        <w:t>-</w:t>
      </w:r>
      <w:r w:rsidRPr="00984A76">
        <w:rPr>
          <w:rFonts w:cs="Simplified Arabic"/>
          <w:szCs w:val="24"/>
          <w:rtl/>
        </w:rPr>
        <w:t xml:space="preserve"> ولا سيما مركب الكربون الهيدروفلوري-</w:t>
      </w:r>
      <w:r w:rsidRPr="000D404F">
        <w:rPr>
          <w:rFonts w:asciiTheme="majorBidi" w:hAnsiTheme="majorBidi" w:cstheme="majorBidi"/>
          <w:sz w:val="22"/>
          <w:szCs w:val="22"/>
          <w:rtl/>
        </w:rPr>
        <w:t>134a</w:t>
      </w:r>
      <w:r w:rsidRPr="00984A76">
        <w:rPr>
          <w:rFonts w:cs="Simplified Arabic"/>
          <w:szCs w:val="24"/>
          <w:rtl/>
        </w:rPr>
        <w:t xml:space="preserve"> ومركب الكربون الهيدروفلوري-</w:t>
      </w:r>
      <w:r w:rsidRPr="000D404F">
        <w:rPr>
          <w:rFonts w:asciiTheme="majorBidi" w:hAnsiTheme="majorBidi" w:cstheme="majorBidi"/>
          <w:sz w:val="22"/>
          <w:szCs w:val="22"/>
          <w:rtl/>
        </w:rPr>
        <w:t>227ea</w:t>
      </w:r>
      <w:r w:rsidRPr="00984A76">
        <w:rPr>
          <w:rFonts w:cs="Simplified Arabic"/>
          <w:szCs w:val="24"/>
          <w:rtl/>
        </w:rPr>
        <w:t xml:space="preserve"> </w:t>
      </w:r>
      <w:r w:rsidR="005D5A1D" w:rsidRPr="00087C24">
        <w:rPr>
          <w:rFonts w:cs="Simplified Arabic"/>
          <w:szCs w:val="24"/>
        </w:rPr>
        <w:t>-</w:t>
      </w:r>
      <w:r w:rsidRPr="00984A76">
        <w:rPr>
          <w:rFonts w:cs="Simplified Arabic"/>
          <w:szCs w:val="24"/>
          <w:rtl/>
        </w:rPr>
        <w:t xml:space="preserve"> يمثل تحديًا </w:t>
      </w:r>
      <w:r w:rsidRPr="00984A76">
        <w:rPr>
          <w:rFonts w:cs="Simplified Arabic"/>
          <w:szCs w:val="24"/>
          <w:rtl/>
        </w:rPr>
        <w:lastRenderedPageBreak/>
        <w:t>متزايدًا خلال مرحلة الانتقال إلى بدائل ذات قدرة أقل على إحداث الاحترار العالمي. ويتركز إنتاج هذه المواد الدافعة بشكل كبير في عدد قليل من الشركات المصنعة، كما أن التغيرات في الطلب الصناعي تؤدي إلى إغلاق المصانع أو دمجها، مما قد يؤثر على الاستقرار على المدى الطويل. وفي حين أنه من المتوقع أن يستمر العرض حتى أوائل العقد الثالث من القرن الحادي والعشرين، فقد ترتفع التكاليف، كما أن احتمال حدوث نقص إقليمي، لا سيما في أوروبا، أمر وارد بسبب أنظمة الحصص واللوائح التنظيمية الأكثر صرامة. وتزيد الضوابط الإدارية الإضافية المفروضة على الإنتاج والتصدير من تعقيد مسألة توفر هذه المواد. وقد تساعد الطاقة الإنتاجية الناشئة في بلدان مثل ال</w:t>
      </w:r>
      <w:r w:rsidR="009B451C">
        <w:rPr>
          <w:rFonts w:cs="Simplified Arabic" w:hint="cs"/>
          <w:szCs w:val="24"/>
          <w:rtl/>
          <w:lang w:val="en-US"/>
        </w:rPr>
        <w:t>صين والهند</w:t>
      </w:r>
      <w:r w:rsidRPr="00984A76">
        <w:rPr>
          <w:rFonts w:cs="Simplified Arabic"/>
          <w:szCs w:val="24"/>
          <w:rtl/>
        </w:rPr>
        <w:t xml:space="preserve"> على تنويع الإمدادات المستقبلية لكل من مركبات الكربون الهيدروفلورية الحالية والبدائل الأحدث.</w:t>
      </w:r>
    </w:p>
    <w:p w14:paraId="6869A756" w14:textId="77777777" w:rsidR="00D44330" w:rsidRPr="00984A76" w:rsidRDefault="00D44330" w:rsidP="00984A76">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textDirection w:val="tbRlV"/>
        <w:rPr>
          <w:rFonts w:cs="Simplified Arabic"/>
          <w:szCs w:val="24"/>
        </w:rPr>
      </w:pPr>
      <w:r w:rsidRPr="00984A76">
        <w:rPr>
          <w:rFonts w:cs="Simplified Arabic"/>
          <w:szCs w:val="24"/>
          <w:rtl/>
        </w:rPr>
        <w:t xml:space="preserve">ويتقدم الانتقال إلى استخدام مواد دافعة ذات قدرة أقل على إحداث الاحترار العالمي في البخاخات المحددة الجرعات المضغوطة، لكنه لا يزال يواجه العديد من التحديات، بما في ذلك اللوائح البيئية المتغيرة، واستقرار إمدادات مركبات الكربون الهيدروفلورية ذات الجودة الصيدلانية، والقدرة على تحمل تكاليف الأجهزة البديلة وتوافر هذه الأجهزة، والحصول على الموافقات التنظيمية وعرض البخاخات الجديدة في الأسواق، وقبول المرضى لها. </w:t>
      </w:r>
    </w:p>
    <w:p w14:paraId="38456B74" w14:textId="77777777" w:rsidR="00D44330" w:rsidRPr="00984A76" w:rsidRDefault="00D44330" w:rsidP="00984A76">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textDirection w:val="tbRlV"/>
        <w:rPr>
          <w:rFonts w:cs="Simplified Arabic"/>
          <w:szCs w:val="24"/>
        </w:rPr>
      </w:pPr>
      <w:r w:rsidRPr="00984A76">
        <w:rPr>
          <w:rFonts w:cs="Simplified Arabic"/>
          <w:szCs w:val="24"/>
          <w:rtl/>
        </w:rPr>
        <w:t>ويجري حالياً تطوير نوعين رئيسيين من المواد الدافعة البديلة: مركب الكربون الهيدروفلوري-</w:t>
      </w:r>
      <w:r w:rsidRPr="000D404F">
        <w:rPr>
          <w:rFonts w:asciiTheme="majorBidi" w:hAnsiTheme="majorBidi" w:cstheme="majorBidi"/>
          <w:sz w:val="22"/>
          <w:szCs w:val="22"/>
          <w:rtl/>
        </w:rPr>
        <w:t>152a</w:t>
      </w:r>
      <w:r w:rsidRPr="00984A76">
        <w:rPr>
          <w:rFonts w:cs="Simplified Arabic"/>
          <w:szCs w:val="24"/>
          <w:rtl/>
        </w:rPr>
        <w:t xml:space="preserve"> (بقدرة على إحداث الاحترار العالمي قدرها 124) ومركب الأوليفين الهيدروفلوري-</w:t>
      </w:r>
      <w:r w:rsidRPr="000D404F">
        <w:rPr>
          <w:rFonts w:asciiTheme="majorBidi" w:hAnsiTheme="majorBidi" w:cstheme="majorBidi"/>
          <w:sz w:val="22"/>
          <w:szCs w:val="22"/>
          <w:rtl/>
        </w:rPr>
        <w:t>1234ze</w:t>
      </w:r>
      <w:r w:rsidRPr="00984A76">
        <w:rPr>
          <w:rFonts w:cs="Simplified Arabic"/>
          <w:szCs w:val="24"/>
          <w:rtl/>
        </w:rPr>
        <w:t>(</w:t>
      </w:r>
      <w:r w:rsidRPr="000D404F">
        <w:rPr>
          <w:rFonts w:asciiTheme="majorBidi" w:hAnsiTheme="majorBidi" w:cstheme="majorBidi"/>
          <w:sz w:val="22"/>
          <w:szCs w:val="22"/>
          <w:rtl/>
        </w:rPr>
        <w:t>E</w:t>
      </w:r>
      <w:r w:rsidRPr="00984A76">
        <w:rPr>
          <w:rFonts w:cs="Simplified Arabic"/>
          <w:szCs w:val="24"/>
          <w:rtl/>
        </w:rPr>
        <w:t>). ويُستخدم مركب الكربون الهيدروفلوري-</w:t>
      </w:r>
      <w:r w:rsidRPr="009341E8">
        <w:rPr>
          <w:rFonts w:ascii="Times New Roman" w:hAnsi="Times New Roman"/>
          <w:sz w:val="22"/>
          <w:szCs w:val="22"/>
          <w:rtl/>
        </w:rPr>
        <w:t>152a</w:t>
      </w:r>
      <w:r w:rsidRPr="00984A76">
        <w:rPr>
          <w:rFonts w:cs="Simplified Arabic"/>
          <w:szCs w:val="24"/>
          <w:rtl/>
        </w:rPr>
        <w:t xml:space="preserve"> بالفعل على نطاق واسع في الصناعة، وهو أكثر قابلية للاشتعال من المواد الدافعة الحالية ويتطلب أنظمة سلامة تصنيعية مطورة، لكن الدراسات السريرية لا تُظهر أي سمية، كما أن طلبات الترخيص جارية حالياً في عدة دول. ويُستخدم مركب الأوليفين الهيدروفلوري</w:t>
      </w:r>
      <w:r w:rsidRPr="00984A76">
        <w:rPr>
          <w:rFonts w:cs="Simplified Arabic"/>
          <w:szCs w:val="24"/>
          <w:rtl/>
        </w:rPr>
        <w:noBreakHyphen/>
      </w:r>
      <w:r w:rsidRPr="000D404F">
        <w:rPr>
          <w:rFonts w:asciiTheme="majorBidi" w:hAnsiTheme="majorBidi" w:cstheme="majorBidi"/>
          <w:sz w:val="22"/>
          <w:szCs w:val="22"/>
          <w:rtl/>
        </w:rPr>
        <w:t>1234ze</w:t>
      </w:r>
      <w:r w:rsidRPr="00984A76">
        <w:rPr>
          <w:rFonts w:cs="Simplified Arabic"/>
          <w:szCs w:val="24"/>
          <w:rtl/>
        </w:rPr>
        <w:t>(</w:t>
      </w:r>
      <w:r w:rsidRPr="000D404F">
        <w:rPr>
          <w:rFonts w:asciiTheme="majorBidi" w:hAnsiTheme="majorBidi" w:cstheme="majorBidi"/>
          <w:sz w:val="22"/>
          <w:szCs w:val="22"/>
          <w:rtl/>
        </w:rPr>
        <w:t>E</w:t>
      </w:r>
      <w:r w:rsidRPr="00984A76">
        <w:rPr>
          <w:rFonts w:cs="Simplified Arabic"/>
          <w:szCs w:val="24"/>
          <w:rtl/>
        </w:rPr>
        <w:t>) على نطاق واسع في التطبيقات غير الطبية، ولم تظهر أي سمية له في الدراسات، وهو قيد الإنتاج التجاري بالفعل بجودة صيدلانية، مع اكتمال إجراءات التسجيل التنظيمي في الأسواق الرئيسية.</w:t>
      </w:r>
    </w:p>
    <w:p w14:paraId="5A38197B" w14:textId="77777777" w:rsidR="00D44330" w:rsidRPr="00984A76" w:rsidRDefault="00D44330" w:rsidP="00984A76">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textDirection w:val="tbRlV"/>
        <w:rPr>
          <w:rFonts w:cs="Simplified Arabic"/>
          <w:szCs w:val="24"/>
        </w:rPr>
      </w:pPr>
      <w:r w:rsidRPr="00984A76">
        <w:rPr>
          <w:rFonts w:cs="Simplified Arabic"/>
          <w:szCs w:val="24"/>
          <w:rtl/>
        </w:rPr>
        <w:t>ويبدو أن ما لا يقل عن 10 شركات في جميع أنحاء العالم تعمل على تطوير بخاخات محددة الجرعات مضغوطة تحتوي على هذه المواد الدافعة ذات الجودة الصيدلانية والقدرة المنخفضة على إحداث الاحترار العالمي، بما في ذلك ثلاث شركات في الهند وشركة واحدة في بنغلاديش. وتعمل العديد من شركات تصنيع الأدوية الجنيسة في أمريكا اللاتينية أيضاً على تطوير بخاخات محددة الجرعات مضغوطة تتميز بانخفاض القدرة على إحداث الاحترار العالمي، في حين بدأت شركتان في الصين في تطوير مركب الأوليفين الهيدروفلوري</w:t>
      </w:r>
      <w:r w:rsidRPr="00984A76">
        <w:rPr>
          <w:rFonts w:cs="Simplified Arabic"/>
          <w:szCs w:val="24"/>
          <w:rtl/>
        </w:rPr>
        <w:noBreakHyphen/>
      </w:r>
      <w:r w:rsidRPr="000D404F">
        <w:rPr>
          <w:rFonts w:asciiTheme="majorBidi" w:hAnsiTheme="majorBidi" w:cstheme="majorBidi"/>
          <w:sz w:val="22"/>
          <w:szCs w:val="22"/>
          <w:rtl/>
        </w:rPr>
        <w:t>1234ze</w:t>
      </w:r>
      <w:r w:rsidRPr="00984A76">
        <w:rPr>
          <w:rFonts w:cs="Simplified Arabic"/>
          <w:szCs w:val="24"/>
          <w:rtl/>
        </w:rPr>
        <w:t>(</w:t>
      </w:r>
      <w:r w:rsidRPr="000D404F">
        <w:rPr>
          <w:rFonts w:asciiTheme="majorBidi" w:hAnsiTheme="majorBidi" w:cstheme="majorBidi"/>
          <w:sz w:val="22"/>
          <w:szCs w:val="22"/>
          <w:rtl/>
        </w:rPr>
        <w:t>E</w:t>
      </w:r>
      <w:r w:rsidRPr="00984A76">
        <w:rPr>
          <w:rFonts w:cs="Simplified Arabic"/>
          <w:szCs w:val="24"/>
          <w:rtl/>
        </w:rPr>
        <w:t>) لاستخدامه كمادة دافعة سائبة.</w:t>
      </w:r>
    </w:p>
    <w:p w14:paraId="35366371" w14:textId="77777777" w:rsidR="00D44330" w:rsidRPr="00984A76" w:rsidRDefault="00D44330" w:rsidP="00984A76">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textDirection w:val="tbRlV"/>
        <w:rPr>
          <w:rFonts w:cs="Simplified Arabic"/>
          <w:szCs w:val="24"/>
        </w:rPr>
      </w:pPr>
      <w:r w:rsidRPr="00984A76">
        <w:rPr>
          <w:rFonts w:cs="Simplified Arabic"/>
          <w:szCs w:val="24"/>
          <w:rtl/>
        </w:rPr>
        <w:t>وتعتبر الشركات الصناعية الصغيرة والمتوسطة الحجم في البلدان ذات الدخل المنخفض والمتوسط معرضة بشكل خاص للمخاطر، لأنها غالبًا ما تفتقر إلى التراخيص والتمويل والقدرات التنظيمية اللازمة للتحول إلى منتجات ذات قدرة أقل على إحداث الاحترار العالمي. وبدون دعم، قد تواجه الكثير من البلدان صعوبات في إتمام هذا التحول، مما قد يؤدي إلى تفاقم التفاوتات العالمية. لذلك، قد يكون من الضروري إقامة شراكات أو الاندماج مع شركات تصنيع أكبر حجماً حتى تتمكن هذه الشركات من الحفاظ على الإمدادات وإبقاء البخاخات في متناول الأسواق وبأسعار معقولة. وهناك أيضاً مخاوف من أن تؤدي أزمات الطاقة والوقود إلى تفاقم عبء أمراض الجهاز التنفسي في هذه المناطق.</w:t>
      </w:r>
    </w:p>
    <w:p w14:paraId="0291C524" w14:textId="77777777" w:rsidR="00D44330" w:rsidRPr="00984A76" w:rsidRDefault="00D44330" w:rsidP="00984A76">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textDirection w:val="tbRlV"/>
        <w:rPr>
          <w:rFonts w:cs="Simplified Arabic"/>
          <w:szCs w:val="24"/>
        </w:rPr>
      </w:pPr>
      <w:r w:rsidRPr="00984A76">
        <w:rPr>
          <w:rFonts w:cs="Simplified Arabic"/>
          <w:szCs w:val="24"/>
          <w:rtl/>
        </w:rPr>
        <w:t>وبعد عدة سنوات من التطوير، أُطلق أول بخاخ محدد الجرعات مضغوط يستخدم مادة دافعة ذات قدرة أقل على إحداث الاحترار العالمي في المملكة المتحدة. وقدمت شركة ثانية طلبًا للحصول على موافقة، في حين أنهت شركتان أخريان التجارب السريرية وتعتزمان التقدم بطلب للحصول على ترخيص التسويق.</w:t>
      </w:r>
    </w:p>
    <w:p w14:paraId="2D449673" w14:textId="77777777" w:rsidR="00D44330" w:rsidRPr="00984A76" w:rsidRDefault="00D44330" w:rsidP="00984A76">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textDirection w:val="tbRlV"/>
        <w:rPr>
          <w:rFonts w:cs="Simplified Arabic"/>
          <w:szCs w:val="24"/>
        </w:rPr>
      </w:pPr>
      <w:r w:rsidRPr="00984A76">
        <w:rPr>
          <w:rFonts w:cs="Simplified Arabic"/>
          <w:szCs w:val="24"/>
          <w:rtl/>
        </w:rPr>
        <w:t xml:space="preserve">ويسلط التقرير أيضاً الضوء على دور الملكية الفكرية في تشكيل مسار تطوير البخاخات المحددة الجرعات المضغوطة ذات القدرة المنخفضة على إحداث الاحترار العالمي، ويشير إلى وجود تشريعات في الاتحاد الأوروبي تقيد تسويق المنتجات البلاستيكية الأحادية الاستخدام في حالة توفر بدائل مناسبة. </w:t>
      </w:r>
    </w:p>
    <w:p w14:paraId="3B4C7F3D" w14:textId="77777777" w:rsidR="00D44330" w:rsidRPr="00984A76" w:rsidRDefault="00D44330" w:rsidP="00984A76">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textDirection w:val="tbRlV"/>
        <w:rPr>
          <w:rFonts w:cs="Simplified Arabic"/>
          <w:szCs w:val="24"/>
          <w:rtl/>
          <w:lang w:bidi="en-GB"/>
        </w:rPr>
      </w:pPr>
      <w:r w:rsidRPr="00984A76">
        <w:rPr>
          <w:rFonts w:cs="Simplified Arabic"/>
          <w:szCs w:val="24"/>
          <w:rtl/>
        </w:rPr>
        <w:lastRenderedPageBreak/>
        <w:t>وقد يرغب الفريق العامل المفتوح العضوية في النظر في التقرير والتوصية بسبل للمضي قدماً.</w:t>
      </w:r>
    </w:p>
    <w:p w14:paraId="00BA2041" w14:textId="145A81B8" w:rsidR="00D44330" w:rsidRPr="00984A76" w:rsidRDefault="00D44330" w:rsidP="00317D8D">
      <w:pPr>
        <w:pStyle w:val="CH3"/>
        <w:numPr>
          <w:ilvl w:val="0"/>
          <w:numId w:val="40"/>
        </w:numPr>
        <w:tabs>
          <w:tab w:val="clear" w:pos="851"/>
          <w:tab w:val="clear" w:pos="1247"/>
          <w:tab w:val="clear" w:pos="1871"/>
          <w:tab w:val="clear" w:pos="2495"/>
          <w:tab w:val="clear" w:pos="3119"/>
          <w:tab w:val="clear" w:pos="3742"/>
          <w:tab w:val="clear" w:pos="4366"/>
          <w:tab w:val="clear" w:pos="4990"/>
        </w:tabs>
        <w:bidi/>
        <w:spacing w:before="0" w:line="360" w:lineRule="exact"/>
        <w:ind w:left="1135" w:right="0" w:hanging="851"/>
        <w:jc w:val="both"/>
        <w:textDirection w:val="tbRlV"/>
        <w:rPr>
          <w:rFonts w:ascii="Simplified Arabic" w:hAnsi="Simplified Arabic" w:cs="Simplified Arabic"/>
          <w:bCs/>
          <w:sz w:val="24"/>
          <w:szCs w:val="24"/>
          <w:rtl/>
          <w:lang w:bidi="en-GB"/>
        </w:rPr>
      </w:pPr>
      <w:r w:rsidRPr="00984A76">
        <w:rPr>
          <w:rFonts w:ascii="Simplified Arabic" w:hAnsi="Simplified Arabic" w:cs="Simplified Arabic"/>
          <w:bCs/>
          <w:sz w:val="24"/>
          <w:szCs w:val="24"/>
          <w:rtl/>
        </w:rPr>
        <w:t>خيارات لتنظيم الفريق ولجان الخيارات التقنية التابعة له (المقرر 35/20)</w:t>
      </w:r>
    </w:p>
    <w:p w14:paraId="7F740FF6" w14:textId="72337988" w:rsidR="00D44330" w:rsidRPr="00984A76" w:rsidRDefault="00D44330" w:rsidP="00984A76">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textDirection w:val="tbRlV"/>
        <w:rPr>
          <w:rFonts w:cs="Simplified Arabic"/>
          <w:szCs w:val="24"/>
          <w:lang w:bidi="en-GB"/>
        </w:rPr>
      </w:pPr>
      <w:r w:rsidRPr="00984A76">
        <w:rPr>
          <w:rFonts w:cs="Simplified Arabic"/>
          <w:szCs w:val="24"/>
          <w:rtl/>
        </w:rPr>
        <w:t>وفق ما هو مبين في مذكرة الأمانة (</w:t>
      </w:r>
      <w:r w:rsidRPr="002C7B46">
        <w:rPr>
          <w:rFonts w:asciiTheme="majorBidi" w:hAnsiTheme="majorBidi" w:cstheme="majorBidi"/>
          <w:sz w:val="22"/>
          <w:szCs w:val="22"/>
          <w:rtl/>
        </w:rPr>
        <w:t>UNEP/OzL.Pro.WG.1/48/2</w:t>
      </w:r>
      <w:r w:rsidRPr="00984A76">
        <w:rPr>
          <w:rFonts w:cs="Simplified Arabic"/>
          <w:szCs w:val="24"/>
          <w:rtl/>
        </w:rPr>
        <w:t>، الفقرات 20-22)، طلب الاجتماع الخامس والثلاثون للأطراف في المقرر 35/20 إلى فريق التقييم التكنولوجي والاقتصادي أن يقدم، في تقريره المرحلي الذي أُعد قبل الاجتماع السابع والأربعين للفريق العامل المفتوح العضوية، خيارات تتعلق بتنظيم الفريق ولجان الخيارات التقنية التابعة له، مع مراعاة اختصاصات الفريق المحددة في المقرر 24/8، والمسترشدة بالتشاور مع الرؤساء المشاركين للجان الخيارات التقنية وأعضائها، وبتجاربهم في تنفيذ طرق جديدة، على أساس تجريبي، لتنظيم عملهم.</w:t>
      </w:r>
    </w:p>
    <w:p w14:paraId="229552F8" w14:textId="39280B70" w:rsidR="00D44330" w:rsidRPr="000D404F" w:rsidRDefault="00D44330" w:rsidP="000D404F">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jc w:val="lowKashida"/>
        <w:textDirection w:val="tbRlV"/>
        <w:rPr>
          <w:rFonts w:cs="Simplified Arabic"/>
          <w:w w:val="101"/>
          <w:szCs w:val="24"/>
        </w:rPr>
      </w:pPr>
      <w:r w:rsidRPr="000D404F">
        <w:rPr>
          <w:rFonts w:cs="Simplified Arabic"/>
          <w:w w:val="101"/>
          <w:szCs w:val="24"/>
          <w:rtl/>
        </w:rPr>
        <w:t xml:space="preserve">وقد عُرض الرد الأصلي للفريق على المقرر 35/20 </w:t>
      </w:r>
      <w:r w:rsidR="005D5A1D" w:rsidRPr="00087C24">
        <w:rPr>
          <w:rFonts w:cs="Simplified Arabic"/>
          <w:w w:val="101"/>
          <w:szCs w:val="24"/>
        </w:rPr>
        <w:t>-</w:t>
      </w:r>
      <w:r w:rsidRPr="000D404F">
        <w:rPr>
          <w:rFonts w:cs="Simplified Arabic"/>
          <w:w w:val="101"/>
          <w:szCs w:val="24"/>
          <w:rtl/>
        </w:rPr>
        <w:t xml:space="preserve"> الذي أعده فريق عامل مؤلف من ثمانية أعضاء </w:t>
      </w:r>
      <w:r w:rsidR="005D5A1D" w:rsidRPr="00087C24">
        <w:rPr>
          <w:rFonts w:cs="Simplified Arabic"/>
          <w:w w:val="101"/>
          <w:szCs w:val="24"/>
        </w:rPr>
        <w:t>-</w:t>
      </w:r>
      <w:r w:rsidRPr="000D404F">
        <w:rPr>
          <w:rFonts w:cs="Simplified Arabic"/>
          <w:w w:val="101"/>
          <w:szCs w:val="24"/>
          <w:rtl/>
        </w:rPr>
        <w:t xml:space="preserve"> على الفريق العامل المفتوح العضوية في اجتماعه السابع والأربعين</w:t>
      </w:r>
      <w:r w:rsidRPr="000D404F">
        <w:rPr>
          <w:rFonts w:cs="Simplified Arabic"/>
          <w:w w:val="101"/>
          <w:szCs w:val="24"/>
          <w:vertAlign w:val="superscript"/>
          <w:rtl/>
        </w:rPr>
        <w:t>(</w:t>
      </w:r>
      <w:r w:rsidRPr="000D404F">
        <w:rPr>
          <w:rFonts w:cs="Simplified Arabic"/>
          <w:w w:val="101"/>
          <w:szCs w:val="24"/>
          <w:vertAlign w:val="superscript"/>
          <w:rtl/>
        </w:rPr>
        <w:footnoteReference w:id="8"/>
      </w:r>
      <w:r w:rsidRPr="000D404F">
        <w:rPr>
          <w:rFonts w:cs="Simplified Arabic"/>
          <w:w w:val="101"/>
          <w:szCs w:val="24"/>
          <w:vertAlign w:val="superscript"/>
          <w:rtl/>
        </w:rPr>
        <w:t>)</w:t>
      </w:r>
      <w:r w:rsidRPr="000D404F">
        <w:rPr>
          <w:rFonts w:cs="Simplified Arabic"/>
          <w:w w:val="101"/>
          <w:szCs w:val="24"/>
          <w:rtl/>
        </w:rPr>
        <w:t xml:space="preserve">. ويقدم فريق التقييم التكنولوجي والاقتصادي في تقريره المرحلي لعام 2026 تحليلاً إضافياً ويسلط الضوء على الخيارات المفضلة لإعادة تنظيمه. ويرد هذا التحليل، الذي أجراه الفريق العامل الذي أعيد تشكيله، في الفصل 8 من التقرير. ويرد موجز في الفقرات التالية. </w:t>
      </w:r>
    </w:p>
    <w:p w14:paraId="559CCA2F" w14:textId="77777777" w:rsidR="00D44330" w:rsidRPr="00984A76" w:rsidRDefault="00D44330" w:rsidP="007259BB">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textDirection w:val="tbRlV"/>
        <w:rPr>
          <w:rFonts w:cs="Simplified Arabic"/>
          <w:szCs w:val="24"/>
        </w:rPr>
      </w:pPr>
      <w:r w:rsidRPr="00984A76">
        <w:rPr>
          <w:rFonts w:cs="Simplified Arabic"/>
          <w:szCs w:val="24"/>
          <w:rtl/>
        </w:rPr>
        <w:t>ويتألف فريق التقييم التكنولوجي والاقتصادي حالياً من 21 عضواً</w:t>
      </w:r>
      <w:r w:rsidRPr="00984A76">
        <w:rPr>
          <w:rFonts w:cs="Simplified Arabic"/>
          <w:szCs w:val="24"/>
        </w:rPr>
        <w:t>:</w:t>
      </w:r>
      <w:r w:rsidRPr="00984A76">
        <w:rPr>
          <w:rFonts w:cs="Simplified Arabic"/>
          <w:szCs w:val="24"/>
          <w:rtl/>
        </w:rPr>
        <w:t xml:space="preserve"> 3 من الرؤساء المشاركين للفريق، و12 من الرؤساء المشاركين للجان الخيارات التقنية، و6 من كبار الخبراء. ومن بين هؤلاء، ينتمي 48 في المئة إلى الأطراف العاملة بموجب المادة 5، ويتوزعون حسب الجنس على النحو التالي</w:t>
      </w:r>
      <w:r w:rsidRPr="00984A76">
        <w:rPr>
          <w:rFonts w:cs="Simplified Arabic"/>
          <w:szCs w:val="24"/>
        </w:rPr>
        <w:t>:</w:t>
      </w:r>
      <w:r w:rsidRPr="00984A76">
        <w:rPr>
          <w:rFonts w:cs="Simplified Arabic"/>
          <w:szCs w:val="24"/>
          <w:rtl/>
        </w:rPr>
        <w:t xml:space="preserve"> 6 نساء و15 رجلاً. ويضم الفريق ولجان الخيارات التقنية التابعة له أكثر من 150 خبيرًا، يعملون جميعًا بشكل تطوعي دون أجر.</w:t>
      </w:r>
    </w:p>
    <w:p w14:paraId="7B0561F6" w14:textId="3BCA3A83" w:rsidR="00D44330" w:rsidRPr="00984A76" w:rsidRDefault="00D44330" w:rsidP="00984A76">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textDirection w:val="tbRlV"/>
        <w:rPr>
          <w:rFonts w:cs="Simplified Arabic"/>
          <w:szCs w:val="24"/>
        </w:rPr>
      </w:pPr>
      <w:r w:rsidRPr="00984A76">
        <w:rPr>
          <w:rFonts w:cs="Simplified Arabic"/>
          <w:szCs w:val="24"/>
          <w:rtl/>
        </w:rPr>
        <w:t>ووفقًا للفريق، فإن التكوين والهيكل الحاليين للجان الخيارات التقنية يعملان عموماً بشكل فعال، مما يمكّنه من أداء عمله بنجاح. ويتعلق التحليل الإضافي المقدم الأطراف للنظر فيه، على وجه الخصوص، بالخيار المفضل لكل لجنة لإدارة التغيرات المتوقعة في عبء العمل اعتبارًا من عام 2027 فصاعدًا. وتستند هذه الخيارات إلى الواقع العملي الحالي، بما في ذلك التناقص المتوقع في عدد الأعضاء، والقيود المفروضة على دعم المشاركة، واحتياجات التوظيف المستمرة، فضلاً عن التطوير التدريجي لترتيبات العمل القائمة على اللجان الفرعية في أكبر لجنتين من لجان الخيارات التقنية. وقد صُممت هذه الخيارات بحيث تظل قابلة للتكييف، ويمكن إعادة النظر فيها مع تطور احتياجات الأطراف.</w:t>
      </w:r>
    </w:p>
    <w:p w14:paraId="188C01FF" w14:textId="77777777" w:rsidR="00D44330" w:rsidRPr="00984A76" w:rsidRDefault="00D44330" w:rsidP="00984A76">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textDirection w:val="tbRlV"/>
        <w:rPr>
          <w:rFonts w:cs="Simplified Arabic"/>
          <w:szCs w:val="24"/>
        </w:rPr>
      </w:pPr>
      <w:r w:rsidRPr="00984A76">
        <w:rPr>
          <w:rFonts w:cs="Simplified Arabic"/>
          <w:szCs w:val="24"/>
          <w:rtl/>
        </w:rPr>
        <w:t>وفي هذا السياق، يشير الفريق إلى مصفوفة الخبرات المحدثة الخاصة به، والتي تسلط الضوء على الثغرات التي حُددت وتشجع الأطراف على ترشيح خبراء للمساعدة في تلبية تلك الاحتياجات.</w:t>
      </w:r>
    </w:p>
    <w:p w14:paraId="4E354F34" w14:textId="77777777" w:rsidR="00D44330" w:rsidRPr="00984A76" w:rsidRDefault="00D44330" w:rsidP="00984A76">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textDirection w:val="tbRlV"/>
        <w:rPr>
          <w:rFonts w:cs="Simplified Arabic"/>
          <w:szCs w:val="24"/>
        </w:rPr>
      </w:pPr>
      <w:r w:rsidRPr="00984A76">
        <w:rPr>
          <w:rFonts w:cs="Simplified Arabic"/>
          <w:szCs w:val="24"/>
          <w:rtl/>
        </w:rPr>
        <w:t>وفيما يخص كل لجنة من لجان الخيارات التقنية، يعرض التقرير معلومات أساسية عن نطاق عملها والمسائل التي تتناولها، يليها تحليل لخيارها المفضل بشأن التكوين المستقبلي، بما في ذلك، حسب الاقتضاء، المزايا والعيوب المرتبطة به. وباختصار، فإن الخيارات التي يفضلها الفريق هي كما يلي:</w:t>
      </w:r>
    </w:p>
    <w:p w14:paraId="6E2C673D" w14:textId="77777777" w:rsidR="00D44330" w:rsidRPr="00984A76" w:rsidRDefault="00D44330" w:rsidP="007259BB">
      <w:pPr>
        <w:pStyle w:val="Normalnumber"/>
        <w:numPr>
          <w:ilvl w:val="0"/>
          <w:numId w:val="36"/>
        </w:numPr>
        <w:tabs>
          <w:tab w:val="clear" w:pos="1247"/>
          <w:tab w:val="clear" w:pos="1814"/>
          <w:tab w:val="clear" w:pos="2381"/>
          <w:tab w:val="clear" w:pos="2948"/>
          <w:tab w:val="clear" w:pos="3515"/>
          <w:tab w:val="left" w:pos="2552"/>
        </w:tabs>
        <w:bidi/>
        <w:spacing w:line="360" w:lineRule="exact"/>
        <w:ind w:left="1134" w:firstLine="709"/>
        <w:jc w:val="both"/>
        <w:textDirection w:val="tbRlV"/>
        <w:rPr>
          <w:rFonts w:ascii="Simplified Arabic" w:hAnsi="Simplified Arabic" w:hint="default"/>
          <w:sz w:val="24"/>
          <w:szCs w:val="24"/>
          <w:rtl/>
          <w:lang w:val="ar-SA" w:eastAsia="zh-TW" w:bidi="en-GB"/>
        </w:rPr>
      </w:pPr>
      <w:r w:rsidRPr="00984A76">
        <w:rPr>
          <w:rFonts w:ascii="Simplified Arabic" w:hAnsi="Simplified Arabic" w:hint="default"/>
          <w:sz w:val="24"/>
          <w:szCs w:val="24"/>
          <w:rtl/>
        </w:rPr>
        <w:t>تُعتبر لجنة الخيارات التقنية للرغاوى المرنة والجاسئة، التي تتألف حالياً من رئيسين مشاركين و19 عضواً، لجنة تعمل بشكل جيد وذات حجم مناسب. وهي تقدم تقييمات نقدية للبدائل في قطاع الرغوة والتطورات التقنية في هذا المجال. وقد تنظر في إجراء تعديلات طفيفة في المستقبل (مثل تقليل وتيرة الاجتماعات أو تقليص حجمها بعد اكتمال عمليات الانتقال الرئيسية)، لكن يُفضل في هذه المرحلة الحفاظ على هيكلها الحالي من أجل الاستقرار العام؛</w:t>
      </w:r>
    </w:p>
    <w:p w14:paraId="388177D6" w14:textId="77777777" w:rsidR="00D44330" w:rsidRPr="00984A76" w:rsidRDefault="00D44330" w:rsidP="007259BB">
      <w:pPr>
        <w:pStyle w:val="Normalnumber"/>
        <w:numPr>
          <w:ilvl w:val="0"/>
          <w:numId w:val="36"/>
        </w:numPr>
        <w:tabs>
          <w:tab w:val="clear" w:pos="1247"/>
          <w:tab w:val="clear" w:pos="1814"/>
          <w:tab w:val="clear" w:pos="2381"/>
          <w:tab w:val="clear" w:pos="2948"/>
          <w:tab w:val="clear" w:pos="3515"/>
          <w:tab w:val="left" w:pos="2552"/>
        </w:tabs>
        <w:bidi/>
        <w:spacing w:line="360" w:lineRule="exact"/>
        <w:ind w:left="1134" w:firstLine="709"/>
        <w:jc w:val="both"/>
        <w:textDirection w:val="tbRlV"/>
        <w:rPr>
          <w:rFonts w:ascii="Simplified Arabic" w:hAnsi="Simplified Arabic" w:hint="default"/>
          <w:sz w:val="24"/>
          <w:szCs w:val="24"/>
          <w:rtl/>
          <w:lang w:val="ar-SA" w:eastAsia="zh-TW" w:bidi="en-GB"/>
        </w:rPr>
      </w:pPr>
      <w:r w:rsidRPr="00984A76">
        <w:rPr>
          <w:rFonts w:ascii="Simplified Arabic" w:hAnsi="Simplified Arabic" w:hint="default"/>
          <w:sz w:val="24"/>
          <w:szCs w:val="24"/>
          <w:rtl/>
        </w:rPr>
        <w:lastRenderedPageBreak/>
        <w:t>لجنة الخيارات التقنية لإخماد الحرائق، التي تتألف حالياً من رئيسين مشاركين و17 عضواً، تُعتبر لجنةً أساسيةً، حيث تضطلع بمهام رئيسية مثل نمذجة الانبعاثات، وإدارة أرصدة الهالون، وتقييمات الإمدادات المتعلقة بالطيران. ونظراً للتطورات الأخيرة في قطاع إخماد الحرائق واحتمال تقديم ترشيحات مستقبلية للاستخدامات الضرورية، لا سيما في مجال الطيران المدني والاستخدامات الدائمة الأخرى، يُعتبر الهيكل الحالي للجنة، مع تحديث أعضائها أو استبدالهم، ووجود رئيس مشارك إضافي من إحدى الأطراف العاملة بموجب المادة 5، في الحالة المثلى، هيكلاً ملائماً. ولذلك، يوصي الفريق بالإبقاء على الهيكل الحالي، مشيراً إلى أن خفض عدد الأعضاء قد يضعف قدرتها على تلبية المتطلبات المستقبلية، لا سيما فيما يتعلق بالاستخدامات الضرورية في مجال الطيران والنظم القديمة؛</w:t>
      </w:r>
    </w:p>
    <w:p w14:paraId="59DF1D24" w14:textId="77777777" w:rsidR="00D44330" w:rsidRPr="00984A76" w:rsidRDefault="00D44330" w:rsidP="007259BB">
      <w:pPr>
        <w:pStyle w:val="Normalnumber"/>
        <w:numPr>
          <w:ilvl w:val="0"/>
          <w:numId w:val="36"/>
        </w:numPr>
        <w:tabs>
          <w:tab w:val="clear" w:pos="1247"/>
          <w:tab w:val="clear" w:pos="1814"/>
          <w:tab w:val="clear" w:pos="2381"/>
          <w:tab w:val="clear" w:pos="2948"/>
          <w:tab w:val="clear" w:pos="3515"/>
          <w:tab w:val="left" w:pos="2552"/>
        </w:tabs>
        <w:bidi/>
        <w:spacing w:line="360" w:lineRule="exact"/>
        <w:ind w:left="1134" w:firstLine="709"/>
        <w:jc w:val="both"/>
        <w:textDirection w:val="tbRlV"/>
        <w:rPr>
          <w:rFonts w:ascii="Simplified Arabic" w:hAnsi="Simplified Arabic" w:hint="default"/>
          <w:sz w:val="24"/>
          <w:szCs w:val="24"/>
          <w:rtl/>
          <w:lang w:val="ar-SA" w:eastAsia="zh-TW" w:bidi="en-GB"/>
        </w:rPr>
      </w:pPr>
      <w:r w:rsidRPr="00984A76">
        <w:rPr>
          <w:rFonts w:ascii="Simplified Arabic" w:hAnsi="Simplified Arabic" w:hint="default"/>
          <w:sz w:val="24"/>
          <w:szCs w:val="24"/>
          <w:rtl/>
        </w:rPr>
        <w:t>تفيد لجنة الخيارات التقنية لبروميد الميثيل، التي تتألف حالياً من رئيسين مشاركين و16 عضواً، بأن الاستخدامات الخاضعة للرقابة لبروميد الميثيل قد تم التخلص منها تدريجياً إلى حد كبير، إلا أن استخداماته في تطبيقات الحجر الصحي وتطبيقات ما قبل الشحن لا تزال كبيرة. وتوصي اللجنة بالإبقاء على فريق خبراء متوسط الحجم للحفاظ على المعرفة المؤسسية وإدارة الاستخدامات الخاضعة للرقابة والاستخدامات المستثناة المتبقية، مع الاستمرار في دعم البدائل واستراتيجيات خفض الانبعاثات؛</w:t>
      </w:r>
    </w:p>
    <w:p w14:paraId="5F6DC418" w14:textId="28B63580" w:rsidR="00D44330" w:rsidRPr="00984A76" w:rsidRDefault="00D44330" w:rsidP="007259BB">
      <w:pPr>
        <w:pStyle w:val="Normalnumber"/>
        <w:numPr>
          <w:ilvl w:val="0"/>
          <w:numId w:val="36"/>
        </w:numPr>
        <w:tabs>
          <w:tab w:val="clear" w:pos="1247"/>
          <w:tab w:val="clear" w:pos="1814"/>
          <w:tab w:val="clear" w:pos="2381"/>
          <w:tab w:val="clear" w:pos="2948"/>
          <w:tab w:val="clear" w:pos="3515"/>
          <w:tab w:val="left" w:pos="2552"/>
        </w:tabs>
        <w:bidi/>
        <w:spacing w:line="360" w:lineRule="exact"/>
        <w:ind w:left="1134" w:firstLine="709"/>
        <w:jc w:val="both"/>
        <w:textDirection w:val="tbRlV"/>
        <w:rPr>
          <w:rFonts w:ascii="Simplified Arabic" w:hAnsi="Simplified Arabic" w:hint="default"/>
          <w:sz w:val="24"/>
          <w:szCs w:val="24"/>
          <w:rtl/>
          <w:lang w:val="ar-SA" w:eastAsia="zh-TW" w:bidi="en-GB"/>
        </w:rPr>
      </w:pPr>
      <w:r w:rsidRPr="00984A76">
        <w:rPr>
          <w:rFonts w:ascii="Simplified Arabic" w:hAnsi="Simplified Arabic" w:hint="default"/>
          <w:sz w:val="24"/>
          <w:szCs w:val="24"/>
          <w:rtl/>
        </w:rPr>
        <w:t>تغطي لجنة الخيارات التقنية الطبية والكيميائية، التي تتألف حاليًا من ثلاثة رؤساء مشاركين و39 عضوًا، نطاقًا واسعًا ومتوسعًا يشمل المستحضرات الصيدلانية والمذيبات وتصنيع أشباه الموصلات والمسائل الكيميائية الناشئة مثل المواد الألكيلية البيرفلورية والمتعددة الفلور وانبعاثات مركبات الكربون الهيدروفلورية. ونظراً لتزايد حجم العمل وتعقيداته، تقترح اللجنة إجراء إعادة هيكلة محتملة في المستقبل لتقسيمها إلى لجنتين فرعيتين، إحداهما معنية بـ</w:t>
      </w:r>
      <w:r w:rsidR="00317D8D">
        <w:rPr>
          <w:rFonts w:ascii="Simplified Arabic" w:hAnsi="Simplified Arabic"/>
          <w:sz w:val="24"/>
          <w:szCs w:val="24"/>
          <w:rtl/>
        </w:rPr>
        <w:t xml:space="preserve"> </w:t>
      </w:r>
      <w:r w:rsidR="003E219F">
        <w:rPr>
          <w:rFonts w:ascii="Simplified Arabic" w:hAnsi="Simplified Arabic" w:hint="default"/>
          <w:sz w:val="24"/>
          <w:szCs w:val="24"/>
          <w:lang w:val="en-US"/>
        </w:rPr>
        <w:t>”</w:t>
      </w:r>
      <w:r w:rsidRPr="00984A76">
        <w:rPr>
          <w:rFonts w:ascii="Simplified Arabic" w:hAnsi="Simplified Arabic" w:hint="default"/>
          <w:sz w:val="24"/>
          <w:szCs w:val="24"/>
          <w:rtl/>
        </w:rPr>
        <w:t>الإيروسولات/المسائل الطبية</w:t>
      </w:r>
      <w:r w:rsidR="00E26631">
        <w:rPr>
          <w:rFonts w:ascii="Simplified Arabic" w:hAnsi="Simplified Arabic" w:hint="default"/>
          <w:sz w:val="24"/>
          <w:szCs w:val="24"/>
          <w:lang w:val="en-US"/>
        </w:rPr>
        <w:t>“</w:t>
      </w:r>
      <w:r w:rsidRPr="00984A76">
        <w:rPr>
          <w:rFonts w:ascii="Simplified Arabic" w:hAnsi="Simplified Arabic" w:hint="default"/>
          <w:sz w:val="24"/>
          <w:szCs w:val="24"/>
          <w:rtl/>
        </w:rPr>
        <w:t xml:space="preserve"> والأخرى بـ</w:t>
      </w:r>
      <w:r w:rsidR="003E219F">
        <w:rPr>
          <w:rFonts w:ascii="Simplified Arabic" w:hAnsi="Simplified Arabic" w:hint="default"/>
          <w:sz w:val="24"/>
          <w:szCs w:val="24"/>
          <w:lang w:val="en-US"/>
        </w:rPr>
        <w:t xml:space="preserve">” </w:t>
      </w:r>
      <w:r w:rsidRPr="00984A76">
        <w:rPr>
          <w:rFonts w:ascii="Simplified Arabic" w:hAnsi="Simplified Arabic" w:hint="default"/>
          <w:sz w:val="24"/>
          <w:szCs w:val="24"/>
          <w:rtl/>
        </w:rPr>
        <w:t>المواد الكيميائية</w:t>
      </w:r>
      <w:r w:rsidR="00E26631">
        <w:rPr>
          <w:rFonts w:ascii="Simplified Arabic" w:hAnsi="Simplified Arabic" w:hint="default"/>
          <w:sz w:val="24"/>
          <w:szCs w:val="24"/>
          <w:lang w:val="en-US"/>
        </w:rPr>
        <w:t>“</w:t>
      </w:r>
      <w:r w:rsidRPr="00984A76">
        <w:rPr>
          <w:rFonts w:ascii="Simplified Arabic" w:hAnsi="Simplified Arabic" w:hint="default"/>
          <w:sz w:val="24"/>
          <w:szCs w:val="24"/>
          <w:rtl/>
        </w:rPr>
        <w:t>، يدعمهما أربعة رؤساء مشاركين، بهدف تحسين الكفاءة مع الحفاظ على النطاق التقني؛</w:t>
      </w:r>
    </w:p>
    <w:p w14:paraId="1108BAA4" w14:textId="54169544" w:rsidR="00D44330" w:rsidRPr="00984A76" w:rsidRDefault="00D44330" w:rsidP="007259BB">
      <w:pPr>
        <w:pStyle w:val="Normalnumber"/>
        <w:numPr>
          <w:ilvl w:val="0"/>
          <w:numId w:val="36"/>
        </w:numPr>
        <w:tabs>
          <w:tab w:val="clear" w:pos="1247"/>
          <w:tab w:val="clear" w:pos="1814"/>
          <w:tab w:val="clear" w:pos="2381"/>
          <w:tab w:val="clear" w:pos="2948"/>
          <w:tab w:val="clear" w:pos="3515"/>
          <w:tab w:val="left" w:pos="2552"/>
        </w:tabs>
        <w:bidi/>
        <w:spacing w:line="360" w:lineRule="exact"/>
        <w:ind w:left="1134" w:firstLine="709"/>
        <w:jc w:val="both"/>
        <w:textDirection w:val="tbRlV"/>
        <w:rPr>
          <w:rFonts w:ascii="Simplified Arabic" w:hAnsi="Simplified Arabic" w:hint="default"/>
          <w:sz w:val="24"/>
          <w:szCs w:val="24"/>
          <w:rtl/>
          <w:lang w:val="ar-SA" w:eastAsia="zh-TW" w:bidi="en-GB"/>
        </w:rPr>
      </w:pPr>
      <w:r w:rsidRPr="00984A76">
        <w:rPr>
          <w:rFonts w:ascii="Simplified Arabic" w:hAnsi="Simplified Arabic" w:hint="default"/>
          <w:sz w:val="24"/>
          <w:szCs w:val="24"/>
          <w:rtl/>
        </w:rPr>
        <w:t>تواجه لجنة الخيارات التقنية للتبريد وتكييف الهواء والمضخات الحرارية، التي تتألف حالياً من أربعة رؤساء مشاركين و42 عضواً، عبء عمل متزايداً بسبب النمو العالمي في الطلب على التبريد، وسياسات كفاءة الطاقة، وتنفيذ تعديل كيغالي. وتقترح اللجنة الإبقاء على لجنة كبيرة، تضم لجانًا فرعية معنية بـ</w:t>
      </w:r>
      <w:r w:rsidR="007259BB">
        <w:rPr>
          <w:rFonts w:ascii="Simplified Arabic" w:hAnsi="Simplified Arabic" w:hint="default"/>
          <w:sz w:val="24"/>
          <w:szCs w:val="24"/>
          <w:lang w:val="en-US"/>
        </w:rPr>
        <w:t>”</w:t>
      </w:r>
      <w:r w:rsidR="00493898" w:rsidRPr="00087C24">
        <w:rPr>
          <w:rFonts w:ascii="Simplified Arabic" w:hAnsi="Simplified Arabic" w:hint="default"/>
          <w:sz w:val="24"/>
          <w:szCs w:val="24"/>
          <w:lang w:val="en-GB"/>
        </w:rPr>
        <w:t xml:space="preserve"> </w:t>
      </w:r>
      <w:r w:rsidRPr="00984A76">
        <w:rPr>
          <w:rFonts w:ascii="Simplified Arabic" w:hAnsi="Simplified Arabic" w:hint="default"/>
          <w:sz w:val="24"/>
          <w:szCs w:val="24"/>
          <w:rtl/>
        </w:rPr>
        <w:t>التبريد والتدفئة لأغراض الراحة</w:t>
      </w:r>
      <w:r w:rsidR="00E26631">
        <w:rPr>
          <w:rFonts w:ascii="Simplified Arabic" w:hAnsi="Simplified Arabic" w:hint="default"/>
          <w:sz w:val="24"/>
          <w:szCs w:val="24"/>
          <w:lang w:val="en-US"/>
        </w:rPr>
        <w:t>“</w:t>
      </w:r>
      <w:r w:rsidRPr="00984A76">
        <w:rPr>
          <w:rFonts w:ascii="Simplified Arabic" w:hAnsi="Simplified Arabic" w:hint="default"/>
          <w:sz w:val="24"/>
          <w:szCs w:val="24"/>
          <w:rtl/>
        </w:rPr>
        <w:t xml:space="preserve"> و</w:t>
      </w:r>
      <w:r w:rsidR="00493898">
        <w:rPr>
          <w:rFonts w:ascii="Simplified Arabic" w:hAnsi="Simplified Arabic" w:hint="default"/>
          <w:sz w:val="24"/>
          <w:szCs w:val="24"/>
          <w:lang w:val="en-US"/>
        </w:rPr>
        <w:t>”</w:t>
      </w:r>
      <w:r w:rsidRPr="00984A76">
        <w:rPr>
          <w:rFonts w:ascii="Simplified Arabic" w:hAnsi="Simplified Arabic" w:hint="default"/>
          <w:sz w:val="24"/>
          <w:szCs w:val="24"/>
          <w:rtl/>
        </w:rPr>
        <w:t>سلسلة أجهزة التبريد والتطبيقات الأخرى</w:t>
      </w:r>
      <w:r w:rsidR="00E26631">
        <w:rPr>
          <w:rFonts w:ascii="Simplified Arabic" w:hAnsi="Simplified Arabic" w:hint="default"/>
          <w:sz w:val="24"/>
          <w:szCs w:val="24"/>
          <w:lang w:val="en-US"/>
        </w:rPr>
        <w:t>“</w:t>
      </w:r>
      <w:r w:rsidRPr="00984A76">
        <w:rPr>
          <w:rFonts w:ascii="Simplified Arabic" w:hAnsi="Simplified Arabic" w:hint="default"/>
          <w:sz w:val="24"/>
          <w:szCs w:val="24"/>
          <w:rtl/>
        </w:rPr>
        <w:t>، مما يتيح التخصص مع الحفاظ على التنسيق بشأن المسائل الشاملة.</w:t>
      </w:r>
    </w:p>
    <w:p w14:paraId="16ECEAF7" w14:textId="77777777" w:rsidR="00D44330" w:rsidRPr="00984A76" w:rsidRDefault="00D44330" w:rsidP="00984A76">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textDirection w:val="tbRlV"/>
        <w:rPr>
          <w:rFonts w:cs="Simplified Arabic"/>
          <w:szCs w:val="24"/>
        </w:rPr>
      </w:pPr>
      <w:r w:rsidRPr="00984A76">
        <w:rPr>
          <w:rFonts w:cs="Simplified Arabic"/>
          <w:szCs w:val="24"/>
          <w:rtl/>
        </w:rPr>
        <w:t>وعبر جميع لجان الخيارات التقنية، يسلط فريق التقييم التكنولوجي والاقتصادي الضوء على التحديات المشتركة، وهي: تزايد عبء العمل الناجم عن تداخل أنظمة التخلص التدريجي من المواد المستنفدة لطبقة الأوزون وأنظمة التخفيض التدريجي لمركبات الكربون الهيدروفلورية، وفقدان الأعضاء ذوي الخبرة بسبب التقاعد، وصعوبة تمويل المشاركة (خاصةً تكاليف السفر)، والضغط الناجم عن الحفاظ على التوافق في بيئات العمل التي أصبحت افتراضية بشكل متزايد. ورغم أن التعاون عن بُعد يساعد على ضمان استمرارية العمل، فإن الفريق يؤكد أن الاجتماعات الحضورية لا تزال ضرورية لبناء الثقة والتوصل إلى توافق فعال في الآراء.</w:t>
      </w:r>
    </w:p>
    <w:p w14:paraId="19FEC0DA" w14:textId="77777777" w:rsidR="00D44330" w:rsidRPr="00984A76" w:rsidRDefault="00D44330" w:rsidP="00984A76">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textDirection w:val="tbRlV"/>
        <w:rPr>
          <w:rFonts w:cs="Simplified Arabic"/>
          <w:szCs w:val="24"/>
        </w:rPr>
      </w:pPr>
      <w:r w:rsidRPr="00984A76">
        <w:rPr>
          <w:rFonts w:cs="Simplified Arabic"/>
          <w:szCs w:val="24"/>
          <w:rtl/>
        </w:rPr>
        <w:t>وقد يرغب الفريق العامل المفتوح العضوية في النظر في التقرير والتوصية بسبل للمضي قدماً.</w:t>
      </w:r>
    </w:p>
    <w:p w14:paraId="5D392ABC" w14:textId="09038A0D" w:rsidR="00D44330" w:rsidRPr="00317D8D" w:rsidRDefault="00D44330" w:rsidP="00317D8D">
      <w:pPr>
        <w:pStyle w:val="CH3"/>
        <w:numPr>
          <w:ilvl w:val="0"/>
          <w:numId w:val="40"/>
        </w:numPr>
        <w:tabs>
          <w:tab w:val="clear" w:pos="851"/>
          <w:tab w:val="clear" w:pos="1247"/>
          <w:tab w:val="clear" w:pos="1871"/>
          <w:tab w:val="clear" w:pos="2495"/>
          <w:tab w:val="clear" w:pos="3119"/>
          <w:tab w:val="clear" w:pos="3742"/>
          <w:tab w:val="clear" w:pos="4366"/>
          <w:tab w:val="clear" w:pos="4990"/>
        </w:tabs>
        <w:bidi/>
        <w:spacing w:before="0" w:line="360" w:lineRule="exact"/>
        <w:ind w:left="1135" w:right="0" w:hanging="851"/>
        <w:jc w:val="both"/>
        <w:textDirection w:val="tbRlV"/>
        <w:rPr>
          <w:rFonts w:ascii="Simplified Arabic" w:hAnsi="Simplified Arabic" w:cs="Simplified Arabic"/>
          <w:bCs/>
          <w:sz w:val="24"/>
          <w:szCs w:val="24"/>
          <w:rtl/>
          <w:lang w:bidi="en-GB"/>
        </w:rPr>
      </w:pPr>
      <w:r w:rsidRPr="00984A76">
        <w:rPr>
          <w:rFonts w:ascii="Simplified Arabic" w:hAnsi="Simplified Arabic" w:cs="Simplified Arabic"/>
          <w:bCs/>
          <w:sz w:val="24"/>
          <w:szCs w:val="24"/>
          <w:rtl/>
        </w:rPr>
        <w:t>التغييرات في عضوية الفريق</w:t>
      </w:r>
    </w:p>
    <w:p w14:paraId="75294955" w14:textId="77777777" w:rsidR="00D44330" w:rsidRPr="00984A76" w:rsidRDefault="00D44330" w:rsidP="00984A76">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textDirection w:val="tbRlV"/>
        <w:rPr>
          <w:rFonts w:cs="Simplified Arabic"/>
          <w:szCs w:val="24"/>
          <w:rtl/>
          <w:lang w:bidi="en-GB"/>
        </w:rPr>
      </w:pPr>
      <w:r w:rsidRPr="00984A76">
        <w:rPr>
          <w:rFonts w:cs="Simplified Arabic"/>
          <w:szCs w:val="24"/>
          <w:rtl/>
        </w:rPr>
        <w:t xml:space="preserve">يقدم فريق التقييم التكنولوجي والاقتصادي، في المرفق 2 من تقريره المرحلي لعام 2026، معلومات عن حالة عضويته وعضوية لجان الخيارات التقنية التابعة له حتى أيار/مايو 2026. </w:t>
      </w:r>
    </w:p>
    <w:p w14:paraId="4BEF3651" w14:textId="77777777" w:rsidR="00D44330" w:rsidRPr="00984A76" w:rsidRDefault="00D44330" w:rsidP="00984A76">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textDirection w:val="tbRlV"/>
        <w:rPr>
          <w:rFonts w:cs="Simplified Arabic"/>
          <w:szCs w:val="24"/>
          <w:rtl/>
          <w:lang w:bidi="en-GB"/>
        </w:rPr>
      </w:pPr>
      <w:r w:rsidRPr="00984A76">
        <w:rPr>
          <w:rFonts w:cs="Simplified Arabic"/>
          <w:szCs w:val="24"/>
          <w:rtl/>
        </w:rPr>
        <w:t xml:space="preserve">وترد في الجدول 3 قائمة بأعضاء الفريق الذين تنتهي عضويتهم في نهاية عام 2026 والذين تتطلب إعادة تعيينهم قراراً من الاجتماع الثامن والثلاثين للأطراف. وترد في المرفق الثالث لهذه الإضافة قائمة بأعضاء </w:t>
      </w:r>
      <w:r w:rsidRPr="00984A76">
        <w:rPr>
          <w:rFonts w:cs="Simplified Arabic"/>
          <w:szCs w:val="24"/>
          <w:rtl/>
        </w:rPr>
        <w:lastRenderedPageBreak/>
        <w:t>لجان الخيارات التقنية الذين تنتهي عضويتهم في نهاية عام 2026 والذين لا تتطلب إعادة تعيينهم قراراً من الاجتماع الثامن والثلاثين للأطراف.</w:t>
      </w:r>
    </w:p>
    <w:p w14:paraId="3303A5C2" w14:textId="77777777" w:rsidR="00D44330" w:rsidRPr="00984A76" w:rsidRDefault="00D44330" w:rsidP="0053439B">
      <w:pPr>
        <w:pStyle w:val="Titletable"/>
        <w:tabs>
          <w:tab w:val="clear" w:pos="1247"/>
        </w:tabs>
        <w:suppressAutoHyphens w:val="0"/>
        <w:bidi/>
        <w:spacing w:after="120" w:line="360" w:lineRule="exact"/>
        <w:ind w:left="1134"/>
        <w:jc w:val="both"/>
        <w:textDirection w:val="tbRlV"/>
        <w:rPr>
          <w:rFonts w:ascii="Simplified Arabic" w:hAnsi="Simplified Arabic" w:cs="Simplified Arabic"/>
          <w:b w:val="0"/>
          <w:bCs w:val="0"/>
          <w:sz w:val="24"/>
          <w:szCs w:val="24"/>
          <w:rtl/>
        </w:rPr>
      </w:pPr>
      <w:r w:rsidRPr="00984A76">
        <w:rPr>
          <w:rFonts w:ascii="Simplified Arabic" w:hAnsi="Simplified Arabic" w:cs="Simplified Arabic"/>
          <w:b w:val="0"/>
          <w:bCs w:val="0"/>
          <w:sz w:val="24"/>
          <w:szCs w:val="24"/>
          <w:rtl/>
        </w:rPr>
        <w:t>الجدول 3</w:t>
      </w:r>
    </w:p>
    <w:p w14:paraId="2DFABF45" w14:textId="77777777" w:rsidR="00D44330" w:rsidRPr="00984A76" w:rsidRDefault="00D44330" w:rsidP="0053439B">
      <w:pPr>
        <w:pStyle w:val="Titletable"/>
        <w:tabs>
          <w:tab w:val="clear" w:pos="1247"/>
        </w:tabs>
        <w:suppressAutoHyphens w:val="0"/>
        <w:bidi/>
        <w:spacing w:after="120" w:line="360" w:lineRule="exact"/>
        <w:ind w:left="1134"/>
        <w:jc w:val="both"/>
        <w:textDirection w:val="tbRlV"/>
        <w:rPr>
          <w:rFonts w:ascii="Simplified Arabic" w:hAnsi="Simplified Arabic" w:cs="Simplified Arabic"/>
          <w:sz w:val="24"/>
          <w:szCs w:val="24"/>
          <w:rtl/>
        </w:rPr>
      </w:pPr>
      <w:r w:rsidRPr="00984A76">
        <w:rPr>
          <w:rFonts w:ascii="Simplified Arabic" w:hAnsi="Simplified Arabic" w:cs="Simplified Arabic"/>
          <w:sz w:val="24"/>
          <w:szCs w:val="24"/>
          <w:rtl/>
        </w:rPr>
        <w:t>أعضاء فريق التقييم التكنولوجي والاقتصادي الذين تنتهي عضويتهم في نهاية عام 2026 والذين تتطلب إعادة تعيينهم قراراً من الاجتماع الثامن والثلاثين للأطراف</w:t>
      </w:r>
    </w:p>
    <w:tbl>
      <w:tblPr>
        <w:bidiVisual/>
        <w:tblW w:w="8363" w:type="dxa"/>
        <w:tblInd w:w="1139" w:type="dxa"/>
        <w:tblLayout w:type="fixed"/>
        <w:tblLook w:val="04A0" w:firstRow="1" w:lastRow="0" w:firstColumn="1" w:lastColumn="0" w:noHBand="0" w:noVBand="1"/>
      </w:tblPr>
      <w:tblGrid>
        <w:gridCol w:w="1800"/>
        <w:gridCol w:w="4424"/>
        <w:gridCol w:w="2139"/>
      </w:tblGrid>
      <w:tr w:rsidR="00D44330" w:rsidRPr="002657D0" w14:paraId="21DD39DD" w14:textId="77777777" w:rsidTr="002657D0">
        <w:trPr>
          <w:trHeight w:val="57"/>
          <w:tblHeader/>
        </w:trPr>
        <w:tc>
          <w:tcPr>
            <w:tcW w:w="1788" w:type="dxa"/>
            <w:tcBorders>
              <w:top w:val="single" w:sz="4" w:space="0" w:color="auto"/>
              <w:bottom w:val="single" w:sz="12" w:space="0" w:color="auto"/>
            </w:tcBorders>
            <w:vAlign w:val="bottom"/>
          </w:tcPr>
          <w:p w14:paraId="078891F6" w14:textId="77777777" w:rsidR="00D44330" w:rsidRPr="002657D0" w:rsidRDefault="00D44330" w:rsidP="0053439B">
            <w:pPr>
              <w:pStyle w:val="Normal-pool-Table"/>
              <w:keepNext/>
              <w:keepLines/>
              <w:bidi/>
              <w:spacing w:line="280" w:lineRule="exact"/>
              <w:jc w:val="both"/>
              <w:textDirection w:val="tbRlV"/>
              <w:rPr>
                <w:rFonts w:ascii="Simplified Arabic" w:hAnsi="Simplified Arabic" w:cs="Simplified Arabic"/>
                <w:i/>
                <w:iCs/>
                <w:color w:val="000000"/>
                <w:sz w:val="20"/>
                <w:rtl/>
                <w:lang w:bidi="en-GB"/>
              </w:rPr>
            </w:pPr>
            <w:r w:rsidRPr="002657D0">
              <w:rPr>
                <w:rFonts w:ascii="Simplified Arabic" w:hAnsi="Simplified Arabic" w:cs="Simplified Arabic"/>
                <w:i/>
                <w:iCs/>
                <w:color w:val="000000"/>
                <w:sz w:val="20"/>
                <w:rtl/>
              </w:rPr>
              <w:t>الاسم</w:t>
            </w:r>
          </w:p>
        </w:tc>
        <w:tc>
          <w:tcPr>
            <w:tcW w:w="4394" w:type="dxa"/>
            <w:tcBorders>
              <w:top w:val="single" w:sz="4" w:space="0" w:color="auto"/>
              <w:bottom w:val="single" w:sz="12" w:space="0" w:color="auto"/>
            </w:tcBorders>
            <w:vAlign w:val="bottom"/>
          </w:tcPr>
          <w:p w14:paraId="1D544051" w14:textId="77777777" w:rsidR="00D44330" w:rsidRPr="002657D0" w:rsidRDefault="00D44330" w:rsidP="0053439B">
            <w:pPr>
              <w:pStyle w:val="Normal-pool-Table"/>
              <w:keepNext/>
              <w:keepLines/>
              <w:bidi/>
              <w:spacing w:line="280" w:lineRule="exact"/>
              <w:jc w:val="both"/>
              <w:textDirection w:val="tbRlV"/>
              <w:rPr>
                <w:rFonts w:ascii="Simplified Arabic" w:hAnsi="Simplified Arabic" w:cs="Simplified Arabic"/>
                <w:i/>
                <w:iCs/>
                <w:color w:val="000000"/>
                <w:sz w:val="20"/>
                <w:rtl/>
                <w:lang w:bidi="en-GB"/>
              </w:rPr>
            </w:pPr>
            <w:r w:rsidRPr="002657D0">
              <w:rPr>
                <w:rFonts w:ascii="Simplified Arabic" w:hAnsi="Simplified Arabic" w:cs="Simplified Arabic"/>
                <w:i/>
                <w:iCs/>
                <w:color w:val="000000"/>
                <w:sz w:val="20"/>
                <w:rtl/>
              </w:rPr>
              <w:t>المنصب</w:t>
            </w:r>
          </w:p>
        </w:tc>
        <w:tc>
          <w:tcPr>
            <w:tcW w:w="2125" w:type="dxa"/>
            <w:tcBorders>
              <w:top w:val="single" w:sz="4" w:space="0" w:color="auto"/>
              <w:bottom w:val="single" w:sz="12" w:space="0" w:color="auto"/>
            </w:tcBorders>
            <w:vAlign w:val="bottom"/>
          </w:tcPr>
          <w:p w14:paraId="443434DF" w14:textId="77777777" w:rsidR="00D44330" w:rsidRPr="002657D0" w:rsidRDefault="00D44330" w:rsidP="0053439B">
            <w:pPr>
              <w:pStyle w:val="Normal-pool-Table"/>
              <w:keepNext/>
              <w:keepLines/>
              <w:bidi/>
              <w:spacing w:line="280" w:lineRule="exact"/>
              <w:jc w:val="both"/>
              <w:textDirection w:val="tbRlV"/>
              <w:rPr>
                <w:rFonts w:ascii="Simplified Arabic" w:hAnsi="Simplified Arabic" w:cs="Simplified Arabic"/>
                <w:i/>
                <w:iCs/>
                <w:color w:val="000000"/>
                <w:sz w:val="20"/>
                <w:rtl/>
                <w:lang w:bidi="en-GB"/>
              </w:rPr>
            </w:pPr>
            <w:r w:rsidRPr="002657D0">
              <w:rPr>
                <w:rFonts w:ascii="Simplified Arabic" w:hAnsi="Simplified Arabic" w:cs="Simplified Arabic"/>
                <w:i/>
                <w:iCs/>
                <w:color w:val="000000"/>
                <w:sz w:val="20"/>
                <w:rtl/>
              </w:rPr>
              <w:t>البلد</w:t>
            </w:r>
          </w:p>
        </w:tc>
      </w:tr>
      <w:tr w:rsidR="00D44330" w:rsidRPr="002657D0" w14:paraId="1A315770" w14:textId="77777777" w:rsidTr="002657D0">
        <w:trPr>
          <w:trHeight w:val="57"/>
        </w:trPr>
        <w:tc>
          <w:tcPr>
            <w:tcW w:w="1788" w:type="dxa"/>
          </w:tcPr>
          <w:p w14:paraId="3F018783" w14:textId="77777777" w:rsidR="00D44330" w:rsidRPr="000D404F" w:rsidRDefault="00D44330" w:rsidP="0053439B">
            <w:pPr>
              <w:pStyle w:val="Normal-pool-Table"/>
              <w:keepNext/>
              <w:keepLines/>
              <w:bidi/>
              <w:spacing w:line="280" w:lineRule="exact"/>
              <w:jc w:val="both"/>
              <w:textDirection w:val="tbRlV"/>
              <w:rPr>
                <w:rFonts w:ascii="Simplified Arabic" w:hAnsi="Simplified Arabic" w:cs="Simplified Arabic"/>
                <w:color w:val="000000"/>
                <w:sz w:val="20"/>
                <w:rtl/>
                <w:lang w:bidi="en-GB"/>
              </w:rPr>
            </w:pPr>
            <w:r w:rsidRPr="000D404F">
              <w:rPr>
                <w:rFonts w:ascii="Simplified Arabic" w:hAnsi="Simplified Arabic" w:cs="Simplified Arabic"/>
                <w:color w:val="000000"/>
                <w:sz w:val="20"/>
                <w:rtl/>
              </w:rPr>
              <w:t>مارتا بيزانو</w:t>
            </w:r>
          </w:p>
        </w:tc>
        <w:tc>
          <w:tcPr>
            <w:tcW w:w="4394" w:type="dxa"/>
          </w:tcPr>
          <w:p w14:paraId="38B87738" w14:textId="77777777" w:rsidR="00D44330" w:rsidRPr="000D404F" w:rsidRDefault="00D44330" w:rsidP="0053439B">
            <w:pPr>
              <w:pStyle w:val="Normal-pool-Table"/>
              <w:keepNext/>
              <w:keepLines/>
              <w:bidi/>
              <w:spacing w:line="280" w:lineRule="exact"/>
              <w:jc w:val="both"/>
              <w:textDirection w:val="tbRlV"/>
              <w:rPr>
                <w:rFonts w:ascii="Simplified Arabic" w:hAnsi="Simplified Arabic" w:cs="Simplified Arabic"/>
                <w:color w:val="000000"/>
                <w:sz w:val="20"/>
                <w:rtl/>
                <w:lang w:bidi="en-GB"/>
              </w:rPr>
            </w:pPr>
            <w:r w:rsidRPr="000D404F">
              <w:rPr>
                <w:rFonts w:ascii="Simplified Arabic" w:hAnsi="Simplified Arabic" w:cs="Simplified Arabic"/>
                <w:color w:val="000000"/>
                <w:sz w:val="20"/>
                <w:rtl/>
              </w:rPr>
              <w:t>الرئيسة المشاركة لفريق التكنولوجيا والتقييم الاقتصادي</w:t>
            </w:r>
          </w:p>
        </w:tc>
        <w:tc>
          <w:tcPr>
            <w:tcW w:w="2125" w:type="dxa"/>
          </w:tcPr>
          <w:p w14:paraId="17C275E4" w14:textId="77777777" w:rsidR="00D44330" w:rsidRPr="000D404F" w:rsidRDefault="00D44330" w:rsidP="0053439B">
            <w:pPr>
              <w:pStyle w:val="Normal-pool-Table"/>
              <w:keepNext/>
              <w:keepLines/>
              <w:bidi/>
              <w:spacing w:line="280" w:lineRule="exact"/>
              <w:jc w:val="both"/>
              <w:textDirection w:val="tbRlV"/>
              <w:rPr>
                <w:rFonts w:ascii="Simplified Arabic" w:hAnsi="Simplified Arabic" w:cs="Simplified Arabic"/>
                <w:color w:val="000000"/>
                <w:sz w:val="20"/>
                <w:rtl/>
                <w:lang w:bidi="en-GB"/>
              </w:rPr>
            </w:pPr>
            <w:r w:rsidRPr="000D404F">
              <w:rPr>
                <w:rFonts w:ascii="Simplified Arabic" w:hAnsi="Simplified Arabic" w:cs="Simplified Arabic"/>
                <w:color w:val="000000"/>
                <w:sz w:val="20"/>
                <w:rtl/>
              </w:rPr>
              <w:t>كولومبيا</w:t>
            </w:r>
          </w:p>
        </w:tc>
      </w:tr>
      <w:tr w:rsidR="00D44330" w:rsidRPr="00A50247" w14:paraId="08C329A3" w14:textId="77777777" w:rsidTr="002657D0">
        <w:trPr>
          <w:trHeight w:val="57"/>
        </w:trPr>
        <w:tc>
          <w:tcPr>
            <w:tcW w:w="1788" w:type="dxa"/>
          </w:tcPr>
          <w:p w14:paraId="71F43296" w14:textId="77777777" w:rsidR="00D44330" w:rsidRPr="000D404F" w:rsidRDefault="00D44330" w:rsidP="002657D0">
            <w:pPr>
              <w:pStyle w:val="Normal-pool-Table"/>
              <w:keepNext/>
              <w:keepLines/>
              <w:bidi/>
              <w:spacing w:line="280" w:lineRule="exact"/>
              <w:jc w:val="both"/>
              <w:textDirection w:val="tbRlV"/>
              <w:rPr>
                <w:rFonts w:ascii="Simplified Arabic" w:hAnsi="Simplified Arabic" w:cs="Simplified Arabic"/>
                <w:color w:val="000000"/>
                <w:sz w:val="20"/>
                <w:rtl/>
                <w:lang w:bidi="en-GB"/>
              </w:rPr>
            </w:pPr>
            <w:r w:rsidRPr="000D404F">
              <w:rPr>
                <w:rFonts w:ascii="Simplified Arabic" w:hAnsi="Simplified Arabic" w:cs="Simplified Arabic"/>
                <w:color w:val="000000"/>
                <w:sz w:val="20"/>
                <w:rtl/>
              </w:rPr>
              <w:t>اشلي وودكوك</w:t>
            </w:r>
          </w:p>
        </w:tc>
        <w:tc>
          <w:tcPr>
            <w:tcW w:w="4394" w:type="dxa"/>
          </w:tcPr>
          <w:p w14:paraId="40458899" w14:textId="77777777" w:rsidR="00D44330" w:rsidRPr="000D404F" w:rsidRDefault="00D44330" w:rsidP="002657D0">
            <w:pPr>
              <w:pStyle w:val="Normal-pool-Table"/>
              <w:keepNext/>
              <w:keepLines/>
              <w:bidi/>
              <w:spacing w:line="280" w:lineRule="exact"/>
              <w:jc w:val="both"/>
              <w:textDirection w:val="tbRlV"/>
              <w:rPr>
                <w:rFonts w:ascii="Simplified Arabic" w:hAnsi="Simplified Arabic" w:cs="Simplified Arabic"/>
                <w:color w:val="000000"/>
                <w:sz w:val="20"/>
                <w:rtl/>
                <w:lang w:bidi="en-GB"/>
              </w:rPr>
            </w:pPr>
            <w:r w:rsidRPr="000D404F">
              <w:rPr>
                <w:rFonts w:ascii="Simplified Arabic" w:hAnsi="Simplified Arabic" w:cs="Simplified Arabic"/>
                <w:color w:val="000000"/>
                <w:sz w:val="20"/>
                <w:rtl/>
              </w:rPr>
              <w:t>الرئيسة المشاركة لفريق التكنولوجيا والتقييم الاقتصادي</w:t>
            </w:r>
          </w:p>
        </w:tc>
        <w:tc>
          <w:tcPr>
            <w:tcW w:w="2125" w:type="dxa"/>
          </w:tcPr>
          <w:p w14:paraId="469622D5" w14:textId="77777777" w:rsidR="00D44330" w:rsidRPr="000D404F" w:rsidRDefault="00D44330" w:rsidP="000D404F">
            <w:pPr>
              <w:pStyle w:val="Normal-pool-Table"/>
              <w:keepNext/>
              <w:keepLines/>
              <w:bidi/>
              <w:spacing w:line="280" w:lineRule="exact"/>
              <w:jc w:val="lowKashida"/>
              <w:textDirection w:val="tbRlV"/>
              <w:rPr>
                <w:rFonts w:ascii="Simplified Arabic" w:hAnsi="Simplified Arabic" w:cs="Simplified Arabic"/>
                <w:color w:val="000000"/>
                <w:sz w:val="20"/>
                <w:rtl/>
                <w:lang w:bidi="en-GB"/>
              </w:rPr>
            </w:pPr>
            <w:r w:rsidRPr="000D404F">
              <w:rPr>
                <w:rFonts w:ascii="Simplified Arabic" w:hAnsi="Simplified Arabic" w:cs="Simplified Arabic"/>
                <w:color w:val="000000"/>
                <w:sz w:val="20"/>
                <w:rtl/>
              </w:rPr>
              <w:t xml:space="preserve">المملكة المتحدة لبريطانيا العظمى وأيرلندا الشمالية </w:t>
            </w:r>
          </w:p>
        </w:tc>
      </w:tr>
      <w:tr w:rsidR="00D44330" w:rsidRPr="002657D0" w14:paraId="258543B5" w14:textId="77777777" w:rsidTr="002657D0">
        <w:trPr>
          <w:trHeight w:val="57"/>
        </w:trPr>
        <w:tc>
          <w:tcPr>
            <w:tcW w:w="1788" w:type="dxa"/>
          </w:tcPr>
          <w:p w14:paraId="4221070A" w14:textId="77777777" w:rsidR="00D44330" w:rsidRPr="000D404F" w:rsidRDefault="00D44330" w:rsidP="002657D0">
            <w:pPr>
              <w:pStyle w:val="Normal-pool-Table"/>
              <w:keepNext/>
              <w:keepLines/>
              <w:bidi/>
              <w:spacing w:line="280" w:lineRule="exact"/>
              <w:jc w:val="both"/>
              <w:textDirection w:val="tbRlV"/>
              <w:rPr>
                <w:rFonts w:ascii="Simplified Arabic" w:hAnsi="Simplified Arabic" w:cs="Simplified Arabic"/>
                <w:color w:val="000000"/>
                <w:sz w:val="20"/>
              </w:rPr>
            </w:pPr>
            <w:r w:rsidRPr="000D404F">
              <w:rPr>
                <w:rFonts w:ascii="Simplified Arabic" w:hAnsi="Simplified Arabic" w:cs="Simplified Arabic"/>
                <w:color w:val="000000"/>
                <w:sz w:val="20"/>
                <w:rtl/>
              </w:rPr>
              <w:t>فابيو بولونارا</w:t>
            </w:r>
          </w:p>
        </w:tc>
        <w:tc>
          <w:tcPr>
            <w:tcW w:w="4394" w:type="dxa"/>
          </w:tcPr>
          <w:p w14:paraId="0817E6A6" w14:textId="77777777" w:rsidR="00D44330" w:rsidRPr="000D404F" w:rsidRDefault="00D44330" w:rsidP="000D404F">
            <w:pPr>
              <w:pStyle w:val="Normal-pool-Table"/>
              <w:keepNext/>
              <w:keepLines/>
              <w:bidi/>
              <w:spacing w:line="280" w:lineRule="exact"/>
              <w:jc w:val="lowKashida"/>
              <w:textDirection w:val="tbRlV"/>
              <w:rPr>
                <w:rFonts w:ascii="Simplified Arabic" w:hAnsi="Simplified Arabic" w:cs="Simplified Arabic"/>
                <w:color w:val="000000"/>
                <w:sz w:val="20"/>
                <w:rtl/>
                <w:lang w:bidi="en-GB"/>
              </w:rPr>
            </w:pPr>
            <w:r w:rsidRPr="000D404F">
              <w:rPr>
                <w:rFonts w:ascii="Simplified Arabic" w:hAnsi="Simplified Arabic" w:cs="Simplified Arabic"/>
                <w:color w:val="000000"/>
                <w:sz w:val="20"/>
                <w:rtl/>
              </w:rPr>
              <w:t>الرئيس المشارك للجنة الخيارات التقنية للتبريد وتكييف الهواء والمضخات الحرارية</w:t>
            </w:r>
          </w:p>
        </w:tc>
        <w:tc>
          <w:tcPr>
            <w:tcW w:w="2125" w:type="dxa"/>
          </w:tcPr>
          <w:p w14:paraId="17F823E2" w14:textId="77777777" w:rsidR="00D44330" w:rsidRPr="000D404F" w:rsidRDefault="00D44330" w:rsidP="002657D0">
            <w:pPr>
              <w:pStyle w:val="Normal-pool-Table"/>
              <w:keepNext/>
              <w:keepLines/>
              <w:bidi/>
              <w:spacing w:line="280" w:lineRule="exact"/>
              <w:jc w:val="both"/>
              <w:textDirection w:val="tbRlV"/>
              <w:rPr>
                <w:rFonts w:ascii="Simplified Arabic" w:hAnsi="Simplified Arabic" w:cs="Simplified Arabic"/>
                <w:color w:val="000000"/>
                <w:sz w:val="20"/>
                <w:rtl/>
                <w:lang w:bidi="en-GB"/>
              </w:rPr>
            </w:pPr>
            <w:r w:rsidRPr="000D404F">
              <w:rPr>
                <w:rFonts w:ascii="Simplified Arabic" w:hAnsi="Simplified Arabic" w:cs="Simplified Arabic"/>
                <w:color w:val="000000"/>
                <w:sz w:val="20"/>
                <w:rtl/>
              </w:rPr>
              <w:t>إيطاليا</w:t>
            </w:r>
          </w:p>
        </w:tc>
      </w:tr>
      <w:tr w:rsidR="00D44330" w:rsidRPr="002657D0" w14:paraId="70016C8A" w14:textId="77777777" w:rsidTr="002657D0">
        <w:trPr>
          <w:trHeight w:val="315"/>
        </w:trPr>
        <w:tc>
          <w:tcPr>
            <w:tcW w:w="1788" w:type="dxa"/>
          </w:tcPr>
          <w:p w14:paraId="04834FD9" w14:textId="2E9D156E" w:rsidR="00D44330" w:rsidRPr="000D404F" w:rsidRDefault="00D44330" w:rsidP="002657D0">
            <w:pPr>
              <w:pStyle w:val="Normal-pool-Table"/>
              <w:keepNext/>
              <w:keepLines/>
              <w:bidi/>
              <w:spacing w:line="280" w:lineRule="exact"/>
              <w:jc w:val="both"/>
              <w:textDirection w:val="tbRlV"/>
              <w:rPr>
                <w:rFonts w:ascii="Simplified Arabic" w:hAnsi="Simplified Arabic" w:cs="Simplified Arabic"/>
                <w:color w:val="000000"/>
                <w:sz w:val="20"/>
                <w:rtl/>
                <w:lang w:bidi="en-GB"/>
              </w:rPr>
            </w:pPr>
            <w:r w:rsidRPr="000D404F">
              <w:rPr>
                <w:rFonts w:ascii="Simplified Arabic" w:hAnsi="Simplified Arabic" w:cs="Simplified Arabic"/>
                <w:color w:val="000000"/>
                <w:sz w:val="20"/>
                <w:rtl/>
              </w:rPr>
              <w:t>سويلي ماتشادو كارفالو</w:t>
            </w:r>
          </w:p>
        </w:tc>
        <w:tc>
          <w:tcPr>
            <w:tcW w:w="4394" w:type="dxa"/>
          </w:tcPr>
          <w:p w14:paraId="3C9AEA2F" w14:textId="77777777" w:rsidR="00D44330" w:rsidRPr="000D404F" w:rsidRDefault="00D44330" w:rsidP="002657D0">
            <w:pPr>
              <w:pStyle w:val="Normal-pool-Table"/>
              <w:keepNext/>
              <w:keepLines/>
              <w:bidi/>
              <w:spacing w:line="280" w:lineRule="exact"/>
              <w:jc w:val="both"/>
              <w:textDirection w:val="tbRlV"/>
              <w:rPr>
                <w:rFonts w:ascii="Simplified Arabic" w:hAnsi="Simplified Arabic" w:cs="Simplified Arabic"/>
                <w:color w:val="000000"/>
                <w:sz w:val="20"/>
                <w:rtl/>
                <w:lang w:bidi="en-GB"/>
              </w:rPr>
            </w:pPr>
            <w:r w:rsidRPr="000D404F">
              <w:rPr>
                <w:rFonts w:ascii="Simplified Arabic" w:hAnsi="Simplified Arabic" w:cs="Simplified Arabic"/>
                <w:color w:val="000000"/>
                <w:sz w:val="20"/>
                <w:rtl/>
              </w:rPr>
              <w:t>خبير أقدم في فريق التقييم التكنولوجي والاقتصادي</w:t>
            </w:r>
          </w:p>
        </w:tc>
        <w:tc>
          <w:tcPr>
            <w:tcW w:w="2125" w:type="dxa"/>
          </w:tcPr>
          <w:p w14:paraId="1E16E950" w14:textId="77777777" w:rsidR="00D44330" w:rsidRPr="000D404F" w:rsidRDefault="00D44330" w:rsidP="002657D0">
            <w:pPr>
              <w:pStyle w:val="Normal-pool-Table"/>
              <w:keepNext/>
              <w:keepLines/>
              <w:bidi/>
              <w:spacing w:line="280" w:lineRule="exact"/>
              <w:jc w:val="both"/>
              <w:textDirection w:val="tbRlV"/>
              <w:rPr>
                <w:rFonts w:ascii="Simplified Arabic" w:hAnsi="Simplified Arabic" w:cs="Simplified Arabic"/>
                <w:color w:val="000000"/>
                <w:sz w:val="20"/>
                <w:rtl/>
                <w:lang w:bidi="en-GB"/>
              </w:rPr>
            </w:pPr>
            <w:r w:rsidRPr="000D404F">
              <w:rPr>
                <w:rFonts w:ascii="Simplified Arabic" w:hAnsi="Simplified Arabic" w:cs="Simplified Arabic"/>
                <w:color w:val="000000"/>
                <w:sz w:val="20"/>
                <w:rtl/>
              </w:rPr>
              <w:t>البرازيل</w:t>
            </w:r>
          </w:p>
        </w:tc>
      </w:tr>
      <w:tr w:rsidR="00D44330" w:rsidRPr="002657D0" w14:paraId="623E7187" w14:textId="77777777" w:rsidTr="002657D0">
        <w:trPr>
          <w:trHeight w:val="344"/>
        </w:trPr>
        <w:tc>
          <w:tcPr>
            <w:tcW w:w="1788" w:type="dxa"/>
          </w:tcPr>
          <w:p w14:paraId="01ADD91B" w14:textId="77777777" w:rsidR="00D44330" w:rsidRPr="000D404F" w:rsidRDefault="00D44330" w:rsidP="002657D0">
            <w:pPr>
              <w:pStyle w:val="Normal-pool-Table"/>
              <w:keepNext/>
              <w:keepLines/>
              <w:bidi/>
              <w:spacing w:line="280" w:lineRule="exact"/>
              <w:jc w:val="both"/>
              <w:textDirection w:val="tbRlV"/>
              <w:rPr>
                <w:rFonts w:ascii="Simplified Arabic" w:hAnsi="Simplified Arabic" w:cs="Simplified Arabic"/>
                <w:color w:val="000000"/>
                <w:sz w:val="20"/>
                <w:rtl/>
                <w:lang w:bidi="en-GB"/>
              </w:rPr>
            </w:pPr>
            <w:r w:rsidRPr="000D404F">
              <w:rPr>
                <w:rFonts w:ascii="Simplified Arabic" w:hAnsi="Simplified Arabic" w:cs="Simplified Arabic"/>
                <w:color w:val="000000"/>
                <w:sz w:val="20"/>
                <w:rtl/>
              </w:rPr>
              <w:t>سوكومار ديفوتا</w:t>
            </w:r>
          </w:p>
        </w:tc>
        <w:tc>
          <w:tcPr>
            <w:tcW w:w="4394" w:type="dxa"/>
          </w:tcPr>
          <w:p w14:paraId="056E94BD" w14:textId="77777777" w:rsidR="00D44330" w:rsidRPr="000D404F" w:rsidRDefault="00D44330" w:rsidP="002657D0">
            <w:pPr>
              <w:pStyle w:val="Normal-pool-Table"/>
              <w:keepNext/>
              <w:keepLines/>
              <w:bidi/>
              <w:spacing w:line="280" w:lineRule="exact"/>
              <w:jc w:val="both"/>
              <w:textDirection w:val="tbRlV"/>
              <w:rPr>
                <w:rFonts w:ascii="Simplified Arabic" w:hAnsi="Simplified Arabic" w:cs="Simplified Arabic"/>
                <w:color w:val="000000"/>
                <w:sz w:val="20"/>
                <w:rtl/>
                <w:lang w:bidi="en-GB"/>
              </w:rPr>
            </w:pPr>
            <w:r w:rsidRPr="000D404F">
              <w:rPr>
                <w:rFonts w:ascii="Simplified Arabic" w:hAnsi="Simplified Arabic" w:cs="Simplified Arabic"/>
                <w:color w:val="000000"/>
                <w:sz w:val="20"/>
                <w:rtl/>
              </w:rPr>
              <w:t>خبير أقدم في فريق التقييم التكنولوجي والاقتصادي</w:t>
            </w:r>
          </w:p>
        </w:tc>
        <w:tc>
          <w:tcPr>
            <w:tcW w:w="2125" w:type="dxa"/>
          </w:tcPr>
          <w:p w14:paraId="7E4CC56A" w14:textId="77777777" w:rsidR="00D44330" w:rsidRPr="000D404F" w:rsidRDefault="00D44330" w:rsidP="002657D0">
            <w:pPr>
              <w:pStyle w:val="Normal-pool-Table"/>
              <w:keepNext/>
              <w:keepLines/>
              <w:bidi/>
              <w:spacing w:line="280" w:lineRule="exact"/>
              <w:jc w:val="both"/>
              <w:textDirection w:val="tbRlV"/>
              <w:rPr>
                <w:rFonts w:ascii="Simplified Arabic" w:hAnsi="Simplified Arabic" w:cs="Simplified Arabic"/>
                <w:color w:val="000000"/>
                <w:sz w:val="20"/>
                <w:rtl/>
                <w:lang w:bidi="en-GB"/>
              </w:rPr>
            </w:pPr>
            <w:r w:rsidRPr="000D404F">
              <w:rPr>
                <w:rFonts w:ascii="Simplified Arabic" w:hAnsi="Simplified Arabic" w:cs="Simplified Arabic"/>
                <w:color w:val="000000"/>
                <w:sz w:val="20"/>
                <w:rtl/>
              </w:rPr>
              <w:t>الهند</w:t>
            </w:r>
          </w:p>
        </w:tc>
      </w:tr>
      <w:tr w:rsidR="00D44330" w:rsidRPr="002657D0" w14:paraId="4BEE8211" w14:textId="77777777" w:rsidTr="002657D0">
        <w:trPr>
          <w:trHeight w:val="344"/>
        </w:trPr>
        <w:tc>
          <w:tcPr>
            <w:tcW w:w="1788" w:type="dxa"/>
          </w:tcPr>
          <w:p w14:paraId="109626AE" w14:textId="77777777" w:rsidR="00D44330" w:rsidRPr="000D404F" w:rsidRDefault="00D44330" w:rsidP="002657D0">
            <w:pPr>
              <w:pStyle w:val="Normal-pool-Table"/>
              <w:keepNext/>
              <w:keepLines/>
              <w:bidi/>
              <w:spacing w:line="280" w:lineRule="exact"/>
              <w:jc w:val="both"/>
              <w:textDirection w:val="tbRlV"/>
              <w:rPr>
                <w:rFonts w:ascii="Simplified Arabic" w:hAnsi="Simplified Arabic" w:cs="Simplified Arabic"/>
                <w:color w:val="000000"/>
                <w:sz w:val="20"/>
                <w:rtl/>
                <w:lang w:bidi="en-GB"/>
              </w:rPr>
            </w:pPr>
            <w:r w:rsidRPr="000D404F">
              <w:rPr>
                <w:rFonts w:ascii="Simplified Arabic" w:hAnsi="Simplified Arabic" w:cs="Simplified Arabic"/>
                <w:color w:val="000000"/>
                <w:sz w:val="20"/>
                <w:rtl/>
              </w:rPr>
              <w:t>بسام الأسعد</w:t>
            </w:r>
          </w:p>
        </w:tc>
        <w:tc>
          <w:tcPr>
            <w:tcW w:w="4394" w:type="dxa"/>
          </w:tcPr>
          <w:p w14:paraId="6B56A47F" w14:textId="77777777" w:rsidR="00D44330" w:rsidRPr="000D404F" w:rsidRDefault="00D44330" w:rsidP="002657D0">
            <w:pPr>
              <w:pStyle w:val="Normal-pool-Table"/>
              <w:keepNext/>
              <w:keepLines/>
              <w:bidi/>
              <w:spacing w:line="280" w:lineRule="exact"/>
              <w:jc w:val="both"/>
              <w:textDirection w:val="tbRlV"/>
              <w:rPr>
                <w:rFonts w:ascii="Simplified Arabic" w:hAnsi="Simplified Arabic" w:cs="Simplified Arabic"/>
                <w:color w:val="000000"/>
                <w:sz w:val="20"/>
                <w:rtl/>
                <w:lang w:bidi="en-GB"/>
              </w:rPr>
            </w:pPr>
            <w:r w:rsidRPr="000D404F">
              <w:rPr>
                <w:rFonts w:ascii="Simplified Arabic" w:hAnsi="Simplified Arabic" w:cs="Simplified Arabic"/>
                <w:color w:val="000000"/>
                <w:sz w:val="20"/>
                <w:rtl/>
              </w:rPr>
              <w:t>خبير أقدم في فريق التقييم التكنولوجي والاقتصادي</w:t>
            </w:r>
          </w:p>
        </w:tc>
        <w:tc>
          <w:tcPr>
            <w:tcW w:w="2125" w:type="dxa"/>
          </w:tcPr>
          <w:p w14:paraId="75F17A52" w14:textId="77777777" w:rsidR="00D44330" w:rsidRPr="000D404F" w:rsidRDefault="00D44330" w:rsidP="002657D0">
            <w:pPr>
              <w:pStyle w:val="Normal-pool-Table"/>
              <w:keepNext/>
              <w:keepLines/>
              <w:bidi/>
              <w:spacing w:line="280" w:lineRule="exact"/>
              <w:jc w:val="both"/>
              <w:textDirection w:val="tbRlV"/>
              <w:rPr>
                <w:rFonts w:ascii="Simplified Arabic" w:hAnsi="Simplified Arabic" w:cs="Simplified Arabic"/>
                <w:color w:val="000000"/>
                <w:sz w:val="20"/>
                <w:rtl/>
                <w:lang w:bidi="en-GB"/>
              </w:rPr>
            </w:pPr>
            <w:r w:rsidRPr="000D404F">
              <w:rPr>
                <w:rFonts w:ascii="Simplified Arabic" w:hAnsi="Simplified Arabic" w:cs="Simplified Arabic"/>
                <w:color w:val="000000"/>
                <w:sz w:val="20"/>
                <w:rtl/>
              </w:rPr>
              <w:t>لبنان</w:t>
            </w:r>
          </w:p>
        </w:tc>
      </w:tr>
      <w:tr w:rsidR="00D44330" w:rsidRPr="00A50247" w14:paraId="7B8E1598" w14:textId="77777777" w:rsidTr="002657D0">
        <w:trPr>
          <w:trHeight w:val="344"/>
        </w:trPr>
        <w:tc>
          <w:tcPr>
            <w:tcW w:w="1788" w:type="dxa"/>
          </w:tcPr>
          <w:p w14:paraId="18009DC5" w14:textId="77777777" w:rsidR="00D44330" w:rsidRPr="000D404F" w:rsidRDefault="00D44330" w:rsidP="002657D0">
            <w:pPr>
              <w:pStyle w:val="Normal-pool-Table"/>
              <w:keepNext/>
              <w:keepLines/>
              <w:bidi/>
              <w:spacing w:line="280" w:lineRule="exact"/>
              <w:jc w:val="both"/>
              <w:textDirection w:val="tbRlV"/>
              <w:rPr>
                <w:rFonts w:ascii="Simplified Arabic" w:hAnsi="Simplified Arabic" w:cs="Simplified Arabic"/>
                <w:color w:val="000000"/>
                <w:sz w:val="20"/>
                <w:rtl/>
                <w:lang w:bidi="en-GB"/>
              </w:rPr>
            </w:pPr>
            <w:r w:rsidRPr="000D404F">
              <w:rPr>
                <w:rFonts w:ascii="Simplified Arabic" w:hAnsi="Simplified Arabic" w:cs="Simplified Arabic"/>
                <w:color w:val="000000"/>
                <w:sz w:val="20"/>
                <w:rtl/>
              </w:rPr>
              <w:t>راي غلوكمان</w:t>
            </w:r>
          </w:p>
        </w:tc>
        <w:tc>
          <w:tcPr>
            <w:tcW w:w="4394" w:type="dxa"/>
          </w:tcPr>
          <w:p w14:paraId="6AB14F01" w14:textId="77777777" w:rsidR="00D44330" w:rsidRPr="000D404F" w:rsidRDefault="00D44330" w:rsidP="002657D0">
            <w:pPr>
              <w:pStyle w:val="Normal-pool-Table"/>
              <w:keepNext/>
              <w:keepLines/>
              <w:bidi/>
              <w:spacing w:line="280" w:lineRule="exact"/>
              <w:jc w:val="both"/>
              <w:textDirection w:val="tbRlV"/>
              <w:rPr>
                <w:rFonts w:ascii="Simplified Arabic" w:hAnsi="Simplified Arabic" w:cs="Simplified Arabic"/>
                <w:color w:val="000000"/>
                <w:sz w:val="20"/>
                <w:rtl/>
                <w:lang w:bidi="en-GB"/>
              </w:rPr>
            </w:pPr>
            <w:r w:rsidRPr="000D404F">
              <w:rPr>
                <w:rFonts w:ascii="Simplified Arabic" w:hAnsi="Simplified Arabic" w:cs="Simplified Arabic"/>
                <w:color w:val="000000"/>
                <w:sz w:val="20"/>
                <w:rtl/>
              </w:rPr>
              <w:t>خبير أقدم في فريق التقييم التكنولوجي والاقتصادي</w:t>
            </w:r>
          </w:p>
        </w:tc>
        <w:tc>
          <w:tcPr>
            <w:tcW w:w="2125" w:type="dxa"/>
          </w:tcPr>
          <w:p w14:paraId="2F30BB4C" w14:textId="77777777" w:rsidR="00D44330" w:rsidRPr="000D404F" w:rsidRDefault="00D44330" w:rsidP="000D404F">
            <w:pPr>
              <w:pStyle w:val="Normal-pool-Table"/>
              <w:keepNext/>
              <w:keepLines/>
              <w:bidi/>
              <w:spacing w:line="280" w:lineRule="exact"/>
              <w:jc w:val="lowKashida"/>
              <w:textDirection w:val="tbRlV"/>
              <w:rPr>
                <w:rFonts w:ascii="Simplified Arabic" w:hAnsi="Simplified Arabic" w:cs="Simplified Arabic"/>
                <w:color w:val="000000"/>
                <w:sz w:val="20"/>
                <w:rtl/>
                <w:lang w:bidi="en-GB"/>
              </w:rPr>
            </w:pPr>
            <w:r w:rsidRPr="000D404F">
              <w:rPr>
                <w:rFonts w:ascii="Simplified Arabic" w:hAnsi="Simplified Arabic" w:cs="Simplified Arabic"/>
                <w:color w:val="000000"/>
                <w:sz w:val="20"/>
                <w:rtl/>
              </w:rPr>
              <w:t>المملكة المتحدة لبريطانيا العظمى وأيرلندا الشمالية</w:t>
            </w:r>
          </w:p>
        </w:tc>
      </w:tr>
      <w:tr w:rsidR="00D44330" w:rsidRPr="002657D0" w14:paraId="4BCEAFEE" w14:textId="77777777" w:rsidTr="002657D0">
        <w:trPr>
          <w:trHeight w:val="344"/>
        </w:trPr>
        <w:tc>
          <w:tcPr>
            <w:tcW w:w="1788" w:type="dxa"/>
          </w:tcPr>
          <w:p w14:paraId="14DF50E6" w14:textId="77777777" w:rsidR="00D44330" w:rsidRPr="000D404F" w:rsidRDefault="00D44330" w:rsidP="002657D0">
            <w:pPr>
              <w:pStyle w:val="Normal-pool-Table"/>
              <w:keepNext/>
              <w:keepLines/>
              <w:bidi/>
              <w:spacing w:line="280" w:lineRule="exact"/>
              <w:jc w:val="both"/>
              <w:textDirection w:val="tbRlV"/>
              <w:rPr>
                <w:rFonts w:ascii="Simplified Arabic" w:hAnsi="Simplified Arabic" w:cs="Simplified Arabic"/>
                <w:color w:val="000000"/>
                <w:sz w:val="20"/>
                <w:rtl/>
                <w:lang w:bidi="en-GB"/>
              </w:rPr>
            </w:pPr>
            <w:r w:rsidRPr="000D404F">
              <w:rPr>
                <w:rFonts w:ascii="Simplified Arabic" w:hAnsi="Simplified Arabic" w:cs="Simplified Arabic"/>
                <w:color w:val="000000"/>
                <w:sz w:val="20"/>
                <w:rtl/>
              </w:rPr>
              <w:t>ماركو غونزاليس</w:t>
            </w:r>
          </w:p>
        </w:tc>
        <w:tc>
          <w:tcPr>
            <w:tcW w:w="4394" w:type="dxa"/>
          </w:tcPr>
          <w:p w14:paraId="562F3197" w14:textId="77777777" w:rsidR="00D44330" w:rsidRPr="000D404F" w:rsidRDefault="00D44330" w:rsidP="002657D0">
            <w:pPr>
              <w:pStyle w:val="Normal-pool-Table"/>
              <w:keepNext/>
              <w:keepLines/>
              <w:bidi/>
              <w:spacing w:line="280" w:lineRule="exact"/>
              <w:jc w:val="both"/>
              <w:textDirection w:val="tbRlV"/>
              <w:rPr>
                <w:rFonts w:ascii="Simplified Arabic" w:hAnsi="Simplified Arabic" w:cs="Simplified Arabic"/>
                <w:color w:val="000000"/>
                <w:sz w:val="20"/>
                <w:rtl/>
                <w:lang w:bidi="en-GB"/>
              </w:rPr>
            </w:pPr>
            <w:r w:rsidRPr="000D404F">
              <w:rPr>
                <w:rFonts w:ascii="Simplified Arabic" w:hAnsi="Simplified Arabic" w:cs="Simplified Arabic"/>
                <w:color w:val="000000"/>
                <w:sz w:val="20"/>
                <w:rtl/>
              </w:rPr>
              <w:t>خبير أقدم في فريق التقييم التكنولوجي والاقتصادي</w:t>
            </w:r>
          </w:p>
        </w:tc>
        <w:tc>
          <w:tcPr>
            <w:tcW w:w="2125" w:type="dxa"/>
          </w:tcPr>
          <w:p w14:paraId="6B8E43DF" w14:textId="77777777" w:rsidR="00D44330" w:rsidRPr="000D404F" w:rsidRDefault="00D44330" w:rsidP="002657D0">
            <w:pPr>
              <w:pStyle w:val="Normal-pool-Table"/>
              <w:keepNext/>
              <w:keepLines/>
              <w:bidi/>
              <w:spacing w:line="280" w:lineRule="exact"/>
              <w:jc w:val="both"/>
              <w:textDirection w:val="tbRlV"/>
              <w:rPr>
                <w:rFonts w:ascii="Simplified Arabic" w:hAnsi="Simplified Arabic" w:cs="Simplified Arabic"/>
                <w:color w:val="000000"/>
                <w:sz w:val="20"/>
                <w:rtl/>
                <w:lang w:bidi="en-GB"/>
              </w:rPr>
            </w:pPr>
            <w:r w:rsidRPr="000D404F">
              <w:rPr>
                <w:rFonts w:ascii="Simplified Arabic" w:hAnsi="Simplified Arabic" w:cs="Simplified Arabic"/>
                <w:color w:val="000000"/>
                <w:sz w:val="20"/>
                <w:rtl/>
              </w:rPr>
              <w:t>كوستاريكا</w:t>
            </w:r>
          </w:p>
        </w:tc>
      </w:tr>
      <w:tr w:rsidR="00D44330" w:rsidRPr="002657D0" w14:paraId="70A408C4" w14:textId="77777777" w:rsidTr="002657D0">
        <w:trPr>
          <w:trHeight w:val="344"/>
        </w:trPr>
        <w:tc>
          <w:tcPr>
            <w:tcW w:w="1788" w:type="dxa"/>
            <w:tcBorders>
              <w:bottom w:val="single" w:sz="12" w:space="0" w:color="auto"/>
            </w:tcBorders>
          </w:tcPr>
          <w:p w14:paraId="53402948" w14:textId="77777777" w:rsidR="00D44330" w:rsidRPr="000D404F" w:rsidRDefault="00D44330" w:rsidP="002657D0">
            <w:pPr>
              <w:pStyle w:val="Normal-pool-Table"/>
              <w:keepNext/>
              <w:keepLines/>
              <w:bidi/>
              <w:spacing w:line="280" w:lineRule="exact"/>
              <w:jc w:val="both"/>
              <w:textDirection w:val="tbRlV"/>
              <w:rPr>
                <w:rFonts w:ascii="Simplified Arabic" w:hAnsi="Simplified Arabic" w:cs="Simplified Arabic"/>
                <w:color w:val="000000"/>
                <w:sz w:val="20"/>
                <w:rtl/>
                <w:lang w:bidi="en-GB"/>
              </w:rPr>
            </w:pPr>
            <w:r w:rsidRPr="000D404F">
              <w:rPr>
                <w:rFonts w:ascii="Simplified Arabic" w:hAnsi="Simplified Arabic" w:cs="Simplified Arabic"/>
                <w:color w:val="000000"/>
                <w:sz w:val="20"/>
                <w:rtl/>
              </w:rPr>
              <w:t>شيكيو شانغ</w:t>
            </w:r>
          </w:p>
        </w:tc>
        <w:tc>
          <w:tcPr>
            <w:tcW w:w="4394" w:type="dxa"/>
            <w:tcBorders>
              <w:bottom w:val="single" w:sz="12" w:space="0" w:color="auto"/>
            </w:tcBorders>
          </w:tcPr>
          <w:p w14:paraId="5F7C979B" w14:textId="77777777" w:rsidR="00D44330" w:rsidRPr="000D404F" w:rsidRDefault="00D44330" w:rsidP="002657D0">
            <w:pPr>
              <w:pStyle w:val="Normal-pool-Table"/>
              <w:keepNext/>
              <w:keepLines/>
              <w:bidi/>
              <w:spacing w:line="280" w:lineRule="exact"/>
              <w:jc w:val="both"/>
              <w:textDirection w:val="tbRlV"/>
              <w:rPr>
                <w:rFonts w:ascii="Simplified Arabic" w:hAnsi="Simplified Arabic" w:cs="Simplified Arabic"/>
                <w:color w:val="000000"/>
                <w:sz w:val="20"/>
                <w:rtl/>
                <w:lang w:bidi="en-GB"/>
              </w:rPr>
            </w:pPr>
            <w:r w:rsidRPr="000D404F">
              <w:rPr>
                <w:rFonts w:ascii="Simplified Arabic" w:hAnsi="Simplified Arabic" w:cs="Simplified Arabic"/>
                <w:color w:val="000000"/>
                <w:sz w:val="20"/>
                <w:rtl/>
              </w:rPr>
              <w:t>خبير أقدم في فريق التقييم التكنولوجي والاقتصادي</w:t>
            </w:r>
          </w:p>
        </w:tc>
        <w:tc>
          <w:tcPr>
            <w:tcW w:w="2125" w:type="dxa"/>
            <w:tcBorders>
              <w:bottom w:val="single" w:sz="12" w:space="0" w:color="auto"/>
            </w:tcBorders>
          </w:tcPr>
          <w:p w14:paraId="49D0F717" w14:textId="77777777" w:rsidR="00D44330" w:rsidRPr="000D404F" w:rsidRDefault="00D44330" w:rsidP="002657D0">
            <w:pPr>
              <w:pStyle w:val="Normal-pool-Table"/>
              <w:keepNext/>
              <w:keepLines/>
              <w:bidi/>
              <w:spacing w:line="280" w:lineRule="exact"/>
              <w:jc w:val="both"/>
              <w:textDirection w:val="tbRlV"/>
              <w:rPr>
                <w:rFonts w:ascii="Simplified Arabic" w:hAnsi="Simplified Arabic" w:cs="Simplified Arabic"/>
                <w:color w:val="000000"/>
                <w:sz w:val="20"/>
                <w:rtl/>
                <w:lang w:bidi="en-GB"/>
              </w:rPr>
            </w:pPr>
            <w:r w:rsidRPr="000D404F">
              <w:rPr>
                <w:rFonts w:ascii="Simplified Arabic" w:hAnsi="Simplified Arabic" w:cs="Simplified Arabic"/>
                <w:color w:val="000000"/>
                <w:sz w:val="20"/>
                <w:rtl/>
              </w:rPr>
              <w:t>الصين</w:t>
            </w:r>
          </w:p>
        </w:tc>
      </w:tr>
    </w:tbl>
    <w:p w14:paraId="4402CCE9" w14:textId="77777777" w:rsidR="00D44330" w:rsidRPr="00984A76" w:rsidRDefault="00D44330" w:rsidP="002657D0">
      <w:pPr>
        <w:pStyle w:val="ARNormalnumber"/>
        <w:numPr>
          <w:ilvl w:val="0"/>
          <w:numId w:val="22"/>
        </w:numPr>
        <w:tabs>
          <w:tab w:val="clear" w:pos="1247"/>
          <w:tab w:val="clear" w:pos="1814"/>
          <w:tab w:val="clear" w:pos="2381"/>
          <w:tab w:val="clear" w:pos="2948"/>
          <w:tab w:val="clear" w:pos="3515"/>
          <w:tab w:val="clear" w:pos="4082"/>
          <w:tab w:val="left" w:pos="1843"/>
        </w:tabs>
        <w:bidi/>
        <w:spacing w:before="120" w:after="120" w:line="360" w:lineRule="exact"/>
        <w:ind w:left="1134" w:firstLine="0"/>
        <w:textDirection w:val="tbRlV"/>
        <w:rPr>
          <w:rFonts w:cs="Simplified Arabic"/>
          <w:szCs w:val="24"/>
          <w:rtl/>
          <w:lang w:bidi="en-GB"/>
        </w:rPr>
      </w:pPr>
      <w:r w:rsidRPr="00984A76">
        <w:rPr>
          <w:rFonts w:cs="Simplified Arabic"/>
          <w:szCs w:val="24"/>
          <w:rtl/>
        </w:rPr>
        <w:t>وقد ترغب الأطراف في تقديم ترشيحات، حسب الاقتضاء، وفقاً للفقرة 3 من المقرر 31/8 ويُطلب إليها بمقتضاها ”أن تقوم، عند ترشيح خبراء للفريق أو لجان الخيارات التقنية أو الهيئات الفرعية المؤقتة التابعة له، باستخدام استمارة الترشيح للفريق والمبادئ التوجيهية المرتبطة بها من أجل تيسير تقديم الأطراف للترشيحات المناسبة، مع مراعاة مصفوفة الخبرات المطلوبة والتوازن الجغرافي والجنساني، بالإضافة إلى الخبرات اللازمة لمعالجة المسائل الجديدة المتعلقة بتعديل كيغالي، من قبيل الكفاءة في استخدام الطاقة، ومعايير السلامة، والمنافع المناخية“. وفي الفقرة 5 من المقرر نفسه، تُحث الأطراف على ”اتباع اختصاصات الفريق، والتشاور مع الرئيسين المشاركين للفريق، والرجوع إلى مصفوفة الخبرات المطلوبة قبل تقديم ترشيحات للتعيينات في الفريق“.</w:t>
      </w:r>
    </w:p>
    <w:p w14:paraId="3A7BE3B5" w14:textId="77777777" w:rsidR="00D44330" w:rsidRPr="00984A76" w:rsidRDefault="00D44330" w:rsidP="00984A76">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textDirection w:val="tbRlV"/>
        <w:rPr>
          <w:rFonts w:cs="Simplified Arabic"/>
          <w:szCs w:val="24"/>
          <w:rtl/>
          <w:lang w:bidi="en-GB"/>
        </w:rPr>
      </w:pPr>
      <w:r w:rsidRPr="00984A76">
        <w:rPr>
          <w:rFonts w:cs="Simplified Arabic"/>
          <w:szCs w:val="24"/>
          <w:rtl/>
        </w:rPr>
        <w:t>وترد مصفوفة الخبرات المطلوبة، التي حددها الفريق حتى مايو/أيار 2026، في المرفق 3 لتقريره المرحلي، واستُنسخت في المرفق الرابع لهذه الإضافة وأُتيح على الموقع الشبكي للأمانة</w:t>
      </w:r>
      <w:r w:rsidRPr="00984A76">
        <w:rPr>
          <w:rFonts w:cs="Simplified Arabic"/>
          <w:szCs w:val="24"/>
          <w:vertAlign w:val="superscript"/>
          <w:rtl/>
        </w:rPr>
        <w:t>(</w:t>
      </w:r>
      <w:r w:rsidRPr="00984A76">
        <w:rPr>
          <w:rFonts w:cs="Simplified Arabic"/>
          <w:szCs w:val="24"/>
          <w:vertAlign w:val="superscript"/>
          <w:rtl/>
        </w:rPr>
        <w:footnoteReference w:id="9"/>
      </w:r>
      <w:r w:rsidRPr="00984A76">
        <w:rPr>
          <w:rFonts w:cs="Simplified Arabic"/>
          <w:szCs w:val="24"/>
          <w:vertAlign w:val="superscript"/>
          <w:rtl/>
        </w:rPr>
        <w:t>)</w:t>
      </w:r>
      <w:r w:rsidRPr="00984A76">
        <w:rPr>
          <w:rFonts w:cs="Simplified Arabic"/>
          <w:szCs w:val="24"/>
          <w:rtl/>
        </w:rPr>
        <w:t xml:space="preserve">. </w:t>
      </w:r>
    </w:p>
    <w:p w14:paraId="0EA9A7F6" w14:textId="77777777" w:rsidR="00020889" w:rsidRPr="00020889" w:rsidRDefault="00020889" w:rsidP="00020889">
      <w:pPr>
        <w:pStyle w:val="ARNormalnumber"/>
        <w:tabs>
          <w:tab w:val="clear" w:pos="567"/>
          <w:tab w:val="clear" w:pos="1247"/>
          <w:tab w:val="clear" w:pos="1814"/>
          <w:tab w:val="clear" w:pos="2381"/>
          <w:tab w:val="clear" w:pos="2948"/>
          <w:tab w:val="clear" w:pos="3515"/>
          <w:tab w:val="clear" w:pos="4082"/>
          <w:tab w:val="left" w:pos="1843"/>
        </w:tabs>
        <w:bidi/>
        <w:spacing w:after="120" w:line="360" w:lineRule="exact"/>
        <w:ind w:left="1134"/>
        <w:textDirection w:val="tbRlV"/>
        <w:rPr>
          <w:rFonts w:cs="Simplified Arabic"/>
          <w:szCs w:val="24"/>
          <w:lang w:bidi="en-GB"/>
        </w:rPr>
      </w:pPr>
    </w:p>
    <w:p w14:paraId="3DDB6128" w14:textId="1C8563E8" w:rsidR="00D44330" w:rsidRPr="00984A76" w:rsidRDefault="00D44330" w:rsidP="00020889">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textDirection w:val="tbRlV"/>
        <w:rPr>
          <w:rFonts w:cs="Simplified Arabic"/>
          <w:szCs w:val="24"/>
          <w:rtl/>
          <w:lang w:bidi="en-GB"/>
        </w:rPr>
      </w:pPr>
      <w:r w:rsidRPr="00984A76">
        <w:rPr>
          <w:rFonts w:cs="Simplified Arabic"/>
          <w:szCs w:val="24"/>
          <w:rtl/>
        </w:rPr>
        <w:t>ووفقاً للفقرة 4 من المقرر 31/8، ستتيح الأمانة على بوابة الاجتماع الثامن والأربعين للفريق العامل المفتوح العضوية، وكذلك على بوابة الاجتماع الثامن والثلاثين للأطراف في وقت لاحق من عام 2026، أي استمارات مقدمة من الأطراف المرشحة لأعضاء إلى الفريق، بغية تيسير استعراض الترشيحات المقترحة من الأطراف وإجراء مشاورات بشأنها.</w:t>
      </w:r>
    </w:p>
    <w:p w14:paraId="242B2389" w14:textId="77777777" w:rsidR="00D44330" w:rsidRPr="00984A76" w:rsidRDefault="00D44330" w:rsidP="00984A76">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textDirection w:val="tbRlV"/>
        <w:rPr>
          <w:rFonts w:cs="Simplified Arabic"/>
          <w:szCs w:val="24"/>
          <w:lang w:bidi="en-GB"/>
        </w:rPr>
      </w:pPr>
      <w:r w:rsidRPr="00984A76">
        <w:rPr>
          <w:rFonts w:cs="Simplified Arabic"/>
          <w:szCs w:val="24"/>
          <w:rtl/>
        </w:rPr>
        <w:t>ويجوز في أي وقت تقديم ترشيحات للجان الخيارات التقنية بخلاف مناصب الرؤساء المشاركين؛ وكذلك ترشيحات للهيئات الفرعية المؤقتة. ويعين الرؤساء المشاركون للجان ذات الصلة الأعضاء بالتشاور مع الفريق.</w:t>
      </w:r>
    </w:p>
    <w:p w14:paraId="25FEF6BE" w14:textId="72AD0376" w:rsidR="00D44330" w:rsidRPr="00984A76" w:rsidRDefault="00D44330" w:rsidP="00317D8D">
      <w:pPr>
        <w:pStyle w:val="CH3"/>
        <w:numPr>
          <w:ilvl w:val="0"/>
          <w:numId w:val="40"/>
        </w:numPr>
        <w:tabs>
          <w:tab w:val="clear" w:pos="851"/>
          <w:tab w:val="clear" w:pos="1247"/>
          <w:tab w:val="clear" w:pos="1871"/>
          <w:tab w:val="clear" w:pos="2495"/>
          <w:tab w:val="clear" w:pos="3119"/>
          <w:tab w:val="clear" w:pos="3742"/>
          <w:tab w:val="clear" w:pos="4366"/>
          <w:tab w:val="clear" w:pos="4990"/>
        </w:tabs>
        <w:bidi/>
        <w:spacing w:before="0" w:line="360" w:lineRule="exact"/>
        <w:ind w:left="1135" w:right="0" w:hanging="851"/>
        <w:jc w:val="both"/>
        <w:textDirection w:val="tbRlV"/>
        <w:rPr>
          <w:rFonts w:ascii="Simplified Arabic" w:hAnsi="Simplified Arabic" w:cs="Simplified Arabic"/>
          <w:bCs/>
          <w:sz w:val="24"/>
          <w:szCs w:val="24"/>
        </w:rPr>
      </w:pPr>
      <w:r w:rsidRPr="00984A76">
        <w:rPr>
          <w:rFonts w:ascii="Simplified Arabic" w:hAnsi="Simplified Arabic" w:cs="Simplified Arabic"/>
          <w:bCs/>
          <w:sz w:val="24"/>
          <w:szCs w:val="24"/>
          <w:rtl/>
        </w:rPr>
        <w:lastRenderedPageBreak/>
        <w:t>أي مسائل أخرى</w:t>
      </w:r>
    </w:p>
    <w:p w14:paraId="414CA4CD" w14:textId="0CBDC2D8" w:rsidR="00D44330" w:rsidRPr="00984A76" w:rsidRDefault="00D44330" w:rsidP="00984A76">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textDirection w:val="tbRlV"/>
        <w:rPr>
          <w:rFonts w:cs="Simplified Arabic"/>
          <w:szCs w:val="24"/>
        </w:rPr>
      </w:pPr>
      <w:r w:rsidRPr="00984A76">
        <w:rPr>
          <w:rFonts w:cs="Simplified Arabic"/>
          <w:szCs w:val="24"/>
          <w:rtl/>
        </w:rPr>
        <w:t>في إطار هذا البند الفرعي من جدول الأعمال، تقدم الأمانة في الفقرات التالية ملخصات للمعلومات التي قدمها الفريق فيما يتعلق بتقييم تكنولوجيا التدمير التي قدمتها كندا، بالإضافة إلى معلومات محدثة عن المواد الألكيلية البيرفلورية والمتعددة الفلور.</w:t>
      </w:r>
    </w:p>
    <w:p w14:paraId="345B14C8" w14:textId="5B4BF9DF" w:rsidR="00D44330" w:rsidRPr="00984A76" w:rsidRDefault="00D44330" w:rsidP="00984A76">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textDirection w:val="tbRlV"/>
        <w:rPr>
          <w:rFonts w:cs="Simplified Arabic"/>
          <w:szCs w:val="24"/>
        </w:rPr>
      </w:pPr>
      <w:r w:rsidRPr="00984A76">
        <w:rPr>
          <w:rFonts w:cs="Simplified Arabic"/>
          <w:szCs w:val="24"/>
          <w:rtl/>
        </w:rPr>
        <w:t>وإذا رغب أي طرف في مناقشة هذه المسائل أو أي مسائل أخرى تتعلق بالتقرير المرحلي للفريق لعام 2026 في الاجتماع الثامن والأربعين للفريق العامل المفتوح العضوية، فيجوز له أن يثيرها وقت إقرار جدول الأعمال ويطلب إدراج هذه المسائل في جدول الأعمال، حسب الاقتضاء.</w:t>
      </w:r>
    </w:p>
    <w:p w14:paraId="2538FB00" w14:textId="77777777" w:rsidR="00D44330" w:rsidRPr="00984A76" w:rsidRDefault="00D44330" w:rsidP="0000607D">
      <w:pPr>
        <w:pStyle w:val="CH1"/>
        <w:keepLines w:val="0"/>
        <w:tabs>
          <w:tab w:val="clear" w:pos="851"/>
          <w:tab w:val="clear" w:pos="1247"/>
        </w:tabs>
        <w:suppressAutoHyphens w:val="0"/>
        <w:bidi/>
        <w:spacing w:before="0" w:line="360" w:lineRule="exact"/>
        <w:ind w:left="1135" w:right="0" w:hanging="851"/>
        <w:jc w:val="both"/>
        <w:textDirection w:val="tbRlV"/>
        <w:rPr>
          <w:rFonts w:ascii="Simplified Arabic" w:hAnsi="Simplified Arabic" w:cs="Simplified Arabic"/>
          <w:bCs/>
          <w:sz w:val="24"/>
          <w:szCs w:val="24"/>
          <w:rtl/>
          <w:lang w:bidi="en-GB"/>
        </w:rPr>
      </w:pPr>
      <w:r w:rsidRPr="00984A76">
        <w:rPr>
          <w:rFonts w:ascii="Simplified Arabic" w:hAnsi="Simplified Arabic" w:cs="Simplified Arabic"/>
          <w:bCs/>
          <w:sz w:val="24"/>
          <w:szCs w:val="24"/>
          <w:rtl/>
        </w:rPr>
        <w:t>’1‘</w:t>
      </w:r>
      <w:r w:rsidRPr="00984A76">
        <w:rPr>
          <w:rFonts w:ascii="Simplified Arabic" w:hAnsi="Simplified Arabic" w:cs="Simplified Arabic"/>
          <w:bCs/>
          <w:sz w:val="24"/>
          <w:szCs w:val="24"/>
          <w:rtl/>
        </w:rPr>
        <w:tab/>
        <w:t>تقييم وتوصية بشأن تقنية للتدمير قدمتهما كندا</w:t>
      </w:r>
    </w:p>
    <w:p w14:paraId="1601E746" w14:textId="66E8A259" w:rsidR="00D44330" w:rsidRPr="00984A76" w:rsidRDefault="00D44330" w:rsidP="00984A76">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textDirection w:val="tbRlV"/>
        <w:rPr>
          <w:rFonts w:cs="Simplified Arabic"/>
          <w:szCs w:val="24"/>
        </w:rPr>
      </w:pPr>
      <w:r w:rsidRPr="00984A76">
        <w:rPr>
          <w:rFonts w:cs="Simplified Arabic"/>
          <w:szCs w:val="24"/>
          <w:rtl/>
        </w:rPr>
        <w:t>على مر السنين، اعتمدت الأطراف عددًا من المقررات التي تقر تكنولوجيات لتدمير المواد الخاضعة للرقابة لأغراض بروتوكول مونتريال. وترد القائمة الحالية لتكنولوجيات التدمير المعتمدة في المرفق الثاني لتقرير الاجتماع الثلاثين للأطراف، بصيغتها التي عدلها الاجتماع الخامس والثلاثون للأطراف في المقرر 35/5</w:t>
      </w:r>
      <w:r w:rsidRPr="00984A76">
        <w:rPr>
          <w:rFonts w:cs="Simplified Arabic"/>
          <w:szCs w:val="24"/>
          <w:vertAlign w:val="superscript"/>
          <w:rtl/>
        </w:rPr>
        <w:t>(</w:t>
      </w:r>
      <w:r w:rsidRPr="00984A76">
        <w:rPr>
          <w:rFonts w:cs="Simplified Arabic"/>
          <w:szCs w:val="24"/>
          <w:vertAlign w:val="superscript"/>
          <w:rtl/>
        </w:rPr>
        <w:footnoteReference w:id="10"/>
      </w:r>
      <w:r w:rsidRPr="00984A76">
        <w:rPr>
          <w:rFonts w:cs="Simplified Arabic"/>
          <w:szCs w:val="24"/>
          <w:vertAlign w:val="superscript"/>
          <w:rtl/>
        </w:rPr>
        <w:t>)</w:t>
      </w:r>
      <w:r w:rsidRPr="00984A76">
        <w:rPr>
          <w:rFonts w:cs="Simplified Arabic"/>
          <w:szCs w:val="24"/>
          <w:rtl/>
        </w:rPr>
        <w:t>.</w:t>
      </w:r>
    </w:p>
    <w:p w14:paraId="62122BB7" w14:textId="77777777" w:rsidR="00D44330" w:rsidRPr="00984A76" w:rsidRDefault="00D44330" w:rsidP="00984A76">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textDirection w:val="tbRlV"/>
        <w:rPr>
          <w:rFonts w:cs="Simplified Arabic"/>
          <w:szCs w:val="24"/>
        </w:rPr>
      </w:pPr>
      <w:r w:rsidRPr="00984A76">
        <w:rPr>
          <w:rFonts w:cs="Simplified Arabic"/>
          <w:szCs w:val="24"/>
          <w:rtl/>
        </w:rPr>
        <w:t>وفي المقرر 35/5، المتعلق بتكنولوجيات تدمير المواد الخاضعة للرقابة، دُعيت الأطراف إلى تقديم معلومات إلى الأمانة ذات صلة باستعراض تكنولوجيات التدمير. ووفقاً للمقرر 4/11 الصادر عن الاجتماع الرابع للأطراف، يتولى فريق التقييم التكنولوجي والاقتصادي إجراء هذه الاستعراضات، وتُعَد توصيات ذات صلة لعرضها على اجتماع الأطراف للنظر فيها. وفي إطار التقييم الذي يجريه الفريق فإنه يقدم أيضاً، من خلال لجنة الخيارات التقنية الطبية والكيميائية التابعة له، المشورة التقنية بشأن انبعاثات الملوثات الأخرى والقدرات التقنية لتكنولوجيات التدمير، لكي تنظر فيها الأطراف. وفي هذا الصدد، تلقت الأمانة استفسارات من طرفين بشأن تكنولوجيات التدمير التي يستخدمانها، وقد ردت اللجنة على هذه الاستفسارات عن طريق الأمانة.</w:t>
      </w:r>
    </w:p>
    <w:p w14:paraId="6E23E9AA" w14:textId="77777777" w:rsidR="00D44330" w:rsidRPr="00984A76" w:rsidRDefault="00D44330" w:rsidP="00984A76">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textDirection w:val="tbRlV"/>
        <w:rPr>
          <w:rFonts w:cs="Simplified Arabic"/>
          <w:szCs w:val="24"/>
        </w:rPr>
      </w:pPr>
      <w:r w:rsidRPr="00984A76">
        <w:rPr>
          <w:rFonts w:cs="Simplified Arabic"/>
          <w:szCs w:val="24"/>
          <w:rtl/>
        </w:rPr>
        <w:t>وفي تشرين الثاني/نوفمبر 2025، قدمت كندا إلى الأمانة معلومات سرية وأخرى غير سرية تتعلق بتكنولوجيا قوس البلازما الحاصلة على براءة اختراع والتي تستخدم البخار، وذلك لكي تخضع للتقييم من جانب فريق التقييم التكنولوجي والاقتصادي. واستعرضت لجنة الخيارات التقنية الطبية والكيميائية التابعة للفريق التقرير المقدم، وطلبت توضيحات من كندا، وأجرت تقييمًا تقنيًّا مستقلًا، شمل مراجعة الأقران ومناقشات بهدف التوصل إلى توافق في الآراء.</w:t>
      </w:r>
    </w:p>
    <w:p w14:paraId="72C804F5" w14:textId="77777777" w:rsidR="00D44330" w:rsidRPr="00984A76" w:rsidRDefault="00D44330" w:rsidP="0080070D">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jc w:val="lowKashida"/>
        <w:textDirection w:val="tbRlV"/>
        <w:rPr>
          <w:rFonts w:cs="Simplified Arabic"/>
          <w:szCs w:val="24"/>
        </w:rPr>
      </w:pPr>
      <w:r w:rsidRPr="00984A76">
        <w:rPr>
          <w:rFonts w:cs="Simplified Arabic"/>
          <w:szCs w:val="24"/>
          <w:rtl/>
        </w:rPr>
        <w:t>وقد اتبع تقييم اللجنة المعايير المعمول بها فيما يتعلق بتكنولوجيات التدمير، مع التركيز على كفاءة التدمير والإزالة المثبتة، وحدود الانبعاثات (بما في ذلك الديوكسينات/الفيورانات والغازات الحمضية والجسيمات الدقيقة العالقة وأول أكسيد الكربون)، والحد الأدنى للقدرة على المعالجة. وجرى تحليل بيانات عدة مواد خاضعة للرقابة، بما في ذلك مركب الكربون الكلوروفلوري-11 ومركب الكربون الكلوروفلوري-12 ومركب الكربون الهيدروكلوري فلوري-22 ومركب الكربون الهيدروفلوري-</w:t>
      </w:r>
      <w:r w:rsidRPr="004F2BC4">
        <w:rPr>
          <w:rFonts w:asciiTheme="majorBidi" w:hAnsiTheme="majorBidi" w:cstheme="majorBidi"/>
          <w:sz w:val="22"/>
          <w:szCs w:val="22"/>
          <w:rtl/>
        </w:rPr>
        <w:t>134a</w:t>
      </w:r>
      <w:r w:rsidRPr="00984A76">
        <w:rPr>
          <w:rFonts w:cs="Simplified Arabic"/>
          <w:szCs w:val="24"/>
          <w:rtl/>
        </w:rPr>
        <w:t>.</w:t>
      </w:r>
    </w:p>
    <w:p w14:paraId="7E7321E9" w14:textId="77777777" w:rsidR="00D44330" w:rsidRPr="00984A76" w:rsidRDefault="00D44330" w:rsidP="00984A76">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textDirection w:val="tbRlV"/>
        <w:rPr>
          <w:rFonts w:cs="Simplified Arabic"/>
          <w:szCs w:val="24"/>
        </w:rPr>
      </w:pPr>
      <w:r w:rsidRPr="00984A76">
        <w:rPr>
          <w:rFonts w:cs="Simplified Arabic"/>
          <w:szCs w:val="24"/>
          <w:rtl/>
        </w:rPr>
        <w:t>واستنادًا إلى استعراض اللجنة لبيانات الأداء التي قدمتها كندا، أثبتت هذه التكنولوجيا أن كفاءات التدمير والإزالة التي أمكن تحقيقها فيما يتعلق بتدمير مركب الكربون الكلوروفلوري-12 ومركب الكربون الكلوروفلوري-11 ومركب الكربون الهيدروكلوري فلوري-22 ومركب الكربون الهيدروفلوري-</w:t>
      </w:r>
      <w:r w:rsidRPr="00AA5804">
        <w:rPr>
          <w:rFonts w:asciiTheme="majorBidi" w:hAnsiTheme="majorBidi" w:cstheme="majorBidi"/>
          <w:sz w:val="22"/>
          <w:szCs w:val="22"/>
          <w:rtl/>
        </w:rPr>
        <w:t>134a</w:t>
      </w:r>
      <w:r w:rsidRPr="00984A76">
        <w:rPr>
          <w:rFonts w:cs="Simplified Arabic"/>
          <w:szCs w:val="24"/>
          <w:rtl/>
        </w:rPr>
        <w:t xml:space="preserve"> تزيد عن 99,99 في المئة، بما يستوفي معايير الأداء المتعلقة بكفاءة التدمير والإزالة</w:t>
      </w:r>
      <w:r w:rsidRPr="00984A76">
        <w:rPr>
          <w:rFonts w:cs="Simplified Arabic"/>
          <w:szCs w:val="24"/>
          <w:vertAlign w:val="superscript"/>
          <w:rtl/>
        </w:rPr>
        <w:t>(</w:t>
      </w:r>
      <w:r w:rsidRPr="00984A76">
        <w:rPr>
          <w:rFonts w:cs="Simplified Arabic"/>
          <w:szCs w:val="24"/>
          <w:vertAlign w:val="superscript"/>
          <w:rtl/>
        </w:rPr>
        <w:footnoteReference w:id="11"/>
      </w:r>
      <w:r w:rsidRPr="00984A76">
        <w:rPr>
          <w:rFonts w:cs="Simplified Arabic"/>
          <w:szCs w:val="24"/>
          <w:vertAlign w:val="superscript"/>
          <w:rtl/>
        </w:rPr>
        <w:t>)</w:t>
      </w:r>
      <w:r w:rsidRPr="00984A76">
        <w:rPr>
          <w:rFonts w:cs="Simplified Arabic"/>
          <w:szCs w:val="24"/>
          <w:rtl/>
        </w:rPr>
        <w:t xml:space="preserve"> لتلك المواد الخاضعة للرقابة لأغراض التدمير بموجب بروتوكول مونتريال. وتبين أيضاً أن انبعاثات الملوثات هي أقل من الحدود الموصى بها، وأن قدرات المعالجة </w:t>
      </w:r>
      <w:r w:rsidRPr="00984A76">
        <w:rPr>
          <w:rFonts w:cs="Simplified Arabic"/>
          <w:szCs w:val="24"/>
          <w:rtl/>
        </w:rPr>
        <w:lastRenderedPageBreak/>
        <w:t>تجاوزت المعايير الدنيا. وعلى هذا الأساس، خلصت اللجنة إلى أن هذه التكنولوجيا قادرة من الناحية التقنية على تلبية متطلبات التدمير الخاصة بالمصادر المركزة لمواد المرفق ألف، المجموعة الأولى، والمرفق جيم، المجموعة الأولى، والمرفق واو، المجموعة الأولى.</w:t>
      </w:r>
    </w:p>
    <w:p w14:paraId="21E8F20A" w14:textId="55055AFE" w:rsidR="00D44330" w:rsidRPr="00984A76" w:rsidRDefault="00D44330" w:rsidP="00984A76">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textDirection w:val="tbRlV"/>
        <w:rPr>
          <w:rFonts w:cs="Simplified Arabic"/>
          <w:szCs w:val="24"/>
        </w:rPr>
      </w:pPr>
      <w:r w:rsidRPr="00984A76">
        <w:rPr>
          <w:rFonts w:cs="Simplified Arabic"/>
          <w:szCs w:val="24"/>
          <w:rtl/>
        </w:rPr>
        <w:t>واستعرضت اللجنة أيضاً كيفية توافق هذه التكنولوجيا مع فئات قوس البلازما الحالية، وخلصت إلى أنه على الرغم من وجود أوجه تشابه بينها وبين أنظمة قوس البلازما التي تمت الموافقة عليها سابقًا، فإنها تتميز عنها بشكل كافٍ. بناءً على ذلك، يوصي فريق التقييم التكنولوجي والاقتصادي بالموافقة على استخدام هذه التكنولوجيا، ضمن فئة عامة جديدة تُسمى</w:t>
      </w:r>
      <w:r w:rsidR="00481C2F" w:rsidRPr="00087C24">
        <w:rPr>
          <w:rFonts w:cs="Simplified Arabic"/>
          <w:szCs w:val="24"/>
        </w:rPr>
        <w:t>”</w:t>
      </w:r>
      <w:r w:rsidR="00784420" w:rsidRPr="00087C24">
        <w:rPr>
          <w:rFonts w:cs="Simplified Arabic"/>
          <w:szCs w:val="24"/>
        </w:rPr>
        <w:t xml:space="preserve"> </w:t>
      </w:r>
      <w:r w:rsidRPr="00984A76">
        <w:rPr>
          <w:rFonts w:cs="Simplified Arabic"/>
          <w:szCs w:val="24"/>
          <w:rtl/>
        </w:rPr>
        <w:t>قوس البلازما البخاري</w:t>
      </w:r>
      <w:r w:rsidR="00784420" w:rsidRPr="00087C24">
        <w:rPr>
          <w:rFonts w:cs="Simplified Arabic"/>
          <w:szCs w:val="24"/>
        </w:rPr>
        <w:t>“</w:t>
      </w:r>
      <w:r w:rsidRPr="00984A76">
        <w:rPr>
          <w:rFonts w:cs="Simplified Arabic"/>
          <w:szCs w:val="24"/>
          <w:rtl/>
        </w:rPr>
        <w:t>، لتدمير المصادر المركزة للمواد الخاضعة للرقابة المدرجة في المرفق ألف، المجموعة الأولى، والمرفق جيم، المجموعة الأولى، والمرفق واو، المجموعة الأولى، لأغراض بروتوكول مونتريال.</w:t>
      </w:r>
    </w:p>
    <w:p w14:paraId="009A2FFF" w14:textId="77777777" w:rsidR="00D44330" w:rsidRPr="00984A76" w:rsidRDefault="00D44330" w:rsidP="00984A76">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textDirection w:val="tbRlV"/>
        <w:rPr>
          <w:rFonts w:cs="Simplified Arabic"/>
          <w:szCs w:val="24"/>
          <w:rtl/>
        </w:rPr>
      </w:pPr>
      <w:r w:rsidRPr="00984A76">
        <w:rPr>
          <w:rFonts w:cs="Simplified Arabic"/>
          <w:szCs w:val="24"/>
          <w:rtl/>
        </w:rPr>
        <w:t>وقد يرغب الفريق العامل المفتوح العضوية في النظر في هذه المسألة والتوصية بسبل للمضي قدماً.</w:t>
      </w:r>
    </w:p>
    <w:p w14:paraId="362FEC41" w14:textId="77777777" w:rsidR="00D44330" w:rsidRPr="00984A76" w:rsidRDefault="00D44330" w:rsidP="0000607D">
      <w:pPr>
        <w:pStyle w:val="CH1"/>
        <w:keepLines w:val="0"/>
        <w:tabs>
          <w:tab w:val="clear" w:pos="851"/>
          <w:tab w:val="clear" w:pos="1247"/>
        </w:tabs>
        <w:suppressAutoHyphens w:val="0"/>
        <w:bidi/>
        <w:spacing w:before="0" w:line="360" w:lineRule="exact"/>
        <w:ind w:left="1135" w:right="0" w:hanging="851"/>
        <w:jc w:val="both"/>
        <w:textDirection w:val="tbRlV"/>
        <w:rPr>
          <w:rFonts w:ascii="Simplified Arabic" w:hAnsi="Simplified Arabic" w:cs="Simplified Arabic"/>
          <w:bCs/>
          <w:sz w:val="24"/>
          <w:szCs w:val="24"/>
          <w:rtl/>
          <w:lang w:bidi="en-GB"/>
        </w:rPr>
      </w:pPr>
      <w:r w:rsidRPr="00984A76">
        <w:rPr>
          <w:rFonts w:ascii="Simplified Arabic" w:hAnsi="Simplified Arabic" w:cs="Simplified Arabic"/>
          <w:bCs/>
          <w:sz w:val="24"/>
          <w:szCs w:val="24"/>
          <w:rtl/>
        </w:rPr>
        <w:t>’2‘</w:t>
      </w:r>
      <w:r w:rsidRPr="00984A76">
        <w:rPr>
          <w:rFonts w:ascii="Simplified Arabic" w:hAnsi="Simplified Arabic" w:cs="Simplified Arabic"/>
          <w:bCs/>
          <w:sz w:val="24"/>
          <w:szCs w:val="24"/>
          <w:rtl/>
        </w:rPr>
        <w:tab/>
        <w:t>السياسات الناشئة والمعلومات القطاعية المتعلقة بالمواد الألكيلية البيرفلورية والمتعددة الفلور</w:t>
      </w:r>
    </w:p>
    <w:p w14:paraId="6787504E" w14:textId="77777777" w:rsidR="00D44330" w:rsidRPr="00984A76" w:rsidRDefault="00D44330" w:rsidP="00984A76">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textDirection w:val="tbRlV"/>
        <w:rPr>
          <w:rFonts w:cs="Simplified Arabic"/>
          <w:szCs w:val="24"/>
          <w:rtl/>
          <w:lang w:bidi="en-GB"/>
        </w:rPr>
      </w:pPr>
      <w:r w:rsidRPr="00984A76">
        <w:rPr>
          <w:rFonts w:cs="Simplified Arabic"/>
          <w:szCs w:val="24"/>
          <w:rtl/>
        </w:rPr>
        <w:t>تمشياً مع التقارير السابقة لفريق التقييم التكنولوجي والاقتصادي، يقدم الفصل 7 من تقريره المرحلي لعام 2026 معلومات محدثة ذات صلة بالسياسات تتعلق بالمواد الألكيلية البيرفلورية والمتعددة الفلور ويحدد الآثار المحتملة للانتقال إلى بدائل من المواد الخاضعة للرقابة بموجب بروتوكول مونتريال في قطاعات إخماد الحرائق والرغاوي والمواد الطبية والتبريد وتكييف الهواء والمضخات الحرارية.</w:t>
      </w:r>
    </w:p>
    <w:p w14:paraId="4D20ABB5" w14:textId="2B24A67D" w:rsidR="00D44330" w:rsidRPr="00984A76" w:rsidRDefault="00D44330" w:rsidP="00984A76">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textDirection w:val="tbRlV"/>
        <w:rPr>
          <w:rFonts w:cs="Simplified Arabic"/>
          <w:szCs w:val="24"/>
          <w:rtl/>
          <w:lang w:bidi="en-GB"/>
        </w:rPr>
      </w:pPr>
      <w:r w:rsidRPr="00984A76">
        <w:rPr>
          <w:rFonts w:cs="Simplified Arabic"/>
          <w:szCs w:val="24"/>
          <w:rtl/>
        </w:rPr>
        <w:t xml:space="preserve">ويؤكد الفريق أنه على الرغم من أن المواد الألكيلية البيرفلورية والمتعددة الفلور غالبًا ما تُصنف خطأً تحت مسمى </w:t>
      </w:r>
      <w:r w:rsidR="00911F4D" w:rsidRPr="009974CB">
        <w:rPr>
          <w:rFonts w:cs="Simplified Arabic"/>
        </w:rPr>
        <w:t>”</w:t>
      </w:r>
      <w:r w:rsidRPr="00984A76">
        <w:rPr>
          <w:rFonts w:cs="Simplified Arabic"/>
          <w:szCs w:val="24"/>
          <w:rtl/>
        </w:rPr>
        <w:t>المواد الكيميائية الأبدية</w:t>
      </w:r>
      <w:r w:rsidR="00212AA8" w:rsidRPr="009974CB">
        <w:rPr>
          <w:rFonts w:cs="Simplified Arabic"/>
        </w:rPr>
        <w:t>“</w:t>
      </w:r>
      <w:r w:rsidRPr="00984A76">
        <w:rPr>
          <w:rFonts w:cs="Simplified Arabic"/>
          <w:szCs w:val="24"/>
          <w:rtl/>
        </w:rPr>
        <w:t>، إلا أنه في الواقع ليست جميع هذه المواد مقاومة للتحلل وقابلة للتراكم البيولوجي وسامةً. وينصب جزء كبير من القلق على مواد كيميائية مثل حمض البيرفلوروكتانويك وسلفونات البيرفلوروكتان، وهي مواد شديدة المقاومة للتحلل وضارة، وقد فُرضت عليها بالفعل قيود صارمة في العديد من الولايات القضائية.</w:t>
      </w:r>
    </w:p>
    <w:p w14:paraId="796823C1" w14:textId="4D98B860" w:rsidR="00D44330" w:rsidRPr="00984A76" w:rsidRDefault="00D44330" w:rsidP="00984A76">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textDirection w:val="tbRlV"/>
        <w:rPr>
          <w:rFonts w:cs="Simplified Arabic"/>
          <w:szCs w:val="24"/>
          <w:rtl/>
          <w:lang w:bidi="en-GB"/>
        </w:rPr>
      </w:pPr>
      <w:r w:rsidRPr="00984A76">
        <w:rPr>
          <w:rFonts w:cs="Simplified Arabic"/>
          <w:szCs w:val="24"/>
          <w:rtl/>
        </w:rPr>
        <w:t xml:space="preserve">وكما ورد في التقارير السابقة، يلاحظ الفريق أن تعريفات </w:t>
      </w:r>
      <w:r w:rsidR="00911F4D" w:rsidRPr="009974CB">
        <w:rPr>
          <w:rFonts w:cs="Simplified Arabic"/>
        </w:rPr>
        <w:t>”</w:t>
      </w:r>
      <w:r w:rsidRPr="00984A76">
        <w:rPr>
          <w:rFonts w:cs="Simplified Arabic"/>
          <w:szCs w:val="24"/>
          <w:rtl/>
        </w:rPr>
        <w:t>المواد الألكيلية البيرفلورية والمتعددة الفلور</w:t>
      </w:r>
      <w:r w:rsidR="00911F4D" w:rsidRPr="009974CB">
        <w:rPr>
          <w:rFonts w:cs="Simplified Arabic"/>
        </w:rPr>
        <w:t>“</w:t>
      </w:r>
      <w:r w:rsidRPr="00984A76">
        <w:rPr>
          <w:rFonts w:cs="Simplified Arabic"/>
          <w:szCs w:val="24"/>
          <w:rtl/>
        </w:rPr>
        <w:t xml:space="preserve"> تتباين تباينًا كبيرًا بين اللوائح الدولية والوطنية والولائية، مما يؤدي إلى تباين في معاملة مواد ذات صلة ببروتوكول مونتريال. وتستخدم مختلف المنظمات والحكومات معايير متنوعة، وبعض التعريفات واسعة بما يكفي لتشمل المبردات، ومواد إخماد الحرائق، وعوامل نفخ الرغوة، والبوليمرات الفلورية، والمواد الدافعة من الإيروسولات الطبية الخاضعة للرقابة بموجب بروتوكول مونتريال، فضلاً عن المواد المستخدمة كبدائل لها. وقد تؤدي اللوائح التي تستند حصريًّا إلى التركيب الكيميائي، بدلاً من المخاطر البيئية أو الصحية الفعلية، إلى حظر مواد غير شديدة السمية أو غير مقاومة للتحلل دون قصد.</w:t>
      </w:r>
    </w:p>
    <w:p w14:paraId="0793900D" w14:textId="77777777" w:rsidR="00020889" w:rsidRPr="00020889" w:rsidRDefault="00020889" w:rsidP="00020889">
      <w:pPr>
        <w:pStyle w:val="ARNormalnumber"/>
        <w:tabs>
          <w:tab w:val="clear" w:pos="567"/>
          <w:tab w:val="clear" w:pos="1247"/>
          <w:tab w:val="clear" w:pos="1814"/>
          <w:tab w:val="clear" w:pos="2381"/>
          <w:tab w:val="clear" w:pos="2948"/>
          <w:tab w:val="clear" w:pos="3515"/>
          <w:tab w:val="clear" w:pos="4082"/>
          <w:tab w:val="left" w:pos="1843"/>
        </w:tabs>
        <w:bidi/>
        <w:spacing w:after="120" w:line="360" w:lineRule="exact"/>
        <w:ind w:left="1134"/>
        <w:textDirection w:val="tbRlV"/>
        <w:rPr>
          <w:rFonts w:cs="Simplified Arabic"/>
          <w:szCs w:val="24"/>
          <w:lang w:bidi="en-GB"/>
        </w:rPr>
      </w:pPr>
    </w:p>
    <w:p w14:paraId="2B309D9F" w14:textId="2E0EC475" w:rsidR="00D44330" w:rsidRPr="00984A76" w:rsidRDefault="00D44330" w:rsidP="00020889">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textDirection w:val="tbRlV"/>
        <w:rPr>
          <w:rFonts w:cs="Simplified Arabic"/>
          <w:szCs w:val="24"/>
          <w:rtl/>
          <w:lang w:bidi="en-GB"/>
        </w:rPr>
      </w:pPr>
      <w:r w:rsidRPr="00984A76">
        <w:rPr>
          <w:rFonts w:cs="Simplified Arabic"/>
          <w:szCs w:val="24"/>
          <w:rtl/>
        </w:rPr>
        <w:t xml:space="preserve">كذلك تختلف النهج التنظيمية اختلافًا كبيرًا. وتقتصر اتفاقية استكهولم بشأن الملوثات العضوية الثابتة على تقييد مواد ألكيلية بيرفلورية ومتعددة الفلور محددة منها سلفونات البيرفلوروكتان وحمض البيرفلوروكتانويك، دون استهداف المواد ذات الصلة ببروتوكول مونتريال. في المقابل، قد تؤثر القيود المقترحة من الاتحاد الأوروبي على المواد الألكيلية البيرفلورية والمتعددة الفلور، بموجب لائحة تسجيل المواد الكيميائية وتقييمها والتصريح بها وتقييدها، على بدائل المواد المستنفدة للأوزون والمواد ذات القدرة العالية على إحداث الاحترار العالمي. وتدرس كندا فرض ضوابط أوسع نطاقاً على المواد الألكيلية البيرفلورية والمتعددة الفلور، قد تشمل بعض المواد الكيميائية ذات الصلة ببروتوكول مونتريال، مع استبعاد البوليمرات الفلورية. وفي الولايات المتحدة، تطبق وكالة حماية البيئة نهجًا قائمًا على تقييم المخاطر يركز على السمية والتعرض، وقد اعتمدت بعض الولايات تعريفات وقيودًا أوسع نطاقًا فيما يتعلق بالمواد الألكيلية البيرفلورية والمتعددة الفلور. </w:t>
      </w:r>
    </w:p>
    <w:p w14:paraId="031BB601" w14:textId="77777777" w:rsidR="00D44330" w:rsidRPr="00984A76" w:rsidRDefault="00D44330" w:rsidP="00984A76">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textDirection w:val="tbRlV"/>
        <w:rPr>
          <w:rFonts w:cs="Simplified Arabic"/>
          <w:szCs w:val="24"/>
          <w:rtl/>
          <w:lang w:bidi="en-GB"/>
        </w:rPr>
      </w:pPr>
      <w:r w:rsidRPr="00984A76">
        <w:rPr>
          <w:rFonts w:cs="Simplified Arabic"/>
          <w:szCs w:val="24"/>
          <w:rtl/>
        </w:rPr>
        <w:lastRenderedPageBreak/>
        <w:t>إن حالة عدم اليقين المحيطة باللوائح التنظيمية المستقبلية المتعلقة بالمواد الألكيلية البيرفلورية والمتعددة الفلور تؤدي بالفعل إلى إبطاء وتيرة الاستثمار في تكنولوجيا الإحلال. وتتردد الشركات في الاستثمار في بدائل قد يجري حظرها لاحقًا. وقد يؤدي هذا الغموض إلى تأخير التقدم نحو تحقيق أهداف بروتوكول مونتريال وتعديل كيغالي، وذلك من خلال الحد من توافر البدائل ذات القدرة المنخفضة على إحداث الاحترار العالمي وتثبيط الابتكار.</w:t>
      </w:r>
    </w:p>
    <w:p w14:paraId="592204A7" w14:textId="77777777" w:rsidR="00D44330" w:rsidRPr="00984A76" w:rsidRDefault="00D44330" w:rsidP="000D4750">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textDirection w:val="tbRlV"/>
        <w:rPr>
          <w:rFonts w:cs="Simplified Arabic"/>
          <w:szCs w:val="24"/>
          <w:rtl/>
          <w:lang w:bidi="en-GB"/>
        </w:rPr>
      </w:pPr>
      <w:r w:rsidRPr="00984A76">
        <w:rPr>
          <w:rFonts w:cs="Simplified Arabic"/>
          <w:szCs w:val="24"/>
          <w:rtl/>
        </w:rPr>
        <w:t>وفي قطاع إخماد الحرائق، لا تزال أنظمة الحماية من الحرائق في الطائرات تعتمد بشكل كبير على الهالونات لأن البدائل المتاحة لبعض التطبيقات، لا سيما مقصورات الشحن وهياكل المحركات، لا تزال غير ملائمة من الناحية التقنية على الرغم من عقود من الأبحاث. وقد تُصنف البدائل المحتملة، مثل مادة بروميد ثالث فلوريد البروبين (</w:t>
      </w:r>
      <w:r w:rsidRPr="00911F4D">
        <w:rPr>
          <w:rFonts w:asciiTheme="majorBidi" w:hAnsiTheme="majorBidi" w:cstheme="majorBidi"/>
          <w:sz w:val="22"/>
          <w:szCs w:val="22"/>
          <w:rtl/>
        </w:rPr>
        <w:t>2-BTP</w:t>
      </w:r>
      <w:r w:rsidRPr="00984A76">
        <w:rPr>
          <w:rFonts w:cs="Simplified Arabic"/>
          <w:szCs w:val="24"/>
          <w:rtl/>
        </w:rPr>
        <w:t>) والكيتونات الفلورية، نفسها كمواد ألكيلية بيرفلورية ومتعددة الفلور وفقًا للتعريفات الواسعة النطاق، مما يثير الشكوك حول جدواها على المدى الطويل. ولذلك، يعيد أصحاب المصلحة في قطاع الطيران المدني النظر في استمرار استخدام الهالون 1301 على المدى الطويل، وهو ما قد يؤدي إلى إطالة أمد الاعتماد على المواد المستنفدة لطبقة الأوزون لعدة عقود نظراً لأن أنظمة الطائرات تُصمم وتُعتمد وفقاً لجداول زمنية طويلة للغاية.</w:t>
      </w:r>
    </w:p>
    <w:p w14:paraId="09194EAB" w14:textId="77777777" w:rsidR="00D44330" w:rsidRPr="00984A76" w:rsidRDefault="00D44330" w:rsidP="00984A76">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textDirection w:val="tbRlV"/>
        <w:rPr>
          <w:rFonts w:cs="Simplified Arabic"/>
          <w:szCs w:val="24"/>
          <w:rtl/>
          <w:lang w:bidi="en-GB"/>
        </w:rPr>
      </w:pPr>
      <w:r w:rsidRPr="00984A76">
        <w:rPr>
          <w:rFonts w:cs="Simplified Arabic"/>
          <w:szCs w:val="24"/>
          <w:rtl/>
        </w:rPr>
        <w:t>وفي قطاع العزل الرغوي، الذي يؤدي دورًا مهمًا في خفض استهلاك الطاقة في المباني وأنظمة التبريد، أجل المصنعون بالفعل اتخاذ قرارات بشأن عوامل نفخ الرغوة بسبب حالة عدم اليقين المحيطة بالبدائل المفلورة والحظر المحتمل في المستقبل. ونظرًا لعدم وجود عامل نفخ واحد يعمل بشكل مثالي في جميع التطبيقات، فإن تقليل عدد الخيارات المتاحة قد يؤدي إلى صعوبات تقنية واقتصادية.</w:t>
      </w:r>
    </w:p>
    <w:p w14:paraId="2AEBB1FE" w14:textId="77777777" w:rsidR="00D44330" w:rsidRPr="00984A76" w:rsidRDefault="00D44330" w:rsidP="00984A76">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textDirection w:val="tbRlV"/>
        <w:rPr>
          <w:rFonts w:cs="Simplified Arabic"/>
          <w:szCs w:val="24"/>
          <w:rtl/>
          <w:lang w:bidi="en-GB"/>
        </w:rPr>
      </w:pPr>
      <w:r w:rsidRPr="00984A76">
        <w:rPr>
          <w:rFonts w:cs="Simplified Arabic"/>
          <w:szCs w:val="24"/>
          <w:rtl/>
        </w:rPr>
        <w:t>وفي القطاع الطبي، قد تتأثر أيضًا البخاخ المحددة الجرعات المضغوطة التي تُستخدم لعلاج الربو ومرض الانسداد الرئوي المزمن. وتشهد الصناعة تحولاً عن استخدام المواد الدافعة ذات القدرة العالية على إحداث الاحترار العالمي إلى بدائل ذات قدرة أقل على إحداث الاحترار العالمي، مثل مركب الكربون الهيدروفلوري-</w:t>
      </w:r>
      <w:r w:rsidRPr="00911F4D">
        <w:rPr>
          <w:rFonts w:asciiTheme="majorBidi" w:hAnsiTheme="majorBidi" w:cstheme="majorBidi"/>
          <w:sz w:val="22"/>
          <w:szCs w:val="22"/>
          <w:rtl/>
        </w:rPr>
        <w:t>152a</w:t>
      </w:r>
      <w:r w:rsidRPr="00984A76">
        <w:rPr>
          <w:rFonts w:cs="Simplified Arabic"/>
          <w:szCs w:val="24"/>
          <w:rtl/>
        </w:rPr>
        <w:t xml:space="preserve"> ومركب الأوليفين الهيدروفلوري-</w:t>
      </w:r>
      <w:r w:rsidRPr="00911F4D">
        <w:rPr>
          <w:rFonts w:asciiTheme="majorBidi" w:hAnsiTheme="majorBidi" w:cstheme="majorBidi"/>
          <w:sz w:val="22"/>
          <w:szCs w:val="22"/>
          <w:rtl/>
        </w:rPr>
        <w:t>1234ze</w:t>
      </w:r>
      <w:r w:rsidRPr="00984A76">
        <w:rPr>
          <w:rFonts w:cs="Simplified Arabic"/>
          <w:szCs w:val="24"/>
          <w:rtl/>
        </w:rPr>
        <w:t>(</w:t>
      </w:r>
      <w:r w:rsidRPr="00911F4D">
        <w:rPr>
          <w:rFonts w:asciiTheme="majorBidi" w:hAnsiTheme="majorBidi" w:cstheme="majorBidi"/>
          <w:sz w:val="22"/>
          <w:szCs w:val="22"/>
          <w:rtl/>
        </w:rPr>
        <w:t>E</w:t>
      </w:r>
      <w:r w:rsidRPr="00984A76">
        <w:rPr>
          <w:rFonts w:cs="Simplified Arabic"/>
          <w:szCs w:val="24"/>
          <w:rtl/>
        </w:rPr>
        <w:t>). ومع ذلك، فإن بعض اللوائح المقترحة بشأن المواد الألكيلية البيرفلورية والمتعددة الفلور قد تفرض قيودًا على مركب الأوليفين الهيدروفلوري-</w:t>
      </w:r>
      <w:r w:rsidRPr="00911F4D">
        <w:rPr>
          <w:rFonts w:asciiTheme="majorBidi" w:hAnsiTheme="majorBidi" w:cstheme="majorBidi"/>
          <w:sz w:val="22"/>
          <w:szCs w:val="22"/>
          <w:rtl/>
        </w:rPr>
        <w:t>1234ze</w:t>
      </w:r>
      <w:r w:rsidRPr="00984A76">
        <w:rPr>
          <w:rFonts w:cs="Simplified Arabic"/>
          <w:szCs w:val="24"/>
          <w:rtl/>
        </w:rPr>
        <w:t>(</w:t>
      </w:r>
      <w:r w:rsidRPr="00911F4D">
        <w:rPr>
          <w:rFonts w:asciiTheme="majorBidi" w:hAnsiTheme="majorBidi" w:cstheme="majorBidi"/>
          <w:sz w:val="22"/>
          <w:szCs w:val="22"/>
          <w:rtl/>
        </w:rPr>
        <w:t>E</w:t>
      </w:r>
      <w:r w:rsidRPr="00984A76">
        <w:rPr>
          <w:rFonts w:cs="Simplified Arabic"/>
          <w:szCs w:val="24"/>
          <w:rtl/>
        </w:rPr>
        <w:t>) على الرغم من القدرة المنخفضة للغاية لهذه المادة على إحداث الاحترار العالمي. ونظرًا لأن تطوير بخاخات جديدة يستغرق سنوات عديدة، ولأن مئات الملايين من المرضى يعتمدون على هذه الأدوية، فإن حالة عدم اليقين بشأن اللوائح التنظيمية المستقبلية تثير القلق في قطاعي الرعاية الصحية والصناعات الدوائية.</w:t>
      </w:r>
    </w:p>
    <w:p w14:paraId="2F1815C5" w14:textId="77777777" w:rsidR="00D44330" w:rsidRPr="00984A76" w:rsidRDefault="00D44330" w:rsidP="00984A76">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textDirection w:val="tbRlV"/>
        <w:rPr>
          <w:rFonts w:cs="Simplified Arabic"/>
          <w:szCs w:val="24"/>
          <w:rtl/>
          <w:lang w:bidi="en-GB"/>
        </w:rPr>
      </w:pPr>
      <w:r w:rsidRPr="00984A76">
        <w:rPr>
          <w:rFonts w:cs="Simplified Arabic"/>
          <w:szCs w:val="24"/>
          <w:rtl/>
        </w:rPr>
        <w:t>ويُعتبر قطاع التبريد وتكييف الهواء والمضخات الحرارية ذا أهمية خاصة لأنه يستهلك الجزء الأكبر على الصعيد العالمي من مركبات الكربون الهيدروفلورية بموجب تعديل كيغالي. ووفقًا للفريق، فإن جميع المواد المبردة المفلورة الشائعة الاستخدام تقريبًا، باستثناء مركب الكربون الهيدروفلوري-32، قد تندرج ضمن التعريفات الواسعة النطاق للمواد الألكيلية البيرفلورية والمتعددة الفلور. ورغم أن البدائل غير المفلورة، مثل الهيدروكربونات والأمونيا وثاني أكسيد الكربون، تُعد مناسبة في بعض التطبيقات، إلا أنها تنطوي أيضًا على قيود تتعلق بالقابلية للاشتعال، والسمية، والضغط، والكفاءة، ومدى ملاءمتها لمناخات وأنواع معينة من المباني. وبالتالي، فإن فرض حظر واسع النطاق على المواد الألكيلية البيرفلورية والمتعددة الفلور قد يؤدي إلى تقليص خيارات المواد المبردة، وإبطاء وتيرة اعتماد المضخات الحرارية، وخفض كفاءة الطاقة، وبالتالي زيادة انبعاثات غازات الاحتباس الحراري.</w:t>
      </w:r>
    </w:p>
    <w:p w14:paraId="4A07FEC2" w14:textId="77777777" w:rsidR="00D44330" w:rsidRPr="00984A76" w:rsidRDefault="00D44330" w:rsidP="00984A76">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textDirection w:val="tbRlV"/>
        <w:rPr>
          <w:rFonts w:cs="Simplified Arabic"/>
          <w:szCs w:val="24"/>
          <w:rtl/>
          <w:lang w:bidi="en-GB"/>
        </w:rPr>
      </w:pPr>
      <w:r w:rsidRPr="00984A76">
        <w:rPr>
          <w:rFonts w:cs="Simplified Arabic"/>
          <w:szCs w:val="24"/>
          <w:rtl/>
        </w:rPr>
        <w:t>ومن بين المخاوف الرئيسية الأخرى التي أشار إليها التقرير تلك المتعلقة بالبوليمرات الفلورية المستخدمة في معدات التبريد وتكييف الهواء والمضخات الحرارية. وتُعد هذه المواد أساسية في صناعة الأختام، والضواغط، والصمامات، وعزل الأسلاك، والمبادلات الحرارية، والطلاءات، والإلكترونيات، وذلك بفضل متانتها ومقاومتها للمواد الكيميائية. وبالتالي، فإن القيود المفروضة على البوليمرات الفلورية قد تؤدي إلى تعطيل عمليات التصنيع في هذا القطاع بأسره بغض النظر عن نوع المادة المبردة المستخدم، حيث إن العديد من النظم التي تستخدم ثاني أكسيد الكربون أو الأمونيا أو الهيدروكربونات تعتمد أيضًا على البوليمرات الفلورية.</w:t>
      </w:r>
    </w:p>
    <w:p w14:paraId="2FC52A4D" w14:textId="77777777" w:rsidR="00D44330" w:rsidRPr="00984A76" w:rsidRDefault="00D44330" w:rsidP="00984A76">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textDirection w:val="tbRlV"/>
        <w:rPr>
          <w:rFonts w:cs="Simplified Arabic"/>
          <w:szCs w:val="24"/>
          <w:rtl/>
          <w:lang w:bidi="en-GB"/>
        </w:rPr>
      </w:pPr>
      <w:r w:rsidRPr="00984A76">
        <w:rPr>
          <w:rFonts w:cs="Simplified Arabic"/>
          <w:szCs w:val="24"/>
          <w:rtl/>
        </w:rPr>
        <w:lastRenderedPageBreak/>
        <w:t>وبموجب القرار 35/3، المتعلق بمجالات التركيز المحتملة للتقارير الرباعية السنوات لعام 2026 التي تصدر عن فريق تقييم الآثار البيئية، وفريق التقييم العلمي وفريق التقييم التكنولوجي والاقتصادي، طُلب من جميع الأفرقة أن تدرج في تقارير التقييم الرباعية السنوات لعام 2026 معلومات عن المواد الخاضعة للرقابة وبدائلها ونواتج تحللها، ولا سيما المواد الألكيلية البيرفلورية والمتعددة الفلور. ويعكف فريق التقييم التكنولوجي والاقتصادي على التنسيق مع الفريقين الآخرين بشأن نطاق المعلومات المتعلقة بهذا الموضوع التي سيتم تناولها في تقارير التقييم الرباعية السنوات.</w:t>
      </w:r>
    </w:p>
    <w:p w14:paraId="39F48CF0" w14:textId="5E56CA9E" w:rsidR="00D44330" w:rsidRPr="0000607D" w:rsidRDefault="00D44330" w:rsidP="00984A76">
      <w:pPr>
        <w:pStyle w:val="CH2"/>
        <w:bidi/>
        <w:spacing w:before="0" w:line="360" w:lineRule="exact"/>
        <w:ind w:left="1134" w:right="0" w:firstLine="0"/>
        <w:jc w:val="both"/>
        <w:textDirection w:val="tbRlV"/>
        <w:rPr>
          <w:rFonts w:ascii="Simplified Arabic" w:hAnsi="Simplified Arabic" w:cs="Simplified Arabic"/>
          <w:sz w:val="26"/>
          <w:szCs w:val="26"/>
          <w:rtl/>
          <w:lang w:val="ar-SA" w:eastAsia="zh-TW" w:bidi="en-GB"/>
        </w:rPr>
      </w:pPr>
      <w:r w:rsidRPr="0000607D">
        <w:rPr>
          <w:rFonts w:ascii="Simplified Arabic" w:hAnsi="Simplified Arabic" w:cs="Simplified Arabic"/>
          <w:bCs/>
          <w:sz w:val="26"/>
          <w:szCs w:val="26"/>
          <w:rtl/>
        </w:rPr>
        <w:t>البند 5 من جدول الأعمال</w:t>
      </w:r>
    </w:p>
    <w:p w14:paraId="75CF992B" w14:textId="40D661DF" w:rsidR="00D44330" w:rsidRPr="00984A76" w:rsidRDefault="00D44330" w:rsidP="00984A76">
      <w:pPr>
        <w:pStyle w:val="CH2"/>
        <w:bidi/>
        <w:spacing w:before="0" w:line="360" w:lineRule="exact"/>
        <w:ind w:left="1134" w:right="0" w:firstLine="0"/>
        <w:jc w:val="both"/>
        <w:textDirection w:val="tbRlV"/>
        <w:rPr>
          <w:rFonts w:ascii="Simplified Arabic" w:hAnsi="Simplified Arabic" w:cs="Simplified Arabic"/>
          <w:rtl/>
          <w:lang w:val="ar-SA" w:eastAsia="zh-TW" w:bidi="en-GB"/>
        </w:rPr>
      </w:pPr>
      <w:r w:rsidRPr="00984A76">
        <w:rPr>
          <w:rFonts w:ascii="Simplified Arabic" w:hAnsi="Simplified Arabic" w:cs="Simplified Arabic"/>
          <w:bCs/>
          <w:rtl/>
        </w:rPr>
        <w:t>تعزيز الرصد الإقليمي في الغلاف الجوي للمواد الخاضعة للرقابة بموجب بروتوكول مونتريال (المقرر 37/1)</w:t>
      </w:r>
    </w:p>
    <w:p w14:paraId="3833F97D" w14:textId="77777777" w:rsidR="00D44330" w:rsidRPr="00984A76" w:rsidRDefault="00D44330" w:rsidP="00984A76">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textDirection w:val="tbRlV"/>
        <w:rPr>
          <w:rFonts w:cs="Simplified Arabic"/>
          <w:szCs w:val="24"/>
          <w:rtl/>
          <w:lang w:bidi="en-GB"/>
        </w:rPr>
      </w:pPr>
      <w:r w:rsidRPr="00984A76">
        <w:rPr>
          <w:rFonts w:cs="Simplified Arabic"/>
          <w:szCs w:val="24"/>
          <w:rtl/>
        </w:rPr>
        <w:t>كما ورد في مذكرة الأمانة (</w:t>
      </w:r>
      <w:r w:rsidRPr="002657D0">
        <w:rPr>
          <w:rFonts w:asciiTheme="majorBidi" w:hAnsiTheme="majorBidi" w:cstheme="majorBidi"/>
          <w:sz w:val="22"/>
          <w:szCs w:val="22"/>
          <w:rtl/>
        </w:rPr>
        <w:t>UNEP/OzL.Pro.WG.1/48/2</w:t>
      </w:r>
      <w:r w:rsidRPr="00984A76">
        <w:rPr>
          <w:rFonts w:cs="Simplified Arabic"/>
          <w:szCs w:val="24"/>
          <w:rtl/>
        </w:rPr>
        <w:t>، الفقرات 26–30)، فقد طُلب إلى الأمانة في المقرر 37/1 أن تقدم تقريراً إلى الفريق العامل المفتوح العضوية في اجتماعه الثامن والأربعين وإلى الاجتماع الثامن والثلاثين للأطراف عن التقدم المحرز في الأنشطة التالية وأي نتائج لها: تقييم مدى ملاءمة المواقع المحتملة لرصد انبعاثات المواد الخاضعة للرقابة الواقعة داخل المناطق والمواقع المحددة في المعلومات المقدمة من اللجنة الاستشارية التابعة للصندوق الاستئماني العام لتمويل الأنشطة الخاصة بالبحوث وعمليات الرصد المنهجية ذات الصلة باتفاقية فيينا لحماية طبقة الأوزون، بمشاركة طوعية من الأطراف المعنية وبالتشاور معها؛ وأن تُعد، بالتشاور مع الأطراف المعنية التي أبدت اهتمامها، للخطوات التالية المحتملة نحو إنشاء أنشطة رصد في المواقع المحتملة، مع مراعاة الأولويات التي عرضتها اللجنة الاستشارية في الاجتماع السابع والثلاثين للأطراف ونهج أخذ العينات على مراحل الوارد في الإضافة إلى مذكرة الأمانة بشأن مسائل معروضة على الاجتماع السابع والثلاثين للأطراف لمناقشتها ومعلومات للاطلاع عليها (</w:t>
      </w:r>
      <w:r w:rsidRPr="002657D0">
        <w:rPr>
          <w:rFonts w:asciiTheme="majorBidi" w:hAnsiTheme="majorBidi" w:cstheme="majorBidi"/>
          <w:sz w:val="22"/>
          <w:szCs w:val="22"/>
          <w:rtl/>
        </w:rPr>
        <w:t>UNEP/OzL.Pro.37/2/Add.1</w:t>
      </w:r>
      <w:r w:rsidRPr="00984A76">
        <w:rPr>
          <w:rFonts w:cs="Simplified Arabic"/>
          <w:szCs w:val="24"/>
          <w:rtl/>
        </w:rPr>
        <w:t>). ودعماً لتلك الأنشطة، أُذن للأمانة باستخدام بند في ميزانية عام 2026، على أساس استثنائي، بقيمة 000 100 دولار يُمول من الرصيد النقدي للصندوق الاستئماني لبروتوكول مونتريال. ويرد في الفقرات التالية ملخص للتقرير المرحلي للأمانة.</w:t>
      </w:r>
    </w:p>
    <w:p w14:paraId="3CF6F56B" w14:textId="47B7100B" w:rsidR="00D44330" w:rsidRPr="00984A76" w:rsidRDefault="00D44330" w:rsidP="00984A76">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textDirection w:val="tbRlV"/>
        <w:rPr>
          <w:rFonts w:cs="Simplified Arabic"/>
          <w:szCs w:val="24"/>
          <w:rtl/>
          <w:lang w:bidi="en-GB"/>
        </w:rPr>
      </w:pPr>
      <w:r w:rsidRPr="00984A76">
        <w:rPr>
          <w:rFonts w:cs="Simplified Arabic"/>
          <w:szCs w:val="24"/>
          <w:rtl/>
        </w:rPr>
        <w:t>وعملاً بالقرار 37/1، وفي أعقاب الاجتماع السابع والثلاثين للأطراف، واصلت الأمانة استعراض مواقع الرصد الحالية والبنية التحتية المتاحة، مع التركيز على المناطق الخمس التي حددتها اللجنة الاستشارية على أنها ذات أولوية. وبالتنسيق مع أمانة المنظمة العالمية للأرصاد الجوية، زار أحد أعضاء أمانة الأوزون مقر المنظمة في جنيف في نهاية عام 2025، وعمل عن كثب مع خبراء المنظمة لتحديد المحطات القائمة المناسبة والبنية التحتية ذات الصلة ضمن شبكة المراقبة العالمية للغلاف الجوي والشبكات الأخرى التي تنسقها المنظمة العالمية للأرصاد الجوية. وأخذ التقييم أيضاً في الاعتبار مدى توفر الخبرات التقنية والعلمية المحلية اللازمة لدعم أنشطة القياس. وقد عُرضت نتائج هذا العمل على اللجنة الاستشارية خلال اجتماعها العشرين الافتراضي، والذي نظمته الأمانة في 9 آذار/مارس 2026.</w:t>
      </w:r>
    </w:p>
    <w:p w14:paraId="6931EEDF" w14:textId="54EF499D" w:rsidR="00D44330" w:rsidRPr="00984A76" w:rsidRDefault="00D44330" w:rsidP="00984A76">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textDirection w:val="tbRlV"/>
        <w:rPr>
          <w:rFonts w:cs="Simplified Arabic"/>
          <w:szCs w:val="24"/>
          <w:rtl/>
          <w:lang w:bidi="en-GB"/>
        </w:rPr>
      </w:pPr>
      <w:r w:rsidRPr="00984A76">
        <w:rPr>
          <w:rFonts w:cs="Simplified Arabic"/>
          <w:szCs w:val="24"/>
          <w:rtl/>
        </w:rPr>
        <w:t>وأحاطت اللجنة الاستشارية علماً بالنتائج التي توصلت إليها الأمانة ومساهمة المنظمة العالمية للأرصاد الجوية، وشددت، من بين أمور أخرى، على أهمية ضمان توفر الخبرة العلمية المستمرة لصيانة أجهزة الرصد، لا سيما فيما يتعلق بالقياسات الطويلة الأجل التي تُجرى في محطات الرصد. ووافقت اللجنة أيضاً على أن تركز المرحلة التالية من العمل على استكشاف مدى اهتمام الأطراف في المناطق التي تم تحديدها كأولوية باستضافة أنشطة الرصد هذه.</w:t>
      </w:r>
    </w:p>
    <w:p w14:paraId="3BA5DB85" w14:textId="7AE80125" w:rsidR="00D44330" w:rsidRPr="00984A76" w:rsidRDefault="00D44330" w:rsidP="00984A76">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textDirection w:val="tbRlV"/>
        <w:rPr>
          <w:rFonts w:cs="Simplified Arabic"/>
          <w:szCs w:val="24"/>
          <w:rtl/>
          <w:lang w:bidi="en-GB"/>
        </w:rPr>
      </w:pPr>
      <w:r w:rsidRPr="00984A76">
        <w:rPr>
          <w:rFonts w:cs="Simplified Arabic"/>
          <w:szCs w:val="24"/>
          <w:rtl/>
        </w:rPr>
        <w:t>وبالتشاور مع الأمانة، أجرى أحد الرؤساء المشاركين للجنة الاستشارية مشاورات غير رسمية مع ممثلي الدول والعلماء في خمس بلدان تقع ضمن المناطق الخمس ذات الأولوية. وقد استهدفت تلك المناقشات توضيح المسائل التقنية والعلمية المتعلقة بإمكانية إنشاء محطات رصد، استنادًا إلى الوثائق التي أُعدت سابقًا، والتوصل إلى فهم أفضل للظروف الوطنية ذات الصلة. ونتيجةً لتلك المشاورات، وبحلول وقت إعداد هذه الإضافة، كانت الأمانة قد تلقت تعبيراً عن الاهتمام من طرفين بمواصلة المناقشات بشأن إمكانية إنشاء محطة رصد في بلديهما.</w:t>
      </w:r>
    </w:p>
    <w:p w14:paraId="64E3567B" w14:textId="3180E4F9" w:rsidR="00D44330" w:rsidRPr="00984A76" w:rsidRDefault="00D44330" w:rsidP="00984A76">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textDirection w:val="tbRlV"/>
        <w:rPr>
          <w:rFonts w:cs="Simplified Arabic"/>
          <w:szCs w:val="24"/>
          <w:rtl/>
          <w:lang w:bidi="en-GB"/>
        </w:rPr>
      </w:pPr>
      <w:r w:rsidRPr="00984A76">
        <w:rPr>
          <w:rFonts w:cs="Simplified Arabic"/>
          <w:szCs w:val="24"/>
          <w:rtl/>
        </w:rPr>
        <w:lastRenderedPageBreak/>
        <w:t>إضافةً إلى ذلك، وعقب إعلان الأمانة في الاجتماع السابع والثلاثين للأطراف عن عزمها تطوير أداة إلكترونية تفاعلية وسهلة الاستخدام لتقدير تكاليف إنشاء وتشغيل محطة رصد، ستتاح نسخة أولى من الأداة في الاجتماع الثامن والأربعين للفريق العامل المفتوح العضوية بهدف دعوة الأطراف لاختبارها وتقديم تعليقاتها واقتراحاتها إلى الأمانة لدعم إعداد نسخة نهائية سيتم إطلاقها في الاجتماع الثامن والثلاثين للأطراف.</w:t>
      </w:r>
    </w:p>
    <w:p w14:paraId="00798C5F" w14:textId="77777777" w:rsidR="00D44330" w:rsidRPr="00984A76" w:rsidRDefault="00D44330" w:rsidP="00984A76">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textDirection w:val="tbRlV"/>
        <w:rPr>
          <w:rFonts w:cs="Simplified Arabic"/>
          <w:szCs w:val="24"/>
          <w:rtl/>
          <w:lang w:bidi="en-GB"/>
        </w:rPr>
      </w:pPr>
      <w:r w:rsidRPr="00984A76">
        <w:rPr>
          <w:rFonts w:cs="Simplified Arabic"/>
          <w:szCs w:val="24"/>
          <w:rtl/>
        </w:rPr>
        <w:t>وقد يرغب الفريق العامل المفتوح العضوية في النظر في التقرير والتوصية بسبل للمضي قدماً.</w:t>
      </w:r>
    </w:p>
    <w:p w14:paraId="520ACA43" w14:textId="77777777" w:rsidR="00D44330" w:rsidRPr="00CA1B8B" w:rsidRDefault="00D44330" w:rsidP="00CA1B8B">
      <w:pPr>
        <w:pStyle w:val="CH1"/>
        <w:keepLines w:val="0"/>
        <w:tabs>
          <w:tab w:val="clear" w:pos="851"/>
          <w:tab w:val="clear" w:pos="1247"/>
        </w:tabs>
        <w:suppressAutoHyphens w:val="0"/>
        <w:bidi/>
        <w:spacing w:before="0" w:line="360" w:lineRule="exact"/>
        <w:ind w:left="1135" w:right="0" w:hanging="851"/>
        <w:jc w:val="both"/>
        <w:textDirection w:val="tbRlV"/>
        <w:rPr>
          <w:rFonts w:ascii="Simplified Arabic" w:hAnsi="Simplified Arabic" w:cs="Simplified Arabic"/>
          <w:bCs/>
          <w:sz w:val="26"/>
          <w:szCs w:val="26"/>
          <w:rtl/>
          <w:lang w:bidi="en-GB"/>
        </w:rPr>
      </w:pPr>
      <w:r w:rsidRPr="00CA1B8B">
        <w:rPr>
          <w:rFonts w:ascii="Simplified Arabic" w:hAnsi="Simplified Arabic" w:cs="Simplified Arabic"/>
          <w:bCs/>
          <w:sz w:val="26"/>
          <w:szCs w:val="26"/>
          <w:rtl/>
        </w:rPr>
        <w:t>ثالثاً-</w:t>
      </w:r>
      <w:r w:rsidRPr="00CA1B8B">
        <w:rPr>
          <w:rFonts w:ascii="Simplified Arabic" w:hAnsi="Simplified Arabic" w:cs="Simplified Arabic"/>
          <w:bCs/>
          <w:sz w:val="26"/>
          <w:szCs w:val="26"/>
          <w:rtl/>
        </w:rPr>
        <w:tab/>
        <w:t>المسائل ذات الصلة بالاجتماع الثامن والثلاثين للأطراف، بما في ذلك التحديثات بشأن تنفيذ المقررات السابقة</w:t>
      </w:r>
    </w:p>
    <w:p w14:paraId="02FE5D90" w14:textId="77777777" w:rsidR="00D44330" w:rsidRPr="00984A76" w:rsidRDefault="00D44330" w:rsidP="0000607D">
      <w:pPr>
        <w:pStyle w:val="CH1"/>
        <w:keepLines w:val="0"/>
        <w:tabs>
          <w:tab w:val="clear" w:pos="851"/>
          <w:tab w:val="clear" w:pos="1247"/>
        </w:tabs>
        <w:suppressAutoHyphens w:val="0"/>
        <w:bidi/>
        <w:spacing w:before="0" w:line="360" w:lineRule="exact"/>
        <w:ind w:left="1135" w:right="0" w:hanging="851"/>
        <w:jc w:val="both"/>
        <w:textDirection w:val="tbRlV"/>
        <w:rPr>
          <w:rFonts w:ascii="Simplified Arabic" w:hAnsi="Simplified Arabic" w:cs="Simplified Arabic"/>
          <w:bCs/>
          <w:sz w:val="24"/>
          <w:szCs w:val="24"/>
          <w:rtl/>
          <w:lang w:bidi="en-GB"/>
        </w:rPr>
      </w:pPr>
      <w:r w:rsidRPr="00984A76">
        <w:rPr>
          <w:rFonts w:ascii="Simplified Arabic" w:hAnsi="Simplified Arabic" w:cs="Simplified Arabic"/>
          <w:bCs/>
          <w:sz w:val="24"/>
          <w:szCs w:val="24"/>
          <w:rtl/>
        </w:rPr>
        <w:t>ألف-</w:t>
      </w:r>
      <w:r w:rsidRPr="00984A76">
        <w:rPr>
          <w:rFonts w:ascii="Simplified Arabic" w:hAnsi="Simplified Arabic" w:cs="Simplified Arabic"/>
          <w:bCs/>
          <w:sz w:val="24"/>
          <w:szCs w:val="24"/>
          <w:rtl/>
        </w:rPr>
        <w:tab/>
        <w:t>المواد الخاضعة للرقابة المعاد تدويرها والمستعملة وغير المرغوب فيها (القرارات 37/3، الفقرة 3، و37/4، الفقرة 3، و36/7، الفقرة 5)</w:t>
      </w:r>
    </w:p>
    <w:p w14:paraId="7358077F" w14:textId="02189B4A" w:rsidR="00D44330" w:rsidRPr="00984A76" w:rsidRDefault="00D44330" w:rsidP="00984A76">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textDirection w:val="tbRlV"/>
        <w:rPr>
          <w:rFonts w:cs="Simplified Arabic"/>
          <w:szCs w:val="24"/>
          <w:rtl/>
          <w:lang w:bidi="en-GB"/>
        </w:rPr>
      </w:pPr>
      <w:r w:rsidRPr="00984A76">
        <w:rPr>
          <w:rFonts w:cs="Simplified Arabic"/>
          <w:szCs w:val="24"/>
          <w:rtl/>
        </w:rPr>
        <w:t>كما هو مشار إليه في مذكرة الأمانة (</w:t>
      </w:r>
      <w:r w:rsidRPr="002657D0">
        <w:rPr>
          <w:rFonts w:asciiTheme="majorBidi" w:hAnsiTheme="majorBidi" w:cstheme="majorBidi"/>
          <w:sz w:val="22"/>
          <w:szCs w:val="22"/>
          <w:rtl/>
        </w:rPr>
        <w:t>UNEP/OzL.Pro.WG.1/48/2</w:t>
      </w:r>
      <w:r w:rsidRPr="00984A76">
        <w:rPr>
          <w:rFonts w:cs="Simplified Arabic"/>
          <w:szCs w:val="24"/>
          <w:rtl/>
        </w:rPr>
        <w:t>، الفقرتان 47–48)، دعا الاجتماع السابع والثلاثون للأطراف، في الفقرة 3 من المقرر 37/3، الأطرافَ إلى أن تقدم إلى أمانة الأوزون، على أساس طوعي بحلول 31 أيار/مايو 2026، معلومات عن مرافق الاستصلاح والتدمير القائمة في بلدانها، وعن قدرة تلك المرافق، حيثما توافرت، بما في ذلك معلومات عن تحديد مرافق التدمير والاستصلاح القائمة التي يمكن أن تقبل المواد المبردة المستعملة من بلدان أخرى، والشروط المرتبطة بتصدير المواد المُبرِّدة المستعملة للتخلص منها في تلك المرافق، مع مراعاة أي حواجز تشريعية أمام عمليات النقل عبر الحدود. وفي الفقرة نفسها، طُلب إلى الأمانة إتاحة تلك المعلومات للأطراف.</w:t>
      </w:r>
    </w:p>
    <w:p w14:paraId="13247719" w14:textId="77777777" w:rsidR="00D44330" w:rsidRPr="00984A76" w:rsidRDefault="00D44330" w:rsidP="00984A76">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textDirection w:val="tbRlV"/>
        <w:rPr>
          <w:rFonts w:cs="Simplified Arabic"/>
          <w:szCs w:val="24"/>
          <w:rtl/>
          <w:lang w:bidi="en-GB"/>
        </w:rPr>
      </w:pPr>
      <w:r w:rsidRPr="00984A76">
        <w:rPr>
          <w:rFonts w:cs="Simplified Arabic"/>
          <w:szCs w:val="24"/>
          <w:rtl/>
        </w:rPr>
        <w:t>وحتى وقت إعداد هذا التقرير، كانت ستة أطراف – وهي الاتحاد الأوروبي، والأرجنتين، وأستراليا، وبيرو، وكندا، والولايات المتحدة الأمريكية – قد ردت على الفقرة 3 من المقرر. وقد أُحيلت التعليقات المقدمة إلى فريق التقييم التكنولوجي والاقتصادي لكي ينظر فيها. وكما طُلب في القرار أيضًا، ستُنشر المعلومات المقدمة على الموقع الشبكي للأمانة في الوقت المناسب.</w:t>
      </w:r>
    </w:p>
    <w:p w14:paraId="78F9AA1C" w14:textId="77777777" w:rsidR="00D44330" w:rsidRPr="00984A76" w:rsidRDefault="00D44330" w:rsidP="0000607D">
      <w:pPr>
        <w:pStyle w:val="CH1"/>
        <w:keepLines w:val="0"/>
        <w:tabs>
          <w:tab w:val="clear" w:pos="851"/>
          <w:tab w:val="clear" w:pos="1247"/>
        </w:tabs>
        <w:suppressAutoHyphens w:val="0"/>
        <w:bidi/>
        <w:spacing w:before="0" w:line="360" w:lineRule="exact"/>
        <w:ind w:left="1135" w:right="0" w:hanging="851"/>
        <w:jc w:val="both"/>
        <w:textDirection w:val="tbRlV"/>
        <w:rPr>
          <w:rFonts w:ascii="Simplified Arabic" w:hAnsi="Simplified Arabic" w:cs="Simplified Arabic"/>
          <w:bCs/>
          <w:sz w:val="24"/>
          <w:szCs w:val="24"/>
          <w:rtl/>
          <w:lang w:bidi="en-GB"/>
        </w:rPr>
      </w:pPr>
      <w:r w:rsidRPr="00984A76">
        <w:rPr>
          <w:rFonts w:ascii="Simplified Arabic" w:hAnsi="Simplified Arabic" w:cs="Simplified Arabic"/>
          <w:bCs/>
          <w:sz w:val="24"/>
          <w:szCs w:val="24"/>
          <w:rtl/>
        </w:rPr>
        <w:t>باء-</w:t>
      </w:r>
      <w:r w:rsidRPr="00984A76">
        <w:rPr>
          <w:rFonts w:ascii="Simplified Arabic" w:hAnsi="Simplified Arabic" w:cs="Simplified Arabic"/>
          <w:bCs/>
          <w:sz w:val="24"/>
          <w:szCs w:val="24"/>
          <w:rtl/>
        </w:rPr>
        <w:tab/>
        <w:t>المبادرات الوطنية والإقليمية لدعم تنفيذ تعديل كيغالي لبروتوكول مونتريال (المقرر 37/5)</w:t>
      </w:r>
    </w:p>
    <w:p w14:paraId="1CFFDE93" w14:textId="0FAB3A45" w:rsidR="00D44330" w:rsidRPr="00984A76" w:rsidRDefault="00D44330" w:rsidP="00180524">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jc w:val="lowKashida"/>
        <w:textDirection w:val="tbRlV"/>
        <w:rPr>
          <w:rFonts w:cs="Simplified Arabic"/>
          <w:szCs w:val="24"/>
          <w:rtl/>
          <w:lang w:bidi="en-GB"/>
        </w:rPr>
      </w:pPr>
      <w:r w:rsidRPr="00984A76">
        <w:rPr>
          <w:rFonts w:cs="Simplified Arabic"/>
          <w:szCs w:val="24"/>
          <w:rtl/>
        </w:rPr>
        <w:t>كما هو مشار إليه في مذكرة الأمانة (</w:t>
      </w:r>
      <w:r w:rsidRPr="002657D0">
        <w:rPr>
          <w:rFonts w:asciiTheme="majorBidi" w:hAnsiTheme="majorBidi" w:cstheme="majorBidi"/>
          <w:sz w:val="22"/>
          <w:szCs w:val="22"/>
          <w:rtl/>
        </w:rPr>
        <w:t>UNEP/OzL.Pro.WG.1/48/2</w:t>
      </w:r>
      <w:r w:rsidRPr="00984A76">
        <w:rPr>
          <w:rFonts w:cs="Simplified Arabic"/>
          <w:szCs w:val="24"/>
          <w:rtl/>
        </w:rPr>
        <w:t>، الفقرتان 45 و46)، دعا الاجتماع السابع والثلاثون للأطراف، في الفقرة 1 من المقرر 37/5،</w:t>
      </w:r>
      <w:r w:rsidR="00911F4D">
        <w:rPr>
          <w:rFonts w:cs="Simplified Arabic" w:hint="cs"/>
          <w:szCs w:val="24"/>
          <w:rtl/>
        </w:rPr>
        <w:t xml:space="preserve"> </w:t>
      </w:r>
      <w:r w:rsidRPr="00984A76">
        <w:rPr>
          <w:rFonts w:cs="Simplified Arabic"/>
          <w:szCs w:val="24"/>
          <w:rtl/>
        </w:rPr>
        <w:t>الأطراف إلى إلى أن تقدم معلومات إلى أمانة الأوزون، بحلول 1 حزيران/يونيه 2026، بما في ذلك عن السياسات والأنشطة والدروس المستفادة الرئيسية، تتعلق بمراكز التميز للتبريد المستدام ومراكز اختبار كفاءة الطاقة ذات الصلة بتنفيذ تعديل كيغالي.</w:t>
      </w:r>
    </w:p>
    <w:p w14:paraId="1F0A5E2F" w14:textId="77777777" w:rsidR="00D44330" w:rsidRPr="00984A76" w:rsidRDefault="00D44330" w:rsidP="00984A76">
      <w:pPr>
        <w:pStyle w:val="ARNormalnumber"/>
        <w:numPr>
          <w:ilvl w:val="0"/>
          <w:numId w:val="22"/>
        </w:numPr>
        <w:tabs>
          <w:tab w:val="clear" w:pos="1247"/>
          <w:tab w:val="clear" w:pos="1814"/>
          <w:tab w:val="clear" w:pos="2381"/>
          <w:tab w:val="clear" w:pos="2948"/>
          <w:tab w:val="clear" w:pos="3515"/>
          <w:tab w:val="clear" w:pos="4082"/>
          <w:tab w:val="left" w:pos="1843"/>
        </w:tabs>
        <w:bidi/>
        <w:spacing w:after="120" w:line="360" w:lineRule="exact"/>
        <w:ind w:left="1134" w:firstLine="0"/>
        <w:textDirection w:val="tbRlV"/>
        <w:rPr>
          <w:rFonts w:cs="Simplified Arabic"/>
          <w:szCs w:val="24"/>
          <w:rtl/>
          <w:lang w:bidi="en-GB"/>
        </w:rPr>
      </w:pPr>
      <w:r w:rsidRPr="00984A76">
        <w:rPr>
          <w:rFonts w:cs="Simplified Arabic"/>
          <w:szCs w:val="24"/>
          <w:rtl/>
        </w:rPr>
        <w:t>وحتى وقت إعداد هذه الإضافة، قدم 21 طرفًا تلك المعلومات، وهذه الأطراف هي: الأردن، وأرمينيا، وإكوادور، وبوركينا فاسو، وبيرو، وتوفالو، وجورجيا، وزمبابوي، وسلوفاكيا، والصومال، والصين، وعمان، وفانواتو، وقطر، وكولومبيا، وكينيا، وليبريا، ومالي، والمملكة المتحدة لبريطانيا العظمى وأيرلندا الشمالية، ونيجيريا، وهايتي. وستجمع الأمانة المعلومات المقدمة وتلخصها ومن ثم تتيحها للاجتماع الثامن والثلاثين للأطراف لكي ينظر فيها.</w:t>
      </w:r>
    </w:p>
    <w:p w14:paraId="6BCBEE10" w14:textId="77777777" w:rsidR="00D44330" w:rsidRPr="00984A76" w:rsidRDefault="00D44330" w:rsidP="00984A76">
      <w:pPr>
        <w:pStyle w:val="Normalpool"/>
        <w:bidi/>
        <w:spacing w:after="120" w:line="360" w:lineRule="exact"/>
        <w:ind w:left="1134"/>
        <w:jc w:val="both"/>
        <w:rPr>
          <w:rFonts w:ascii="Simplified Arabic" w:hAnsi="Simplified Arabic" w:cs="Simplified Arabic"/>
          <w:sz w:val="24"/>
          <w:szCs w:val="24"/>
          <w:rtl/>
        </w:rPr>
      </w:pPr>
    </w:p>
    <w:p w14:paraId="0978D679" w14:textId="77777777" w:rsidR="00D44330" w:rsidRPr="00984A76" w:rsidRDefault="00D44330" w:rsidP="00984A76">
      <w:pPr>
        <w:pStyle w:val="Normalpool"/>
        <w:bidi/>
        <w:spacing w:after="120" w:line="360" w:lineRule="exact"/>
        <w:ind w:left="1134"/>
        <w:jc w:val="both"/>
        <w:rPr>
          <w:rFonts w:ascii="Simplified Arabic" w:hAnsi="Simplified Arabic" w:cs="Simplified Arabic"/>
          <w:sz w:val="24"/>
          <w:szCs w:val="24"/>
          <w:rtl/>
        </w:rPr>
        <w:sectPr w:rsidR="00D44330" w:rsidRPr="00984A76" w:rsidSect="00D44330">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39"/>
          <w:pgMar w:top="907" w:right="992" w:bottom="1418" w:left="1418" w:header="539" w:footer="975" w:gutter="0"/>
          <w:cols w:space="708"/>
          <w:titlePg/>
          <w:docGrid w:linePitch="360"/>
        </w:sectPr>
      </w:pPr>
    </w:p>
    <w:p w14:paraId="7BC8A0C4" w14:textId="77777777" w:rsidR="00D44330" w:rsidRPr="0000607D" w:rsidRDefault="00D44330" w:rsidP="0000607D">
      <w:pPr>
        <w:pStyle w:val="ZZAnxheader"/>
        <w:bidi/>
        <w:spacing w:after="360" w:line="360" w:lineRule="exact"/>
        <w:jc w:val="both"/>
        <w:textDirection w:val="tbRlV"/>
        <w:rPr>
          <w:rFonts w:ascii="Simplified Arabic" w:hAnsi="Simplified Arabic" w:cs="Simplified Arabic"/>
          <w:sz w:val="30"/>
          <w:szCs w:val="30"/>
          <w:rtl/>
          <w:lang w:val="ar-SA" w:eastAsia="zh-TW" w:bidi="en-GB"/>
        </w:rPr>
      </w:pPr>
      <w:r w:rsidRPr="0000607D">
        <w:rPr>
          <w:rFonts w:ascii="Simplified Arabic" w:hAnsi="Simplified Arabic" w:cs="Simplified Arabic"/>
          <w:sz w:val="30"/>
          <w:szCs w:val="30"/>
          <w:rtl/>
        </w:rPr>
        <w:lastRenderedPageBreak/>
        <w:t>المرفق الأول</w:t>
      </w:r>
      <w:r w:rsidRPr="0000607D">
        <w:rPr>
          <w:rFonts w:ascii="Simplified Arabic" w:hAnsi="Simplified Arabic" w:cs="Simplified Arabic"/>
          <w:b w:val="0"/>
          <w:bCs w:val="0"/>
          <w:sz w:val="34"/>
          <w:szCs w:val="34"/>
          <w:vertAlign w:val="superscript"/>
          <w:rtl/>
        </w:rPr>
        <w:footnoteReference w:customMarkFollows="1" w:id="12"/>
        <w:t>*</w:t>
      </w:r>
    </w:p>
    <w:p w14:paraId="5ACC83FA" w14:textId="05C95B5A" w:rsidR="00D44330" w:rsidRPr="0000607D" w:rsidRDefault="00D44330" w:rsidP="0000607D">
      <w:pPr>
        <w:pStyle w:val="ZZAnxtitle"/>
        <w:bidi/>
        <w:spacing w:before="0" w:after="240" w:line="400" w:lineRule="exact"/>
        <w:ind w:left="1134"/>
        <w:jc w:val="both"/>
        <w:textDirection w:val="tbRlV"/>
        <w:rPr>
          <w:rFonts w:ascii="Simplified Arabic" w:hAnsi="Simplified Arabic" w:cs="Simplified Arabic"/>
          <w:szCs w:val="28"/>
          <w:rtl/>
          <w:lang w:val="ar-SA" w:eastAsia="zh-TW" w:bidi="en-GB"/>
        </w:rPr>
      </w:pPr>
      <w:r w:rsidRPr="0000607D">
        <w:rPr>
          <w:rFonts w:ascii="Simplified Arabic" w:hAnsi="Simplified Arabic" w:cs="Simplified Arabic"/>
          <w:szCs w:val="28"/>
          <w:rtl/>
        </w:rPr>
        <w:t>تقرير فريق التقييم التكنولوجي والاقتصادي لعام 2026، (المجلد 2)</w:t>
      </w:r>
    </w:p>
    <w:p w14:paraId="72EFE290" w14:textId="18C22D0B" w:rsidR="00D44330" w:rsidRPr="00984A76" w:rsidRDefault="00D44330" w:rsidP="007C5FEC">
      <w:pPr>
        <w:pStyle w:val="CH2"/>
        <w:bidi/>
        <w:spacing w:before="0" w:after="240" w:line="360" w:lineRule="exact"/>
        <w:ind w:left="1134" w:right="0" w:firstLine="0"/>
        <w:jc w:val="both"/>
        <w:textDirection w:val="tbRlV"/>
        <w:rPr>
          <w:rFonts w:ascii="Simplified Arabic" w:hAnsi="Simplified Arabic" w:cs="Simplified Arabic"/>
          <w:rtl/>
          <w:lang w:val="ar-SA" w:eastAsia="zh-TW" w:bidi="en-GB"/>
        </w:rPr>
      </w:pPr>
      <w:r w:rsidRPr="00984A76">
        <w:rPr>
          <w:rFonts w:ascii="Simplified Arabic" w:hAnsi="Simplified Arabic" w:cs="Simplified Arabic"/>
          <w:bCs/>
          <w:rtl/>
        </w:rPr>
        <w:t>تقييم احتياجات التمويل اللازمة لتجديد موارد الصندوق المتعدد الأطراف لفترة السنوات الثلاث 2027-2029</w:t>
      </w:r>
      <w:bookmarkStart w:id="5" w:name="_Toc40696034"/>
      <w:bookmarkStart w:id="6" w:name="_Toc41335671"/>
      <w:bookmarkEnd w:id="5"/>
      <w:bookmarkEnd w:id="6"/>
    </w:p>
    <w:p w14:paraId="77D398DC" w14:textId="04EEB550" w:rsidR="00D44330" w:rsidRPr="00B17AC6" w:rsidRDefault="00D44330" w:rsidP="00984A76">
      <w:pPr>
        <w:pStyle w:val="CH1"/>
        <w:bidi/>
        <w:spacing w:before="0" w:line="360" w:lineRule="exact"/>
        <w:ind w:left="1134" w:right="0" w:firstLine="0"/>
        <w:jc w:val="both"/>
        <w:textDirection w:val="tbRlV"/>
        <w:rPr>
          <w:rFonts w:ascii="Simplified Arabic" w:hAnsi="Simplified Arabic" w:cs="Simplified Arabic"/>
          <w:sz w:val="26"/>
          <w:szCs w:val="26"/>
          <w:rtl/>
          <w:lang w:val="ar-SA" w:eastAsia="zh-TW" w:bidi="en-GB"/>
        </w:rPr>
      </w:pPr>
      <w:r w:rsidRPr="00B17AC6">
        <w:rPr>
          <w:rFonts w:ascii="Simplified Arabic" w:hAnsi="Simplified Arabic" w:cs="Simplified Arabic"/>
          <w:bCs/>
          <w:sz w:val="26"/>
          <w:szCs w:val="26"/>
          <w:rtl/>
        </w:rPr>
        <w:t>موجز تنفيذي</w:t>
      </w:r>
    </w:p>
    <w:p w14:paraId="0B9C1527" w14:textId="77777777" w:rsidR="00D44330" w:rsidRPr="00984A76" w:rsidRDefault="00D44330" w:rsidP="00984A76">
      <w:pPr>
        <w:pStyle w:val="NormalNonumber"/>
        <w:bidi/>
        <w:spacing w:line="360" w:lineRule="exact"/>
        <w:ind w:left="1134"/>
        <w:jc w:val="both"/>
        <w:textDirection w:val="tbRlV"/>
        <w:rPr>
          <w:rFonts w:ascii="Simplified Arabic" w:eastAsia="SimSun" w:hAnsi="Simplified Arabic" w:cs="Simplified Arabic"/>
          <w:sz w:val="24"/>
          <w:szCs w:val="24"/>
          <w:rtl/>
          <w:lang w:val="ar-SA" w:eastAsia="zh-TW" w:bidi="en-GB"/>
        </w:rPr>
      </w:pPr>
      <w:r w:rsidRPr="00984A76">
        <w:rPr>
          <w:rFonts w:ascii="Simplified Arabic" w:hAnsi="Simplified Arabic" w:cs="Simplified Arabic"/>
          <w:sz w:val="24"/>
          <w:szCs w:val="24"/>
          <w:rtl/>
        </w:rPr>
        <w:t>جُددت موارد الصندوق المتعدد الأطراف لبروتوكول مونتريال إحدى عشرة مرة منذ رسملته الأولية بمبلغ 240 مليون دولار من دولارات الولايات المتحدة للفترة 1991-1993. وترد عمليات تجديد موارد الصندوق المتعدد الأطراف في الجدول م ت-1، التي تشمل المساهمات المتوقعة من الصندوق المتعدد الأطراف ومصادر أخرى من فترة السنوات الثلاث السابقة، المعروفة باسم ”المبالغ المُرحلة“، ومن الفوائد المستحقة للصندوق خلال فترة السنوات الثلاث تلك.</w:t>
      </w:r>
    </w:p>
    <w:p w14:paraId="7DE43BED" w14:textId="77777777" w:rsidR="00D44330" w:rsidRPr="00B17AC6" w:rsidRDefault="00D44330" w:rsidP="00984A76">
      <w:pPr>
        <w:pStyle w:val="Titletable"/>
        <w:bidi/>
        <w:spacing w:after="120" w:line="360" w:lineRule="exact"/>
        <w:ind w:left="1134"/>
        <w:jc w:val="both"/>
        <w:textDirection w:val="tbRlV"/>
        <w:rPr>
          <w:rFonts w:ascii="Simplified Arabic" w:hAnsi="Simplified Arabic" w:cs="Simplified Arabic"/>
          <w:sz w:val="24"/>
          <w:szCs w:val="24"/>
          <w:rtl/>
        </w:rPr>
      </w:pPr>
      <w:r w:rsidRPr="00B17AC6">
        <w:rPr>
          <w:rFonts w:ascii="Simplified Arabic" w:hAnsi="Simplified Arabic" w:cs="Simplified Arabic"/>
          <w:sz w:val="24"/>
          <w:szCs w:val="24"/>
          <w:rtl/>
        </w:rPr>
        <w:t xml:space="preserve">الجدول م ت-1 </w:t>
      </w:r>
    </w:p>
    <w:p w14:paraId="37DBED3B" w14:textId="77777777" w:rsidR="00D44330" w:rsidRPr="00B17AC6" w:rsidRDefault="00D44330" w:rsidP="00984A76">
      <w:pPr>
        <w:pStyle w:val="Titletable"/>
        <w:bidi/>
        <w:spacing w:after="120" w:line="360" w:lineRule="exact"/>
        <w:ind w:left="1134"/>
        <w:jc w:val="both"/>
        <w:textDirection w:val="tbRlV"/>
        <w:rPr>
          <w:rFonts w:ascii="Simplified Arabic" w:eastAsiaTheme="minorEastAsia" w:hAnsi="Simplified Arabic" w:cs="Simplified Arabic"/>
          <w:b w:val="0"/>
          <w:bCs w:val="0"/>
          <w:sz w:val="24"/>
          <w:szCs w:val="24"/>
          <w:rtl/>
          <w:lang w:val="ar-SA" w:eastAsia="zh-TW" w:bidi="en-GB"/>
        </w:rPr>
      </w:pPr>
      <w:r w:rsidRPr="00B17AC6">
        <w:rPr>
          <w:rFonts w:ascii="Simplified Arabic" w:hAnsi="Simplified Arabic" w:cs="Simplified Arabic"/>
          <w:b w:val="0"/>
          <w:bCs w:val="0"/>
          <w:sz w:val="24"/>
          <w:szCs w:val="24"/>
          <w:rtl/>
        </w:rPr>
        <w:t>دورات تجديد موارد الصندوق المتعدد الأطراف (بدولارات الولايات المتحدة)</w:t>
      </w:r>
      <w:r w:rsidRPr="00B17AC6">
        <w:rPr>
          <w:rFonts w:ascii="Simplified Arabic" w:hAnsi="Simplified Arabic" w:cs="Simplified Arabic"/>
          <w:b w:val="0"/>
          <w:bCs w:val="0"/>
          <w:sz w:val="28"/>
          <w:szCs w:val="28"/>
          <w:vertAlign w:val="superscript"/>
          <w:rtl/>
        </w:rPr>
        <w:t>*</w:t>
      </w:r>
    </w:p>
    <w:tbl>
      <w:tblPr>
        <w:tblStyle w:val="TableGrid"/>
        <w:bidiVisual/>
        <w:tblW w:w="8363"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73"/>
        <w:gridCol w:w="1672"/>
        <w:gridCol w:w="1672"/>
        <w:gridCol w:w="1673"/>
        <w:gridCol w:w="1673"/>
      </w:tblGrid>
      <w:tr w:rsidR="00D44330" w:rsidRPr="002657D0" w14:paraId="38391425" w14:textId="77777777" w:rsidTr="00077AED">
        <w:tc>
          <w:tcPr>
            <w:tcW w:w="1661" w:type="dxa"/>
            <w:tcBorders>
              <w:top w:val="single" w:sz="4" w:space="0" w:color="auto"/>
              <w:bottom w:val="single" w:sz="12" w:space="0" w:color="auto"/>
            </w:tcBorders>
            <w:vAlign w:val="bottom"/>
          </w:tcPr>
          <w:p w14:paraId="0B28CD46" w14:textId="77777777" w:rsidR="00D44330" w:rsidRPr="002657D0" w:rsidRDefault="00D44330" w:rsidP="00077AED">
            <w:pPr>
              <w:pStyle w:val="Normal-pool-Table"/>
              <w:keepNext/>
              <w:keepLines/>
              <w:bidi/>
              <w:spacing w:line="280" w:lineRule="exact"/>
              <w:textDirection w:val="tbRlV"/>
              <w:rPr>
                <w:rFonts w:ascii="Simplified Arabic" w:hAnsi="Simplified Arabic" w:cs="Simplified Arabic"/>
                <w:i/>
                <w:iCs/>
                <w:color w:val="000000"/>
                <w:sz w:val="20"/>
                <w:rtl/>
                <w:lang w:bidi="en-GB"/>
              </w:rPr>
            </w:pPr>
            <w:r w:rsidRPr="002657D0">
              <w:rPr>
                <w:rFonts w:ascii="Simplified Arabic" w:hAnsi="Simplified Arabic" w:cs="Simplified Arabic"/>
                <w:i/>
                <w:iCs/>
                <w:color w:val="000000"/>
                <w:sz w:val="20"/>
                <w:rtl/>
              </w:rPr>
              <w:t>فترة السنوات الثلاث</w:t>
            </w:r>
          </w:p>
        </w:tc>
        <w:tc>
          <w:tcPr>
            <w:tcW w:w="1661" w:type="dxa"/>
            <w:tcBorders>
              <w:top w:val="single" w:sz="4" w:space="0" w:color="auto"/>
              <w:bottom w:val="single" w:sz="12" w:space="0" w:color="auto"/>
            </w:tcBorders>
            <w:vAlign w:val="bottom"/>
          </w:tcPr>
          <w:p w14:paraId="3757ABEE" w14:textId="77777777" w:rsidR="00D44330" w:rsidRPr="002657D0" w:rsidRDefault="00D44330" w:rsidP="00B213AD">
            <w:pPr>
              <w:pStyle w:val="Normal-pool-Table"/>
              <w:keepNext/>
              <w:keepLines/>
              <w:bidi/>
              <w:spacing w:line="280" w:lineRule="exact"/>
              <w:jc w:val="right"/>
              <w:textDirection w:val="tbRlV"/>
              <w:rPr>
                <w:rFonts w:ascii="Simplified Arabic" w:hAnsi="Simplified Arabic" w:cs="Simplified Arabic"/>
                <w:i/>
                <w:iCs/>
                <w:color w:val="000000"/>
                <w:sz w:val="20"/>
                <w:rtl/>
                <w:lang w:bidi="en-GB"/>
              </w:rPr>
            </w:pPr>
            <w:r w:rsidRPr="002657D0">
              <w:rPr>
                <w:rFonts w:ascii="Simplified Arabic" w:hAnsi="Simplified Arabic" w:cs="Simplified Arabic"/>
                <w:i/>
                <w:iCs/>
                <w:color w:val="000000"/>
                <w:sz w:val="20"/>
                <w:rtl/>
              </w:rPr>
              <w:t xml:space="preserve">المبلغ المعتمد </w:t>
            </w:r>
          </w:p>
        </w:tc>
        <w:tc>
          <w:tcPr>
            <w:tcW w:w="1661" w:type="dxa"/>
            <w:tcBorders>
              <w:top w:val="single" w:sz="4" w:space="0" w:color="auto"/>
              <w:bottom w:val="single" w:sz="12" w:space="0" w:color="auto"/>
            </w:tcBorders>
            <w:vAlign w:val="bottom"/>
          </w:tcPr>
          <w:p w14:paraId="396B9776" w14:textId="77777777" w:rsidR="00D44330" w:rsidRPr="002657D0" w:rsidRDefault="00D44330" w:rsidP="00B213AD">
            <w:pPr>
              <w:pStyle w:val="Normal-pool-Table"/>
              <w:keepNext/>
              <w:keepLines/>
              <w:bidi/>
              <w:spacing w:line="280" w:lineRule="exact"/>
              <w:jc w:val="right"/>
              <w:textDirection w:val="tbRlV"/>
              <w:rPr>
                <w:rFonts w:ascii="Simplified Arabic" w:hAnsi="Simplified Arabic" w:cs="Simplified Arabic"/>
                <w:i/>
                <w:iCs/>
                <w:color w:val="000000"/>
                <w:sz w:val="20"/>
                <w:rtl/>
                <w:lang w:bidi="en-GB"/>
              </w:rPr>
            </w:pPr>
            <w:r w:rsidRPr="002657D0">
              <w:rPr>
                <w:rFonts w:ascii="Simplified Arabic" w:hAnsi="Simplified Arabic" w:cs="Simplified Arabic"/>
                <w:i/>
                <w:iCs/>
                <w:color w:val="000000"/>
                <w:sz w:val="20"/>
                <w:rtl/>
              </w:rPr>
              <w:t>المبلغ المُرحل</w:t>
            </w:r>
          </w:p>
        </w:tc>
        <w:tc>
          <w:tcPr>
            <w:tcW w:w="1662" w:type="dxa"/>
            <w:tcBorders>
              <w:top w:val="single" w:sz="4" w:space="0" w:color="auto"/>
              <w:bottom w:val="single" w:sz="12" w:space="0" w:color="auto"/>
            </w:tcBorders>
            <w:vAlign w:val="bottom"/>
          </w:tcPr>
          <w:p w14:paraId="6F9E6713" w14:textId="77777777" w:rsidR="00D44330" w:rsidRPr="002657D0" w:rsidRDefault="00D44330" w:rsidP="00B213AD">
            <w:pPr>
              <w:pStyle w:val="Normal-pool-Table"/>
              <w:keepNext/>
              <w:keepLines/>
              <w:bidi/>
              <w:spacing w:line="280" w:lineRule="exact"/>
              <w:jc w:val="right"/>
              <w:textDirection w:val="tbRlV"/>
              <w:rPr>
                <w:rFonts w:ascii="Simplified Arabic" w:hAnsi="Simplified Arabic" w:cs="Simplified Arabic"/>
                <w:i/>
                <w:iCs/>
                <w:color w:val="000000"/>
                <w:sz w:val="20"/>
                <w:rtl/>
                <w:lang w:bidi="en-GB"/>
              </w:rPr>
            </w:pPr>
            <w:r w:rsidRPr="002657D0">
              <w:rPr>
                <w:rFonts w:ascii="Simplified Arabic" w:hAnsi="Simplified Arabic" w:cs="Simplified Arabic"/>
                <w:i/>
                <w:iCs/>
                <w:color w:val="000000"/>
                <w:sz w:val="20"/>
                <w:rtl/>
              </w:rPr>
              <w:t>الفوائد المستحقة</w:t>
            </w:r>
          </w:p>
        </w:tc>
        <w:tc>
          <w:tcPr>
            <w:tcW w:w="1662" w:type="dxa"/>
            <w:tcBorders>
              <w:top w:val="single" w:sz="4" w:space="0" w:color="auto"/>
              <w:bottom w:val="single" w:sz="12" w:space="0" w:color="auto"/>
            </w:tcBorders>
            <w:vAlign w:val="bottom"/>
          </w:tcPr>
          <w:p w14:paraId="2AE5429C" w14:textId="77777777" w:rsidR="00D44330" w:rsidRPr="002657D0" w:rsidRDefault="00D44330" w:rsidP="00B213AD">
            <w:pPr>
              <w:pStyle w:val="Normal-pool-Table"/>
              <w:keepNext/>
              <w:keepLines/>
              <w:bidi/>
              <w:spacing w:line="280" w:lineRule="exact"/>
              <w:jc w:val="right"/>
              <w:textDirection w:val="tbRlV"/>
              <w:rPr>
                <w:rFonts w:ascii="Simplified Arabic" w:hAnsi="Simplified Arabic" w:cs="Simplified Arabic"/>
                <w:i/>
                <w:iCs/>
                <w:color w:val="000000"/>
                <w:sz w:val="20"/>
                <w:rtl/>
                <w:lang w:bidi="en-GB"/>
              </w:rPr>
            </w:pPr>
            <w:r w:rsidRPr="002657D0">
              <w:rPr>
                <w:rFonts w:ascii="Simplified Arabic" w:hAnsi="Simplified Arabic" w:cs="Simplified Arabic"/>
                <w:i/>
                <w:iCs/>
                <w:color w:val="000000"/>
                <w:sz w:val="20"/>
                <w:rtl/>
              </w:rPr>
              <w:t>إجمالي ميزانية الصندوق</w:t>
            </w:r>
          </w:p>
        </w:tc>
      </w:tr>
      <w:tr w:rsidR="00D44330" w:rsidRPr="002657D0" w14:paraId="05339FAA" w14:textId="77777777" w:rsidTr="00077AED">
        <w:tc>
          <w:tcPr>
            <w:tcW w:w="1661" w:type="dxa"/>
            <w:tcBorders>
              <w:top w:val="single" w:sz="12" w:space="0" w:color="auto"/>
            </w:tcBorders>
            <w:vAlign w:val="bottom"/>
          </w:tcPr>
          <w:p w14:paraId="00C68F22" w14:textId="77777777" w:rsidR="00D44330" w:rsidRPr="00BD28CF" w:rsidRDefault="00D44330" w:rsidP="00077AED">
            <w:pPr>
              <w:pStyle w:val="Normal-pool-Table"/>
              <w:keepNext/>
              <w:keepLines/>
              <w:bidi/>
              <w:spacing w:line="280" w:lineRule="exact"/>
              <w:textDirection w:val="tbRlV"/>
              <w:rPr>
                <w:rFonts w:ascii="Simplified Arabic" w:hAnsi="Simplified Arabic" w:cs="Simplified Arabic"/>
                <w:color w:val="000000"/>
                <w:szCs w:val="18"/>
                <w:rtl/>
                <w:lang w:bidi="en-GB"/>
              </w:rPr>
            </w:pPr>
            <w:r w:rsidRPr="00BD28CF">
              <w:rPr>
                <w:rFonts w:ascii="Simplified Arabic" w:hAnsi="Simplified Arabic" w:cs="Simplified Arabic"/>
                <w:color w:val="000000"/>
                <w:szCs w:val="18"/>
                <w:rtl/>
              </w:rPr>
              <w:t>1994-1996</w:t>
            </w:r>
          </w:p>
        </w:tc>
        <w:tc>
          <w:tcPr>
            <w:tcW w:w="1661" w:type="dxa"/>
            <w:tcBorders>
              <w:top w:val="single" w:sz="12" w:space="0" w:color="auto"/>
            </w:tcBorders>
            <w:vAlign w:val="bottom"/>
          </w:tcPr>
          <w:p w14:paraId="5C6DCDF6" w14:textId="7ABBB059" w:rsidR="00D44330" w:rsidRPr="00BD28CF" w:rsidRDefault="00D44330" w:rsidP="00B213AD">
            <w:pPr>
              <w:pStyle w:val="Normal-pool-Table"/>
              <w:keepNext/>
              <w:keepLines/>
              <w:bidi/>
              <w:spacing w:line="280" w:lineRule="exact"/>
              <w:jc w:val="right"/>
              <w:rPr>
                <w:rFonts w:ascii="Simplified Arabic" w:hAnsi="Simplified Arabic" w:cs="Simplified Arabic"/>
                <w:color w:val="000000"/>
                <w:szCs w:val="18"/>
                <w:rtl/>
              </w:rPr>
            </w:pPr>
            <w:r w:rsidRPr="00BD28CF">
              <w:rPr>
                <w:rFonts w:ascii="Simplified Arabic" w:hAnsi="Simplified Arabic" w:cs="Simplified Arabic"/>
                <w:color w:val="000000"/>
                <w:szCs w:val="18"/>
                <w:rtl/>
              </w:rPr>
              <w:t>000 000 455 دولار</w:t>
            </w:r>
          </w:p>
        </w:tc>
        <w:tc>
          <w:tcPr>
            <w:tcW w:w="1661" w:type="dxa"/>
            <w:tcBorders>
              <w:top w:val="single" w:sz="12" w:space="0" w:color="auto"/>
            </w:tcBorders>
            <w:vAlign w:val="bottom"/>
          </w:tcPr>
          <w:p w14:paraId="7B834290" w14:textId="77777777" w:rsidR="00D44330" w:rsidRPr="00BD28CF" w:rsidRDefault="00D44330" w:rsidP="00B213AD">
            <w:pPr>
              <w:pStyle w:val="Normal-pool-Table"/>
              <w:keepNext/>
              <w:keepLines/>
              <w:bidi/>
              <w:spacing w:line="280" w:lineRule="exact"/>
              <w:jc w:val="right"/>
              <w:rPr>
                <w:rFonts w:ascii="Simplified Arabic" w:hAnsi="Simplified Arabic" w:cs="Simplified Arabic"/>
                <w:color w:val="000000"/>
                <w:szCs w:val="18"/>
                <w:rtl/>
              </w:rPr>
            </w:pPr>
            <w:r w:rsidRPr="00BD28CF">
              <w:rPr>
                <w:rFonts w:ascii="Simplified Arabic" w:hAnsi="Simplified Arabic" w:cs="Simplified Arabic"/>
                <w:color w:val="000000"/>
                <w:szCs w:val="18"/>
                <w:rtl/>
              </w:rPr>
              <w:t>000 000 55 دولار</w:t>
            </w:r>
          </w:p>
        </w:tc>
        <w:tc>
          <w:tcPr>
            <w:tcW w:w="1662" w:type="dxa"/>
            <w:tcBorders>
              <w:top w:val="single" w:sz="12" w:space="0" w:color="auto"/>
            </w:tcBorders>
            <w:vAlign w:val="bottom"/>
          </w:tcPr>
          <w:p w14:paraId="759D7EB4" w14:textId="77777777" w:rsidR="00D44330" w:rsidRPr="00BD28CF" w:rsidRDefault="00D44330" w:rsidP="00B213AD">
            <w:pPr>
              <w:pStyle w:val="Normal-pool-Table"/>
              <w:keepNext/>
              <w:keepLines/>
              <w:bidi/>
              <w:spacing w:line="280" w:lineRule="exact"/>
              <w:jc w:val="right"/>
              <w:textDirection w:val="tbRlV"/>
              <w:rPr>
                <w:rFonts w:ascii="Simplified Arabic" w:hAnsi="Simplified Arabic" w:cs="Simplified Arabic"/>
                <w:color w:val="000000"/>
                <w:szCs w:val="18"/>
                <w:rtl/>
                <w:lang w:bidi="en-GB"/>
              </w:rPr>
            </w:pPr>
            <w:r w:rsidRPr="00BD28CF">
              <w:rPr>
                <w:rFonts w:ascii="Simplified Arabic" w:hAnsi="Simplified Arabic" w:cs="Simplified Arabic"/>
                <w:color w:val="000000"/>
                <w:szCs w:val="18"/>
                <w:rtl/>
              </w:rPr>
              <w:t>لا ينطبق</w:t>
            </w:r>
          </w:p>
        </w:tc>
        <w:tc>
          <w:tcPr>
            <w:tcW w:w="1662" w:type="dxa"/>
            <w:tcBorders>
              <w:top w:val="single" w:sz="12" w:space="0" w:color="auto"/>
            </w:tcBorders>
            <w:vAlign w:val="bottom"/>
          </w:tcPr>
          <w:p w14:paraId="3612AAEA" w14:textId="77777777" w:rsidR="00D44330" w:rsidRPr="00BD28CF" w:rsidRDefault="00D44330" w:rsidP="00B213AD">
            <w:pPr>
              <w:pStyle w:val="Normal-pool-Table"/>
              <w:keepNext/>
              <w:keepLines/>
              <w:bidi/>
              <w:spacing w:line="280" w:lineRule="exact"/>
              <w:jc w:val="right"/>
              <w:rPr>
                <w:rFonts w:ascii="Simplified Arabic" w:hAnsi="Simplified Arabic" w:cs="Simplified Arabic"/>
                <w:color w:val="000000"/>
                <w:szCs w:val="18"/>
                <w:rtl/>
              </w:rPr>
            </w:pPr>
            <w:r w:rsidRPr="00BD28CF">
              <w:rPr>
                <w:rFonts w:ascii="Simplified Arabic" w:hAnsi="Simplified Arabic" w:cs="Simplified Arabic"/>
                <w:color w:val="000000"/>
                <w:szCs w:val="18"/>
                <w:rtl/>
              </w:rPr>
              <w:t>000 000 510 دولار</w:t>
            </w:r>
          </w:p>
        </w:tc>
      </w:tr>
      <w:tr w:rsidR="00D44330" w:rsidRPr="002657D0" w14:paraId="44C81E67" w14:textId="77777777" w:rsidTr="00077AED">
        <w:tc>
          <w:tcPr>
            <w:tcW w:w="1661" w:type="dxa"/>
            <w:vAlign w:val="bottom"/>
          </w:tcPr>
          <w:p w14:paraId="2880E944" w14:textId="77777777" w:rsidR="00D44330" w:rsidRPr="00BD28CF" w:rsidRDefault="00D44330" w:rsidP="00077AED">
            <w:pPr>
              <w:pStyle w:val="Normal-pool-Table"/>
              <w:keepNext/>
              <w:keepLines/>
              <w:bidi/>
              <w:spacing w:line="280" w:lineRule="exact"/>
              <w:textDirection w:val="tbRlV"/>
              <w:rPr>
                <w:rFonts w:ascii="Simplified Arabic" w:hAnsi="Simplified Arabic" w:cs="Simplified Arabic"/>
                <w:color w:val="000000"/>
                <w:szCs w:val="18"/>
                <w:rtl/>
                <w:lang w:bidi="en-GB"/>
              </w:rPr>
            </w:pPr>
            <w:r w:rsidRPr="00BD28CF">
              <w:rPr>
                <w:rFonts w:ascii="Simplified Arabic" w:hAnsi="Simplified Arabic" w:cs="Simplified Arabic"/>
                <w:color w:val="000000"/>
                <w:szCs w:val="18"/>
                <w:rtl/>
              </w:rPr>
              <w:t>1997-1999</w:t>
            </w:r>
          </w:p>
        </w:tc>
        <w:tc>
          <w:tcPr>
            <w:tcW w:w="1661" w:type="dxa"/>
            <w:vAlign w:val="bottom"/>
          </w:tcPr>
          <w:p w14:paraId="7481AB7E" w14:textId="77777777" w:rsidR="00D44330" w:rsidRPr="00BD28CF" w:rsidRDefault="00D44330" w:rsidP="00B213AD">
            <w:pPr>
              <w:pStyle w:val="Normal-pool-Table"/>
              <w:keepNext/>
              <w:keepLines/>
              <w:bidi/>
              <w:spacing w:line="280" w:lineRule="exact"/>
              <w:jc w:val="right"/>
              <w:rPr>
                <w:rFonts w:ascii="Simplified Arabic" w:hAnsi="Simplified Arabic" w:cs="Simplified Arabic"/>
                <w:color w:val="000000"/>
                <w:szCs w:val="18"/>
                <w:rtl/>
              </w:rPr>
            </w:pPr>
            <w:r w:rsidRPr="00BD28CF">
              <w:rPr>
                <w:rFonts w:ascii="Simplified Arabic" w:hAnsi="Simplified Arabic" w:cs="Simplified Arabic"/>
                <w:color w:val="000000"/>
                <w:szCs w:val="18"/>
                <w:rtl/>
              </w:rPr>
              <w:t>000 000 466 دولار</w:t>
            </w:r>
          </w:p>
        </w:tc>
        <w:tc>
          <w:tcPr>
            <w:tcW w:w="1661" w:type="dxa"/>
            <w:vAlign w:val="bottom"/>
          </w:tcPr>
          <w:p w14:paraId="2D9D0027" w14:textId="77777777" w:rsidR="00D44330" w:rsidRPr="00BD28CF" w:rsidRDefault="00D44330" w:rsidP="00B213AD">
            <w:pPr>
              <w:pStyle w:val="Normal-pool-Table"/>
              <w:keepNext/>
              <w:keepLines/>
              <w:bidi/>
              <w:spacing w:line="280" w:lineRule="exact"/>
              <w:jc w:val="right"/>
              <w:rPr>
                <w:rFonts w:ascii="Simplified Arabic" w:hAnsi="Simplified Arabic" w:cs="Simplified Arabic"/>
                <w:color w:val="000000"/>
                <w:szCs w:val="18"/>
                <w:rtl/>
              </w:rPr>
            </w:pPr>
            <w:r w:rsidRPr="00BD28CF">
              <w:rPr>
                <w:rFonts w:ascii="Simplified Arabic" w:hAnsi="Simplified Arabic" w:cs="Simplified Arabic"/>
                <w:color w:val="000000"/>
                <w:szCs w:val="18"/>
                <w:rtl/>
              </w:rPr>
              <w:t>000 000 74 دولار</w:t>
            </w:r>
          </w:p>
        </w:tc>
        <w:tc>
          <w:tcPr>
            <w:tcW w:w="1662" w:type="dxa"/>
            <w:vAlign w:val="bottom"/>
          </w:tcPr>
          <w:p w14:paraId="7B1BA9E9" w14:textId="77777777" w:rsidR="00D44330" w:rsidRPr="00BD28CF" w:rsidRDefault="00D44330" w:rsidP="00B213AD">
            <w:pPr>
              <w:pStyle w:val="Normal-pool-Table"/>
              <w:keepNext/>
              <w:keepLines/>
              <w:bidi/>
              <w:spacing w:line="280" w:lineRule="exact"/>
              <w:jc w:val="right"/>
              <w:textDirection w:val="tbRlV"/>
              <w:rPr>
                <w:rFonts w:ascii="Simplified Arabic" w:hAnsi="Simplified Arabic" w:cs="Simplified Arabic"/>
                <w:color w:val="000000"/>
                <w:szCs w:val="18"/>
                <w:rtl/>
                <w:lang w:bidi="en-GB"/>
              </w:rPr>
            </w:pPr>
            <w:r w:rsidRPr="00BD28CF">
              <w:rPr>
                <w:rFonts w:ascii="Simplified Arabic" w:hAnsi="Simplified Arabic" w:cs="Simplified Arabic"/>
                <w:color w:val="000000"/>
                <w:szCs w:val="18"/>
                <w:rtl/>
              </w:rPr>
              <w:t>لا ينطبق</w:t>
            </w:r>
          </w:p>
        </w:tc>
        <w:tc>
          <w:tcPr>
            <w:tcW w:w="1662" w:type="dxa"/>
            <w:vAlign w:val="bottom"/>
          </w:tcPr>
          <w:p w14:paraId="6F52565D" w14:textId="77777777" w:rsidR="00D44330" w:rsidRPr="00BD28CF" w:rsidRDefault="00D44330" w:rsidP="00B213AD">
            <w:pPr>
              <w:pStyle w:val="Normal-pool-Table"/>
              <w:keepNext/>
              <w:keepLines/>
              <w:bidi/>
              <w:spacing w:line="280" w:lineRule="exact"/>
              <w:jc w:val="right"/>
              <w:rPr>
                <w:rFonts w:ascii="Simplified Arabic" w:hAnsi="Simplified Arabic" w:cs="Simplified Arabic"/>
                <w:color w:val="000000"/>
                <w:szCs w:val="18"/>
                <w:rtl/>
              </w:rPr>
            </w:pPr>
            <w:r w:rsidRPr="00BD28CF">
              <w:rPr>
                <w:rFonts w:ascii="Simplified Arabic" w:hAnsi="Simplified Arabic" w:cs="Simplified Arabic"/>
                <w:color w:val="000000"/>
                <w:szCs w:val="18"/>
                <w:rtl/>
              </w:rPr>
              <w:t>000 000 540 دولار</w:t>
            </w:r>
          </w:p>
        </w:tc>
      </w:tr>
      <w:tr w:rsidR="00D44330" w:rsidRPr="002657D0" w14:paraId="50B838BB" w14:textId="77777777" w:rsidTr="00077AED">
        <w:tc>
          <w:tcPr>
            <w:tcW w:w="1661" w:type="dxa"/>
            <w:vAlign w:val="bottom"/>
          </w:tcPr>
          <w:p w14:paraId="4C432F8E" w14:textId="77777777" w:rsidR="00D44330" w:rsidRPr="00BD28CF" w:rsidRDefault="00D44330" w:rsidP="00077AED">
            <w:pPr>
              <w:pStyle w:val="Normal-pool-Table"/>
              <w:keepNext/>
              <w:keepLines/>
              <w:bidi/>
              <w:spacing w:line="280" w:lineRule="exact"/>
              <w:textDirection w:val="tbRlV"/>
              <w:rPr>
                <w:rFonts w:ascii="Simplified Arabic" w:hAnsi="Simplified Arabic" w:cs="Simplified Arabic"/>
                <w:color w:val="000000"/>
                <w:szCs w:val="18"/>
                <w:rtl/>
                <w:lang w:bidi="en-GB"/>
              </w:rPr>
            </w:pPr>
            <w:r w:rsidRPr="00BD28CF">
              <w:rPr>
                <w:rFonts w:ascii="Simplified Arabic" w:hAnsi="Simplified Arabic" w:cs="Simplified Arabic"/>
                <w:color w:val="000000"/>
                <w:szCs w:val="18"/>
                <w:rtl/>
              </w:rPr>
              <w:t>2000-2002</w:t>
            </w:r>
          </w:p>
        </w:tc>
        <w:tc>
          <w:tcPr>
            <w:tcW w:w="1661" w:type="dxa"/>
            <w:vAlign w:val="bottom"/>
          </w:tcPr>
          <w:p w14:paraId="48844822" w14:textId="77777777" w:rsidR="00D44330" w:rsidRPr="00BD28CF" w:rsidRDefault="00D44330" w:rsidP="00B213AD">
            <w:pPr>
              <w:pStyle w:val="Normal-pool-Table"/>
              <w:keepNext/>
              <w:keepLines/>
              <w:bidi/>
              <w:spacing w:line="280" w:lineRule="exact"/>
              <w:jc w:val="right"/>
              <w:rPr>
                <w:rFonts w:ascii="Simplified Arabic" w:hAnsi="Simplified Arabic" w:cs="Simplified Arabic"/>
                <w:color w:val="000000"/>
                <w:szCs w:val="18"/>
                <w:rtl/>
              </w:rPr>
            </w:pPr>
            <w:r w:rsidRPr="00BD28CF">
              <w:rPr>
                <w:rFonts w:ascii="Simplified Arabic" w:hAnsi="Simplified Arabic" w:cs="Simplified Arabic"/>
                <w:color w:val="000000"/>
                <w:szCs w:val="18"/>
                <w:rtl/>
              </w:rPr>
              <w:t>000 000 440 دولار</w:t>
            </w:r>
          </w:p>
        </w:tc>
        <w:tc>
          <w:tcPr>
            <w:tcW w:w="1661" w:type="dxa"/>
            <w:vAlign w:val="bottom"/>
          </w:tcPr>
          <w:p w14:paraId="15D00942" w14:textId="77777777" w:rsidR="00D44330" w:rsidRPr="00BD28CF" w:rsidRDefault="00D44330" w:rsidP="00B213AD">
            <w:pPr>
              <w:pStyle w:val="Normal-pool-Table"/>
              <w:keepNext/>
              <w:keepLines/>
              <w:bidi/>
              <w:spacing w:line="280" w:lineRule="exact"/>
              <w:jc w:val="right"/>
              <w:rPr>
                <w:rFonts w:ascii="Simplified Arabic" w:hAnsi="Simplified Arabic" w:cs="Simplified Arabic"/>
                <w:color w:val="000000"/>
                <w:szCs w:val="18"/>
                <w:rtl/>
              </w:rPr>
            </w:pPr>
            <w:r w:rsidRPr="00BD28CF">
              <w:rPr>
                <w:rFonts w:ascii="Simplified Arabic" w:hAnsi="Simplified Arabic" w:cs="Simplified Arabic"/>
                <w:color w:val="000000"/>
                <w:szCs w:val="18"/>
                <w:rtl/>
              </w:rPr>
              <w:t>000 700 35 دولار</w:t>
            </w:r>
          </w:p>
        </w:tc>
        <w:tc>
          <w:tcPr>
            <w:tcW w:w="1662" w:type="dxa"/>
            <w:vAlign w:val="bottom"/>
          </w:tcPr>
          <w:p w14:paraId="68FFF8B3" w14:textId="77777777" w:rsidR="00D44330" w:rsidRPr="00BD28CF" w:rsidRDefault="00D44330" w:rsidP="00B213AD">
            <w:pPr>
              <w:pStyle w:val="Normal-pool-Table"/>
              <w:keepNext/>
              <w:keepLines/>
              <w:bidi/>
              <w:spacing w:line="280" w:lineRule="exact"/>
              <w:jc w:val="right"/>
              <w:textDirection w:val="tbRlV"/>
              <w:rPr>
                <w:rFonts w:ascii="Simplified Arabic" w:hAnsi="Simplified Arabic" w:cs="Simplified Arabic"/>
                <w:color w:val="000000"/>
                <w:szCs w:val="18"/>
                <w:rtl/>
                <w:lang w:bidi="en-GB"/>
              </w:rPr>
            </w:pPr>
            <w:r w:rsidRPr="00BD28CF">
              <w:rPr>
                <w:rFonts w:ascii="Simplified Arabic" w:hAnsi="Simplified Arabic" w:cs="Simplified Arabic"/>
                <w:color w:val="000000"/>
                <w:szCs w:val="18"/>
                <w:rtl/>
              </w:rPr>
              <w:t>لا ينطبق</w:t>
            </w:r>
          </w:p>
        </w:tc>
        <w:tc>
          <w:tcPr>
            <w:tcW w:w="1662" w:type="dxa"/>
            <w:vAlign w:val="bottom"/>
          </w:tcPr>
          <w:p w14:paraId="3EF4CF0F" w14:textId="77777777" w:rsidR="00D44330" w:rsidRPr="00BD28CF" w:rsidRDefault="00D44330" w:rsidP="00B213AD">
            <w:pPr>
              <w:pStyle w:val="Normal-pool-Table"/>
              <w:keepNext/>
              <w:keepLines/>
              <w:bidi/>
              <w:spacing w:line="280" w:lineRule="exact"/>
              <w:jc w:val="right"/>
              <w:rPr>
                <w:rFonts w:ascii="Simplified Arabic" w:hAnsi="Simplified Arabic" w:cs="Simplified Arabic"/>
                <w:color w:val="000000"/>
                <w:szCs w:val="18"/>
                <w:rtl/>
              </w:rPr>
            </w:pPr>
            <w:r w:rsidRPr="00BD28CF">
              <w:rPr>
                <w:rFonts w:ascii="Simplified Arabic" w:hAnsi="Simplified Arabic" w:cs="Simplified Arabic"/>
                <w:color w:val="000000"/>
                <w:szCs w:val="18"/>
                <w:rtl/>
              </w:rPr>
              <w:t>000 700 475 دولار</w:t>
            </w:r>
          </w:p>
        </w:tc>
      </w:tr>
      <w:tr w:rsidR="00D44330" w:rsidRPr="002657D0" w14:paraId="6A18B328" w14:textId="77777777" w:rsidTr="00077AED">
        <w:tc>
          <w:tcPr>
            <w:tcW w:w="1661" w:type="dxa"/>
            <w:vAlign w:val="bottom"/>
          </w:tcPr>
          <w:p w14:paraId="4665464F" w14:textId="77777777" w:rsidR="00D44330" w:rsidRPr="00BD28CF" w:rsidRDefault="00D44330" w:rsidP="00077AED">
            <w:pPr>
              <w:pStyle w:val="Normal-pool-Table"/>
              <w:keepNext/>
              <w:keepLines/>
              <w:bidi/>
              <w:spacing w:line="280" w:lineRule="exact"/>
              <w:textDirection w:val="tbRlV"/>
              <w:rPr>
                <w:rFonts w:ascii="Simplified Arabic" w:hAnsi="Simplified Arabic" w:cs="Simplified Arabic"/>
                <w:color w:val="000000"/>
                <w:szCs w:val="18"/>
                <w:rtl/>
                <w:lang w:bidi="en-GB"/>
              </w:rPr>
            </w:pPr>
            <w:r w:rsidRPr="00BD28CF">
              <w:rPr>
                <w:rFonts w:ascii="Simplified Arabic" w:hAnsi="Simplified Arabic" w:cs="Simplified Arabic"/>
                <w:color w:val="000000"/>
                <w:szCs w:val="18"/>
                <w:rtl/>
              </w:rPr>
              <w:t>2003-2005</w:t>
            </w:r>
          </w:p>
        </w:tc>
        <w:tc>
          <w:tcPr>
            <w:tcW w:w="1661" w:type="dxa"/>
            <w:vAlign w:val="bottom"/>
          </w:tcPr>
          <w:p w14:paraId="36471F83" w14:textId="77777777" w:rsidR="00D44330" w:rsidRPr="00BD28CF" w:rsidRDefault="00D44330" w:rsidP="00B213AD">
            <w:pPr>
              <w:pStyle w:val="Normal-pool-Table"/>
              <w:keepNext/>
              <w:keepLines/>
              <w:bidi/>
              <w:spacing w:line="280" w:lineRule="exact"/>
              <w:jc w:val="right"/>
              <w:rPr>
                <w:rFonts w:ascii="Simplified Arabic" w:hAnsi="Simplified Arabic" w:cs="Simplified Arabic"/>
                <w:color w:val="000000"/>
                <w:szCs w:val="18"/>
                <w:rtl/>
              </w:rPr>
            </w:pPr>
            <w:r w:rsidRPr="00BD28CF">
              <w:rPr>
                <w:rFonts w:ascii="Simplified Arabic" w:hAnsi="Simplified Arabic" w:cs="Simplified Arabic"/>
                <w:color w:val="000000"/>
                <w:szCs w:val="18"/>
                <w:rtl/>
              </w:rPr>
              <w:t>000 000 474 دولار</w:t>
            </w:r>
          </w:p>
        </w:tc>
        <w:tc>
          <w:tcPr>
            <w:tcW w:w="1661" w:type="dxa"/>
            <w:vAlign w:val="bottom"/>
          </w:tcPr>
          <w:p w14:paraId="6190C41F" w14:textId="77777777" w:rsidR="00D44330" w:rsidRPr="00BD28CF" w:rsidRDefault="00D44330" w:rsidP="00B213AD">
            <w:pPr>
              <w:pStyle w:val="Normal-pool-Table"/>
              <w:keepNext/>
              <w:keepLines/>
              <w:bidi/>
              <w:spacing w:line="280" w:lineRule="exact"/>
              <w:jc w:val="right"/>
              <w:rPr>
                <w:rFonts w:ascii="Simplified Arabic" w:hAnsi="Simplified Arabic" w:cs="Simplified Arabic"/>
                <w:color w:val="000000"/>
                <w:szCs w:val="18"/>
                <w:rtl/>
              </w:rPr>
            </w:pPr>
            <w:r w:rsidRPr="00BD28CF">
              <w:rPr>
                <w:rFonts w:ascii="Simplified Arabic" w:hAnsi="Simplified Arabic" w:cs="Simplified Arabic"/>
                <w:color w:val="000000"/>
                <w:szCs w:val="18"/>
                <w:rtl/>
              </w:rPr>
              <w:t>000 000 76 دولار</w:t>
            </w:r>
          </w:p>
        </w:tc>
        <w:tc>
          <w:tcPr>
            <w:tcW w:w="1662" w:type="dxa"/>
            <w:vAlign w:val="bottom"/>
          </w:tcPr>
          <w:p w14:paraId="09C0C9CF" w14:textId="77777777" w:rsidR="00D44330" w:rsidRPr="00BD28CF" w:rsidRDefault="00D44330" w:rsidP="00B213AD">
            <w:pPr>
              <w:pStyle w:val="Normal-pool-Table"/>
              <w:keepNext/>
              <w:keepLines/>
              <w:bidi/>
              <w:spacing w:line="280" w:lineRule="exact"/>
              <w:jc w:val="right"/>
              <w:rPr>
                <w:rFonts w:ascii="Simplified Arabic" w:hAnsi="Simplified Arabic" w:cs="Simplified Arabic"/>
                <w:color w:val="000000"/>
                <w:szCs w:val="18"/>
                <w:rtl/>
              </w:rPr>
            </w:pPr>
            <w:r w:rsidRPr="00BD28CF">
              <w:rPr>
                <w:rFonts w:ascii="Simplified Arabic" w:hAnsi="Simplified Arabic" w:cs="Simplified Arabic"/>
                <w:color w:val="000000"/>
                <w:szCs w:val="18"/>
                <w:rtl/>
              </w:rPr>
              <w:t>000 000 23 دولار</w:t>
            </w:r>
          </w:p>
        </w:tc>
        <w:tc>
          <w:tcPr>
            <w:tcW w:w="1662" w:type="dxa"/>
            <w:vAlign w:val="bottom"/>
          </w:tcPr>
          <w:p w14:paraId="440AB6EE" w14:textId="77777777" w:rsidR="00D44330" w:rsidRPr="00BD28CF" w:rsidRDefault="00D44330" w:rsidP="00B213AD">
            <w:pPr>
              <w:pStyle w:val="Normal-pool-Table"/>
              <w:keepNext/>
              <w:keepLines/>
              <w:bidi/>
              <w:spacing w:line="280" w:lineRule="exact"/>
              <w:jc w:val="right"/>
              <w:rPr>
                <w:rFonts w:ascii="Simplified Arabic" w:hAnsi="Simplified Arabic" w:cs="Simplified Arabic"/>
                <w:color w:val="000000"/>
                <w:szCs w:val="18"/>
                <w:rtl/>
              </w:rPr>
            </w:pPr>
            <w:r w:rsidRPr="00BD28CF">
              <w:rPr>
                <w:rFonts w:ascii="Simplified Arabic" w:hAnsi="Simplified Arabic" w:cs="Simplified Arabic"/>
                <w:color w:val="000000"/>
                <w:szCs w:val="18"/>
                <w:rtl/>
              </w:rPr>
              <w:t>000 000 573 دولار</w:t>
            </w:r>
          </w:p>
        </w:tc>
      </w:tr>
      <w:tr w:rsidR="00D44330" w:rsidRPr="002657D0" w14:paraId="67575484" w14:textId="77777777" w:rsidTr="00077AED">
        <w:tc>
          <w:tcPr>
            <w:tcW w:w="1661" w:type="dxa"/>
            <w:vAlign w:val="bottom"/>
          </w:tcPr>
          <w:p w14:paraId="509DF88C" w14:textId="77777777" w:rsidR="00D44330" w:rsidRPr="00BD28CF" w:rsidRDefault="00D44330" w:rsidP="00077AED">
            <w:pPr>
              <w:pStyle w:val="Normal-pool-Table"/>
              <w:keepNext/>
              <w:keepLines/>
              <w:bidi/>
              <w:spacing w:line="280" w:lineRule="exact"/>
              <w:textDirection w:val="tbRlV"/>
              <w:rPr>
                <w:rFonts w:ascii="Simplified Arabic" w:hAnsi="Simplified Arabic" w:cs="Simplified Arabic"/>
                <w:color w:val="000000"/>
                <w:szCs w:val="18"/>
                <w:rtl/>
                <w:lang w:bidi="en-GB"/>
              </w:rPr>
            </w:pPr>
            <w:r w:rsidRPr="00BD28CF">
              <w:rPr>
                <w:rFonts w:ascii="Simplified Arabic" w:hAnsi="Simplified Arabic" w:cs="Simplified Arabic"/>
                <w:color w:val="000000"/>
                <w:szCs w:val="18"/>
                <w:rtl/>
              </w:rPr>
              <w:t>2006-2008</w:t>
            </w:r>
          </w:p>
        </w:tc>
        <w:tc>
          <w:tcPr>
            <w:tcW w:w="1661" w:type="dxa"/>
            <w:vAlign w:val="bottom"/>
          </w:tcPr>
          <w:p w14:paraId="5754E5BB" w14:textId="77777777" w:rsidR="00D44330" w:rsidRPr="00BD28CF" w:rsidRDefault="00D44330" w:rsidP="00B213AD">
            <w:pPr>
              <w:pStyle w:val="Normal-pool-Table"/>
              <w:keepNext/>
              <w:keepLines/>
              <w:bidi/>
              <w:spacing w:line="280" w:lineRule="exact"/>
              <w:jc w:val="right"/>
              <w:rPr>
                <w:rFonts w:ascii="Simplified Arabic" w:hAnsi="Simplified Arabic" w:cs="Simplified Arabic"/>
                <w:color w:val="000000"/>
                <w:szCs w:val="18"/>
                <w:rtl/>
              </w:rPr>
            </w:pPr>
            <w:r w:rsidRPr="00BD28CF">
              <w:rPr>
                <w:rFonts w:ascii="Simplified Arabic" w:hAnsi="Simplified Arabic" w:cs="Simplified Arabic"/>
                <w:color w:val="000000"/>
                <w:szCs w:val="18"/>
                <w:rtl/>
              </w:rPr>
              <w:t>000 400 400 دولار</w:t>
            </w:r>
          </w:p>
        </w:tc>
        <w:tc>
          <w:tcPr>
            <w:tcW w:w="1661" w:type="dxa"/>
            <w:vAlign w:val="bottom"/>
          </w:tcPr>
          <w:p w14:paraId="6EFE0CB9" w14:textId="77777777" w:rsidR="00D44330" w:rsidRPr="00BD28CF" w:rsidRDefault="00D44330" w:rsidP="00B213AD">
            <w:pPr>
              <w:pStyle w:val="Normal-pool-Table"/>
              <w:keepNext/>
              <w:keepLines/>
              <w:bidi/>
              <w:spacing w:line="280" w:lineRule="exact"/>
              <w:jc w:val="right"/>
              <w:rPr>
                <w:rFonts w:ascii="Simplified Arabic" w:hAnsi="Simplified Arabic" w:cs="Simplified Arabic"/>
                <w:color w:val="000000"/>
                <w:szCs w:val="18"/>
                <w:rtl/>
              </w:rPr>
            </w:pPr>
            <w:r w:rsidRPr="00BD28CF">
              <w:rPr>
                <w:rFonts w:ascii="Simplified Arabic" w:hAnsi="Simplified Arabic" w:cs="Simplified Arabic"/>
                <w:color w:val="000000"/>
                <w:szCs w:val="18"/>
                <w:rtl/>
              </w:rPr>
              <w:t>000 600 59 دولار</w:t>
            </w:r>
          </w:p>
        </w:tc>
        <w:tc>
          <w:tcPr>
            <w:tcW w:w="1662" w:type="dxa"/>
            <w:vAlign w:val="bottom"/>
          </w:tcPr>
          <w:p w14:paraId="233B1496" w14:textId="77777777" w:rsidR="00D44330" w:rsidRPr="00BD28CF" w:rsidRDefault="00D44330" w:rsidP="00B213AD">
            <w:pPr>
              <w:pStyle w:val="Normal-pool-Table"/>
              <w:keepNext/>
              <w:keepLines/>
              <w:bidi/>
              <w:spacing w:line="280" w:lineRule="exact"/>
              <w:jc w:val="right"/>
              <w:rPr>
                <w:rFonts w:ascii="Simplified Arabic" w:hAnsi="Simplified Arabic" w:cs="Simplified Arabic"/>
                <w:color w:val="000000"/>
                <w:szCs w:val="18"/>
                <w:rtl/>
              </w:rPr>
            </w:pPr>
            <w:r w:rsidRPr="00BD28CF">
              <w:rPr>
                <w:rFonts w:ascii="Simplified Arabic" w:hAnsi="Simplified Arabic" w:cs="Simplified Arabic"/>
                <w:color w:val="000000"/>
                <w:szCs w:val="18"/>
                <w:rtl/>
              </w:rPr>
              <w:t>000 000 10 دولار</w:t>
            </w:r>
          </w:p>
        </w:tc>
        <w:tc>
          <w:tcPr>
            <w:tcW w:w="1662" w:type="dxa"/>
            <w:vAlign w:val="bottom"/>
          </w:tcPr>
          <w:p w14:paraId="2C91903E" w14:textId="77777777" w:rsidR="00D44330" w:rsidRPr="00BD28CF" w:rsidRDefault="00D44330" w:rsidP="00B213AD">
            <w:pPr>
              <w:pStyle w:val="Normal-pool-Table"/>
              <w:keepNext/>
              <w:keepLines/>
              <w:bidi/>
              <w:spacing w:line="280" w:lineRule="exact"/>
              <w:jc w:val="right"/>
              <w:rPr>
                <w:rFonts w:ascii="Simplified Arabic" w:hAnsi="Simplified Arabic" w:cs="Simplified Arabic"/>
                <w:color w:val="000000"/>
                <w:szCs w:val="18"/>
                <w:rtl/>
              </w:rPr>
            </w:pPr>
            <w:r w:rsidRPr="00BD28CF">
              <w:rPr>
                <w:rFonts w:ascii="Simplified Arabic" w:hAnsi="Simplified Arabic" w:cs="Simplified Arabic"/>
                <w:color w:val="000000"/>
                <w:szCs w:val="18"/>
                <w:rtl/>
              </w:rPr>
              <w:t>000 000 470 دولار</w:t>
            </w:r>
          </w:p>
        </w:tc>
      </w:tr>
      <w:tr w:rsidR="00D44330" w:rsidRPr="002657D0" w14:paraId="0CCCB36E" w14:textId="77777777" w:rsidTr="00077AED">
        <w:tc>
          <w:tcPr>
            <w:tcW w:w="1661" w:type="dxa"/>
            <w:vAlign w:val="bottom"/>
          </w:tcPr>
          <w:p w14:paraId="1C523C6C" w14:textId="77777777" w:rsidR="00D44330" w:rsidRPr="00BD28CF" w:rsidRDefault="00D44330" w:rsidP="00077AED">
            <w:pPr>
              <w:pStyle w:val="Normal-pool-Table"/>
              <w:keepNext/>
              <w:keepLines/>
              <w:bidi/>
              <w:spacing w:line="280" w:lineRule="exact"/>
              <w:textDirection w:val="tbRlV"/>
              <w:rPr>
                <w:rFonts w:ascii="Simplified Arabic" w:hAnsi="Simplified Arabic" w:cs="Simplified Arabic"/>
                <w:color w:val="000000"/>
                <w:szCs w:val="18"/>
                <w:rtl/>
                <w:lang w:bidi="en-GB"/>
              </w:rPr>
            </w:pPr>
            <w:r w:rsidRPr="00BD28CF">
              <w:rPr>
                <w:rFonts w:ascii="Simplified Arabic" w:hAnsi="Simplified Arabic" w:cs="Simplified Arabic"/>
                <w:color w:val="000000"/>
                <w:szCs w:val="18"/>
                <w:rtl/>
              </w:rPr>
              <w:t>2009-2011</w:t>
            </w:r>
          </w:p>
        </w:tc>
        <w:tc>
          <w:tcPr>
            <w:tcW w:w="1661" w:type="dxa"/>
            <w:vAlign w:val="bottom"/>
          </w:tcPr>
          <w:p w14:paraId="19E4C75D" w14:textId="77777777" w:rsidR="00D44330" w:rsidRPr="00BD28CF" w:rsidRDefault="00D44330" w:rsidP="00B213AD">
            <w:pPr>
              <w:pStyle w:val="Normal-pool-Table"/>
              <w:keepNext/>
              <w:keepLines/>
              <w:bidi/>
              <w:spacing w:line="280" w:lineRule="exact"/>
              <w:jc w:val="right"/>
              <w:rPr>
                <w:rFonts w:ascii="Simplified Arabic" w:hAnsi="Simplified Arabic" w:cs="Simplified Arabic"/>
                <w:color w:val="000000"/>
                <w:szCs w:val="18"/>
                <w:rtl/>
              </w:rPr>
            </w:pPr>
            <w:r w:rsidRPr="00BD28CF">
              <w:rPr>
                <w:rFonts w:ascii="Simplified Arabic" w:hAnsi="Simplified Arabic" w:cs="Simplified Arabic"/>
                <w:color w:val="000000"/>
                <w:szCs w:val="18"/>
                <w:rtl/>
              </w:rPr>
              <w:t>000 000 400 دولار</w:t>
            </w:r>
          </w:p>
        </w:tc>
        <w:tc>
          <w:tcPr>
            <w:tcW w:w="1661" w:type="dxa"/>
            <w:vAlign w:val="bottom"/>
          </w:tcPr>
          <w:p w14:paraId="78C1033D" w14:textId="77777777" w:rsidR="00D44330" w:rsidRPr="00BD28CF" w:rsidRDefault="00D44330" w:rsidP="00B213AD">
            <w:pPr>
              <w:pStyle w:val="Normal-pool-Table"/>
              <w:keepNext/>
              <w:keepLines/>
              <w:bidi/>
              <w:spacing w:line="280" w:lineRule="exact"/>
              <w:jc w:val="right"/>
              <w:rPr>
                <w:rFonts w:ascii="Simplified Arabic" w:hAnsi="Simplified Arabic" w:cs="Simplified Arabic"/>
                <w:color w:val="000000"/>
                <w:szCs w:val="18"/>
                <w:rtl/>
              </w:rPr>
            </w:pPr>
            <w:r w:rsidRPr="00BD28CF">
              <w:rPr>
                <w:rFonts w:ascii="Simplified Arabic" w:hAnsi="Simplified Arabic" w:cs="Simplified Arabic"/>
                <w:color w:val="000000"/>
                <w:szCs w:val="18"/>
                <w:rtl/>
              </w:rPr>
              <w:t>000 900 73 دولار</w:t>
            </w:r>
          </w:p>
        </w:tc>
        <w:tc>
          <w:tcPr>
            <w:tcW w:w="1662" w:type="dxa"/>
            <w:vAlign w:val="bottom"/>
          </w:tcPr>
          <w:p w14:paraId="1FA62DCE" w14:textId="77777777" w:rsidR="00D44330" w:rsidRPr="00BD28CF" w:rsidRDefault="00D44330" w:rsidP="00B213AD">
            <w:pPr>
              <w:pStyle w:val="Normal-pool-Table"/>
              <w:keepNext/>
              <w:keepLines/>
              <w:bidi/>
              <w:spacing w:line="280" w:lineRule="exact"/>
              <w:jc w:val="right"/>
              <w:rPr>
                <w:rFonts w:ascii="Simplified Arabic" w:hAnsi="Simplified Arabic" w:cs="Simplified Arabic"/>
                <w:color w:val="000000"/>
                <w:szCs w:val="18"/>
                <w:rtl/>
              </w:rPr>
            </w:pPr>
            <w:r w:rsidRPr="00BD28CF">
              <w:rPr>
                <w:rFonts w:ascii="Simplified Arabic" w:hAnsi="Simplified Arabic" w:cs="Simplified Arabic"/>
                <w:color w:val="000000"/>
                <w:szCs w:val="18"/>
                <w:rtl/>
              </w:rPr>
              <w:t>000 100 16 دولار</w:t>
            </w:r>
          </w:p>
        </w:tc>
        <w:tc>
          <w:tcPr>
            <w:tcW w:w="1662" w:type="dxa"/>
            <w:vAlign w:val="bottom"/>
          </w:tcPr>
          <w:p w14:paraId="4537E804" w14:textId="77777777" w:rsidR="00D44330" w:rsidRPr="00BD28CF" w:rsidRDefault="00D44330" w:rsidP="00B213AD">
            <w:pPr>
              <w:pStyle w:val="Normal-pool-Table"/>
              <w:keepNext/>
              <w:keepLines/>
              <w:bidi/>
              <w:spacing w:line="280" w:lineRule="exact"/>
              <w:jc w:val="right"/>
              <w:rPr>
                <w:rFonts w:ascii="Simplified Arabic" w:hAnsi="Simplified Arabic" w:cs="Simplified Arabic"/>
                <w:color w:val="000000"/>
                <w:szCs w:val="18"/>
                <w:rtl/>
              </w:rPr>
            </w:pPr>
            <w:r w:rsidRPr="00BD28CF">
              <w:rPr>
                <w:rFonts w:ascii="Simplified Arabic" w:hAnsi="Simplified Arabic" w:cs="Simplified Arabic"/>
                <w:color w:val="000000"/>
                <w:szCs w:val="18"/>
                <w:rtl/>
              </w:rPr>
              <w:t>000 000 490 دولار</w:t>
            </w:r>
          </w:p>
        </w:tc>
      </w:tr>
      <w:tr w:rsidR="00D44330" w:rsidRPr="002657D0" w14:paraId="5DE4EAA6" w14:textId="77777777" w:rsidTr="00077AED">
        <w:tc>
          <w:tcPr>
            <w:tcW w:w="1661" w:type="dxa"/>
            <w:vAlign w:val="bottom"/>
          </w:tcPr>
          <w:p w14:paraId="240C2B80" w14:textId="77777777" w:rsidR="00D44330" w:rsidRPr="00BD28CF" w:rsidRDefault="00D44330" w:rsidP="00077AED">
            <w:pPr>
              <w:pStyle w:val="Normal-pool-Table"/>
              <w:keepNext/>
              <w:keepLines/>
              <w:bidi/>
              <w:spacing w:line="280" w:lineRule="exact"/>
              <w:textDirection w:val="tbRlV"/>
              <w:rPr>
                <w:rFonts w:ascii="Simplified Arabic" w:hAnsi="Simplified Arabic" w:cs="Simplified Arabic"/>
                <w:color w:val="000000"/>
                <w:szCs w:val="18"/>
                <w:rtl/>
                <w:lang w:bidi="en-GB"/>
              </w:rPr>
            </w:pPr>
            <w:r w:rsidRPr="00BD28CF">
              <w:rPr>
                <w:rFonts w:ascii="Simplified Arabic" w:hAnsi="Simplified Arabic" w:cs="Simplified Arabic"/>
                <w:color w:val="000000"/>
                <w:szCs w:val="18"/>
                <w:rtl/>
              </w:rPr>
              <w:t>2012-2014</w:t>
            </w:r>
          </w:p>
        </w:tc>
        <w:tc>
          <w:tcPr>
            <w:tcW w:w="1661" w:type="dxa"/>
            <w:vAlign w:val="bottom"/>
          </w:tcPr>
          <w:p w14:paraId="01ED8B3F" w14:textId="77777777" w:rsidR="00D44330" w:rsidRPr="00BD28CF" w:rsidRDefault="00D44330" w:rsidP="00B213AD">
            <w:pPr>
              <w:pStyle w:val="Normal-pool-Table"/>
              <w:keepNext/>
              <w:keepLines/>
              <w:bidi/>
              <w:spacing w:line="280" w:lineRule="exact"/>
              <w:jc w:val="right"/>
              <w:rPr>
                <w:rFonts w:ascii="Simplified Arabic" w:hAnsi="Simplified Arabic" w:cs="Simplified Arabic"/>
                <w:color w:val="000000"/>
                <w:szCs w:val="18"/>
                <w:rtl/>
              </w:rPr>
            </w:pPr>
            <w:r w:rsidRPr="00BD28CF">
              <w:rPr>
                <w:rFonts w:ascii="Simplified Arabic" w:hAnsi="Simplified Arabic" w:cs="Simplified Arabic"/>
                <w:color w:val="000000"/>
                <w:szCs w:val="18"/>
                <w:rtl/>
              </w:rPr>
              <w:t>000 000 400 دولار</w:t>
            </w:r>
          </w:p>
        </w:tc>
        <w:tc>
          <w:tcPr>
            <w:tcW w:w="1661" w:type="dxa"/>
            <w:vAlign w:val="bottom"/>
          </w:tcPr>
          <w:p w14:paraId="110396C7" w14:textId="77777777" w:rsidR="00D44330" w:rsidRPr="00BD28CF" w:rsidRDefault="00D44330" w:rsidP="00B213AD">
            <w:pPr>
              <w:pStyle w:val="Normal-pool-Table"/>
              <w:keepNext/>
              <w:keepLines/>
              <w:bidi/>
              <w:spacing w:line="280" w:lineRule="exact"/>
              <w:jc w:val="right"/>
              <w:rPr>
                <w:rFonts w:ascii="Simplified Arabic" w:hAnsi="Simplified Arabic" w:cs="Simplified Arabic"/>
                <w:color w:val="000000"/>
                <w:szCs w:val="18"/>
                <w:rtl/>
              </w:rPr>
            </w:pPr>
            <w:r w:rsidRPr="00BD28CF">
              <w:rPr>
                <w:rFonts w:ascii="Simplified Arabic" w:hAnsi="Simplified Arabic" w:cs="Simplified Arabic"/>
                <w:color w:val="000000"/>
                <w:szCs w:val="18"/>
                <w:rtl/>
              </w:rPr>
              <w:t>000 900 34 دولار</w:t>
            </w:r>
          </w:p>
        </w:tc>
        <w:tc>
          <w:tcPr>
            <w:tcW w:w="1662" w:type="dxa"/>
            <w:vAlign w:val="bottom"/>
          </w:tcPr>
          <w:p w14:paraId="51BC0E2F" w14:textId="77777777" w:rsidR="00D44330" w:rsidRPr="00BD28CF" w:rsidRDefault="00D44330" w:rsidP="00B213AD">
            <w:pPr>
              <w:pStyle w:val="Normal-pool-Table"/>
              <w:keepNext/>
              <w:keepLines/>
              <w:bidi/>
              <w:spacing w:line="280" w:lineRule="exact"/>
              <w:jc w:val="right"/>
              <w:rPr>
                <w:rFonts w:ascii="Simplified Arabic" w:hAnsi="Simplified Arabic" w:cs="Simplified Arabic"/>
                <w:color w:val="000000"/>
                <w:szCs w:val="18"/>
                <w:rtl/>
              </w:rPr>
            </w:pPr>
            <w:r w:rsidRPr="00BD28CF">
              <w:rPr>
                <w:rFonts w:ascii="Simplified Arabic" w:hAnsi="Simplified Arabic" w:cs="Simplified Arabic"/>
                <w:color w:val="000000"/>
                <w:szCs w:val="18"/>
                <w:rtl/>
              </w:rPr>
              <w:t>000 100 15 دولار</w:t>
            </w:r>
          </w:p>
        </w:tc>
        <w:tc>
          <w:tcPr>
            <w:tcW w:w="1662" w:type="dxa"/>
            <w:vAlign w:val="bottom"/>
          </w:tcPr>
          <w:p w14:paraId="36791344" w14:textId="77777777" w:rsidR="00D44330" w:rsidRPr="00BD28CF" w:rsidRDefault="00D44330" w:rsidP="00B213AD">
            <w:pPr>
              <w:pStyle w:val="Normal-pool-Table"/>
              <w:keepNext/>
              <w:keepLines/>
              <w:bidi/>
              <w:spacing w:line="280" w:lineRule="exact"/>
              <w:jc w:val="right"/>
              <w:rPr>
                <w:rFonts w:ascii="Simplified Arabic" w:hAnsi="Simplified Arabic" w:cs="Simplified Arabic"/>
                <w:color w:val="000000"/>
                <w:szCs w:val="18"/>
                <w:rtl/>
              </w:rPr>
            </w:pPr>
            <w:r w:rsidRPr="00BD28CF">
              <w:rPr>
                <w:rFonts w:ascii="Simplified Arabic" w:hAnsi="Simplified Arabic" w:cs="Simplified Arabic"/>
                <w:color w:val="000000"/>
                <w:szCs w:val="18"/>
                <w:rtl/>
              </w:rPr>
              <w:t>000 000 450 دولار</w:t>
            </w:r>
          </w:p>
        </w:tc>
      </w:tr>
      <w:tr w:rsidR="00D44330" w:rsidRPr="002657D0" w14:paraId="6134607B" w14:textId="77777777" w:rsidTr="00077AED">
        <w:tc>
          <w:tcPr>
            <w:tcW w:w="1661" w:type="dxa"/>
            <w:vAlign w:val="bottom"/>
          </w:tcPr>
          <w:p w14:paraId="320ABF11" w14:textId="77777777" w:rsidR="00D44330" w:rsidRPr="00BD28CF" w:rsidRDefault="00D44330" w:rsidP="00077AED">
            <w:pPr>
              <w:pStyle w:val="Normal-pool-Table"/>
              <w:keepNext/>
              <w:keepLines/>
              <w:bidi/>
              <w:spacing w:line="280" w:lineRule="exact"/>
              <w:textDirection w:val="tbRlV"/>
              <w:rPr>
                <w:rFonts w:ascii="Simplified Arabic" w:hAnsi="Simplified Arabic" w:cs="Simplified Arabic"/>
                <w:color w:val="000000"/>
                <w:szCs w:val="18"/>
                <w:rtl/>
                <w:lang w:bidi="en-GB"/>
              </w:rPr>
            </w:pPr>
            <w:r w:rsidRPr="00BD28CF">
              <w:rPr>
                <w:rFonts w:ascii="Simplified Arabic" w:hAnsi="Simplified Arabic" w:cs="Simplified Arabic"/>
                <w:color w:val="000000"/>
                <w:szCs w:val="18"/>
                <w:rtl/>
              </w:rPr>
              <w:t>2015-2017</w:t>
            </w:r>
          </w:p>
        </w:tc>
        <w:tc>
          <w:tcPr>
            <w:tcW w:w="1661" w:type="dxa"/>
            <w:vAlign w:val="bottom"/>
          </w:tcPr>
          <w:p w14:paraId="6150C411" w14:textId="77777777" w:rsidR="00D44330" w:rsidRPr="00BD28CF" w:rsidRDefault="00D44330" w:rsidP="00B213AD">
            <w:pPr>
              <w:pStyle w:val="Normal-pool-Table"/>
              <w:keepNext/>
              <w:keepLines/>
              <w:bidi/>
              <w:spacing w:line="280" w:lineRule="exact"/>
              <w:jc w:val="right"/>
              <w:rPr>
                <w:rFonts w:ascii="Simplified Arabic" w:hAnsi="Simplified Arabic" w:cs="Simplified Arabic"/>
                <w:color w:val="000000"/>
                <w:szCs w:val="18"/>
                <w:rtl/>
              </w:rPr>
            </w:pPr>
            <w:r w:rsidRPr="00BD28CF">
              <w:rPr>
                <w:rFonts w:ascii="Simplified Arabic" w:hAnsi="Simplified Arabic" w:cs="Simplified Arabic"/>
                <w:color w:val="000000"/>
                <w:szCs w:val="18"/>
                <w:rtl/>
              </w:rPr>
              <w:t>000 500 437 دولار</w:t>
            </w:r>
          </w:p>
        </w:tc>
        <w:tc>
          <w:tcPr>
            <w:tcW w:w="1661" w:type="dxa"/>
            <w:vAlign w:val="bottom"/>
          </w:tcPr>
          <w:p w14:paraId="727EB8A8" w14:textId="77777777" w:rsidR="00D44330" w:rsidRPr="00BD28CF" w:rsidRDefault="00D44330" w:rsidP="00B213AD">
            <w:pPr>
              <w:pStyle w:val="Normal-pool-Table"/>
              <w:keepNext/>
              <w:keepLines/>
              <w:bidi/>
              <w:spacing w:line="280" w:lineRule="exact"/>
              <w:jc w:val="right"/>
              <w:rPr>
                <w:rFonts w:ascii="Simplified Arabic" w:hAnsi="Simplified Arabic" w:cs="Simplified Arabic"/>
                <w:color w:val="000000"/>
                <w:szCs w:val="18"/>
                <w:rtl/>
              </w:rPr>
            </w:pPr>
            <w:r w:rsidRPr="00BD28CF">
              <w:rPr>
                <w:rFonts w:ascii="Simplified Arabic" w:hAnsi="Simplified Arabic" w:cs="Simplified Arabic"/>
                <w:color w:val="000000"/>
                <w:szCs w:val="18"/>
                <w:rtl/>
              </w:rPr>
              <w:t>000 000 64 دولار</w:t>
            </w:r>
          </w:p>
        </w:tc>
        <w:tc>
          <w:tcPr>
            <w:tcW w:w="1662" w:type="dxa"/>
            <w:vAlign w:val="bottom"/>
          </w:tcPr>
          <w:p w14:paraId="027F083C" w14:textId="77777777" w:rsidR="00D44330" w:rsidRPr="00BD28CF" w:rsidRDefault="00D44330" w:rsidP="00B213AD">
            <w:pPr>
              <w:pStyle w:val="Normal-pool-Table"/>
              <w:keepNext/>
              <w:keepLines/>
              <w:bidi/>
              <w:spacing w:line="280" w:lineRule="exact"/>
              <w:jc w:val="right"/>
              <w:rPr>
                <w:rFonts w:ascii="Simplified Arabic" w:hAnsi="Simplified Arabic" w:cs="Simplified Arabic"/>
                <w:color w:val="000000"/>
                <w:szCs w:val="18"/>
                <w:rtl/>
              </w:rPr>
            </w:pPr>
            <w:r w:rsidRPr="00BD28CF">
              <w:rPr>
                <w:rFonts w:ascii="Simplified Arabic" w:hAnsi="Simplified Arabic" w:cs="Simplified Arabic"/>
                <w:color w:val="000000"/>
                <w:szCs w:val="18"/>
                <w:rtl/>
              </w:rPr>
              <w:t>000 000 6 دولار</w:t>
            </w:r>
          </w:p>
        </w:tc>
        <w:tc>
          <w:tcPr>
            <w:tcW w:w="1662" w:type="dxa"/>
            <w:vAlign w:val="bottom"/>
          </w:tcPr>
          <w:p w14:paraId="5E6B9B5E" w14:textId="77777777" w:rsidR="00D44330" w:rsidRPr="00BD28CF" w:rsidRDefault="00D44330" w:rsidP="00B213AD">
            <w:pPr>
              <w:pStyle w:val="Normal-pool-Table"/>
              <w:keepNext/>
              <w:keepLines/>
              <w:bidi/>
              <w:spacing w:line="280" w:lineRule="exact"/>
              <w:jc w:val="right"/>
              <w:rPr>
                <w:rFonts w:ascii="Simplified Arabic" w:hAnsi="Simplified Arabic" w:cs="Simplified Arabic"/>
                <w:color w:val="000000"/>
                <w:szCs w:val="18"/>
                <w:rtl/>
              </w:rPr>
            </w:pPr>
            <w:r w:rsidRPr="00BD28CF">
              <w:rPr>
                <w:rFonts w:ascii="Simplified Arabic" w:hAnsi="Simplified Arabic" w:cs="Simplified Arabic"/>
                <w:color w:val="000000"/>
                <w:szCs w:val="18"/>
                <w:rtl/>
              </w:rPr>
              <w:t>000 500 507 دولار</w:t>
            </w:r>
          </w:p>
        </w:tc>
      </w:tr>
      <w:tr w:rsidR="00D44330" w:rsidRPr="002657D0" w14:paraId="2E698046" w14:textId="77777777" w:rsidTr="00077AED">
        <w:tc>
          <w:tcPr>
            <w:tcW w:w="1661" w:type="dxa"/>
            <w:vAlign w:val="bottom"/>
          </w:tcPr>
          <w:p w14:paraId="31663EC7" w14:textId="77777777" w:rsidR="00D44330" w:rsidRPr="00BD28CF" w:rsidRDefault="00D44330" w:rsidP="00077AED">
            <w:pPr>
              <w:pStyle w:val="Normal-pool-Table"/>
              <w:keepNext/>
              <w:keepLines/>
              <w:bidi/>
              <w:spacing w:line="280" w:lineRule="exact"/>
              <w:rPr>
                <w:rFonts w:ascii="Simplified Arabic" w:hAnsi="Simplified Arabic" w:cs="Simplified Arabic"/>
                <w:color w:val="000000"/>
                <w:szCs w:val="18"/>
                <w:rtl/>
              </w:rPr>
            </w:pPr>
            <w:r w:rsidRPr="00BD28CF">
              <w:rPr>
                <w:rFonts w:ascii="Simplified Arabic" w:hAnsi="Simplified Arabic" w:cs="Simplified Arabic"/>
                <w:color w:val="000000"/>
                <w:szCs w:val="18"/>
                <w:rtl/>
              </w:rPr>
              <w:t>2018-2020</w:t>
            </w:r>
            <w:r w:rsidRPr="00BD28CF">
              <w:rPr>
                <w:rFonts w:ascii="Simplified Arabic" w:hAnsi="Simplified Arabic" w:cs="Simplified Arabic"/>
                <w:color w:val="000000"/>
                <w:szCs w:val="18"/>
                <w:vertAlign w:val="superscript"/>
                <w:rtl/>
              </w:rPr>
              <w:t>**</w:t>
            </w:r>
          </w:p>
        </w:tc>
        <w:tc>
          <w:tcPr>
            <w:tcW w:w="1661" w:type="dxa"/>
            <w:vAlign w:val="bottom"/>
          </w:tcPr>
          <w:p w14:paraId="3A8327F1" w14:textId="77777777" w:rsidR="00D44330" w:rsidRPr="00BD28CF" w:rsidRDefault="00D44330" w:rsidP="00B213AD">
            <w:pPr>
              <w:pStyle w:val="Normal-pool-Table"/>
              <w:keepNext/>
              <w:keepLines/>
              <w:bidi/>
              <w:spacing w:line="280" w:lineRule="exact"/>
              <w:jc w:val="right"/>
              <w:rPr>
                <w:rFonts w:ascii="Simplified Arabic" w:hAnsi="Simplified Arabic" w:cs="Simplified Arabic"/>
                <w:color w:val="000000"/>
                <w:szCs w:val="18"/>
                <w:rtl/>
              </w:rPr>
            </w:pPr>
            <w:r w:rsidRPr="00BD28CF">
              <w:rPr>
                <w:rFonts w:ascii="Simplified Arabic" w:hAnsi="Simplified Arabic" w:cs="Simplified Arabic"/>
                <w:color w:val="000000"/>
                <w:szCs w:val="18"/>
                <w:rtl/>
              </w:rPr>
              <w:t>000 000 500 دولار</w:t>
            </w:r>
          </w:p>
        </w:tc>
        <w:tc>
          <w:tcPr>
            <w:tcW w:w="1661" w:type="dxa"/>
            <w:vAlign w:val="bottom"/>
          </w:tcPr>
          <w:p w14:paraId="54A0259C" w14:textId="77777777" w:rsidR="00D44330" w:rsidRPr="00BD28CF" w:rsidRDefault="00D44330" w:rsidP="00B213AD">
            <w:pPr>
              <w:pStyle w:val="Normal-pool-Table"/>
              <w:keepNext/>
              <w:keepLines/>
              <w:bidi/>
              <w:spacing w:line="280" w:lineRule="exact"/>
              <w:jc w:val="right"/>
              <w:rPr>
                <w:rFonts w:ascii="Simplified Arabic" w:hAnsi="Simplified Arabic" w:cs="Simplified Arabic"/>
                <w:color w:val="000000"/>
                <w:szCs w:val="18"/>
                <w:rtl/>
              </w:rPr>
            </w:pPr>
            <w:r w:rsidRPr="00BD28CF">
              <w:rPr>
                <w:rFonts w:ascii="Simplified Arabic" w:hAnsi="Simplified Arabic" w:cs="Simplified Arabic"/>
                <w:color w:val="000000"/>
                <w:szCs w:val="18"/>
                <w:rtl/>
              </w:rPr>
              <w:t>000 000 34 دولار</w:t>
            </w:r>
          </w:p>
        </w:tc>
        <w:tc>
          <w:tcPr>
            <w:tcW w:w="1662" w:type="dxa"/>
            <w:vAlign w:val="bottom"/>
          </w:tcPr>
          <w:p w14:paraId="1ECFC271" w14:textId="77777777" w:rsidR="00D44330" w:rsidRPr="00BD28CF" w:rsidRDefault="00D44330" w:rsidP="00B213AD">
            <w:pPr>
              <w:pStyle w:val="Normal-pool-Table"/>
              <w:keepNext/>
              <w:keepLines/>
              <w:bidi/>
              <w:spacing w:line="280" w:lineRule="exact"/>
              <w:jc w:val="right"/>
              <w:rPr>
                <w:rFonts w:ascii="Simplified Arabic" w:hAnsi="Simplified Arabic" w:cs="Simplified Arabic"/>
                <w:color w:val="000000"/>
                <w:szCs w:val="18"/>
                <w:rtl/>
              </w:rPr>
            </w:pPr>
            <w:r w:rsidRPr="00BD28CF">
              <w:rPr>
                <w:rFonts w:ascii="Simplified Arabic" w:hAnsi="Simplified Arabic" w:cs="Simplified Arabic"/>
                <w:color w:val="000000"/>
                <w:szCs w:val="18"/>
                <w:rtl/>
              </w:rPr>
              <w:t>000 000 6 دولار</w:t>
            </w:r>
          </w:p>
        </w:tc>
        <w:tc>
          <w:tcPr>
            <w:tcW w:w="1662" w:type="dxa"/>
            <w:vAlign w:val="bottom"/>
          </w:tcPr>
          <w:p w14:paraId="23632AB1" w14:textId="77777777" w:rsidR="00D44330" w:rsidRPr="00BD28CF" w:rsidRDefault="00D44330" w:rsidP="00B213AD">
            <w:pPr>
              <w:pStyle w:val="Normal-pool-Table"/>
              <w:keepNext/>
              <w:keepLines/>
              <w:bidi/>
              <w:spacing w:line="280" w:lineRule="exact"/>
              <w:jc w:val="right"/>
              <w:rPr>
                <w:rFonts w:ascii="Simplified Arabic" w:hAnsi="Simplified Arabic" w:cs="Simplified Arabic"/>
                <w:color w:val="000000"/>
                <w:szCs w:val="18"/>
                <w:rtl/>
              </w:rPr>
            </w:pPr>
            <w:r w:rsidRPr="00BD28CF">
              <w:rPr>
                <w:rFonts w:ascii="Simplified Arabic" w:hAnsi="Simplified Arabic" w:cs="Simplified Arabic"/>
                <w:color w:val="000000"/>
                <w:szCs w:val="18"/>
                <w:rtl/>
              </w:rPr>
              <w:t>000 000 540 دولار</w:t>
            </w:r>
          </w:p>
        </w:tc>
      </w:tr>
      <w:tr w:rsidR="00D44330" w:rsidRPr="002657D0" w14:paraId="23F1D7F3" w14:textId="77777777" w:rsidTr="00077AED">
        <w:tc>
          <w:tcPr>
            <w:tcW w:w="1661" w:type="dxa"/>
            <w:vAlign w:val="bottom"/>
          </w:tcPr>
          <w:p w14:paraId="206ACB35" w14:textId="77777777" w:rsidR="00D44330" w:rsidRPr="00BD28CF" w:rsidRDefault="00D44330" w:rsidP="00077AED">
            <w:pPr>
              <w:pStyle w:val="Normal-pool-Table"/>
              <w:keepNext/>
              <w:keepLines/>
              <w:bidi/>
              <w:spacing w:line="280" w:lineRule="exact"/>
              <w:textDirection w:val="tbRlV"/>
              <w:rPr>
                <w:rFonts w:ascii="Simplified Arabic" w:hAnsi="Simplified Arabic" w:cs="Simplified Arabic"/>
                <w:color w:val="000000"/>
                <w:szCs w:val="18"/>
                <w:rtl/>
                <w:lang w:bidi="en-GB"/>
              </w:rPr>
            </w:pPr>
            <w:r w:rsidRPr="00BD28CF">
              <w:rPr>
                <w:rFonts w:ascii="Simplified Arabic" w:hAnsi="Simplified Arabic" w:cs="Simplified Arabic"/>
                <w:color w:val="000000"/>
                <w:szCs w:val="18"/>
                <w:rtl/>
              </w:rPr>
              <w:t>2021-2023</w:t>
            </w:r>
          </w:p>
        </w:tc>
        <w:tc>
          <w:tcPr>
            <w:tcW w:w="1661" w:type="dxa"/>
            <w:vAlign w:val="bottom"/>
          </w:tcPr>
          <w:p w14:paraId="3C02788F" w14:textId="77777777" w:rsidR="00D44330" w:rsidRPr="00BD28CF" w:rsidRDefault="00D44330" w:rsidP="00B213AD">
            <w:pPr>
              <w:pStyle w:val="Normal-pool-Table"/>
              <w:keepNext/>
              <w:keepLines/>
              <w:bidi/>
              <w:spacing w:line="280" w:lineRule="exact"/>
              <w:jc w:val="right"/>
              <w:rPr>
                <w:rFonts w:ascii="Simplified Arabic" w:hAnsi="Simplified Arabic" w:cs="Simplified Arabic"/>
                <w:color w:val="000000"/>
                <w:szCs w:val="18"/>
                <w:rtl/>
              </w:rPr>
            </w:pPr>
            <w:r w:rsidRPr="00BD28CF">
              <w:rPr>
                <w:rFonts w:ascii="Simplified Arabic" w:hAnsi="Simplified Arabic" w:cs="Simplified Arabic"/>
                <w:color w:val="000000"/>
                <w:szCs w:val="18"/>
                <w:rtl/>
              </w:rPr>
              <w:t>000 000 475 دولار</w:t>
            </w:r>
          </w:p>
        </w:tc>
        <w:tc>
          <w:tcPr>
            <w:tcW w:w="1661" w:type="dxa"/>
            <w:vAlign w:val="bottom"/>
          </w:tcPr>
          <w:p w14:paraId="45D7EAA7" w14:textId="77777777" w:rsidR="00D44330" w:rsidRPr="00BD28CF" w:rsidRDefault="00D44330" w:rsidP="00B213AD">
            <w:pPr>
              <w:pStyle w:val="Normal-pool-Table"/>
              <w:keepNext/>
              <w:keepLines/>
              <w:bidi/>
              <w:spacing w:line="280" w:lineRule="exact"/>
              <w:jc w:val="right"/>
              <w:rPr>
                <w:rFonts w:ascii="Simplified Arabic" w:hAnsi="Simplified Arabic" w:cs="Simplified Arabic"/>
                <w:color w:val="000000"/>
                <w:szCs w:val="18"/>
                <w:rtl/>
              </w:rPr>
            </w:pPr>
            <w:r w:rsidRPr="00BD28CF">
              <w:rPr>
                <w:rFonts w:ascii="Simplified Arabic" w:hAnsi="Simplified Arabic" w:cs="Simplified Arabic"/>
                <w:color w:val="000000"/>
                <w:szCs w:val="18"/>
                <w:rtl/>
              </w:rPr>
              <w:t>000 000 65 دولار</w:t>
            </w:r>
          </w:p>
        </w:tc>
        <w:tc>
          <w:tcPr>
            <w:tcW w:w="1662" w:type="dxa"/>
            <w:vAlign w:val="bottom"/>
          </w:tcPr>
          <w:p w14:paraId="0751E74E" w14:textId="77777777" w:rsidR="00D44330" w:rsidRPr="00BD28CF" w:rsidRDefault="00D44330" w:rsidP="00B213AD">
            <w:pPr>
              <w:pStyle w:val="Normal-pool-Table"/>
              <w:keepNext/>
              <w:keepLines/>
              <w:bidi/>
              <w:spacing w:line="280" w:lineRule="exact"/>
              <w:jc w:val="right"/>
              <w:textDirection w:val="tbRlV"/>
              <w:rPr>
                <w:rFonts w:ascii="Simplified Arabic" w:hAnsi="Simplified Arabic" w:cs="Simplified Arabic"/>
                <w:color w:val="000000"/>
                <w:szCs w:val="18"/>
                <w:rtl/>
                <w:lang w:bidi="en-GB"/>
              </w:rPr>
            </w:pPr>
            <w:r w:rsidRPr="00BD28CF">
              <w:rPr>
                <w:rFonts w:ascii="Simplified Arabic" w:hAnsi="Simplified Arabic" w:cs="Simplified Arabic"/>
                <w:color w:val="000000"/>
                <w:szCs w:val="18"/>
                <w:rtl/>
              </w:rPr>
              <w:t>لا ينطبق</w:t>
            </w:r>
          </w:p>
        </w:tc>
        <w:tc>
          <w:tcPr>
            <w:tcW w:w="1662" w:type="dxa"/>
            <w:vAlign w:val="bottom"/>
          </w:tcPr>
          <w:p w14:paraId="6C235E9F" w14:textId="77777777" w:rsidR="00D44330" w:rsidRPr="00BD28CF" w:rsidRDefault="00D44330" w:rsidP="00B213AD">
            <w:pPr>
              <w:pStyle w:val="Normal-pool-Table"/>
              <w:keepNext/>
              <w:keepLines/>
              <w:bidi/>
              <w:spacing w:line="280" w:lineRule="exact"/>
              <w:jc w:val="right"/>
              <w:rPr>
                <w:rFonts w:ascii="Simplified Arabic" w:hAnsi="Simplified Arabic" w:cs="Simplified Arabic"/>
                <w:color w:val="000000"/>
                <w:szCs w:val="18"/>
                <w:rtl/>
              </w:rPr>
            </w:pPr>
            <w:r w:rsidRPr="00BD28CF">
              <w:rPr>
                <w:rFonts w:ascii="Simplified Arabic" w:hAnsi="Simplified Arabic" w:cs="Simplified Arabic"/>
                <w:color w:val="000000"/>
                <w:szCs w:val="18"/>
                <w:rtl/>
              </w:rPr>
              <w:t>000 000 540 دولار</w:t>
            </w:r>
          </w:p>
        </w:tc>
      </w:tr>
      <w:tr w:rsidR="00D44330" w:rsidRPr="002657D0" w14:paraId="6AC00830" w14:textId="77777777" w:rsidTr="00077AED">
        <w:tc>
          <w:tcPr>
            <w:tcW w:w="1661" w:type="dxa"/>
            <w:tcBorders>
              <w:bottom w:val="single" w:sz="12" w:space="0" w:color="auto"/>
            </w:tcBorders>
            <w:vAlign w:val="bottom"/>
          </w:tcPr>
          <w:p w14:paraId="0FF64532" w14:textId="77777777" w:rsidR="00D44330" w:rsidRPr="00BD28CF" w:rsidRDefault="00D44330" w:rsidP="00077AED">
            <w:pPr>
              <w:pStyle w:val="Normal-pool-Table"/>
              <w:keepNext/>
              <w:keepLines/>
              <w:bidi/>
              <w:spacing w:line="280" w:lineRule="exact"/>
              <w:textDirection w:val="tbRlV"/>
              <w:rPr>
                <w:rFonts w:ascii="Simplified Arabic" w:hAnsi="Simplified Arabic" w:cs="Simplified Arabic"/>
                <w:color w:val="000000"/>
                <w:szCs w:val="18"/>
                <w:rtl/>
                <w:lang w:bidi="en-GB"/>
              </w:rPr>
            </w:pPr>
            <w:r w:rsidRPr="00BD28CF">
              <w:rPr>
                <w:rFonts w:ascii="Simplified Arabic" w:hAnsi="Simplified Arabic" w:cs="Simplified Arabic"/>
                <w:color w:val="000000"/>
                <w:szCs w:val="18"/>
                <w:rtl/>
              </w:rPr>
              <w:t>2024-2026</w:t>
            </w:r>
          </w:p>
        </w:tc>
        <w:tc>
          <w:tcPr>
            <w:tcW w:w="1661" w:type="dxa"/>
            <w:tcBorders>
              <w:bottom w:val="single" w:sz="12" w:space="0" w:color="auto"/>
            </w:tcBorders>
            <w:vAlign w:val="bottom"/>
          </w:tcPr>
          <w:p w14:paraId="75C94050" w14:textId="77777777" w:rsidR="00D44330" w:rsidRPr="00BD28CF" w:rsidRDefault="00D44330" w:rsidP="00B213AD">
            <w:pPr>
              <w:pStyle w:val="Normal-pool-Table"/>
              <w:keepNext/>
              <w:keepLines/>
              <w:bidi/>
              <w:spacing w:line="280" w:lineRule="exact"/>
              <w:jc w:val="right"/>
              <w:rPr>
                <w:rFonts w:ascii="Simplified Arabic" w:hAnsi="Simplified Arabic" w:cs="Simplified Arabic"/>
                <w:color w:val="000000"/>
                <w:szCs w:val="18"/>
                <w:rtl/>
              </w:rPr>
            </w:pPr>
            <w:r w:rsidRPr="00BD28CF">
              <w:rPr>
                <w:rFonts w:ascii="Simplified Arabic" w:hAnsi="Simplified Arabic" w:cs="Simplified Arabic"/>
                <w:color w:val="000000"/>
                <w:szCs w:val="18"/>
                <w:rtl/>
              </w:rPr>
              <w:t>000 600 525 دولار</w:t>
            </w:r>
          </w:p>
        </w:tc>
        <w:tc>
          <w:tcPr>
            <w:tcW w:w="1661" w:type="dxa"/>
            <w:tcBorders>
              <w:bottom w:val="single" w:sz="12" w:space="0" w:color="auto"/>
            </w:tcBorders>
            <w:vAlign w:val="bottom"/>
          </w:tcPr>
          <w:p w14:paraId="44B54342" w14:textId="77777777" w:rsidR="00D44330" w:rsidRPr="00BD28CF" w:rsidRDefault="00D44330" w:rsidP="00B213AD">
            <w:pPr>
              <w:pStyle w:val="Normal-pool-Table"/>
              <w:keepNext/>
              <w:keepLines/>
              <w:bidi/>
              <w:spacing w:line="280" w:lineRule="exact"/>
              <w:jc w:val="right"/>
              <w:rPr>
                <w:rFonts w:ascii="Simplified Arabic" w:hAnsi="Simplified Arabic" w:cs="Simplified Arabic"/>
                <w:color w:val="000000"/>
                <w:szCs w:val="18"/>
                <w:rtl/>
              </w:rPr>
            </w:pPr>
            <w:r w:rsidRPr="00BD28CF">
              <w:rPr>
                <w:rFonts w:ascii="Simplified Arabic" w:hAnsi="Simplified Arabic" w:cs="Simplified Arabic"/>
                <w:color w:val="000000"/>
                <w:szCs w:val="18"/>
                <w:rtl/>
              </w:rPr>
              <w:t>699 680 428 دولار</w:t>
            </w:r>
          </w:p>
        </w:tc>
        <w:tc>
          <w:tcPr>
            <w:tcW w:w="1662" w:type="dxa"/>
            <w:tcBorders>
              <w:bottom w:val="single" w:sz="12" w:space="0" w:color="auto"/>
            </w:tcBorders>
            <w:vAlign w:val="bottom"/>
          </w:tcPr>
          <w:p w14:paraId="78E2211A" w14:textId="77777777" w:rsidR="00D44330" w:rsidRPr="00BD28CF" w:rsidRDefault="00D44330" w:rsidP="00B213AD">
            <w:pPr>
              <w:pStyle w:val="Normal-pool-Table"/>
              <w:keepNext/>
              <w:keepLines/>
              <w:bidi/>
              <w:spacing w:line="280" w:lineRule="exact"/>
              <w:jc w:val="right"/>
              <w:rPr>
                <w:rFonts w:ascii="Simplified Arabic" w:hAnsi="Simplified Arabic" w:cs="Simplified Arabic"/>
                <w:color w:val="000000"/>
                <w:szCs w:val="18"/>
                <w:rtl/>
              </w:rPr>
            </w:pPr>
            <w:r w:rsidRPr="00BD28CF">
              <w:rPr>
                <w:rFonts w:ascii="Simplified Arabic" w:hAnsi="Simplified Arabic" w:cs="Simplified Arabic"/>
                <w:color w:val="000000"/>
                <w:szCs w:val="18"/>
                <w:rtl/>
              </w:rPr>
              <w:t>320 700 10</w:t>
            </w:r>
          </w:p>
        </w:tc>
        <w:tc>
          <w:tcPr>
            <w:tcW w:w="1662" w:type="dxa"/>
            <w:tcBorders>
              <w:bottom w:val="single" w:sz="12" w:space="0" w:color="auto"/>
            </w:tcBorders>
            <w:vAlign w:val="bottom"/>
          </w:tcPr>
          <w:p w14:paraId="161CD264" w14:textId="77777777" w:rsidR="00D44330" w:rsidRPr="00BD28CF" w:rsidRDefault="00D44330" w:rsidP="00B213AD">
            <w:pPr>
              <w:pStyle w:val="Normal-pool-Table"/>
              <w:keepNext/>
              <w:keepLines/>
              <w:bidi/>
              <w:spacing w:line="280" w:lineRule="exact"/>
              <w:jc w:val="right"/>
              <w:rPr>
                <w:rFonts w:ascii="Simplified Arabic" w:hAnsi="Simplified Arabic" w:cs="Simplified Arabic"/>
                <w:color w:val="000000"/>
                <w:szCs w:val="18"/>
                <w:rtl/>
              </w:rPr>
            </w:pPr>
            <w:r w:rsidRPr="00BD28CF">
              <w:rPr>
                <w:rFonts w:ascii="Simplified Arabic" w:hAnsi="Simplified Arabic" w:cs="Simplified Arabic"/>
                <w:color w:val="000000"/>
                <w:szCs w:val="18"/>
                <w:rtl/>
              </w:rPr>
              <w:t>000 000 965 دولار</w:t>
            </w:r>
          </w:p>
        </w:tc>
      </w:tr>
    </w:tbl>
    <w:p w14:paraId="64070CAD" w14:textId="7E69B1BC" w:rsidR="00D44330" w:rsidRPr="002657D0" w:rsidRDefault="00D44330" w:rsidP="00C13D12">
      <w:pPr>
        <w:pStyle w:val="Normal-pool"/>
        <w:bidi/>
        <w:spacing w:after="40" w:line="280" w:lineRule="exact"/>
        <w:ind w:left="1134" w:firstLine="709"/>
        <w:jc w:val="both"/>
        <w:textDirection w:val="tbRlV"/>
        <w:rPr>
          <w:rFonts w:ascii="Simplified Arabic" w:eastAsiaTheme="minorEastAsia" w:hAnsi="Simplified Arabic" w:cs="Simplified Arabic"/>
          <w:i/>
          <w:rtl/>
          <w:lang w:val="ar-SA" w:eastAsia="zh-TW" w:bidi="en-GB"/>
        </w:rPr>
      </w:pPr>
      <w:r w:rsidRPr="002657D0">
        <w:rPr>
          <w:rFonts w:ascii="Simplified Arabic" w:hAnsi="Simplified Arabic" w:cs="Simplified Arabic"/>
          <w:rtl/>
        </w:rPr>
        <w:t>* لا يشمل الرسملة الأولية بمبلغ 240 مليون دولار من دولارات الولايات المتحدة للفترة 1991-1993.</w:t>
      </w:r>
    </w:p>
    <w:p w14:paraId="7D7E309F" w14:textId="37D48557" w:rsidR="00D44330" w:rsidRPr="002657D0" w:rsidRDefault="00D44330" w:rsidP="00C13D12">
      <w:pPr>
        <w:pStyle w:val="Normal-pool"/>
        <w:bidi/>
        <w:spacing w:after="120" w:line="280" w:lineRule="exact"/>
        <w:ind w:left="1134" w:firstLine="709"/>
        <w:jc w:val="both"/>
        <w:textDirection w:val="tbRlV"/>
        <w:rPr>
          <w:rFonts w:ascii="Simplified Arabic" w:eastAsiaTheme="minorEastAsia" w:hAnsi="Simplified Arabic" w:cs="Simplified Arabic"/>
          <w:i/>
          <w:rtl/>
          <w:lang w:val="ar-SA" w:eastAsia="zh-TW" w:bidi="en-GB"/>
        </w:rPr>
      </w:pPr>
      <w:r w:rsidRPr="002657D0">
        <w:rPr>
          <w:rFonts w:ascii="Simplified Arabic" w:hAnsi="Simplified Arabic" w:cs="Simplified Arabic"/>
          <w:rtl/>
        </w:rPr>
        <w:t>** إضافةً إلى ذلك، لاحظ الاجتماع الاستثنائي الخامس للأطراف أيضًا أن مبلغ 246 مليون دولار من دولارات الولايات المتحدة في الأموال المتبقية التي كانت مستحقة للصندوق المتعدد الأطراف خلال فترة السنوات الثلاث 2018-2020 سيُستخدم بعد عام 2023 لدعم تنفيذ بروتوكول مونتريال (المقرر ا ا-5/1).</w:t>
      </w:r>
    </w:p>
    <w:p w14:paraId="6D1C338D" w14:textId="41076D3B" w:rsidR="00D44330" w:rsidRPr="00984A76" w:rsidRDefault="00D44330" w:rsidP="00984A76">
      <w:pPr>
        <w:pStyle w:val="NormalNonumber"/>
        <w:bidi/>
        <w:spacing w:line="360" w:lineRule="exact"/>
        <w:ind w:left="1134"/>
        <w:jc w:val="both"/>
        <w:textDirection w:val="tbRlV"/>
        <w:rPr>
          <w:rFonts w:ascii="Simplified Arabic" w:hAnsi="Simplified Arabic" w:cs="Simplified Arabic"/>
          <w:sz w:val="24"/>
          <w:szCs w:val="24"/>
          <w:rtl/>
          <w:lang w:val="ar-SA" w:eastAsia="zh-TW" w:bidi="en-GB"/>
        </w:rPr>
      </w:pPr>
      <w:r w:rsidRPr="00984A76">
        <w:rPr>
          <w:rFonts w:ascii="Simplified Arabic" w:hAnsi="Simplified Arabic" w:cs="Simplified Arabic"/>
          <w:sz w:val="24"/>
          <w:szCs w:val="24"/>
          <w:rtl/>
        </w:rPr>
        <w:t>وقد قدم الصندوق المتعدد الأطراف منذ إنشائه وحتى الاجتماع السابع والتسعين للجنة التنفيذية، الدعم لـ 144 طرفًا من الأطراف العاملة بموجب المادة 5 من خلال الموافقة على مبلغ 4,38 مليار دولار من دولارات الولايات المتحدة (بما في ذلك تكاليف الدعم) لتمويل ما مجموعه 363 10 مشروعًا، اكتمل ما نسبته 87</w:t>
      </w:r>
      <w:r w:rsidR="007758E0" w:rsidRPr="00984A76">
        <w:rPr>
          <w:rFonts w:ascii="Simplified Arabic" w:hAnsi="Simplified Arabic" w:cs="Simplified Arabic"/>
          <w:sz w:val="24"/>
          <w:szCs w:val="24"/>
          <w:rtl/>
        </w:rPr>
        <w:t>٪</w:t>
      </w:r>
      <w:r w:rsidRPr="00984A76">
        <w:rPr>
          <w:rFonts w:ascii="Simplified Arabic" w:hAnsi="Simplified Arabic" w:cs="Simplified Arabic"/>
          <w:sz w:val="24"/>
          <w:szCs w:val="24"/>
          <w:rtl/>
        </w:rPr>
        <w:t xml:space="preserve"> منها</w:t>
      </w:r>
      <w:r w:rsidRPr="00984A76">
        <w:rPr>
          <w:rFonts w:ascii="Simplified Arabic" w:hAnsi="Simplified Arabic" w:cs="Simplified Arabic"/>
          <w:sz w:val="24"/>
          <w:szCs w:val="24"/>
          <w:vertAlign w:val="superscript"/>
          <w:rtl/>
        </w:rPr>
        <w:t>(</w:t>
      </w:r>
      <w:r w:rsidRPr="00984A76">
        <w:rPr>
          <w:rStyle w:val="FootnoteReference"/>
          <w:rFonts w:ascii="Simplified Arabic" w:hAnsi="Simplified Arabic" w:cs="Simplified Arabic"/>
          <w:sz w:val="24"/>
          <w:szCs w:val="24"/>
          <w:rtl/>
        </w:rPr>
        <w:footnoteReference w:id="13"/>
      </w:r>
      <w:r w:rsidRPr="00984A76">
        <w:rPr>
          <w:rFonts w:ascii="Simplified Arabic" w:hAnsi="Simplified Arabic" w:cs="Simplified Arabic"/>
          <w:sz w:val="24"/>
          <w:szCs w:val="24"/>
          <w:vertAlign w:val="superscript"/>
          <w:rtl/>
        </w:rPr>
        <w:t>)</w:t>
      </w:r>
      <w:r w:rsidRPr="00984A76">
        <w:rPr>
          <w:rFonts w:ascii="Simplified Arabic" w:hAnsi="Simplified Arabic" w:cs="Simplified Arabic"/>
          <w:sz w:val="24"/>
          <w:szCs w:val="24"/>
          <w:rtl/>
        </w:rPr>
        <w:t>.</w:t>
      </w:r>
    </w:p>
    <w:p w14:paraId="6DF2A8B9" w14:textId="77777777" w:rsidR="00D44330" w:rsidRPr="00984A76" w:rsidRDefault="00D44330" w:rsidP="00984A76">
      <w:pPr>
        <w:pStyle w:val="NormalNonumber"/>
        <w:bidi/>
        <w:spacing w:line="360" w:lineRule="exact"/>
        <w:ind w:left="1134"/>
        <w:jc w:val="both"/>
        <w:textDirection w:val="tbRlV"/>
        <w:rPr>
          <w:rFonts w:ascii="Simplified Arabic" w:hAnsi="Simplified Arabic" w:cs="Simplified Arabic"/>
          <w:sz w:val="24"/>
          <w:szCs w:val="24"/>
          <w:rtl/>
          <w:lang w:val="ar-SA" w:eastAsia="zh-TW" w:bidi="en-GB"/>
        </w:rPr>
      </w:pPr>
      <w:r w:rsidRPr="00984A76">
        <w:rPr>
          <w:rFonts w:ascii="Simplified Arabic" w:hAnsi="Simplified Arabic" w:cs="Simplified Arabic"/>
          <w:sz w:val="24"/>
          <w:szCs w:val="24"/>
          <w:rtl/>
        </w:rPr>
        <w:t xml:space="preserve">وسيوفر تجديد موارد الصندوق المتعدد الأطراف لفترة الثلاث سنوات 2027-2029 التمويل للأطراف العاملة بموجب المادة 5 لتغطية التكاليف الإضافية اللازمة لإتمام التخلص التدريجي من المواد المستنفدة للأوزون ومواصلة تنفيذ الخفض التدريجي لمركبات الكربون الهيدروفلورية. والمواد المدرجة في المجموعة الأولى من المرفق جيم </w:t>
      </w:r>
      <w:r w:rsidRPr="00984A76">
        <w:rPr>
          <w:rFonts w:ascii="Simplified Arabic" w:hAnsi="Simplified Arabic" w:cs="Simplified Arabic"/>
          <w:sz w:val="24"/>
          <w:szCs w:val="24"/>
          <w:rtl/>
        </w:rPr>
        <w:lastRenderedPageBreak/>
        <w:t>(مركبات الكربون الهيدروكلورية فلورية وفي المرفق واو (مركبات الكربون الهيدروفلورية) هي المواد الوحيدة الخاضعة لبروتوكول مونتريال التي لا يزال استهلاكها وإنتاجها مسموحًا بهما.</w:t>
      </w:r>
    </w:p>
    <w:p w14:paraId="113FAED5" w14:textId="4B4F0CD8" w:rsidR="00D44330" w:rsidRPr="00984A76" w:rsidRDefault="00D44330" w:rsidP="000608F1">
      <w:pPr>
        <w:pStyle w:val="NormalNonumber"/>
        <w:numPr>
          <w:ilvl w:val="0"/>
          <w:numId w:val="39"/>
        </w:numPr>
        <w:tabs>
          <w:tab w:val="clear" w:pos="624"/>
          <w:tab w:val="clear" w:pos="1247"/>
          <w:tab w:val="clear" w:pos="1871"/>
          <w:tab w:val="clear" w:pos="2495"/>
          <w:tab w:val="clear" w:pos="3119"/>
          <w:tab w:val="clear" w:pos="3742"/>
          <w:tab w:val="clear" w:pos="4366"/>
          <w:tab w:val="clear" w:pos="4990"/>
          <w:tab w:val="left" w:pos="1843"/>
        </w:tabs>
        <w:bidi/>
        <w:spacing w:line="360" w:lineRule="exact"/>
        <w:ind w:left="2409" w:hanging="624"/>
        <w:jc w:val="lowKashida"/>
        <w:textDirection w:val="tbRlV"/>
        <w:rPr>
          <w:rFonts w:ascii="Simplified Arabic" w:hAnsi="Simplified Arabic" w:cs="Simplified Arabic"/>
          <w:sz w:val="24"/>
          <w:szCs w:val="24"/>
          <w:rtl/>
          <w:lang w:val="ar-SA" w:eastAsia="zh-TW" w:bidi="en-GB"/>
        </w:rPr>
      </w:pPr>
      <w:r w:rsidRPr="00984A76">
        <w:rPr>
          <w:rFonts w:ascii="Simplified Arabic" w:hAnsi="Simplified Arabic" w:cs="Simplified Arabic"/>
          <w:sz w:val="24"/>
          <w:szCs w:val="24"/>
          <w:rtl/>
        </w:rPr>
        <w:t>فيما يخص المواد الخاضعة للرقابة المدرجة في المجموعة 1 من المرفق جيم (مركبات الكربون الهيدروكلورية فلورية)، فإن هدف الامتثال لفترة الثلاث سنوات 2027-2029 هو تحقيق خفض بنسبة 97,5</w:t>
      </w:r>
      <w:r w:rsidR="007758E0" w:rsidRPr="00984A76">
        <w:rPr>
          <w:rFonts w:ascii="Simplified Arabic" w:hAnsi="Simplified Arabic" w:cs="Simplified Arabic"/>
          <w:sz w:val="24"/>
          <w:szCs w:val="24"/>
          <w:rtl/>
        </w:rPr>
        <w:t>٪</w:t>
      </w:r>
      <w:r w:rsidRPr="00984A76">
        <w:rPr>
          <w:rFonts w:ascii="Simplified Arabic" w:hAnsi="Simplified Arabic" w:cs="Simplified Arabic"/>
          <w:sz w:val="24"/>
          <w:szCs w:val="24"/>
          <w:rtl/>
        </w:rPr>
        <w:t xml:space="preserve"> عن خط الأساس بحلول 1 كانون الثاني/يناير 2030.</w:t>
      </w:r>
    </w:p>
    <w:p w14:paraId="5322CAF7" w14:textId="77777777" w:rsidR="00D44330" w:rsidRPr="00984A76" w:rsidRDefault="00D44330" w:rsidP="00A40420">
      <w:pPr>
        <w:pStyle w:val="NormalNonumber"/>
        <w:tabs>
          <w:tab w:val="clear" w:pos="1247"/>
        </w:tabs>
        <w:bidi/>
        <w:spacing w:line="360" w:lineRule="exact"/>
        <w:ind w:left="2693"/>
        <w:jc w:val="both"/>
        <w:textDirection w:val="tbRlV"/>
        <w:rPr>
          <w:rFonts w:ascii="Simplified Arabic" w:hAnsi="Simplified Arabic" w:cs="Simplified Arabic"/>
          <w:sz w:val="24"/>
          <w:szCs w:val="24"/>
          <w:rtl/>
          <w:lang w:val="ar-SA" w:eastAsia="zh-TW" w:bidi="en-GB"/>
        </w:rPr>
      </w:pPr>
      <w:r w:rsidRPr="00984A76">
        <w:rPr>
          <w:rFonts w:ascii="Simplified Arabic" w:hAnsi="Simplified Arabic" w:cs="Simplified Arabic"/>
          <w:sz w:val="24"/>
          <w:szCs w:val="24"/>
          <w:rtl/>
        </w:rPr>
        <w:t>يقتصر متوسط سنوي يبلغ 2,5 في المئة على صيانة معدات التبريد وتكييف الهواء الموجودة خلال الفترة 2030–2040. وقد عدل المقرر 30/2، الذي يشير إلى المرفق الأول من تقرير الاجتماع الثلاثين للأطراف</w:t>
      </w:r>
      <w:r w:rsidRPr="00984A76">
        <w:rPr>
          <w:rFonts w:ascii="Simplified Arabic" w:hAnsi="Simplified Arabic" w:cs="Simplified Arabic"/>
          <w:sz w:val="24"/>
          <w:szCs w:val="24"/>
          <w:vertAlign w:val="superscript"/>
          <w:rtl/>
        </w:rPr>
        <w:t>(</w:t>
      </w:r>
      <w:r w:rsidRPr="00984A76">
        <w:rPr>
          <w:rStyle w:val="FootnoteReference"/>
          <w:rFonts w:ascii="Simplified Arabic" w:hAnsi="Simplified Arabic" w:cs="Simplified Arabic"/>
          <w:sz w:val="24"/>
          <w:szCs w:val="24"/>
          <w:rtl/>
        </w:rPr>
        <w:footnoteReference w:id="14"/>
      </w:r>
      <w:r w:rsidRPr="00984A76">
        <w:rPr>
          <w:rFonts w:ascii="Simplified Arabic" w:hAnsi="Simplified Arabic" w:cs="Simplified Arabic"/>
          <w:sz w:val="24"/>
          <w:szCs w:val="24"/>
          <w:vertAlign w:val="superscript"/>
          <w:rtl/>
        </w:rPr>
        <w:t>)</w:t>
      </w:r>
      <w:r w:rsidRPr="00984A76">
        <w:rPr>
          <w:rFonts w:ascii="Simplified Arabic" w:hAnsi="Simplified Arabic" w:cs="Simplified Arabic"/>
          <w:sz w:val="24"/>
          <w:szCs w:val="24"/>
          <w:rtl/>
        </w:rPr>
        <w:t>، هذا الجزء من المادة 5 (وكذلك 2 واو) ليشمل استخدامات أخرى، أي صيانة معدات إخماد الحرائق والحماية من الحرائق الموجودة في 1 كانون الثاني/يناير 2030؛ وتطبيقات المذيبات في تصنيع محركات الصواريخ؛ والإيروسولات الطبية الموضعية لتطبيقات العلاج المتخصص للحروق.</w:t>
      </w:r>
    </w:p>
    <w:p w14:paraId="78D1384C" w14:textId="77777777" w:rsidR="00D44330" w:rsidRPr="00984A76" w:rsidRDefault="00D44330" w:rsidP="004C1473">
      <w:pPr>
        <w:pStyle w:val="NormalNonumber"/>
        <w:numPr>
          <w:ilvl w:val="0"/>
          <w:numId w:val="39"/>
        </w:numPr>
        <w:tabs>
          <w:tab w:val="clear" w:pos="624"/>
          <w:tab w:val="clear" w:pos="1247"/>
          <w:tab w:val="clear" w:pos="1871"/>
          <w:tab w:val="clear" w:pos="2495"/>
          <w:tab w:val="clear" w:pos="3119"/>
          <w:tab w:val="clear" w:pos="3742"/>
          <w:tab w:val="clear" w:pos="4366"/>
          <w:tab w:val="clear" w:pos="4990"/>
          <w:tab w:val="left" w:pos="1843"/>
        </w:tabs>
        <w:bidi/>
        <w:spacing w:line="360" w:lineRule="exact"/>
        <w:ind w:left="2409" w:hanging="624"/>
        <w:jc w:val="lowKashida"/>
        <w:textDirection w:val="tbRlV"/>
        <w:rPr>
          <w:rFonts w:ascii="Simplified Arabic" w:hAnsi="Simplified Arabic" w:cs="Simplified Arabic"/>
          <w:sz w:val="24"/>
          <w:szCs w:val="24"/>
          <w:rtl/>
          <w:lang w:val="ar-SA" w:eastAsia="zh-TW" w:bidi="en-GB"/>
        </w:rPr>
      </w:pPr>
      <w:r w:rsidRPr="00984A76">
        <w:rPr>
          <w:rFonts w:ascii="Simplified Arabic" w:hAnsi="Simplified Arabic" w:cs="Simplified Arabic"/>
          <w:sz w:val="24"/>
          <w:szCs w:val="24"/>
          <w:rtl/>
        </w:rPr>
        <w:t>أما فيما يخص المواد الخاضعة للرقابة في المرفق واو (مركبات الكربون الهيدروفلورية)، فإن أهداف الامتثال للفترة 2027-2029 وفترتي السنوات الثلاث اللاحقتين، فهي كما يلي:</w:t>
      </w:r>
    </w:p>
    <w:p w14:paraId="0D69C242" w14:textId="72A8AD91" w:rsidR="00D44330" w:rsidRPr="004C1473" w:rsidRDefault="00D44330" w:rsidP="004C1473">
      <w:pPr>
        <w:pStyle w:val="NormalNonumber"/>
        <w:tabs>
          <w:tab w:val="clear" w:pos="1247"/>
        </w:tabs>
        <w:bidi/>
        <w:spacing w:line="360" w:lineRule="exact"/>
        <w:ind w:left="2693"/>
        <w:jc w:val="both"/>
        <w:textDirection w:val="tbRlV"/>
        <w:rPr>
          <w:rFonts w:ascii="Simplified Arabic" w:hAnsi="Simplified Arabic" w:cs="Simplified Arabic"/>
          <w:sz w:val="24"/>
          <w:szCs w:val="24"/>
          <w:rtl/>
          <w:lang w:bidi="en-GB"/>
        </w:rPr>
      </w:pPr>
      <w:bookmarkStart w:id="7" w:name="_Hlk135754197"/>
      <w:r w:rsidRPr="00984A76">
        <w:rPr>
          <w:rFonts w:ascii="Simplified Arabic" w:hAnsi="Simplified Arabic" w:cs="Simplified Arabic"/>
          <w:sz w:val="24"/>
          <w:szCs w:val="24"/>
          <w:rtl/>
        </w:rPr>
        <w:t>الأطراف في المجموعة 1: تخفيض بنسبة 10 في المئة عن خط الأساس بحلول 1 كانون الثاني/يناير 2029، وتخفيض بنسبة 30 في المئة عن خط الأساس بحلول 1 كانون الثاني/يناير 2035 لفترتي السنوات الثلاث المقبلتين 2030-2032 و203</w:t>
      </w:r>
      <w:r w:rsidR="009A3E26">
        <w:rPr>
          <w:rFonts w:ascii="Simplified Arabic" w:hAnsi="Simplified Arabic" w:cs="Simplified Arabic" w:hint="cs"/>
          <w:sz w:val="24"/>
          <w:szCs w:val="24"/>
          <w:rtl/>
        </w:rPr>
        <w:t>3</w:t>
      </w:r>
      <w:r w:rsidRPr="00984A76">
        <w:rPr>
          <w:rFonts w:ascii="Simplified Arabic" w:hAnsi="Simplified Arabic" w:cs="Simplified Arabic"/>
          <w:sz w:val="24"/>
          <w:szCs w:val="24"/>
          <w:rtl/>
        </w:rPr>
        <w:t>-203</w:t>
      </w:r>
      <w:r w:rsidR="009A3E26">
        <w:rPr>
          <w:rFonts w:ascii="Simplified Arabic" w:hAnsi="Simplified Arabic" w:cs="Simplified Arabic" w:hint="cs"/>
          <w:sz w:val="24"/>
          <w:szCs w:val="24"/>
          <w:rtl/>
        </w:rPr>
        <w:t>5</w:t>
      </w:r>
      <w:r w:rsidRPr="00984A76">
        <w:rPr>
          <w:rFonts w:ascii="Simplified Arabic" w:hAnsi="Simplified Arabic" w:cs="Simplified Arabic"/>
          <w:sz w:val="24"/>
          <w:szCs w:val="24"/>
          <w:rtl/>
        </w:rPr>
        <w:t>.</w:t>
      </w:r>
    </w:p>
    <w:p w14:paraId="2D4E2130" w14:textId="6623B85C" w:rsidR="00D44330" w:rsidRPr="00984A76" w:rsidRDefault="00D44330" w:rsidP="00997C49">
      <w:pPr>
        <w:pStyle w:val="NormalNonumber"/>
        <w:tabs>
          <w:tab w:val="clear" w:pos="1247"/>
          <w:tab w:val="clear" w:pos="2495"/>
          <w:tab w:val="left" w:pos="2693"/>
        </w:tabs>
        <w:bidi/>
        <w:spacing w:line="360" w:lineRule="exact"/>
        <w:ind w:left="2693"/>
        <w:jc w:val="both"/>
        <w:textDirection w:val="tbRlV"/>
        <w:rPr>
          <w:rFonts w:ascii="Simplified Arabic" w:hAnsi="Simplified Arabic" w:cs="Simplified Arabic"/>
          <w:strike/>
          <w:sz w:val="24"/>
          <w:szCs w:val="24"/>
          <w:rtl/>
          <w:lang w:val="ar-SA" w:eastAsia="zh-TW" w:bidi="en-GB"/>
        </w:rPr>
      </w:pPr>
      <w:r w:rsidRPr="00984A76">
        <w:rPr>
          <w:rFonts w:ascii="Simplified Arabic" w:hAnsi="Simplified Arabic" w:cs="Simplified Arabic"/>
          <w:sz w:val="24"/>
          <w:szCs w:val="24"/>
          <w:rtl/>
        </w:rPr>
        <w:t>الأطراف في المجموعة 2</w:t>
      </w:r>
      <w:r w:rsidRPr="004C1473">
        <w:rPr>
          <w:rFonts w:ascii="Simplified Arabic" w:hAnsi="Simplified Arabic" w:cs="Simplified Arabic"/>
          <w:sz w:val="24"/>
          <w:szCs w:val="24"/>
          <w:rtl/>
        </w:rPr>
        <w:t>(</w:t>
      </w:r>
      <w:r w:rsidRPr="004C1473">
        <w:rPr>
          <w:rtl/>
        </w:rPr>
        <w:footnoteReference w:id="15"/>
      </w:r>
      <w:r w:rsidRPr="004C1473">
        <w:rPr>
          <w:rFonts w:ascii="Simplified Arabic" w:hAnsi="Simplified Arabic" w:cs="Simplified Arabic"/>
          <w:sz w:val="24"/>
          <w:szCs w:val="24"/>
          <w:rtl/>
        </w:rPr>
        <w:t>)</w:t>
      </w:r>
      <w:r w:rsidRPr="00984A76">
        <w:rPr>
          <w:rFonts w:ascii="Simplified Arabic" w:hAnsi="Simplified Arabic" w:cs="Simplified Arabic"/>
          <w:sz w:val="24"/>
          <w:szCs w:val="24"/>
          <w:rtl/>
        </w:rPr>
        <w:t>: تجميد الإنتاج والاستهلاك بحلول 1 كانون الثاني/يناير 2028، وتخفيض بنسبة 10 في المئة عن خط الأساس بحلول 1 كانون الثاني/يناير 2032 لفترتي السنوات الثلاث المقبلتين 2030-2032 و203</w:t>
      </w:r>
      <w:r w:rsidR="009A3E26">
        <w:rPr>
          <w:rFonts w:ascii="Simplified Arabic" w:hAnsi="Simplified Arabic" w:cs="Simplified Arabic" w:hint="cs"/>
          <w:sz w:val="24"/>
          <w:szCs w:val="24"/>
          <w:rtl/>
        </w:rPr>
        <w:t>3</w:t>
      </w:r>
      <w:r w:rsidRPr="00984A76">
        <w:rPr>
          <w:rFonts w:ascii="Simplified Arabic" w:hAnsi="Simplified Arabic" w:cs="Simplified Arabic"/>
          <w:sz w:val="24"/>
          <w:szCs w:val="24"/>
          <w:rtl/>
        </w:rPr>
        <w:t>-203</w:t>
      </w:r>
      <w:r w:rsidR="009A3E26">
        <w:rPr>
          <w:rFonts w:ascii="Simplified Arabic" w:hAnsi="Simplified Arabic" w:cs="Simplified Arabic" w:hint="cs"/>
          <w:sz w:val="24"/>
          <w:szCs w:val="24"/>
          <w:rtl/>
        </w:rPr>
        <w:t>5</w:t>
      </w:r>
      <w:r w:rsidRPr="00984A76">
        <w:rPr>
          <w:rFonts w:ascii="Simplified Arabic" w:hAnsi="Simplified Arabic" w:cs="Simplified Arabic"/>
          <w:sz w:val="24"/>
          <w:szCs w:val="24"/>
          <w:rtl/>
        </w:rPr>
        <w:t>، وتخفيض بنسبة 20 في المئة بحلول 1 كانون الثاني/يناير 2037.</w:t>
      </w:r>
    </w:p>
    <w:bookmarkEnd w:id="7"/>
    <w:p w14:paraId="295C05A8" w14:textId="4F59D3DC" w:rsidR="00D44330" w:rsidRPr="007C5FEC" w:rsidRDefault="00D44330" w:rsidP="00984A76">
      <w:pPr>
        <w:pStyle w:val="CH2"/>
        <w:bidi/>
        <w:spacing w:before="0" w:line="360" w:lineRule="exact"/>
        <w:ind w:left="1134" w:right="0" w:firstLine="0"/>
        <w:jc w:val="both"/>
        <w:textDirection w:val="tbRlV"/>
        <w:rPr>
          <w:rFonts w:ascii="Simplified Arabic" w:hAnsi="Simplified Arabic" w:cs="Simplified Arabic"/>
          <w:bCs/>
          <w:rtl/>
          <w:lang w:val="ar-SA" w:eastAsia="zh-TW" w:bidi="en-GB"/>
        </w:rPr>
      </w:pPr>
      <w:r w:rsidRPr="007C5FEC">
        <w:rPr>
          <w:rFonts w:ascii="Simplified Arabic" w:hAnsi="Simplified Arabic" w:cs="Simplified Arabic"/>
          <w:bCs/>
          <w:rtl/>
        </w:rPr>
        <w:t>المقرر 37/6 ونهج فريق التقييم التكنولوجي والاقتصادي</w:t>
      </w:r>
    </w:p>
    <w:p w14:paraId="4A51C1FE" w14:textId="7ECE2004" w:rsidR="00D44330" w:rsidRPr="00984A76" w:rsidRDefault="00D44330" w:rsidP="00984A76">
      <w:pPr>
        <w:pStyle w:val="NormalNonumber"/>
        <w:bidi/>
        <w:spacing w:line="360" w:lineRule="exact"/>
        <w:ind w:left="1134"/>
        <w:jc w:val="both"/>
        <w:textDirection w:val="tbRlV"/>
        <w:rPr>
          <w:rFonts w:ascii="Simplified Arabic" w:hAnsi="Simplified Arabic" w:cs="Simplified Arabic"/>
          <w:sz w:val="24"/>
          <w:szCs w:val="24"/>
          <w:rtl/>
          <w:lang w:val="ar-SA" w:eastAsia="zh-TW" w:bidi="en-GB"/>
        </w:rPr>
      </w:pPr>
      <w:r w:rsidRPr="00984A76">
        <w:rPr>
          <w:rFonts w:ascii="Simplified Arabic" w:hAnsi="Simplified Arabic" w:cs="Simplified Arabic"/>
          <w:sz w:val="24"/>
          <w:szCs w:val="24"/>
          <w:rtl/>
        </w:rPr>
        <w:t>في الاجتماع السابع والثلاثين للأطراف اعتمدت الأطراف المقرر 37/6 الذي حدد اختصاصات عمل فريق التقييم التكنولوجي والاقتصادي لإعداد تقرير عن المستوى المناسب لتجديد موارد الصندوق المتعدد الأطراف لفترة السنوات الثلاث 2027-2029. وطلبت الأطراف من فريق التقييم التكنولوجي والاقتصادي إعداد تقرير لتقديمه إلى الاجتماع الثامن والثلاثين للأطراف وعرضه على الفريق العامل المفتوح العضوية في اجتماعه الثامن والأربعين، لتمكين الأطراف في الاجتماع الثامن والثلاثين للأطراف من اعتماد مقرر.</w:t>
      </w:r>
    </w:p>
    <w:p w14:paraId="3D8BFD72" w14:textId="44AF383B" w:rsidR="00D44330" w:rsidRPr="00984A76" w:rsidRDefault="00D44330" w:rsidP="00984A76">
      <w:pPr>
        <w:pStyle w:val="NormalNonumber"/>
        <w:bidi/>
        <w:spacing w:line="360" w:lineRule="exact"/>
        <w:ind w:left="1134"/>
        <w:jc w:val="both"/>
        <w:textDirection w:val="tbRlV"/>
        <w:rPr>
          <w:rFonts w:ascii="Simplified Arabic" w:hAnsi="Simplified Arabic" w:cs="Simplified Arabic"/>
          <w:sz w:val="24"/>
          <w:szCs w:val="24"/>
          <w:rtl/>
          <w:lang w:val="ar-SA" w:eastAsia="zh-TW" w:bidi="en-GB"/>
        </w:rPr>
      </w:pPr>
      <w:r w:rsidRPr="00984A76">
        <w:rPr>
          <w:rFonts w:ascii="Simplified Arabic" w:hAnsi="Simplified Arabic" w:cs="Simplified Arabic"/>
          <w:sz w:val="24"/>
          <w:szCs w:val="24"/>
          <w:rtl/>
        </w:rPr>
        <w:t>وأنشأ الفريق بموجب المقرر 37/6 فرقة عمل معنية بتجديد الموارد تضم أعضاء من الفريق ومن لجان الخيارات التقنية التابعة له، فضلاً عن خبراء خارجيين آخرين. وفي كانون الأول/ديسمبر 2025، حضر أحد كبار الخبراء في الفريق الاجتماع التاسع والسبعين للجنة التنفيذية لإجراء مناقشات غير رسمية مع أعضاء اللجنة التنفيذية والاتفاقات الثنائية والوكالات المنفذة الحاضرة في ذلك الاجتماع.</w:t>
      </w:r>
    </w:p>
    <w:p w14:paraId="3E86E5E4" w14:textId="1CB9A86F" w:rsidR="00D44330" w:rsidRPr="00984A76" w:rsidRDefault="00D44330" w:rsidP="00984A76">
      <w:pPr>
        <w:pStyle w:val="NormalNonumber"/>
        <w:bidi/>
        <w:spacing w:line="360" w:lineRule="exact"/>
        <w:ind w:left="1134"/>
        <w:jc w:val="both"/>
        <w:textDirection w:val="tbRlV"/>
        <w:rPr>
          <w:rFonts w:ascii="Simplified Arabic" w:hAnsi="Simplified Arabic" w:cs="Simplified Arabic"/>
          <w:sz w:val="24"/>
          <w:szCs w:val="24"/>
          <w:rtl/>
          <w:lang w:val="ar-SA" w:eastAsia="zh-TW" w:bidi="en-GB"/>
        </w:rPr>
      </w:pPr>
      <w:r w:rsidRPr="00984A76">
        <w:rPr>
          <w:rFonts w:ascii="Simplified Arabic" w:hAnsi="Simplified Arabic" w:cs="Simplified Arabic"/>
          <w:sz w:val="24"/>
          <w:szCs w:val="24"/>
          <w:rtl/>
        </w:rPr>
        <w:t>وقدرت فرقة العمل المعنية بتجديد الموارد، في هذا التقرير، احتياجات التمويل لفترة السنوات الثلاث 2027-2029 وفترات السنوات الثلاث المقبلة استناداً إلى البيانات الرسمية من المادة 7 ومع الاسترشاد بـ</w:t>
      </w:r>
      <w:r w:rsidR="00223388" w:rsidRPr="00087C24">
        <w:rPr>
          <w:rFonts w:ascii="Simplified Arabic" w:hAnsi="Simplified Arabic" w:cs="Simplified Arabic"/>
          <w:sz w:val="24"/>
          <w:szCs w:val="24"/>
          <w:lang w:val="en-GB"/>
        </w:rPr>
        <w:t xml:space="preserve"> </w:t>
      </w:r>
      <w:r w:rsidRPr="00984A76">
        <w:rPr>
          <w:rFonts w:ascii="Simplified Arabic" w:hAnsi="Simplified Arabic" w:cs="Simplified Arabic"/>
          <w:sz w:val="24"/>
          <w:szCs w:val="24"/>
          <w:rtl/>
        </w:rPr>
        <w:t xml:space="preserve">”خطة العمل الموحدة </w:t>
      </w:r>
      <w:r w:rsidRPr="00984A76">
        <w:rPr>
          <w:rFonts w:ascii="Simplified Arabic" w:hAnsi="Simplified Arabic" w:cs="Simplified Arabic"/>
          <w:sz w:val="24"/>
          <w:szCs w:val="24"/>
          <w:rtl/>
        </w:rPr>
        <w:lastRenderedPageBreak/>
        <w:t>للصندوق المتعدد الأطراف للفترة 2026-2028“</w:t>
      </w:r>
      <w:r w:rsidRPr="00984A76">
        <w:rPr>
          <w:rFonts w:ascii="Simplified Arabic" w:hAnsi="Simplified Arabic" w:cs="Simplified Arabic"/>
          <w:sz w:val="24"/>
          <w:szCs w:val="24"/>
          <w:vertAlign w:val="superscript"/>
          <w:rtl/>
        </w:rPr>
        <w:t>(</w:t>
      </w:r>
      <w:r w:rsidRPr="00984A76">
        <w:rPr>
          <w:rFonts w:ascii="Simplified Arabic" w:hAnsi="Simplified Arabic" w:cs="Simplified Arabic"/>
          <w:sz w:val="24"/>
          <w:szCs w:val="24"/>
          <w:vertAlign w:val="superscript"/>
          <w:rtl/>
        </w:rPr>
        <w:footnoteReference w:id="16"/>
      </w:r>
      <w:r w:rsidRPr="00984A76">
        <w:rPr>
          <w:rFonts w:ascii="Simplified Arabic" w:hAnsi="Simplified Arabic" w:cs="Simplified Arabic"/>
          <w:sz w:val="24"/>
          <w:szCs w:val="24"/>
          <w:vertAlign w:val="superscript"/>
          <w:rtl/>
        </w:rPr>
        <w:t>)</w:t>
      </w:r>
      <w:r w:rsidRPr="00984A76">
        <w:rPr>
          <w:rFonts w:ascii="Simplified Arabic" w:hAnsi="Simplified Arabic" w:cs="Simplified Arabic"/>
          <w:sz w:val="24"/>
          <w:szCs w:val="24"/>
          <w:rtl/>
        </w:rPr>
        <w:t>، والمقررات ذات الصلة التي اتخذتها اللجنة التنفيذية حتى اجتماعها السابع والتسعين والمعلومات المتاحة من خلال أمانة الصندوق المتعدد الأطراف وأمانة الأوزون. وقد عملت الفرقة بشكل أساسي عبر الإنترنت، وعقدت اجتماعًا في مونتريال في شباط/فبراير 2026 أجرت خلاله أيضًا مناقشات مع أمانة الصندوق المتعدد الأطراف. وأعدت الفرقة مشروع تقريرها الذي خضع للاستعراض خلال اجتماع فريق التقييم التكنولوجي والاقتصادي الذي عُقد في نيسان/أبريل 2026 في بروكسل. وبعد الرد على جميع التعليقات، قدم الفريق تقرير فرقة العمل إلى أمانة الأوزون في أيار/مايو 2026 لنشره واستعراضه من قبل الأطراف.</w:t>
      </w:r>
    </w:p>
    <w:p w14:paraId="582E2FBF" w14:textId="0DD65B3C" w:rsidR="00D44330" w:rsidRPr="00984A76" w:rsidRDefault="00D44330" w:rsidP="00984A76">
      <w:pPr>
        <w:pStyle w:val="CH2"/>
        <w:bidi/>
        <w:spacing w:before="0" w:line="360" w:lineRule="exact"/>
        <w:ind w:left="1134" w:right="0" w:firstLine="0"/>
        <w:jc w:val="both"/>
        <w:textDirection w:val="tbRlV"/>
        <w:rPr>
          <w:rFonts w:ascii="Simplified Arabic" w:hAnsi="Simplified Arabic" w:cs="Simplified Arabic"/>
          <w:rtl/>
          <w:lang w:val="ar-SA" w:eastAsia="zh-TW" w:bidi="en-GB"/>
        </w:rPr>
      </w:pPr>
      <w:r w:rsidRPr="00984A76">
        <w:rPr>
          <w:rFonts w:ascii="Simplified Arabic" w:hAnsi="Simplified Arabic" w:cs="Simplified Arabic"/>
          <w:bCs/>
          <w:rtl/>
        </w:rPr>
        <w:t>التخلص التدريجي من مركبات الكربون الهيدروكلورية فلورية في قطاعي الاستهلاك والإنتاج</w:t>
      </w:r>
    </w:p>
    <w:p w14:paraId="7EEA9D02" w14:textId="30C04C50" w:rsidR="00D44330" w:rsidRPr="00984A76" w:rsidRDefault="00D44330" w:rsidP="00984A76">
      <w:pPr>
        <w:pStyle w:val="CH3"/>
        <w:bidi/>
        <w:spacing w:before="0" w:line="360" w:lineRule="exact"/>
        <w:ind w:left="1134" w:right="0" w:firstLine="0"/>
        <w:jc w:val="both"/>
        <w:textDirection w:val="tbRlV"/>
        <w:rPr>
          <w:rFonts w:ascii="Simplified Arabic" w:hAnsi="Simplified Arabic" w:cs="Simplified Arabic"/>
          <w:i/>
          <w:iCs/>
          <w:sz w:val="24"/>
          <w:szCs w:val="24"/>
          <w:rtl/>
          <w:lang w:val="ar-SA" w:eastAsia="zh-TW" w:bidi="en-GB"/>
        </w:rPr>
      </w:pPr>
      <w:r w:rsidRPr="00984A76">
        <w:rPr>
          <w:rFonts w:ascii="Simplified Arabic" w:hAnsi="Simplified Arabic" w:cs="Simplified Arabic"/>
          <w:bCs/>
          <w:i/>
          <w:iCs/>
          <w:sz w:val="24"/>
          <w:szCs w:val="24"/>
          <w:rtl/>
        </w:rPr>
        <w:t>قطاع الاستهلاك</w:t>
      </w:r>
    </w:p>
    <w:p w14:paraId="099641C7" w14:textId="77777777" w:rsidR="00D44330" w:rsidRPr="00A10A25" w:rsidRDefault="00D44330" w:rsidP="00A10A25">
      <w:pPr>
        <w:pStyle w:val="NormalNonumber"/>
        <w:bidi/>
        <w:spacing w:line="360" w:lineRule="exact"/>
        <w:ind w:left="1134"/>
        <w:jc w:val="both"/>
        <w:textDirection w:val="tbRlV"/>
        <w:rPr>
          <w:rFonts w:ascii="Simplified Arabic" w:hAnsi="Simplified Arabic" w:cs="Simplified Arabic"/>
          <w:w w:val="101"/>
          <w:sz w:val="24"/>
          <w:szCs w:val="24"/>
          <w:rtl/>
          <w:lang w:val="ar-SA" w:eastAsia="zh-TW" w:bidi="en-GB"/>
        </w:rPr>
      </w:pPr>
      <w:r w:rsidRPr="00A10A25">
        <w:rPr>
          <w:rFonts w:ascii="Simplified Arabic" w:hAnsi="Simplified Arabic" w:cs="Simplified Arabic"/>
          <w:w w:val="101"/>
          <w:sz w:val="24"/>
          <w:szCs w:val="24"/>
          <w:rtl/>
        </w:rPr>
        <w:t>قدمت معظم الأطراف العاملة بموجب المادة 5 خطط مراحل/شرائح أخيرة من أجل إكمال التخلص التدريجي من مركبات الكربون الهيدروكلورية فلورية بحلول عام 2030. وبالتالي، في نهاية فترة السنوات الثلاث 2027-2029، سيحتفل الصندوق المتعدد الأطراف بتناوله لآخر استهلاك متبقي لمركبات الكربون الهيدروكلورية فلورية لدى أطراف قليلة ستقدم طلبات المراحل والشرائح الأخيرة من خططها لإدارة التخلص التدريجي من مركبات الكربون الهيدروكلورية فلورية.</w:t>
      </w:r>
    </w:p>
    <w:p w14:paraId="64662012" w14:textId="77777777" w:rsidR="00D44330" w:rsidRPr="00984A76" w:rsidRDefault="00D44330" w:rsidP="00984A76">
      <w:pPr>
        <w:pStyle w:val="NormalNonumber"/>
        <w:bidi/>
        <w:spacing w:line="360" w:lineRule="exact"/>
        <w:ind w:left="1134"/>
        <w:jc w:val="both"/>
        <w:textDirection w:val="tbRlV"/>
        <w:rPr>
          <w:rFonts w:ascii="Simplified Arabic" w:hAnsi="Simplified Arabic" w:cs="Simplified Arabic"/>
          <w:sz w:val="24"/>
          <w:szCs w:val="24"/>
          <w:rtl/>
          <w:lang w:val="ar-SA" w:eastAsia="zh-TW" w:bidi="en-GB"/>
        </w:rPr>
      </w:pPr>
      <w:r w:rsidRPr="00984A76">
        <w:rPr>
          <w:rFonts w:ascii="Simplified Arabic" w:hAnsi="Simplified Arabic" w:cs="Simplified Arabic"/>
          <w:sz w:val="24"/>
          <w:szCs w:val="24"/>
          <w:rtl/>
        </w:rPr>
        <w:t>ومع ذلك، فقد حُسبت احتياجات التمويل للتخلص التدريجي من مركبات الكربون الهيدروكلورية فلورية لفترة السنوات الثلاث هذه مع الأخذ في الاعتبار أن الغالبية العظمى من خطط إدارة التخلص التدريجي من مركبات الكربون الهيدروكلورية فلورية تهدف إلى التخلص التدريجي الكامل بحلول عام 2030. ويجوز للأطراف التي ترغب في التخلص التدريجي الكامل من مركبات الكربون الهيدروكلورية فلورية بحلول 1 كانون الثاني/يناير 2030 أن تفعل ذلك، لكن عليها أن تضمن، من خلال التدابير التنظيمية والسياساتية، عدم استيراد هذه المركبات بعد ذلك التاريخ، باستثناء الكميات المسموح بها لأغراض الصيانة اللاحقة في الفترة ما بين عامي 2030 و2040، عند الضرورة، بما يتوافق مع أحكام بروتوكول مونتريال.</w:t>
      </w:r>
    </w:p>
    <w:p w14:paraId="3CE935E5" w14:textId="77777777" w:rsidR="00D44330" w:rsidRPr="00984A76" w:rsidRDefault="00D44330" w:rsidP="00C80F58">
      <w:pPr>
        <w:pStyle w:val="NormalNonumber"/>
        <w:bidi/>
        <w:spacing w:line="360" w:lineRule="exact"/>
        <w:ind w:left="1134"/>
        <w:jc w:val="lowKashida"/>
        <w:textDirection w:val="tbRlV"/>
        <w:rPr>
          <w:rFonts w:ascii="Simplified Arabic" w:hAnsi="Simplified Arabic" w:cs="Simplified Arabic"/>
          <w:sz w:val="24"/>
          <w:szCs w:val="24"/>
          <w:rtl/>
          <w:lang w:val="ar-SA" w:eastAsia="zh-TW" w:bidi="en-GB"/>
        </w:rPr>
      </w:pPr>
      <w:r w:rsidRPr="00984A76">
        <w:rPr>
          <w:rFonts w:ascii="Simplified Arabic" w:hAnsi="Simplified Arabic" w:cs="Simplified Arabic"/>
          <w:sz w:val="24"/>
          <w:szCs w:val="24"/>
          <w:rtl/>
        </w:rPr>
        <w:t>وقد قررت اللجنة التنفيذية (المقرر 86/51) أنه، من أجل إتاحة الفرصة للنظر في الشرائح النهائية لخطط إدارة التخلص التدريجي من مركبات الكربون الهيدروكلورية فلورية لأي بلد مستهلك يطلب تمويلاً من أجل التخلص التدريجي الكامل من هذه المركبات، فإنه يتعين أن تقدم الحكومة المعنية وصفاً تفصيلياً للإطار التنظيمي والسياساتي المعمول به لتنفيذ التدابير التي تضمن توافق استهلاك مركبات الكربون الهيدروكلورية فلورية مع الفقرة 8 مكرراً (هـ)’1‘ من المادة 5 من بروتوكول مونتريال للفترة 2030-2040. وإذا كانت الدولة تعتزم الاستهلاك خلال الفترة 2030–2040، فيجب إجراء تعديلات على اتفاقها مع اللجنة التنفيذية الذي يغطي فترة ما بعد عام 2030. ومن المهم التأكيد على أن الأطراف التي لديها خطط لإدارة التخلص التدريجي من مركبات الكربون الهيدروكلورية فلورية بهدف التخلص التام من هذه المركبات لم يعد لديها أي استهلاك متبقي من هذه المركبات مؤهل للحصول على تمويل. وبناءً على ذلك، قد تؤثر التعديلات التي تُدخل على الاتفاقية على الأهداف دون أن تؤثر على مستويات التمويل.</w:t>
      </w:r>
    </w:p>
    <w:p w14:paraId="59C5667C" w14:textId="37CD4880" w:rsidR="00D44330" w:rsidRPr="00E07F02" w:rsidRDefault="00D44330" w:rsidP="009C3994">
      <w:pPr>
        <w:pStyle w:val="NormalNonumber"/>
        <w:bidi/>
        <w:spacing w:line="360" w:lineRule="exact"/>
        <w:ind w:left="1134"/>
        <w:jc w:val="both"/>
        <w:textDirection w:val="tbRlV"/>
        <w:rPr>
          <w:rFonts w:ascii="Simplified Arabic" w:hAnsi="Simplified Arabic" w:cs="Simplified Arabic"/>
          <w:w w:val="102"/>
          <w:sz w:val="24"/>
          <w:szCs w:val="24"/>
          <w:rtl/>
          <w:lang w:val="ar-SA" w:eastAsia="zh-TW" w:bidi="en-GB"/>
        </w:rPr>
      </w:pPr>
      <w:r w:rsidRPr="00E07F02">
        <w:rPr>
          <w:rFonts w:ascii="Simplified Arabic" w:hAnsi="Simplified Arabic" w:cs="Simplified Arabic"/>
          <w:w w:val="102"/>
          <w:sz w:val="24"/>
          <w:szCs w:val="24"/>
          <w:rtl/>
        </w:rPr>
        <w:t>وتوجه الاختصاصات التي وافقت عليها الأطراف في المقرر 37/6 فرقة العمل المعنية بتجديد الموارد بأن تستخدم</w:t>
      </w:r>
      <w:r w:rsidR="00C80F58" w:rsidRPr="00E07F02">
        <w:rPr>
          <w:rFonts w:ascii="Simplified Arabic" w:hAnsi="Simplified Arabic" w:cs="Simplified Arabic"/>
          <w:w w:val="102"/>
          <w:sz w:val="24"/>
          <w:szCs w:val="24"/>
          <w:lang w:val="en-US"/>
        </w:rPr>
        <w:t xml:space="preserve">” </w:t>
      </w:r>
      <w:r w:rsidRPr="00E07F02">
        <w:rPr>
          <w:rFonts w:ascii="Simplified Arabic" w:hAnsi="Simplified Arabic" w:cs="Simplified Arabic"/>
          <w:w w:val="102"/>
          <w:sz w:val="24"/>
          <w:szCs w:val="24"/>
          <w:rtl/>
        </w:rPr>
        <w:t>منهجية قائمة على الامتثال وموضحة بجلاء وتسترشد بخطة عمل الصندوق المتعدد الأطراف ولكنها مستقلة عنها، وتطبق مجموعة من أرقام فعالية التكلفة لقطاعات التصنيع استناداً إلى الخبرة التاريخية وليس فقط إلى عتبات فعالية التكلفة التي وافقت عليها اللجنة التنفيذية</w:t>
      </w:r>
      <w:r w:rsidR="001F77F2" w:rsidRPr="00E07F02">
        <w:rPr>
          <w:rFonts w:ascii="Simplified Arabic" w:hAnsi="Simplified Arabic" w:cs="Simplified Arabic"/>
          <w:w w:val="102"/>
          <w:sz w:val="24"/>
          <w:szCs w:val="24"/>
          <w:lang w:val="en-US"/>
        </w:rPr>
        <w:t>“</w:t>
      </w:r>
      <w:r w:rsidRPr="00E07F02">
        <w:rPr>
          <w:rFonts w:ascii="Simplified Arabic" w:hAnsi="Simplified Arabic" w:cs="Simplified Arabic"/>
          <w:w w:val="102"/>
          <w:sz w:val="24"/>
          <w:szCs w:val="24"/>
          <w:rtl/>
        </w:rPr>
        <w:t xml:space="preserve">. ورداً على ذلك، نظرت فرقة العمل المعنية بتجديد الموارد في نطاق لاحتياجات التمويل المقدرة لقطاع استهلاك مركبات الكربون الهيدروكلورية فلورية، استناداً إلى سيناريوهين لفعالية التكلفة، وهو نطاق مطبق على 15 طرفاً من غير الأطراف ذات مستويات الاستهلاك </w:t>
      </w:r>
      <w:r w:rsidRPr="00E07F02">
        <w:rPr>
          <w:rFonts w:ascii="Simplified Arabic" w:hAnsi="Simplified Arabic" w:cs="Simplified Arabic"/>
          <w:w w:val="102"/>
          <w:sz w:val="24"/>
          <w:szCs w:val="24"/>
          <w:rtl/>
        </w:rPr>
        <w:lastRenderedPageBreak/>
        <w:t>المنخفضة (بما في ذلك الطرف الأكبر استهلاكاً، وهو الصين) ولا يزال لديها استهلاك مؤهل متبقي في قطاعات التصنيع، على النحو التالي:</w:t>
      </w:r>
    </w:p>
    <w:p w14:paraId="04F98A27" w14:textId="01A6F63D" w:rsidR="00D44330" w:rsidRPr="00FE45F5" w:rsidRDefault="00D44330" w:rsidP="00FE45F5">
      <w:pPr>
        <w:pStyle w:val="NormalNonumber"/>
        <w:numPr>
          <w:ilvl w:val="0"/>
          <w:numId w:val="39"/>
        </w:numPr>
        <w:tabs>
          <w:tab w:val="clear" w:pos="624"/>
          <w:tab w:val="clear" w:pos="1247"/>
          <w:tab w:val="clear" w:pos="1871"/>
          <w:tab w:val="clear" w:pos="2495"/>
          <w:tab w:val="clear" w:pos="3119"/>
          <w:tab w:val="clear" w:pos="3742"/>
          <w:tab w:val="clear" w:pos="4366"/>
          <w:tab w:val="clear" w:pos="4990"/>
          <w:tab w:val="left" w:pos="2552"/>
        </w:tabs>
        <w:bidi/>
        <w:spacing w:line="350" w:lineRule="exact"/>
        <w:ind w:left="2552" w:hanging="709"/>
        <w:jc w:val="lowKashida"/>
        <w:textDirection w:val="tbRlV"/>
        <w:rPr>
          <w:rFonts w:ascii="Simplified Arabic" w:hAnsi="Simplified Arabic" w:cs="Simplified Arabic"/>
          <w:sz w:val="24"/>
          <w:szCs w:val="24"/>
          <w:rtl/>
          <w:lang w:bidi="en-GB"/>
        </w:rPr>
      </w:pPr>
      <w:r w:rsidRPr="00984A76">
        <w:rPr>
          <w:rFonts w:ascii="Simplified Arabic" w:hAnsi="Simplified Arabic" w:cs="Simplified Arabic"/>
          <w:b/>
          <w:bCs/>
          <w:sz w:val="24"/>
          <w:szCs w:val="24"/>
          <w:rtl/>
        </w:rPr>
        <w:t>السيناريو 1 الخاص بمركبات الكربون الهيدروكلورية فلورية</w:t>
      </w:r>
      <w:r w:rsidRPr="00984A76">
        <w:rPr>
          <w:rFonts w:ascii="Simplified Arabic" w:hAnsi="Simplified Arabic" w:cs="Simplified Arabic"/>
          <w:sz w:val="24"/>
          <w:szCs w:val="24"/>
          <w:rtl/>
        </w:rPr>
        <w:t xml:space="preserve">: تطبيق متوسط العتبات </w:t>
      </w:r>
      <w:r w:rsidRPr="00485633">
        <w:rPr>
          <w:rFonts w:ascii="Simplified Arabic" w:hAnsi="Simplified Arabic" w:cs="Simplified Arabic"/>
          <w:sz w:val="24"/>
          <w:szCs w:val="24"/>
          <w:u w:val="single"/>
          <w:rtl/>
        </w:rPr>
        <w:t>التاريخية</w:t>
      </w:r>
      <w:r w:rsidRPr="00984A76">
        <w:rPr>
          <w:rFonts w:ascii="Simplified Arabic" w:hAnsi="Simplified Arabic" w:cs="Simplified Arabic"/>
          <w:sz w:val="24"/>
          <w:szCs w:val="24"/>
          <w:rtl/>
        </w:rPr>
        <w:t xml:space="preserve"> لفعالية التكلفة في قطاعات التصنيع للبلدان بخلاف البلدان ذات حجم الاستهلاك المنخفض التي لا يزال لديها استهلاك مؤهل؛</w:t>
      </w:r>
    </w:p>
    <w:p w14:paraId="7435AB3E" w14:textId="77777777" w:rsidR="00D44330" w:rsidRPr="00984A76" w:rsidRDefault="00D44330" w:rsidP="00FE45F5">
      <w:pPr>
        <w:pStyle w:val="NormalNonumber"/>
        <w:numPr>
          <w:ilvl w:val="0"/>
          <w:numId w:val="39"/>
        </w:numPr>
        <w:tabs>
          <w:tab w:val="clear" w:pos="624"/>
          <w:tab w:val="clear" w:pos="1247"/>
          <w:tab w:val="clear" w:pos="1871"/>
          <w:tab w:val="clear" w:pos="2495"/>
          <w:tab w:val="clear" w:pos="3119"/>
          <w:tab w:val="clear" w:pos="3742"/>
          <w:tab w:val="clear" w:pos="4366"/>
          <w:tab w:val="clear" w:pos="4990"/>
          <w:tab w:val="left" w:pos="2552"/>
        </w:tabs>
        <w:bidi/>
        <w:spacing w:line="350" w:lineRule="exact"/>
        <w:ind w:left="2552" w:hanging="709"/>
        <w:jc w:val="lowKashida"/>
        <w:textDirection w:val="tbRlV"/>
        <w:rPr>
          <w:rFonts w:ascii="Simplified Arabic" w:hAnsi="Simplified Arabic" w:cs="Simplified Arabic"/>
          <w:color w:val="000000" w:themeColor="text1"/>
          <w:sz w:val="24"/>
          <w:szCs w:val="24"/>
          <w:rtl/>
          <w:lang w:val="ar-SA" w:eastAsia="zh-TW" w:bidi="en-GB"/>
        </w:rPr>
      </w:pPr>
      <w:r w:rsidRPr="00B8742A">
        <w:rPr>
          <w:rFonts w:hint="cs"/>
          <w:b/>
          <w:bCs/>
          <w:sz w:val="24"/>
          <w:szCs w:val="24"/>
          <w:rtl/>
        </w:rPr>
        <w:t>السيناريو</w:t>
      </w:r>
      <w:r w:rsidRPr="00B8742A">
        <w:rPr>
          <w:rFonts w:ascii="Simplified Arabic" w:hAnsi="Simplified Arabic" w:cs="Simplified Arabic"/>
          <w:b/>
          <w:bCs/>
          <w:sz w:val="24"/>
          <w:szCs w:val="24"/>
          <w:rtl/>
        </w:rPr>
        <w:t xml:space="preserve"> 2 </w:t>
      </w:r>
      <w:r w:rsidRPr="00B8742A">
        <w:rPr>
          <w:rFonts w:hint="cs"/>
          <w:b/>
          <w:bCs/>
          <w:sz w:val="24"/>
          <w:szCs w:val="24"/>
          <w:rtl/>
        </w:rPr>
        <w:t>الخاص</w:t>
      </w:r>
      <w:r w:rsidRPr="00B8742A">
        <w:rPr>
          <w:rFonts w:ascii="Simplified Arabic" w:hAnsi="Simplified Arabic" w:cs="Simplified Arabic"/>
          <w:b/>
          <w:bCs/>
          <w:sz w:val="24"/>
          <w:szCs w:val="24"/>
          <w:rtl/>
        </w:rPr>
        <w:t xml:space="preserve"> </w:t>
      </w:r>
      <w:r w:rsidRPr="00B8742A">
        <w:rPr>
          <w:rFonts w:hint="cs"/>
          <w:b/>
          <w:bCs/>
          <w:sz w:val="24"/>
          <w:szCs w:val="24"/>
          <w:rtl/>
        </w:rPr>
        <w:t>بمركبات</w:t>
      </w:r>
      <w:r w:rsidRPr="00B8742A">
        <w:rPr>
          <w:rFonts w:ascii="Simplified Arabic" w:hAnsi="Simplified Arabic" w:cs="Simplified Arabic"/>
          <w:b/>
          <w:bCs/>
          <w:sz w:val="24"/>
          <w:szCs w:val="24"/>
          <w:rtl/>
        </w:rPr>
        <w:t xml:space="preserve"> </w:t>
      </w:r>
      <w:r w:rsidRPr="00B8742A">
        <w:rPr>
          <w:rFonts w:hint="cs"/>
          <w:b/>
          <w:bCs/>
          <w:sz w:val="24"/>
          <w:szCs w:val="24"/>
          <w:rtl/>
        </w:rPr>
        <w:t>الكربون</w:t>
      </w:r>
      <w:r w:rsidRPr="00B8742A">
        <w:rPr>
          <w:rFonts w:ascii="Simplified Arabic" w:hAnsi="Simplified Arabic" w:cs="Simplified Arabic"/>
          <w:b/>
          <w:bCs/>
          <w:sz w:val="24"/>
          <w:szCs w:val="24"/>
          <w:rtl/>
        </w:rPr>
        <w:t xml:space="preserve"> </w:t>
      </w:r>
      <w:r w:rsidRPr="00B8742A">
        <w:rPr>
          <w:rFonts w:hint="cs"/>
          <w:b/>
          <w:bCs/>
          <w:sz w:val="24"/>
          <w:szCs w:val="24"/>
          <w:rtl/>
        </w:rPr>
        <w:t>الهيدروكلورية</w:t>
      </w:r>
      <w:r w:rsidRPr="00B8742A">
        <w:rPr>
          <w:rFonts w:ascii="Simplified Arabic" w:hAnsi="Simplified Arabic" w:cs="Simplified Arabic"/>
          <w:b/>
          <w:bCs/>
          <w:sz w:val="24"/>
          <w:szCs w:val="24"/>
          <w:rtl/>
        </w:rPr>
        <w:t xml:space="preserve"> </w:t>
      </w:r>
      <w:r w:rsidRPr="00B8742A">
        <w:rPr>
          <w:rFonts w:hint="cs"/>
          <w:b/>
          <w:bCs/>
          <w:sz w:val="24"/>
          <w:szCs w:val="24"/>
          <w:rtl/>
        </w:rPr>
        <w:t>فلورية</w:t>
      </w:r>
      <w:r w:rsidRPr="00B8742A">
        <w:rPr>
          <w:rFonts w:ascii="Simplified Arabic" w:hAnsi="Simplified Arabic" w:cs="Simplified Arabic"/>
          <w:b/>
          <w:bCs/>
          <w:sz w:val="24"/>
          <w:szCs w:val="24"/>
          <w:rtl/>
        </w:rPr>
        <w:t xml:space="preserve">: </w:t>
      </w:r>
      <w:r w:rsidRPr="00984A76">
        <w:rPr>
          <w:rFonts w:ascii="Simplified Arabic" w:hAnsi="Simplified Arabic" w:cs="Simplified Arabic"/>
          <w:sz w:val="24"/>
          <w:szCs w:val="24"/>
          <w:rtl/>
        </w:rPr>
        <w:t xml:space="preserve">تطبيق </w:t>
      </w:r>
      <w:r w:rsidRPr="00FE45F5">
        <w:rPr>
          <w:rFonts w:hint="cs"/>
          <w:sz w:val="24"/>
          <w:szCs w:val="24"/>
          <w:rtl/>
        </w:rPr>
        <w:t>فعالية</w:t>
      </w:r>
      <w:r w:rsidRPr="00FE45F5">
        <w:rPr>
          <w:rFonts w:ascii="Simplified Arabic" w:hAnsi="Simplified Arabic" w:cs="Simplified Arabic"/>
          <w:sz w:val="24"/>
          <w:szCs w:val="24"/>
          <w:rtl/>
        </w:rPr>
        <w:t xml:space="preserve"> </w:t>
      </w:r>
      <w:r w:rsidRPr="00FE45F5">
        <w:rPr>
          <w:rFonts w:hint="cs"/>
          <w:sz w:val="24"/>
          <w:szCs w:val="24"/>
          <w:rtl/>
        </w:rPr>
        <w:t>التكلفة</w:t>
      </w:r>
      <w:r w:rsidRPr="00FE45F5">
        <w:rPr>
          <w:rFonts w:ascii="Simplified Arabic" w:hAnsi="Simplified Arabic" w:cs="Simplified Arabic"/>
          <w:sz w:val="24"/>
          <w:szCs w:val="24"/>
          <w:rtl/>
        </w:rPr>
        <w:t xml:space="preserve"> </w:t>
      </w:r>
      <w:r w:rsidRPr="00FE45F5">
        <w:rPr>
          <w:rFonts w:hint="cs"/>
          <w:sz w:val="24"/>
          <w:szCs w:val="24"/>
          <w:rtl/>
        </w:rPr>
        <w:t>في</w:t>
      </w:r>
      <w:r w:rsidRPr="00FE45F5">
        <w:rPr>
          <w:rFonts w:ascii="Simplified Arabic" w:hAnsi="Simplified Arabic" w:cs="Simplified Arabic"/>
          <w:sz w:val="24"/>
          <w:szCs w:val="24"/>
          <w:rtl/>
        </w:rPr>
        <w:t xml:space="preserve"> </w:t>
      </w:r>
      <w:r w:rsidRPr="00FE45F5">
        <w:rPr>
          <w:rFonts w:hint="cs"/>
          <w:sz w:val="24"/>
          <w:szCs w:val="24"/>
          <w:rtl/>
        </w:rPr>
        <w:t>المبادئ</w:t>
      </w:r>
      <w:r w:rsidRPr="00FE45F5">
        <w:rPr>
          <w:rFonts w:ascii="Simplified Arabic" w:hAnsi="Simplified Arabic" w:cs="Simplified Arabic"/>
          <w:sz w:val="24"/>
          <w:szCs w:val="24"/>
          <w:rtl/>
        </w:rPr>
        <w:t xml:space="preserve"> </w:t>
      </w:r>
      <w:r w:rsidRPr="00FE45F5">
        <w:rPr>
          <w:rFonts w:hint="cs"/>
          <w:sz w:val="24"/>
          <w:szCs w:val="24"/>
          <w:rtl/>
        </w:rPr>
        <w:t>التوجيهية</w:t>
      </w:r>
      <w:r w:rsidRPr="00FE45F5">
        <w:rPr>
          <w:rFonts w:ascii="Simplified Arabic" w:hAnsi="Simplified Arabic" w:cs="Simplified Arabic"/>
          <w:sz w:val="24"/>
          <w:szCs w:val="24"/>
          <w:rtl/>
        </w:rPr>
        <w:t xml:space="preserve"> </w:t>
      </w:r>
      <w:r w:rsidRPr="00FE45F5">
        <w:rPr>
          <w:rFonts w:hint="cs"/>
          <w:sz w:val="24"/>
          <w:szCs w:val="24"/>
          <w:rtl/>
        </w:rPr>
        <w:t>بشأن</w:t>
      </w:r>
      <w:r w:rsidRPr="00FE45F5">
        <w:rPr>
          <w:rFonts w:ascii="Simplified Arabic" w:hAnsi="Simplified Arabic" w:cs="Simplified Arabic"/>
          <w:sz w:val="24"/>
          <w:szCs w:val="24"/>
          <w:rtl/>
        </w:rPr>
        <w:t xml:space="preserve"> </w:t>
      </w:r>
      <w:r w:rsidRPr="00FE45F5">
        <w:rPr>
          <w:rFonts w:hint="cs"/>
          <w:sz w:val="24"/>
          <w:szCs w:val="24"/>
          <w:rtl/>
        </w:rPr>
        <w:t>التكاليف</w:t>
      </w:r>
      <w:r w:rsidRPr="00984A76">
        <w:rPr>
          <w:rFonts w:ascii="Simplified Arabic" w:hAnsi="Simplified Arabic" w:cs="Simplified Arabic"/>
          <w:sz w:val="24"/>
          <w:szCs w:val="24"/>
          <w:rtl/>
        </w:rPr>
        <w:t xml:space="preserve"> في قطاعات التصنيع للبلدان بخلاف البلدان ذات حجم الاستهلاك المنخفض التي لا يزال لديها استهلاك مؤهل.</w:t>
      </w:r>
    </w:p>
    <w:p w14:paraId="49F768C0" w14:textId="0945C7D5" w:rsidR="00D44330" w:rsidRPr="00984A76" w:rsidRDefault="00D44330" w:rsidP="00984A76">
      <w:pPr>
        <w:pStyle w:val="NormalNonumber"/>
        <w:bidi/>
        <w:spacing w:line="360" w:lineRule="exact"/>
        <w:ind w:left="1134"/>
        <w:jc w:val="both"/>
        <w:textDirection w:val="tbRlV"/>
        <w:rPr>
          <w:rFonts w:ascii="Simplified Arabic" w:hAnsi="Simplified Arabic" w:cs="Simplified Arabic"/>
          <w:sz w:val="24"/>
          <w:szCs w:val="24"/>
          <w:rtl/>
          <w:lang w:val="ar-SA" w:eastAsia="zh-TW" w:bidi="en-GB"/>
        </w:rPr>
      </w:pPr>
      <w:r w:rsidRPr="00984A76">
        <w:rPr>
          <w:rFonts w:ascii="Simplified Arabic" w:hAnsi="Simplified Arabic" w:cs="Simplified Arabic"/>
          <w:sz w:val="24"/>
          <w:szCs w:val="24"/>
          <w:rtl/>
        </w:rPr>
        <w:t>وعند حساب التمويل، طبقت فرقة العمل المعنية بتجديد الموارد خصمًا بنسبة 15</w:t>
      </w:r>
      <w:r w:rsidR="007758E0" w:rsidRPr="00984A76">
        <w:rPr>
          <w:rFonts w:ascii="Simplified Arabic" w:hAnsi="Simplified Arabic" w:cs="Simplified Arabic"/>
          <w:sz w:val="24"/>
          <w:szCs w:val="24"/>
          <w:rtl/>
        </w:rPr>
        <w:t>٪</w:t>
      </w:r>
      <w:r w:rsidRPr="00984A76">
        <w:rPr>
          <w:rFonts w:ascii="Simplified Arabic" w:hAnsi="Simplified Arabic" w:cs="Simplified Arabic"/>
          <w:sz w:val="24"/>
          <w:szCs w:val="24"/>
          <w:rtl/>
        </w:rPr>
        <w:t xml:space="preserve"> على قطاعات التصنيع لمراعاة احتمال وجود ملكية أجنبية غير مؤهلة للشركات. </w:t>
      </w:r>
    </w:p>
    <w:p w14:paraId="337A7813" w14:textId="77777777" w:rsidR="00D44330" w:rsidRPr="00984A76" w:rsidRDefault="00D44330" w:rsidP="00984A76">
      <w:pPr>
        <w:pStyle w:val="NormalNonumber"/>
        <w:bidi/>
        <w:spacing w:line="360" w:lineRule="exact"/>
        <w:ind w:left="1134"/>
        <w:jc w:val="both"/>
        <w:textDirection w:val="tbRlV"/>
        <w:rPr>
          <w:rFonts w:ascii="Simplified Arabic" w:hAnsi="Simplified Arabic" w:cs="Simplified Arabic"/>
          <w:sz w:val="24"/>
          <w:szCs w:val="24"/>
          <w:rtl/>
          <w:lang w:val="ar-SA" w:eastAsia="zh-TW" w:bidi="en-GB"/>
        </w:rPr>
      </w:pPr>
      <w:r w:rsidRPr="00984A76">
        <w:rPr>
          <w:rFonts w:ascii="Simplified Arabic" w:hAnsi="Simplified Arabic" w:cs="Simplified Arabic"/>
          <w:sz w:val="24"/>
          <w:szCs w:val="24"/>
          <w:rtl/>
        </w:rPr>
        <w:t>ونظرت الفرقة في الخيارات المتعلقة بسيناريوهي نطاق التمويل في إطار اختصاصاتها، بما في ذلك مسألة ما إذا كان ينبغي تطبيق أحدث أنواع فعالية التكلفة المعتمدة للطرف الذي يسجل أعلى استهلاك لمركبات الكربون الهيدروكلورية فلورية، إلا أنها ستحتاج إلى توجيهات من الأطراف بشأن تطبيق هذا النهج أو نُهج أخرى قد تؤدي إلى تغيير كبير في نطاق التمويل.</w:t>
      </w:r>
    </w:p>
    <w:p w14:paraId="7C5D4112" w14:textId="16D698E1" w:rsidR="00D44330" w:rsidRPr="00984A76" w:rsidRDefault="00D44330" w:rsidP="003A7106">
      <w:pPr>
        <w:pStyle w:val="NormalNonumber"/>
        <w:bidi/>
        <w:spacing w:line="360" w:lineRule="exact"/>
        <w:ind w:left="1134"/>
        <w:jc w:val="lowKashida"/>
        <w:textDirection w:val="tbRlV"/>
        <w:rPr>
          <w:rFonts w:ascii="Simplified Arabic" w:hAnsi="Simplified Arabic" w:cs="Simplified Arabic"/>
          <w:sz w:val="24"/>
          <w:szCs w:val="24"/>
          <w:rtl/>
          <w:lang w:val="ar-SA" w:eastAsia="zh-TW" w:bidi="en-GB"/>
        </w:rPr>
      </w:pPr>
      <w:r w:rsidRPr="00984A76">
        <w:rPr>
          <w:rFonts w:ascii="Simplified Arabic" w:hAnsi="Simplified Arabic" w:cs="Simplified Arabic"/>
          <w:sz w:val="24"/>
          <w:szCs w:val="24"/>
          <w:rtl/>
        </w:rPr>
        <w:t xml:space="preserve">وقد رأت الفرقة أن التخلص التدريجي الكامل سيتم بحلول عام 2030، مع الاستفادة من العلاوات الاستثنائية بموجب بروتوكول مونتريال، كما وُصف سابقًا، فيما يتعلق بالصيانة اللاحقة. وقد طلب مقرر اللجنة التنفيذية 62/17 </w:t>
      </w:r>
      <w:r w:rsidR="00223388" w:rsidRPr="00984A76">
        <w:rPr>
          <w:rFonts w:ascii="Simplified Arabic" w:hAnsi="Simplified Arabic" w:cs="Simplified Arabic"/>
          <w:sz w:val="24"/>
          <w:szCs w:val="24"/>
          <w:rtl/>
        </w:rPr>
        <w:t>”</w:t>
      </w:r>
      <w:r w:rsidRPr="00984A76">
        <w:rPr>
          <w:rFonts w:ascii="Simplified Arabic" w:hAnsi="Simplified Arabic" w:cs="Simplified Arabic"/>
          <w:sz w:val="24"/>
          <w:szCs w:val="24"/>
          <w:rtl/>
        </w:rPr>
        <w:t>من الاتفاقات الثنائية والوكالات المنفذة، عند إعداد خطط إدارة التخلص التدريجي من مركبات الكربون الهيدروكلورية فلورية المتعددة السنوات، ضمان أن تشكل الشريحة الأخيرة نسبة 10</w:t>
      </w:r>
      <w:r w:rsidR="00C23FAC" w:rsidRPr="00984A76">
        <w:rPr>
          <w:rFonts w:ascii="Simplified Arabic" w:hAnsi="Simplified Arabic" w:cs="Simplified Arabic"/>
          <w:sz w:val="24"/>
          <w:szCs w:val="24"/>
          <w:rtl/>
        </w:rPr>
        <w:t>٪</w:t>
      </w:r>
      <w:r w:rsidRPr="00984A76">
        <w:rPr>
          <w:rFonts w:ascii="Simplified Arabic" w:hAnsi="Simplified Arabic" w:cs="Simplified Arabic"/>
          <w:sz w:val="24"/>
          <w:szCs w:val="24"/>
          <w:rtl/>
        </w:rPr>
        <w:t xml:space="preserve"> من إجمالي التمويل المخصص لقطاع صيانة أجهزة التبريد في الاتفاقية، وأن يتم تحديد موعد صرفها في السنة الأخيرة من الخطة</w:t>
      </w:r>
      <w:r w:rsidR="00223388">
        <w:rPr>
          <w:rFonts w:ascii="Simplified Arabic" w:hAnsi="Simplified Arabic" w:cs="Simplified Arabic"/>
          <w:sz w:val="24"/>
          <w:szCs w:val="24"/>
          <w:lang w:val="en-US"/>
        </w:rPr>
        <w:t>“</w:t>
      </w:r>
      <w:r w:rsidRPr="00984A76">
        <w:rPr>
          <w:rFonts w:ascii="Simplified Arabic" w:hAnsi="Simplified Arabic" w:cs="Simplified Arabic"/>
          <w:sz w:val="24"/>
          <w:szCs w:val="24"/>
          <w:rtl/>
        </w:rPr>
        <w:t>. وترى الفرقة أن الشريحة الأخيرة من خطط إدارة التخلص التدريجي من مركبات الكربون الهيدروكلورية فلورية ستُنفذ في عام 2030؛ وبالتالي، فإن 90</w:t>
      </w:r>
      <w:r w:rsidR="00C23FAC" w:rsidRPr="00984A76">
        <w:rPr>
          <w:rFonts w:ascii="Simplified Arabic" w:hAnsi="Simplified Arabic" w:cs="Simplified Arabic"/>
          <w:sz w:val="24"/>
          <w:szCs w:val="24"/>
          <w:rtl/>
        </w:rPr>
        <w:t>٪</w:t>
      </w:r>
      <w:r w:rsidRPr="00984A76">
        <w:rPr>
          <w:rFonts w:ascii="Simplified Arabic" w:hAnsi="Simplified Arabic" w:cs="Simplified Arabic"/>
          <w:sz w:val="24"/>
          <w:szCs w:val="24"/>
          <w:rtl/>
        </w:rPr>
        <w:t xml:space="preserve"> من إجمالي الموارد المخصصة للتخلص التدريجي ستُخصص لفترة السنوات الثلاث 2027-2029، بينما ستُخصص نسبة الـ10</w:t>
      </w:r>
      <w:r w:rsidR="00C23FAC" w:rsidRPr="00984A76">
        <w:rPr>
          <w:rFonts w:ascii="Simplified Arabic" w:hAnsi="Simplified Arabic" w:cs="Simplified Arabic"/>
          <w:sz w:val="24"/>
          <w:szCs w:val="24"/>
          <w:rtl/>
        </w:rPr>
        <w:t>٪</w:t>
      </w:r>
      <w:r w:rsidRPr="00984A76">
        <w:rPr>
          <w:rFonts w:ascii="Simplified Arabic" w:hAnsi="Simplified Arabic" w:cs="Simplified Arabic"/>
          <w:sz w:val="24"/>
          <w:szCs w:val="24"/>
          <w:rtl/>
        </w:rPr>
        <w:t xml:space="preserve"> الخاصة بالشريحة الأخيرة لفترة السنوات الثلاث التالية 2030-2032، وفقًا لما ينص عليه المقرر 62/17 الصادر عن اللجنة التنفيذية.</w:t>
      </w:r>
    </w:p>
    <w:p w14:paraId="20965D61" w14:textId="632BF1CC" w:rsidR="00D44330" w:rsidRPr="00087C24" w:rsidRDefault="00D44330" w:rsidP="00984A76">
      <w:pPr>
        <w:pStyle w:val="CH3"/>
        <w:bidi/>
        <w:spacing w:before="0" w:line="360" w:lineRule="exact"/>
        <w:ind w:left="1134" w:right="0" w:firstLine="0"/>
        <w:jc w:val="both"/>
        <w:textDirection w:val="tbRlV"/>
        <w:rPr>
          <w:rFonts w:ascii="Simplified Arabic" w:hAnsi="Simplified Arabic" w:cs="Simplified Arabic"/>
          <w:b w:val="0"/>
          <w:bCs/>
          <w:i/>
          <w:iCs/>
          <w:sz w:val="24"/>
          <w:szCs w:val="24"/>
          <w:lang w:val="en-GB" w:eastAsia="zh-TW" w:bidi="en-GB"/>
        </w:rPr>
      </w:pPr>
      <w:r w:rsidRPr="00984A76">
        <w:rPr>
          <w:rFonts w:ascii="Simplified Arabic" w:hAnsi="Simplified Arabic" w:cs="Simplified Arabic"/>
          <w:bCs/>
          <w:i/>
          <w:iCs/>
          <w:sz w:val="24"/>
          <w:szCs w:val="24"/>
          <w:rtl/>
        </w:rPr>
        <w:t>قطاع الإنتاج</w:t>
      </w:r>
    </w:p>
    <w:p w14:paraId="4389263C" w14:textId="47F5DA78" w:rsidR="00D44330" w:rsidRPr="00984A76" w:rsidRDefault="00D44330" w:rsidP="00984A76">
      <w:pPr>
        <w:pStyle w:val="NormalNonumber"/>
        <w:bidi/>
        <w:spacing w:line="360" w:lineRule="exact"/>
        <w:ind w:left="1134"/>
        <w:jc w:val="both"/>
        <w:textDirection w:val="tbRlV"/>
        <w:rPr>
          <w:rFonts w:ascii="Simplified Arabic" w:hAnsi="Simplified Arabic" w:cs="Simplified Arabic"/>
          <w:sz w:val="24"/>
          <w:szCs w:val="24"/>
          <w:rtl/>
          <w:lang w:val="ar-SA" w:eastAsia="zh-TW" w:bidi="en-GB"/>
        </w:rPr>
      </w:pPr>
      <w:r w:rsidRPr="00984A76">
        <w:rPr>
          <w:rFonts w:ascii="Simplified Arabic" w:hAnsi="Simplified Arabic" w:cs="Simplified Arabic"/>
          <w:sz w:val="24"/>
          <w:szCs w:val="24"/>
          <w:rtl/>
        </w:rPr>
        <w:t xml:space="preserve">يقل إجمالي إنتاج مركبات الكربون الهيدروكلورية فلورية بكثير عن خط الأساس الإجمالي للإنتاج. ولم يُدرج سوى مشروع واحد في قطاع الإنتاج (الصين، المرحلة الثالثة من خطة إدارة التخلص التدريجي من إنتاج مركبات الكربون الهيدروكلورية فلورية) في </w:t>
      </w:r>
      <w:r w:rsidR="00223388" w:rsidRPr="00984A76">
        <w:rPr>
          <w:rFonts w:ascii="Simplified Arabic" w:hAnsi="Simplified Arabic" w:cs="Simplified Arabic"/>
          <w:sz w:val="24"/>
          <w:szCs w:val="24"/>
          <w:rtl/>
        </w:rPr>
        <w:t>”</w:t>
      </w:r>
      <w:r w:rsidRPr="00984A76">
        <w:rPr>
          <w:rFonts w:ascii="Simplified Arabic" w:hAnsi="Simplified Arabic" w:cs="Simplified Arabic"/>
          <w:sz w:val="24"/>
          <w:szCs w:val="24"/>
          <w:rtl/>
        </w:rPr>
        <w:t>خطة العمل الموحدة للصندوق المتعدد الأطراف للفترة 2026-2028</w:t>
      </w:r>
      <w:r w:rsidR="00625119">
        <w:rPr>
          <w:rFonts w:ascii="Simplified Arabic" w:hAnsi="Simplified Arabic" w:cs="Simplified Arabic"/>
          <w:sz w:val="24"/>
          <w:szCs w:val="24"/>
          <w:lang w:val="en-US"/>
        </w:rPr>
        <w:t>“</w:t>
      </w:r>
      <w:r w:rsidRPr="00984A76">
        <w:rPr>
          <w:rFonts w:ascii="Simplified Arabic" w:hAnsi="Simplified Arabic" w:cs="Simplified Arabic"/>
          <w:sz w:val="24"/>
          <w:szCs w:val="24"/>
          <w:rtl/>
        </w:rPr>
        <w:t>، وسيتطلب هذا المشروع تمويلاً خلال فترة السنوات الثلاث 2027-2029.</w:t>
      </w:r>
    </w:p>
    <w:p w14:paraId="7F8C9705" w14:textId="64886902" w:rsidR="00D44330" w:rsidRPr="00984A76" w:rsidRDefault="00D44330" w:rsidP="00984A76">
      <w:pPr>
        <w:pStyle w:val="CH2"/>
        <w:bidi/>
        <w:spacing w:before="0" w:line="360" w:lineRule="exact"/>
        <w:ind w:left="1134" w:right="0" w:firstLine="0"/>
        <w:jc w:val="both"/>
        <w:textDirection w:val="tbRlV"/>
        <w:rPr>
          <w:rFonts w:ascii="Simplified Arabic" w:hAnsi="Simplified Arabic" w:cs="Simplified Arabic"/>
          <w:rtl/>
          <w:lang w:val="ar-SA" w:eastAsia="zh-TW" w:bidi="en-GB"/>
        </w:rPr>
      </w:pPr>
      <w:r w:rsidRPr="00984A76">
        <w:rPr>
          <w:rFonts w:ascii="Simplified Arabic" w:hAnsi="Simplified Arabic" w:cs="Simplified Arabic"/>
          <w:bCs/>
          <w:rtl/>
        </w:rPr>
        <w:t>ملخص تقديرات التمويل اللازمة للتخلص التدريجي من مركبات الكربون الهيدروكلورية فلورية في قطاعي الاستهلاك والإنتاج</w:t>
      </w:r>
    </w:p>
    <w:p w14:paraId="011A42EC" w14:textId="77777777" w:rsidR="00FD5520" w:rsidRDefault="00D44330" w:rsidP="002B507B">
      <w:pPr>
        <w:pStyle w:val="NormalNonumber"/>
        <w:bidi/>
        <w:spacing w:line="360" w:lineRule="exact"/>
        <w:ind w:left="1134"/>
        <w:jc w:val="lowKashida"/>
        <w:textDirection w:val="tbRlV"/>
        <w:rPr>
          <w:rFonts w:ascii="Simplified Arabic" w:hAnsi="Simplified Arabic" w:cs="Simplified Arabic"/>
          <w:w w:val="96"/>
          <w:sz w:val="24"/>
          <w:szCs w:val="24"/>
          <w:lang w:val="en-US"/>
        </w:rPr>
      </w:pPr>
      <w:r w:rsidRPr="002B507B">
        <w:rPr>
          <w:rFonts w:ascii="Simplified Arabic" w:hAnsi="Simplified Arabic" w:cs="Simplified Arabic"/>
          <w:w w:val="96"/>
          <w:sz w:val="24"/>
          <w:szCs w:val="24"/>
          <w:rtl/>
        </w:rPr>
        <w:t xml:space="preserve">يرد أدناه وفي الجدول م ت-2 ملخص للنطاق التقديري الإجمالي لاحتياجات التمويل لفترة السنوات الثلاث </w:t>
      </w:r>
      <w:r w:rsidR="002B507B" w:rsidRPr="00087C24">
        <w:rPr>
          <w:rFonts w:ascii="Simplified Arabic" w:hAnsi="Simplified Arabic" w:cs="Simplified Arabic"/>
          <w:w w:val="96"/>
          <w:sz w:val="24"/>
          <w:szCs w:val="24"/>
          <w:lang w:val="en-GB"/>
        </w:rPr>
        <w:br/>
      </w:r>
      <w:r w:rsidRPr="002B507B">
        <w:rPr>
          <w:rFonts w:ascii="Simplified Arabic" w:hAnsi="Simplified Arabic" w:cs="Simplified Arabic"/>
          <w:w w:val="96"/>
          <w:sz w:val="24"/>
          <w:szCs w:val="24"/>
          <w:rtl/>
        </w:rPr>
        <w:t xml:space="preserve">2027-2029 وفترة السنوات الثلاث 2030-2032 لقطاعي استهلاك وإنتاج مركبات الكربون الهيدروكلورية </w:t>
      </w:r>
    </w:p>
    <w:p w14:paraId="4F8AA91B" w14:textId="5C88A477" w:rsidR="00D44330" w:rsidRPr="002B507B" w:rsidRDefault="00D44330" w:rsidP="00FD5520">
      <w:pPr>
        <w:pStyle w:val="NormalNonumber"/>
        <w:bidi/>
        <w:spacing w:line="360" w:lineRule="exact"/>
        <w:ind w:left="1134"/>
        <w:jc w:val="lowKashida"/>
        <w:textDirection w:val="tbRlV"/>
        <w:rPr>
          <w:rFonts w:ascii="Simplified Arabic" w:hAnsi="Simplified Arabic" w:cs="Simplified Arabic"/>
          <w:w w:val="96"/>
          <w:sz w:val="24"/>
          <w:szCs w:val="24"/>
          <w:rtl/>
          <w:lang w:val="ar-SA" w:eastAsia="zh-TW" w:bidi="en-GB"/>
        </w:rPr>
      </w:pPr>
      <w:r w:rsidRPr="002B507B">
        <w:rPr>
          <w:rFonts w:ascii="Simplified Arabic" w:hAnsi="Simplified Arabic" w:cs="Simplified Arabic"/>
          <w:w w:val="96"/>
          <w:sz w:val="24"/>
          <w:szCs w:val="24"/>
          <w:rtl/>
        </w:rPr>
        <w:t>فلورية:</w:t>
      </w:r>
    </w:p>
    <w:p w14:paraId="15864841" w14:textId="55A97C44" w:rsidR="00D44330" w:rsidRPr="00FE45F5" w:rsidRDefault="00D44330" w:rsidP="00FE45F5">
      <w:pPr>
        <w:pStyle w:val="NormalNonumber"/>
        <w:numPr>
          <w:ilvl w:val="0"/>
          <w:numId w:val="39"/>
        </w:numPr>
        <w:tabs>
          <w:tab w:val="clear" w:pos="624"/>
          <w:tab w:val="clear" w:pos="1247"/>
          <w:tab w:val="clear" w:pos="1871"/>
          <w:tab w:val="clear" w:pos="2495"/>
          <w:tab w:val="clear" w:pos="3119"/>
          <w:tab w:val="clear" w:pos="3742"/>
          <w:tab w:val="clear" w:pos="4366"/>
          <w:tab w:val="clear" w:pos="4990"/>
          <w:tab w:val="left" w:pos="2552"/>
        </w:tabs>
        <w:bidi/>
        <w:spacing w:line="350" w:lineRule="exact"/>
        <w:ind w:left="2552" w:hanging="709"/>
        <w:jc w:val="lowKashida"/>
        <w:textDirection w:val="tbRlV"/>
        <w:rPr>
          <w:rFonts w:ascii="Simplified Arabic" w:hAnsi="Simplified Arabic" w:cs="Simplified Arabic"/>
          <w:sz w:val="24"/>
          <w:szCs w:val="24"/>
          <w:rtl/>
          <w:lang w:bidi="en-GB"/>
        </w:rPr>
      </w:pPr>
      <w:r w:rsidRPr="00984A76">
        <w:rPr>
          <w:rFonts w:ascii="Simplified Arabic" w:hAnsi="Simplified Arabic" w:cs="Simplified Arabic"/>
          <w:b/>
          <w:bCs/>
          <w:sz w:val="24"/>
          <w:szCs w:val="24"/>
          <w:rtl/>
        </w:rPr>
        <w:t>202</w:t>
      </w:r>
      <w:r w:rsidR="003A7106">
        <w:rPr>
          <w:rFonts w:ascii="Simplified Arabic" w:hAnsi="Simplified Arabic" w:cs="Simplified Arabic" w:hint="cs"/>
          <w:b/>
          <w:bCs/>
          <w:sz w:val="24"/>
          <w:szCs w:val="24"/>
          <w:rtl/>
        </w:rPr>
        <w:t>7</w:t>
      </w:r>
      <w:r w:rsidRPr="00984A76">
        <w:rPr>
          <w:rFonts w:ascii="Simplified Arabic" w:hAnsi="Simplified Arabic" w:cs="Simplified Arabic"/>
          <w:b/>
          <w:bCs/>
          <w:sz w:val="24"/>
          <w:szCs w:val="24"/>
          <w:rtl/>
        </w:rPr>
        <w:t>-202</w:t>
      </w:r>
      <w:r w:rsidR="00DF0A46">
        <w:rPr>
          <w:rFonts w:ascii="Simplified Arabic" w:hAnsi="Simplified Arabic" w:cs="Simplified Arabic" w:hint="cs"/>
          <w:b/>
          <w:bCs/>
          <w:sz w:val="24"/>
          <w:szCs w:val="24"/>
          <w:rtl/>
        </w:rPr>
        <w:t>9</w:t>
      </w:r>
      <w:r w:rsidRPr="00984A76">
        <w:rPr>
          <w:rFonts w:ascii="Simplified Arabic" w:hAnsi="Simplified Arabic" w:cs="Simplified Arabic"/>
          <w:b/>
          <w:bCs/>
          <w:sz w:val="24"/>
          <w:szCs w:val="24"/>
          <w:rtl/>
        </w:rPr>
        <w:t xml:space="preserve">: من 451 مليون دولار من دولارات الولايات المتحدة إلى 573 مليون دولار </w:t>
      </w:r>
      <w:r w:rsidRPr="00FE45F5">
        <w:rPr>
          <w:rFonts w:hint="cs"/>
          <w:sz w:val="24"/>
          <w:szCs w:val="24"/>
          <w:rtl/>
        </w:rPr>
        <w:t>من</w:t>
      </w:r>
      <w:r w:rsidRPr="00FE45F5">
        <w:rPr>
          <w:rFonts w:ascii="Simplified Arabic" w:hAnsi="Simplified Arabic" w:cs="Simplified Arabic"/>
          <w:sz w:val="24"/>
          <w:szCs w:val="24"/>
          <w:rtl/>
        </w:rPr>
        <w:t xml:space="preserve"> </w:t>
      </w:r>
      <w:r w:rsidRPr="00FE45F5">
        <w:rPr>
          <w:rFonts w:hint="cs"/>
          <w:sz w:val="24"/>
          <w:szCs w:val="24"/>
          <w:rtl/>
        </w:rPr>
        <w:t>دولارات</w:t>
      </w:r>
      <w:r w:rsidRPr="00FE45F5">
        <w:rPr>
          <w:rFonts w:ascii="Simplified Arabic" w:hAnsi="Simplified Arabic" w:cs="Simplified Arabic"/>
          <w:sz w:val="24"/>
          <w:szCs w:val="24"/>
          <w:rtl/>
        </w:rPr>
        <w:t xml:space="preserve"> </w:t>
      </w:r>
      <w:r w:rsidRPr="00FE45F5">
        <w:rPr>
          <w:rFonts w:hint="cs"/>
          <w:sz w:val="24"/>
          <w:szCs w:val="24"/>
          <w:rtl/>
        </w:rPr>
        <w:t>الولايات</w:t>
      </w:r>
      <w:r w:rsidRPr="00FE45F5">
        <w:rPr>
          <w:rFonts w:ascii="Simplified Arabic" w:hAnsi="Simplified Arabic" w:cs="Simplified Arabic"/>
          <w:sz w:val="24"/>
          <w:szCs w:val="24"/>
          <w:rtl/>
        </w:rPr>
        <w:t xml:space="preserve"> </w:t>
      </w:r>
      <w:r w:rsidRPr="00FE45F5">
        <w:rPr>
          <w:rFonts w:hint="cs"/>
          <w:sz w:val="24"/>
          <w:szCs w:val="24"/>
          <w:rtl/>
        </w:rPr>
        <w:t>المتحدة</w:t>
      </w:r>
    </w:p>
    <w:p w14:paraId="5B8E981D" w14:textId="02ED0057" w:rsidR="00D44330" w:rsidRPr="00984A76" w:rsidRDefault="00D44330" w:rsidP="00FE45F5">
      <w:pPr>
        <w:pStyle w:val="NormalNonumber"/>
        <w:numPr>
          <w:ilvl w:val="0"/>
          <w:numId w:val="39"/>
        </w:numPr>
        <w:tabs>
          <w:tab w:val="clear" w:pos="624"/>
          <w:tab w:val="clear" w:pos="1247"/>
          <w:tab w:val="clear" w:pos="1871"/>
          <w:tab w:val="clear" w:pos="2495"/>
          <w:tab w:val="clear" w:pos="3119"/>
          <w:tab w:val="clear" w:pos="3742"/>
          <w:tab w:val="clear" w:pos="4366"/>
          <w:tab w:val="clear" w:pos="4990"/>
          <w:tab w:val="left" w:pos="2552"/>
        </w:tabs>
        <w:bidi/>
        <w:spacing w:line="350" w:lineRule="exact"/>
        <w:ind w:left="2552" w:hanging="709"/>
        <w:jc w:val="lowKashida"/>
        <w:textDirection w:val="tbRlV"/>
        <w:rPr>
          <w:rFonts w:ascii="Simplified Arabic" w:hAnsi="Simplified Arabic" w:cs="Simplified Arabic"/>
          <w:sz w:val="24"/>
          <w:szCs w:val="24"/>
          <w:rtl/>
          <w:lang w:val="ar-SA" w:eastAsia="zh-TW" w:bidi="en-GB"/>
        </w:rPr>
      </w:pPr>
      <w:r w:rsidRPr="00FE45F5">
        <w:rPr>
          <w:rFonts w:ascii="Simplified Arabic" w:hAnsi="Simplified Arabic" w:cs="Simplified Arabic"/>
          <w:sz w:val="24"/>
          <w:szCs w:val="24"/>
          <w:rtl/>
        </w:rPr>
        <w:lastRenderedPageBreak/>
        <w:t>203</w:t>
      </w:r>
      <w:r w:rsidR="00DF0A46" w:rsidRPr="00FE45F5">
        <w:rPr>
          <w:rFonts w:ascii="Simplified Arabic" w:hAnsi="Simplified Arabic" w:cs="Simplified Arabic" w:hint="cs"/>
          <w:sz w:val="24"/>
          <w:szCs w:val="24"/>
          <w:rtl/>
        </w:rPr>
        <w:t>0</w:t>
      </w:r>
      <w:r w:rsidRPr="00FE45F5">
        <w:rPr>
          <w:rFonts w:ascii="Simplified Arabic" w:hAnsi="Simplified Arabic" w:cs="Simplified Arabic"/>
          <w:sz w:val="24"/>
          <w:szCs w:val="24"/>
          <w:rtl/>
        </w:rPr>
        <w:t>-203</w:t>
      </w:r>
      <w:r w:rsidR="00DF0A46" w:rsidRPr="00FE45F5">
        <w:rPr>
          <w:rFonts w:ascii="Simplified Arabic" w:hAnsi="Simplified Arabic" w:cs="Simplified Arabic" w:hint="cs"/>
          <w:sz w:val="24"/>
          <w:szCs w:val="24"/>
          <w:rtl/>
        </w:rPr>
        <w:t>2</w:t>
      </w:r>
      <w:r w:rsidRPr="00FE45F5">
        <w:rPr>
          <w:rFonts w:ascii="Simplified Arabic" w:hAnsi="Simplified Arabic" w:cs="Simplified Arabic"/>
          <w:sz w:val="24"/>
          <w:szCs w:val="24"/>
          <w:rtl/>
        </w:rPr>
        <w:t xml:space="preserve">: </w:t>
      </w:r>
      <w:r w:rsidRPr="00FE45F5">
        <w:rPr>
          <w:rFonts w:hint="cs"/>
          <w:sz w:val="24"/>
          <w:szCs w:val="24"/>
          <w:rtl/>
        </w:rPr>
        <w:t>من</w:t>
      </w:r>
      <w:r w:rsidRPr="00FE45F5">
        <w:rPr>
          <w:rFonts w:ascii="Simplified Arabic" w:hAnsi="Simplified Arabic" w:cs="Simplified Arabic"/>
          <w:sz w:val="24"/>
          <w:szCs w:val="24"/>
          <w:rtl/>
        </w:rPr>
        <w:t xml:space="preserve"> 83 </w:t>
      </w:r>
      <w:r w:rsidRPr="00FE45F5">
        <w:rPr>
          <w:rFonts w:hint="cs"/>
          <w:sz w:val="24"/>
          <w:szCs w:val="24"/>
          <w:rtl/>
        </w:rPr>
        <w:t>مليون</w:t>
      </w:r>
      <w:r w:rsidRPr="00FE45F5">
        <w:rPr>
          <w:rFonts w:ascii="Simplified Arabic" w:hAnsi="Simplified Arabic" w:cs="Simplified Arabic"/>
          <w:sz w:val="24"/>
          <w:szCs w:val="24"/>
          <w:rtl/>
        </w:rPr>
        <w:t xml:space="preserve"> </w:t>
      </w:r>
      <w:r w:rsidRPr="00FE45F5">
        <w:rPr>
          <w:rFonts w:hint="cs"/>
          <w:sz w:val="24"/>
          <w:szCs w:val="24"/>
          <w:rtl/>
        </w:rPr>
        <w:t>دولار</w:t>
      </w:r>
      <w:r w:rsidRPr="00FE45F5">
        <w:rPr>
          <w:rFonts w:ascii="Simplified Arabic" w:hAnsi="Simplified Arabic" w:cs="Simplified Arabic"/>
          <w:sz w:val="24"/>
          <w:szCs w:val="24"/>
          <w:rtl/>
        </w:rPr>
        <w:t xml:space="preserve"> </w:t>
      </w:r>
      <w:r w:rsidRPr="00FE45F5">
        <w:rPr>
          <w:rFonts w:hint="cs"/>
          <w:sz w:val="24"/>
          <w:szCs w:val="24"/>
          <w:rtl/>
        </w:rPr>
        <w:t>من</w:t>
      </w:r>
      <w:r w:rsidRPr="00FE45F5">
        <w:rPr>
          <w:rFonts w:ascii="Simplified Arabic" w:hAnsi="Simplified Arabic" w:cs="Simplified Arabic"/>
          <w:sz w:val="24"/>
          <w:szCs w:val="24"/>
          <w:rtl/>
        </w:rPr>
        <w:t xml:space="preserve"> </w:t>
      </w:r>
      <w:r w:rsidRPr="00FE45F5">
        <w:rPr>
          <w:rFonts w:hint="cs"/>
          <w:sz w:val="24"/>
          <w:szCs w:val="24"/>
          <w:rtl/>
        </w:rPr>
        <w:t>دولارات</w:t>
      </w:r>
      <w:r w:rsidRPr="00FE45F5">
        <w:rPr>
          <w:rFonts w:ascii="Simplified Arabic" w:hAnsi="Simplified Arabic" w:cs="Simplified Arabic"/>
          <w:sz w:val="24"/>
          <w:szCs w:val="24"/>
          <w:rtl/>
        </w:rPr>
        <w:t xml:space="preserve"> </w:t>
      </w:r>
      <w:r w:rsidRPr="00FE45F5">
        <w:rPr>
          <w:rFonts w:hint="cs"/>
          <w:sz w:val="24"/>
          <w:szCs w:val="24"/>
          <w:rtl/>
        </w:rPr>
        <w:t>الولايات</w:t>
      </w:r>
      <w:r w:rsidRPr="00FE45F5">
        <w:rPr>
          <w:rFonts w:ascii="Simplified Arabic" w:hAnsi="Simplified Arabic" w:cs="Simplified Arabic"/>
          <w:sz w:val="24"/>
          <w:szCs w:val="24"/>
          <w:rtl/>
        </w:rPr>
        <w:t xml:space="preserve"> </w:t>
      </w:r>
      <w:r w:rsidRPr="00FE45F5">
        <w:rPr>
          <w:rFonts w:hint="cs"/>
          <w:sz w:val="24"/>
          <w:szCs w:val="24"/>
          <w:rtl/>
        </w:rPr>
        <w:t>المتحدة</w:t>
      </w:r>
      <w:r w:rsidRPr="00FE45F5">
        <w:rPr>
          <w:rFonts w:ascii="Simplified Arabic" w:hAnsi="Simplified Arabic" w:cs="Simplified Arabic" w:hint="cs"/>
          <w:sz w:val="24"/>
          <w:szCs w:val="24"/>
          <w:rtl/>
        </w:rPr>
        <w:t> </w:t>
      </w:r>
      <w:r w:rsidRPr="00FE45F5">
        <w:rPr>
          <w:rFonts w:hint="cs"/>
          <w:sz w:val="24"/>
          <w:szCs w:val="24"/>
          <w:rtl/>
        </w:rPr>
        <w:t>إلى</w:t>
      </w:r>
      <w:r w:rsidRPr="00FE45F5">
        <w:rPr>
          <w:rFonts w:ascii="Simplified Arabic" w:hAnsi="Simplified Arabic" w:cs="Simplified Arabic"/>
          <w:sz w:val="24"/>
          <w:szCs w:val="24"/>
          <w:rtl/>
        </w:rPr>
        <w:t xml:space="preserve"> 96 </w:t>
      </w:r>
      <w:r w:rsidRPr="00FE45F5">
        <w:rPr>
          <w:rFonts w:hint="cs"/>
          <w:sz w:val="24"/>
          <w:szCs w:val="24"/>
          <w:rtl/>
        </w:rPr>
        <w:t>مليون</w:t>
      </w:r>
      <w:r w:rsidRPr="00FE45F5">
        <w:rPr>
          <w:rFonts w:ascii="Simplified Arabic" w:hAnsi="Simplified Arabic" w:cs="Simplified Arabic"/>
          <w:sz w:val="24"/>
          <w:szCs w:val="24"/>
          <w:rtl/>
        </w:rPr>
        <w:t xml:space="preserve"> </w:t>
      </w:r>
      <w:r w:rsidRPr="00FE45F5">
        <w:rPr>
          <w:rFonts w:hint="cs"/>
          <w:sz w:val="24"/>
          <w:szCs w:val="24"/>
          <w:rtl/>
        </w:rPr>
        <w:t>دولار</w:t>
      </w:r>
      <w:r w:rsidRPr="00FE45F5">
        <w:rPr>
          <w:rFonts w:ascii="Simplified Arabic" w:hAnsi="Simplified Arabic" w:cs="Simplified Arabic" w:hint="cs"/>
          <w:sz w:val="24"/>
          <w:szCs w:val="24"/>
          <w:rtl/>
        </w:rPr>
        <w:t> </w:t>
      </w:r>
      <w:r w:rsidRPr="00FE45F5">
        <w:rPr>
          <w:rFonts w:hint="cs"/>
          <w:sz w:val="24"/>
          <w:szCs w:val="24"/>
          <w:rtl/>
        </w:rPr>
        <w:t>من</w:t>
      </w:r>
      <w:r w:rsidRPr="00FE45F5">
        <w:rPr>
          <w:rFonts w:ascii="Simplified Arabic" w:hAnsi="Simplified Arabic" w:cs="Simplified Arabic"/>
          <w:sz w:val="24"/>
          <w:szCs w:val="24"/>
          <w:rtl/>
        </w:rPr>
        <w:t xml:space="preserve"> </w:t>
      </w:r>
      <w:r w:rsidRPr="00984A76">
        <w:rPr>
          <w:rFonts w:ascii="Simplified Arabic" w:hAnsi="Simplified Arabic" w:cs="Simplified Arabic"/>
          <w:b/>
          <w:bCs/>
          <w:sz w:val="24"/>
          <w:szCs w:val="24"/>
          <w:rtl/>
        </w:rPr>
        <w:t>دولارات الولايات المتحدة</w:t>
      </w:r>
    </w:p>
    <w:p w14:paraId="086E7AB6" w14:textId="77777777" w:rsidR="00D44330" w:rsidRPr="00984A76" w:rsidRDefault="00D44330" w:rsidP="00984A76">
      <w:pPr>
        <w:pStyle w:val="Titletable"/>
        <w:bidi/>
        <w:spacing w:after="120" w:line="360" w:lineRule="exact"/>
        <w:ind w:left="1134"/>
        <w:jc w:val="both"/>
        <w:textDirection w:val="tbRlV"/>
        <w:rPr>
          <w:rFonts w:ascii="Simplified Arabic" w:hAnsi="Simplified Arabic" w:cs="Simplified Arabic"/>
          <w:b w:val="0"/>
          <w:bCs w:val="0"/>
          <w:sz w:val="24"/>
          <w:szCs w:val="24"/>
          <w:rtl/>
        </w:rPr>
      </w:pPr>
      <w:r w:rsidRPr="00984A76">
        <w:rPr>
          <w:rFonts w:ascii="Simplified Arabic" w:hAnsi="Simplified Arabic" w:cs="Simplified Arabic"/>
          <w:b w:val="0"/>
          <w:bCs w:val="0"/>
          <w:sz w:val="24"/>
          <w:szCs w:val="24"/>
          <w:rtl/>
        </w:rPr>
        <w:t>الجدول م ت-2</w:t>
      </w:r>
    </w:p>
    <w:p w14:paraId="11665A5B" w14:textId="73BD5963" w:rsidR="00D44330" w:rsidRPr="00984A76" w:rsidRDefault="00D44330" w:rsidP="00180524">
      <w:pPr>
        <w:pStyle w:val="Titletable"/>
        <w:bidi/>
        <w:spacing w:after="120" w:line="360" w:lineRule="exact"/>
        <w:ind w:left="1134"/>
        <w:jc w:val="lowKashida"/>
        <w:textDirection w:val="tbRlV"/>
        <w:rPr>
          <w:rFonts w:ascii="Simplified Arabic" w:hAnsi="Simplified Arabic" w:cs="Simplified Arabic"/>
          <w:sz w:val="24"/>
          <w:szCs w:val="24"/>
          <w:rtl/>
        </w:rPr>
      </w:pPr>
      <w:r w:rsidRPr="00984A76">
        <w:rPr>
          <w:rFonts w:ascii="Simplified Arabic" w:hAnsi="Simplified Arabic" w:cs="Simplified Arabic"/>
          <w:sz w:val="24"/>
          <w:szCs w:val="24"/>
          <w:rtl/>
        </w:rPr>
        <w:t>احتياجات التمويل التقديرية للتخلص التدريجي الكامل من مركبات الكربون الهيدروكلورية فلورية للفترتين 2027-2029 و203</w:t>
      </w:r>
      <w:r w:rsidR="00DF0A46">
        <w:rPr>
          <w:rFonts w:ascii="Simplified Arabic" w:hAnsi="Simplified Arabic" w:cs="Simplified Arabic" w:hint="cs"/>
          <w:sz w:val="24"/>
          <w:szCs w:val="24"/>
          <w:rtl/>
        </w:rPr>
        <w:t>0</w:t>
      </w:r>
      <w:r w:rsidRPr="00984A76">
        <w:rPr>
          <w:rFonts w:ascii="Simplified Arabic" w:hAnsi="Simplified Arabic" w:cs="Simplified Arabic"/>
          <w:sz w:val="24"/>
          <w:szCs w:val="24"/>
          <w:rtl/>
        </w:rPr>
        <w:t>-203</w:t>
      </w:r>
      <w:r w:rsidR="00DF0A46">
        <w:rPr>
          <w:rFonts w:ascii="Simplified Arabic" w:hAnsi="Simplified Arabic" w:cs="Simplified Arabic" w:hint="cs"/>
          <w:sz w:val="24"/>
          <w:szCs w:val="24"/>
          <w:rtl/>
        </w:rPr>
        <w:t>2</w:t>
      </w:r>
    </w:p>
    <w:p w14:paraId="1EA51E6A" w14:textId="77777777" w:rsidR="00D44330" w:rsidRPr="00984A76" w:rsidRDefault="00D44330" w:rsidP="00984A76">
      <w:pPr>
        <w:pStyle w:val="Titletable"/>
        <w:bidi/>
        <w:spacing w:after="120" w:line="360" w:lineRule="exact"/>
        <w:ind w:left="1134"/>
        <w:jc w:val="both"/>
        <w:textDirection w:val="tbRlV"/>
        <w:rPr>
          <w:rFonts w:ascii="Simplified Arabic" w:hAnsi="Simplified Arabic" w:cs="Simplified Arabic"/>
          <w:sz w:val="24"/>
          <w:szCs w:val="24"/>
          <w:rtl/>
          <w:lang w:val="ar-SA" w:eastAsia="zh-TW" w:bidi="en-GB"/>
        </w:rPr>
      </w:pPr>
      <w:r w:rsidRPr="00984A76">
        <w:rPr>
          <w:rFonts w:ascii="Simplified Arabic" w:hAnsi="Simplified Arabic" w:cs="Simplified Arabic"/>
          <w:sz w:val="24"/>
          <w:szCs w:val="24"/>
          <w:rtl/>
        </w:rPr>
        <w:t>(بملايين دولارات الولايات المتحدة)</w:t>
      </w:r>
    </w:p>
    <w:tbl>
      <w:tblPr>
        <w:bidiVisual/>
        <w:tblW w:w="8363" w:type="dxa"/>
        <w:tblInd w:w="1134" w:type="dxa"/>
        <w:tblLayout w:type="fixed"/>
        <w:tblCellMar>
          <w:left w:w="57" w:type="dxa"/>
          <w:right w:w="57" w:type="dxa"/>
        </w:tblCellMar>
        <w:tblLook w:val="04A0" w:firstRow="1" w:lastRow="0" w:firstColumn="1" w:lastColumn="0" w:noHBand="0" w:noVBand="1"/>
      </w:tblPr>
      <w:tblGrid>
        <w:gridCol w:w="1086"/>
        <w:gridCol w:w="3024"/>
        <w:gridCol w:w="2124"/>
        <w:gridCol w:w="2129"/>
      </w:tblGrid>
      <w:tr w:rsidR="00D44330" w:rsidRPr="00A50247" w14:paraId="48950D4B" w14:textId="77777777" w:rsidTr="00625119">
        <w:trPr>
          <w:trHeight w:val="307"/>
        </w:trPr>
        <w:tc>
          <w:tcPr>
            <w:tcW w:w="649" w:type="pct"/>
            <w:vMerge w:val="restart"/>
            <w:tcBorders>
              <w:top w:val="single" w:sz="4" w:space="0" w:color="auto"/>
              <w:bottom w:val="single" w:sz="12" w:space="0" w:color="auto"/>
            </w:tcBorders>
            <w:vAlign w:val="bottom"/>
          </w:tcPr>
          <w:p w14:paraId="3F8C9BAE" w14:textId="77777777" w:rsidR="00D44330" w:rsidRPr="00625119" w:rsidRDefault="00D44330" w:rsidP="00F47D40">
            <w:pPr>
              <w:pStyle w:val="Normal-pool-Table"/>
              <w:keepNext/>
              <w:keepLines/>
              <w:bidi/>
              <w:spacing w:line="280" w:lineRule="exact"/>
              <w:jc w:val="lowKashida"/>
              <w:textDirection w:val="tbRlV"/>
              <w:rPr>
                <w:rFonts w:ascii="Simplified Arabic" w:hAnsi="Simplified Arabic" w:cs="Simplified Arabic"/>
                <w:i/>
                <w:iCs/>
                <w:color w:val="000000"/>
                <w:sz w:val="20"/>
                <w:rtl/>
                <w:lang w:bidi="en-GB"/>
              </w:rPr>
            </w:pPr>
            <w:r w:rsidRPr="00625119">
              <w:rPr>
                <w:rFonts w:ascii="Simplified Arabic" w:hAnsi="Simplified Arabic" w:cs="Simplified Arabic"/>
                <w:i/>
                <w:iCs/>
                <w:color w:val="000000"/>
                <w:sz w:val="20"/>
                <w:rtl/>
              </w:rPr>
              <w:t>فترة السنوات الثلاث</w:t>
            </w:r>
          </w:p>
        </w:tc>
        <w:tc>
          <w:tcPr>
            <w:tcW w:w="1808" w:type="pct"/>
            <w:vMerge w:val="restart"/>
            <w:tcBorders>
              <w:top w:val="single" w:sz="4" w:space="0" w:color="auto"/>
              <w:bottom w:val="single" w:sz="12" w:space="0" w:color="auto"/>
            </w:tcBorders>
            <w:vAlign w:val="bottom"/>
            <w:hideMark/>
          </w:tcPr>
          <w:p w14:paraId="103D2D84" w14:textId="77777777" w:rsidR="00D44330" w:rsidRPr="00625119" w:rsidRDefault="00D44330" w:rsidP="00625119">
            <w:pPr>
              <w:pStyle w:val="Normal-pool-Table"/>
              <w:keepNext/>
              <w:keepLines/>
              <w:bidi/>
              <w:spacing w:line="280" w:lineRule="exact"/>
              <w:jc w:val="both"/>
              <w:textDirection w:val="tbRlV"/>
              <w:rPr>
                <w:rFonts w:ascii="Simplified Arabic" w:hAnsi="Simplified Arabic" w:cs="Simplified Arabic"/>
                <w:i/>
                <w:iCs/>
                <w:color w:val="000000"/>
                <w:sz w:val="20"/>
                <w:rtl/>
                <w:lang w:bidi="en-GB"/>
              </w:rPr>
            </w:pPr>
            <w:r w:rsidRPr="00625119">
              <w:rPr>
                <w:rFonts w:ascii="Simplified Arabic" w:hAnsi="Simplified Arabic" w:cs="Simplified Arabic"/>
                <w:i/>
                <w:iCs/>
                <w:color w:val="000000"/>
                <w:sz w:val="20"/>
                <w:rtl/>
              </w:rPr>
              <w:t>القطاع</w:t>
            </w:r>
          </w:p>
        </w:tc>
        <w:tc>
          <w:tcPr>
            <w:tcW w:w="2543" w:type="pct"/>
            <w:gridSpan w:val="2"/>
            <w:tcBorders>
              <w:top w:val="single" w:sz="4" w:space="0" w:color="auto"/>
              <w:bottom w:val="single" w:sz="4" w:space="0" w:color="auto"/>
            </w:tcBorders>
            <w:vAlign w:val="bottom"/>
            <w:hideMark/>
          </w:tcPr>
          <w:p w14:paraId="1607E97D" w14:textId="77777777" w:rsidR="00D44330" w:rsidRPr="00163ACC" w:rsidRDefault="00D44330" w:rsidP="00625119">
            <w:pPr>
              <w:pStyle w:val="Normal-pool-Table"/>
              <w:keepNext/>
              <w:keepLines/>
              <w:bidi/>
              <w:spacing w:line="280" w:lineRule="exact"/>
              <w:jc w:val="center"/>
              <w:textDirection w:val="tbRlV"/>
              <w:rPr>
                <w:rFonts w:ascii="Simplified Arabic" w:hAnsi="Simplified Arabic" w:cs="Simplified Arabic"/>
                <w:i/>
                <w:iCs/>
                <w:color w:val="000000"/>
                <w:w w:val="95"/>
                <w:sz w:val="20"/>
                <w:rtl/>
                <w:lang w:bidi="en-GB"/>
              </w:rPr>
            </w:pPr>
            <w:r w:rsidRPr="00163ACC">
              <w:rPr>
                <w:rFonts w:ascii="Simplified Arabic" w:hAnsi="Simplified Arabic" w:cs="Simplified Arabic"/>
                <w:i/>
                <w:iCs/>
                <w:color w:val="000000"/>
                <w:w w:val="95"/>
                <w:sz w:val="20"/>
                <w:rtl/>
              </w:rPr>
              <w:t>النطاق التقديري للتمويل الخاص بمركبات الكربون الهيدروكلورية فلورية</w:t>
            </w:r>
          </w:p>
        </w:tc>
      </w:tr>
      <w:tr w:rsidR="00D44330" w:rsidRPr="00A50247" w14:paraId="4E1D1264" w14:textId="77777777" w:rsidTr="00625119">
        <w:trPr>
          <w:trHeight w:val="61"/>
        </w:trPr>
        <w:tc>
          <w:tcPr>
            <w:tcW w:w="649" w:type="pct"/>
            <w:vMerge/>
            <w:tcBorders>
              <w:bottom w:val="single" w:sz="12" w:space="0" w:color="auto"/>
            </w:tcBorders>
            <w:vAlign w:val="bottom"/>
          </w:tcPr>
          <w:p w14:paraId="192BC885" w14:textId="77777777" w:rsidR="00D44330" w:rsidRPr="00625119" w:rsidRDefault="00D44330" w:rsidP="00625119">
            <w:pPr>
              <w:pStyle w:val="Normal-pool-Table"/>
              <w:keepNext/>
              <w:keepLines/>
              <w:bidi/>
              <w:spacing w:line="280" w:lineRule="exact"/>
              <w:jc w:val="both"/>
              <w:rPr>
                <w:rFonts w:ascii="Simplified Arabic" w:hAnsi="Simplified Arabic" w:cs="Simplified Arabic"/>
                <w:i/>
                <w:iCs/>
                <w:color w:val="000000"/>
                <w:sz w:val="20"/>
                <w:rtl/>
              </w:rPr>
            </w:pPr>
          </w:p>
        </w:tc>
        <w:tc>
          <w:tcPr>
            <w:tcW w:w="1808" w:type="pct"/>
            <w:vMerge/>
            <w:tcBorders>
              <w:bottom w:val="single" w:sz="12" w:space="0" w:color="auto"/>
            </w:tcBorders>
            <w:vAlign w:val="bottom"/>
            <w:hideMark/>
          </w:tcPr>
          <w:p w14:paraId="3FB85ABA" w14:textId="77777777" w:rsidR="00D44330" w:rsidRPr="00625119" w:rsidRDefault="00D44330" w:rsidP="00625119">
            <w:pPr>
              <w:pStyle w:val="Normal-pool-Table"/>
              <w:keepNext/>
              <w:keepLines/>
              <w:bidi/>
              <w:spacing w:line="280" w:lineRule="exact"/>
              <w:jc w:val="both"/>
              <w:rPr>
                <w:rFonts w:ascii="Simplified Arabic" w:hAnsi="Simplified Arabic" w:cs="Simplified Arabic"/>
                <w:i/>
                <w:iCs/>
                <w:color w:val="000000"/>
                <w:sz w:val="20"/>
                <w:rtl/>
              </w:rPr>
            </w:pPr>
          </w:p>
        </w:tc>
        <w:tc>
          <w:tcPr>
            <w:tcW w:w="1270" w:type="pct"/>
            <w:tcBorders>
              <w:top w:val="single" w:sz="4" w:space="0" w:color="auto"/>
              <w:bottom w:val="single" w:sz="12" w:space="0" w:color="auto"/>
            </w:tcBorders>
            <w:vAlign w:val="bottom"/>
            <w:hideMark/>
          </w:tcPr>
          <w:p w14:paraId="1E7D6531" w14:textId="77777777" w:rsidR="00D44330" w:rsidRPr="00625119" w:rsidRDefault="00D44330" w:rsidP="00625119">
            <w:pPr>
              <w:pStyle w:val="Normal-pool-Table"/>
              <w:keepNext/>
              <w:keepLines/>
              <w:bidi/>
              <w:spacing w:line="280" w:lineRule="exact"/>
              <w:jc w:val="right"/>
              <w:textDirection w:val="tbRlV"/>
              <w:rPr>
                <w:rFonts w:ascii="Simplified Arabic" w:hAnsi="Simplified Arabic" w:cs="Simplified Arabic"/>
                <w:i/>
                <w:iCs/>
                <w:color w:val="000000"/>
                <w:sz w:val="20"/>
                <w:rtl/>
                <w:lang w:bidi="en-GB"/>
              </w:rPr>
            </w:pPr>
            <w:r w:rsidRPr="00625119">
              <w:rPr>
                <w:rFonts w:ascii="Simplified Arabic" w:hAnsi="Simplified Arabic" w:cs="Simplified Arabic"/>
                <w:i/>
                <w:iCs/>
                <w:color w:val="000000"/>
                <w:sz w:val="20"/>
                <w:rtl/>
              </w:rPr>
              <w:t>السيناريو 1 الخاص بمركبات الكربون الهيدروكلورية فلورية مع تخصيص بنسبة 90٪/10٪</w:t>
            </w:r>
          </w:p>
        </w:tc>
        <w:tc>
          <w:tcPr>
            <w:tcW w:w="1272" w:type="pct"/>
            <w:tcBorders>
              <w:top w:val="single" w:sz="4" w:space="0" w:color="auto"/>
              <w:bottom w:val="single" w:sz="12" w:space="0" w:color="auto"/>
            </w:tcBorders>
            <w:vAlign w:val="bottom"/>
            <w:hideMark/>
          </w:tcPr>
          <w:p w14:paraId="4B9FD78D" w14:textId="77777777" w:rsidR="00D44330" w:rsidRPr="00625119" w:rsidRDefault="00D44330" w:rsidP="00625119">
            <w:pPr>
              <w:pStyle w:val="Normal-pool-Table"/>
              <w:keepNext/>
              <w:keepLines/>
              <w:bidi/>
              <w:spacing w:line="280" w:lineRule="exact"/>
              <w:jc w:val="right"/>
              <w:textDirection w:val="tbRlV"/>
              <w:rPr>
                <w:rFonts w:ascii="Simplified Arabic" w:hAnsi="Simplified Arabic" w:cs="Simplified Arabic"/>
                <w:i/>
                <w:iCs/>
                <w:color w:val="000000"/>
                <w:sz w:val="20"/>
                <w:rtl/>
                <w:lang w:bidi="en-GB"/>
              </w:rPr>
            </w:pPr>
            <w:r w:rsidRPr="00625119">
              <w:rPr>
                <w:rFonts w:ascii="Simplified Arabic" w:hAnsi="Simplified Arabic" w:cs="Simplified Arabic"/>
                <w:i/>
                <w:iCs/>
                <w:color w:val="000000"/>
                <w:sz w:val="20"/>
                <w:rtl/>
              </w:rPr>
              <w:t>السيناريو 2 الخاص بمركبات الكربون الهيدروكلوري فلورية مع تخصيص بنسبة 90٪/10٪</w:t>
            </w:r>
          </w:p>
        </w:tc>
      </w:tr>
      <w:tr w:rsidR="00D44330" w:rsidRPr="00625119" w14:paraId="3DCA5367" w14:textId="77777777" w:rsidTr="00625119">
        <w:trPr>
          <w:trHeight w:val="291"/>
        </w:trPr>
        <w:tc>
          <w:tcPr>
            <w:tcW w:w="649" w:type="pct"/>
            <w:vMerge w:val="restart"/>
            <w:tcBorders>
              <w:top w:val="single" w:sz="12" w:space="0" w:color="auto"/>
            </w:tcBorders>
            <w:vAlign w:val="center"/>
          </w:tcPr>
          <w:p w14:paraId="4C575BD2" w14:textId="77777777" w:rsidR="00D44330" w:rsidRPr="00625119" w:rsidRDefault="00D44330" w:rsidP="00625119">
            <w:pPr>
              <w:pStyle w:val="Normal-pool-Table"/>
              <w:keepNext/>
              <w:keepLines/>
              <w:bidi/>
              <w:spacing w:line="280" w:lineRule="exact"/>
              <w:jc w:val="both"/>
              <w:textDirection w:val="tbRlV"/>
              <w:rPr>
                <w:rFonts w:ascii="Simplified Arabic" w:hAnsi="Simplified Arabic" w:cs="Simplified Arabic"/>
                <w:color w:val="000000"/>
                <w:sz w:val="20"/>
                <w:rtl/>
                <w:lang w:bidi="en-GB"/>
              </w:rPr>
            </w:pPr>
            <w:r w:rsidRPr="00625119">
              <w:rPr>
                <w:rFonts w:ascii="Simplified Arabic" w:hAnsi="Simplified Arabic" w:cs="Simplified Arabic"/>
                <w:color w:val="000000"/>
                <w:sz w:val="20"/>
                <w:rtl/>
              </w:rPr>
              <w:t>2027-2029</w:t>
            </w:r>
          </w:p>
        </w:tc>
        <w:tc>
          <w:tcPr>
            <w:tcW w:w="1808" w:type="pct"/>
            <w:tcBorders>
              <w:top w:val="single" w:sz="12" w:space="0" w:color="auto"/>
            </w:tcBorders>
            <w:vAlign w:val="bottom"/>
            <w:hideMark/>
          </w:tcPr>
          <w:p w14:paraId="4E6A6ACB" w14:textId="77777777" w:rsidR="00D44330" w:rsidRPr="00313353" w:rsidRDefault="00D44330" w:rsidP="00625119">
            <w:pPr>
              <w:pStyle w:val="Normal-pool-Table"/>
              <w:keepNext/>
              <w:keepLines/>
              <w:bidi/>
              <w:spacing w:line="280" w:lineRule="exact"/>
              <w:jc w:val="both"/>
              <w:textDirection w:val="tbRlV"/>
              <w:rPr>
                <w:rFonts w:ascii="Simplified Arabic" w:hAnsi="Simplified Arabic" w:cs="Simplified Arabic"/>
                <w:color w:val="000000"/>
                <w:w w:val="92"/>
                <w:sz w:val="20"/>
                <w:rtl/>
                <w:lang w:bidi="en-GB"/>
              </w:rPr>
            </w:pPr>
            <w:r w:rsidRPr="00313353">
              <w:rPr>
                <w:rFonts w:ascii="Simplified Arabic" w:hAnsi="Simplified Arabic" w:cs="Simplified Arabic"/>
                <w:color w:val="000000"/>
                <w:w w:val="92"/>
                <w:sz w:val="20"/>
                <w:rtl/>
              </w:rPr>
              <w:t xml:space="preserve">قطاع استهلاك مركبات الكربون الهيدروكلورية فلورية </w:t>
            </w:r>
          </w:p>
        </w:tc>
        <w:tc>
          <w:tcPr>
            <w:tcW w:w="1270" w:type="pct"/>
            <w:tcBorders>
              <w:top w:val="single" w:sz="12" w:space="0" w:color="auto"/>
            </w:tcBorders>
            <w:vAlign w:val="center"/>
            <w:hideMark/>
          </w:tcPr>
          <w:p w14:paraId="638FCFFA" w14:textId="77777777" w:rsidR="00D44330" w:rsidRPr="00625119" w:rsidRDefault="00D44330" w:rsidP="00625119">
            <w:pPr>
              <w:pStyle w:val="Normal-pool-Table"/>
              <w:keepNext/>
              <w:keepLines/>
              <w:bidi/>
              <w:spacing w:line="280" w:lineRule="exact"/>
              <w:jc w:val="right"/>
              <w:textDirection w:val="tbRlV"/>
              <w:rPr>
                <w:rFonts w:ascii="Simplified Arabic" w:hAnsi="Simplified Arabic" w:cs="Simplified Arabic"/>
                <w:color w:val="000000"/>
                <w:sz w:val="20"/>
                <w:rtl/>
                <w:lang w:bidi="en-GB"/>
              </w:rPr>
            </w:pPr>
            <w:r w:rsidRPr="00625119">
              <w:rPr>
                <w:rFonts w:ascii="Simplified Arabic" w:hAnsi="Simplified Arabic" w:cs="Simplified Arabic"/>
                <w:color w:val="000000"/>
                <w:sz w:val="20"/>
                <w:rtl/>
              </w:rPr>
              <w:t>427,56</w:t>
            </w:r>
          </w:p>
        </w:tc>
        <w:tc>
          <w:tcPr>
            <w:tcW w:w="1272" w:type="pct"/>
            <w:tcBorders>
              <w:top w:val="single" w:sz="12" w:space="0" w:color="auto"/>
            </w:tcBorders>
            <w:vAlign w:val="center"/>
            <w:hideMark/>
          </w:tcPr>
          <w:p w14:paraId="1F2A88AF" w14:textId="77777777" w:rsidR="00D44330" w:rsidRPr="00625119" w:rsidRDefault="00D44330" w:rsidP="00625119">
            <w:pPr>
              <w:pStyle w:val="Normal-pool-Table"/>
              <w:keepNext/>
              <w:keepLines/>
              <w:bidi/>
              <w:spacing w:line="280" w:lineRule="exact"/>
              <w:jc w:val="right"/>
              <w:textDirection w:val="tbRlV"/>
              <w:rPr>
                <w:rFonts w:ascii="Simplified Arabic" w:hAnsi="Simplified Arabic" w:cs="Simplified Arabic"/>
                <w:color w:val="000000"/>
                <w:sz w:val="20"/>
                <w:rtl/>
                <w:lang w:bidi="en-GB"/>
              </w:rPr>
            </w:pPr>
            <w:r w:rsidRPr="00625119">
              <w:rPr>
                <w:rFonts w:ascii="Simplified Arabic" w:hAnsi="Simplified Arabic" w:cs="Simplified Arabic"/>
                <w:color w:val="000000"/>
                <w:sz w:val="20"/>
                <w:rtl/>
              </w:rPr>
              <w:t>549,44</w:t>
            </w:r>
          </w:p>
        </w:tc>
      </w:tr>
      <w:tr w:rsidR="00D44330" w:rsidRPr="00625119" w14:paraId="0B343DD8" w14:textId="77777777" w:rsidTr="00625119">
        <w:trPr>
          <w:trHeight w:val="291"/>
        </w:trPr>
        <w:tc>
          <w:tcPr>
            <w:tcW w:w="649" w:type="pct"/>
            <w:vMerge/>
          </w:tcPr>
          <w:p w14:paraId="15EE683E" w14:textId="77777777" w:rsidR="00D44330" w:rsidRPr="00625119" w:rsidRDefault="00D44330" w:rsidP="00625119">
            <w:pPr>
              <w:pStyle w:val="Normal-pool-Table"/>
              <w:keepNext/>
              <w:keepLines/>
              <w:bidi/>
              <w:spacing w:line="280" w:lineRule="exact"/>
              <w:jc w:val="both"/>
              <w:rPr>
                <w:rFonts w:ascii="Simplified Arabic" w:hAnsi="Simplified Arabic" w:cs="Simplified Arabic"/>
                <w:color w:val="000000"/>
                <w:sz w:val="20"/>
                <w:rtl/>
              </w:rPr>
            </w:pPr>
          </w:p>
        </w:tc>
        <w:tc>
          <w:tcPr>
            <w:tcW w:w="1808" w:type="pct"/>
            <w:tcBorders>
              <w:bottom w:val="single" w:sz="4" w:space="0" w:color="auto"/>
            </w:tcBorders>
            <w:vAlign w:val="bottom"/>
          </w:tcPr>
          <w:p w14:paraId="7621D37C" w14:textId="77777777" w:rsidR="00D44330" w:rsidRPr="00313353" w:rsidRDefault="00D44330" w:rsidP="00625119">
            <w:pPr>
              <w:pStyle w:val="Normal-pool-Table"/>
              <w:keepNext/>
              <w:keepLines/>
              <w:bidi/>
              <w:spacing w:line="280" w:lineRule="exact"/>
              <w:jc w:val="both"/>
              <w:textDirection w:val="tbRlV"/>
              <w:rPr>
                <w:rFonts w:ascii="Simplified Arabic" w:hAnsi="Simplified Arabic" w:cs="Simplified Arabic"/>
                <w:color w:val="000000"/>
                <w:w w:val="92"/>
                <w:sz w:val="20"/>
                <w:rtl/>
                <w:lang w:bidi="en-GB"/>
              </w:rPr>
            </w:pPr>
            <w:r w:rsidRPr="00313353">
              <w:rPr>
                <w:rFonts w:ascii="Simplified Arabic" w:hAnsi="Simplified Arabic" w:cs="Simplified Arabic"/>
                <w:color w:val="000000"/>
                <w:w w:val="92"/>
                <w:sz w:val="20"/>
                <w:rtl/>
              </w:rPr>
              <w:t>قطاع إنتاج مركبات الكربون الهيدروكلوري فلورية</w:t>
            </w:r>
          </w:p>
        </w:tc>
        <w:tc>
          <w:tcPr>
            <w:tcW w:w="1270" w:type="pct"/>
            <w:tcBorders>
              <w:bottom w:val="single" w:sz="4" w:space="0" w:color="auto"/>
            </w:tcBorders>
            <w:vAlign w:val="center"/>
          </w:tcPr>
          <w:p w14:paraId="0ABB2866" w14:textId="77777777" w:rsidR="00D44330" w:rsidRPr="00625119" w:rsidRDefault="00D44330" w:rsidP="00625119">
            <w:pPr>
              <w:pStyle w:val="Normal-pool-Table"/>
              <w:keepNext/>
              <w:keepLines/>
              <w:bidi/>
              <w:spacing w:line="280" w:lineRule="exact"/>
              <w:jc w:val="right"/>
              <w:textDirection w:val="tbRlV"/>
              <w:rPr>
                <w:rFonts w:ascii="Simplified Arabic" w:hAnsi="Simplified Arabic" w:cs="Simplified Arabic"/>
                <w:color w:val="000000"/>
                <w:sz w:val="20"/>
                <w:rtl/>
                <w:lang w:bidi="en-GB"/>
              </w:rPr>
            </w:pPr>
            <w:r w:rsidRPr="00625119">
              <w:rPr>
                <w:rFonts w:ascii="Simplified Arabic" w:hAnsi="Simplified Arabic" w:cs="Simplified Arabic"/>
                <w:color w:val="000000"/>
                <w:sz w:val="20"/>
                <w:rtl/>
              </w:rPr>
              <w:t>23,54</w:t>
            </w:r>
          </w:p>
        </w:tc>
        <w:tc>
          <w:tcPr>
            <w:tcW w:w="1272" w:type="pct"/>
            <w:tcBorders>
              <w:bottom w:val="single" w:sz="4" w:space="0" w:color="auto"/>
            </w:tcBorders>
            <w:vAlign w:val="center"/>
          </w:tcPr>
          <w:p w14:paraId="49097758" w14:textId="77777777" w:rsidR="00D44330" w:rsidRPr="00625119" w:rsidRDefault="00D44330" w:rsidP="00625119">
            <w:pPr>
              <w:pStyle w:val="Normal-pool-Table"/>
              <w:keepNext/>
              <w:keepLines/>
              <w:bidi/>
              <w:spacing w:line="280" w:lineRule="exact"/>
              <w:jc w:val="right"/>
              <w:textDirection w:val="tbRlV"/>
              <w:rPr>
                <w:rFonts w:ascii="Simplified Arabic" w:hAnsi="Simplified Arabic" w:cs="Simplified Arabic"/>
                <w:color w:val="000000"/>
                <w:sz w:val="20"/>
                <w:rtl/>
                <w:lang w:bidi="en-GB"/>
              </w:rPr>
            </w:pPr>
            <w:r w:rsidRPr="00625119">
              <w:rPr>
                <w:rFonts w:ascii="Simplified Arabic" w:hAnsi="Simplified Arabic" w:cs="Simplified Arabic"/>
                <w:color w:val="000000"/>
                <w:sz w:val="20"/>
                <w:rtl/>
              </w:rPr>
              <w:t>23,54</w:t>
            </w:r>
          </w:p>
        </w:tc>
      </w:tr>
      <w:tr w:rsidR="00D44330" w:rsidRPr="00625119" w14:paraId="25D35E58" w14:textId="77777777" w:rsidTr="00625119">
        <w:trPr>
          <w:trHeight w:val="291"/>
        </w:trPr>
        <w:tc>
          <w:tcPr>
            <w:tcW w:w="649" w:type="pct"/>
            <w:vMerge/>
          </w:tcPr>
          <w:p w14:paraId="6E3536E5" w14:textId="77777777" w:rsidR="00D44330" w:rsidRPr="00625119" w:rsidRDefault="00D44330" w:rsidP="00625119">
            <w:pPr>
              <w:pStyle w:val="Normal-pool-Table"/>
              <w:keepNext/>
              <w:keepLines/>
              <w:bidi/>
              <w:spacing w:line="280" w:lineRule="exact"/>
              <w:jc w:val="both"/>
              <w:rPr>
                <w:rFonts w:ascii="Simplified Arabic" w:hAnsi="Simplified Arabic" w:cs="Simplified Arabic"/>
                <w:color w:val="000000"/>
                <w:sz w:val="20"/>
                <w:rtl/>
              </w:rPr>
            </w:pPr>
          </w:p>
        </w:tc>
        <w:tc>
          <w:tcPr>
            <w:tcW w:w="1808" w:type="pct"/>
            <w:tcBorders>
              <w:top w:val="single" w:sz="4" w:space="0" w:color="auto"/>
              <w:bottom w:val="single" w:sz="4" w:space="0" w:color="auto"/>
            </w:tcBorders>
            <w:vAlign w:val="bottom"/>
          </w:tcPr>
          <w:p w14:paraId="0A87EE93" w14:textId="77777777" w:rsidR="00D44330" w:rsidRPr="00625119" w:rsidRDefault="00D44330" w:rsidP="00625119">
            <w:pPr>
              <w:pStyle w:val="Normal-pool-Table"/>
              <w:keepNext/>
              <w:keepLines/>
              <w:bidi/>
              <w:spacing w:line="280" w:lineRule="exact"/>
              <w:jc w:val="both"/>
              <w:textDirection w:val="tbRlV"/>
              <w:rPr>
                <w:rFonts w:ascii="Simplified Arabic" w:hAnsi="Simplified Arabic" w:cs="Simplified Arabic"/>
                <w:b/>
                <w:bCs/>
                <w:color w:val="000000"/>
                <w:sz w:val="20"/>
                <w:rtl/>
                <w:lang w:bidi="en-GB"/>
              </w:rPr>
            </w:pPr>
            <w:r w:rsidRPr="00625119">
              <w:rPr>
                <w:rFonts w:ascii="Simplified Arabic" w:hAnsi="Simplified Arabic" w:cs="Simplified Arabic"/>
                <w:b/>
                <w:bCs/>
                <w:color w:val="000000"/>
                <w:sz w:val="20"/>
                <w:rtl/>
              </w:rPr>
              <w:t>النطاق الإجمالي</w:t>
            </w:r>
          </w:p>
        </w:tc>
        <w:tc>
          <w:tcPr>
            <w:tcW w:w="1270" w:type="pct"/>
            <w:tcBorders>
              <w:top w:val="single" w:sz="4" w:space="0" w:color="auto"/>
              <w:bottom w:val="single" w:sz="4" w:space="0" w:color="auto"/>
            </w:tcBorders>
            <w:vAlign w:val="center"/>
          </w:tcPr>
          <w:p w14:paraId="1BD828CA" w14:textId="77777777" w:rsidR="00D44330" w:rsidRPr="00625119" w:rsidRDefault="00D44330" w:rsidP="00625119">
            <w:pPr>
              <w:pStyle w:val="Normal-pool-Table"/>
              <w:keepNext/>
              <w:keepLines/>
              <w:bidi/>
              <w:spacing w:line="280" w:lineRule="exact"/>
              <w:jc w:val="right"/>
              <w:textDirection w:val="tbRlV"/>
              <w:rPr>
                <w:rFonts w:ascii="Simplified Arabic" w:hAnsi="Simplified Arabic" w:cs="Simplified Arabic"/>
                <w:b/>
                <w:bCs/>
                <w:color w:val="000000"/>
                <w:sz w:val="20"/>
                <w:rtl/>
                <w:lang w:bidi="en-GB"/>
              </w:rPr>
            </w:pPr>
            <w:r w:rsidRPr="00625119">
              <w:rPr>
                <w:rFonts w:ascii="Simplified Arabic" w:hAnsi="Simplified Arabic" w:cs="Simplified Arabic"/>
                <w:b/>
                <w:bCs/>
                <w:color w:val="000000"/>
                <w:sz w:val="20"/>
                <w:rtl/>
              </w:rPr>
              <w:t>451,10</w:t>
            </w:r>
          </w:p>
        </w:tc>
        <w:tc>
          <w:tcPr>
            <w:tcW w:w="1272" w:type="pct"/>
            <w:tcBorders>
              <w:top w:val="single" w:sz="4" w:space="0" w:color="auto"/>
              <w:bottom w:val="single" w:sz="4" w:space="0" w:color="auto"/>
            </w:tcBorders>
            <w:vAlign w:val="center"/>
          </w:tcPr>
          <w:p w14:paraId="4EA18760" w14:textId="77777777" w:rsidR="00D44330" w:rsidRPr="00625119" w:rsidRDefault="00D44330" w:rsidP="00625119">
            <w:pPr>
              <w:pStyle w:val="Normal-pool-Table"/>
              <w:keepNext/>
              <w:keepLines/>
              <w:bidi/>
              <w:spacing w:line="280" w:lineRule="exact"/>
              <w:jc w:val="right"/>
              <w:textDirection w:val="tbRlV"/>
              <w:rPr>
                <w:rFonts w:ascii="Simplified Arabic" w:hAnsi="Simplified Arabic" w:cs="Simplified Arabic"/>
                <w:b/>
                <w:bCs/>
                <w:color w:val="000000"/>
                <w:sz w:val="20"/>
                <w:rtl/>
                <w:lang w:bidi="en-GB"/>
              </w:rPr>
            </w:pPr>
            <w:r w:rsidRPr="00625119">
              <w:rPr>
                <w:rFonts w:ascii="Simplified Arabic" w:hAnsi="Simplified Arabic" w:cs="Simplified Arabic"/>
                <w:b/>
                <w:bCs/>
                <w:color w:val="000000"/>
                <w:sz w:val="20"/>
                <w:rtl/>
              </w:rPr>
              <w:t>572,98</w:t>
            </w:r>
          </w:p>
        </w:tc>
      </w:tr>
      <w:tr w:rsidR="00D44330" w:rsidRPr="00625119" w14:paraId="28A4AB2B" w14:textId="77777777" w:rsidTr="00625119">
        <w:trPr>
          <w:trHeight w:val="291"/>
        </w:trPr>
        <w:tc>
          <w:tcPr>
            <w:tcW w:w="649" w:type="pct"/>
            <w:vMerge w:val="restart"/>
            <w:tcBorders>
              <w:bottom w:val="single" w:sz="12" w:space="0" w:color="auto"/>
            </w:tcBorders>
            <w:vAlign w:val="center"/>
          </w:tcPr>
          <w:p w14:paraId="38D72219" w14:textId="77777777" w:rsidR="00D44330" w:rsidRPr="00625119" w:rsidRDefault="00D44330" w:rsidP="00625119">
            <w:pPr>
              <w:pStyle w:val="Normal-pool-Table"/>
              <w:keepNext/>
              <w:keepLines/>
              <w:bidi/>
              <w:spacing w:line="280" w:lineRule="exact"/>
              <w:jc w:val="both"/>
              <w:textDirection w:val="tbRlV"/>
              <w:rPr>
                <w:rFonts w:ascii="Simplified Arabic" w:hAnsi="Simplified Arabic" w:cs="Simplified Arabic"/>
                <w:color w:val="000000"/>
                <w:sz w:val="20"/>
                <w:rtl/>
                <w:lang w:bidi="en-GB"/>
              </w:rPr>
            </w:pPr>
            <w:r w:rsidRPr="00625119">
              <w:rPr>
                <w:rFonts w:ascii="Simplified Arabic" w:hAnsi="Simplified Arabic" w:cs="Simplified Arabic"/>
                <w:color w:val="000000"/>
                <w:sz w:val="20"/>
                <w:rtl/>
              </w:rPr>
              <w:t>2030-2032</w:t>
            </w:r>
          </w:p>
        </w:tc>
        <w:tc>
          <w:tcPr>
            <w:tcW w:w="1808" w:type="pct"/>
            <w:tcBorders>
              <w:top w:val="single" w:sz="4" w:space="0" w:color="auto"/>
            </w:tcBorders>
            <w:vAlign w:val="bottom"/>
          </w:tcPr>
          <w:p w14:paraId="3043E18A" w14:textId="77777777" w:rsidR="00D44330" w:rsidRPr="00313353" w:rsidRDefault="00D44330" w:rsidP="00625119">
            <w:pPr>
              <w:pStyle w:val="Normal-pool-Table"/>
              <w:keepNext/>
              <w:keepLines/>
              <w:bidi/>
              <w:spacing w:line="280" w:lineRule="exact"/>
              <w:jc w:val="both"/>
              <w:textDirection w:val="tbRlV"/>
              <w:rPr>
                <w:rFonts w:ascii="Simplified Arabic" w:hAnsi="Simplified Arabic" w:cs="Simplified Arabic"/>
                <w:color w:val="000000"/>
                <w:w w:val="92"/>
                <w:sz w:val="20"/>
                <w:rtl/>
                <w:lang w:bidi="en-GB"/>
              </w:rPr>
            </w:pPr>
            <w:r w:rsidRPr="00313353">
              <w:rPr>
                <w:rFonts w:ascii="Simplified Arabic" w:hAnsi="Simplified Arabic" w:cs="Simplified Arabic"/>
                <w:color w:val="000000"/>
                <w:w w:val="92"/>
                <w:sz w:val="20"/>
                <w:rtl/>
              </w:rPr>
              <w:t xml:space="preserve">قطاع استهلاك مركبات الكربون الهيدروكلورية فلورية </w:t>
            </w:r>
          </w:p>
        </w:tc>
        <w:tc>
          <w:tcPr>
            <w:tcW w:w="1270" w:type="pct"/>
            <w:tcBorders>
              <w:top w:val="single" w:sz="4" w:space="0" w:color="auto"/>
            </w:tcBorders>
            <w:vAlign w:val="center"/>
          </w:tcPr>
          <w:p w14:paraId="37303769" w14:textId="77777777" w:rsidR="00D44330" w:rsidRPr="00625119" w:rsidRDefault="00D44330" w:rsidP="00625119">
            <w:pPr>
              <w:pStyle w:val="Normal-pool-Table"/>
              <w:keepNext/>
              <w:keepLines/>
              <w:bidi/>
              <w:spacing w:line="280" w:lineRule="exact"/>
              <w:jc w:val="right"/>
              <w:textDirection w:val="tbRlV"/>
              <w:rPr>
                <w:rFonts w:ascii="Simplified Arabic" w:hAnsi="Simplified Arabic" w:cs="Simplified Arabic"/>
                <w:color w:val="000000"/>
                <w:sz w:val="20"/>
                <w:rtl/>
                <w:lang w:bidi="en-GB"/>
              </w:rPr>
            </w:pPr>
            <w:r w:rsidRPr="00625119">
              <w:rPr>
                <w:rFonts w:ascii="Simplified Arabic" w:hAnsi="Simplified Arabic" w:cs="Simplified Arabic"/>
                <w:color w:val="000000"/>
                <w:sz w:val="20"/>
                <w:rtl/>
              </w:rPr>
              <w:t>58,96</w:t>
            </w:r>
          </w:p>
        </w:tc>
        <w:tc>
          <w:tcPr>
            <w:tcW w:w="1272" w:type="pct"/>
            <w:tcBorders>
              <w:top w:val="single" w:sz="4" w:space="0" w:color="auto"/>
            </w:tcBorders>
            <w:vAlign w:val="center"/>
          </w:tcPr>
          <w:p w14:paraId="4FCA8D89" w14:textId="77777777" w:rsidR="00D44330" w:rsidRPr="00625119" w:rsidRDefault="00D44330" w:rsidP="00625119">
            <w:pPr>
              <w:pStyle w:val="Normal-pool-Table"/>
              <w:keepNext/>
              <w:keepLines/>
              <w:bidi/>
              <w:spacing w:line="280" w:lineRule="exact"/>
              <w:jc w:val="right"/>
              <w:textDirection w:val="tbRlV"/>
              <w:rPr>
                <w:rFonts w:ascii="Simplified Arabic" w:hAnsi="Simplified Arabic" w:cs="Simplified Arabic"/>
                <w:color w:val="000000"/>
                <w:sz w:val="20"/>
                <w:rtl/>
                <w:lang w:bidi="en-GB"/>
              </w:rPr>
            </w:pPr>
            <w:r w:rsidRPr="00625119">
              <w:rPr>
                <w:rFonts w:ascii="Simplified Arabic" w:hAnsi="Simplified Arabic" w:cs="Simplified Arabic"/>
                <w:color w:val="000000"/>
                <w:sz w:val="20"/>
                <w:rtl/>
              </w:rPr>
              <w:t>72,50</w:t>
            </w:r>
          </w:p>
        </w:tc>
      </w:tr>
      <w:tr w:rsidR="00D44330" w:rsidRPr="00625119" w14:paraId="119969C1" w14:textId="77777777" w:rsidTr="00625119">
        <w:trPr>
          <w:trHeight w:val="291"/>
        </w:trPr>
        <w:tc>
          <w:tcPr>
            <w:tcW w:w="649" w:type="pct"/>
            <w:vMerge/>
            <w:tcBorders>
              <w:bottom w:val="single" w:sz="12" w:space="0" w:color="auto"/>
            </w:tcBorders>
          </w:tcPr>
          <w:p w14:paraId="504767C3" w14:textId="77777777" w:rsidR="00D44330" w:rsidRPr="00625119" w:rsidRDefault="00D44330" w:rsidP="00625119">
            <w:pPr>
              <w:pStyle w:val="Normal-pool-Table"/>
              <w:keepNext/>
              <w:keepLines/>
              <w:bidi/>
              <w:spacing w:line="280" w:lineRule="exact"/>
              <w:jc w:val="both"/>
              <w:rPr>
                <w:rFonts w:ascii="Simplified Arabic" w:hAnsi="Simplified Arabic" w:cs="Simplified Arabic"/>
                <w:color w:val="000000"/>
                <w:sz w:val="20"/>
                <w:rtl/>
              </w:rPr>
            </w:pPr>
          </w:p>
        </w:tc>
        <w:tc>
          <w:tcPr>
            <w:tcW w:w="1808" w:type="pct"/>
            <w:tcBorders>
              <w:bottom w:val="single" w:sz="4" w:space="0" w:color="auto"/>
            </w:tcBorders>
            <w:vAlign w:val="bottom"/>
          </w:tcPr>
          <w:p w14:paraId="5E648731" w14:textId="77777777" w:rsidR="00D44330" w:rsidRPr="00313353" w:rsidRDefault="00D44330" w:rsidP="00625119">
            <w:pPr>
              <w:pStyle w:val="Normal-pool-Table"/>
              <w:keepNext/>
              <w:keepLines/>
              <w:bidi/>
              <w:spacing w:line="280" w:lineRule="exact"/>
              <w:jc w:val="both"/>
              <w:textDirection w:val="tbRlV"/>
              <w:rPr>
                <w:rFonts w:ascii="Simplified Arabic" w:hAnsi="Simplified Arabic" w:cs="Simplified Arabic"/>
                <w:color w:val="000000"/>
                <w:w w:val="92"/>
                <w:sz w:val="20"/>
                <w:rtl/>
                <w:lang w:bidi="en-GB"/>
              </w:rPr>
            </w:pPr>
            <w:r w:rsidRPr="00313353">
              <w:rPr>
                <w:rFonts w:ascii="Simplified Arabic" w:hAnsi="Simplified Arabic" w:cs="Simplified Arabic"/>
                <w:color w:val="000000"/>
                <w:w w:val="92"/>
                <w:sz w:val="20"/>
                <w:rtl/>
              </w:rPr>
              <w:t>قطاع إنتاج مركبات الكربون الهيدروكلوري فلورية</w:t>
            </w:r>
          </w:p>
        </w:tc>
        <w:tc>
          <w:tcPr>
            <w:tcW w:w="1270" w:type="pct"/>
            <w:tcBorders>
              <w:bottom w:val="single" w:sz="4" w:space="0" w:color="auto"/>
            </w:tcBorders>
            <w:vAlign w:val="center"/>
          </w:tcPr>
          <w:p w14:paraId="51A35D75" w14:textId="77777777" w:rsidR="00D44330" w:rsidRPr="00625119" w:rsidRDefault="00D44330" w:rsidP="00625119">
            <w:pPr>
              <w:pStyle w:val="Normal-pool-Table"/>
              <w:keepNext/>
              <w:keepLines/>
              <w:bidi/>
              <w:spacing w:line="280" w:lineRule="exact"/>
              <w:jc w:val="right"/>
              <w:textDirection w:val="tbRlV"/>
              <w:rPr>
                <w:rFonts w:ascii="Simplified Arabic" w:hAnsi="Simplified Arabic" w:cs="Simplified Arabic"/>
                <w:color w:val="000000"/>
                <w:sz w:val="20"/>
                <w:rtl/>
                <w:lang w:bidi="en-GB"/>
              </w:rPr>
            </w:pPr>
            <w:r w:rsidRPr="00625119">
              <w:rPr>
                <w:rFonts w:ascii="Simplified Arabic" w:hAnsi="Simplified Arabic" w:cs="Simplified Arabic"/>
                <w:color w:val="000000"/>
                <w:sz w:val="20"/>
                <w:rtl/>
              </w:rPr>
              <w:t>23,54</w:t>
            </w:r>
          </w:p>
        </w:tc>
        <w:tc>
          <w:tcPr>
            <w:tcW w:w="1272" w:type="pct"/>
            <w:tcBorders>
              <w:bottom w:val="single" w:sz="4" w:space="0" w:color="auto"/>
            </w:tcBorders>
            <w:vAlign w:val="center"/>
          </w:tcPr>
          <w:p w14:paraId="0345389C" w14:textId="77777777" w:rsidR="00D44330" w:rsidRPr="00625119" w:rsidRDefault="00D44330" w:rsidP="00625119">
            <w:pPr>
              <w:pStyle w:val="Normal-pool-Table"/>
              <w:keepNext/>
              <w:keepLines/>
              <w:bidi/>
              <w:spacing w:line="280" w:lineRule="exact"/>
              <w:jc w:val="right"/>
              <w:textDirection w:val="tbRlV"/>
              <w:rPr>
                <w:rFonts w:ascii="Simplified Arabic" w:hAnsi="Simplified Arabic" w:cs="Simplified Arabic"/>
                <w:color w:val="000000"/>
                <w:sz w:val="20"/>
                <w:rtl/>
                <w:lang w:bidi="en-GB"/>
              </w:rPr>
            </w:pPr>
            <w:r w:rsidRPr="00625119">
              <w:rPr>
                <w:rFonts w:ascii="Simplified Arabic" w:hAnsi="Simplified Arabic" w:cs="Simplified Arabic"/>
                <w:color w:val="000000"/>
                <w:sz w:val="20"/>
                <w:rtl/>
              </w:rPr>
              <w:t>23,54</w:t>
            </w:r>
          </w:p>
        </w:tc>
      </w:tr>
      <w:tr w:rsidR="00D44330" w:rsidRPr="00625119" w14:paraId="6360CD6D" w14:textId="77777777" w:rsidTr="00625119">
        <w:trPr>
          <w:trHeight w:val="291"/>
        </w:trPr>
        <w:tc>
          <w:tcPr>
            <w:tcW w:w="649" w:type="pct"/>
            <w:vMerge/>
            <w:tcBorders>
              <w:bottom w:val="single" w:sz="12" w:space="0" w:color="auto"/>
            </w:tcBorders>
          </w:tcPr>
          <w:p w14:paraId="457AC39E" w14:textId="77777777" w:rsidR="00D44330" w:rsidRPr="00625119" w:rsidRDefault="00D44330" w:rsidP="00625119">
            <w:pPr>
              <w:pStyle w:val="Normal-pool-Table"/>
              <w:keepNext/>
              <w:keepLines/>
              <w:bidi/>
              <w:spacing w:line="280" w:lineRule="exact"/>
              <w:jc w:val="both"/>
              <w:rPr>
                <w:rFonts w:ascii="Simplified Arabic" w:hAnsi="Simplified Arabic" w:cs="Simplified Arabic"/>
                <w:color w:val="000000"/>
                <w:sz w:val="20"/>
                <w:rtl/>
              </w:rPr>
            </w:pPr>
          </w:p>
        </w:tc>
        <w:tc>
          <w:tcPr>
            <w:tcW w:w="1808" w:type="pct"/>
            <w:tcBorders>
              <w:top w:val="single" w:sz="4" w:space="0" w:color="auto"/>
              <w:bottom w:val="single" w:sz="12" w:space="0" w:color="auto"/>
            </w:tcBorders>
            <w:vAlign w:val="bottom"/>
          </w:tcPr>
          <w:p w14:paraId="11AF5F37" w14:textId="77777777" w:rsidR="00D44330" w:rsidRPr="00625119" w:rsidRDefault="00D44330" w:rsidP="00625119">
            <w:pPr>
              <w:pStyle w:val="Normal-pool-Table"/>
              <w:keepNext/>
              <w:keepLines/>
              <w:bidi/>
              <w:spacing w:line="280" w:lineRule="exact"/>
              <w:jc w:val="both"/>
              <w:textDirection w:val="tbRlV"/>
              <w:rPr>
                <w:rFonts w:ascii="Simplified Arabic" w:hAnsi="Simplified Arabic" w:cs="Simplified Arabic"/>
                <w:b/>
                <w:bCs/>
                <w:color w:val="000000"/>
                <w:sz w:val="20"/>
                <w:rtl/>
                <w:lang w:bidi="en-GB"/>
              </w:rPr>
            </w:pPr>
            <w:r w:rsidRPr="00625119">
              <w:rPr>
                <w:rFonts w:ascii="Simplified Arabic" w:hAnsi="Simplified Arabic" w:cs="Simplified Arabic"/>
                <w:b/>
                <w:bCs/>
                <w:color w:val="000000"/>
                <w:sz w:val="20"/>
                <w:rtl/>
              </w:rPr>
              <w:t>النطاق الإجمالي</w:t>
            </w:r>
          </w:p>
        </w:tc>
        <w:tc>
          <w:tcPr>
            <w:tcW w:w="1270" w:type="pct"/>
            <w:tcBorders>
              <w:top w:val="single" w:sz="4" w:space="0" w:color="auto"/>
              <w:bottom w:val="single" w:sz="12" w:space="0" w:color="auto"/>
            </w:tcBorders>
            <w:vAlign w:val="center"/>
          </w:tcPr>
          <w:p w14:paraId="0FE47A27" w14:textId="77777777" w:rsidR="00D44330" w:rsidRPr="00625119" w:rsidRDefault="00D44330" w:rsidP="00625119">
            <w:pPr>
              <w:pStyle w:val="Normal-pool-Table"/>
              <w:keepNext/>
              <w:keepLines/>
              <w:bidi/>
              <w:spacing w:line="280" w:lineRule="exact"/>
              <w:jc w:val="right"/>
              <w:textDirection w:val="tbRlV"/>
              <w:rPr>
                <w:rFonts w:ascii="Simplified Arabic" w:hAnsi="Simplified Arabic" w:cs="Simplified Arabic"/>
                <w:b/>
                <w:bCs/>
                <w:color w:val="000000"/>
                <w:sz w:val="20"/>
                <w:rtl/>
                <w:lang w:bidi="en-GB"/>
              </w:rPr>
            </w:pPr>
            <w:r w:rsidRPr="00625119">
              <w:rPr>
                <w:rFonts w:ascii="Simplified Arabic" w:hAnsi="Simplified Arabic" w:cs="Simplified Arabic"/>
                <w:b/>
                <w:bCs/>
                <w:color w:val="000000"/>
                <w:sz w:val="20"/>
                <w:rtl/>
              </w:rPr>
              <w:t>82,5</w:t>
            </w:r>
          </w:p>
        </w:tc>
        <w:tc>
          <w:tcPr>
            <w:tcW w:w="1272" w:type="pct"/>
            <w:tcBorders>
              <w:top w:val="single" w:sz="4" w:space="0" w:color="auto"/>
              <w:bottom w:val="single" w:sz="12" w:space="0" w:color="auto"/>
            </w:tcBorders>
            <w:vAlign w:val="center"/>
          </w:tcPr>
          <w:p w14:paraId="4B2EF459" w14:textId="77777777" w:rsidR="00D44330" w:rsidRPr="00625119" w:rsidRDefault="00D44330" w:rsidP="00625119">
            <w:pPr>
              <w:pStyle w:val="Normal-pool-Table"/>
              <w:keepNext/>
              <w:keepLines/>
              <w:bidi/>
              <w:spacing w:line="280" w:lineRule="exact"/>
              <w:jc w:val="right"/>
              <w:textDirection w:val="tbRlV"/>
              <w:rPr>
                <w:rFonts w:ascii="Simplified Arabic" w:hAnsi="Simplified Arabic" w:cs="Simplified Arabic"/>
                <w:b/>
                <w:bCs/>
                <w:color w:val="000000"/>
                <w:sz w:val="20"/>
                <w:rtl/>
                <w:lang w:bidi="en-GB"/>
              </w:rPr>
            </w:pPr>
            <w:r w:rsidRPr="00625119">
              <w:rPr>
                <w:rFonts w:ascii="Simplified Arabic" w:hAnsi="Simplified Arabic" w:cs="Simplified Arabic"/>
                <w:b/>
                <w:bCs/>
                <w:color w:val="000000"/>
                <w:sz w:val="20"/>
                <w:rtl/>
              </w:rPr>
              <w:t>96,04</w:t>
            </w:r>
          </w:p>
        </w:tc>
      </w:tr>
    </w:tbl>
    <w:p w14:paraId="3D926543" w14:textId="274BAD26" w:rsidR="00D44330" w:rsidRPr="00984A76" w:rsidRDefault="00D44330" w:rsidP="00625119">
      <w:pPr>
        <w:pStyle w:val="CH2"/>
        <w:bidi/>
        <w:spacing w:before="120" w:line="360" w:lineRule="exact"/>
        <w:ind w:left="1134" w:right="0" w:firstLine="0"/>
        <w:jc w:val="both"/>
        <w:textDirection w:val="tbRlV"/>
        <w:rPr>
          <w:rFonts w:ascii="Simplified Arabic" w:hAnsi="Simplified Arabic" w:cs="Simplified Arabic"/>
          <w:rtl/>
          <w:lang w:val="ar-SA" w:eastAsia="zh-TW" w:bidi="en-GB"/>
        </w:rPr>
      </w:pPr>
      <w:r w:rsidRPr="00984A76">
        <w:rPr>
          <w:rFonts w:ascii="Simplified Arabic" w:hAnsi="Simplified Arabic" w:cs="Simplified Arabic"/>
          <w:bCs/>
          <w:rtl/>
        </w:rPr>
        <w:t>التخفيض التدريجي لمركبات الكربون الهيدروفلورية في قطاعي الاستهلاك والإنتاج</w:t>
      </w:r>
    </w:p>
    <w:p w14:paraId="34438E36" w14:textId="7A94430C" w:rsidR="00D44330" w:rsidRPr="00984A76" w:rsidRDefault="00D44330" w:rsidP="00984A76">
      <w:pPr>
        <w:pStyle w:val="CH3"/>
        <w:bidi/>
        <w:spacing w:before="0" w:line="360" w:lineRule="exact"/>
        <w:ind w:left="1134" w:right="0" w:firstLine="0"/>
        <w:jc w:val="both"/>
        <w:textDirection w:val="tbRlV"/>
        <w:rPr>
          <w:rFonts w:ascii="Simplified Arabic" w:hAnsi="Simplified Arabic" w:cs="Simplified Arabic"/>
          <w:i/>
          <w:iCs/>
          <w:sz w:val="24"/>
          <w:szCs w:val="24"/>
          <w:rtl/>
          <w:lang w:val="ar-SA" w:eastAsia="zh-TW" w:bidi="en-GB"/>
        </w:rPr>
      </w:pPr>
      <w:r w:rsidRPr="00984A76">
        <w:rPr>
          <w:rFonts w:ascii="Simplified Arabic" w:hAnsi="Simplified Arabic" w:cs="Simplified Arabic"/>
          <w:bCs/>
          <w:i/>
          <w:iCs/>
          <w:sz w:val="24"/>
          <w:szCs w:val="24"/>
          <w:rtl/>
        </w:rPr>
        <w:t>قطاع استهلاك مركبات الكربون الهيدروفلورية</w:t>
      </w:r>
    </w:p>
    <w:p w14:paraId="1EB3836A" w14:textId="4317EF76" w:rsidR="00D44330" w:rsidRPr="00984A76" w:rsidRDefault="00D44330" w:rsidP="00F45189">
      <w:pPr>
        <w:pStyle w:val="NormalNonumber"/>
        <w:bidi/>
        <w:spacing w:line="350" w:lineRule="exact"/>
        <w:ind w:left="1134"/>
        <w:jc w:val="both"/>
        <w:textDirection w:val="tbRlV"/>
        <w:rPr>
          <w:rFonts w:ascii="Simplified Arabic" w:hAnsi="Simplified Arabic" w:cs="Simplified Arabic"/>
          <w:sz w:val="24"/>
          <w:szCs w:val="24"/>
          <w:rtl/>
          <w:lang w:val="ar-SA" w:eastAsia="zh-TW" w:bidi="en-GB"/>
        </w:rPr>
      </w:pPr>
      <w:r w:rsidRPr="00984A76">
        <w:rPr>
          <w:rFonts w:ascii="Simplified Arabic" w:hAnsi="Simplified Arabic" w:cs="Simplified Arabic"/>
          <w:sz w:val="24"/>
          <w:szCs w:val="24"/>
          <w:rtl/>
        </w:rPr>
        <w:t>تستند التقديرات المتعلقة باحتياجات تمويل الخفض التدريجي لمركبات الكربون الهيدروفلورية خلال فترة السنوات الثلاث 2027-2029 وفترتي السنوات الثلاث المقبلتين، 2030-2032 و203</w:t>
      </w:r>
      <w:r w:rsidR="00EC01B5">
        <w:rPr>
          <w:rFonts w:ascii="Simplified Arabic" w:hAnsi="Simplified Arabic" w:cs="Simplified Arabic" w:hint="cs"/>
          <w:sz w:val="24"/>
          <w:szCs w:val="24"/>
          <w:rtl/>
        </w:rPr>
        <w:t>3</w:t>
      </w:r>
      <w:r w:rsidRPr="00984A76">
        <w:rPr>
          <w:rFonts w:ascii="Simplified Arabic" w:hAnsi="Simplified Arabic" w:cs="Simplified Arabic"/>
          <w:sz w:val="24"/>
          <w:szCs w:val="24"/>
          <w:rtl/>
        </w:rPr>
        <w:t>-203</w:t>
      </w:r>
      <w:r w:rsidR="00EC01B5">
        <w:rPr>
          <w:rFonts w:ascii="Simplified Arabic" w:hAnsi="Simplified Arabic" w:cs="Simplified Arabic" w:hint="cs"/>
          <w:sz w:val="24"/>
          <w:szCs w:val="24"/>
          <w:rtl/>
        </w:rPr>
        <w:t>5</w:t>
      </w:r>
      <w:r w:rsidRPr="00984A76">
        <w:rPr>
          <w:rFonts w:ascii="Simplified Arabic" w:hAnsi="Simplified Arabic" w:cs="Simplified Arabic"/>
          <w:sz w:val="24"/>
          <w:szCs w:val="24"/>
          <w:rtl/>
        </w:rPr>
        <w:t xml:space="preserve">، تستند إلى تحقيق الأطراف العاملة بموجب المادة 5 لأهداف التخفيض ذات الصلة للمجموعة 1 أو المجموعة 2. </w:t>
      </w:r>
    </w:p>
    <w:p w14:paraId="67C52C28" w14:textId="77777777" w:rsidR="00D44330" w:rsidRPr="00077AED" w:rsidRDefault="00D44330" w:rsidP="00F45189">
      <w:pPr>
        <w:pStyle w:val="NormalNonumber"/>
        <w:bidi/>
        <w:spacing w:line="350" w:lineRule="exact"/>
        <w:ind w:left="1134"/>
        <w:jc w:val="both"/>
        <w:textDirection w:val="tbRlV"/>
        <w:rPr>
          <w:rFonts w:ascii="Simplified Arabic" w:hAnsi="Simplified Arabic" w:cs="Simplified Arabic"/>
          <w:b/>
          <w:sz w:val="24"/>
          <w:szCs w:val="24"/>
          <w:rtl/>
          <w:lang w:val="ar-SA" w:eastAsia="zh-TW" w:bidi="en-GB"/>
        </w:rPr>
      </w:pPr>
      <w:r w:rsidRPr="00077AED">
        <w:rPr>
          <w:rFonts w:ascii="Simplified Arabic" w:hAnsi="Simplified Arabic" w:cs="Simplified Arabic"/>
          <w:b/>
          <w:sz w:val="24"/>
          <w:szCs w:val="24"/>
          <w:rtl/>
        </w:rPr>
        <w:t>وتشمل احتياجات التمويل التقديرية لقطاع استهلاك مركبات الكربون الهيدروفلورية ما يلي:</w:t>
      </w:r>
    </w:p>
    <w:p w14:paraId="123BF2A5" w14:textId="77777777" w:rsidR="00D44330" w:rsidRPr="00FE45F5" w:rsidRDefault="00D44330" w:rsidP="00FE45F5">
      <w:pPr>
        <w:pStyle w:val="NormalNonumber"/>
        <w:numPr>
          <w:ilvl w:val="0"/>
          <w:numId w:val="39"/>
        </w:numPr>
        <w:tabs>
          <w:tab w:val="clear" w:pos="624"/>
          <w:tab w:val="clear" w:pos="1247"/>
          <w:tab w:val="clear" w:pos="1871"/>
          <w:tab w:val="clear" w:pos="2495"/>
          <w:tab w:val="clear" w:pos="3119"/>
          <w:tab w:val="clear" w:pos="3742"/>
          <w:tab w:val="clear" w:pos="4366"/>
          <w:tab w:val="clear" w:pos="4990"/>
          <w:tab w:val="left" w:pos="2552"/>
        </w:tabs>
        <w:bidi/>
        <w:spacing w:line="350" w:lineRule="exact"/>
        <w:ind w:left="2552" w:hanging="709"/>
        <w:jc w:val="lowKashida"/>
        <w:textDirection w:val="tbRlV"/>
        <w:rPr>
          <w:rFonts w:ascii="Simplified Arabic" w:hAnsi="Simplified Arabic" w:cs="Simplified Arabic"/>
          <w:sz w:val="24"/>
          <w:szCs w:val="24"/>
          <w:rtl/>
          <w:lang w:bidi="en-GB"/>
        </w:rPr>
      </w:pPr>
      <w:r w:rsidRPr="00984A76">
        <w:rPr>
          <w:rFonts w:ascii="Simplified Arabic" w:hAnsi="Simplified Arabic" w:cs="Simplified Arabic"/>
          <w:sz w:val="24"/>
          <w:szCs w:val="24"/>
          <w:rtl/>
        </w:rPr>
        <w:t>التمويل المخصص لخطط التنفيذ المعتمدة لمركبات الكربون الهيدروفلورية بموجب تعديل كيغالي؛</w:t>
      </w:r>
    </w:p>
    <w:p w14:paraId="20D85DF0" w14:textId="77777777" w:rsidR="00D44330" w:rsidRPr="00FE45F5" w:rsidRDefault="00D44330" w:rsidP="00FE45F5">
      <w:pPr>
        <w:pStyle w:val="NormalNonumber"/>
        <w:numPr>
          <w:ilvl w:val="0"/>
          <w:numId w:val="39"/>
        </w:numPr>
        <w:tabs>
          <w:tab w:val="clear" w:pos="624"/>
          <w:tab w:val="clear" w:pos="1247"/>
          <w:tab w:val="clear" w:pos="1871"/>
          <w:tab w:val="clear" w:pos="2495"/>
          <w:tab w:val="clear" w:pos="3119"/>
          <w:tab w:val="clear" w:pos="3742"/>
          <w:tab w:val="clear" w:pos="4366"/>
          <w:tab w:val="clear" w:pos="4990"/>
          <w:tab w:val="left" w:pos="2552"/>
        </w:tabs>
        <w:bidi/>
        <w:spacing w:line="350" w:lineRule="exact"/>
        <w:ind w:left="2552" w:hanging="709"/>
        <w:jc w:val="lowKashida"/>
        <w:textDirection w:val="tbRlV"/>
        <w:rPr>
          <w:rFonts w:ascii="Simplified Arabic" w:hAnsi="Simplified Arabic" w:cs="Simplified Arabic"/>
          <w:sz w:val="24"/>
          <w:szCs w:val="24"/>
          <w:rtl/>
          <w:lang w:bidi="en-GB"/>
        </w:rPr>
      </w:pPr>
      <w:r w:rsidRPr="00984A76">
        <w:rPr>
          <w:rFonts w:ascii="Simplified Arabic" w:hAnsi="Simplified Arabic" w:cs="Simplified Arabic"/>
          <w:sz w:val="24"/>
          <w:szCs w:val="24"/>
          <w:rtl/>
        </w:rPr>
        <w:t>التمويل التقديري لخطط التنفيذ الجديدة؛</w:t>
      </w:r>
    </w:p>
    <w:p w14:paraId="27988A4B" w14:textId="77777777" w:rsidR="00D44330" w:rsidRPr="00FE45F5" w:rsidRDefault="00D44330" w:rsidP="00FE45F5">
      <w:pPr>
        <w:pStyle w:val="NormalNonumber"/>
        <w:numPr>
          <w:ilvl w:val="0"/>
          <w:numId w:val="39"/>
        </w:numPr>
        <w:tabs>
          <w:tab w:val="clear" w:pos="624"/>
          <w:tab w:val="clear" w:pos="1247"/>
          <w:tab w:val="clear" w:pos="1871"/>
          <w:tab w:val="clear" w:pos="2495"/>
          <w:tab w:val="clear" w:pos="3119"/>
          <w:tab w:val="clear" w:pos="3742"/>
          <w:tab w:val="clear" w:pos="4366"/>
          <w:tab w:val="clear" w:pos="4990"/>
          <w:tab w:val="left" w:pos="2552"/>
        </w:tabs>
        <w:bidi/>
        <w:spacing w:line="350" w:lineRule="exact"/>
        <w:ind w:left="2552" w:hanging="709"/>
        <w:jc w:val="lowKashida"/>
        <w:textDirection w:val="tbRlV"/>
        <w:rPr>
          <w:rFonts w:ascii="Simplified Arabic" w:hAnsi="Simplified Arabic" w:cs="Simplified Arabic"/>
          <w:sz w:val="24"/>
          <w:szCs w:val="24"/>
          <w:rtl/>
          <w:lang w:bidi="en-GB"/>
        </w:rPr>
      </w:pPr>
      <w:r w:rsidRPr="00984A76">
        <w:rPr>
          <w:rFonts w:ascii="Simplified Arabic" w:hAnsi="Simplified Arabic" w:cs="Simplified Arabic"/>
          <w:sz w:val="24"/>
          <w:szCs w:val="24"/>
          <w:rtl/>
        </w:rPr>
        <w:t>التمويل التقديري لتكاليف إعداد المشروع؛</w:t>
      </w:r>
    </w:p>
    <w:p w14:paraId="21FE2B60" w14:textId="77777777" w:rsidR="00D44330" w:rsidRPr="00FE45F5" w:rsidRDefault="00D44330" w:rsidP="00FE45F5">
      <w:pPr>
        <w:pStyle w:val="NormalNonumber"/>
        <w:numPr>
          <w:ilvl w:val="0"/>
          <w:numId w:val="39"/>
        </w:numPr>
        <w:tabs>
          <w:tab w:val="clear" w:pos="624"/>
          <w:tab w:val="clear" w:pos="1247"/>
          <w:tab w:val="clear" w:pos="1871"/>
          <w:tab w:val="clear" w:pos="2495"/>
          <w:tab w:val="clear" w:pos="3119"/>
          <w:tab w:val="clear" w:pos="3742"/>
          <w:tab w:val="clear" w:pos="4366"/>
          <w:tab w:val="clear" w:pos="4990"/>
          <w:tab w:val="left" w:pos="2552"/>
        </w:tabs>
        <w:bidi/>
        <w:spacing w:line="350" w:lineRule="exact"/>
        <w:ind w:left="2552" w:hanging="709"/>
        <w:jc w:val="lowKashida"/>
        <w:textDirection w:val="tbRlV"/>
        <w:rPr>
          <w:rFonts w:ascii="Simplified Arabic" w:hAnsi="Simplified Arabic" w:cs="Simplified Arabic"/>
          <w:sz w:val="24"/>
          <w:szCs w:val="24"/>
          <w:rtl/>
          <w:lang w:bidi="en-GB"/>
        </w:rPr>
      </w:pPr>
      <w:r w:rsidRPr="00984A76">
        <w:rPr>
          <w:rFonts w:ascii="Simplified Arabic" w:hAnsi="Simplified Arabic" w:cs="Simplified Arabic"/>
          <w:sz w:val="24"/>
          <w:szCs w:val="24"/>
          <w:rtl/>
        </w:rPr>
        <w:t>التمويل التقديري للتحقق من استهلاك مركبات الكربون الهيدروفلورية؛</w:t>
      </w:r>
    </w:p>
    <w:p w14:paraId="2ED2CA55" w14:textId="77777777" w:rsidR="00D44330" w:rsidRPr="00FE45F5" w:rsidRDefault="00D44330" w:rsidP="00FE45F5">
      <w:pPr>
        <w:pStyle w:val="NormalNonumber"/>
        <w:numPr>
          <w:ilvl w:val="0"/>
          <w:numId w:val="39"/>
        </w:numPr>
        <w:tabs>
          <w:tab w:val="clear" w:pos="624"/>
          <w:tab w:val="clear" w:pos="1247"/>
          <w:tab w:val="clear" w:pos="1871"/>
          <w:tab w:val="clear" w:pos="2495"/>
          <w:tab w:val="clear" w:pos="3119"/>
          <w:tab w:val="clear" w:pos="3742"/>
          <w:tab w:val="clear" w:pos="4366"/>
          <w:tab w:val="clear" w:pos="4990"/>
          <w:tab w:val="left" w:pos="2552"/>
        </w:tabs>
        <w:bidi/>
        <w:spacing w:line="350" w:lineRule="exact"/>
        <w:ind w:left="2552" w:hanging="709"/>
        <w:jc w:val="lowKashida"/>
        <w:textDirection w:val="tbRlV"/>
        <w:rPr>
          <w:rFonts w:ascii="Simplified Arabic" w:hAnsi="Simplified Arabic" w:cs="Simplified Arabic"/>
          <w:sz w:val="24"/>
          <w:szCs w:val="24"/>
          <w:rtl/>
          <w:lang w:bidi="en-GB"/>
        </w:rPr>
      </w:pPr>
      <w:r w:rsidRPr="00984A76">
        <w:rPr>
          <w:rFonts w:ascii="Simplified Arabic" w:hAnsi="Simplified Arabic" w:cs="Simplified Arabic"/>
          <w:sz w:val="24"/>
          <w:szCs w:val="24"/>
          <w:rtl/>
        </w:rPr>
        <w:t xml:space="preserve">التمويل التقديري المرتبط بأنشطة كفاءة الطاقة (مقرر اللجنة التنفيذية 91/65 بشأن قطاع الصيانة، ومقرر اللجنة التنفيذية 94/60 بشأن قطاعات التصنيع، ومقرر اللجنة التنفيذية 95/87 بشأن الصندوق المتجدد)؛ </w:t>
      </w:r>
    </w:p>
    <w:p w14:paraId="67A8EB27" w14:textId="6C9AFF64" w:rsidR="00D44330" w:rsidRPr="00984A76" w:rsidRDefault="00D44330" w:rsidP="00FE45F5">
      <w:pPr>
        <w:pStyle w:val="NormalNonumber"/>
        <w:numPr>
          <w:ilvl w:val="0"/>
          <w:numId w:val="39"/>
        </w:numPr>
        <w:tabs>
          <w:tab w:val="clear" w:pos="624"/>
          <w:tab w:val="clear" w:pos="1247"/>
          <w:tab w:val="clear" w:pos="1871"/>
          <w:tab w:val="clear" w:pos="2495"/>
          <w:tab w:val="clear" w:pos="3119"/>
          <w:tab w:val="clear" w:pos="3742"/>
          <w:tab w:val="clear" w:pos="4366"/>
          <w:tab w:val="clear" w:pos="4990"/>
          <w:tab w:val="left" w:pos="2552"/>
        </w:tabs>
        <w:bidi/>
        <w:spacing w:line="350" w:lineRule="exact"/>
        <w:ind w:left="2552" w:hanging="709"/>
        <w:jc w:val="lowKashida"/>
        <w:textDirection w:val="tbRlV"/>
        <w:rPr>
          <w:rFonts w:ascii="Simplified Arabic" w:hAnsi="Simplified Arabic" w:cs="Simplified Arabic"/>
          <w:sz w:val="24"/>
          <w:szCs w:val="24"/>
          <w:rtl/>
          <w:lang w:val="ar-SA" w:eastAsia="zh-TW" w:bidi="en-GB"/>
        </w:rPr>
      </w:pPr>
      <w:r w:rsidRPr="00984A76">
        <w:rPr>
          <w:rFonts w:ascii="Simplified Arabic" w:hAnsi="Simplified Arabic" w:cs="Simplified Arabic"/>
          <w:sz w:val="24"/>
          <w:szCs w:val="24"/>
          <w:rtl/>
        </w:rPr>
        <w:t>التمويل لتعزيز القدرات الإقليمية في مجال رصد الغلاف الجوي.</w:t>
      </w:r>
    </w:p>
    <w:p w14:paraId="565233EC" w14:textId="77777777" w:rsidR="00D44330" w:rsidRPr="00984A76" w:rsidRDefault="00D44330" w:rsidP="00F45189">
      <w:pPr>
        <w:pStyle w:val="NormalNonumber"/>
        <w:bidi/>
        <w:spacing w:line="350" w:lineRule="exact"/>
        <w:ind w:left="1134"/>
        <w:jc w:val="both"/>
        <w:textDirection w:val="tbRlV"/>
        <w:rPr>
          <w:rFonts w:ascii="Simplified Arabic" w:hAnsi="Simplified Arabic" w:cs="Simplified Arabic"/>
          <w:sz w:val="24"/>
          <w:szCs w:val="24"/>
          <w:rtl/>
          <w:lang w:val="ar-SA" w:eastAsia="zh-TW" w:bidi="en-GB"/>
        </w:rPr>
      </w:pPr>
      <w:r w:rsidRPr="00984A76">
        <w:rPr>
          <w:rFonts w:ascii="Simplified Arabic" w:hAnsi="Simplified Arabic" w:cs="Simplified Arabic"/>
          <w:sz w:val="24"/>
          <w:szCs w:val="24"/>
          <w:rtl/>
        </w:rPr>
        <w:t xml:space="preserve">وحتى 8 نيسان/أبريل 2026، صدق 125 طرفًا من الأطراف العاملة بموجب المادة 5، من أصل 144 طرفاً، على تعديل كيغالي. ولغرض تحليل التمويل التقديري لفترة السنوات الثلاث 2027-2029 الخاص بالتخفيض التدريجي لمركبات الكربون الهيدروفلورية، افترضت فرقة العمل المعنية بتجديد الموارد أن الأطراف الـ 19 المتبقية ستصدق على التعديل بحلول عام 2029. </w:t>
      </w:r>
    </w:p>
    <w:p w14:paraId="2A9ECF22" w14:textId="0DAF3881" w:rsidR="00D44330" w:rsidRPr="00087C24" w:rsidRDefault="00D44330" w:rsidP="00F45189">
      <w:pPr>
        <w:pStyle w:val="NormalNonumber"/>
        <w:bidi/>
        <w:spacing w:line="350" w:lineRule="exact"/>
        <w:ind w:left="1134"/>
        <w:jc w:val="both"/>
        <w:textDirection w:val="tbRlV"/>
        <w:rPr>
          <w:rFonts w:ascii="Simplified Arabic" w:hAnsi="Simplified Arabic" w:cs="Simplified Arabic"/>
          <w:sz w:val="24"/>
          <w:szCs w:val="24"/>
          <w:lang w:val="en-GB" w:eastAsia="zh-TW" w:bidi="en-GB"/>
        </w:rPr>
      </w:pPr>
      <w:r w:rsidRPr="00984A76">
        <w:rPr>
          <w:rFonts w:ascii="Simplified Arabic" w:hAnsi="Simplified Arabic" w:cs="Simplified Arabic"/>
          <w:sz w:val="24"/>
          <w:szCs w:val="24"/>
          <w:rtl/>
        </w:rPr>
        <w:lastRenderedPageBreak/>
        <w:t>ونظرًا لأن خطط التنفيذ لمركبات الكربون الهيدروفلورية بموجب تعديل كيغالي لا تزال في المراحل الأولى من التنفيذ، فإن الفرقة لم تجد تحليلًا تاريخيًا كافيًا لفعالية التكلفة فيما يخص قطاعات التصنيع مستمد من هذه الخطط المعتمدة، كما أن البيانات المتاحة لا توفر معلومات كافية للنظر في القيم التاريخية بما يتجاوز المبادئ التوجيهية للتكاليف المتعلقة بفعالية التكلفة. وقدرت الفرقة التمويل استنادًا إلى المبادئ التوجيهية الخاصة بتكاليف المرحلة الأولى من خطط التنفيذ لمركبات الكربون الهيدروفلورية بموجب تعديل كيغالي</w:t>
      </w:r>
      <w:r w:rsidR="00F47D40" w:rsidRPr="00087C24">
        <w:rPr>
          <w:rFonts w:ascii="Simplified Arabic" w:hAnsi="Simplified Arabic" w:cs="Simplified Arabic"/>
          <w:sz w:val="24"/>
          <w:szCs w:val="24"/>
          <w:lang w:val="en-GB"/>
        </w:rPr>
        <w:t xml:space="preserve"> </w:t>
      </w:r>
      <w:r w:rsidRPr="00984A76">
        <w:rPr>
          <w:rFonts w:ascii="Simplified Arabic" w:hAnsi="Simplified Arabic" w:cs="Simplified Arabic"/>
          <w:sz w:val="24"/>
          <w:szCs w:val="24"/>
          <w:rtl/>
        </w:rPr>
        <w:t>بالنسبة لقطاعات التصنيع المتفق عليها. وعندما لم تتوفر هذه البيانات بالنسبة لبعض القطاعات الفردية التي عولجت على أساس كل حالة على حدة، استخدمت الفرقة فعالية التكلفة استنادًا إلى فريق التقييم التكنولوجي والاقتصادي ولجان الخيارات التقنية، إضافةً إلى مشورة خبراء القطاعات في الفرقة. كذلك جرى تقدير التمويل اللازم للمرحلة الثانية من خطط التنفيذ، باستخدام فعالية التكلفة للمرحلة الأولى، دون أخذ أي تأثير محتمل لاستعراض المبادئ التوجيهية، المتوقع إجراؤه في عام 2028، في الاعتبار. ومن المهم ملاحظة أن فعالية التكلفة للصيانة في إطار المرحلة الأولى قد أُخذت في الاعتبار للفترة التي سيتم فيها تنفيذ خطة التنفيذ لمركبات الكربون الهيدروفلورية بموجب تعديل كيغالي وخطة إدارة التخلص التدريجي من مركبات الكربون الهيدروكلورية فلورية في البلد بشكل متزامن. أما المرحلة الثانية فستنفذ بشكل أساسي في الحالات التي لا يتم فيها التنفيذ المتزامن.</w:t>
      </w:r>
    </w:p>
    <w:p w14:paraId="297D227F" w14:textId="16175960" w:rsidR="00D44330" w:rsidRPr="00984A76" w:rsidRDefault="00D44330" w:rsidP="00F45189">
      <w:pPr>
        <w:pStyle w:val="NormalNonumber"/>
        <w:bidi/>
        <w:spacing w:line="350" w:lineRule="exact"/>
        <w:ind w:left="1134"/>
        <w:jc w:val="both"/>
        <w:textDirection w:val="tbRlV"/>
        <w:rPr>
          <w:rFonts w:ascii="Simplified Arabic" w:hAnsi="Simplified Arabic" w:cs="Simplified Arabic"/>
          <w:sz w:val="24"/>
          <w:szCs w:val="24"/>
          <w:rtl/>
          <w:lang w:val="ar-SA" w:eastAsia="zh-TW" w:bidi="en-GB"/>
        </w:rPr>
      </w:pPr>
      <w:r w:rsidRPr="00984A76">
        <w:rPr>
          <w:rFonts w:ascii="Simplified Arabic" w:hAnsi="Simplified Arabic" w:cs="Simplified Arabic"/>
          <w:sz w:val="24"/>
          <w:szCs w:val="24"/>
          <w:rtl/>
        </w:rPr>
        <w:t>وتستخدم الفرقة جداول تعديل كيغالي في نموذج الامتثال الخاص بها، كما تستخدم التخفيضات من خط الأساس المحدد. وفيما يتعلق بتقديرات التمويل، يُعتبر مكون مركبات الكربون الهيدروكلورية فلورية الذي يمثل 65٪ من خط الأساس استهلاكًا ضمن قطاع الصيانة، ويتم حساب التمويل وفقًا لعتبات فعالية التكلفة المحددة في المبادئ التوجيهية للتكاليف والمعتمدة لهذا القطاع.</w:t>
      </w:r>
    </w:p>
    <w:p w14:paraId="40A11F21" w14:textId="77777777" w:rsidR="00D44330" w:rsidRPr="00984A76" w:rsidRDefault="00D44330" w:rsidP="00F45189">
      <w:pPr>
        <w:pStyle w:val="NormalNonumber"/>
        <w:bidi/>
        <w:spacing w:line="350" w:lineRule="exact"/>
        <w:ind w:left="1134"/>
        <w:jc w:val="both"/>
        <w:textDirection w:val="tbRlV"/>
        <w:rPr>
          <w:rFonts w:ascii="Simplified Arabic" w:hAnsi="Simplified Arabic" w:cs="Simplified Arabic"/>
          <w:sz w:val="24"/>
          <w:szCs w:val="24"/>
          <w:rtl/>
          <w:lang w:val="ar-SA" w:eastAsia="zh-TW" w:bidi="en-GB"/>
        </w:rPr>
      </w:pPr>
      <w:r w:rsidRPr="00984A76">
        <w:rPr>
          <w:rFonts w:ascii="Simplified Arabic" w:hAnsi="Simplified Arabic" w:cs="Simplified Arabic"/>
          <w:sz w:val="24"/>
          <w:szCs w:val="24"/>
          <w:rtl/>
        </w:rPr>
        <w:t>وكما هو موضح بالتفصيل في الفصل 3 والمرفقين 3 و4 من هذا التقرير، فإن منهجية نموذج الامتثال الخاصة بالفرقة لقطاع الاستهلاك تحسب التمويل اللازم لتلبية احتياجات الأطراف من أجل الامتثال لجداول التخفيض التدريجي المنصوص عليها في تعديل كيغالي، على النحو التالي:</w:t>
      </w:r>
    </w:p>
    <w:p w14:paraId="00340949" w14:textId="21EA4B1D" w:rsidR="00D44330" w:rsidRPr="002526E2" w:rsidRDefault="00D44330" w:rsidP="002526E2">
      <w:pPr>
        <w:pStyle w:val="NormalNonumber"/>
        <w:numPr>
          <w:ilvl w:val="0"/>
          <w:numId w:val="39"/>
        </w:numPr>
        <w:tabs>
          <w:tab w:val="clear" w:pos="624"/>
          <w:tab w:val="clear" w:pos="1247"/>
          <w:tab w:val="clear" w:pos="1871"/>
          <w:tab w:val="clear" w:pos="2495"/>
          <w:tab w:val="clear" w:pos="3119"/>
          <w:tab w:val="clear" w:pos="3742"/>
          <w:tab w:val="clear" w:pos="4366"/>
          <w:tab w:val="clear" w:pos="4990"/>
          <w:tab w:val="left" w:pos="2552"/>
        </w:tabs>
        <w:bidi/>
        <w:spacing w:line="350" w:lineRule="exact"/>
        <w:ind w:left="2552" w:hanging="709"/>
        <w:jc w:val="lowKashida"/>
        <w:textDirection w:val="tbRlV"/>
        <w:rPr>
          <w:rFonts w:ascii="Simplified Arabic" w:hAnsi="Simplified Arabic" w:cs="Simplified Arabic"/>
          <w:sz w:val="24"/>
          <w:szCs w:val="24"/>
          <w:rtl/>
          <w:lang w:val="ar-SA" w:eastAsia="zh-TW" w:bidi="en-GB"/>
        </w:rPr>
      </w:pPr>
      <w:r w:rsidRPr="002526E2">
        <w:rPr>
          <w:rFonts w:ascii="Simplified Arabic" w:hAnsi="Simplified Arabic" w:cs="Simplified Arabic"/>
          <w:sz w:val="24"/>
          <w:szCs w:val="24"/>
          <w:rtl/>
        </w:rPr>
        <w:t>الأطراف في المجموعة 1: خفض بنسبة 10</w:t>
      </w:r>
      <w:r w:rsidR="007758E0" w:rsidRPr="002526E2">
        <w:rPr>
          <w:rFonts w:ascii="Simplified Arabic" w:hAnsi="Simplified Arabic" w:cs="Simplified Arabic"/>
          <w:sz w:val="24"/>
          <w:szCs w:val="24"/>
          <w:rtl/>
        </w:rPr>
        <w:t>٪</w:t>
      </w:r>
      <w:r w:rsidRPr="002526E2">
        <w:rPr>
          <w:rFonts w:ascii="Simplified Arabic" w:hAnsi="Simplified Arabic" w:cs="Simplified Arabic"/>
          <w:sz w:val="24"/>
          <w:szCs w:val="24"/>
          <w:rtl/>
        </w:rPr>
        <w:t xml:space="preserve"> عن خط الأساس بحلول عام 2029 (المرحلة الأولى من خطط التنفيذ)، وخفض بنسبة 30</w:t>
      </w:r>
      <w:r w:rsidR="007758E0" w:rsidRPr="002526E2">
        <w:rPr>
          <w:rFonts w:ascii="Simplified Arabic" w:hAnsi="Simplified Arabic" w:cs="Simplified Arabic"/>
          <w:sz w:val="24"/>
          <w:szCs w:val="24"/>
          <w:rtl/>
        </w:rPr>
        <w:t>٪</w:t>
      </w:r>
      <w:r w:rsidRPr="002526E2">
        <w:rPr>
          <w:rFonts w:ascii="Simplified Arabic" w:hAnsi="Simplified Arabic" w:cs="Simplified Arabic"/>
          <w:sz w:val="24"/>
          <w:szCs w:val="24"/>
          <w:rtl/>
        </w:rPr>
        <w:t xml:space="preserve"> بحلول عام 2035 (المرحلة الثانية من خطط التنفيذ)، </w:t>
      </w:r>
    </w:p>
    <w:p w14:paraId="6754F641" w14:textId="77777777" w:rsidR="00D44330" w:rsidRPr="00984A76" w:rsidRDefault="00D44330" w:rsidP="00F45189">
      <w:pPr>
        <w:pStyle w:val="NormalNonumber"/>
        <w:numPr>
          <w:ilvl w:val="0"/>
          <w:numId w:val="39"/>
        </w:numPr>
        <w:tabs>
          <w:tab w:val="clear" w:pos="624"/>
          <w:tab w:val="clear" w:pos="1247"/>
          <w:tab w:val="clear" w:pos="1871"/>
          <w:tab w:val="clear" w:pos="2495"/>
          <w:tab w:val="clear" w:pos="3119"/>
          <w:tab w:val="clear" w:pos="3742"/>
          <w:tab w:val="clear" w:pos="4366"/>
          <w:tab w:val="clear" w:pos="4990"/>
          <w:tab w:val="left" w:pos="2552"/>
        </w:tabs>
        <w:bidi/>
        <w:spacing w:line="350" w:lineRule="exact"/>
        <w:ind w:left="2552" w:hanging="709"/>
        <w:jc w:val="both"/>
        <w:textDirection w:val="tbRlV"/>
        <w:rPr>
          <w:rFonts w:ascii="Simplified Arabic" w:hAnsi="Simplified Arabic" w:cs="Simplified Arabic"/>
          <w:sz w:val="24"/>
          <w:szCs w:val="24"/>
          <w:rtl/>
          <w:lang w:val="ar-SA" w:eastAsia="zh-TW" w:bidi="en-GB"/>
        </w:rPr>
      </w:pPr>
      <w:r w:rsidRPr="00984A76">
        <w:rPr>
          <w:rFonts w:ascii="Simplified Arabic" w:hAnsi="Simplified Arabic" w:cs="Simplified Arabic"/>
          <w:sz w:val="24"/>
          <w:szCs w:val="24"/>
          <w:rtl/>
        </w:rPr>
        <w:t>الأطراف في المجموعة 2: التجميد بحلول عام 2028؛ وخفض بنسبة 10٪ عن خط الأساس بحلول عام 2032 (المرحلة الأولى من خطط التنفيذ).</w:t>
      </w:r>
    </w:p>
    <w:p w14:paraId="4178196B" w14:textId="77777777" w:rsidR="00D44330" w:rsidRPr="00984A76" w:rsidRDefault="00D44330" w:rsidP="00F45189">
      <w:pPr>
        <w:pStyle w:val="NormalNonumber"/>
        <w:bidi/>
        <w:spacing w:line="350" w:lineRule="exact"/>
        <w:ind w:left="1134"/>
        <w:jc w:val="both"/>
        <w:textDirection w:val="tbRlV"/>
        <w:rPr>
          <w:rFonts w:ascii="Simplified Arabic" w:hAnsi="Simplified Arabic" w:cs="Simplified Arabic"/>
          <w:sz w:val="24"/>
          <w:szCs w:val="24"/>
          <w:rtl/>
          <w:lang w:val="ar-SA" w:eastAsia="zh-TW" w:bidi="en-GB"/>
        </w:rPr>
      </w:pPr>
      <w:r w:rsidRPr="00984A76">
        <w:rPr>
          <w:rFonts w:ascii="Simplified Arabic" w:hAnsi="Simplified Arabic" w:cs="Simplified Arabic"/>
          <w:sz w:val="24"/>
          <w:szCs w:val="24"/>
          <w:rtl/>
        </w:rPr>
        <w:t xml:space="preserve">ويبين نموذج الامتثال الخاص بـالفرقة لتقدير التمويل المطلوب دورة مشاريع الصندوق المتعدد الأطراف بهدف مراعاة التقدم المتفاوت الذي تحرزه الأطراف المختلفة، فضلاً عن التخفيضات التي تتجاوز أهداف الرقابة فيما يخص بعض الأطراف. ويأخذ النموذج في الاعتبار الخفض الذي يحققه كل بلد على حدة والي يجري تناوله في إطار خطة تنفيذ. ويُقدِّر النموذج احتياجات التمويل لقطاع استهلاك مركبات الكربون الهيدروفلورية من خلال البدء بحساب إجمالي التمويل المطلوب لتحقيق أهداف التخفيض في كل من المرحلة الأولى والمرحلة الثانية (10٪ و30٪) للأطراف من المجموعة الأولى، وبالنسبة للأطراف من المجموعة الثانية، تحقيق هدف التجميد والتخفيض في المرحلة الأولى (10٪). وتغطي هذه المبالغ الإجمالية احتياجات التمويل لفترة مدتها 9 سنوات (من عام 2027 إلى عام 2035). </w:t>
      </w:r>
    </w:p>
    <w:p w14:paraId="37740520" w14:textId="6C956171" w:rsidR="00D44330" w:rsidRPr="00984A76" w:rsidRDefault="00D44330" w:rsidP="00F45189">
      <w:pPr>
        <w:pStyle w:val="NormalNonumber"/>
        <w:bidi/>
        <w:spacing w:line="350" w:lineRule="exact"/>
        <w:ind w:left="1134"/>
        <w:jc w:val="both"/>
        <w:textDirection w:val="tbRlV"/>
        <w:rPr>
          <w:rFonts w:ascii="Simplified Arabic" w:hAnsi="Simplified Arabic" w:cs="Simplified Arabic"/>
          <w:sz w:val="24"/>
          <w:szCs w:val="24"/>
          <w:rtl/>
          <w:lang w:val="ar-SA" w:eastAsia="zh-TW" w:bidi="en-GB"/>
        </w:rPr>
      </w:pPr>
      <w:r w:rsidRPr="00984A76">
        <w:rPr>
          <w:rFonts w:ascii="Simplified Arabic" w:hAnsi="Simplified Arabic" w:cs="Simplified Arabic"/>
          <w:sz w:val="24"/>
          <w:szCs w:val="24"/>
          <w:rtl/>
        </w:rPr>
        <w:t>ومن ثم وزعت الفرقة إجمالي التمويل التقديري المطلوب (المرحلتان الأولى والثانية) على كل فترة من فترات السنوات الثلاث خلال الفترة من 2027 إلى 2035، باستخدام مقترحين لتخصيص الموارد (ألف وباء)، تم اقتراحهما لكي تنظر فيهما الأطراف و/أو للحصول على أي تعليمات إضافية تتعلق بالتقرير التكميلي للفرقة. وتتيح هذه المنهجية مراعاة أهداف الامتثال المختلفة للأطراف من المجموعتين 1 و2، مع مراعاة الظروف الوطنية وأهداف الرقابة المختلفة في كلتا المجموعتين من الأطراف.</w:t>
      </w:r>
    </w:p>
    <w:p w14:paraId="78F55BA3" w14:textId="3B6F2572" w:rsidR="00D44330" w:rsidRPr="00984A76" w:rsidRDefault="00D44330" w:rsidP="00F45189">
      <w:pPr>
        <w:pStyle w:val="NormalNonumber"/>
        <w:bidi/>
        <w:spacing w:line="350" w:lineRule="exact"/>
        <w:ind w:left="1134"/>
        <w:jc w:val="lowKashida"/>
        <w:textDirection w:val="tbRlV"/>
        <w:rPr>
          <w:rFonts w:ascii="Simplified Arabic" w:hAnsi="Simplified Arabic" w:cs="Simplified Arabic"/>
          <w:sz w:val="24"/>
          <w:szCs w:val="24"/>
          <w:rtl/>
          <w:lang w:val="ar-SA" w:eastAsia="zh-TW" w:bidi="en-GB"/>
        </w:rPr>
      </w:pPr>
      <w:r w:rsidRPr="00984A76">
        <w:rPr>
          <w:rFonts w:ascii="Simplified Arabic" w:hAnsi="Simplified Arabic" w:cs="Simplified Arabic"/>
          <w:sz w:val="24"/>
          <w:szCs w:val="24"/>
          <w:rtl/>
        </w:rPr>
        <w:lastRenderedPageBreak/>
        <w:t>وتوجه الاختصاصات التي وافقت عليها الأطراف في المقرر 37/6 فرقة العمل المعنية بتجديد الموارد بأن تستخدم</w:t>
      </w:r>
      <w:r w:rsidR="00B457E9">
        <w:rPr>
          <w:rFonts w:ascii="Simplified Arabic" w:hAnsi="Simplified Arabic" w:cs="Simplified Arabic"/>
          <w:sz w:val="24"/>
          <w:szCs w:val="24"/>
          <w:lang w:val="en-US"/>
        </w:rPr>
        <w:t>”</w:t>
      </w:r>
      <w:r w:rsidR="001778A3">
        <w:rPr>
          <w:rFonts w:ascii="Simplified Arabic" w:hAnsi="Simplified Arabic" w:cs="Simplified Arabic"/>
          <w:sz w:val="24"/>
          <w:szCs w:val="24"/>
          <w:lang w:val="en-US"/>
        </w:rPr>
        <w:t xml:space="preserve"> </w:t>
      </w:r>
      <w:r w:rsidRPr="00984A76">
        <w:rPr>
          <w:rFonts w:ascii="Simplified Arabic" w:hAnsi="Simplified Arabic" w:cs="Simplified Arabic"/>
          <w:sz w:val="24"/>
          <w:szCs w:val="24"/>
          <w:rtl/>
        </w:rPr>
        <w:t>منهجية قائمة على الامتثال وموضحة بجلاء وتسترشد بخطة عمل الصندوق المتعدد الأطراف ولكنها مستقلة عنها، وتطبق مجموعة من أرقام فعالية التكلفة لقطاعات التصنيع استناداً إلى الخبرة التاريخية وليس فقط إلى عتبات فعالية التكلفة التي وافقت عليها اللجنة التنفيذية</w:t>
      </w:r>
      <w:r w:rsidR="00086B99" w:rsidRPr="00087C24">
        <w:rPr>
          <w:rFonts w:ascii="Simplified Arabic" w:hAnsi="Simplified Arabic" w:cs="Simplified Arabic"/>
          <w:sz w:val="24"/>
          <w:szCs w:val="24"/>
          <w:lang w:val="en-GB"/>
        </w:rPr>
        <w:t>“</w:t>
      </w:r>
      <w:r w:rsidRPr="00984A76">
        <w:rPr>
          <w:rFonts w:ascii="Simplified Arabic" w:hAnsi="Simplified Arabic" w:cs="Simplified Arabic"/>
          <w:sz w:val="24"/>
          <w:szCs w:val="24"/>
          <w:rtl/>
        </w:rPr>
        <w:t>. واستجابةً لهذا الطلب، ونظراً لعدم توفر قيم تاريخية لفعالية التكلفة بسبب محدودية الخبرة في تنفيذ خطط التنفيذ، ومن أجل تقديم نطاق تمويلي تقديري، استندت الفرقة في حساباتها إلى سيناريوهين، على النحو التالي:</w:t>
      </w:r>
    </w:p>
    <w:p w14:paraId="77C97333" w14:textId="77777777" w:rsidR="00D44330" w:rsidRPr="00863F36" w:rsidRDefault="00D44330" w:rsidP="00F45189">
      <w:pPr>
        <w:pStyle w:val="NormalNonumber"/>
        <w:numPr>
          <w:ilvl w:val="0"/>
          <w:numId w:val="39"/>
        </w:numPr>
        <w:tabs>
          <w:tab w:val="clear" w:pos="624"/>
          <w:tab w:val="clear" w:pos="1247"/>
          <w:tab w:val="clear" w:pos="1871"/>
          <w:tab w:val="clear" w:pos="2495"/>
          <w:tab w:val="clear" w:pos="3119"/>
          <w:tab w:val="clear" w:pos="3742"/>
          <w:tab w:val="clear" w:pos="4366"/>
          <w:tab w:val="clear" w:pos="4990"/>
          <w:tab w:val="left" w:pos="2552"/>
        </w:tabs>
        <w:bidi/>
        <w:spacing w:line="350" w:lineRule="exact"/>
        <w:ind w:left="2552" w:hanging="709"/>
        <w:jc w:val="both"/>
        <w:textDirection w:val="tbRlV"/>
        <w:rPr>
          <w:rFonts w:ascii="Simplified Arabic" w:hAnsi="Simplified Arabic" w:cs="Simplified Arabic"/>
          <w:w w:val="98"/>
          <w:sz w:val="24"/>
          <w:szCs w:val="24"/>
          <w:rtl/>
          <w:lang w:bidi="en-GB"/>
        </w:rPr>
      </w:pPr>
      <w:r w:rsidRPr="00863F36">
        <w:rPr>
          <w:rFonts w:ascii="Simplified Arabic" w:hAnsi="Simplified Arabic" w:cs="Simplified Arabic"/>
          <w:w w:val="98"/>
          <w:sz w:val="24"/>
          <w:szCs w:val="24"/>
          <w:rtl/>
        </w:rPr>
        <w:t xml:space="preserve">السيناريو 1 الخاص بمركبات الكربون الهيدروفلورية: تطبيق فعالية التكلفة على القطاعات المختلفة وفقًا للمبادئ التوجيهية بشأن التكاليف، ودون أخذ الشركات الصغيرة والمتوسطة في الاعتبار؛ </w:t>
      </w:r>
    </w:p>
    <w:p w14:paraId="06555674" w14:textId="6E021450" w:rsidR="00D44330" w:rsidRPr="00984A76" w:rsidRDefault="00D44330" w:rsidP="00F45189">
      <w:pPr>
        <w:pStyle w:val="NormalNonumber"/>
        <w:numPr>
          <w:ilvl w:val="0"/>
          <w:numId w:val="39"/>
        </w:numPr>
        <w:tabs>
          <w:tab w:val="clear" w:pos="624"/>
          <w:tab w:val="clear" w:pos="1247"/>
          <w:tab w:val="clear" w:pos="1871"/>
          <w:tab w:val="clear" w:pos="2495"/>
          <w:tab w:val="clear" w:pos="3119"/>
          <w:tab w:val="clear" w:pos="3742"/>
          <w:tab w:val="clear" w:pos="4366"/>
          <w:tab w:val="clear" w:pos="4990"/>
          <w:tab w:val="left" w:pos="2552"/>
        </w:tabs>
        <w:bidi/>
        <w:spacing w:line="350" w:lineRule="exact"/>
        <w:ind w:left="2552" w:hanging="709"/>
        <w:jc w:val="both"/>
        <w:textDirection w:val="tbRlV"/>
        <w:rPr>
          <w:rFonts w:ascii="Simplified Arabic" w:hAnsi="Simplified Arabic" w:cs="Simplified Arabic"/>
          <w:sz w:val="24"/>
          <w:szCs w:val="24"/>
          <w:rtl/>
          <w:lang w:val="ar-SA" w:eastAsia="zh-TW" w:bidi="en-GB"/>
        </w:rPr>
      </w:pPr>
      <w:r w:rsidRPr="00984A76">
        <w:rPr>
          <w:rFonts w:ascii="Simplified Arabic" w:hAnsi="Simplified Arabic" w:cs="Simplified Arabic"/>
          <w:sz w:val="24"/>
          <w:szCs w:val="24"/>
          <w:rtl/>
        </w:rPr>
        <w:t>السيناريو 2 الخاص بمركبات الكربون الهيدروفلورية: تطبيق فعالية التكلفة</w:t>
      </w:r>
      <w:r w:rsidR="00086B99" w:rsidRPr="00087C24">
        <w:rPr>
          <w:rFonts w:ascii="Simplified Arabic" w:hAnsi="Simplified Arabic" w:cs="Simplified Arabic"/>
          <w:sz w:val="24"/>
          <w:szCs w:val="24"/>
          <w:lang w:val="en-GB"/>
        </w:rPr>
        <w:t xml:space="preserve"> </w:t>
      </w:r>
      <w:r w:rsidRPr="00984A76">
        <w:rPr>
          <w:rFonts w:ascii="Simplified Arabic" w:hAnsi="Simplified Arabic" w:cs="Simplified Arabic"/>
          <w:sz w:val="24"/>
          <w:szCs w:val="24"/>
          <w:rtl/>
        </w:rPr>
        <w:t>وفقًا لنسبة مشاركة الشركات الصغيرة والمتوسطة في بعض قطاعات التصنيع، وتطبيق عتبات فعالية التكلفة (الأعلى) الخاصة بها؛</w:t>
      </w:r>
    </w:p>
    <w:p w14:paraId="12E25B69" w14:textId="77777777" w:rsidR="00D44330" w:rsidRPr="00984A76" w:rsidRDefault="00D44330" w:rsidP="00F45189">
      <w:pPr>
        <w:pStyle w:val="NormalNonumber"/>
        <w:bidi/>
        <w:spacing w:line="350" w:lineRule="exact"/>
        <w:ind w:left="1134"/>
        <w:jc w:val="both"/>
        <w:textDirection w:val="tbRlV"/>
        <w:rPr>
          <w:rFonts w:ascii="Simplified Arabic" w:hAnsi="Simplified Arabic" w:cs="Simplified Arabic"/>
          <w:sz w:val="24"/>
          <w:szCs w:val="24"/>
          <w:rtl/>
          <w:lang w:val="ar-SA" w:eastAsia="zh-TW" w:bidi="en-GB"/>
        </w:rPr>
      </w:pPr>
      <w:r w:rsidRPr="00984A76">
        <w:rPr>
          <w:rFonts w:ascii="Simplified Arabic" w:hAnsi="Simplified Arabic" w:cs="Simplified Arabic"/>
          <w:sz w:val="24"/>
          <w:szCs w:val="24"/>
          <w:rtl/>
        </w:rPr>
        <w:t>وفي كلا السيناريوهين:</w:t>
      </w:r>
    </w:p>
    <w:p w14:paraId="10D998A0" w14:textId="39C820A4" w:rsidR="00D44330" w:rsidRPr="00984A76" w:rsidRDefault="00D44330" w:rsidP="00F45189">
      <w:pPr>
        <w:pStyle w:val="NormalNonumber"/>
        <w:numPr>
          <w:ilvl w:val="0"/>
          <w:numId w:val="39"/>
        </w:numPr>
        <w:tabs>
          <w:tab w:val="clear" w:pos="624"/>
          <w:tab w:val="clear" w:pos="1247"/>
          <w:tab w:val="clear" w:pos="1871"/>
          <w:tab w:val="clear" w:pos="2495"/>
          <w:tab w:val="clear" w:pos="3119"/>
          <w:tab w:val="clear" w:pos="3742"/>
          <w:tab w:val="clear" w:pos="4366"/>
          <w:tab w:val="clear" w:pos="4990"/>
          <w:tab w:val="left" w:pos="2552"/>
        </w:tabs>
        <w:bidi/>
        <w:spacing w:line="350" w:lineRule="exact"/>
        <w:ind w:left="2552" w:hanging="709"/>
        <w:jc w:val="both"/>
        <w:textDirection w:val="tbRlV"/>
        <w:rPr>
          <w:rFonts w:ascii="Simplified Arabic" w:hAnsi="Simplified Arabic" w:cs="Simplified Arabic"/>
          <w:sz w:val="24"/>
          <w:szCs w:val="24"/>
          <w:rtl/>
          <w:lang w:val="ar-SA" w:eastAsia="zh-TW" w:bidi="en-GB"/>
        </w:rPr>
      </w:pPr>
      <w:r w:rsidRPr="00984A76">
        <w:rPr>
          <w:rFonts w:ascii="Simplified Arabic" w:hAnsi="Simplified Arabic" w:cs="Simplified Arabic"/>
          <w:sz w:val="24"/>
          <w:szCs w:val="24"/>
          <w:rtl/>
        </w:rPr>
        <w:t xml:space="preserve">تقترح الفرقة جدولين لتخصيص الموارد (ألف وباء) لكل فترة ثلاث سنوات، كما هو موضح في الجدول 1-4 من تقرير الفرقة. </w:t>
      </w:r>
      <w:r w:rsidRPr="00984A76">
        <w:rPr>
          <w:rFonts w:ascii="Simplified Arabic" w:hAnsi="Simplified Arabic" w:cs="Simplified Arabic"/>
          <w:sz w:val="24"/>
          <w:szCs w:val="24"/>
          <w:u w:val="single"/>
          <w:rtl/>
        </w:rPr>
        <w:t>وفيما يتعلق بكلا الاقتراحين، افترضت الفرقة أن الأطراف من المجموعتين 1 و2 ستصدق بالكامل على تعديل كيغالي بحلول عام 2029.</w:t>
      </w:r>
      <w:r w:rsidRPr="00984A76">
        <w:rPr>
          <w:rFonts w:ascii="Simplified Arabic" w:hAnsi="Simplified Arabic" w:cs="Simplified Arabic"/>
          <w:sz w:val="24"/>
          <w:szCs w:val="24"/>
          <w:rtl/>
        </w:rPr>
        <w:t xml:space="preserve"> ويختلف جدولا تخصيص الموارد في النسبة المئوية لتمويل خطط التنفيذ المقرر تخصيصها لكل فترة ثلاث سنوات بعينها؛</w:t>
      </w:r>
    </w:p>
    <w:p w14:paraId="06C0DE90" w14:textId="63C68F9F" w:rsidR="00D44330" w:rsidRPr="00984A76" w:rsidRDefault="00D44330" w:rsidP="00514FA5">
      <w:pPr>
        <w:pStyle w:val="ListParagraph"/>
        <w:numPr>
          <w:ilvl w:val="1"/>
          <w:numId w:val="39"/>
        </w:numPr>
        <w:tabs>
          <w:tab w:val="clear" w:pos="1247"/>
          <w:tab w:val="clear" w:pos="1814"/>
          <w:tab w:val="clear" w:pos="2381"/>
          <w:tab w:val="clear" w:pos="2948"/>
          <w:tab w:val="clear" w:pos="3515"/>
          <w:tab w:val="left" w:pos="3260"/>
        </w:tabs>
        <w:bidi/>
        <w:spacing w:after="120" w:line="350" w:lineRule="exact"/>
        <w:ind w:left="3969" w:hanging="709"/>
        <w:contextualSpacing w:val="0"/>
        <w:jc w:val="lowKashida"/>
        <w:textDirection w:val="tbRlV"/>
        <w:rPr>
          <w:rFonts w:ascii="Simplified Arabic" w:hAnsi="Simplified Arabic" w:hint="default"/>
          <w:sz w:val="24"/>
          <w:szCs w:val="24"/>
          <w:rtl/>
          <w:lang w:val="ar-SA" w:eastAsia="zh-TW" w:bidi="en-GB"/>
        </w:rPr>
      </w:pPr>
      <w:r w:rsidRPr="00984A76">
        <w:rPr>
          <w:rFonts w:ascii="Simplified Arabic" w:hAnsi="Simplified Arabic" w:hint="default"/>
          <w:sz w:val="24"/>
          <w:szCs w:val="24"/>
          <w:rtl/>
        </w:rPr>
        <w:t xml:space="preserve">فيما يخص للأطراف من المجموعتين 1 و2 </w:t>
      </w:r>
      <w:r w:rsidRPr="005E6C71">
        <w:rPr>
          <w:rFonts w:ascii="Simplified Arabic" w:hAnsi="Simplified Arabic" w:hint="default"/>
          <w:sz w:val="24"/>
          <w:szCs w:val="24"/>
          <w:u w:val="single"/>
          <w:rtl/>
        </w:rPr>
        <w:t>التي ليس لديها خطط تنفيذ</w:t>
      </w:r>
      <w:r w:rsidRPr="00984A76">
        <w:rPr>
          <w:rFonts w:ascii="Simplified Arabic" w:hAnsi="Simplified Arabic" w:hint="default"/>
          <w:sz w:val="24"/>
          <w:szCs w:val="24"/>
          <w:rtl/>
        </w:rPr>
        <w:t>، فإن الجدول ألف لتمويل المرحلة الأولى أسرع، في حين أن الجدولين ألف وباء متماثلان فيما يتعلق بتمويل المرحلة الثانية في الأطراف من المجموعة</w:t>
      </w:r>
      <w:r w:rsidR="00514FA5" w:rsidRPr="00087C24">
        <w:rPr>
          <w:rFonts w:ascii="Simplified Arabic" w:hAnsi="Simplified Arabic" w:hint="default"/>
          <w:sz w:val="24"/>
          <w:szCs w:val="24"/>
          <w:lang w:val="en-GB"/>
        </w:rPr>
        <w:t> </w:t>
      </w:r>
      <w:r w:rsidRPr="00984A76">
        <w:rPr>
          <w:rFonts w:ascii="Simplified Arabic" w:hAnsi="Simplified Arabic" w:hint="default"/>
          <w:sz w:val="24"/>
          <w:szCs w:val="24"/>
          <w:rtl/>
        </w:rPr>
        <w:t>1 التي لا تمتلك خطط تنفيذ.</w:t>
      </w:r>
    </w:p>
    <w:p w14:paraId="3026E2C6" w14:textId="77777777" w:rsidR="00D44330" w:rsidRPr="00984A76" w:rsidRDefault="00D44330" w:rsidP="001D096A">
      <w:pPr>
        <w:pStyle w:val="ListParagraph"/>
        <w:numPr>
          <w:ilvl w:val="1"/>
          <w:numId w:val="39"/>
        </w:numPr>
        <w:tabs>
          <w:tab w:val="clear" w:pos="1247"/>
          <w:tab w:val="clear" w:pos="1814"/>
          <w:tab w:val="clear" w:pos="2381"/>
          <w:tab w:val="clear" w:pos="2948"/>
          <w:tab w:val="clear" w:pos="3515"/>
          <w:tab w:val="left" w:pos="3260"/>
        </w:tabs>
        <w:bidi/>
        <w:spacing w:after="120" w:line="350" w:lineRule="exact"/>
        <w:ind w:left="3969" w:hanging="709"/>
        <w:contextualSpacing w:val="0"/>
        <w:jc w:val="both"/>
        <w:textDirection w:val="tbRlV"/>
        <w:rPr>
          <w:rFonts w:ascii="Simplified Arabic" w:hAnsi="Simplified Arabic" w:hint="default"/>
          <w:sz w:val="24"/>
          <w:szCs w:val="24"/>
          <w:rtl/>
          <w:lang w:val="ar-SA" w:eastAsia="zh-TW" w:bidi="en-GB"/>
        </w:rPr>
      </w:pPr>
      <w:r w:rsidRPr="00984A76">
        <w:rPr>
          <w:rFonts w:ascii="Simplified Arabic" w:hAnsi="Simplified Arabic" w:hint="default"/>
          <w:sz w:val="24"/>
          <w:szCs w:val="24"/>
          <w:rtl/>
        </w:rPr>
        <w:t xml:space="preserve">فيما يخص الأطراف من المجموعة 1 </w:t>
      </w:r>
      <w:r w:rsidRPr="005346F3">
        <w:rPr>
          <w:rFonts w:ascii="Simplified Arabic" w:hAnsi="Simplified Arabic" w:hint="default"/>
          <w:sz w:val="24"/>
          <w:szCs w:val="24"/>
          <w:u w:val="single"/>
          <w:rtl/>
        </w:rPr>
        <w:t>التي لديها</w:t>
      </w:r>
      <w:r w:rsidRPr="00984A76">
        <w:rPr>
          <w:rFonts w:ascii="Simplified Arabic" w:hAnsi="Simplified Arabic" w:hint="default"/>
          <w:sz w:val="24"/>
          <w:szCs w:val="24"/>
          <w:rtl/>
        </w:rPr>
        <w:t xml:space="preserve"> خطط تنفيذ في المرحلة الأولى، يقترح الجدول ألف تسريع تمويل المرحلة الثانية.</w:t>
      </w:r>
    </w:p>
    <w:p w14:paraId="5ED6A310" w14:textId="77777777" w:rsidR="00D44330" w:rsidRPr="00984A76" w:rsidRDefault="00D44330" w:rsidP="00F45189">
      <w:pPr>
        <w:pStyle w:val="NormalNonumber"/>
        <w:numPr>
          <w:ilvl w:val="0"/>
          <w:numId w:val="39"/>
        </w:numPr>
        <w:tabs>
          <w:tab w:val="clear" w:pos="624"/>
          <w:tab w:val="clear" w:pos="1247"/>
          <w:tab w:val="clear" w:pos="1871"/>
          <w:tab w:val="clear" w:pos="2495"/>
          <w:tab w:val="clear" w:pos="3119"/>
          <w:tab w:val="clear" w:pos="3742"/>
          <w:tab w:val="clear" w:pos="4366"/>
          <w:tab w:val="clear" w:pos="4990"/>
          <w:tab w:val="left" w:pos="2552"/>
        </w:tabs>
        <w:bidi/>
        <w:spacing w:line="350" w:lineRule="exact"/>
        <w:ind w:left="2552" w:hanging="709"/>
        <w:jc w:val="both"/>
        <w:textDirection w:val="tbRlV"/>
        <w:rPr>
          <w:rFonts w:ascii="Simplified Arabic" w:hAnsi="Simplified Arabic" w:cs="Simplified Arabic"/>
          <w:sz w:val="24"/>
          <w:szCs w:val="24"/>
          <w:rtl/>
          <w:lang w:val="ar-SA" w:eastAsia="zh-TW" w:bidi="en-GB"/>
        </w:rPr>
      </w:pPr>
      <w:r w:rsidRPr="00984A76">
        <w:rPr>
          <w:rFonts w:ascii="Simplified Arabic" w:hAnsi="Simplified Arabic" w:cs="Simplified Arabic"/>
          <w:sz w:val="24"/>
          <w:szCs w:val="24"/>
          <w:rtl/>
        </w:rPr>
        <w:t xml:space="preserve">طُبق خصم بنسبة 15٪ لمراعاة حصة الملكية الأجنبية غير المؤهلة في قطاعات التصنيع (يرجى الرجوع إلى الملاحظة أدناه)؛ </w:t>
      </w:r>
    </w:p>
    <w:p w14:paraId="6B3A948C" w14:textId="77777777" w:rsidR="00D44330" w:rsidRPr="00984A76" w:rsidRDefault="00D44330" w:rsidP="00F45189">
      <w:pPr>
        <w:pStyle w:val="NormalNonumber"/>
        <w:numPr>
          <w:ilvl w:val="0"/>
          <w:numId w:val="39"/>
        </w:numPr>
        <w:tabs>
          <w:tab w:val="clear" w:pos="624"/>
          <w:tab w:val="clear" w:pos="1247"/>
          <w:tab w:val="clear" w:pos="1871"/>
          <w:tab w:val="clear" w:pos="2495"/>
          <w:tab w:val="clear" w:pos="3119"/>
          <w:tab w:val="clear" w:pos="3742"/>
          <w:tab w:val="clear" w:pos="4366"/>
          <w:tab w:val="clear" w:pos="4990"/>
          <w:tab w:val="left" w:pos="2552"/>
        </w:tabs>
        <w:bidi/>
        <w:spacing w:line="350" w:lineRule="exact"/>
        <w:ind w:left="2552" w:hanging="709"/>
        <w:jc w:val="both"/>
        <w:textDirection w:val="tbRlV"/>
        <w:rPr>
          <w:rFonts w:ascii="Simplified Arabic" w:hAnsi="Simplified Arabic" w:cs="Simplified Arabic"/>
          <w:sz w:val="24"/>
          <w:szCs w:val="24"/>
          <w:rtl/>
          <w:lang w:val="ar-SA" w:eastAsia="zh-TW" w:bidi="en-GB"/>
        </w:rPr>
      </w:pPr>
      <w:r w:rsidRPr="00984A76">
        <w:rPr>
          <w:rFonts w:ascii="Simplified Arabic" w:hAnsi="Simplified Arabic" w:cs="Simplified Arabic"/>
          <w:sz w:val="24"/>
          <w:szCs w:val="24"/>
          <w:rtl/>
        </w:rPr>
        <w:t>طُبقت فعالية التكلفة المضمنة في المبادئ التوجيهية بشأن التكاليف في المرحلة الأولى على حسابات تمويل المرحلة الثانية. ولم يُنظر في التأثير المحتمل لأي استعراض للمبادئ التوجيهية في عام 2028.</w:t>
      </w:r>
    </w:p>
    <w:p w14:paraId="4161A2BD" w14:textId="18D5F100" w:rsidR="00D44330" w:rsidRPr="00984A76" w:rsidRDefault="00D44330" w:rsidP="00F45189">
      <w:pPr>
        <w:pStyle w:val="NormalNonumber"/>
        <w:bidi/>
        <w:spacing w:line="350" w:lineRule="exact"/>
        <w:ind w:left="1134"/>
        <w:jc w:val="both"/>
        <w:textDirection w:val="tbRlV"/>
        <w:rPr>
          <w:rFonts w:ascii="Simplified Arabic" w:hAnsi="Simplified Arabic" w:cs="Simplified Arabic"/>
          <w:sz w:val="24"/>
          <w:szCs w:val="24"/>
          <w:rtl/>
          <w:lang w:val="ar-SA" w:eastAsia="zh-TW" w:bidi="en-GB"/>
        </w:rPr>
      </w:pPr>
      <w:r w:rsidRPr="00984A76">
        <w:rPr>
          <w:rFonts w:ascii="Simplified Arabic" w:hAnsi="Simplified Arabic" w:cs="Simplified Arabic"/>
          <w:sz w:val="24"/>
          <w:szCs w:val="24"/>
          <w:rtl/>
        </w:rPr>
        <w:t>وفي إطار التحفظات الواردة في الفرع 1-6-10، هناك اعتباران مذكوران في إطار تلك التحفظات يتعلقان بالتكاليف الإضافية لوحدات إدارة المشاريع التي لم تُدرج في النموذج، وخصم نسبة 15</w:t>
      </w:r>
      <w:r w:rsidR="007758E0" w:rsidRPr="00984A76">
        <w:rPr>
          <w:rFonts w:ascii="Simplified Arabic" w:hAnsi="Simplified Arabic" w:cs="Simplified Arabic"/>
          <w:sz w:val="24"/>
          <w:szCs w:val="24"/>
          <w:rtl/>
        </w:rPr>
        <w:t>٪</w:t>
      </w:r>
      <w:r w:rsidRPr="00984A76">
        <w:rPr>
          <w:rFonts w:ascii="Simplified Arabic" w:hAnsi="Simplified Arabic" w:cs="Simplified Arabic"/>
          <w:sz w:val="24"/>
          <w:szCs w:val="24"/>
          <w:rtl/>
        </w:rPr>
        <w:t xml:space="preserve"> الخاصة بالملكية الأجنبية في قطاعات التصنيع الذي أُدرج في النموذج. ويؤدي التأثير المشترك لهذين الاعتبارين إلى احتمال زيادة إجمالي احتياجات التمويل المقدرة بنحو 15٪. وقد أجرت الفرقة هذه التعديلات لأسباب موضحة في الفرع 1-6-10، وهي تثمِّن التوجيهات التي قدمتها الأطراف بشأن ضرورة تعديل تقديراتها وفقًا لذلك في التقرير التكميلي للفرقة.</w:t>
      </w:r>
    </w:p>
    <w:p w14:paraId="59AD0B71" w14:textId="4A96B42E" w:rsidR="00D44330" w:rsidRPr="00984A76" w:rsidRDefault="00D44330" w:rsidP="00F45189">
      <w:pPr>
        <w:keepNext/>
        <w:keepLines/>
        <w:bidi/>
        <w:spacing w:after="120" w:line="350" w:lineRule="exact"/>
        <w:ind w:left="1134"/>
        <w:jc w:val="both"/>
        <w:textDirection w:val="tbRlV"/>
        <w:rPr>
          <w:rFonts w:ascii="Simplified Arabic" w:hAnsi="Simplified Arabic" w:hint="default"/>
          <w:b/>
          <w:bCs/>
          <w:i/>
          <w:iCs/>
          <w:sz w:val="24"/>
          <w:szCs w:val="24"/>
          <w:rtl/>
          <w:lang w:val="ar-SA" w:eastAsia="zh-TW" w:bidi="en-GB"/>
        </w:rPr>
      </w:pPr>
      <w:r w:rsidRPr="00984A76">
        <w:rPr>
          <w:rFonts w:ascii="Simplified Arabic" w:hAnsi="Simplified Arabic" w:hint="default"/>
          <w:b/>
          <w:bCs/>
          <w:i/>
          <w:iCs/>
          <w:sz w:val="24"/>
          <w:szCs w:val="24"/>
          <w:rtl/>
        </w:rPr>
        <w:t>قطاع إنتاج مركبات الكربون الهيدروفلورية</w:t>
      </w:r>
    </w:p>
    <w:p w14:paraId="5E9CE5A3" w14:textId="77777777" w:rsidR="00D44330" w:rsidRPr="001822B0" w:rsidRDefault="00D44330" w:rsidP="001822B0">
      <w:pPr>
        <w:pStyle w:val="NormalNonumber"/>
        <w:bidi/>
        <w:spacing w:line="350" w:lineRule="exact"/>
        <w:ind w:left="1134"/>
        <w:jc w:val="lowKashida"/>
        <w:textDirection w:val="tbRlV"/>
        <w:rPr>
          <w:rFonts w:ascii="Simplified Arabic" w:hAnsi="Simplified Arabic" w:cs="Simplified Arabic"/>
          <w:w w:val="109"/>
          <w:sz w:val="24"/>
          <w:szCs w:val="24"/>
          <w:rtl/>
          <w:lang w:val="ar-SA" w:eastAsia="zh-TW" w:bidi="en-GB"/>
        </w:rPr>
      </w:pPr>
      <w:r w:rsidRPr="001822B0">
        <w:rPr>
          <w:rFonts w:ascii="Simplified Arabic" w:hAnsi="Simplified Arabic" w:cs="Simplified Arabic"/>
          <w:w w:val="109"/>
          <w:sz w:val="24"/>
          <w:szCs w:val="24"/>
          <w:rtl/>
        </w:rPr>
        <w:t>تشمل تقديرات تمويل قطاع إنتاج مركبات الكربون الهيدروفلورية والتخفيف من آثار مركب الكربون الهيدروفلوري-23 ما يلي:</w:t>
      </w:r>
    </w:p>
    <w:p w14:paraId="44227428" w14:textId="77777777" w:rsidR="00D44330" w:rsidRPr="00B8742A" w:rsidRDefault="00D44330" w:rsidP="00B8742A">
      <w:pPr>
        <w:pStyle w:val="NormalNonumber"/>
        <w:numPr>
          <w:ilvl w:val="0"/>
          <w:numId w:val="39"/>
        </w:numPr>
        <w:tabs>
          <w:tab w:val="clear" w:pos="624"/>
          <w:tab w:val="clear" w:pos="1247"/>
          <w:tab w:val="clear" w:pos="1871"/>
          <w:tab w:val="clear" w:pos="2495"/>
          <w:tab w:val="clear" w:pos="3119"/>
          <w:tab w:val="clear" w:pos="3742"/>
          <w:tab w:val="clear" w:pos="4366"/>
          <w:tab w:val="clear" w:pos="4990"/>
          <w:tab w:val="left" w:pos="2552"/>
        </w:tabs>
        <w:bidi/>
        <w:spacing w:line="350" w:lineRule="exact"/>
        <w:ind w:left="2552" w:hanging="709"/>
        <w:jc w:val="both"/>
        <w:textDirection w:val="tbRlV"/>
        <w:rPr>
          <w:rFonts w:ascii="Simplified Arabic" w:hAnsi="Simplified Arabic" w:cs="Simplified Arabic"/>
          <w:sz w:val="24"/>
          <w:szCs w:val="24"/>
          <w:rtl/>
          <w:lang w:bidi="en-GB"/>
        </w:rPr>
      </w:pPr>
      <w:r w:rsidRPr="00984A76">
        <w:rPr>
          <w:rFonts w:ascii="Simplified Arabic" w:hAnsi="Simplified Arabic" w:cs="Simplified Arabic"/>
          <w:sz w:val="24"/>
          <w:szCs w:val="24"/>
          <w:rtl/>
        </w:rPr>
        <w:t>التمويل التقديري لإعداد مشاريع إنتاج مركبات الكربون الهيدروفلورية؛</w:t>
      </w:r>
    </w:p>
    <w:p w14:paraId="78CF097B" w14:textId="77777777" w:rsidR="00D44330" w:rsidRPr="00B8742A" w:rsidRDefault="00D44330" w:rsidP="00B8742A">
      <w:pPr>
        <w:pStyle w:val="NormalNonumber"/>
        <w:numPr>
          <w:ilvl w:val="0"/>
          <w:numId w:val="39"/>
        </w:numPr>
        <w:tabs>
          <w:tab w:val="clear" w:pos="624"/>
          <w:tab w:val="clear" w:pos="1247"/>
          <w:tab w:val="clear" w:pos="1871"/>
          <w:tab w:val="clear" w:pos="2495"/>
          <w:tab w:val="clear" w:pos="3119"/>
          <w:tab w:val="clear" w:pos="3742"/>
          <w:tab w:val="clear" w:pos="4366"/>
          <w:tab w:val="clear" w:pos="4990"/>
          <w:tab w:val="left" w:pos="2552"/>
        </w:tabs>
        <w:bidi/>
        <w:spacing w:line="350" w:lineRule="exact"/>
        <w:ind w:left="2552" w:hanging="709"/>
        <w:jc w:val="both"/>
        <w:textDirection w:val="tbRlV"/>
        <w:rPr>
          <w:rFonts w:ascii="Simplified Arabic" w:hAnsi="Simplified Arabic" w:cs="Simplified Arabic"/>
          <w:sz w:val="24"/>
          <w:szCs w:val="24"/>
          <w:rtl/>
          <w:lang w:bidi="en-GB"/>
        </w:rPr>
      </w:pPr>
      <w:r w:rsidRPr="00984A76">
        <w:rPr>
          <w:rFonts w:ascii="Simplified Arabic" w:hAnsi="Simplified Arabic" w:cs="Simplified Arabic"/>
          <w:sz w:val="24"/>
          <w:szCs w:val="24"/>
          <w:rtl/>
        </w:rPr>
        <w:lastRenderedPageBreak/>
        <w:t>التمويل التقديري لخطة كيغالي لإدارة الخفض التدريجي لمركبات الكربون الهيدروفلورية، إن وجدت؛</w:t>
      </w:r>
    </w:p>
    <w:p w14:paraId="39ABA38D" w14:textId="77777777" w:rsidR="00D44330" w:rsidRPr="00B8742A" w:rsidRDefault="00D44330" w:rsidP="00B8742A">
      <w:pPr>
        <w:pStyle w:val="NormalNonumber"/>
        <w:numPr>
          <w:ilvl w:val="0"/>
          <w:numId w:val="39"/>
        </w:numPr>
        <w:tabs>
          <w:tab w:val="clear" w:pos="624"/>
          <w:tab w:val="clear" w:pos="1247"/>
          <w:tab w:val="clear" w:pos="1871"/>
          <w:tab w:val="clear" w:pos="2495"/>
          <w:tab w:val="clear" w:pos="3119"/>
          <w:tab w:val="clear" w:pos="3742"/>
          <w:tab w:val="clear" w:pos="4366"/>
          <w:tab w:val="clear" w:pos="4990"/>
          <w:tab w:val="left" w:pos="2552"/>
        </w:tabs>
        <w:bidi/>
        <w:spacing w:line="350" w:lineRule="exact"/>
        <w:ind w:left="2552" w:hanging="709"/>
        <w:jc w:val="both"/>
        <w:textDirection w:val="tbRlV"/>
        <w:rPr>
          <w:rFonts w:ascii="Simplified Arabic" w:hAnsi="Simplified Arabic" w:cs="Simplified Arabic"/>
          <w:sz w:val="24"/>
          <w:szCs w:val="24"/>
          <w:rtl/>
          <w:lang w:bidi="en-GB"/>
        </w:rPr>
      </w:pPr>
      <w:r w:rsidRPr="00984A76">
        <w:rPr>
          <w:rFonts w:ascii="Simplified Arabic" w:hAnsi="Simplified Arabic" w:cs="Simplified Arabic"/>
          <w:sz w:val="24"/>
          <w:szCs w:val="24"/>
          <w:rtl/>
        </w:rPr>
        <w:t>التمويل التقديري لمشروع الاستثمار في تدابير التخفيف المتعلقة بمركب الكربون الهيدروفلورري-23؛</w:t>
      </w:r>
    </w:p>
    <w:p w14:paraId="08AE3969" w14:textId="6C753B08" w:rsidR="00D44330" w:rsidRPr="00B8742A" w:rsidRDefault="00D44330" w:rsidP="00B8742A">
      <w:pPr>
        <w:pStyle w:val="NormalNonumber"/>
        <w:numPr>
          <w:ilvl w:val="0"/>
          <w:numId w:val="39"/>
        </w:numPr>
        <w:tabs>
          <w:tab w:val="clear" w:pos="624"/>
          <w:tab w:val="clear" w:pos="1247"/>
          <w:tab w:val="clear" w:pos="1871"/>
          <w:tab w:val="clear" w:pos="2495"/>
          <w:tab w:val="clear" w:pos="3119"/>
          <w:tab w:val="clear" w:pos="3742"/>
          <w:tab w:val="clear" w:pos="4366"/>
          <w:tab w:val="clear" w:pos="4990"/>
          <w:tab w:val="left" w:pos="2552"/>
        </w:tabs>
        <w:bidi/>
        <w:spacing w:line="350" w:lineRule="exact"/>
        <w:ind w:left="2552" w:hanging="709"/>
        <w:jc w:val="both"/>
        <w:textDirection w:val="tbRlV"/>
        <w:rPr>
          <w:rFonts w:ascii="Simplified Arabic" w:hAnsi="Simplified Arabic" w:cs="Simplified Arabic"/>
          <w:sz w:val="24"/>
          <w:szCs w:val="24"/>
          <w:rtl/>
          <w:lang w:bidi="en-GB"/>
        </w:rPr>
      </w:pPr>
      <w:r w:rsidRPr="00984A76">
        <w:rPr>
          <w:rFonts w:ascii="Simplified Arabic" w:hAnsi="Simplified Arabic" w:cs="Simplified Arabic"/>
          <w:sz w:val="24"/>
          <w:szCs w:val="24"/>
          <w:rtl/>
        </w:rPr>
        <w:t>التمويل التقديري لإعداد مشاريع التخفيف من انبعاثات مركب الكربون الهيدروفلورري-23؛</w:t>
      </w:r>
    </w:p>
    <w:p w14:paraId="1EDD14D0" w14:textId="657C4BCF" w:rsidR="00D44330" w:rsidRPr="00984A76" w:rsidRDefault="00D44330" w:rsidP="00B8742A">
      <w:pPr>
        <w:pStyle w:val="NormalNonumber"/>
        <w:numPr>
          <w:ilvl w:val="0"/>
          <w:numId w:val="39"/>
        </w:numPr>
        <w:tabs>
          <w:tab w:val="clear" w:pos="624"/>
          <w:tab w:val="clear" w:pos="1247"/>
          <w:tab w:val="clear" w:pos="1871"/>
          <w:tab w:val="clear" w:pos="2495"/>
          <w:tab w:val="clear" w:pos="3119"/>
          <w:tab w:val="clear" w:pos="3742"/>
          <w:tab w:val="clear" w:pos="4366"/>
          <w:tab w:val="clear" w:pos="4990"/>
          <w:tab w:val="left" w:pos="2552"/>
        </w:tabs>
        <w:bidi/>
        <w:spacing w:line="350" w:lineRule="exact"/>
        <w:ind w:left="2552" w:hanging="709"/>
        <w:jc w:val="both"/>
        <w:textDirection w:val="tbRlV"/>
        <w:rPr>
          <w:rFonts w:ascii="Simplified Arabic" w:hAnsi="Simplified Arabic" w:cs="Simplified Arabic"/>
          <w:sz w:val="24"/>
          <w:szCs w:val="24"/>
          <w:rtl/>
          <w:lang w:val="ar-SA" w:eastAsia="zh-TW" w:bidi="en-GB"/>
        </w:rPr>
      </w:pPr>
      <w:r w:rsidRPr="00984A76">
        <w:rPr>
          <w:rFonts w:ascii="Simplified Arabic" w:hAnsi="Simplified Arabic" w:cs="Simplified Arabic"/>
          <w:sz w:val="24"/>
          <w:szCs w:val="24"/>
          <w:rtl/>
        </w:rPr>
        <w:t>التمويل المخصص لمشاريع التخفيف من انبعاثات مركب الكربون الهيدروفلورري-23 التي تمت الموافقة عليها.</w:t>
      </w:r>
    </w:p>
    <w:p w14:paraId="227434B9" w14:textId="77777777" w:rsidR="00D44330" w:rsidRPr="00984A76" w:rsidRDefault="00D44330" w:rsidP="00F45189">
      <w:pPr>
        <w:pStyle w:val="NormalNonumber"/>
        <w:bidi/>
        <w:spacing w:line="350" w:lineRule="exact"/>
        <w:ind w:left="1134"/>
        <w:jc w:val="both"/>
        <w:textDirection w:val="tbRlV"/>
        <w:rPr>
          <w:rFonts w:ascii="Simplified Arabic" w:hAnsi="Simplified Arabic" w:cs="Simplified Arabic"/>
          <w:sz w:val="24"/>
          <w:szCs w:val="24"/>
          <w:rtl/>
          <w:lang w:val="ar-SA" w:eastAsia="zh-TW" w:bidi="en-GB"/>
        </w:rPr>
      </w:pPr>
      <w:r w:rsidRPr="00984A76">
        <w:rPr>
          <w:rFonts w:ascii="Simplified Arabic" w:hAnsi="Simplified Arabic" w:cs="Simplified Arabic"/>
          <w:sz w:val="24"/>
          <w:szCs w:val="24"/>
          <w:rtl/>
        </w:rPr>
        <w:t xml:space="preserve">وقد نظرت الفرقة في حالتي بلدين من البلدان العاملة بموجب المادة 5 المنتجة لمركبات الكربون الهيدروفلورية لتقدير احتياجات التمويل لقطاع الإنتاج للفترة 2027-2029. وأفادت كل من الصين (المجموعة 1) والهند (المجموعة 2) بأن إنتاج مركبات الكربون الهيدروفلورية لديها أقل بكثير من هدف التخفيض وهو 10٪ عن خط الأساس المحدد للأطراف في المجموعة 1، ومن هدف التجميد لعام 2028 وهدف التخفيض بنسبة 10٪ للأطراف من المجموعة 2. وقدّرت الفرقة أنه خلال الفترة السنوات الثلاث 2027-2029، قد لا تكون هناك حاجة إلى تمويل إعداد المشاريع باستثناء تمويل وضع خطط قطاع إنتاج مركبات الكربون الهيدروفلورية لهذين الطرفين، دون الحاجة إلى تمويل استثماري خلال فترة السنوات الثلاث هذه. </w:t>
      </w:r>
    </w:p>
    <w:p w14:paraId="5F1769C8" w14:textId="77777777" w:rsidR="00D44330" w:rsidRPr="00984A76" w:rsidRDefault="00D44330" w:rsidP="00F45189">
      <w:pPr>
        <w:pStyle w:val="NormalNonumber"/>
        <w:bidi/>
        <w:spacing w:line="350" w:lineRule="exact"/>
        <w:ind w:left="1134"/>
        <w:jc w:val="both"/>
        <w:textDirection w:val="tbRlV"/>
        <w:rPr>
          <w:rFonts w:ascii="Simplified Arabic" w:hAnsi="Simplified Arabic" w:cs="Simplified Arabic"/>
          <w:sz w:val="24"/>
          <w:szCs w:val="24"/>
          <w:rtl/>
          <w:lang w:val="ar-SA" w:eastAsia="zh-TW" w:bidi="en-GB"/>
        </w:rPr>
      </w:pPr>
      <w:r w:rsidRPr="00984A76">
        <w:rPr>
          <w:rFonts w:ascii="Simplified Arabic" w:hAnsi="Simplified Arabic" w:cs="Simplified Arabic"/>
          <w:sz w:val="24"/>
          <w:szCs w:val="24"/>
          <w:rtl/>
        </w:rPr>
        <w:t>ولدعم الأطراف العاملة بموجب المادة 5 في الوفاء بالتزاماتها بموجب تعديل كيغالي، يُموِّل الصندوق المتعدد الأطراف التكاليف التي تتكبدها تلك الأطراف لخفض انبعاثات مركب الكربون الهيدروفلوري-23، وهو ناتج عرضي لعملية إنتاج مركب الكربون الهيدروكلوري فلوري-22، وذلك عن طريق خفض معدل الانبعاثات في العملية، أو تدميره من الغازات المنبعثة، أو جمعه وتحويله إلى مواد كيميائية أخرى آمنة بيئيًا. وفيما يخص فترة السنوات الثلاث 2027-2029، قدرت الفرقة احتياجات التمويل لطرفين لديهما خطط معتمدة للتخلص التدريجي من مركب الكربون الهيدروفلوري-23، بالإضافة إلى تمويل إعداد وتنفيذ المشاريع لطرفين آخرين.</w:t>
      </w:r>
    </w:p>
    <w:p w14:paraId="20420FED" w14:textId="74B3D88D" w:rsidR="00D44330" w:rsidRPr="00984A76" w:rsidRDefault="00D44330" w:rsidP="00F45189">
      <w:pPr>
        <w:pStyle w:val="CH2"/>
        <w:bidi/>
        <w:spacing w:before="0" w:line="350" w:lineRule="exact"/>
        <w:ind w:left="1134" w:right="0" w:firstLine="0"/>
        <w:jc w:val="both"/>
        <w:textDirection w:val="tbRlV"/>
        <w:rPr>
          <w:rFonts w:ascii="Simplified Arabic" w:hAnsi="Simplified Arabic" w:cs="Simplified Arabic"/>
          <w:rtl/>
          <w:lang w:val="ar-SA" w:eastAsia="zh-TW" w:bidi="en-GB"/>
        </w:rPr>
      </w:pPr>
      <w:r w:rsidRPr="00984A76">
        <w:rPr>
          <w:rFonts w:ascii="Simplified Arabic" w:hAnsi="Simplified Arabic" w:cs="Simplified Arabic"/>
          <w:bCs/>
          <w:rtl/>
        </w:rPr>
        <w:t>ملخص تقديرات التمويل اللازمة للخفض التدريجي لمركبات الكربون الهيدروفلورية في قطاعي الاستهلاك والإنتاج</w:t>
      </w:r>
      <w:r w:rsidRPr="00984A76">
        <w:rPr>
          <w:rFonts w:ascii="Simplified Arabic" w:hAnsi="Simplified Arabic" w:cs="Simplified Arabic"/>
          <w:rtl/>
        </w:rPr>
        <w:t xml:space="preserve"> </w:t>
      </w:r>
    </w:p>
    <w:p w14:paraId="2169AAA7" w14:textId="77777777" w:rsidR="00D44330" w:rsidRPr="00984A76" w:rsidRDefault="00D44330" w:rsidP="00F45189">
      <w:pPr>
        <w:pStyle w:val="NormalNonumber"/>
        <w:bidi/>
        <w:spacing w:line="350" w:lineRule="exact"/>
        <w:ind w:left="1134"/>
        <w:jc w:val="both"/>
        <w:textDirection w:val="tbRlV"/>
        <w:rPr>
          <w:rFonts w:ascii="Simplified Arabic" w:eastAsiaTheme="minorEastAsia" w:hAnsi="Simplified Arabic" w:cs="Simplified Arabic"/>
          <w:sz w:val="24"/>
          <w:szCs w:val="24"/>
          <w:rtl/>
          <w:lang w:val="ar-SA" w:eastAsia="zh-TW" w:bidi="en-GB"/>
        </w:rPr>
      </w:pPr>
      <w:r w:rsidRPr="00984A76">
        <w:rPr>
          <w:rFonts w:ascii="Simplified Arabic" w:hAnsi="Simplified Arabic" w:cs="Simplified Arabic"/>
          <w:sz w:val="24"/>
          <w:szCs w:val="24"/>
          <w:rtl/>
        </w:rPr>
        <w:t>يرد أدناه وفي الجدول م ت-3 موجز لنطاق احتياجات التمويل الإجمالية التقديرية لقطاعي استهلاك وإنتاج مركبات الكربون الهيدروفلورية للفترة 2027-2029 وفترات السنوات الثلاث المقبلة.</w:t>
      </w:r>
    </w:p>
    <w:p w14:paraId="6DC47AF1" w14:textId="77777777" w:rsidR="00D44330" w:rsidRPr="00984A76" w:rsidRDefault="00D44330" w:rsidP="001E4BA8">
      <w:pPr>
        <w:pStyle w:val="Titletable"/>
        <w:keepNext w:val="0"/>
        <w:keepLines w:val="0"/>
        <w:bidi/>
        <w:spacing w:after="120" w:line="360" w:lineRule="exact"/>
        <w:ind w:left="1134"/>
        <w:jc w:val="both"/>
        <w:textDirection w:val="tbRlV"/>
        <w:rPr>
          <w:rFonts w:ascii="Simplified Arabic" w:hAnsi="Simplified Arabic" w:cs="Simplified Arabic"/>
          <w:b w:val="0"/>
          <w:bCs w:val="0"/>
          <w:sz w:val="24"/>
          <w:szCs w:val="24"/>
          <w:rtl/>
        </w:rPr>
      </w:pPr>
      <w:r w:rsidRPr="00984A76">
        <w:rPr>
          <w:rFonts w:ascii="Simplified Arabic" w:hAnsi="Simplified Arabic" w:cs="Simplified Arabic"/>
          <w:b w:val="0"/>
          <w:bCs w:val="0"/>
          <w:sz w:val="24"/>
          <w:szCs w:val="24"/>
          <w:rtl/>
        </w:rPr>
        <w:t>الجدول م ت-3</w:t>
      </w:r>
    </w:p>
    <w:p w14:paraId="25AD6B2F" w14:textId="77777777" w:rsidR="00D44330" w:rsidRPr="00984A76" w:rsidRDefault="00D44330" w:rsidP="001E4BA8">
      <w:pPr>
        <w:pStyle w:val="Titletable"/>
        <w:keepNext w:val="0"/>
        <w:keepLines w:val="0"/>
        <w:bidi/>
        <w:spacing w:after="120" w:line="360" w:lineRule="exact"/>
        <w:ind w:left="1134"/>
        <w:jc w:val="both"/>
        <w:textDirection w:val="tbRlV"/>
        <w:rPr>
          <w:rFonts w:ascii="Simplified Arabic" w:hAnsi="Simplified Arabic" w:cs="Simplified Arabic"/>
          <w:sz w:val="24"/>
          <w:szCs w:val="24"/>
          <w:rtl/>
        </w:rPr>
      </w:pPr>
      <w:r w:rsidRPr="00984A76">
        <w:rPr>
          <w:rFonts w:ascii="Simplified Arabic" w:hAnsi="Simplified Arabic" w:cs="Simplified Arabic"/>
          <w:sz w:val="24"/>
          <w:szCs w:val="24"/>
          <w:rtl/>
        </w:rPr>
        <w:t xml:space="preserve">احتياجات التمويل الإجمالية التقديرية للخفض التدريجي لمركبات الكربون الهيدروفلورية للفترة 2027-2029 وفترات السنوات الثلاث المقبلة </w:t>
      </w:r>
    </w:p>
    <w:p w14:paraId="08F5B8D4" w14:textId="77777777" w:rsidR="00D44330" w:rsidRPr="00984A76" w:rsidRDefault="00D44330" w:rsidP="001E4BA8">
      <w:pPr>
        <w:pStyle w:val="Titletable"/>
        <w:keepNext w:val="0"/>
        <w:keepLines w:val="0"/>
        <w:bidi/>
        <w:spacing w:after="120" w:line="360" w:lineRule="exact"/>
        <w:ind w:left="1134"/>
        <w:jc w:val="both"/>
        <w:textDirection w:val="tbRlV"/>
        <w:rPr>
          <w:rFonts w:ascii="Simplified Arabic" w:hAnsi="Simplified Arabic" w:cs="Simplified Arabic"/>
          <w:sz w:val="24"/>
          <w:szCs w:val="24"/>
          <w:rtl/>
          <w:lang w:val="ar-SA" w:eastAsia="zh-TW" w:bidi="en-GB"/>
        </w:rPr>
      </w:pPr>
      <w:r w:rsidRPr="00984A76">
        <w:rPr>
          <w:rFonts w:ascii="Simplified Arabic" w:hAnsi="Simplified Arabic" w:cs="Simplified Arabic"/>
          <w:sz w:val="24"/>
          <w:szCs w:val="24"/>
          <w:rtl/>
        </w:rPr>
        <w:t xml:space="preserve">(بملايين دولارات الولايات المتحدة) </w:t>
      </w:r>
    </w:p>
    <w:tbl>
      <w:tblPr>
        <w:bidiVisual/>
        <w:tblW w:w="8363" w:type="dxa"/>
        <w:tblInd w:w="1134" w:type="dxa"/>
        <w:tblLayout w:type="fixed"/>
        <w:tblCellMar>
          <w:left w:w="57" w:type="dxa"/>
          <w:right w:w="57" w:type="dxa"/>
        </w:tblCellMar>
        <w:tblLook w:val="04A0" w:firstRow="1" w:lastRow="0" w:firstColumn="1" w:lastColumn="0" w:noHBand="0" w:noVBand="1"/>
      </w:tblPr>
      <w:tblGrid>
        <w:gridCol w:w="1131"/>
        <w:gridCol w:w="2413"/>
        <w:gridCol w:w="2388"/>
        <w:gridCol w:w="2431"/>
      </w:tblGrid>
      <w:tr w:rsidR="00D44330" w:rsidRPr="00A50247" w14:paraId="600FE420" w14:textId="77777777" w:rsidTr="00494518">
        <w:trPr>
          <w:trHeight w:val="302"/>
          <w:tblHeader/>
        </w:trPr>
        <w:tc>
          <w:tcPr>
            <w:tcW w:w="1131" w:type="dxa"/>
            <w:vMerge w:val="restart"/>
            <w:tcBorders>
              <w:top w:val="single" w:sz="4" w:space="0" w:color="auto"/>
              <w:bottom w:val="single" w:sz="12" w:space="0" w:color="auto"/>
            </w:tcBorders>
            <w:vAlign w:val="bottom"/>
          </w:tcPr>
          <w:p w14:paraId="55C04CD2" w14:textId="77777777" w:rsidR="00D44330" w:rsidRPr="003F36E0" w:rsidRDefault="00D44330" w:rsidP="00F45189">
            <w:pPr>
              <w:pStyle w:val="Normal-pool-Table"/>
              <w:bidi/>
              <w:spacing w:line="280" w:lineRule="exact"/>
              <w:jc w:val="lowKashida"/>
              <w:textDirection w:val="tbRlV"/>
              <w:rPr>
                <w:rFonts w:ascii="Simplified Arabic" w:hAnsi="Simplified Arabic" w:cs="Simplified Arabic"/>
                <w:i/>
                <w:iCs/>
                <w:color w:val="000000"/>
                <w:sz w:val="20"/>
                <w:rtl/>
                <w:lang w:bidi="en-GB"/>
              </w:rPr>
            </w:pPr>
            <w:r w:rsidRPr="003F36E0">
              <w:rPr>
                <w:rFonts w:ascii="Simplified Arabic" w:hAnsi="Simplified Arabic" w:cs="Simplified Arabic"/>
                <w:i/>
                <w:iCs/>
                <w:color w:val="000000"/>
                <w:sz w:val="20"/>
                <w:rtl/>
              </w:rPr>
              <w:t>فترة السنوات الثلاث</w:t>
            </w:r>
          </w:p>
        </w:tc>
        <w:tc>
          <w:tcPr>
            <w:tcW w:w="2413" w:type="dxa"/>
            <w:vMerge w:val="restart"/>
            <w:tcBorders>
              <w:top w:val="single" w:sz="4" w:space="0" w:color="auto"/>
              <w:bottom w:val="single" w:sz="12" w:space="0" w:color="auto"/>
            </w:tcBorders>
            <w:vAlign w:val="bottom"/>
            <w:hideMark/>
          </w:tcPr>
          <w:p w14:paraId="4D4FE9C8" w14:textId="77777777" w:rsidR="00D44330" w:rsidRPr="003F36E0" w:rsidRDefault="00D44330" w:rsidP="00F45189">
            <w:pPr>
              <w:pStyle w:val="Normal-pool-Table"/>
              <w:bidi/>
              <w:spacing w:line="280" w:lineRule="exact"/>
              <w:textDirection w:val="tbRlV"/>
              <w:rPr>
                <w:rFonts w:ascii="Simplified Arabic" w:hAnsi="Simplified Arabic" w:cs="Simplified Arabic"/>
                <w:i/>
                <w:iCs/>
                <w:color w:val="000000"/>
                <w:sz w:val="20"/>
                <w:rtl/>
                <w:lang w:bidi="en-GB"/>
              </w:rPr>
            </w:pPr>
            <w:r w:rsidRPr="003F36E0">
              <w:rPr>
                <w:rFonts w:ascii="Simplified Arabic" w:hAnsi="Simplified Arabic" w:cs="Simplified Arabic"/>
                <w:i/>
                <w:iCs/>
                <w:color w:val="000000"/>
                <w:sz w:val="20"/>
                <w:rtl/>
              </w:rPr>
              <w:t xml:space="preserve">القطاع </w:t>
            </w:r>
          </w:p>
        </w:tc>
        <w:tc>
          <w:tcPr>
            <w:tcW w:w="4819" w:type="dxa"/>
            <w:gridSpan w:val="2"/>
            <w:tcBorders>
              <w:top w:val="single" w:sz="4" w:space="0" w:color="auto"/>
              <w:bottom w:val="single" w:sz="4" w:space="0" w:color="auto"/>
            </w:tcBorders>
            <w:vAlign w:val="bottom"/>
            <w:hideMark/>
          </w:tcPr>
          <w:p w14:paraId="0DC8812A" w14:textId="77777777" w:rsidR="00D44330" w:rsidRPr="00087C24" w:rsidRDefault="00D44330" w:rsidP="00F45189">
            <w:pPr>
              <w:pStyle w:val="Normal-pool-Table"/>
              <w:bidi/>
              <w:spacing w:line="280" w:lineRule="exact"/>
              <w:jc w:val="center"/>
              <w:textDirection w:val="tbRlV"/>
              <w:rPr>
                <w:rFonts w:ascii="Simplified Arabic" w:hAnsi="Simplified Arabic" w:cs="Simplified Arabic"/>
                <w:i/>
                <w:iCs/>
                <w:color w:val="000000"/>
                <w:sz w:val="20"/>
                <w:lang w:val="en-GB"/>
              </w:rPr>
            </w:pPr>
            <w:r w:rsidRPr="003F36E0">
              <w:rPr>
                <w:rFonts w:ascii="Simplified Arabic" w:hAnsi="Simplified Arabic" w:cs="Simplified Arabic"/>
                <w:i/>
                <w:iCs/>
                <w:color w:val="000000"/>
                <w:sz w:val="20"/>
                <w:rtl/>
              </w:rPr>
              <w:t>النطاق التقديري للتمويل الخاص بمركبات الكربون الهيدروفلورية (بملايين دولارات الولايات المتحدة)</w:t>
            </w:r>
          </w:p>
        </w:tc>
      </w:tr>
      <w:tr w:rsidR="00D44330" w:rsidRPr="00A50247" w14:paraId="33EDB7A6" w14:textId="77777777" w:rsidTr="00494518">
        <w:trPr>
          <w:trHeight w:val="60"/>
          <w:tblHeader/>
        </w:trPr>
        <w:tc>
          <w:tcPr>
            <w:tcW w:w="1131" w:type="dxa"/>
            <w:vMerge/>
            <w:tcBorders>
              <w:bottom w:val="single" w:sz="12" w:space="0" w:color="auto"/>
            </w:tcBorders>
            <w:vAlign w:val="bottom"/>
          </w:tcPr>
          <w:p w14:paraId="5CAF7E7C" w14:textId="77777777" w:rsidR="00D44330" w:rsidRPr="003F36E0" w:rsidRDefault="00D44330" w:rsidP="00F45189">
            <w:pPr>
              <w:pStyle w:val="Normal-pool-Table"/>
              <w:bidi/>
              <w:spacing w:line="280" w:lineRule="exact"/>
              <w:jc w:val="both"/>
              <w:rPr>
                <w:rFonts w:ascii="Simplified Arabic" w:hAnsi="Simplified Arabic" w:cs="Simplified Arabic"/>
                <w:i/>
                <w:iCs/>
                <w:color w:val="000000"/>
                <w:sz w:val="20"/>
                <w:rtl/>
              </w:rPr>
            </w:pPr>
          </w:p>
        </w:tc>
        <w:tc>
          <w:tcPr>
            <w:tcW w:w="2413" w:type="dxa"/>
            <w:vMerge/>
            <w:tcBorders>
              <w:bottom w:val="single" w:sz="12" w:space="0" w:color="auto"/>
            </w:tcBorders>
            <w:vAlign w:val="bottom"/>
            <w:hideMark/>
          </w:tcPr>
          <w:p w14:paraId="5394333D" w14:textId="77777777" w:rsidR="00D44330" w:rsidRPr="003F36E0" w:rsidRDefault="00D44330" w:rsidP="00F45189">
            <w:pPr>
              <w:pStyle w:val="Normal-pool-Table"/>
              <w:bidi/>
              <w:spacing w:line="280" w:lineRule="exact"/>
              <w:rPr>
                <w:rFonts w:ascii="Simplified Arabic" w:hAnsi="Simplified Arabic" w:cs="Simplified Arabic"/>
                <w:i/>
                <w:iCs/>
                <w:color w:val="000000"/>
                <w:sz w:val="20"/>
                <w:rtl/>
              </w:rPr>
            </w:pPr>
          </w:p>
        </w:tc>
        <w:tc>
          <w:tcPr>
            <w:tcW w:w="2388" w:type="dxa"/>
            <w:tcBorders>
              <w:top w:val="single" w:sz="4" w:space="0" w:color="auto"/>
              <w:bottom w:val="single" w:sz="12" w:space="0" w:color="auto"/>
            </w:tcBorders>
            <w:vAlign w:val="bottom"/>
            <w:hideMark/>
          </w:tcPr>
          <w:p w14:paraId="777E7CFB" w14:textId="77777777" w:rsidR="00D44330" w:rsidRPr="00494518" w:rsidRDefault="00D44330" w:rsidP="00F45189">
            <w:pPr>
              <w:pStyle w:val="Normal-pool-Table"/>
              <w:bidi/>
              <w:spacing w:line="280" w:lineRule="exact"/>
              <w:jc w:val="right"/>
              <w:textDirection w:val="tbRlV"/>
              <w:rPr>
                <w:rFonts w:ascii="Simplified Arabic" w:hAnsi="Simplified Arabic" w:cs="Simplified Arabic"/>
                <w:i/>
                <w:iCs/>
                <w:color w:val="000000"/>
                <w:w w:val="93"/>
                <w:sz w:val="20"/>
                <w:rtl/>
                <w:lang w:bidi="en-GB"/>
              </w:rPr>
            </w:pPr>
            <w:r w:rsidRPr="00494518">
              <w:rPr>
                <w:rFonts w:ascii="Simplified Arabic" w:hAnsi="Simplified Arabic" w:cs="Simplified Arabic"/>
                <w:i/>
                <w:iCs/>
                <w:color w:val="000000"/>
                <w:w w:val="93"/>
                <w:sz w:val="20"/>
                <w:rtl/>
              </w:rPr>
              <w:t>السيناريوهان 1 و2 لمركبات الكربون الهيدروفلورية مع تخصيص الموارد ألف</w:t>
            </w:r>
          </w:p>
        </w:tc>
        <w:tc>
          <w:tcPr>
            <w:tcW w:w="2431" w:type="dxa"/>
            <w:tcBorders>
              <w:top w:val="single" w:sz="4" w:space="0" w:color="auto"/>
              <w:bottom w:val="single" w:sz="12" w:space="0" w:color="auto"/>
            </w:tcBorders>
            <w:vAlign w:val="bottom"/>
            <w:hideMark/>
          </w:tcPr>
          <w:p w14:paraId="4A8D9082" w14:textId="77777777" w:rsidR="00D44330" w:rsidRPr="00494518" w:rsidRDefault="00D44330" w:rsidP="00F45189">
            <w:pPr>
              <w:pStyle w:val="Normal-pool-Table"/>
              <w:bidi/>
              <w:spacing w:line="280" w:lineRule="exact"/>
              <w:jc w:val="right"/>
              <w:textDirection w:val="tbRlV"/>
              <w:rPr>
                <w:rFonts w:ascii="Simplified Arabic" w:hAnsi="Simplified Arabic" w:cs="Simplified Arabic"/>
                <w:i/>
                <w:iCs/>
                <w:color w:val="000000"/>
                <w:w w:val="93"/>
                <w:sz w:val="20"/>
                <w:rtl/>
                <w:lang w:bidi="en-GB"/>
              </w:rPr>
            </w:pPr>
            <w:r w:rsidRPr="00494518">
              <w:rPr>
                <w:rFonts w:ascii="Simplified Arabic" w:hAnsi="Simplified Arabic" w:cs="Simplified Arabic"/>
                <w:i/>
                <w:iCs/>
                <w:color w:val="000000"/>
                <w:w w:val="93"/>
                <w:sz w:val="20"/>
                <w:rtl/>
              </w:rPr>
              <w:t>السيناريوهان 1 و2 لمركبات الكربون الهيدروفلورية مع تخصيص الموارد باء</w:t>
            </w:r>
          </w:p>
        </w:tc>
      </w:tr>
      <w:tr w:rsidR="00D44330" w:rsidRPr="003F36E0" w14:paraId="1B35128B" w14:textId="77777777" w:rsidTr="00494518">
        <w:trPr>
          <w:trHeight w:val="287"/>
        </w:trPr>
        <w:tc>
          <w:tcPr>
            <w:tcW w:w="1131" w:type="dxa"/>
            <w:vMerge w:val="restart"/>
            <w:tcBorders>
              <w:top w:val="single" w:sz="12" w:space="0" w:color="auto"/>
            </w:tcBorders>
            <w:vAlign w:val="center"/>
          </w:tcPr>
          <w:p w14:paraId="41AB2EC6" w14:textId="77777777" w:rsidR="00D44330" w:rsidRPr="00B655B5" w:rsidRDefault="00D44330" w:rsidP="00F45189">
            <w:pPr>
              <w:pStyle w:val="Normal-pool-Table"/>
              <w:bidi/>
              <w:spacing w:line="280" w:lineRule="exact"/>
              <w:jc w:val="both"/>
              <w:textDirection w:val="tbRlV"/>
              <w:rPr>
                <w:rFonts w:ascii="Simplified Arabic" w:hAnsi="Simplified Arabic" w:cs="Simplified Arabic"/>
                <w:color w:val="000000"/>
                <w:sz w:val="20"/>
                <w:rtl/>
                <w:lang w:bidi="en-GB"/>
              </w:rPr>
            </w:pPr>
            <w:r w:rsidRPr="00B655B5">
              <w:rPr>
                <w:rFonts w:ascii="Simplified Arabic" w:hAnsi="Simplified Arabic" w:cs="Simplified Arabic"/>
                <w:color w:val="000000"/>
                <w:sz w:val="20"/>
                <w:rtl/>
              </w:rPr>
              <w:t>2027-2029</w:t>
            </w:r>
          </w:p>
        </w:tc>
        <w:tc>
          <w:tcPr>
            <w:tcW w:w="2413" w:type="dxa"/>
            <w:tcBorders>
              <w:top w:val="single" w:sz="12" w:space="0" w:color="auto"/>
            </w:tcBorders>
            <w:vAlign w:val="bottom"/>
            <w:hideMark/>
          </w:tcPr>
          <w:p w14:paraId="5F2E491B" w14:textId="77777777" w:rsidR="00D44330" w:rsidRPr="00B655B5" w:rsidRDefault="00D44330" w:rsidP="00F45189">
            <w:pPr>
              <w:pStyle w:val="Normal-pool-Table"/>
              <w:bidi/>
              <w:spacing w:line="280" w:lineRule="exact"/>
              <w:textDirection w:val="tbRlV"/>
              <w:rPr>
                <w:rFonts w:ascii="Simplified Arabic" w:hAnsi="Simplified Arabic" w:cs="Simplified Arabic"/>
                <w:color w:val="000000"/>
                <w:sz w:val="20"/>
                <w:rtl/>
                <w:lang w:bidi="en-GB"/>
              </w:rPr>
            </w:pPr>
            <w:r w:rsidRPr="00B655B5">
              <w:rPr>
                <w:rFonts w:ascii="Simplified Arabic" w:hAnsi="Simplified Arabic" w:cs="Simplified Arabic"/>
                <w:color w:val="000000"/>
                <w:sz w:val="20"/>
                <w:rtl/>
              </w:rPr>
              <w:t xml:space="preserve">قطاع استهلاك مركبات الكربون الهيدروفلورية </w:t>
            </w:r>
          </w:p>
        </w:tc>
        <w:tc>
          <w:tcPr>
            <w:tcW w:w="2388" w:type="dxa"/>
            <w:tcBorders>
              <w:top w:val="single" w:sz="12" w:space="0" w:color="auto"/>
            </w:tcBorders>
            <w:vAlign w:val="center"/>
            <w:hideMark/>
          </w:tcPr>
          <w:p w14:paraId="0DB76F39" w14:textId="2D709078" w:rsidR="00D44330" w:rsidRPr="00B655B5" w:rsidRDefault="00D44330" w:rsidP="00F45189">
            <w:pPr>
              <w:pStyle w:val="Normal-pool-Table"/>
              <w:bidi/>
              <w:spacing w:line="280" w:lineRule="exact"/>
              <w:jc w:val="right"/>
              <w:rPr>
                <w:rFonts w:ascii="Simplified Arabic" w:hAnsi="Simplified Arabic" w:cs="Simplified Arabic"/>
                <w:color w:val="000000"/>
                <w:sz w:val="20"/>
                <w:rtl/>
              </w:rPr>
            </w:pPr>
            <w:r w:rsidRPr="00B655B5">
              <w:rPr>
                <w:rFonts w:ascii="Simplified Arabic" w:hAnsi="Simplified Arabic" w:cs="Simplified Arabic"/>
                <w:color w:val="000000"/>
                <w:sz w:val="20"/>
                <w:rtl/>
              </w:rPr>
              <w:t>958–</w:t>
            </w:r>
            <w:r w:rsidR="00D4193E">
              <w:rPr>
                <w:rFonts w:ascii="Simplified Arabic" w:hAnsi="Simplified Arabic" w:cs="Simplified Arabic"/>
                <w:color w:val="000000"/>
                <w:sz w:val="20"/>
              </w:rPr>
              <w:t>1 042</w:t>
            </w:r>
          </w:p>
        </w:tc>
        <w:tc>
          <w:tcPr>
            <w:tcW w:w="2431" w:type="dxa"/>
            <w:tcBorders>
              <w:top w:val="single" w:sz="12" w:space="0" w:color="auto"/>
            </w:tcBorders>
            <w:vAlign w:val="center"/>
            <w:hideMark/>
          </w:tcPr>
          <w:p w14:paraId="51328C16" w14:textId="21CAB694" w:rsidR="00D44330" w:rsidRPr="00B655B5" w:rsidRDefault="00D44330" w:rsidP="00F45189">
            <w:pPr>
              <w:pStyle w:val="Normal-pool-Table"/>
              <w:bidi/>
              <w:spacing w:line="280" w:lineRule="exact"/>
              <w:jc w:val="right"/>
              <w:rPr>
                <w:rFonts w:ascii="Simplified Arabic" w:hAnsi="Simplified Arabic" w:cs="Simplified Arabic"/>
                <w:color w:val="000000"/>
                <w:sz w:val="20"/>
                <w:rtl/>
              </w:rPr>
            </w:pPr>
            <w:r w:rsidRPr="00B655B5">
              <w:rPr>
                <w:rFonts w:ascii="Simplified Arabic" w:hAnsi="Simplified Arabic" w:cs="Simplified Arabic"/>
                <w:color w:val="000000"/>
                <w:sz w:val="20"/>
                <w:rtl/>
              </w:rPr>
              <w:t>690–769</w:t>
            </w:r>
          </w:p>
        </w:tc>
      </w:tr>
      <w:tr w:rsidR="00D44330" w:rsidRPr="003F36E0" w14:paraId="5FA43B34" w14:textId="77777777" w:rsidTr="00494518">
        <w:trPr>
          <w:trHeight w:val="287"/>
        </w:trPr>
        <w:tc>
          <w:tcPr>
            <w:tcW w:w="1131" w:type="dxa"/>
            <w:vMerge/>
            <w:vAlign w:val="center"/>
          </w:tcPr>
          <w:p w14:paraId="5E151D36" w14:textId="77777777" w:rsidR="00D44330" w:rsidRPr="00B655B5" w:rsidRDefault="00D44330" w:rsidP="00F45189">
            <w:pPr>
              <w:pStyle w:val="Normal-pool-Table"/>
              <w:bidi/>
              <w:spacing w:line="280" w:lineRule="exact"/>
              <w:jc w:val="both"/>
              <w:rPr>
                <w:rFonts w:ascii="Simplified Arabic" w:hAnsi="Simplified Arabic" w:cs="Simplified Arabic"/>
                <w:color w:val="000000"/>
                <w:sz w:val="20"/>
                <w:rtl/>
              </w:rPr>
            </w:pPr>
          </w:p>
        </w:tc>
        <w:tc>
          <w:tcPr>
            <w:tcW w:w="2413" w:type="dxa"/>
            <w:vAlign w:val="bottom"/>
          </w:tcPr>
          <w:p w14:paraId="6B0E7BBA" w14:textId="77777777" w:rsidR="00D44330" w:rsidRPr="00B655B5" w:rsidRDefault="00D44330" w:rsidP="00F45189">
            <w:pPr>
              <w:pStyle w:val="Normal-pool-Table"/>
              <w:bidi/>
              <w:spacing w:line="280" w:lineRule="exact"/>
              <w:textDirection w:val="tbRlV"/>
              <w:rPr>
                <w:rFonts w:ascii="Simplified Arabic" w:hAnsi="Simplified Arabic" w:cs="Simplified Arabic"/>
                <w:color w:val="000000"/>
                <w:sz w:val="20"/>
                <w:rtl/>
                <w:lang w:bidi="en-GB"/>
              </w:rPr>
            </w:pPr>
            <w:r w:rsidRPr="00B655B5">
              <w:rPr>
                <w:rFonts w:ascii="Simplified Arabic" w:hAnsi="Simplified Arabic" w:cs="Simplified Arabic"/>
                <w:color w:val="000000"/>
                <w:sz w:val="20"/>
                <w:rtl/>
              </w:rPr>
              <w:t>قطاع إنتاج مركبات الكربون الهيدروفلورية والتخفيف من انبعاثات مركب الكربون الهيدروفلوري-23</w:t>
            </w:r>
          </w:p>
        </w:tc>
        <w:tc>
          <w:tcPr>
            <w:tcW w:w="2388" w:type="dxa"/>
            <w:vAlign w:val="center"/>
          </w:tcPr>
          <w:p w14:paraId="25AD89FB" w14:textId="77777777" w:rsidR="00D44330" w:rsidRPr="00B655B5" w:rsidRDefault="00D44330" w:rsidP="00F45189">
            <w:pPr>
              <w:pStyle w:val="Normal-pool-Table"/>
              <w:bidi/>
              <w:spacing w:line="280" w:lineRule="exact"/>
              <w:jc w:val="right"/>
              <w:textDirection w:val="tbRlV"/>
              <w:rPr>
                <w:rFonts w:ascii="Simplified Arabic" w:hAnsi="Simplified Arabic" w:cs="Simplified Arabic"/>
                <w:color w:val="000000"/>
                <w:sz w:val="20"/>
                <w:rtl/>
                <w:lang w:bidi="en-GB"/>
              </w:rPr>
            </w:pPr>
            <w:r w:rsidRPr="00B655B5">
              <w:rPr>
                <w:rFonts w:ascii="Simplified Arabic" w:hAnsi="Simplified Arabic" w:cs="Simplified Arabic"/>
                <w:color w:val="000000"/>
                <w:sz w:val="20"/>
                <w:rtl/>
              </w:rPr>
              <w:t>11,76</w:t>
            </w:r>
          </w:p>
        </w:tc>
        <w:tc>
          <w:tcPr>
            <w:tcW w:w="2431" w:type="dxa"/>
            <w:vAlign w:val="center"/>
          </w:tcPr>
          <w:p w14:paraId="0D931BF5" w14:textId="77777777" w:rsidR="00D44330" w:rsidRPr="00B655B5" w:rsidRDefault="00D44330" w:rsidP="00F45189">
            <w:pPr>
              <w:pStyle w:val="Normal-pool-Table"/>
              <w:bidi/>
              <w:spacing w:line="280" w:lineRule="exact"/>
              <w:jc w:val="right"/>
              <w:textDirection w:val="tbRlV"/>
              <w:rPr>
                <w:rFonts w:ascii="Simplified Arabic" w:hAnsi="Simplified Arabic" w:cs="Simplified Arabic"/>
                <w:color w:val="000000"/>
                <w:sz w:val="20"/>
                <w:rtl/>
                <w:lang w:bidi="en-GB"/>
              </w:rPr>
            </w:pPr>
            <w:r w:rsidRPr="00B655B5">
              <w:rPr>
                <w:rFonts w:ascii="Simplified Arabic" w:hAnsi="Simplified Arabic" w:cs="Simplified Arabic"/>
                <w:color w:val="000000"/>
                <w:sz w:val="20"/>
                <w:rtl/>
              </w:rPr>
              <w:t>11,76</w:t>
            </w:r>
          </w:p>
        </w:tc>
      </w:tr>
      <w:tr w:rsidR="00D44330" w:rsidRPr="003F36E0" w14:paraId="506582DF" w14:textId="77777777" w:rsidTr="00494518">
        <w:trPr>
          <w:trHeight w:val="287"/>
        </w:trPr>
        <w:tc>
          <w:tcPr>
            <w:tcW w:w="1131" w:type="dxa"/>
            <w:vMerge/>
            <w:vAlign w:val="center"/>
          </w:tcPr>
          <w:p w14:paraId="3A801262" w14:textId="77777777" w:rsidR="00D44330" w:rsidRPr="00B655B5" w:rsidRDefault="00D44330" w:rsidP="00F45189">
            <w:pPr>
              <w:pStyle w:val="Normal-pool-Table"/>
              <w:bidi/>
              <w:spacing w:line="280" w:lineRule="exact"/>
              <w:jc w:val="both"/>
              <w:rPr>
                <w:rFonts w:ascii="Simplified Arabic" w:hAnsi="Simplified Arabic" w:cs="Simplified Arabic"/>
                <w:color w:val="000000"/>
                <w:sz w:val="20"/>
                <w:rtl/>
              </w:rPr>
            </w:pPr>
          </w:p>
        </w:tc>
        <w:tc>
          <w:tcPr>
            <w:tcW w:w="2413" w:type="dxa"/>
            <w:vAlign w:val="bottom"/>
          </w:tcPr>
          <w:p w14:paraId="5E4E00EF" w14:textId="77777777" w:rsidR="00D44330" w:rsidRPr="00D11333" w:rsidRDefault="00D44330" w:rsidP="00F45189">
            <w:pPr>
              <w:pStyle w:val="Normal-pool-Table"/>
              <w:bidi/>
              <w:spacing w:line="280" w:lineRule="exact"/>
              <w:textDirection w:val="tbRlV"/>
              <w:rPr>
                <w:rFonts w:ascii="Simplified Arabic" w:hAnsi="Simplified Arabic" w:cs="Simplified Arabic"/>
                <w:b/>
                <w:bCs/>
                <w:color w:val="000000"/>
                <w:sz w:val="20"/>
                <w:rtl/>
                <w:lang w:bidi="en-GB"/>
              </w:rPr>
            </w:pPr>
            <w:r w:rsidRPr="00D11333">
              <w:rPr>
                <w:rFonts w:ascii="Simplified Arabic" w:hAnsi="Simplified Arabic" w:cs="Simplified Arabic"/>
                <w:b/>
                <w:bCs/>
                <w:color w:val="000000"/>
                <w:sz w:val="20"/>
                <w:rtl/>
              </w:rPr>
              <w:t>النطاق الإجمالي</w:t>
            </w:r>
          </w:p>
        </w:tc>
        <w:tc>
          <w:tcPr>
            <w:tcW w:w="2388" w:type="dxa"/>
            <w:vAlign w:val="center"/>
          </w:tcPr>
          <w:p w14:paraId="7186A7AA" w14:textId="4FC67D76" w:rsidR="00D44330" w:rsidRPr="00D11333" w:rsidRDefault="00D44330" w:rsidP="00F45189">
            <w:pPr>
              <w:pStyle w:val="Normal-pool-Table"/>
              <w:bidi/>
              <w:spacing w:line="280" w:lineRule="exact"/>
              <w:jc w:val="right"/>
              <w:rPr>
                <w:rFonts w:ascii="Simplified Arabic" w:hAnsi="Simplified Arabic" w:cs="Simplified Arabic"/>
                <w:b/>
                <w:bCs/>
                <w:color w:val="000000"/>
                <w:sz w:val="20"/>
                <w:rtl/>
              </w:rPr>
            </w:pPr>
            <w:r w:rsidRPr="00D11333">
              <w:rPr>
                <w:rFonts w:ascii="Simplified Arabic" w:hAnsi="Simplified Arabic" w:cs="Simplified Arabic"/>
                <w:b/>
                <w:bCs/>
                <w:color w:val="000000"/>
                <w:sz w:val="20"/>
                <w:rtl/>
              </w:rPr>
              <w:t>970–</w:t>
            </w:r>
            <w:r w:rsidR="00D4193E">
              <w:rPr>
                <w:rFonts w:ascii="Simplified Arabic" w:hAnsi="Simplified Arabic" w:cs="Simplified Arabic"/>
                <w:b/>
                <w:bCs/>
                <w:color w:val="000000"/>
                <w:sz w:val="20"/>
              </w:rPr>
              <w:t>1 053</w:t>
            </w:r>
          </w:p>
        </w:tc>
        <w:tc>
          <w:tcPr>
            <w:tcW w:w="2431" w:type="dxa"/>
            <w:vAlign w:val="center"/>
          </w:tcPr>
          <w:p w14:paraId="55DB129A" w14:textId="6076E16B" w:rsidR="00D44330" w:rsidRPr="00D11333" w:rsidRDefault="00D44330" w:rsidP="00F45189">
            <w:pPr>
              <w:pStyle w:val="Normal-pool-Table"/>
              <w:bidi/>
              <w:spacing w:line="280" w:lineRule="exact"/>
              <w:jc w:val="right"/>
              <w:rPr>
                <w:rFonts w:ascii="Simplified Arabic" w:hAnsi="Simplified Arabic" w:cs="Simplified Arabic"/>
                <w:b/>
                <w:bCs/>
                <w:color w:val="000000"/>
                <w:sz w:val="20"/>
                <w:rtl/>
              </w:rPr>
            </w:pPr>
            <w:r w:rsidRPr="00D11333">
              <w:rPr>
                <w:rFonts w:ascii="Simplified Arabic" w:hAnsi="Simplified Arabic" w:cs="Simplified Arabic"/>
                <w:b/>
                <w:bCs/>
                <w:color w:val="000000"/>
                <w:sz w:val="20"/>
                <w:rtl/>
              </w:rPr>
              <w:t>702–781</w:t>
            </w:r>
          </w:p>
        </w:tc>
      </w:tr>
      <w:tr w:rsidR="00D44330" w:rsidRPr="003F36E0" w14:paraId="1E00243E" w14:textId="77777777" w:rsidTr="00494518">
        <w:trPr>
          <w:trHeight w:val="287"/>
        </w:trPr>
        <w:tc>
          <w:tcPr>
            <w:tcW w:w="1131" w:type="dxa"/>
            <w:vMerge w:val="restart"/>
            <w:vAlign w:val="center"/>
          </w:tcPr>
          <w:p w14:paraId="615A988D" w14:textId="77777777" w:rsidR="00D44330" w:rsidRPr="00B655B5" w:rsidRDefault="00D44330" w:rsidP="00F45189">
            <w:pPr>
              <w:pStyle w:val="Normal-pool-Table"/>
              <w:bidi/>
              <w:spacing w:line="280" w:lineRule="exact"/>
              <w:jc w:val="both"/>
              <w:textDirection w:val="tbRlV"/>
              <w:rPr>
                <w:rFonts w:ascii="Simplified Arabic" w:hAnsi="Simplified Arabic" w:cs="Simplified Arabic"/>
                <w:color w:val="000000"/>
                <w:sz w:val="20"/>
                <w:rtl/>
                <w:lang w:bidi="en-GB"/>
              </w:rPr>
            </w:pPr>
            <w:r w:rsidRPr="00B655B5">
              <w:rPr>
                <w:rFonts w:ascii="Simplified Arabic" w:hAnsi="Simplified Arabic" w:cs="Simplified Arabic"/>
                <w:color w:val="000000"/>
                <w:sz w:val="20"/>
                <w:rtl/>
              </w:rPr>
              <w:lastRenderedPageBreak/>
              <w:t>2030-2032</w:t>
            </w:r>
          </w:p>
        </w:tc>
        <w:tc>
          <w:tcPr>
            <w:tcW w:w="2413" w:type="dxa"/>
            <w:vAlign w:val="bottom"/>
          </w:tcPr>
          <w:p w14:paraId="6B9B3682" w14:textId="77777777" w:rsidR="00D44330" w:rsidRPr="00B655B5" w:rsidRDefault="00D44330" w:rsidP="00F45189">
            <w:pPr>
              <w:pStyle w:val="Normal-pool-Table"/>
              <w:bidi/>
              <w:spacing w:line="280" w:lineRule="exact"/>
              <w:textDirection w:val="tbRlV"/>
              <w:rPr>
                <w:rFonts w:ascii="Simplified Arabic" w:hAnsi="Simplified Arabic" w:cs="Simplified Arabic"/>
                <w:color w:val="000000"/>
                <w:sz w:val="20"/>
                <w:rtl/>
                <w:lang w:bidi="en-GB"/>
              </w:rPr>
            </w:pPr>
            <w:r w:rsidRPr="00B655B5">
              <w:rPr>
                <w:rFonts w:ascii="Simplified Arabic" w:hAnsi="Simplified Arabic" w:cs="Simplified Arabic"/>
                <w:color w:val="000000"/>
                <w:sz w:val="20"/>
                <w:rtl/>
              </w:rPr>
              <w:t xml:space="preserve">قطاع استهلاك مركبات الكربون الهيدروفلورية </w:t>
            </w:r>
          </w:p>
        </w:tc>
        <w:tc>
          <w:tcPr>
            <w:tcW w:w="2388" w:type="dxa"/>
          </w:tcPr>
          <w:p w14:paraId="3C86F889" w14:textId="29A226C3" w:rsidR="00D44330" w:rsidRPr="00B655B5" w:rsidRDefault="00D44330" w:rsidP="00F45189">
            <w:pPr>
              <w:pStyle w:val="Normal-pool-Table"/>
              <w:bidi/>
              <w:spacing w:line="280" w:lineRule="exact"/>
              <w:jc w:val="right"/>
              <w:rPr>
                <w:rFonts w:ascii="Simplified Arabic" w:hAnsi="Simplified Arabic" w:cs="Simplified Arabic"/>
                <w:color w:val="000000"/>
                <w:sz w:val="20"/>
                <w:rtl/>
              </w:rPr>
            </w:pPr>
            <w:r w:rsidRPr="00B655B5">
              <w:rPr>
                <w:rFonts w:ascii="Simplified Arabic" w:hAnsi="Simplified Arabic" w:cs="Simplified Arabic"/>
                <w:color w:val="000000"/>
                <w:sz w:val="20"/>
                <w:rtl/>
              </w:rPr>
              <w:t>876–907</w:t>
            </w:r>
          </w:p>
        </w:tc>
        <w:tc>
          <w:tcPr>
            <w:tcW w:w="2431" w:type="dxa"/>
          </w:tcPr>
          <w:p w14:paraId="20F97B69" w14:textId="5E640042" w:rsidR="00D44330" w:rsidRPr="00B655B5" w:rsidRDefault="00D44330" w:rsidP="00F45189">
            <w:pPr>
              <w:pStyle w:val="Normal-pool-Table"/>
              <w:bidi/>
              <w:spacing w:line="280" w:lineRule="exact"/>
              <w:jc w:val="right"/>
              <w:rPr>
                <w:rFonts w:ascii="Simplified Arabic" w:hAnsi="Simplified Arabic" w:cs="Simplified Arabic"/>
                <w:color w:val="000000"/>
                <w:sz w:val="20"/>
                <w:rtl/>
              </w:rPr>
            </w:pPr>
            <w:r w:rsidRPr="00B655B5">
              <w:rPr>
                <w:rFonts w:ascii="Simplified Arabic" w:hAnsi="Simplified Arabic" w:cs="Simplified Arabic"/>
                <w:color w:val="000000"/>
                <w:sz w:val="20"/>
                <w:rtl/>
              </w:rPr>
              <w:t>049 1–084 1</w:t>
            </w:r>
          </w:p>
        </w:tc>
      </w:tr>
      <w:tr w:rsidR="00D44330" w:rsidRPr="003F36E0" w14:paraId="1EFCAC30" w14:textId="77777777" w:rsidTr="00494518">
        <w:trPr>
          <w:trHeight w:val="287"/>
        </w:trPr>
        <w:tc>
          <w:tcPr>
            <w:tcW w:w="1131" w:type="dxa"/>
            <w:vMerge/>
            <w:vAlign w:val="center"/>
          </w:tcPr>
          <w:p w14:paraId="067B21BD" w14:textId="77777777" w:rsidR="00D44330" w:rsidRPr="00B655B5" w:rsidRDefault="00D44330" w:rsidP="00F45189">
            <w:pPr>
              <w:pStyle w:val="Normal-pool-Table"/>
              <w:bidi/>
              <w:spacing w:line="280" w:lineRule="exact"/>
              <w:jc w:val="both"/>
              <w:rPr>
                <w:rFonts w:ascii="Simplified Arabic" w:hAnsi="Simplified Arabic" w:cs="Simplified Arabic"/>
                <w:color w:val="000000"/>
                <w:sz w:val="20"/>
                <w:rtl/>
              </w:rPr>
            </w:pPr>
          </w:p>
        </w:tc>
        <w:tc>
          <w:tcPr>
            <w:tcW w:w="2413" w:type="dxa"/>
            <w:vAlign w:val="bottom"/>
          </w:tcPr>
          <w:p w14:paraId="3CCA0084" w14:textId="77777777" w:rsidR="00D44330" w:rsidRPr="00B655B5" w:rsidRDefault="00D44330" w:rsidP="00F45189">
            <w:pPr>
              <w:pStyle w:val="Normal-pool-Table"/>
              <w:bidi/>
              <w:spacing w:line="280" w:lineRule="exact"/>
              <w:textDirection w:val="tbRlV"/>
              <w:rPr>
                <w:rFonts w:ascii="Simplified Arabic" w:hAnsi="Simplified Arabic" w:cs="Simplified Arabic"/>
                <w:color w:val="000000"/>
                <w:sz w:val="20"/>
                <w:rtl/>
                <w:lang w:bidi="en-GB"/>
              </w:rPr>
            </w:pPr>
            <w:r w:rsidRPr="00B655B5">
              <w:rPr>
                <w:rFonts w:ascii="Simplified Arabic" w:hAnsi="Simplified Arabic" w:cs="Simplified Arabic"/>
                <w:color w:val="000000"/>
                <w:sz w:val="20"/>
                <w:rtl/>
              </w:rPr>
              <w:t>قطاع إنتاج مركبات الكربون الهيدروفلورية والتخفيف من انبعاثات مركب الكربون الهيدروفلوري-23</w:t>
            </w:r>
          </w:p>
        </w:tc>
        <w:tc>
          <w:tcPr>
            <w:tcW w:w="2388" w:type="dxa"/>
            <w:vAlign w:val="center"/>
          </w:tcPr>
          <w:p w14:paraId="2C828BEA" w14:textId="77777777" w:rsidR="00D44330" w:rsidRPr="00B655B5" w:rsidRDefault="00D44330" w:rsidP="00F45189">
            <w:pPr>
              <w:pStyle w:val="Normal-pool-Table"/>
              <w:bidi/>
              <w:spacing w:line="280" w:lineRule="exact"/>
              <w:jc w:val="right"/>
              <w:textDirection w:val="tbRlV"/>
              <w:rPr>
                <w:rFonts w:ascii="Simplified Arabic" w:hAnsi="Simplified Arabic" w:cs="Simplified Arabic"/>
                <w:color w:val="000000"/>
                <w:sz w:val="20"/>
                <w:rtl/>
                <w:lang w:bidi="en-GB"/>
              </w:rPr>
            </w:pPr>
            <w:r w:rsidRPr="00B655B5">
              <w:rPr>
                <w:rFonts w:ascii="Simplified Arabic" w:hAnsi="Simplified Arabic" w:cs="Simplified Arabic"/>
                <w:color w:val="000000"/>
                <w:sz w:val="20"/>
                <w:rtl/>
              </w:rPr>
              <w:t>0,51</w:t>
            </w:r>
          </w:p>
        </w:tc>
        <w:tc>
          <w:tcPr>
            <w:tcW w:w="2431" w:type="dxa"/>
            <w:vAlign w:val="center"/>
          </w:tcPr>
          <w:p w14:paraId="273E602F" w14:textId="77777777" w:rsidR="00D44330" w:rsidRPr="00B655B5" w:rsidRDefault="00D44330" w:rsidP="00F45189">
            <w:pPr>
              <w:pStyle w:val="Normal-pool-Table"/>
              <w:bidi/>
              <w:spacing w:line="280" w:lineRule="exact"/>
              <w:jc w:val="right"/>
              <w:textDirection w:val="tbRlV"/>
              <w:rPr>
                <w:rFonts w:ascii="Simplified Arabic" w:hAnsi="Simplified Arabic" w:cs="Simplified Arabic"/>
                <w:color w:val="000000"/>
                <w:sz w:val="20"/>
                <w:rtl/>
                <w:lang w:bidi="en-GB"/>
              </w:rPr>
            </w:pPr>
            <w:r w:rsidRPr="00B655B5">
              <w:rPr>
                <w:rFonts w:ascii="Simplified Arabic" w:hAnsi="Simplified Arabic" w:cs="Simplified Arabic"/>
                <w:color w:val="000000"/>
                <w:sz w:val="20"/>
                <w:rtl/>
              </w:rPr>
              <w:t>0,51</w:t>
            </w:r>
          </w:p>
        </w:tc>
      </w:tr>
      <w:tr w:rsidR="00D44330" w:rsidRPr="003F36E0" w14:paraId="1B33DA97" w14:textId="77777777" w:rsidTr="00494518">
        <w:trPr>
          <w:trHeight w:val="287"/>
        </w:trPr>
        <w:tc>
          <w:tcPr>
            <w:tcW w:w="1131" w:type="dxa"/>
            <w:vMerge/>
            <w:vAlign w:val="center"/>
          </w:tcPr>
          <w:p w14:paraId="5E66815B" w14:textId="77777777" w:rsidR="00D44330" w:rsidRPr="00B655B5" w:rsidRDefault="00D44330" w:rsidP="00F45189">
            <w:pPr>
              <w:pStyle w:val="Normal-pool-Table"/>
              <w:bidi/>
              <w:spacing w:line="280" w:lineRule="exact"/>
              <w:jc w:val="both"/>
              <w:rPr>
                <w:rFonts w:ascii="Simplified Arabic" w:hAnsi="Simplified Arabic" w:cs="Simplified Arabic"/>
                <w:color w:val="000000"/>
                <w:sz w:val="20"/>
                <w:rtl/>
              </w:rPr>
            </w:pPr>
          </w:p>
        </w:tc>
        <w:tc>
          <w:tcPr>
            <w:tcW w:w="2413" w:type="dxa"/>
            <w:vAlign w:val="bottom"/>
          </w:tcPr>
          <w:p w14:paraId="1D7D6AAF" w14:textId="77777777" w:rsidR="00D44330" w:rsidRPr="00D11333" w:rsidRDefault="00D44330" w:rsidP="00F45189">
            <w:pPr>
              <w:pStyle w:val="Normal-pool-Table"/>
              <w:bidi/>
              <w:spacing w:line="280" w:lineRule="exact"/>
              <w:textDirection w:val="tbRlV"/>
              <w:rPr>
                <w:rFonts w:ascii="Simplified Arabic" w:hAnsi="Simplified Arabic" w:cs="Simplified Arabic"/>
                <w:b/>
                <w:bCs/>
                <w:color w:val="000000"/>
                <w:sz w:val="20"/>
                <w:rtl/>
                <w:lang w:bidi="en-GB"/>
              </w:rPr>
            </w:pPr>
            <w:r w:rsidRPr="00D11333">
              <w:rPr>
                <w:rFonts w:ascii="Simplified Arabic" w:hAnsi="Simplified Arabic" w:cs="Simplified Arabic"/>
                <w:b/>
                <w:bCs/>
                <w:color w:val="000000"/>
                <w:sz w:val="20"/>
                <w:rtl/>
              </w:rPr>
              <w:t>النطاق الإجمالي</w:t>
            </w:r>
          </w:p>
        </w:tc>
        <w:tc>
          <w:tcPr>
            <w:tcW w:w="2388" w:type="dxa"/>
            <w:vAlign w:val="center"/>
          </w:tcPr>
          <w:p w14:paraId="6F728141" w14:textId="737A1E6E" w:rsidR="00D44330" w:rsidRPr="00D11333" w:rsidRDefault="00D44330" w:rsidP="00F45189">
            <w:pPr>
              <w:pStyle w:val="Normal-pool-Table"/>
              <w:bidi/>
              <w:spacing w:line="280" w:lineRule="exact"/>
              <w:jc w:val="right"/>
              <w:rPr>
                <w:rFonts w:ascii="Simplified Arabic" w:hAnsi="Simplified Arabic" w:cs="Simplified Arabic"/>
                <w:b/>
                <w:bCs/>
                <w:color w:val="000000"/>
                <w:sz w:val="20"/>
                <w:rtl/>
              </w:rPr>
            </w:pPr>
            <w:r w:rsidRPr="00D11333">
              <w:rPr>
                <w:rFonts w:ascii="Simplified Arabic" w:hAnsi="Simplified Arabic" w:cs="Simplified Arabic"/>
                <w:b/>
                <w:bCs/>
                <w:color w:val="000000"/>
                <w:sz w:val="20"/>
                <w:rtl/>
              </w:rPr>
              <w:t>877–908</w:t>
            </w:r>
          </w:p>
        </w:tc>
        <w:tc>
          <w:tcPr>
            <w:tcW w:w="2431" w:type="dxa"/>
            <w:vAlign w:val="center"/>
          </w:tcPr>
          <w:p w14:paraId="16D597F9" w14:textId="3B1CE402" w:rsidR="00D44330" w:rsidRPr="00D11333" w:rsidRDefault="00D44330" w:rsidP="00F45189">
            <w:pPr>
              <w:pStyle w:val="Normal-pool-Table"/>
              <w:bidi/>
              <w:spacing w:line="280" w:lineRule="exact"/>
              <w:jc w:val="right"/>
              <w:rPr>
                <w:rFonts w:ascii="Simplified Arabic" w:hAnsi="Simplified Arabic" w:cs="Simplified Arabic"/>
                <w:b/>
                <w:bCs/>
                <w:color w:val="000000"/>
                <w:sz w:val="20"/>
                <w:rtl/>
              </w:rPr>
            </w:pPr>
            <w:r w:rsidRPr="00D11333">
              <w:rPr>
                <w:rFonts w:ascii="Simplified Arabic" w:hAnsi="Simplified Arabic" w:cs="Simplified Arabic"/>
                <w:b/>
                <w:bCs/>
                <w:color w:val="000000"/>
                <w:sz w:val="20"/>
                <w:rtl/>
              </w:rPr>
              <w:t>050 1–085 1</w:t>
            </w:r>
          </w:p>
        </w:tc>
      </w:tr>
      <w:tr w:rsidR="00D44330" w:rsidRPr="003F36E0" w14:paraId="725FBF31" w14:textId="77777777" w:rsidTr="00494518">
        <w:trPr>
          <w:trHeight w:val="287"/>
        </w:trPr>
        <w:tc>
          <w:tcPr>
            <w:tcW w:w="1131" w:type="dxa"/>
            <w:vMerge w:val="restart"/>
            <w:tcBorders>
              <w:bottom w:val="single" w:sz="12" w:space="0" w:color="auto"/>
            </w:tcBorders>
            <w:vAlign w:val="center"/>
          </w:tcPr>
          <w:p w14:paraId="2F559000" w14:textId="77777777" w:rsidR="00D44330" w:rsidRPr="00B655B5" w:rsidRDefault="00D44330" w:rsidP="00F45189">
            <w:pPr>
              <w:pStyle w:val="Normal-pool-Table"/>
              <w:bidi/>
              <w:spacing w:line="280" w:lineRule="exact"/>
              <w:jc w:val="both"/>
              <w:textDirection w:val="tbRlV"/>
              <w:rPr>
                <w:rFonts w:ascii="Simplified Arabic" w:hAnsi="Simplified Arabic" w:cs="Simplified Arabic"/>
                <w:color w:val="000000"/>
                <w:sz w:val="20"/>
                <w:rtl/>
                <w:lang w:bidi="en-GB"/>
              </w:rPr>
            </w:pPr>
            <w:r w:rsidRPr="00B655B5">
              <w:rPr>
                <w:rFonts w:ascii="Simplified Arabic" w:hAnsi="Simplified Arabic" w:cs="Simplified Arabic"/>
                <w:color w:val="000000"/>
                <w:sz w:val="20"/>
                <w:rtl/>
              </w:rPr>
              <w:t>2033-2035</w:t>
            </w:r>
          </w:p>
        </w:tc>
        <w:tc>
          <w:tcPr>
            <w:tcW w:w="2413" w:type="dxa"/>
            <w:vAlign w:val="bottom"/>
          </w:tcPr>
          <w:p w14:paraId="00820BDF" w14:textId="77777777" w:rsidR="00D44330" w:rsidRPr="00B655B5" w:rsidRDefault="00D44330" w:rsidP="00F45189">
            <w:pPr>
              <w:pStyle w:val="Normal-pool-Table"/>
              <w:bidi/>
              <w:spacing w:line="280" w:lineRule="exact"/>
              <w:textDirection w:val="tbRlV"/>
              <w:rPr>
                <w:rFonts w:ascii="Simplified Arabic" w:hAnsi="Simplified Arabic" w:cs="Simplified Arabic"/>
                <w:color w:val="000000"/>
                <w:sz w:val="20"/>
                <w:rtl/>
                <w:lang w:bidi="en-GB"/>
              </w:rPr>
            </w:pPr>
            <w:r w:rsidRPr="00B655B5">
              <w:rPr>
                <w:rFonts w:ascii="Simplified Arabic" w:hAnsi="Simplified Arabic" w:cs="Simplified Arabic"/>
                <w:color w:val="000000"/>
                <w:sz w:val="20"/>
                <w:rtl/>
              </w:rPr>
              <w:t xml:space="preserve">قطاع استهلاك مركبات الكربون الهيدروفلورية </w:t>
            </w:r>
          </w:p>
        </w:tc>
        <w:tc>
          <w:tcPr>
            <w:tcW w:w="2388" w:type="dxa"/>
            <w:vAlign w:val="center"/>
          </w:tcPr>
          <w:p w14:paraId="180E2283" w14:textId="090524C5" w:rsidR="00D44330" w:rsidRPr="00B655B5" w:rsidRDefault="00D44330" w:rsidP="00F45189">
            <w:pPr>
              <w:pStyle w:val="Normal-pool-Table"/>
              <w:bidi/>
              <w:spacing w:line="280" w:lineRule="exact"/>
              <w:jc w:val="right"/>
              <w:rPr>
                <w:rFonts w:ascii="Simplified Arabic" w:hAnsi="Simplified Arabic" w:cs="Simplified Arabic"/>
                <w:color w:val="000000"/>
                <w:sz w:val="20"/>
                <w:rtl/>
              </w:rPr>
            </w:pPr>
            <w:r w:rsidRPr="00B655B5">
              <w:rPr>
                <w:rFonts w:ascii="Simplified Arabic" w:hAnsi="Simplified Arabic" w:cs="Simplified Arabic"/>
                <w:color w:val="000000"/>
                <w:sz w:val="20"/>
                <w:rtl/>
              </w:rPr>
              <w:t>487–503</w:t>
            </w:r>
          </w:p>
        </w:tc>
        <w:tc>
          <w:tcPr>
            <w:tcW w:w="2431" w:type="dxa"/>
            <w:vAlign w:val="center"/>
          </w:tcPr>
          <w:p w14:paraId="714EAD6A" w14:textId="50D364C1" w:rsidR="00D44330" w:rsidRPr="00B655B5" w:rsidRDefault="00D44330" w:rsidP="00F45189">
            <w:pPr>
              <w:pStyle w:val="Normal-pool-Table"/>
              <w:bidi/>
              <w:spacing w:line="280" w:lineRule="exact"/>
              <w:jc w:val="right"/>
              <w:rPr>
                <w:rFonts w:ascii="Simplified Arabic" w:hAnsi="Simplified Arabic" w:cs="Simplified Arabic"/>
                <w:color w:val="000000"/>
                <w:sz w:val="20"/>
                <w:rtl/>
              </w:rPr>
            </w:pPr>
            <w:r w:rsidRPr="00B655B5">
              <w:rPr>
                <w:rFonts w:ascii="Simplified Arabic" w:hAnsi="Simplified Arabic" w:cs="Simplified Arabic"/>
                <w:color w:val="000000"/>
                <w:sz w:val="20"/>
                <w:rtl/>
              </w:rPr>
              <w:t>583–600</w:t>
            </w:r>
          </w:p>
        </w:tc>
      </w:tr>
      <w:tr w:rsidR="00D44330" w:rsidRPr="003F36E0" w14:paraId="06C00747" w14:textId="77777777" w:rsidTr="00494518">
        <w:trPr>
          <w:trHeight w:val="287"/>
        </w:trPr>
        <w:tc>
          <w:tcPr>
            <w:tcW w:w="1131" w:type="dxa"/>
            <w:vMerge/>
            <w:tcBorders>
              <w:bottom w:val="single" w:sz="12" w:space="0" w:color="auto"/>
            </w:tcBorders>
          </w:tcPr>
          <w:p w14:paraId="5E36B0D0" w14:textId="77777777" w:rsidR="00D44330" w:rsidRPr="00B655B5" w:rsidRDefault="00D44330" w:rsidP="00F45189">
            <w:pPr>
              <w:pStyle w:val="Normal-pool-Table"/>
              <w:bidi/>
              <w:spacing w:line="280" w:lineRule="exact"/>
              <w:jc w:val="both"/>
              <w:rPr>
                <w:rFonts w:ascii="Simplified Arabic" w:hAnsi="Simplified Arabic" w:cs="Simplified Arabic"/>
                <w:color w:val="000000"/>
                <w:sz w:val="20"/>
                <w:rtl/>
              </w:rPr>
            </w:pPr>
          </w:p>
        </w:tc>
        <w:tc>
          <w:tcPr>
            <w:tcW w:w="2413" w:type="dxa"/>
            <w:vAlign w:val="bottom"/>
          </w:tcPr>
          <w:p w14:paraId="7329F8B2" w14:textId="77777777" w:rsidR="00D44330" w:rsidRPr="00B655B5" w:rsidRDefault="00D44330" w:rsidP="00F45189">
            <w:pPr>
              <w:pStyle w:val="Normal-pool-Table"/>
              <w:bidi/>
              <w:spacing w:line="280" w:lineRule="exact"/>
              <w:textDirection w:val="tbRlV"/>
              <w:rPr>
                <w:rFonts w:ascii="Simplified Arabic" w:hAnsi="Simplified Arabic" w:cs="Simplified Arabic"/>
                <w:color w:val="000000"/>
                <w:sz w:val="20"/>
                <w:rtl/>
                <w:lang w:bidi="en-GB"/>
              </w:rPr>
            </w:pPr>
            <w:r w:rsidRPr="00B655B5">
              <w:rPr>
                <w:rFonts w:ascii="Simplified Arabic" w:hAnsi="Simplified Arabic" w:cs="Simplified Arabic"/>
                <w:color w:val="000000"/>
                <w:sz w:val="20"/>
                <w:rtl/>
              </w:rPr>
              <w:t>قطاع إنتاج مركبات الكربون الهيدروفلورية والتخفيف من انبعاثات مركب الكربون الهيدروفلوري-23</w:t>
            </w:r>
          </w:p>
        </w:tc>
        <w:tc>
          <w:tcPr>
            <w:tcW w:w="2388" w:type="dxa"/>
            <w:vAlign w:val="center"/>
          </w:tcPr>
          <w:p w14:paraId="2C36BC67" w14:textId="77777777" w:rsidR="00D44330" w:rsidRPr="00B655B5" w:rsidRDefault="00D44330" w:rsidP="00F45189">
            <w:pPr>
              <w:pStyle w:val="Normal-pool-Table"/>
              <w:bidi/>
              <w:spacing w:line="280" w:lineRule="exact"/>
              <w:jc w:val="right"/>
              <w:textDirection w:val="tbRlV"/>
              <w:rPr>
                <w:rFonts w:ascii="Simplified Arabic" w:hAnsi="Simplified Arabic" w:cs="Simplified Arabic"/>
                <w:color w:val="000000"/>
                <w:sz w:val="20"/>
                <w:rtl/>
                <w:lang w:bidi="en-GB"/>
              </w:rPr>
            </w:pPr>
            <w:r w:rsidRPr="00B655B5">
              <w:rPr>
                <w:rFonts w:ascii="Simplified Arabic" w:hAnsi="Simplified Arabic" w:cs="Simplified Arabic"/>
                <w:color w:val="000000"/>
                <w:sz w:val="20"/>
                <w:rtl/>
              </w:rPr>
              <w:t>0</w:t>
            </w:r>
          </w:p>
        </w:tc>
        <w:tc>
          <w:tcPr>
            <w:tcW w:w="2431" w:type="dxa"/>
            <w:vAlign w:val="center"/>
          </w:tcPr>
          <w:p w14:paraId="4AE67915" w14:textId="77777777" w:rsidR="00D44330" w:rsidRPr="00B655B5" w:rsidRDefault="00D44330" w:rsidP="00F45189">
            <w:pPr>
              <w:pStyle w:val="Normal-pool-Table"/>
              <w:bidi/>
              <w:spacing w:line="280" w:lineRule="exact"/>
              <w:jc w:val="right"/>
              <w:textDirection w:val="tbRlV"/>
              <w:rPr>
                <w:rFonts w:ascii="Simplified Arabic" w:hAnsi="Simplified Arabic" w:cs="Simplified Arabic"/>
                <w:color w:val="000000"/>
                <w:sz w:val="20"/>
                <w:rtl/>
                <w:lang w:bidi="en-GB"/>
              </w:rPr>
            </w:pPr>
            <w:r w:rsidRPr="00B655B5">
              <w:rPr>
                <w:rFonts w:ascii="Simplified Arabic" w:hAnsi="Simplified Arabic" w:cs="Simplified Arabic"/>
                <w:color w:val="000000"/>
                <w:sz w:val="20"/>
                <w:rtl/>
              </w:rPr>
              <w:t>0</w:t>
            </w:r>
          </w:p>
        </w:tc>
      </w:tr>
      <w:tr w:rsidR="00D44330" w:rsidRPr="003F36E0" w14:paraId="326D019E" w14:textId="77777777" w:rsidTr="00494518">
        <w:trPr>
          <w:trHeight w:val="287"/>
        </w:trPr>
        <w:tc>
          <w:tcPr>
            <w:tcW w:w="1131" w:type="dxa"/>
            <w:vMerge/>
            <w:tcBorders>
              <w:bottom w:val="single" w:sz="12" w:space="0" w:color="auto"/>
            </w:tcBorders>
          </w:tcPr>
          <w:p w14:paraId="0FE3F0CF" w14:textId="77777777" w:rsidR="00D44330" w:rsidRPr="00B655B5" w:rsidRDefault="00D44330" w:rsidP="00F45189">
            <w:pPr>
              <w:pStyle w:val="Normal-pool-Table"/>
              <w:bidi/>
              <w:spacing w:line="280" w:lineRule="exact"/>
              <w:jc w:val="both"/>
              <w:rPr>
                <w:rFonts w:ascii="Simplified Arabic" w:hAnsi="Simplified Arabic" w:cs="Simplified Arabic"/>
                <w:color w:val="000000"/>
                <w:sz w:val="20"/>
                <w:rtl/>
              </w:rPr>
            </w:pPr>
          </w:p>
        </w:tc>
        <w:tc>
          <w:tcPr>
            <w:tcW w:w="2413" w:type="dxa"/>
            <w:tcBorders>
              <w:bottom w:val="single" w:sz="12" w:space="0" w:color="auto"/>
            </w:tcBorders>
            <w:vAlign w:val="bottom"/>
          </w:tcPr>
          <w:p w14:paraId="3699E9A6" w14:textId="77777777" w:rsidR="00D44330" w:rsidRPr="00D11333" w:rsidRDefault="00D44330" w:rsidP="00F45189">
            <w:pPr>
              <w:pStyle w:val="Normal-pool-Table"/>
              <w:bidi/>
              <w:spacing w:line="280" w:lineRule="exact"/>
              <w:textDirection w:val="tbRlV"/>
              <w:rPr>
                <w:rFonts w:ascii="Simplified Arabic" w:hAnsi="Simplified Arabic" w:cs="Simplified Arabic"/>
                <w:b/>
                <w:bCs/>
                <w:color w:val="000000"/>
                <w:sz w:val="20"/>
                <w:rtl/>
                <w:lang w:bidi="en-GB"/>
              </w:rPr>
            </w:pPr>
            <w:r w:rsidRPr="00D11333">
              <w:rPr>
                <w:rFonts w:ascii="Simplified Arabic" w:hAnsi="Simplified Arabic" w:cs="Simplified Arabic"/>
                <w:b/>
                <w:bCs/>
                <w:color w:val="000000"/>
                <w:sz w:val="20"/>
                <w:rtl/>
              </w:rPr>
              <w:t>النطاق الإجمالي</w:t>
            </w:r>
          </w:p>
        </w:tc>
        <w:tc>
          <w:tcPr>
            <w:tcW w:w="2388" w:type="dxa"/>
            <w:tcBorders>
              <w:bottom w:val="single" w:sz="12" w:space="0" w:color="auto"/>
            </w:tcBorders>
            <w:vAlign w:val="center"/>
          </w:tcPr>
          <w:p w14:paraId="49A564D7" w14:textId="7D3E70B9" w:rsidR="00D44330" w:rsidRPr="00D11333" w:rsidRDefault="00D44330" w:rsidP="00F45189">
            <w:pPr>
              <w:pStyle w:val="Normal-pool-Table"/>
              <w:bidi/>
              <w:spacing w:line="280" w:lineRule="exact"/>
              <w:jc w:val="right"/>
              <w:rPr>
                <w:rFonts w:ascii="Simplified Arabic" w:hAnsi="Simplified Arabic" w:cs="Simplified Arabic"/>
                <w:b/>
                <w:bCs/>
                <w:color w:val="000000"/>
                <w:sz w:val="20"/>
                <w:rtl/>
              </w:rPr>
            </w:pPr>
            <w:r w:rsidRPr="00D11333">
              <w:rPr>
                <w:rFonts w:ascii="Simplified Arabic" w:hAnsi="Simplified Arabic" w:cs="Simplified Arabic"/>
                <w:b/>
                <w:bCs/>
                <w:color w:val="000000"/>
                <w:sz w:val="20"/>
                <w:rtl/>
              </w:rPr>
              <w:t>487–503</w:t>
            </w:r>
          </w:p>
        </w:tc>
        <w:tc>
          <w:tcPr>
            <w:tcW w:w="2431" w:type="dxa"/>
            <w:tcBorders>
              <w:bottom w:val="single" w:sz="12" w:space="0" w:color="auto"/>
            </w:tcBorders>
            <w:vAlign w:val="center"/>
          </w:tcPr>
          <w:p w14:paraId="691A5648" w14:textId="523AF6DA" w:rsidR="00D44330" w:rsidRPr="00D11333" w:rsidRDefault="00D44330" w:rsidP="00F45189">
            <w:pPr>
              <w:pStyle w:val="Normal-pool-Table"/>
              <w:bidi/>
              <w:spacing w:line="280" w:lineRule="exact"/>
              <w:jc w:val="right"/>
              <w:rPr>
                <w:rFonts w:ascii="Simplified Arabic" w:hAnsi="Simplified Arabic" w:cs="Simplified Arabic"/>
                <w:b/>
                <w:bCs/>
                <w:color w:val="000000"/>
                <w:sz w:val="20"/>
                <w:rtl/>
              </w:rPr>
            </w:pPr>
            <w:r w:rsidRPr="00D11333">
              <w:rPr>
                <w:rFonts w:ascii="Simplified Arabic" w:hAnsi="Simplified Arabic" w:cs="Simplified Arabic"/>
                <w:b/>
                <w:bCs/>
                <w:color w:val="000000"/>
                <w:sz w:val="20"/>
                <w:rtl/>
              </w:rPr>
              <w:t>583–600</w:t>
            </w:r>
          </w:p>
        </w:tc>
      </w:tr>
    </w:tbl>
    <w:p w14:paraId="1AE3CEBC" w14:textId="2E977D45" w:rsidR="00D44330" w:rsidRPr="00984A76" w:rsidRDefault="00D44330" w:rsidP="007141F7">
      <w:pPr>
        <w:pStyle w:val="CH3"/>
        <w:bidi/>
        <w:spacing w:before="120" w:line="360" w:lineRule="exact"/>
        <w:ind w:left="1134" w:right="0" w:firstLine="0"/>
        <w:jc w:val="both"/>
        <w:textDirection w:val="tbRlV"/>
        <w:rPr>
          <w:rFonts w:ascii="Simplified Arabic" w:hAnsi="Simplified Arabic" w:cs="Simplified Arabic"/>
          <w:sz w:val="24"/>
          <w:szCs w:val="24"/>
          <w:rtl/>
          <w:lang w:val="ar-SA" w:eastAsia="zh-TW" w:bidi="en-GB"/>
        </w:rPr>
      </w:pPr>
      <w:r w:rsidRPr="00984A76">
        <w:rPr>
          <w:rFonts w:ascii="Simplified Arabic" w:hAnsi="Simplified Arabic" w:cs="Simplified Arabic"/>
          <w:bCs/>
          <w:sz w:val="24"/>
          <w:szCs w:val="24"/>
          <w:rtl/>
        </w:rPr>
        <w:t>نطاق تمويل التخفيض التدريجي لمركبات الكربون الهيدروفلورية لفترة السنوات الثلاث 2027-2029:</w:t>
      </w:r>
      <w:r w:rsidRPr="00984A76">
        <w:rPr>
          <w:rFonts w:ascii="Simplified Arabic" w:hAnsi="Simplified Arabic" w:cs="Simplified Arabic"/>
          <w:sz w:val="24"/>
          <w:szCs w:val="24"/>
          <w:rtl/>
        </w:rPr>
        <w:t xml:space="preserve"> </w:t>
      </w:r>
    </w:p>
    <w:p w14:paraId="307ECEF3" w14:textId="153FA4A7" w:rsidR="00D44330" w:rsidRPr="007141F7" w:rsidRDefault="00D44330" w:rsidP="007141F7">
      <w:pPr>
        <w:pStyle w:val="ListParagraph"/>
        <w:keepNext/>
        <w:keepLines/>
        <w:numPr>
          <w:ilvl w:val="0"/>
          <w:numId w:val="38"/>
        </w:numPr>
        <w:tabs>
          <w:tab w:val="clear" w:pos="1247"/>
          <w:tab w:val="clear" w:pos="1814"/>
          <w:tab w:val="clear" w:pos="2381"/>
          <w:tab w:val="clear" w:pos="2948"/>
          <w:tab w:val="clear" w:pos="3515"/>
          <w:tab w:val="left" w:pos="2552"/>
        </w:tabs>
        <w:bidi/>
        <w:spacing w:after="120" w:line="360" w:lineRule="exact"/>
        <w:ind w:left="2552" w:hanging="709"/>
        <w:contextualSpacing w:val="0"/>
        <w:jc w:val="both"/>
        <w:textDirection w:val="tbRlV"/>
        <w:rPr>
          <w:rFonts w:ascii="Simplified Arabic" w:hAnsi="Simplified Arabic" w:hint="default"/>
          <w:w w:val="99"/>
          <w:sz w:val="24"/>
          <w:szCs w:val="24"/>
          <w:rtl/>
          <w:lang w:val="ar-SA" w:eastAsia="zh-TW" w:bidi="en-GB"/>
        </w:rPr>
      </w:pPr>
      <w:r w:rsidRPr="007141F7">
        <w:rPr>
          <w:rFonts w:ascii="Simplified Arabic" w:hAnsi="Simplified Arabic" w:hint="default"/>
          <w:b/>
          <w:bCs/>
          <w:w w:val="99"/>
          <w:sz w:val="24"/>
          <w:szCs w:val="24"/>
          <w:rtl/>
        </w:rPr>
        <w:t>970–053 1 مليون</w:t>
      </w:r>
      <w:r w:rsidR="007141F7" w:rsidRPr="00087C24">
        <w:rPr>
          <w:rFonts w:ascii="Simplified Arabic" w:hAnsi="Simplified Arabic" w:hint="default"/>
          <w:b/>
          <w:bCs/>
          <w:w w:val="99"/>
          <w:sz w:val="24"/>
          <w:szCs w:val="24"/>
          <w:lang w:val="en-GB"/>
        </w:rPr>
        <w:t xml:space="preserve"> </w:t>
      </w:r>
      <w:r w:rsidRPr="007141F7">
        <w:rPr>
          <w:rFonts w:ascii="Simplified Arabic" w:hAnsi="Simplified Arabic" w:hint="default"/>
          <w:b/>
          <w:bCs/>
          <w:w w:val="99"/>
          <w:sz w:val="24"/>
          <w:szCs w:val="24"/>
          <w:rtl/>
        </w:rPr>
        <w:t>دولار من دولارات الولايات المتحدة</w:t>
      </w:r>
      <w:r w:rsidR="007141F7" w:rsidRPr="00087C24">
        <w:rPr>
          <w:rFonts w:ascii="Simplified Arabic" w:hAnsi="Simplified Arabic" w:hint="default"/>
          <w:b/>
          <w:bCs/>
          <w:w w:val="99"/>
          <w:sz w:val="24"/>
          <w:szCs w:val="24"/>
          <w:lang w:val="en-GB"/>
        </w:rPr>
        <w:t xml:space="preserve"> </w:t>
      </w:r>
      <w:r w:rsidRPr="007141F7">
        <w:rPr>
          <w:rFonts w:ascii="Simplified Arabic" w:hAnsi="Simplified Arabic" w:hint="default"/>
          <w:b/>
          <w:bCs/>
          <w:w w:val="99"/>
          <w:sz w:val="24"/>
          <w:szCs w:val="24"/>
          <w:rtl/>
        </w:rPr>
        <w:t>بموجب جدول تخصيص الموارد ألف</w:t>
      </w:r>
    </w:p>
    <w:p w14:paraId="0BD61327" w14:textId="1D501397" w:rsidR="00D44330" w:rsidRPr="00984A76" w:rsidRDefault="00D44330" w:rsidP="007141F7">
      <w:pPr>
        <w:pStyle w:val="ListParagraph"/>
        <w:keepNext/>
        <w:keepLines/>
        <w:numPr>
          <w:ilvl w:val="0"/>
          <w:numId w:val="38"/>
        </w:numPr>
        <w:tabs>
          <w:tab w:val="clear" w:pos="1247"/>
          <w:tab w:val="clear" w:pos="1814"/>
          <w:tab w:val="clear" w:pos="2381"/>
          <w:tab w:val="clear" w:pos="2948"/>
          <w:tab w:val="clear" w:pos="3515"/>
          <w:tab w:val="left" w:pos="2552"/>
        </w:tabs>
        <w:bidi/>
        <w:spacing w:after="120" w:line="360" w:lineRule="exact"/>
        <w:ind w:left="2552" w:hanging="709"/>
        <w:contextualSpacing w:val="0"/>
        <w:jc w:val="both"/>
        <w:textDirection w:val="tbRlV"/>
        <w:rPr>
          <w:rFonts w:ascii="Simplified Arabic" w:hAnsi="Simplified Arabic" w:hint="default"/>
          <w:sz w:val="24"/>
          <w:szCs w:val="24"/>
          <w:rtl/>
          <w:lang w:val="ar-SA" w:eastAsia="zh-TW" w:bidi="en-GB"/>
        </w:rPr>
      </w:pPr>
      <w:r w:rsidRPr="00984A76">
        <w:rPr>
          <w:rFonts w:ascii="Simplified Arabic" w:hAnsi="Simplified Arabic" w:hint="default"/>
          <w:b/>
          <w:bCs/>
          <w:sz w:val="24"/>
          <w:szCs w:val="24"/>
          <w:rtl/>
        </w:rPr>
        <w:t>702-781 مليون دولار من دولارات الولايات المتحدة بموجب جدول تخصيص الموارد باء</w:t>
      </w:r>
    </w:p>
    <w:p w14:paraId="2EA96E99" w14:textId="1346BE57" w:rsidR="00D44330" w:rsidRPr="00984A76" w:rsidRDefault="00D44330" w:rsidP="00984A76">
      <w:pPr>
        <w:pStyle w:val="CH3"/>
        <w:bidi/>
        <w:spacing w:before="0" w:line="360" w:lineRule="exact"/>
        <w:ind w:left="1134" w:right="0" w:firstLine="0"/>
        <w:jc w:val="both"/>
        <w:textDirection w:val="tbRlV"/>
        <w:rPr>
          <w:rFonts w:ascii="Simplified Arabic" w:eastAsia="SimSun" w:hAnsi="Simplified Arabic" w:cs="Simplified Arabic"/>
          <w:sz w:val="24"/>
          <w:szCs w:val="24"/>
          <w:rtl/>
          <w:lang w:val="ar-SA" w:eastAsia="zh-TW" w:bidi="en-GB"/>
        </w:rPr>
      </w:pPr>
      <w:r w:rsidRPr="00984A76">
        <w:rPr>
          <w:rFonts w:ascii="Simplified Arabic" w:hAnsi="Simplified Arabic" w:cs="Simplified Arabic"/>
          <w:bCs/>
          <w:sz w:val="24"/>
          <w:szCs w:val="24"/>
          <w:rtl/>
        </w:rPr>
        <w:t>اعتبارات ومعلومات أخرى متعلقة بالتمويل موجهة للأطراف</w:t>
      </w:r>
    </w:p>
    <w:p w14:paraId="3504BC99" w14:textId="0CBEE4D1" w:rsidR="00D44330" w:rsidRPr="00984A76" w:rsidRDefault="00D44330" w:rsidP="00984A76">
      <w:pPr>
        <w:pStyle w:val="NormalNonumber"/>
        <w:bidi/>
        <w:spacing w:line="360" w:lineRule="exact"/>
        <w:ind w:left="1134"/>
        <w:jc w:val="both"/>
        <w:textDirection w:val="tbRlV"/>
        <w:rPr>
          <w:rFonts w:ascii="Simplified Arabic" w:eastAsia="SimSun" w:hAnsi="Simplified Arabic" w:cs="Simplified Arabic"/>
          <w:sz w:val="24"/>
          <w:szCs w:val="24"/>
          <w:rtl/>
          <w:lang w:val="ar-SA" w:eastAsia="zh-TW" w:bidi="en-GB"/>
        </w:rPr>
      </w:pPr>
      <w:r w:rsidRPr="00984A76">
        <w:rPr>
          <w:rFonts w:ascii="Simplified Arabic" w:hAnsi="Simplified Arabic" w:cs="Simplified Arabic"/>
          <w:sz w:val="24"/>
          <w:szCs w:val="24"/>
          <w:rtl/>
        </w:rPr>
        <w:t>وفقاً للمقرر 37/6 المتعلق باختصاصات تقييم فرقة العمل المعنية بتجديد الموارد، تم تقدير احتياجات التمويل لتعزيز المؤسسات والأنشطة المعيارية، والتمويل المخصص لكفاءة الطاقة، وطريقة تمويل المشاريع التجريبية التي تهدف إلى تعزيز الرصد الإقليمي للغلاف الجوي. وقدمت الفرقة أيضاً معلومات محدثة عن</w:t>
      </w:r>
      <w:r w:rsidR="00487E4B">
        <w:rPr>
          <w:rFonts w:ascii="Simplified Arabic" w:hAnsi="Simplified Arabic" w:cs="Simplified Arabic"/>
          <w:sz w:val="24"/>
          <w:szCs w:val="24"/>
          <w:lang w:val="en-US"/>
        </w:rPr>
        <w:t>”</w:t>
      </w:r>
      <w:r w:rsidR="00487E4B" w:rsidRPr="00087C24">
        <w:rPr>
          <w:rFonts w:ascii="Simplified Arabic" w:hAnsi="Simplified Arabic" w:cs="Simplified Arabic"/>
          <w:sz w:val="24"/>
          <w:szCs w:val="24"/>
          <w:lang w:val="en-GB"/>
        </w:rPr>
        <w:t xml:space="preserve"> </w:t>
      </w:r>
      <w:r w:rsidRPr="00984A76">
        <w:rPr>
          <w:rFonts w:ascii="Simplified Arabic" w:hAnsi="Simplified Arabic" w:cs="Simplified Arabic"/>
          <w:sz w:val="24"/>
          <w:szCs w:val="24"/>
          <w:rtl/>
        </w:rPr>
        <w:t>الاحتياجات الخاصة للبلدان ذات الاستهلاك المنخفض والبلدان ذات الاستهلاك المنخفض جدًّا</w:t>
      </w:r>
      <w:r w:rsidR="00487E4B">
        <w:rPr>
          <w:rFonts w:ascii="Simplified Arabic" w:hAnsi="Simplified Arabic" w:cs="Simplified Arabic"/>
          <w:sz w:val="24"/>
          <w:szCs w:val="24"/>
          <w:lang w:val="en-US"/>
        </w:rPr>
        <w:t>“</w:t>
      </w:r>
      <w:r w:rsidRPr="00984A76">
        <w:rPr>
          <w:rFonts w:ascii="Simplified Arabic" w:hAnsi="Simplified Arabic" w:cs="Simplified Arabic"/>
          <w:sz w:val="24"/>
          <w:szCs w:val="24"/>
          <w:rtl/>
        </w:rPr>
        <w:t xml:space="preserve">، وعن </w:t>
      </w:r>
      <w:r w:rsidR="00487E4B">
        <w:rPr>
          <w:rFonts w:ascii="Simplified Arabic" w:hAnsi="Simplified Arabic" w:cs="Simplified Arabic"/>
          <w:sz w:val="24"/>
          <w:szCs w:val="24"/>
          <w:lang w:val="en-US"/>
        </w:rPr>
        <w:t>”</w:t>
      </w:r>
      <w:r w:rsidRPr="00984A76">
        <w:rPr>
          <w:rFonts w:ascii="Simplified Arabic" w:hAnsi="Simplified Arabic" w:cs="Simplified Arabic"/>
          <w:sz w:val="24"/>
          <w:szCs w:val="24"/>
          <w:rtl/>
        </w:rPr>
        <w:t>التكنولوجيات والأدوات الرقمية في قطاع الصيانة</w:t>
      </w:r>
      <w:r w:rsidR="00487E4B">
        <w:rPr>
          <w:rFonts w:ascii="Simplified Arabic" w:hAnsi="Simplified Arabic" w:cs="Simplified Arabic"/>
          <w:sz w:val="24"/>
          <w:szCs w:val="24"/>
          <w:lang w:val="en-US"/>
        </w:rPr>
        <w:t>“</w:t>
      </w:r>
      <w:r w:rsidRPr="00984A76">
        <w:rPr>
          <w:rFonts w:ascii="Simplified Arabic" w:hAnsi="Simplified Arabic" w:cs="Simplified Arabic"/>
          <w:sz w:val="24"/>
          <w:szCs w:val="24"/>
          <w:rtl/>
        </w:rPr>
        <w:t>، وعن إدارة المواد المبردة طيلة دورة حياتها في ضوء المناقشات الجارية في إطار مقرر اللجنة التنفيذية 97/89. ورغم تقديم معلومات مفصلة عن هذه المواضيع لكي تنظر فيها الأطراف، إلا أنها لم تُؤخذ في الاعتبار عند تقدير احتياجات التمويل لفترات الثلاث السنوات الثلاث.</w:t>
      </w:r>
    </w:p>
    <w:p w14:paraId="11C40B55" w14:textId="62D03F3E" w:rsidR="00D44330" w:rsidRPr="00984A76" w:rsidRDefault="00D44330" w:rsidP="00984A76">
      <w:pPr>
        <w:pStyle w:val="CH3"/>
        <w:bidi/>
        <w:spacing w:before="0" w:line="360" w:lineRule="exact"/>
        <w:ind w:left="1134" w:right="0" w:firstLine="0"/>
        <w:jc w:val="both"/>
        <w:textDirection w:val="tbRlV"/>
        <w:rPr>
          <w:rFonts w:ascii="Simplified Arabic" w:hAnsi="Simplified Arabic" w:cs="Simplified Arabic"/>
          <w:sz w:val="24"/>
          <w:szCs w:val="24"/>
          <w:rtl/>
          <w:lang w:val="ar-SA" w:eastAsia="zh-TW" w:bidi="en-GB"/>
        </w:rPr>
      </w:pPr>
      <w:bookmarkStart w:id="8" w:name="_Hlk78119192"/>
      <w:r w:rsidRPr="00984A76">
        <w:rPr>
          <w:rFonts w:ascii="Simplified Arabic" w:hAnsi="Simplified Arabic" w:cs="Simplified Arabic"/>
          <w:bCs/>
          <w:sz w:val="24"/>
          <w:szCs w:val="24"/>
          <w:rtl/>
        </w:rPr>
        <w:t>نطاق إجمالي احتياجات التمويل التقديرية لفترة السنوات الثلاث 2027-2029</w:t>
      </w:r>
    </w:p>
    <w:p w14:paraId="28F375E0" w14:textId="77777777" w:rsidR="00D44330" w:rsidRPr="00087C24" w:rsidRDefault="00D44330" w:rsidP="00984A76">
      <w:pPr>
        <w:pStyle w:val="NormalNonumber"/>
        <w:bidi/>
        <w:spacing w:line="360" w:lineRule="exact"/>
        <w:ind w:left="1134"/>
        <w:jc w:val="both"/>
        <w:textDirection w:val="tbRlV"/>
        <w:rPr>
          <w:rFonts w:ascii="Simplified Arabic" w:hAnsi="Simplified Arabic" w:cs="Simplified Arabic"/>
          <w:sz w:val="24"/>
          <w:szCs w:val="24"/>
          <w:lang w:val="en-GB" w:eastAsia="zh-TW" w:bidi="en-GB"/>
        </w:rPr>
      </w:pPr>
      <w:r w:rsidRPr="00984A76">
        <w:rPr>
          <w:rFonts w:ascii="Simplified Arabic" w:hAnsi="Simplified Arabic" w:cs="Simplified Arabic"/>
          <w:sz w:val="24"/>
          <w:szCs w:val="24"/>
          <w:rtl/>
        </w:rPr>
        <w:t xml:space="preserve">يشمل نطاق إجمالي احتياجات التمويل التقديرية (بما في ذلك تكاليف الدعم) لتجديد موارد الصندوق المتعدد الأطراف خلال فترة الثلاث سنوات 2027-2029 قطاعي استهلاك وإنتاج مركبات الكربون الهيدروكلورية فلورية ومركبات الكربون الهيدروفلورية، إضافةً إلى أنشطة تعزيز المؤسسات والأنشطة القياسية، ويرد عرضها في الجداول م ت-4. </w:t>
      </w:r>
      <w:bookmarkStart w:id="9" w:name="_Hlk81676469"/>
      <w:bookmarkEnd w:id="9"/>
    </w:p>
    <w:p w14:paraId="1EFDDC7B" w14:textId="77777777" w:rsidR="00D44330" w:rsidRPr="00984A76" w:rsidRDefault="00D44330" w:rsidP="001D57C2">
      <w:pPr>
        <w:pStyle w:val="Titletable"/>
        <w:keepNext w:val="0"/>
        <w:keepLines w:val="0"/>
        <w:bidi/>
        <w:spacing w:after="120" w:line="360" w:lineRule="exact"/>
        <w:ind w:left="1134"/>
        <w:jc w:val="both"/>
        <w:textDirection w:val="tbRlV"/>
        <w:rPr>
          <w:rFonts w:ascii="Simplified Arabic" w:hAnsi="Simplified Arabic" w:cs="Simplified Arabic"/>
          <w:b w:val="0"/>
          <w:bCs w:val="0"/>
          <w:sz w:val="24"/>
          <w:szCs w:val="24"/>
          <w:rtl/>
        </w:rPr>
      </w:pPr>
      <w:r w:rsidRPr="00984A76">
        <w:rPr>
          <w:rFonts w:ascii="Simplified Arabic" w:hAnsi="Simplified Arabic" w:cs="Simplified Arabic"/>
          <w:b w:val="0"/>
          <w:bCs w:val="0"/>
          <w:sz w:val="24"/>
          <w:szCs w:val="24"/>
          <w:rtl/>
        </w:rPr>
        <w:t>الجدول م ت-4</w:t>
      </w:r>
    </w:p>
    <w:p w14:paraId="0C0026D0" w14:textId="77777777" w:rsidR="00D44330" w:rsidRPr="00984A76" w:rsidRDefault="00D44330" w:rsidP="001D57C2">
      <w:pPr>
        <w:pStyle w:val="Titletable"/>
        <w:keepNext w:val="0"/>
        <w:keepLines w:val="0"/>
        <w:bidi/>
        <w:spacing w:after="120" w:line="360" w:lineRule="exact"/>
        <w:ind w:left="1134"/>
        <w:jc w:val="both"/>
        <w:textDirection w:val="tbRlV"/>
        <w:rPr>
          <w:rFonts w:ascii="Simplified Arabic" w:eastAsiaTheme="minorEastAsia" w:hAnsi="Simplified Arabic" w:cs="Simplified Arabic"/>
          <w:b w:val="0"/>
          <w:bCs w:val="0"/>
          <w:sz w:val="24"/>
          <w:szCs w:val="24"/>
          <w:rtl/>
          <w:lang w:val="ar-SA" w:eastAsia="zh-TW" w:bidi="en-GB"/>
        </w:rPr>
      </w:pPr>
      <w:r w:rsidRPr="00984A76">
        <w:rPr>
          <w:rFonts w:ascii="Simplified Arabic" w:hAnsi="Simplified Arabic" w:cs="Simplified Arabic"/>
          <w:sz w:val="24"/>
          <w:szCs w:val="24"/>
          <w:rtl/>
        </w:rPr>
        <w:t xml:space="preserve">نطاق إجمالي احتياجات التمويل لتجديد موارد الصندوق المتعدد الأطراف للفترة 2027-2029 استنادًا إلى سيناريوهات مختلفة وإلى جداول تخصيص الموارد، إضافةً إلى أنشطة تعزيز المؤسسات والأنشطة القياسية (بملايين دولارات الولايات المتحدة) </w:t>
      </w:r>
      <w:bookmarkEnd w:id="8"/>
    </w:p>
    <w:tbl>
      <w:tblPr>
        <w:bidiVisual/>
        <w:tblW w:w="8363" w:type="dxa"/>
        <w:tblInd w:w="1134" w:type="dxa"/>
        <w:tblLayout w:type="fixed"/>
        <w:tblCellMar>
          <w:left w:w="57" w:type="dxa"/>
          <w:right w:w="57" w:type="dxa"/>
        </w:tblCellMar>
        <w:tblLook w:val="04A0" w:firstRow="1" w:lastRow="0" w:firstColumn="1" w:lastColumn="0" w:noHBand="0" w:noVBand="1"/>
      </w:tblPr>
      <w:tblGrid>
        <w:gridCol w:w="3939"/>
        <w:gridCol w:w="2569"/>
        <w:gridCol w:w="1855"/>
      </w:tblGrid>
      <w:tr w:rsidR="00D44330" w:rsidRPr="00354DE3" w14:paraId="286CE550" w14:textId="77777777" w:rsidTr="00354DE3">
        <w:trPr>
          <w:trHeight w:val="67"/>
        </w:trPr>
        <w:tc>
          <w:tcPr>
            <w:tcW w:w="2355" w:type="pct"/>
            <w:tcBorders>
              <w:top w:val="single" w:sz="4" w:space="0" w:color="auto"/>
              <w:bottom w:val="single" w:sz="12" w:space="0" w:color="auto"/>
            </w:tcBorders>
            <w:vAlign w:val="center"/>
            <w:hideMark/>
          </w:tcPr>
          <w:p w14:paraId="7CDDC204" w14:textId="77777777" w:rsidR="00D44330" w:rsidRPr="00354DE3" w:rsidRDefault="00D44330" w:rsidP="001D57C2">
            <w:pPr>
              <w:pStyle w:val="Normal-pool-Table"/>
              <w:bidi/>
              <w:spacing w:line="280" w:lineRule="exact"/>
              <w:jc w:val="both"/>
              <w:textDirection w:val="tbRlV"/>
              <w:rPr>
                <w:rFonts w:ascii="Simplified Arabic" w:hAnsi="Simplified Arabic" w:cs="Simplified Arabic"/>
                <w:i/>
                <w:iCs/>
                <w:color w:val="000000"/>
                <w:sz w:val="20"/>
                <w:rtl/>
                <w:lang w:bidi="en-GB"/>
              </w:rPr>
            </w:pPr>
            <w:r w:rsidRPr="00354DE3">
              <w:rPr>
                <w:rFonts w:ascii="Simplified Arabic" w:hAnsi="Simplified Arabic" w:cs="Simplified Arabic"/>
                <w:i/>
                <w:iCs/>
                <w:color w:val="000000"/>
                <w:sz w:val="20"/>
                <w:rtl/>
              </w:rPr>
              <w:t>فترة السنوات الثلاث 2027-2029</w:t>
            </w:r>
          </w:p>
        </w:tc>
        <w:tc>
          <w:tcPr>
            <w:tcW w:w="1536" w:type="pct"/>
            <w:tcBorders>
              <w:top w:val="single" w:sz="4" w:space="0" w:color="auto"/>
              <w:bottom w:val="single" w:sz="12" w:space="0" w:color="auto"/>
            </w:tcBorders>
            <w:vAlign w:val="center"/>
            <w:hideMark/>
          </w:tcPr>
          <w:p w14:paraId="62690617" w14:textId="64429AA7" w:rsidR="00D44330" w:rsidRPr="00354DE3" w:rsidRDefault="00D44330" w:rsidP="001D57C2">
            <w:pPr>
              <w:pStyle w:val="Normal-pool-Table"/>
              <w:bidi/>
              <w:spacing w:line="280" w:lineRule="exact"/>
              <w:jc w:val="right"/>
              <w:textDirection w:val="tbRlV"/>
              <w:rPr>
                <w:rFonts w:ascii="Simplified Arabic" w:hAnsi="Simplified Arabic" w:cs="Simplified Arabic"/>
                <w:i/>
                <w:iCs/>
                <w:color w:val="000000"/>
                <w:sz w:val="20"/>
                <w:rtl/>
                <w:lang w:bidi="en-GB"/>
              </w:rPr>
            </w:pPr>
            <w:r w:rsidRPr="00354DE3">
              <w:rPr>
                <w:rFonts w:ascii="Simplified Arabic" w:hAnsi="Simplified Arabic" w:cs="Simplified Arabic"/>
                <w:i/>
                <w:iCs/>
                <w:color w:val="000000"/>
                <w:sz w:val="20"/>
                <w:rtl/>
              </w:rPr>
              <w:t>نطاق الحد الأدنى</w:t>
            </w:r>
          </w:p>
        </w:tc>
        <w:tc>
          <w:tcPr>
            <w:tcW w:w="1109" w:type="pct"/>
            <w:tcBorders>
              <w:top w:val="single" w:sz="4" w:space="0" w:color="auto"/>
              <w:bottom w:val="single" w:sz="12" w:space="0" w:color="auto"/>
            </w:tcBorders>
            <w:vAlign w:val="center"/>
            <w:hideMark/>
          </w:tcPr>
          <w:p w14:paraId="721B9D42" w14:textId="6A33DAD2" w:rsidR="00D44330" w:rsidRPr="00354DE3" w:rsidRDefault="00D44330" w:rsidP="001D57C2">
            <w:pPr>
              <w:pStyle w:val="Normal-pool-Table"/>
              <w:bidi/>
              <w:spacing w:line="280" w:lineRule="exact"/>
              <w:jc w:val="right"/>
              <w:textDirection w:val="tbRlV"/>
              <w:rPr>
                <w:rFonts w:ascii="Simplified Arabic" w:hAnsi="Simplified Arabic" w:cs="Simplified Arabic"/>
                <w:i/>
                <w:iCs/>
                <w:color w:val="000000"/>
                <w:sz w:val="20"/>
                <w:rtl/>
                <w:lang w:bidi="en-GB"/>
              </w:rPr>
            </w:pPr>
            <w:r w:rsidRPr="00354DE3">
              <w:rPr>
                <w:rFonts w:ascii="Simplified Arabic" w:hAnsi="Simplified Arabic" w:cs="Simplified Arabic"/>
                <w:i/>
                <w:iCs/>
                <w:color w:val="000000"/>
                <w:sz w:val="20"/>
                <w:rtl/>
              </w:rPr>
              <w:t>نطاق الحد الأعلى</w:t>
            </w:r>
          </w:p>
        </w:tc>
      </w:tr>
      <w:tr w:rsidR="00D44330" w:rsidRPr="00354DE3" w14:paraId="50157DA7" w14:textId="77777777" w:rsidTr="00354DE3">
        <w:trPr>
          <w:trHeight w:val="318"/>
        </w:trPr>
        <w:tc>
          <w:tcPr>
            <w:tcW w:w="2355" w:type="pct"/>
            <w:tcBorders>
              <w:top w:val="single" w:sz="12" w:space="0" w:color="auto"/>
            </w:tcBorders>
            <w:vAlign w:val="bottom"/>
          </w:tcPr>
          <w:p w14:paraId="74A5FD1C" w14:textId="77777777" w:rsidR="00D44330" w:rsidRPr="00354DE3" w:rsidRDefault="00D44330" w:rsidP="001D57C2">
            <w:pPr>
              <w:pStyle w:val="Normal-pool-Table"/>
              <w:bidi/>
              <w:spacing w:line="280" w:lineRule="exact"/>
              <w:jc w:val="both"/>
              <w:textDirection w:val="tbRlV"/>
              <w:rPr>
                <w:rFonts w:ascii="Simplified Arabic" w:hAnsi="Simplified Arabic" w:cs="Simplified Arabic"/>
                <w:color w:val="000000"/>
                <w:sz w:val="20"/>
                <w:rtl/>
                <w:lang w:bidi="en-GB"/>
              </w:rPr>
            </w:pPr>
            <w:r w:rsidRPr="00354DE3">
              <w:rPr>
                <w:rFonts w:ascii="Simplified Arabic" w:hAnsi="Simplified Arabic" w:cs="Simplified Arabic"/>
                <w:color w:val="000000"/>
                <w:sz w:val="20"/>
                <w:rtl/>
              </w:rPr>
              <w:t>المجموع الفرعي - أنشطة مركبات الكربون الهيدروكلورية فلورية</w:t>
            </w:r>
          </w:p>
        </w:tc>
        <w:tc>
          <w:tcPr>
            <w:tcW w:w="1536" w:type="pct"/>
            <w:tcBorders>
              <w:top w:val="single" w:sz="12" w:space="0" w:color="auto"/>
            </w:tcBorders>
            <w:vAlign w:val="center"/>
          </w:tcPr>
          <w:p w14:paraId="1EEC0D37" w14:textId="77777777" w:rsidR="00D44330" w:rsidRPr="00354DE3" w:rsidRDefault="00D44330" w:rsidP="001D57C2">
            <w:pPr>
              <w:pStyle w:val="Normal-pool-Table"/>
              <w:bidi/>
              <w:spacing w:line="280" w:lineRule="exact"/>
              <w:jc w:val="right"/>
              <w:textDirection w:val="tbRlV"/>
              <w:rPr>
                <w:rFonts w:ascii="Simplified Arabic" w:hAnsi="Simplified Arabic" w:cs="Simplified Arabic"/>
                <w:color w:val="000000"/>
                <w:sz w:val="20"/>
                <w:rtl/>
                <w:lang w:bidi="en-GB"/>
              </w:rPr>
            </w:pPr>
            <w:r w:rsidRPr="00354DE3">
              <w:rPr>
                <w:rFonts w:ascii="Simplified Arabic" w:hAnsi="Simplified Arabic" w:cs="Simplified Arabic"/>
                <w:color w:val="000000"/>
                <w:sz w:val="20"/>
                <w:rtl/>
              </w:rPr>
              <w:t>451</w:t>
            </w:r>
          </w:p>
        </w:tc>
        <w:tc>
          <w:tcPr>
            <w:tcW w:w="1109" w:type="pct"/>
            <w:tcBorders>
              <w:top w:val="single" w:sz="12" w:space="0" w:color="auto"/>
            </w:tcBorders>
            <w:vAlign w:val="center"/>
          </w:tcPr>
          <w:p w14:paraId="60C3BC23" w14:textId="77777777" w:rsidR="00D44330" w:rsidRPr="00354DE3" w:rsidRDefault="00D44330" w:rsidP="001D57C2">
            <w:pPr>
              <w:pStyle w:val="Normal-pool-Table"/>
              <w:bidi/>
              <w:spacing w:line="280" w:lineRule="exact"/>
              <w:jc w:val="right"/>
              <w:textDirection w:val="tbRlV"/>
              <w:rPr>
                <w:rFonts w:ascii="Simplified Arabic" w:hAnsi="Simplified Arabic" w:cs="Simplified Arabic"/>
                <w:color w:val="000000"/>
                <w:sz w:val="20"/>
                <w:rtl/>
                <w:lang w:bidi="en-GB"/>
              </w:rPr>
            </w:pPr>
            <w:r w:rsidRPr="00354DE3">
              <w:rPr>
                <w:rFonts w:ascii="Simplified Arabic" w:hAnsi="Simplified Arabic" w:cs="Simplified Arabic"/>
                <w:color w:val="000000"/>
                <w:sz w:val="20"/>
                <w:rtl/>
              </w:rPr>
              <w:t>573</w:t>
            </w:r>
          </w:p>
        </w:tc>
      </w:tr>
      <w:tr w:rsidR="00D44330" w:rsidRPr="00354DE3" w14:paraId="727A5D3D" w14:textId="77777777" w:rsidTr="00354DE3">
        <w:trPr>
          <w:trHeight w:val="318"/>
        </w:trPr>
        <w:tc>
          <w:tcPr>
            <w:tcW w:w="2355" w:type="pct"/>
            <w:vAlign w:val="bottom"/>
          </w:tcPr>
          <w:p w14:paraId="638261EF" w14:textId="77777777" w:rsidR="00D44330" w:rsidRPr="00354DE3" w:rsidRDefault="00D44330" w:rsidP="001D57C2">
            <w:pPr>
              <w:pStyle w:val="Normal-pool-Table"/>
              <w:bidi/>
              <w:spacing w:line="280" w:lineRule="exact"/>
              <w:jc w:val="both"/>
              <w:textDirection w:val="tbRlV"/>
              <w:rPr>
                <w:rFonts w:ascii="Simplified Arabic" w:hAnsi="Simplified Arabic" w:cs="Simplified Arabic"/>
                <w:color w:val="000000"/>
                <w:sz w:val="20"/>
                <w:rtl/>
                <w:lang w:bidi="en-GB"/>
              </w:rPr>
            </w:pPr>
            <w:r w:rsidRPr="00354DE3">
              <w:rPr>
                <w:rFonts w:ascii="Simplified Arabic" w:hAnsi="Simplified Arabic" w:cs="Simplified Arabic"/>
                <w:color w:val="000000"/>
                <w:sz w:val="20"/>
                <w:rtl/>
              </w:rPr>
              <w:lastRenderedPageBreak/>
              <w:t>المجموع الفرعي – أنشطة مركبات الكربون الهيدروفلورية</w:t>
            </w:r>
          </w:p>
        </w:tc>
        <w:tc>
          <w:tcPr>
            <w:tcW w:w="1536" w:type="pct"/>
            <w:vAlign w:val="center"/>
          </w:tcPr>
          <w:p w14:paraId="1BF3E7BE" w14:textId="6776715E" w:rsidR="00D44330" w:rsidRPr="00354DE3" w:rsidRDefault="00D44330" w:rsidP="001D57C2">
            <w:pPr>
              <w:pStyle w:val="Normal-pool-Table"/>
              <w:bidi/>
              <w:spacing w:line="280" w:lineRule="exact"/>
              <w:jc w:val="right"/>
              <w:rPr>
                <w:rFonts w:ascii="Simplified Arabic" w:hAnsi="Simplified Arabic" w:cs="Simplified Arabic"/>
                <w:color w:val="000000"/>
                <w:sz w:val="20"/>
                <w:rtl/>
              </w:rPr>
            </w:pPr>
            <w:r w:rsidRPr="00354DE3">
              <w:rPr>
                <w:rFonts w:ascii="Simplified Arabic" w:hAnsi="Simplified Arabic" w:cs="Simplified Arabic"/>
                <w:color w:val="000000"/>
                <w:sz w:val="20"/>
                <w:rtl/>
              </w:rPr>
              <w:t>702–781</w:t>
            </w:r>
          </w:p>
        </w:tc>
        <w:tc>
          <w:tcPr>
            <w:tcW w:w="1109" w:type="pct"/>
            <w:vAlign w:val="center"/>
          </w:tcPr>
          <w:p w14:paraId="770E164C" w14:textId="45E823CD" w:rsidR="00D44330" w:rsidRPr="00354DE3" w:rsidRDefault="00D44330" w:rsidP="001D57C2">
            <w:pPr>
              <w:pStyle w:val="Normal-pool-Table"/>
              <w:bidi/>
              <w:spacing w:line="280" w:lineRule="exact"/>
              <w:jc w:val="right"/>
              <w:rPr>
                <w:rFonts w:ascii="Simplified Arabic" w:hAnsi="Simplified Arabic" w:cs="Simplified Arabic"/>
                <w:color w:val="000000"/>
                <w:sz w:val="20"/>
                <w:rtl/>
              </w:rPr>
            </w:pPr>
            <w:r w:rsidRPr="00354DE3">
              <w:rPr>
                <w:rFonts w:ascii="Simplified Arabic" w:hAnsi="Simplified Arabic" w:cs="Simplified Arabic"/>
                <w:color w:val="000000"/>
                <w:sz w:val="20"/>
                <w:rtl/>
              </w:rPr>
              <w:t>970–053 1</w:t>
            </w:r>
          </w:p>
        </w:tc>
      </w:tr>
      <w:tr w:rsidR="00D44330" w:rsidRPr="00354DE3" w14:paraId="5624924C" w14:textId="77777777" w:rsidTr="00354DE3">
        <w:trPr>
          <w:trHeight w:val="318"/>
        </w:trPr>
        <w:tc>
          <w:tcPr>
            <w:tcW w:w="2355" w:type="pct"/>
            <w:tcBorders>
              <w:bottom w:val="single" w:sz="4" w:space="0" w:color="auto"/>
            </w:tcBorders>
            <w:vAlign w:val="bottom"/>
          </w:tcPr>
          <w:p w14:paraId="5B57E246" w14:textId="77777777" w:rsidR="00D44330" w:rsidRPr="00354DE3" w:rsidRDefault="00D44330" w:rsidP="001D57C2">
            <w:pPr>
              <w:pStyle w:val="Normal-pool-Table"/>
              <w:bidi/>
              <w:spacing w:line="280" w:lineRule="exact"/>
              <w:jc w:val="both"/>
              <w:textDirection w:val="tbRlV"/>
              <w:rPr>
                <w:rFonts w:ascii="Simplified Arabic" w:hAnsi="Simplified Arabic" w:cs="Simplified Arabic"/>
                <w:color w:val="000000"/>
                <w:sz w:val="20"/>
                <w:rtl/>
                <w:lang w:bidi="en-GB"/>
              </w:rPr>
            </w:pPr>
            <w:r w:rsidRPr="00354DE3">
              <w:rPr>
                <w:rFonts w:ascii="Simplified Arabic" w:hAnsi="Simplified Arabic" w:cs="Simplified Arabic"/>
                <w:color w:val="000000"/>
                <w:sz w:val="20"/>
                <w:rtl/>
              </w:rPr>
              <w:t>المجموع الفرعي – أنشطة تعزيز المؤسسات والأنشطة القياسية</w:t>
            </w:r>
          </w:p>
        </w:tc>
        <w:tc>
          <w:tcPr>
            <w:tcW w:w="1536" w:type="pct"/>
            <w:tcBorders>
              <w:bottom w:val="single" w:sz="4" w:space="0" w:color="auto"/>
            </w:tcBorders>
            <w:vAlign w:val="center"/>
          </w:tcPr>
          <w:p w14:paraId="55906DAC" w14:textId="77777777" w:rsidR="00D44330" w:rsidRPr="00354DE3" w:rsidRDefault="00D44330" w:rsidP="001D57C2">
            <w:pPr>
              <w:pStyle w:val="Normal-pool-Table"/>
              <w:bidi/>
              <w:spacing w:line="280" w:lineRule="exact"/>
              <w:jc w:val="right"/>
              <w:textDirection w:val="tbRlV"/>
              <w:rPr>
                <w:rFonts w:ascii="Simplified Arabic" w:hAnsi="Simplified Arabic" w:cs="Simplified Arabic"/>
                <w:color w:val="000000"/>
                <w:sz w:val="20"/>
                <w:rtl/>
                <w:lang w:bidi="en-GB"/>
              </w:rPr>
            </w:pPr>
            <w:r w:rsidRPr="00354DE3">
              <w:rPr>
                <w:rFonts w:ascii="Simplified Arabic" w:hAnsi="Simplified Arabic" w:cs="Simplified Arabic"/>
                <w:color w:val="000000"/>
                <w:sz w:val="20"/>
                <w:rtl/>
              </w:rPr>
              <w:t>129</w:t>
            </w:r>
          </w:p>
        </w:tc>
        <w:tc>
          <w:tcPr>
            <w:tcW w:w="1109" w:type="pct"/>
            <w:tcBorders>
              <w:bottom w:val="single" w:sz="4" w:space="0" w:color="auto"/>
            </w:tcBorders>
            <w:vAlign w:val="center"/>
          </w:tcPr>
          <w:p w14:paraId="20CC3BF3" w14:textId="77777777" w:rsidR="00D44330" w:rsidRPr="00354DE3" w:rsidRDefault="00D44330" w:rsidP="001D57C2">
            <w:pPr>
              <w:pStyle w:val="Normal-pool-Table"/>
              <w:bidi/>
              <w:spacing w:line="280" w:lineRule="exact"/>
              <w:jc w:val="right"/>
              <w:textDirection w:val="tbRlV"/>
              <w:rPr>
                <w:rFonts w:ascii="Simplified Arabic" w:hAnsi="Simplified Arabic" w:cs="Simplified Arabic"/>
                <w:color w:val="000000"/>
                <w:sz w:val="20"/>
                <w:rtl/>
                <w:lang w:bidi="en-GB"/>
              </w:rPr>
            </w:pPr>
            <w:r w:rsidRPr="00354DE3">
              <w:rPr>
                <w:rFonts w:ascii="Simplified Arabic" w:hAnsi="Simplified Arabic" w:cs="Simplified Arabic"/>
                <w:color w:val="000000"/>
                <w:sz w:val="20"/>
                <w:rtl/>
              </w:rPr>
              <w:t>129</w:t>
            </w:r>
          </w:p>
        </w:tc>
      </w:tr>
      <w:tr w:rsidR="00D44330" w:rsidRPr="00354DE3" w14:paraId="23EB2092" w14:textId="77777777" w:rsidTr="00354DE3">
        <w:trPr>
          <w:trHeight w:val="318"/>
        </w:trPr>
        <w:tc>
          <w:tcPr>
            <w:tcW w:w="2355" w:type="pct"/>
            <w:tcBorders>
              <w:top w:val="single" w:sz="4" w:space="0" w:color="auto"/>
              <w:bottom w:val="single" w:sz="12" w:space="0" w:color="auto"/>
            </w:tcBorders>
            <w:vAlign w:val="bottom"/>
          </w:tcPr>
          <w:p w14:paraId="540D5037" w14:textId="77777777" w:rsidR="00D44330" w:rsidRPr="00354DE3" w:rsidRDefault="00D44330" w:rsidP="00354DE3">
            <w:pPr>
              <w:pStyle w:val="Normal-pool-Table"/>
              <w:keepNext/>
              <w:keepLines/>
              <w:bidi/>
              <w:spacing w:line="280" w:lineRule="exact"/>
              <w:jc w:val="both"/>
              <w:textDirection w:val="tbRlV"/>
              <w:rPr>
                <w:rFonts w:ascii="Simplified Arabic" w:hAnsi="Simplified Arabic" w:cs="Simplified Arabic"/>
                <w:b/>
                <w:bCs/>
                <w:color w:val="000000"/>
                <w:sz w:val="20"/>
                <w:rtl/>
                <w:lang w:bidi="en-GB"/>
              </w:rPr>
            </w:pPr>
            <w:r w:rsidRPr="00354DE3">
              <w:rPr>
                <w:rFonts w:ascii="Simplified Arabic" w:hAnsi="Simplified Arabic" w:cs="Simplified Arabic"/>
                <w:b/>
                <w:bCs/>
                <w:color w:val="000000"/>
                <w:sz w:val="20"/>
                <w:rtl/>
              </w:rPr>
              <w:t>المجموع الكلي</w:t>
            </w:r>
          </w:p>
        </w:tc>
        <w:tc>
          <w:tcPr>
            <w:tcW w:w="1536" w:type="pct"/>
            <w:tcBorders>
              <w:top w:val="single" w:sz="4" w:space="0" w:color="auto"/>
              <w:bottom w:val="single" w:sz="12" w:space="0" w:color="auto"/>
            </w:tcBorders>
            <w:vAlign w:val="center"/>
          </w:tcPr>
          <w:p w14:paraId="1DCB2952" w14:textId="77777777" w:rsidR="00D44330" w:rsidRPr="00354DE3" w:rsidRDefault="00D44330" w:rsidP="00354DE3">
            <w:pPr>
              <w:pStyle w:val="Normal-pool-Table"/>
              <w:keepNext/>
              <w:keepLines/>
              <w:bidi/>
              <w:spacing w:line="280" w:lineRule="exact"/>
              <w:jc w:val="right"/>
              <w:rPr>
                <w:rFonts w:ascii="Simplified Arabic" w:hAnsi="Simplified Arabic" w:cs="Simplified Arabic"/>
                <w:b/>
                <w:bCs/>
                <w:color w:val="000000"/>
                <w:sz w:val="20"/>
                <w:rtl/>
              </w:rPr>
            </w:pPr>
            <w:r w:rsidRPr="00354DE3">
              <w:rPr>
                <w:rFonts w:ascii="Simplified Arabic" w:hAnsi="Simplified Arabic" w:cs="Simplified Arabic"/>
                <w:b/>
                <w:bCs/>
                <w:color w:val="000000"/>
                <w:sz w:val="20"/>
                <w:rtl/>
              </w:rPr>
              <w:t>282 1–361 1</w:t>
            </w:r>
          </w:p>
        </w:tc>
        <w:tc>
          <w:tcPr>
            <w:tcW w:w="1109" w:type="pct"/>
            <w:tcBorders>
              <w:top w:val="single" w:sz="4" w:space="0" w:color="auto"/>
              <w:bottom w:val="single" w:sz="12" w:space="0" w:color="auto"/>
            </w:tcBorders>
            <w:vAlign w:val="center"/>
          </w:tcPr>
          <w:p w14:paraId="15FCF261" w14:textId="75B24497" w:rsidR="00D44330" w:rsidRPr="00354DE3" w:rsidRDefault="00D44330" w:rsidP="00354DE3">
            <w:pPr>
              <w:pStyle w:val="Normal-pool-Table"/>
              <w:keepNext/>
              <w:keepLines/>
              <w:bidi/>
              <w:spacing w:line="280" w:lineRule="exact"/>
              <w:jc w:val="right"/>
              <w:rPr>
                <w:rFonts w:ascii="Simplified Arabic" w:hAnsi="Simplified Arabic" w:cs="Simplified Arabic"/>
                <w:b/>
                <w:bCs/>
                <w:color w:val="000000"/>
                <w:sz w:val="20"/>
                <w:rtl/>
              </w:rPr>
            </w:pPr>
            <w:r w:rsidRPr="00354DE3">
              <w:rPr>
                <w:rFonts w:ascii="Simplified Arabic" w:hAnsi="Simplified Arabic" w:cs="Simplified Arabic"/>
                <w:b/>
                <w:bCs/>
                <w:color w:val="000000"/>
                <w:sz w:val="20"/>
                <w:rtl/>
              </w:rPr>
              <w:t>672 1–755 1</w:t>
            </w:r>
          </w:p>
        </w:tc>
      </w:tr>
    </w:tbl>
    <w:p w14:paraId="0E4D56C3" w14:textId="77777777" w:rsidR="00D44330" w:rsidRPr="00984A76" w:rsidRDefault="00D44330" w:rsidP="00984A76">
      <w:pPr>
        <w:pStyle w:val="Normalpool"/>
        <w:bidi/>
        <w:spacing w:after="120" w:line="360" w:lineRule="exact"/>
        <w:ind w:left="1134"/>
        <w:jc w:val="both"/>
        <w:rPr>
          <w:rFonts w:ascii="Simplified Arabic" w:hAnsi="Simplified Arabic" w:cs="Simplified Arabic"/>
          <w:sz w:val="24"/>
          <w:szCs w:val="24"/>
          <w:rtl/>
        </w:rPr>
        <w:sectPr w:rsidR="00D44330" w:rsidRPr="00984A76" w:rsidSect="00D44330">
          <w:footnotePr>
            <w:numRestart w:val="eachSect"/>
          </w:footnotePr>
          <w:pgSz w:w="11907" w:h="16839"/>
          <w:pgMar w:top="907" w:right="992" w:bottom="1418" w:left="1418" w:header="539" w:footer="975" w:gutter="0"/>
          <w:cols w:space="708"/>
          <w:docGrid w:linePitch="360"/>
        </w:sectPr>
      </w:pPr>
    </w:p>
    <w:p w14:paraId="48062286" w14:textId="77777777" w:rsidR="00D44330" w:rsidRPr="00354DE3" w:rsidRDefault="00D44330" w:rsidP="00354DE3">
      <w:pPr>
        <w:pStyle w:val="ZZAnxheader"/>
        <w:bidi/>
        <w:spacing w:after="360" w:line="360" w:lineRule="exact"/>
        <w:jc w:val="both"/>
        <w:textDirection w:val="tbRlV"/>
        <w:rPr>
          <w:rFonts w:ascii="Simplified Arabic" w:hAnsi="Simplified Arabic" w:cs="Simplified Arabic"/>
          <w:sz w:val="30"/>
          <w:szCs w:val="30"/>
          <w:rtl/>
          <w:lang w:val="ar-SA" w:eastAsia="zh-TW" w:bidi="en-GB"/>
        </w:rPr>
      </w:pPr>
      <w:r w:rsidRPr="00354DE3">
        <w:rPr>
          <w:rFonts w:ascii="Simplified Arabic" w:hAnsi="Simplified Arabic" w:cs="Simplified Arabic"/>
          <w:sz w:val="30"/>
          <w:szCs w:val="30"/>
          <w:rtl/>
        </w:rPr>
        <w:lastRenderedPageBreak/>
        <w:t>المرفق الثاني</w:t>
      </w:r>
      <w:r w:rsidRPr="00354DE3">
        <w:rPr>
          <w:rFonts w:ascii="Simplified Arabic" w:hAnsi="Simplified Arabic" w:cs="Simplified Arabic"/>
          <w:b w:val="0"/>
          <w:bCs w:val="0"/>
          <w:sz w:val="34"/>
          <w:szCs w:val="34"/>
          <w:vertAlign w:val="superscript"/>
          <w:rtl/>
        </w:rPr>
        <w:footnoteReference w:customMarkFollows="1" w:id="17"/>
        <w:t>*</w:t>
      </w:r>
    </w:p>
    <w:p w14:paraId="2E67448D" w14:textId="77777777" w:rsidR="00D44330" w:rsidRPr="00354DE3" w:rsidRDefault="00D44330" w:rsidP="00354DE3">
      <w:pPr>
        <w:pStyle w:val="ZZAnxtitle"/>
        <w:bidi/>
        <w:spacing w:before="0" w:after="240" w:line="400" w:lineRule="exact"/>
        <w:ind w:left="1134"/>
        <w:jc w:val="both"/>
        <w:textDirection w:val="tbRlV"/>
        <w:rPr>
          <w:rFonts w:ascii="Simplified Arabic" w:hAnsi="Simplified Arabic" w:cs="Simplified Arabic"/>
          <w:szCs w:val="28"/>
          <w:rtl/>
          <w:lang w:val="ar-SA" w:eastAsia="zh-TW" w:bidi="en-GB"/>
        </w:rPr>
      </w:pPr>
      <w:r w:rsidRPr="00354DE3">
        <w:rPr>
          <w:rFonts w:ascii="Simplified Arabic" w:hAnsi="Simplified Arabic" w:cs="Simplified Arabic"/>
          <w:szCs w:val="28"/>
          <w:rtl/>
        </w:rPr>
        <w:t>التقرير المرحلي لفريق التقييم التكنولوجي والاقتصادي لعام 2026 (المجلد 1)</w:t>
      </w:r>
    </w:p>
    <w:p w14:paraId="4ABD8ED8" w14:textId="51293AD6" w:rsidR="00D44330" w:rsidRPr="004E28B8" w:rsidRDefault="00D44330" w:rsidP="00984A76">
      <w:pPr>
        <w:pStyle w:val="CH2"/>
        <w:bidi/>
        <w:spacing w:before="0" w:line="360" w:lineRule="exact"/>
        <w:ind w:left="1134" w:right="0" w:firstLine="0"/>
        <w:jc w:val="both"/>
        <w:textDirection w:val="tbRlV"/>
        <w:rPr>
          <w:rFonts w:ascii="Simplified Arabic" w:hAnsi="Simplified Arabic" w:cs="Simplified Arabic"/>
          <w:sz w:val="26"/>
          <w:szCs w:val="26"/>
          <w:rtl/>
          <w:lang w:val="ar-SA" w:eastAsia="zh-TW" w:bidi="en-GB"/>
        </w:rPr>
      </w:pPr>
      <w:bookmarkStart w:id="10" w:name="_Toc166157403"/>
      <w:bookmarkStart w:id="11" w:name="_Toc166577102"/>
      <w:r w:rsidRPr="004E28B8">
        <w:rPr>
          <w:rFonts w:ascii="Simplified Arabic" w:hAnsi="Simplified Arabic" w:cs="Simplified Arabic"/>
          <w:bCs/>
          <w:sz w:val="26"/>
          <w:szCs w:val="26"/>
          <w:rtl/>
        </w:rPr>
        <w:t>رسائل رئيسية من لجان الخيارات التقنية</w:t>
      </w:r>
      <w:bookmarkEnd w:id="10"/>
      <w:bookmarkEnd w:id="11"/>
    </w:p>
    <w:p w14:paraId="651DC218" w14:textId="77777777" w:rsidR="00D44330" w:rsidRPr="00984A76" w:rsidRDefault="00D44330" w:rsidP="00984A76">
      <w:pPr>
        <w:pStyle w:val="NormalNonumber"/>
        <w:bidi/>
        <w:spacing w:line="360" w:lineRule="exact"/>
        <w:ind w:left="1134"/>
        <w:jc w:val="both"/>
        <w:textDirection w:val="tbRlV"/>
        <w:rPr>
          <w:rFonts w:ascii="Simplified Arabic" w:hAnsi="Simplified Arabic" w:cs="Simplified Arabic"/>
          <w:color w:val="000000" w:themeColor="text1"/>
          <w:sz w:val="24"/>
          <w:szCs w:val="24"/>
          <w:rtl/>
          <w:lang w:val="ar-SA" w:eastAsia="zh-TW" w:bidi="en-GB"/>
        </w:rPr>
      </w:pPr>
      <w:r w:rsidRPr="00984A76">
        <w:rPr>
          <w:rFonts w:ascii="Simplified Arabic" w:hAnsi="Simplified Arabic" w:cs="Simplified Arabic"/>
          <w:sz w:val="24"/>
          <w:szCs w:val="24"/>
          <w:rtl/>
        </w:rPr>
        <w:t>يعرض هذا الفرع الرسائل الرئيسية الناشئة عن التقارير المرحلية للجان الخيارات التقنية.</w:t>
      </w:r>
    </w:p>
    <w:p w14:paraId="41ABF374" w14:textId="16E2B3A5" w:rsidR="00D44330" w:rsidRPr="00984A76" w:rsidRDefault="00D44330" w:rsidP="00984A76">
      <w:pPr>
        <w:pStyle w:val="CH3"/>
        <w:bidi/>
        <w:spacing w:before="0" w:line="360" w:lineRule="exact"/>
        <w:ind w:left="1134" w:right="0" w:firstLine="0"/>
        <w:jc w:val="both"/>
        <w:textDirection w:val="tbRlV"/>
        <w:rPr>
          <w:rFonts w:ascii="Simplified Arabic" w:hAnsi="Simplified Arabic" w:cs="Simplified Arabic"/>
          <w:i/>
          <w:iCs/>
          <w:color w:val="000000" w:themeColor="text1"/>
          <w:sz w:val="24"/>
          <w:szCs w:val="24"/>
          <w:rtl/>
          <w:lang w:val="ar-SA" w:eastAsia="zh-TW" w:bidi="en-GB"/>
        </w:rPr>
      </w:pPr>
      <w:r w:rsidRPr="00984A76">
        <w:rPr>
          <w:rFonts w:ascii="Simplified Arabic" w:hAnsi="Simplified Arabic" w:cs="Simplified Arabic"/>
          <w:bCs/>
          <w:i/>
          <w:iCs/>
          <w:sz w:val="24"/>
          <w:szCs w:val="24"/>
          <w:rtl/>
        </w:rPr>
        <w:t>لجنة الخيارات التقنية لإخماد الحرائق</w:t>
      </w:r>
    </w:p>
    <w:p w14:paraId="7CA76FB8" w14:textId="77777777" w:rsidR="00D44330" w:rsidRPr="00984A76" w:rsidRDefault="00D44330" w:rsidP="00177144">
      <w:pPr>
        <w:pStyle w:val="NormalNonumber"/>
        <w:bidi/>
        <w:spacing w:line="360" w:lineRule="exact"/>
        <w:ind w:left="1134"/>
        <w:jc w:val="lowKashida"/>
        <w:textDirection w:val="tbRlV"/>
        <w:rPr>
          <w:rFonts w:ascii="Simplified Arabic" w:hAnsi="Simplified Arabic" w:cs="Simplified Arabic"/>
          <w:color w:val="000000" w:themeColor="text1"/>
          <w:sz w:val="24"/>
          <w:szCs w:val="24"/>
          <w:rtl/>
          <w:lang w:val="ar-SA" w:eastAsia="zh-TW" w:bidi="en-GB"/>
        </w:rPr>
      </w:pPr>
      <w:r w:rsidRPr="00984A76">
        <w:rPr>
          <w:rFonts w:ascii="Simplified Arabic" w:hAnsi="Simplified Arabic" w:cs="Simplified Arabic"/>
          <w:sz w:val="24"/>
          <w:szCs w:val="24"/>
          <w:rtl/>
        </w:rPr>
        <w:t>يرد التقرير المرحلي للجنة الخيارات التقنية لإخماد الحرائق في الفصل 3 من هذا التقرير، ويتضمن المستجدات التالية:</w:t>
      </w:r>
    </w:p>
    <w:p w14:paraId="3E75EA18" w14:textId="6DBD31EF" w:rsidR="00D44330" w:rsidRPr="00984A76" w:rsidRDefault="00D44330" w:rsidP="0021387E">
      <w:pPr>
        <w:pStyle w:val="NormalNonumber"/>
        <w:numPr>
          <w:ilvl w:val="0"/>
          <w:numId w:val="42"/>
        </w:numPr>
        <w:tabs>
          <w:tab w:val="clear" w:pos="624"/>
          <w:tab w:val="clear" w:pos="1247"/>
          <w:tab w:val="clear" w:pos="1871"/>
          <w:tab w:val="clear" w:pos="2495"/>
          <w:tab w:val="clear" w:pos="3119"/>
          <w:tab w:val="clear" w:pos="3742"/>
          <w:tab w:val="clear" w:pos="4366"/>
          <w:tab w:val="clear" w:pos="4990"/>
          <w:tab w:val="left" w:pos="2552"/>
        </w:tabs>
        <w:bidi/>
        <w:spacing w:line="360" w:lineRule="exact"/>
        <w:ind w:left="2552" w:hanging="709"/>
        <w:jc w:val="lowKashida"/>
        <w:textDirection w:val="tbRlV"/>
        <w:rPr>
          <w:rFonts w:ascii="Simplified Arabic" w:hAnsi="Simplified Arabic" w:cs="Simplified Arabic"/>
          <w:color w:val="000000" w:themeColor="text1"/>
          <w:sz w:val="24"/>
          <w:szCs w:val="24"/>
          <w:rtl/>
          <w:lang w:val="ar-SA" w:eastAsia="zh-TW" w:bidi="en-GB"/>
        </w:rPr>
      </w:pPr>
      <w:r w:rsidRPr="00984A76">
        <w:rPr>
          <w:rFonts w:ascii="Simplified Arabic" w:hAnsi="Simplified Arabic" w:cs="Simplified Arabic"/>
          <w:sz w:val="24"/>
          <w:szCs w:val="24"/>
          <w:rtl/>
        </w:rPr>
        <w:t>استجابةً لـ</w:t>
      </w:r>
      <w:r w:rsidR="00694D2E" w:rsidRPr="00087C24">
        <w:rPr>
          <w:rFonts w:ascii="Simplified Arabic" w:hAnsi="Simplified Arabic" w:cs="Simplified Arabic"/>
          <w:sz w:val="24"/>
          <w:szCs w:val="24"/>
          <w:lang w:val="en-GB"/>
        </w:rPr>
        <w:t>”</w:t>
      </w:r>
      <w:r w:rsidR="00B83DCB" w:rsidRPr="00087C24">
        <w:rPr>
          <w:rFonts w:ascii="Simplified Arabic" w:hAnsi="Simplified Arabic" w:cs="Simplified Arabic"/>
          <w:sz w:val="24"/>
          <w:szCs w:val="24"/>
          <w:lang w:val="en-GB"/>
        </w:rPr>
        <w:t xml:space="preserve"> </w:t>
      </w:r>
      <w:r w:rsidRPr="00984A76">
        <w:rPr>
          <w:rFonts w:ascii="Simplified Arabic" w:hAnsi="Simplified Arabic" w:cs="Simplified Arabic"/>
          <w:sz w:val="24"/>
          <w:szCs w:val="24"/>
          <w:rtl/>
        </w:rPr>
        <w:t>المقرر 37/4: توافر الهالونات والتوزيع العالمي لأرصدة الهالونات</w:t>
      </w:r>
      <w:r w:rsidR="005430C9" w:rsidRPr="00087C24">
        <w:rPr>
          <w:rFonts w:ascii="Simplified Arabic" w:hAnsi="Simplified Arabic" w:cs="Simplified Arabic"/>
          <w:sz w:val="24"/>
          <w:szCs w:val="24"/>
          <w:lang w:val="en-GB"/>
        </w:rPr>
        <w:t>“</w:t>
      </w:r>
      <w:r w:rsidRPr="00984A76">
        <w:rPr>
          <w:rFonts w:ascii="Simplified Arabic" w:hAnsi="Simplified Arabic" w:cs="Simplified Arabic"/>
          <w:sz w:val="24"/>
          <w:szCs w:val="24"/>
          <w:rtl/>
        </w:rPr>
        <w:t xml:space="preserve">، عملت اللجنة بالتعاون مع منظمة الطيران المدني الدولي وعدلت تاريخ انتهاء استخدام الهالون 1301. ويُقدَّر الآن أن يكون ذلك في إطار زمني يمتد إلى عام 2035 ± 4 سنوات، استنادًا إلى أحدث البيانات المتاحة من قطاعات الطيران المدني، والنفط والغاز، ومحطات الطاقة النووية، إلى جانب الكميات التي يتم استعادتها من أنشطة تكسير السفن. </w:t>
      </w:r>
    </w:p>
    <w:p w14:paraId="4CA2651F" w14:textId="59438EF9" w:rsidR="00D44330" w:rsidRPr="00984A76" w:rsidRDefault="00D44330" w:rsidP="00345FCF">
      <w:pPr>
        <w:pStyle w:val="NormalNonumber"/>
        <w:numPr>
          <w:ilvl w:val="0"/>
          <w:numId w:val="42"/>
        </w:numPr>
        <w:tabs>
          <w:tab w:val="clear" w:pos="624"/>
          <w:tab w:val="clear" w:pos="1247"/>
          <w:tab w:val="clear" w:pos="1871"/>
          <w:tab w:val="clear" w:pos="2495"/>
          <w:tab w:val="clear" w:pos="3119"/>
          <w:tab w:val="clear" w:pos="3742"/>
          <w:tab w:val="clear" w:pos="4366"/>
          <w:tab w:val="clear" w:pos="4990"/>
          <w:tab w:val="left" w:pos="2552"/>
        </w:tabs>
        <w:bidi/>
        <w:spacing w:line="360" w:lineRule="exact"/>
        <w:ind w:left="2552" w:hanging="709"/>
        <w:jc w:val="both"/>
        <w:textDirection w:val="tbRlV"/>
        <w:rPr>
          <w:rFonts w:ascii="Simplified Arabic" w:hAnsi="Simplified Arabic" w:cs="Simplified Arabic"/>
          <w:color w:val="000000" w:themeColor="text1"/>
          <w:sz w:val="24"/>
          <w:szCs w:val="24"/>
          <w:rtl/>
          <w:lang w:val="ar-SA" w:eastAsia="zh-TW" w:bidi="en-GB"/>
        </w:rPr>
      </w:pPr>
      <w:r w:rsidRPr="00984A76">
        <w:rPr>
          <w:rFonts w:ascii="Simplified Arabic" w:hAnsi="Simplified Arabic" w:cs="Simplified Arabic"/>
          <w:sz w:val="24"/>
          <w:szCs w:val="24"/>
          <w:rtl/>
        </w:rPr>
        <w:t>وقد ترغب الأطراف في النظر في تحديد التغييرات التي قد تكون مطلوبة، إن وجدت، في ترشيحات الاستخدامات الضرورية وعمليات التقييم، نظراً لأن كل طرف على حدة لن يكون قادراً على تحديد احتياجاته في مجال الطيران المدني، أي الإنتاج والاستهلاك، على أساس سنوي.</w:t>
      </w:r>
    </w:p>
    <w:p w14:paraId="0D0E3E44" w14:textId="33FF57C2" w:rsidR="00D44330" w:rsidRPr="00984A76" w:rsidRDefault="00D44330" w:rsidP="00345FCF">
      <w:pPr>
        <w:pStyle w:val="NormalNonumber"/>
        <w:numPr>
          <w:ilvl w:val="0"/>
          <w:numId w:val="42"/>
        </w:numPr>
        <w:tabs>
          <w:tab w:val="clear" w:pos="624"/>
          <w:tab w:val="clear" w:pos="1247"/>
          <w:tab w:val="clear" w:pos="1871"/>
          <w:tab w:val="clear" w:pos="2495"/>
          <w:tab w:val="clear" w:pos="3119"/>
          <w:tab w:val="clear" w:pos="3742"/>
          <w:tab w:val="clear" w:pos="4366"/>
          <w:tab w:val="clear" w:pos="4990"/>
          <w:tab w:val="left" w:pos="2552"/>
        </w:tabs>
        <w:bidi/>
        <w:spacing w:line="360" w:lineRule="exact"/>
        <w:ind w:left="2552" w:hanging="709"/>
        <w:jc w:val="both"/>
        <w:textDirection w:val="tbRlV"/>
        <w:rPr>
          <w:rFonts w:ascii="Simplified Arabic" w:hAnsi="Simplified Arabic" w:cs="Simplified Arabic"/>
          <w:color w:val="000000" w:themeColor="text1"/>
          <w:sz w:val="24"/>
          <w:szCs w:val="24"/>
          <w:rtl/>
          <w:lang w:val="ar-SA" w:eastAsia="zh-TW" w:bidi="en-GB"/>
        </w:rPr>
      </w:pPr>
      <w:r w:rsidRPr="00984A76">
        <w:rPr>
          <w:rFonts w:ascii="Simplified Arabic" w:hAnsi="Simplified Arabic" w:cs="Simplified Arabic"/>
          <w:sz w:val="24"/>
          <w:szCs w:val="24"/>
          <w:rtl/>
        </w:rPr>
        <w:t>ولا يزال نموذج لجنة الخيارات التقنية لإخماد الحرائق يُظهر توافقًا جيدًا مع انبعاثات الهالون 1301 المستمدة من القياسات الجوية، من الآن وحتى عام 2024.</w:t>
      </w:r>
    </w:p>
    <w:p w14:paraId="76776EAC" w14:textId="4BB77B12" w:rsidR="00D44330" w:rsidRPr="00984A76" w:rsidRDefault="00D44330" w:rsidP="00345FCF">
      <w:pPr>
        <w:pStyle w:val="NormalNonumber"/>
        <w:numPr>
          <w:ilvl w:val="0"/>
          <w:numId w:val="42"/>
        </w:numPr>
        <w:tabs>
          <w:tab w:val="clear" w:pos="624"/>
          <w:tab w:val="clear" w:pos="1247"/>
          <w:tab w:val="clear" w:pos="1871"/>
          <w:tab w:val="clear" w:pos="2495"/>
          <w:tab w:val="clear" w:pos="3119"/>
          <w:tab w:val="clear" w:pos="3742"/>
          <w:tab w:val="clear" w:pos="4366"/>
          <w:tab w:val="clear" w:pos="4990"/>
          <w:tab w:val="left" w:pos="2552"/>
        </w:tabs>
        <w:bidi/>
        <w:spacing w:line="360" w:lineRule="exact"/>
        <w:ind w:left="2552" w:hanging="709"/>
        <w:jc w:val="both"/>
        <w:textDirection w:val="tbRlV"/>
        <w:rPr>
          <w:rFonts w:ascii="Simplified Arabic" w:hAnsi="Simplified Arabic" w:cs="Simplified Arabic"/>
          <w:color w:val="000000" w:themeColor="text1"/>
          <w:sz w:val="24"/>
          <w:szCs w:val="24"/>
          <w:rtl/>
          <w:lang w:val="ar-SA" w:eastAsia="zh-TW" w:bidi="en-GB"/>
        </w:rPr>
      </w:pPr>
      <w:r w:rsidRPr="00984A76">
        <w:rPr>
          <w:rFonts w:ascii="Simplified Arabic" w:hAnsi="Simplified Arabic" w:cs="Simplified Arabic"/>
          <w:sz w:val="24"/>
          <w:szCs w:val="24"/>
          <w:rtl/>
        </w:rPr>
        <w:t>ولا علم لدى اللجنة بوجود أي عوامل جديدة للحماية من الحرائق أو لإطفاء الحرائق قيد التطوير.</w:t>
      </w:r>
    </w:p>
    <w:p w14:paraId="5EDDB09F" w14:textId="36DB83BE" w:rsidR="00D44330" w:rsidRPr="00984A76" w:rsidRDefault="00D44330" w:rsidP="00345FCF">
      <w:pPr>
        <w:pStyle w:val="NormalNonumber"/>
        <w:numPr>
          <w:ilvl w:val="0"/>
          <w:numId w:val="42"/>
        </w:numPr>
        <w:tabs>
          <w:tab w:val="clear" w:pos="624"/>
          <w:tab w:val="clear" w:pos="1247"/>
          <w:tab w:val="clear" w:pos="1871"/>
          <w:tab w:val="clear" w:pos="2495"/>
          <w:tab w:val="clear" w:pos="3119"/>
          <w:tab w:val="clear" w:pos="3742"/>
          <w:tab w:val="clear" w:pos="4366"/>
          <w:tab w:val="clear" w:pos="4990"/>
          <w:tab w:val="left" w:pos="2552"/>
        </w:tabs>
        <w:bidi/>
        <w:spacing w:line="360" w:lineRule="exact"/>
        <w:ind w:left="2552" w:hanging="709"/>
        <w:jc w:val="both"/>
        <w:textDirection w:val="tbRlV"/>
        <w:rPr>
          <w:rFonts w:ascii="Simplified Arabic" w:hAnsi="Simplified Arabic" w:cs="Simplified Arabic"/>
          <w:color w:val="000000" w:themeColor="text1"/>
          <w:sz w:val="24"/>
          <w:szCs w:val="24"/>
          <w:rtl/>
          <w:lang w:val="ar-SA" w:eastAsia="zh-TW" w:bidi="en-GB"/>
        </w:rPr>
      </w:pPr>
      <w:r w:rsidRPr="00984A76">
        <w:rPr>
          <w:rFonts w:ascii="Simplified Arabic" w:hAnsi="Simplified Arabic" w:cs="Simplified Arabic"/>
          <w:sz w:val="24"/>
          <w:szCs w:val="24"/>
          <w:rtl/>
        </w:rPr>
        <w:t>مشروع الرأي الصادر عن لجنة التحليل الاجتماعي والاقتصادي التابعة للوكالة الأوروبية للمواد الكيميائية، الذي نُشر في 26 آذار/مارس 2026، بشأن اقتراح الاتحاد الأوروبي تقييد المواد الألكيلية البيرفلورية والمتعددة الفلور، سيؤدي إلى حظر استخدام البدائل الحيوية للهالونات عقب دخول أي لائحة تنظيمية حيز التنفيذ، ما لم تسمح استثناءات معينة بفترة سماح. ويوصي مشروع الرأي الصادر عن لجنة التحليل الاجتماعي والاقتصادي بشأن اقتراح الاتحاد الأوروبي تقييد استخدام المواد الألكيلية البيرفلورية والمتعددة الفلور بمنح استثناء مدته 12 عامًا لمركب بروميد ثالث فلوريد البروبين (</w:t>
      </w:r>
      <w:r w:rsidRPr="005430C9">
        <w:rPr>
          <w:rFonts w:asciiTheme="majorBidi" w:hAnsiTheme="majorBidi" w:cstheme="majorBidi"/>
          <w:sz w:val="22"/>
          <w:szCs w:val="22"/>
          <w:rtl/>
        </w:rPr>
        <w:t>2-BTP</w:t>
      </w:r>
      <w:r w:rsidRPr="00984A76">
        <w:rPr>
          <w:rFonts w:ascii="Simplified Arabic" w:hAnsi="Simplified Arabic" w:cs="Simplified Arabic"/>
          <w:sz w:val="24"/>
          <w:szCs w:val="24"/>
          <w:rtl/>
        </w:rPr>
        <w:t xml:space="preserve">) في طفايات الحريق المحمولة باليد المستخدمة على متن الطائرات. ولم يُقترح أي استثناء فيما يتعلق بالاستخدام المحتمل في المستقبل لمزيج بروميد ثالث فلوريد البروبين/ثاني أكسيد الكربون كبديل للهالون 1301 في مقصورات الشحن. </w:t>
      </w:r>
    </w:p>
    <w:p w14:paraId="79CDB294" w14:textId="3AE76692" w:rsidR="00D44330" w:rsidRPr="00984A76" w:rsidRDefault="00D44330" w:rsidP="00984A76">
      <w:pPr>
        <w:pStyle w:val="CH3"/>
        <w:bidi/>
        <w:spacing w:before="0" w:line="360" w:lineRule="exact"/>
        <w:ind w:left="1134" w:right="0" w:firstLine="0"/>
        <w:jc w:val="both"/>
        <w:textDirection w:val="tbRlV"/>
        <w:rPr>
          <w:rFonts w:ascii="Simplified Arabic" w:hAnsi="Simplified Arabic" w:cs="Simplified Arabic"/>
          <w:i/>
          <w:iCs/>
          <w:color w:val="000000" w:themeColor="text1"/>
          <w:sz w:val="24"/>
          <w:szCs w:val="24"/>
          <w:rtl/>
          <w:lang w:val="ar-SA" w:eastAsia="zh-TW" w:bidi="en-GB"/>
        </w:rPr>
      </w:pPr>
      <w:r w:rsidRPr="00984A76">
        <w:rPr>
          <w:rFonts w:ascii="Simplified Arabic" w:hAnsi="Simplified Arabic" w:cs="Simplified Arabic"/>
          <w:bCs/>
          <w:i/>
          <w:iCs/>
          <w:sz w:val="24"/>
          <w:szCs w:val="24"/>
          <w:rtl/>
        </w:rPr>
        <w:t>لجنة الخيارات التقنية للرغاوى المرنة والجاسئة</w:t>
      </w:r>
    </w:p>
    <w:p w14:paraId="6348CA67" w14:textId="77777777" w:rsidR="00D44330" w:rsidRPr="00984A76" w:rsidRDefault="00D44330" w:rsidP="00984A76">
      <w:pPr>
        <w:pStyle w:val="NormalNonumber"/>
        <w:bidi/>
        <w:spacing w:line="360" w:lineRule="exact"/>
        <w:ind w:left="1134"/>
        <w:jc w:val="both"/>
        <w:textDirection w:val="tbRlV"/>
        <w:rPr>
          <w:rFonts w:ascii="Simplified Arabic" w:hAnsi="Simplified Arabic" w:cs="Simplified Arabic"/>
          <w:color w:val="000000" w:themeColor="text1"/>
          <w:sz w:val="24"/>
          <w:szCs w:val="24"/>
          <w:rtl/>
          <w:lang w:val="ar-SA" w:eastAsia="zh-TW" w:bidi="en-GB"/>
        </w:rPr>
      </w:pPr>
      <w:r w:rsidRPr="00984A76">
        <w:rPr>
          <w:rFonts w:ascii="Simplified Arabic" w:hAnsi="Simplified Arabic" w:cs="Simplified Arabic"/>
          <w:sz w:val="24"/>
          <w:szCs w:val="24"/>
          <w:rtl/>
        </w:rPr>
        <w:t>يرد التقرير المرحلي للجنة الخيارات التقنية للرغاوى المرنة والجاسئة في الفصل 2 من هذا التقرير، ويتضمن المستجدات التالية:</w:t>
      </w:r>
    </w:p>
    <w:p w14:paraId="7A89CE52" w14:textId="1856C3E2" w:rsidR="00D44330" w:rsidRPr="00984A76" w:rsidRDefault="00D44330" w:rsidP="001E2851">
      <w:pPr>
        <w:pStyle w:val="NormalNonumber"/>
        <w:numPr>
          <w:ilvl w:val="0"/>
          <w:numId w:val="42"/>
        </w:numPr>
        <w:tabs>
          <w:tab w:val="clear" w:pos="624"/>
          <w:tab w:val="clear" w:pos="1247"/>
          <w:tab w:val="clear" w:pos="1871"/>
          <w:tab w:val="clear" w:pos="2495"/>
          <w:tab w:val="clear" w:pos="3119"/>
          <w:tab w:val="clear" w:pos="3742"/>
          <w:tab w:val="clear" w:pos="4366"/>
          <w:tab w:val="clear" w:pos="4990"/>
          <w:tab w:val="left" w:pos="2552"/>
        </w:tabs>
        <w:bidi/>
        <w:spacing w:line="360" w:lineRule="exact"/>
        <w:ind w:left="2552" w:hanging="709"/>
        <w:jc w:val="lowKashida"/>
        <w:textDirection w:val="tbRlV"/>
        <w:rPr>
          <w:rFonts w:ascii="Simplified Arabic" w:hAnsi="Simplified Arabic" w:cs="Simplified Arabic"/>
          <w:color w:val="000000" w:themeColor="text1"/>
          <w:sz w:val="24"/>
          <w:szCs w:val="24"/>
          <w:rtl/>
          <w:lang w:val="ar-SA" w:eastAsia="zh-TW" w:bidi="en-GB"/>
        </w:rPr>
      </w:pPr>
      <w:r w:rsidRPr="00984A76">
        <w:rPr>
          <w:rFonts w:ascii="Simplified Arabic" w:hAnsi="Simplified Arabic" w:cs="Simplified Arabic"/>
          <w:sz w:val="24"/>
          <w:szCs w:val="24"/>
          <w:rtl/>
        </w:rPr>
        <w:t xml:space="preserve">تحقق الأطراف نجاحاً في تحويل صناعة الرغوة بعيدًا عن استخدام مركبات الكربون الهيدروكلورية فلورية في الأطراف العاملة بموجب المادة 5 ومركبات الكربون الهيدروفلورية ذات القدرة العالية على إحداث الاحترار العالمي في الأطراف غير العاملة بموجب المادة 5 </w:t>
      </w:r>
      <w:r w:rsidRPr="00984A76">
        <w:rPr>
          <w:rFonts w:ascii="Simplified Arabic" w:hAnsi="Simplified Arabic" w:cs="Simplified Arabic"/>
          <w:sz w:val="24"/>
          <w:szCs w:val="24"/>
          <w:rtl/>
        </w:rPr>
        <w:lastRenderedPageBreak/>
        <w:t xml:space="preserve">وبعض الأطراف العاملة بموجب المادة 5، مع التركيز على تجنب اعتماد مركبات كربون هيدروفلورية ذات قدرة عالية على إحداث الاحترار العالمي حيثما أمكن ذلك. وتعد اللوائح التنظيمية والتخفيض التدريجي للإمدادات من العوامل الدافعة لعملية التحول. </w:t>
      </w:r>
    </w:p>
    <w:p w14:paraId="13BD1820" w14:textId="11C515F2" w:rsidR="00D44330" w:rsidRPr="00984A76" w:rsidRDefault="00D44330" w:rsidP="00345FCF">
      <w:pPr>
        <w:pStyle w:val="NormalNonumber"/>
        <w:numPr>
          <w:ilvl w:val="0"/>
          <w:numId w:val="42"/>
        </w:numPr>
        <w:tabs>
          <w:tab w:val="clear" w:pos="624"/>
          <w:tab w:val="clear" w:pos="1247"/>
          <w:tab w:val="clear" w:pos="1871"/>
          <w:tab w:val="clear" w:pos="2495"/>
          <w:tab w:val="clear" w:pos="3119"/>
          <w:tab w:val="clear" w:pos="3742"/>
          <w:tab w:val="clear" w:pos="4366"/>
          <w:tab w:val="clear" w:pos="4990"/>
          <w:tab w:val="left" w:pos="2552"/>
        </w:tabs>
        <w:bidi/>
        <w:spacing w:line="360" w:lineRule="exact"/>
        <w:ind w:left="2552" w:hanging="709"/>
        <w:jc w:val="both"/>
        <w:textDirection w:val="tbRlV"/>
        <w:rPr>
          <w:rFonts w:ascii="Simplified Arabic" w:hAnsi="Simplified Arabic" w:cs="Simplified Arabic"/>
          <w:color w:val="000000" w:themeColor="text1"/>
          <w:sz w:val="24"/>
          <w:szCs w:val="24"/>
          <w:rtl/>
          <w:lang w:val="ar-SA" w:eastAsia="zh-TW" w:bidi="en-GB"/>
        </w:rPr>
      </w:pPr>
      <w:r w:rsidRPr="00984A76">
        <w:rPr>
          <w:rFonts w:ascii="Simplified Arabic" w:hAnsi="Simplified Arabic" w:cs="Simplified Arabic"/>
          <w:sz w:val="24"/>
          <w:szCs w:val="24"/>
          <w:rtl/>
        </w:rPr>
        <w:t>مع تضاؤل المخزونات العالمية المتاحة من مركب الكربون الهيدروكلوري فلوري-</w:t>
      </w:r>
      <w:r w:rsidRPr="004E28B8">
        <w:rPr>
          <w:rFonts w:asciiTheme="majorBidi" w:hAnsiTheme="majorBidi" w:cstheme="majorBidi"/>
          <w:sz w:val="22"/>
          <w:szCs w:val="22"/>
          <w:rtl/>
        </w:rPr>
        <w:t>141b</w:t>
      </w:r>
      <w:r w:rsidRPr="00984A76">
        <w:rPr>
          <w:rFonts w:ascii="Simplified Arabic" w:hAnsi="Simplified Arabic" w:cs="Simplified Arabic"/>
          <w:sz w:val="24"/>
          <w:szCs w:val="24"/>
          <w:rtl/>
        </w:rPr>
        <w:t>، قد ترغب الأطراف في النظر في إتمام عملية عمليات التحول عن استخدام هذا المركب. وفي عام 2026، لم تخصص وزارة الإيكولوجيا والبيئة الصينية</w:t>
      </w:r>
      <w:r w:rsidRPr="00984A76">
        <w:rPr>
          <w:rFonts w:ascii="Simplified Arabic" w:hAnsi="Simplified Arabic" w:cs="Simplified Arabic"/>
          <w:sz w:val="24"/>
          <w:szCs w:val="24"/>
          <w:vertAlign w:val="superscript"/>
          <w:rtl/>
        </w:rPr>
        <w:t>(</w:t>
      </w:r>
      <w:r w:rsidRPr="00984A76">
        <w:rPr>
          <w:rStyle w:val="FootnoteReference"/>
          <w:rFonts w:ascii="Simplified Arabic" w:hAnsi="Simplified Arabic" w:cs="Simplified Arabic"/>
          <w:sz w:val="24"/>
          <w:szCs w:val="24"/>
          <w:rtl/>
        </w:rPr>
        <w:footnoteReference w:id="18"/>
      </w:r>
      <w:r w:rsidRPr="00984A76">
        <w:rPr>
          <w:rFonts w:ascii="Simplified Arabic" w:hAnsi="Simplified Arabic" w:cs="Simplified Arabic"/>
          <w:sz w:val="24"/>
          <w:szCs w:val="24"/>
          <w:vertAlign w:val="superscript"/>
          <w:rtl/>
        </w:rPr>
        <w:t>)</w:t>
      </w:r>
      <w:r w:rsidRPr="00984A76">
        <w:rPr>
          <w:rFonts w:ascii="Simplified Arabic" w:hAnsi="Simplified Arabic" w:cs="Simplified Arabic"/>
          <w:sz w:val="24"/>
          <w:szCs w:val="24"/>
          <w:rtl/>
        </w:rPr>
        <w:t xml:space="preserve"> أي حصة لإنتاج مركب الكربون الهيدروكلوري فلوري-</w:t>
      </w:r>
      <w:r w:rsidRPr="004E28B8">
        <w:rPr>
          <w:rFonts w:asciiTheme="majorBidi" w:hAnsiTheme="majorBidi" w:cstheme="majorBidi"/>
          <w:sz w:val="22"/>
          <w:szCs w:val="22"/>
          <w:rtl/>
        </w:rPr>
        <w:t>141b</w:t>
      </w:r>
      <w:r w:rsidRPr="00984A76">
        <w:rPr>
          <w:rFonts w:ascii="Simplified Arabic" w:hAnsi="Simplified Arabic" w:cs="Simplified Arabic"/>
          <w:sz w:val="24"/>
          <w:szCs w:val="24"/>
          <w:rtl/>
        </w:rPr>
        <w:t xml:space="preserve">، وستتوقف إمدادات هذا المركب. وقد زادت الشركات المصنعة للأوليفينات الهيدروفلورية/الأوليفينات الهيدروكلورية فلورية طاقتها الإنتاجية لتلبية الطلب على عوامل النفخ ذات القدرة المنخفضة على إحداث الاحترار العالمي، وهو الطلب الذي يُتوقع أن ينشأ عن تطبيق اللوائح التنظيمية المتعلقة بانخفاض القدرة على إحداث الاحترار العالمي. وقد حدثت تحسينات كبيرة في تطوير وتوافر المواد المضافة وعوامل النفخ المشترك والمعدات والتركيبات التي أتاحت نجاح تسويق الرغاوي التي تحتوي على عوامل نفخ أقل قدرةً على إحداث الاحترار العالمي. </w:t>
      </w:r>
    </w:p>
    <w:p w14:paraId="585352AC" w14:textId="573E8F3E" w:rsidR="00D44330" w:rsidRPr="00984A76" w:rsidRDefault="00D44330" w:rsidP="001E2851">
      <w:pPr>
        <w:pStyle w:val="NormalNonumber"/>
        <w:numPr>
          <w:ilvl w:val="0"/>
          <w:numId w:val="42"/>
        </w:numPr>
        <w:tabs>
          <w:tab w:val="clear" w:pos="624"/>
          <w:tab w:val="clear" w:pos="1247"/>
          <w:tab w:val="clear" w:pos="1871"/>
          <w:tab w:val="clear" w:pos="2495"/>
          <w:tab w:val="clear" w:pos="3119"/>
          <w:tab w:val="clear" w:pos="3742"/>
          <w:tab w:val="clear" w:pos="4366"/>
          <w:tab w:val="clear" w:pos="4990"/>
          <w:tab w:val="left" w:pos="2552"/>
        </w:tabs>
        <w:bidi/>
        <w:spacing w:line="360" w:lineRule="exact"/>
        <w:ind w:left="2552" w:hanging="709"/>
        <w:jc w:val="both"/>
        <w:textDirection w:val="tbRlV"/>
        <w:rPr>
          <w:rFonts w:ascii="Simplified Arabic" w:hAnsi="Simplified Arabic" w:cs="Simplified Arabic"/>
          <w:color w:val="000000" w:themeColor="text1"/>
          <w:sz w:val="24"/>
          <w:szCs w:val="24"/>
          <w:rtl/>
          <w:lang w:val="ar-SA" w:eastAsia="zh-TW" w:bidi="en-GB"/>
        </w:rPr>
      </w:pPr>
      <w:r w:rsidRPr="00984A76">
        <w:rPr>
          <w:rFonts w:ascii="Simplified Arabic" w:hAnsi="Simplified Arabic" w:cs="Simplified Arabic"/>
          <w:sz w:val="24"/>
          <w:szCs w:val="24"/>
          <w:rtl/>
        </w:rPr>
        <w:t xml:space="preserve">يواصل مصنعو الرغوة عملهم الرامي إلى خفض التكاليف وتحسين خصائص الرغوة باستخدام عوامل جديدة لنفخ الرغوة، وعوامل نفخ مشترك، ومواد مضافة في كل من الأطراف العاملة بموجب المادة 5 والأطراف غير العاملة بموجبها. وتتميز عوامل النفخ المشترك الجديدة والمواد الجديدة المضافة إلى عوامل نفخ الرغوة بخواص سمية وحرارية مختلفة يمكن أن تؤدي إلى تحديات على صعيد السلامة في المناولة وانخفاض الأداء الحراري للعزل. </w:t>
      </w:r>
    </w:p>
    <w:p w14:paraId="0F978287" w14:textId="5A05D918" w:rsidR="00D44330" w:rsidRPr="00984A76" w:rsidRDefault="00D44330" w:rsidP="001E2851">
      <w:pPr>
        <w:pStyle w:val="NormalNonumber"/>
        <w:numPr>
          <w:ilvl w:val="0"/>
          <w:numId w:val="42"/>
        </w:numPr>
        <w:tabs>
          <w:tab w:val="clear" w:pos="624"/>
          <w:tab w:val="clear" w:pos="1247"/>
          <w:tab w:val="clear" w:pos="1871"/>
          <w:tab w:val="clear" w:pos="2495"/>
          <w:tab w:val="clear" w:pos="3119"/>
          <w:tab w:val="clear" w:pos="3742"/>
          <w:tab w:val="clear" w:pos="4366"/>
          <w:tab w:val="clear" w:pos="4990"/>
          <w:tab w:val="left" w:pos="2552"/>
        </w:tabs>
        <w:bidi/>
        <w:spacing w:line="360" w:lineRule="exact"/>
        <w:ind w:left="2552" w:hanging="709"/>
        <w:jc w:val="both"/>
        <w:textDirection w:val="tbRlV"/>
        <w:rPr>
          <w:rFonts w:ascii="Simplified Arabic" w:hAnsi="Simplified Arabic" w:cs="Simplified Arabic"/>
          <w:color w:val="000000" w:themeColor="text1"/>
          <w:sz w:val="24"/>
          <w:szCs w:val="24"/>
          <w:rtl/>
          <w:lang w:val="ar-SA" w:eastAsia="zh-TW" w:bidi="en-GB"/>
        </w:rPr>
      </w:pPr>
      <w:r w:rsidRPr="00984A76">
        <w:rPr>
          <w:rFonts w:ascii="Simplified Arabic" w:hAnsi="Simplified Arabic" w:cs="Simplified Arabic"/>
          <w:sz w:val="24"/>
          <w:szCs w:val="24"/>
          <w:rtl/>
        </w:rPr>
        <w:t>وبشكل عام، ارتفعت التكاليف في الفترة 2025-2026 بسبب الضرائب الإضافية، ورسوم مكافحة الإغراق، والتأثيرات الجيوسياسية على تكلفة الطاقة وتوافرها. وقد تتأثر بعض الأطراف بهذه المسائل بشكل أكبر. وقد تؤثر هذه الآثار الاقتصادية على قطاع البناء والطلب على المعدات والرغوات.</w:t>
      </w:r>
    </w:p>
    <w:p w14:paraId="42773A0D" w14:textId="472AAABC" w:rsidR="00D44330" w:rsidRPr="00984A76" w:rsidRDefault="00D44330" w:rsidP="00984A76">
      <w:pPr>
        <w:pStyle w:val="CH3"/>
        <w:bidi/>
        <w:spacing w:before="0" w:line="360" w:lineRule="exact"/>
        <w:ind w:left="1134" w:right="0" w:firstLine="0"/>
        <w:jc w:val="both"/>
        <w:textDirection w:val="tbRlV"/>
        <w:rPr>
          <w:rFonts w:ascii="Simplified Arabic" w:hAnsi="Simplified Arabic" w:cs="Simplified Arabic"/>
          <w:i/>
          <w:iCs/>
          <w:color w:val="000000" w:themeColor="text1"/>
          <w:sz w:val="24"/>
          <w:szCs w:val="24"/>
          <w:rtl/>
          <w:lang w:val="ar-SA" w:eastAsia="zh-TW" w:bidi="en-GB"/>
        </w:rPr>
      </w:pPr>
      <w:r w:rsidRPr="00984A76">
        <w:rPr>
          <w:rFonts w:ascii="Simplified Arabic" w:hAnsi="Simplified Arabic" w:cs="Simplified Arabic"/>
          <w:bCs/>
          <w:i/>
          <w:iCs/>
          <w:sz w:val="24"/>
          <w:szCs w:val="24"/>
          <w:rtl/>
        </w:rPr>
        <w:t>لجنة الخيارات التقنية لبروميد الميثيل</w:t>
      </w:r>
    </w:p>
    <w:p w14:paraId="72FAE9B9" w14:textId="77777777" w:rsidR="00D44330" w:rsidRPr="00087C24" w:rsidRDefault="00D44330" w:rsidP="00984A76">
      <w:pPr>
        <w:pStyle w:val="NormalNonumber"/>
        <w:bidi/>
        <w:spacing w:line="360" w:lineRule="exact"/>
        <w:ind w:left="1134"/>
        <w:jc w:val="both"/>
        <w:textDirection w:val="tbRlV"/>
        <w:rPr>
          <w:rFonts w:ascii="Simplified Arabic" w:hAnsi="Simplified Arabic" w:cs="Simplified Arabic"/>
          <w:color w:val="000000" w:themeColor="text1"/>
          <w:sz w:val="24"/>
          <w:szCs w:val="24"/>
          <w:lang w:val="en-GB" w:eastAsia="zh-TW" w:bidi="en-GB"/>
        </w:rPr>
      </w:pPr>
      <w:r w:rsidRPr="00984A76">
        <w:rPr>
          <w:rFonts w:ascii="Simplified Arabic" w:hAnsi="Simplified Arabic" w:cs="Simplified Arabic"/>
          <w:sz w:val="24"/>
          <w:szCs w:val="24"/>
          <w:rtl/>
        </w:rPr>
        <w:t>يرد التقرير المرحلي للجنة الخيارات التقنية لبروميد الميثيل في الفصل 4 من هذا التقرير، ويتضمن المستجدات التالية:</w:t>
      </w:r>
    </w:p>
    <w:p w14:paraId="1EE558B8" w14:textId="305BA2D6" w:rsidR="00D44330" w:rsidRPr="00984A76" w:rsidRDefault="00D44330" w:rsidP="001E2851">
      <w:pPr>
        <w:pStyle w:val="NormalNonumber"/>
        <w:numPr>
          <w:ilvl w:val="0"/>
          <w:numId w:val="42"/>
        </w:numPr>
        <w:tabs>
          <w:tab w:val="clear" w:pos="624"/>
          <w:tab w:val="clear" w:pos="1247"/>
          <w:tab w:val="clear" w:pos="1871"/>
          <w:tab w:val="clear" w:pos="2495"/>
          <w:tab w:val="clear" w:pos="3119"/>
          <w:tab w:val="clear" w:pos="3742"/>
          <w:tab w:val="clear" w:pos="4366"/>
          <w:tab w:val="clear" w:pos="4990"/>
          <w:tab w:val="left" w:pos="2552"/>
        </w:tabs>
        <w:bidi/>
        <w:spacing w:line="360" w:lineRule="exact"/>
        <w:ind w:left="2552" w:hanging="709"/>
        <w:jc w:val="both"/>
        <w:textDirection w:val="tbRlV"/>
        <w:rPr>
          <w:rFonts w:ascii="Simplified Arabic" w:hAnsi="Simplified Arabic" w:cs="Simplified Arabic"/>
          <w:color w:val="000000" w:themeColor="text1"/>
          <w:sz w:val="24"/>
          <w:szCs w:val="24"/>
          <w:rtl/>
          <w:lang w:val="ar-SA" w:eastAsia="zh-TW" w:bidi="en-GB"/>
        </w:rPr>
      </w:pPr>
      <w:r w:rsidRPr="00984A76">
        <w:rPr>
          <w:rFonts w:ascii="Simplified Arabic" w:hAnsi="Simplified Arabic" w:cs="Simplified Arabic"/>
          <w:sz w:val="24"/>
          <w:szCs w:val="24"/>
          <w:rtl/>
        </w:rPr>
        <w:t xml:space="preserve">اكتمل التخلص التدريجي من بروميد الميثيل في الاستخدامات الخاضعة للرقابة غير المتعلقة بالحجر الصحي وتطبيقات ما قبل الشحن مع تلقي آخر ترشيح للاستخدامات الحرجة في عام 2025. وإلى جانب التخلص التدريجي من بروميد الميثيل الذي أمكن تحقيقه قبل بدء عملية تقديم ترشيحات الاستخدامات الحرجة، أدى ذلك إلى التخلص التدريجي من زهاء 000 62 طن من بروميد الميثيل على الصعيد العالمي على مدار 30 عامًا. ولم تقدم أي ترشيحات جديدة للاستخدامات الحرجة في عام 2026. </w:t>
      </w:r>
    </w:p>
    <w:p w14:paraId="5F893DB8" w14:textId="2072C75B" w:rsidR="00D44330" w:rsidRPr="00984A76" w:rsidRDefault="00D44330" w:rsidP="001E2851">
      <w:pPr>
        <w:pStyle w:val="NormalNonumber"/>
        <w:numPr>
          <w:ilvl w:val="0"/>
          <w:numId w:val="42"/>
        </w:numPr>
        <w:tabs>
          <w:tab w:val="clear" w:pos="624"/>
          <w:tab w:val="clear" w:pos="1247"/>
          <w:tab w:val="clear" w:pos="1871"/>
          <w:tab w:val="clear" w:pos="2495"/>
          <w:tab w:val="clear" w:pos="3119"/>
          <w:tab w:val="clear" w:pos="3742"/>
          <w:tab w:val="clear" w:pos="4366"/>
          <w:tab w:val="clear" w:pos="4990"/>
          <w:tab w:val="left" w:pos="2552"/>
        </w:tabs>
        <w:bidi/>
        <w:spacing w:line="360" w:lineRule="exact"/>
        <w:ind w:left="2552" w:hanging="709"/>
        <w:jc w:val="both"/>
        <w:textDirection w:val="tbRlV"/>
        <w:rPr>
          <w:rFonts w:ascii="Simplified Arabic" w:hAnsi="Simplified Arabic" w:cs="Simplified Arabic"/>
          <w:color w:val="000000" w:themeColor="text1"/>
          <w:sz w:val="24"/>
          <w:szCs w:val="24"/>
          <w:rtl/>
          <w:lang w:val="ar-SA" w:eastAsia="zh-TW" w:bidi="en-GB"/>
        </w:rPr>
      </w:pPr>
      <w:r w:rsidRPr="00984A76">
        <w:rPr>
          <w:rFonts w:ascii="Simplified Arabic" w:hAnsi="Simplified Arabic" w:cs="Simplified Arabic"/>
          <w:sz w:val="24"/>
          <w:szCs w:val="24"/>
          <w:rtl/>
        </w:rPr>
        <w:t xml:space="preserve">الإنتاج العالمي المبلغ عنه من بروميد الميثيل لتطبيقات الحجر الصحي وتطبيقات ما قبل الشحن في عام 2024 بلغ 935 8 طن. وبلغ الاستهلاك المُبلغ عنه في تطبيقات الحجر الصحي وتطبيقات ما قبل الشحن في عام 2024 زهاء 000 8 طنًا من بروميد الميثيل (أقل بنحو 900 طن عن الإنتاج المُبلغ عنه). وهناك أدلة تشير إلى انتشار واسع النطاق لاستخدام بدائل بروميد الميثيل في تطبيقات الحجر الصحي وتطبيقات ما قبل الشحن لدى بعض الأطراف </w:t>
      </w:r>
      <w:r w:rsidRPr="00984A76">
        <w:rPr>
          <w:rFonts w:ascii="Simplified Arabic" w:hAnsi="Simplified Arabic" w:cs="Simplified Arabic"/>
          <w:sz w:val="24"/>
          <w:szCs w:val="24"/>
          <w:rtl/>
        </w:rPr>
        <w:lastRenderedPageBreak/>
        <w:t>خلال السنوات القليلة الماضية. ومع ذلك، لا تزال هناك بعض المجالات التي تثير القلق بشكل واضح، ومن ذلك أن تركيزات بروميد الميثيل في الغلاف الجوي توقفت عن الانخفاض مع استمرار تطبيقات الحجر الصحي وتطبيقات ما قبل الشحن. وخلال السنوات الأخيرة، كانت التقارير ببروميد الميثيل التي قدمتها بعض الأطراف صعبة الفهم، مما استلزم متابعة من جانب لجنة الخيارات التقنية لبروميد الميثيل وأمانة الأوزون لمراجعة الأخطاء المحتملة. وتعد دقة البيانات المُبلغ عنها أمرًا ضروريًا لتمكين فريق التقييم التكنولوجي والاقتصادي من مقارنة التقديرات التصاعدية والتنازلية لانبعاثات بروميد الميثيل.</w:t>
      </w:r>
    </w:p>
    <w:p w14:paraId="2F11A27F" w14:textId="7C2DD667" w:rsidR="00D44330" w:rsidRPr="00984A76" w:rsidRDefault="00D44330" w:rsidP="001E2851">
      <w:pPr>
        <w:pStyle w:val="NormalNonumber"/>
        <w:numPr>
          <w:ilvl w:val="0"/>
          <w:numId w:val="42"/>
        </w:numPr>
        <w:tabs>
          <w:tab w:val="clear" w:pos="624"/>
          <w:tab w:val="clear" w:pos="1247"/>
          <w:tab w:val="clear" w:pos="1871"/>
          <w:tab w:val="clear" w:pos="2495"/>
          <w:tab w:val="clear" w:pos="3119"/>
          <w:tab w:val="clear" w:pos="3742"/>
          <w:tab w:val="clear" w:pos="4366"/>
          <w:tab w:val="clear" w:pos="4990"/>
          <w:tab w:val="left" w:pos="2552"/>
        </w:tabs>
        <w:bidi/>
        <w:spacing w:line="360" w:lineRule="exact"/>
        <w:ind w:left="2552" w:hanging="709"/>
        <w:jc w:val="both"/>
        <w:textDirection w:val="tbRlV"/>
        <w:rPr>
          <w:rFonts w:ascii="Simplified Arabic" w:hAnsi="Simplified Arabic" w:cs="Simplified Arabic"/>
          <w:color w:val="000000" w:themeColor="text1"/>
          <w:sz w:val="24"/>
          <w:szCs w:val="24"/>
          <w:rtl/>
          <w:lang w:val="ar-SA" w:eastAsia="zh-TW" w:bidi="en-GB"/>
        </w:rPr>
      </w:pPr>
      <w:r w:rsidRPr="00984A76">
        <w:rPr>
          <w:rFonts w:ascii="Simplified Arabic" w:hAnsi="Simplified Arabic" w:cs="Simplified Arabic"/>
          <w:sz w:val="24"/>
          <w:szCs w:val="24"/>
          <w:rtl/>
        </w:rPr>
        <w:t>أظهرت الدراسات الاستقصائية الأخيرة وجود استخدامات غير مُبلغ عنها لبروميد الميثيل في قطاعات لم تتم الموافقة على استخدامه فيها استخداماً خاضعاً للرقابة، ولم يُستثنى بوصفه استخداماً في تطبيقات الحجر الصحي وتطبيقات ما قبل الشحن. وقد أثارت منشورات صادرة من الصين مخاوف بشأن انبعاثات بروميد الميثيل غير المبررة، ولا توجد أي توضيحات إضافية بشأن مصدرها (~</w:t>
      </w:r>
      <w:r w:rsidR="00085E49" w:rsidRPr="00087C24">
        <w:rPr>
          <w:rFonts w:ascii="Simplified Arabic" w:hAnsi="Simplified Arabic" w:cs="Simplified Arabic"/>
          <w:sz w:val="24"/>
          <w:szCs w:val="24"/>
          <w:lang w:val="en-GB"/>
        </w:rPr>
        <w:t>4 000</w:t>
      </w:r>
      <w:r w:rsidRPr="00984A76">
        <w:rPr>
          <w:rFonts w:ascii="Simplified Arabic" w:hAnsi="Simplified Arabic" w:cs="Simplified Arabic"/>
          <w:sz w:val="24"/>
          <w:szCs w:val="24"/>
          <w:rtl/>
        </w:rPr>
        <w:t>-</w:t>
      </w:r>
      <w:r w:rsidR="00085E49" w:rsidRPr="00087C24">
        <w:rPr>
          <w:rFonts w:ascii="Simplified Arabic" w:hAnsi="Simplified Arabic" w:cs="Simplified Arabic"/>
          <w:sz w:val="24"/>
          <w:szCs w:val="24"/>
          <w:lang w:val="en-GB"/>
        </w:rPr>
        <w:t>9 000</w:t>
      </w:r>
      <w:r w:rsidRPr="00984A76">
        <w:rPr>
          <w:rFonts w:ascii="Simplified Arabic" w:hAnsi="Simplified Arabic" w:cs="Simplified Arabic"/>
          <w:sz w:val="24"/>
          <w:szCs w:val="24"/>
          <w:rtl/>
        </w:rPr>
        <w:t xml:space="preserve"> طن سنويًا) (</w:t>
      </w:r>
      <w:r w:rsidRPr="00085E49">
        <w:rPr>
          <w:rFonts w:asciiTheme="majorBidi" w:hAnsiTheme="majorBidi" w:cstheme="majorBidi"/>
          <w:sz w:val="22"/>
          <w:szCs w:val="22"/>
          <w:rtl/>
        </w:rPr>
        <w:t>Hu et al., 2024</w:t>
      </w:r>
      <w:r w:rsidRPr="00984A76">
        <w:rPr>
          <w:rFonts w:ascii="Simplified Arabic" w:hAnsi="Simplified Arabic" w:cs="Simplified Arabic"/>
          <w:sz w:val="24"/>
          <w:szCs w:val="24"/>
          <w:rtl/>
        </w:rPr>
        <w:t xml:space="preserve">). </w:t>
      </w:r>
    </w:p>
    <w:p w14:paraId="5293B621" w14:textId="45353FA2" w:rsidR="00D44330" w:rsidRPr="00984A76" w:rsidRDefault="00D44330" w:rsidP="001E2851">
      <w:pPr>
        <w:pStyle w:val="NormalNonumber"/>
        <w:numPr>
          <w:ilvl w:val="0"/>
          <w:numId w:val="42"/>
        </w:numPr>
        <w:tabs>
          <w:tab w:val="clear" w:pos="624"/>
          <w:tab w:val="clear" w:pos="1247"/>
          <w:tab w:val="clear" w:pos="1871"/>
          <w:tab w:val="clear" w:pos="2495"/>
          <w:tab w:val="clear" w:pos="3119"/>
          <w:tab w:val="clear" w:pos="3742"/>
          <w:tab w:val="clear" w:pos="4366"/>
          <w:tab w:val="clear" w:pos="4990"/>
          <w:tab w:val="left" w:pos="2552"/>
        </w:tabs>
        <w:bidi/>
        <w:spacing w:line="360" w:lineRule="exact"/>
        <w:ind w:left="2552" w:hanging="709"/>
        <w:jc w:val="both"/>
        <w:textDirection w:val="tbRlV"/>
        <w:rPr>
          <w:rFonts w:ascii="Simplified Arabic" w:hAnsi="Simplified Arabic" w:cs="Simplified Arabic"/>
          <w:color w:val="000000" w:themeColor="text1"/>
          <w:sz w:val="24"/>
          <w:szCs w:val="24"/>
          <w:rtl/>
          <w:lang w:val="ar-SA" w:eastAsia="zh-TW" w:bidi="en-GB"/>
        </w:rPr>
      </w:pPr>
      <w:r w:rsidRPr="00984A76">
        <w:rPr>
          <w:rFonts w:ascii="Simplified Arabic" w:hAnsi="Simplified Arabic" w:cs="Simplified Arabic"/>
          <w:sz w:val="24"/>
          <w:szCs w:val="24"/>
          <w:rtl/>
        </w:rPr>
        <w:t>بروميد الميثيل شديد السمية للبشر، ويخضع لرقابة متزايدة في حالات التعرض المهني. وهناك العديد من الأطراف التي تستخدم بروميد الميثيل في تطبيقات الحجر الصحي وتطبيقات ما قبل الشحن تخطط أو خططت بالفعل لتطبيق تخفيضات صارمة في تركيزات بروميد الميثيل المسموح بها في أماكن العمل. وسيكون لهذا تأثير كبير على استخدام بروميد الميثيل نظراً لضرورة توفير مناطق عازلة واسعة.</w:t>
      </w:r>
    </w:p>
    <w:p w14:paraId="07BF0195" w14:textId="79CE9521" w:rsidR="00D44330" w:rsidRPr="00984A76" w:rsidRDefault="00D44330" w:rsidP="001E2851">
      <w:pPr>
        <w:pStyle w:val="NormalNonumber"/>
        <w:numPr>
          <w:ilvl w:val="0"/>
          <w:numId w:val="42"/>
        </w:numPr>
        <w:tabs>
          <w:tab w:val="clear" w:pos="624"/>
          <w:tab w:val="clear" w:pos="1247"/>
          <w:tab w:val="clear" w:pos="1871"/>
          <w:tab w:val="clear" w:pos="2495"/>
          <w:tab w:val="clear" w:pos="3119"/>
          <w:tab w:val="clear" w:pos="3742"/>
          <w:tab w:val="clear" w:pos="4366"/>
          <w:tab w:val="clear" w:pos="4990"/>
          <w:tab w:val="left" w:pos="2552"/>
        </w:tabs>
        <w:bidi/>
        <w:spacing w:line="360" w:lineRule="exact"/>
        <w:ind w:left="2552" w:hanging="709"/>
        <w:jc w:val="both"/>
        <w:textDirection w:val="tbRlV"/>
        <w:rPr>
          <w:rFonts w:ascii="Simplified Arabic" w:hAnsi="Simplified Arabic" w:cs="Simplified Arabic"/>
          <w:color w:val="000000" w:themeColor="text1"/>
          <w:sz w:val="24"/>
          <w:szCs w:val="24"/>
          <w:rtl/>
          <w:lang w:val="ar-SA" w:eastAsia="zh-TW" w:bidi="en-GB"/>
        </w:rPr>
      </w:pPr>
      <w:r w:rsidRPr="00984A76">
        <w:rPr>
          <w:rFonts w:ascii="Simplified Arabic" w:hAnsi="Simplified Arabic" w:cs="Simplified Arabic"/>
          <w:sz w:val="24"/>
          <w:szCs w:val="24"/>
          <w:rtl/>
        </w:rPr>
        <w:t>يُستثنى استخدام بروميد الميثيل في تطبيقات الحجر الصحي وتطبيقات ما قبل الشحن من الضوابط المنصوص عليها بروتوكول مونتريال. ومن المرجح أن يظل استخدام بروميد الميثيل لمكافحة آفات معينة في مجال الحجر الصحي ضرورياً على المدى الطويل في العديد من الولايات القضائية. بيد أنه توجد عدة بدائل فيما يتعلق بالاستخدامات في تطبيقات ما قبل الشحن (مثل درجات الحرارة العالية والمنخفضة، والتشعيع، والفوسفين، وفورمات الإيثيل، وسيانيد الهيدروجين، ودينيتريل الإيثان) لا تقل فعاليتها عن فعالية بروميد الميثيل، كما أنها أكثر أمانًا للبشر والبيئة والمنتجات التي تخضع للمعالجة. ولا يزال الالتباس بشأن التصنيف بين تطبيقات الحجر الصحي وتطبيقات ما قبل الشحن يمثل مشكلة للعديد من الأطراف.</w:t>
      </w:r>
    </w:p>
    <w:p w14:paraId="45AC72B1" w14:textId="20FB148F" w:rsidR="00D44330" w:rsidRPr="00984A76" w:rsidRDefault="00D44330" w:rsidP="001E2851">
      <w:pPr>
        <w:pStyle w:val="NormalNonumber"/>
        <w:numPr>
          <w:ilvl w:val="0"/>
          <w:numId w:val="42"/>
        </w:numPr>
        <w:tabs>
          <w:tab w:val="clear" w:pos="624"/>
          <w:tab w:val="clear" w:pos="1247"/>
          <w:tab w:val="clear" w:pos="1871"/>
          <w:tab w:val="clear" w:pos="2495"/>
          <w:tab w:val="clear" w:pos="3119"/>
          <w:tab w:val="clear" w:pos="3742"/>
          <w:tab w:val="clear" w:pos="4366"/>
          <w:tab w:val="clear" w:pos="4990"/>
          <w:tab w:val="left" w:pos="2552"/>
        </w:tabs>
        <w:bidi/>
        <w:spacing w:line="360" w:lineRule="exact"/>
        <w:ind w:left="2552" w:hanging="709"/>
        <w:jc w:val="both"/>
        <w:textDirection w:val="tbRlV"/>
        <w:rPr>
          <w:rFonts w:ascii="Simplified Arabic" w:hAnsi="Simplified Arabic" w:cs="Simplified Arabic"/>
          <w:color w:val="000000" w:themeColor="text1"/>
          <w:sz w:val="24"/>
          <w:szCs w:val="24"/>
          <w:rtl/>
          <w:lang w:val="ar-SA" w:eastAsia="zh-TW" w:bidi="en-GB"/>
        </w:rPr>
      </w:pPr>
      <w:r w:rsidRPr="00984A76">
        <w:rPr>
          <w:rFonts w:ascii="Simplified Arabic" w:hAnsi="Simplified Arabic" w:cs="Simplified Arabic"/>
          <w:sz w:val="24"/>
          <w:szCs w:val="24"/>
          <w:rtl/>
        </w:rPr>
        <w:t>قد ترغب الأطراف في النظر في كيفية التركيز بشكل أكبر على سبل منع الانبعاثات الناتجة عن الاستخدامات في تطبيقات الحجر الصحي وتطبيقات ما قبل الشحن، والحد من الإعفاءات المتعلقة ببروميد الميثيل المتعلقة باستخدامات ما قبل الشحن، ومنع إساءة استخدام بروميد الميثيل غير المخصص لتطبيقات الحجر الصحي وتطبيقات ما قبل الشحن من خلال توضيح استخدامات الحجر الصحي والتركيز عليها حصريًّا. ومن شأن ذلك أن يمنع انبعاثات تعادل كميتها الكمية التي أمكن خفضها نتيجة للتخلص التدريجي من بروميد الميثيل في إطار عملية ترشيحات الاستخدامات الحرجة.</w:t>
      </w:r>
    </w:p>
    <w:p w14:paraId="03B8C7AC" w14:textId="4D3EF10C" w:rsidR="00D44330" w:rsidRPr="00984A76" w:rsidRDefault="00D44330" w:rsidP="00984A76">
      <w:pPr>
        <w:pStyle w:val="CH2"/>
        <w:bidi/>
        <w:spacing w:before="0" w:line="360" w:lineRule="exact"/>
        <w:ind w:left="1134" w:right="0" w:firstLine="0"/>
        <w:jc w:val="both"/>
        <w:textDirection w:val="tbRlV"/>
        <w:rPr>
          <w:rFonts w:ascii="Simplified Arabic" w:hAnsi="Simplified Arabic" w:cs="Simplified Arabic"/>
          <w:i/>
          <w:iCs/>
          <w:color w:val="000000" w:themeColor="text1"/>
          <w:rtl/>
          <w:lang w:val="ar-SA" w:eastAsia="zh-TW" w:bidi="en-GB"/>
        </w:rPr>
      </w:pPr>
      <w:r w:rsidRPr="00984A76">
        <w:rPr>
          <w:rFonts w:ascii="Simplified Arabic" w:hAnsi="Simplified Arabic" w:cs="Simplified Arabic"/>
          <w:bCs/>
          <w:i/>
          <w:iCs/>
          <w:rtl/>
        </w:rPr>
        <w:t>لجنة الخيارات التقنية الطبية والكيميائية</w:t>
      </w:r>
    </w:p>
    <w:p w14:paraId="62D0BD04" w14:textId="77777777" w:rsidR="00D44330" w:rsidRPr="00984A76" w:rsidRDefault="00D44330" w:rsidP="00984A76">
      <w:pPr>
        <w:pStyle w:val="NormalNonumber"/>
        <w:bidi/>
        <w:spacing w:line="360" w:lineRule="exact"/>
        <w:ind w:left="1134"/>
        <w:jc w:val="both"/>
        <w:textDirection w:val="tbRlV"/>
        <w:rPr>
          <w:rFonts w:ascii="Simplified Arabic" w:hAnsi="Simplified Arabic" w:cs="Simplified Arabic"/>
          <w:color w:val="000000" w:themeColor="text1"/>
          <w:sz w:val="24"/>
          <w:szCs w:val="24"/>
          <w:rtl/>
          <w:lang w:val="ar-SA" w:eastAsia="zh-TW" w:bidi="en-GB"/>
        </w:rPr>
      </w:pPr>
      <w:r w:rsidRPr="00984A76">
        <w:rPr>
          <w:rFonts w:ascii="Simplified Arabic" w:hAnsi="Simplified Arabic" w:cs="Simplified Arabic"/>
          <w:sz w:val="24"/>
          <w:szCs w:val="24"/>
          <w:rtl/>
        </w:rPr>
        <w:t>يرد التقرير المرحلي للجنة الخيارات التقنية الطبية والكيميائية في الفصل 5 من هذا التقرير، ويتضمن ما يلي:</w:t>
      </w:r>
    </w:p>
    <w:p w14:paraId="7CF030BF" w14:textId="0FA3EB2D" w:rsidR="00D44330" w:rsidRPr="00024458" w:rsidRDefault="00D44330" w:rsidP="00632FB1">
      <w:pPr>
        <w:pStyle w:val="NormalNonumber"/>
        <w:numPr>
          <w:ilvl w:val="0"/>
          <w:numId w:val="42"/>
        </w:numPr>
        <w:tabs>
          <w:tab w:val="clear" w:pos="624"/>
          <w:tab w:val="clear" w:pos="1247"/>
          <w:tab w:val="clear" w:pos="1871"/>
          <w:tab w:val="clear" w:pos="2495"/>
          <w:tab w:val="clear" w:pos="3119"/>
          <w:tab w:val="clear" w:pos="3742"/>
          <w:tab w:val="clear" w:pos="4366"/>
          <w:tab w:val="clear" w:pos="4990"/>
          <w:tab w:val="left" w:pos="2552"/>
        </w:tabs>
        <w:bidi/>
        <w:spacing w:line="360" w:lineRule="exact"/>
        <w:ind w:left="2552" w:hanging="709"/>
        <w:jc w:val="lowKashida"/>
        <w:textDirection w:val="tbRlV"/>
        <w:rPr>
          <w:rFonts w:ascii="Simplified Arabic" w:hAnsi="Simplified Arabic" w:cs="Simplified Arabic"/>
          <w:sz w:val="24"/>
          <w:szCs w:val="24"/>
          <w:rtl/>
          <w:lang w:bidi="en-GB"/>
        </w:rPr>
      </w:pPr>
      <w:r w:rsidRPr="00984A76">
        <w:rPr>
          <w:rFonts w:ascii="Simplified Arabic" w:hAnsi="Simplified Arabic" w:cs="Simplified Arabic"/>
          <w:sz w:val="24"/>
          <w:szCs w:val="24"/>
          <w:rtl/>
        </w:rPr>
        <w:t xml:space="preserve">معلومات محدثة عن إنتاج واستخدام المواد الخاضعة للرقابة كمواد أولية كيميائية؛ </w:t>
      </w:r>
    </w:p>
    <w:p w14:paraId="258AF79D" w14:textId="0BB431DC" w:rsidR="00D44330" w:rsidRPr="00024458" w:rsidRDefault="00D44330" w:rsidP="00632FB1">
      <w:pPr>
        <w:pStyle w:val="NormalNonumber"/>
        <w:numPr>
          <w:ilvl w:val="0"/>
          <w:numId w:val="42"/>
        </w:numPr>
        <w:tabs>
          <w:tab w:val="clear" w:pos="624"/>
          <w:tab w:val="clear" w:pos="1247"/>
          <w:tab w:val="clear" w:pos="1871"/>
          <w:tab w:val="clear" w:pos="2495"/>
          <w:tab w:val="clear" w:pos="3119"/>
          <w:tab w:val="clear" w:pos="3742"/>
          <w:tab w:val="clear" w:pos="4366"/>
          <w:tab w:val="clear" w:pos="4990"/>
          <w:tab w:val="left" w:pos="2552"/>
        </w:tabs>
        <w:bidi/>
        <w:spacing w:line="360" w:lineRule="exact"/>
        <w:ind w:left="2552" w:hanging="709"/>
        <w:jc w:val="lowKashida"/>
        <w:textDirection w:val="tbRlV"/>
        <w:rPr>
          <w:rFonts w:ascii="Simplified Arabic" w:hAnsi="Simplified Arabic" w:cs="Simplified Arabic"/>
          <w:sz w:val="24"/>
          <w:szCs w:val="24"/>
          <w:rtl/>
          <w:lang w:bidi="en-GB"/>
        </w:rPr>
      </w:pPr>
      <w:r w:rsidRPr="00984A76">
        <w:rPr>
          <w:rFonts w:ascii="Simplified Arabic" w:hAnsi="Simplified Arabic" w:cs="Simplified Arabic"/>
          <w:sz w:val="24"/>
          <w:szCs w:val="24"/>
          <w:rtl/>
        </w:rPr>
        <w:lastRenderedPageBreak/>
        <w:t>تقييم وتوصية بشأن تكنولوجيا تدمير قدمتها كندا إلى فريق التقييم التكنولوجي والاقتصادي لاستعراضها وللنظر فيها من قبل الأطراف، بهدف الاعتراف بها كتكنولوجيا تدمير معتمدة في إطار بروتوكول مونتريال؛</w:t>
      </w:r>
    </w:p>
    <w:p w14:paraId="5F4A0EFC" w14:textId="4F4ECFF3" w:rsidR="00D44330" w:rsidRPr="00984A76" w:rsidRDefault="00D44330" w:rsidP="00632FB1">
      <w:pPr>
        <w:pStyle w:val="NormalNonumber"/>
        <w:numPr>
          <w:ilvl w:val="0"/>
          <w:numId w:val="42"/>
        </w:numPr>
        <w:tabs>
          <w:tab w:val="clear" w:pos="624"/>
          <w:tab w:val="clear" w:pos="1247"/>
          <w:tab w:val="clear" w:pos="1871"/>
          <w:tab w:val="clear" w:pos="2495"/>
          <w:tab w:val="clear" w:pos="3119"/>
          <w:tab w:val="clear" w:pos="3742"/>
          <w:tab w:val="clear" w:pos="4366"/>
          <w:tab w:val="clear" w:pos="4990"/>
          <w:tab w:val="left" w:pos="2552"/>
        </w:tabs>
        <w:bidi/>
        <w:spacing w:line="360" w:lineRule="exact"/>
        <w:ind w:left="2552" w:hanging="709"/>
        <w:jc w:val="lowKashida"/>
        <w:textDirection w:val="tbRlV"/>
        <w:rPr>
          <w:rFonts w:ascii="Simplified Arabic" w:hAnsi="Simplified Arabic" w:cs="Simplified Arabic"/>
          <w:color w:val="000000" w:themeColor="text1"/>
          <w:sz w:val="24"/>
          <w:szCs w:val="24"/>
          <w:rtl/>
          <w:lang w:val="ar-SA" w:eastAsia="zh-TW" w:bidi="en-GB"/>
        </w:rPr>
      </w:pPr>
      <w:r w:rsidRPr="00984A76">
        <w:rPr>
          <w:rFonts w:ascii="Simplified Arabic" w:hAnsi="Simplified Arabic" w:cs="Simplified Arabic"/>
          <w:sz w:val="24"/>
          <w:szCs w:val="24"/>
          <w:rtl/>
        </w:rPr>
        <w:t>التطورات المتعلقة بالبخاخات المحددة الجرعات التي تستخدم مواد دافعة منخفضة القدرة على إحداث الاحترار العالمي استجابةً للمقرر 36/6.</w:t>
      </w:r>
    </w:p>
    <w:p w14:paraId="372DC84B" w14:textId="77777777" w:rsidR="00D44330" w:rsidRPr="00984A76" w:rsidRDefault="00D44330" w:rsidP="00984A76">
      <w:pPr>
        <w:pStyle w:val="NormalNonumber"/>
        <w:bidi/>
        <w:spacing w:line="360" w:lineRule="exact"/>
        <w:ind w:left="1134"/>
        <w:jc w:val="both"/>
        <w:textDirection w:val="tbRlV"/>
        <w:rPr>
          <w:rFonts w:ascii="Simplified Arabic" w:hAnsi="Simplified Arabic" w:cs="Simplified Arabic"/>
          <w:color w:val="000000" w:themeColor="text1"/>
          <w:sz w:val="24"/>
          <w:szCs w:val="24"/>
          <w:rtl/>
          <w:lang w:val="ar-SA" w:eastAsia="zh-TW" w:bidi="en-GB"/>
        </w:rPr>
      </w:pPr>
      <w:r w:rsidRPr="00984A76">
        <w:rPr>
          <w:rFonts w:ascii="Simplified Arabic" w:hAnsi="Simplified Arabic" w:cs="Simplified Arabic"/>
          <w:sz w:val="24"/>
          <w:szCs w:val="24"/>
          <w:rtl/>
        </w:rPr>
        <w:t>ولم تحدد لجنة الخيارات التقنية الطبية والكيميائية معلومات جديدة مقنعة لإبلاغ الأطراف بها في هذا التقرير المرحلي عن التطورات في استخدامات عوامل المعالجة، وبروميد البروبيل، والاستخدامات المختبرية والتحليلية.</w:t>
      </w:r>
    </w:p>
    <w:p w14:paraId="7269AA8D" w14:textId="77777777" w:rsidR="00D44330" w:rsidRPr="00984A76" w:rsidRDefault="00D44330" w:rsidP="00984A76">
      <w:pPr>
        <w:pStyle w:val="NormalNonumber"/>
        <w:keepNext/>
        <w:keepLines/>
        <w:bidi/>
        <w:spacing w:line="360" w:lineRule="exact"/>
        <w:ind w:left="1134"/>
        <w:jc w:val="both"/>
        <w:textDirection w:val="tbRlV"/>
        <w:rPr>
          <w:rFonts w:ascii="Simplified Arabic" w:hAnsi="Simplified Arabic" w:cs="Simplified Arabic"/>
          <w:b/>
          <w:bCs/>
          <w:color w:val="000000" w:themeColor="text1"/>
          <w:sz w:val="24"/>
          <w:szCs w:val="24"/>
          <w:rtl/>
          <w:lang w:val="ar-SA" w:eastAsia="zh-TW" w:bidi="en-GB"/>
        </w:rPr>
      </w:pPr>
      <w:r w:rsidRPr="00984A76">
        <w:rPr>
          <w:rFonts w:ascii="Simplified Arabic" w:hAnsi="Simplified Arabic" w:cs="Simplified Arabic"/>
          <w:b/>
          <w:bCs/>
          <w:sz w:val="24"/>
          <w:szCs w:val="24"/>
          <w:rtl/>
        </w:rPr>
        <w:t>المواد الأولية</w:t>
      </w:r>
    </w:p>
    <w:p w14:paraId="5AC0E419" w14:textId="6A53BBD5" w:rsidR="00D44330" w:rsidRPr="00024458" w:rsidRDefault="00D44330" w:rsidP="001E2851">
      <w:pPr>
        <w:pStyle w:val="NormalNonumber"/>
        <w:numPr>
          <w:ilvl w:val="0"/>
          <w:numId w:val="42"/>
        </w:numPr>
        <w:tabs>
          <w:tab w:val="clear" w:pos="624"/>
          <w:tab w:val="clear" w:pos="1247"/>
          <w:tab w:val="clear" w:pos="1871"/>
          <w:tab w:val="clear" w:pos="2495"/>
          <w:tab w:val="clear" w:pos="3119"/>
          <w:tab w:val="clear" w:pos="3742"/>
          <w:tab w:val="clear" w:pos="4366"/>
          <w:tab w:val="clear" w:pos="4990"/>
          <w:tab w:val="left" w:pos="2552"/>
        </w:tabs>
        <w:bidi/>
        <w:spacing w:line="360" w:lineRule="exact"/>
        <w:ind w:left="2552" w:hanging="709"/>
        <w:jc w:val="both"/>
        <w:textDirection w:val="tbRlV"/>
        <w:rPr>
          <w:rFonts w:ascii="Simplified Arabic" w:hAnsi="Simplified Arabic" w:cs="Simplified Arabic"/>
          <w:sz w:val="24"/>
          <w:szCs w:val="24"/>
          <w:rtl/>
          <w:lang w:bidi="en-GB"/>
        </w:rPr>
      </w:pPr>
      <w:r w:rsidRPr="00984A76">
        <w:rPr>
          <w:rFonts w:ascii="Simplified Arabic" w:hAnsi="Simplified Arabic" w:cs="Simplified Arabic"/>
          <w:sz w:val="24"/>
          <w:szCs w:val="24"/>
          <w:rtl/>
        </w:rPr>
        <w:t xml:space="preserve">قُدمت إلى لجنة الخيارات التقنية الطبية والكيمائية البيانات التي أبلغت بها الأطراف أمانة الأوزون عن إنتاج واستيراد المواد الخاضعة للرقابة المستخدمة كمواد أولية للسنوات حتى عام </w:t>
      </w:r>
      <w:r w:rsidR="00085E49" w:rsidRPr="00087C24">
        <w:rPr>
          <w:rFonts w:ascii="Simplified Arabic" w:hAnsi="Simplified Arabic" w:cs="Simplified Arabic"/>
          <w:sz w:val="24"/>
          <w:szCs w:val="24"/>
          <w:lang w:val="en-GB"/>
        </w:rPr>
        <w:t>2024</w:t>
      </w:r>
      <w:r w:rsidRPr="00984A76">
        <w:rPr>
          <w:rFonts w:ascii="Simplified Arabic" w:hAnsi="Simplified Arabic" w:cs="Simplified Arabic"/>
          <w:sz w:val="24"/>
          <w:szCs w:val="24"/>
          <w:rtl/>
        </w:rPr>
        <w:t xml:space="preserve">. </w:t>
      </w:r>
    </w:p>
    <w:p w14:paraId="34FB7D1B" w14:textId="058E34E4" w:rsidR="00D44330" w:rsidRPr="00024458" w:rsidRDefault="00D44330" w:rsidP="00632FB1">
      <w:pPr>
        <w:pStyle w:val="NormalNonumber"/>
        <w:numPr>
          <w:ilvl w:val="0"/>
          <w:numId w:val="42"/>
        </w:numPr>
        <w:tabs>
          <w:tab w:val="clear" w:pos="624"/>
          <w:tab w:val="clear" w:pos="1247"/>
          <w:tab w:val="clear" w:pos="1871"/>
          <w:tab w:val="clear" w:pos="2495"/>
          <w:tab w:val="clear" w:pos="3119"/>
          <w:tab w:val="clear" w:pos="3742"/>
          <w:tab w:val="clear" w:pos="4366"/>
          <w:tab w:val="clear" w:pos="4990"/>
          <w:tab w:val="left" w:pos="2552"/>
        </w:tabs>
        <w:bidi/>
        <w:spacing w:line="360" w:lineRule="exact"/>
        <w:ind w:left="2552" w:hanging="709"/>
        <w:jc w:val="both"/>
        <w:textDirection w:val="tbRlV"/>
        <w:rPr>
          <w:rFonts w:ascii="Simplified Arabic" w:hAnsi="Simplified Arabic" w:cs="Simplified Arabic"/>
          <w:sz w:val="24"/>
          <w:szCs w:val="24"/>
          <w:rtl/>
          <w:lang w:bidi="en-GB"/>
        </w:rPr>
      </w:pPr>
      <w:r w:rsidRPr="00984A76">
        <w:rPr>
          <w:rFonts w:ascii="Simplified Arabic" w:hAnsi="Simplified Arabic" w:cs="Simplified Arabic"/>
          <w:sz w:val="24"/>
          <w:szCs w:val="24"/>
          <w:rtl/>
        </w:rPr>
        <w:t xml:space="preserve">وفي عام 2024، بلغ إجمالي الإنتاج والواردات المُبلغ عنها لاستخدامات المواد المستنفدة لطبقة الأوزون كمواد أولية (بما في ذلك عوامل المعالجة) 949 947 1 طن، وهو ما يمثل انخفاضًا طفيفًا مقارنة بالكمية المبلغ عنها في عام 2023 (768 965 1 طن). ويعد مركب الكربون الهيدروكلوري فلوري-22، بفارق كبير، أكبر مادة أولية مستخدمة، حيث إن الكمية المُبلغ عنها في عام 2024 بلغت 395 990 طنًا، وهو ما يمثل زيادة عن الكمية المُعدلة المُبلغ عنها لعام 2023 (084 978 طنًا). </w:t>
      </w:r>
    </w:p>
    <w:p w14:paraId="2EFB4F79" w14:textId="02CAB109" w:rsidR="00D44330" w:rsidRPr="00984A76" w:rsidRDefault="00D44330" w:rsidP="001E2851">
      <w:pPr>
        <w:pStyle w:val="NormalNonumber"/>
        <w:numPr>
          <w:ilvl w:val="0"/>
          <w:numId w:val="42"/>
        </w:numPr>
        <w:tabs>
          <w:tab w:val="clear" w:pos="624"/>
          <w:tab w:val="clear" w:pos="1247"/>
          <w:tab w:val="clear" w:pos="1871"/>
          <w:tab w:val="clear" w:pos="2495"/>
          <w:tab w:val="clear" w:pos="3119"/>
          <w:tab w:val="clear" w:pos="3742"/>
          <w:tab w:val="clear" w:pos="4366"/>
          <w:tab w:val="clear" w:pos="4990"/>
          <w:tab w:val="left" w:pos="2552"/>
        </w:tabs>
        <w:bidi/>
        <w:spacing w:line="360" w:lineRule="exact"/>
        <w:ind w:left="2552" w:hanging="709"/>
        <w:jc w:val="lowKashida"/>
        <w:textDirection w:val="tbRlV"/>
        <w:rPr>
          <w:rFonts w:ascii="Simplified Arabic" w:hAnsi="Simplified Arabic" w:cs="Simplified Arabic"/>
          <w:color w:val="000000" w:themeColor="text1"/>
          <w:sz w:val="24"/>
          <w:szCs w:val="24"/>
          <w:rtl/>
          <w:lang w:val="ar-SA" w:eastAsia="zh-TW" w:bidi="en-GB"/>
        </w:rPr>
      </w:pPr>
      <w:r w:rsidRPr="00984A76">
        <w:rPr>
          <w:rFonts w:ascii="Simplified Arabic" w:hAnsi="Simplified Arabic" w:cs="Simplified Arabic"/>
          <w:sz w:val="24"/>
          <w:szCs w:val="24"/>
          <w:rtl/>
        </w:rPr>
        <w:t>بلغت الكميات المُبلغ عنها من مركبات الكربون الهيدروفلورية المنتجة لاستخدامها كمواد أولية 539 183 طنًا في عام 2023 و326 211 طنًا في عام 2024. وتُعزى الزيادة في إنتاج هذه المركبات للاستخدام كمواد أولية في عام 2024 بشكل رئيسي إلى مركب الكربون الهيدروفلوري-</w:t>
      </w:r>
      <w:r w:rsidRPr="000A186E">
        <w:rPr>
          <w:rFonts w:asciiTheme="majorBidi" w:hAnsiTheme="majorBidi" w:cstheme="majorBidi"/>
          <w:sz w:val="22"/>
          <w:szCs w:val="22"/>
          <w:rtl/>
        </w:rPr>
        <w:t>152a</w:t>
      </w:r>
      <w:r w:rsidRPr="00984A76">
        <w:rPr>
          <w:rFonts w:ascii="Simplified Arabic" w:hAnsi="Simplified Arabic" w:cs="Simplified Arabic"/>
          <w:sz w:val="24"/>
          <w:szCs w:val="24"/>
          <w:rtl/>
        </w:rPr>
        <w:t>، مع ازدياد استخدام مركب الكربون الهيدروفلوري-</w:t>
      </w:r>
      <w:r w:rsidRPr="00085E49">
        <w:rPr>
          <w:rFonts w:asciiTheme="majorBidi" w:hAnsiTheme="majorBidi" w:cstheme="majorBidi"/>
          <w:sz w:val="22"/>
          <w:szCs w:val="22"/>
          <w:rtl/>
        </w:rPr>
        <w:t>236ea</w:t>
      </w:r>
      <w:r w:rsidRPr="00984A76">
        <w:rPr>
          <w:rFonts w:ascii="Simplified Arabic" w:hAnsi="Simplified Arabic" w:cs="Simplified Arabic"/>
          <w:sz w:val="24"/>
          <w:szCs w:val="24"/>
          <w:rtl/>
        </w:rPr>
        <w:t xml:space="preserve"> المبلغ عنه أيضًا إلى النطاق الذي يتراوح بين 000 1 و000 10 طن في عام 2024.</w:t>
      </w:r>
    </w:p>
    <w:p w14:paraId="7A24A68D" w14:textId="7BAD197A" w:rsidR="00D44330" w:rsidRPr="00984A76" w:rsidRDefault="00D44330" w:rsidP="00984A76">
      <w:pPr>
        <w:pStyle w:val="CH2"/>
        <w:bidi/>
        <w:spacing w:before="0" w:line="360" w:lineRule="exact"/>
        <w:ind w:left="1134" w:right="0" w:firstLine="0"/>
        <w:jc w:val="both"/>
        <w:textDirection w:val="tbRlV"/>
        <w:rPr>
          <w:rFonts w:ascii="Simplified Arabic" w:hAnsi="Simplified Arabic" w:cs="Simplified Arabic"/>
          <w:i/>
          <w:iCs/>
          <w:color w:val="000000" w:themeColor="text1"/>
          <w:rtl/>
          <w:lang w:val="ar-SA" w:eastAsia="zh-TW" w:bidi="en-GB"/>
        </w:rPr>
      </w:pPr>
      <w:r w:rsidRPr="00984A76">
        <w:rPr>
          <w:rFonts w:ascii="Simplified Arabic" w:hAnsi="Simplified Arabic" w:cs="Simplified Arabic"/>
          <w:bCs/>
          <w:i/>
          <w:iCs/>
          <w:rtl/>
        </w:rPr>
        <w:t>لجنة الخيارات التقنية للتبريد وتكييف الهواء والمضخات الحرارية</w:t>
      </w:r>
    </w:p>
    <w:p w14:paraId="6B166801" w14:textId="77777777" w:rsidR="00D44330" w:rsidRPr="00984A76" w:rsidRDefault="00D44330" w:rsidP="00984A76">
      <w:pPr>
        <w:pStyle w:val="NormalNonumber"/>
        <w:bidi/>
        <w:spacing w:line="360" w:lineRule="exact"/>
        <w:ind w:left="1134"/>
        <w:jc w:val="both"/>
        <w:textDirection w:val="tbRlV"/>
        <w:rPr>
          <w:rFonts w:ascii="Simplified Arabic" w:hAnsi="Simplified Arabic" w:cs="Simplified Arabic"/>
          <w:color w:val="000000" w:themeColor="text1"/>
          <w:sz w:val="24"/>
          <w:szCs w:val="24"/>
          <w:rtl/>
          <w:lang w:val="ar-SA" w:eastAsia="zh-TW" w:bidi="en-GB"/>
        </w:rPr>
      </w:pPr>
      <w:r w:rsidRPr="00984A76">
        <w:rPr>
          <w:rFonts w:ascii="Simplified Arabic" w:hAnsi="Simplified Arabic" w:cs="Simplified Arabic"/>
          <w:sz w:val="24"/>
          <w:szCs w:val="24"/>
          <w:rtl/>
        </w:rPr>
        <w:t>يرد التقرير المرحلي للجنة الخيارات التقنية للتبريد وتكييف الهواء والمضخات الحرارية في الفصل 6 من هذا التقرير، ويتضمن المستجدات التالية:</w:t>
      </w:r>
    </w:p>
    <w:p w14:paraId="55A0E712" w14:textId="048A2C26" w:rsidR="00D44330" w:rsidRPr="00024458" w:rsidRDefault="00D44330" w:rsidP="00632FB1">
      <w:pPr>
        <w:pStyle w:val="NormalNonumber"/>
        <w:numPr>
          <w:ilvl w:val="0"/>
          <w:numId w:val="42"/>
        </w:numPr>
        <w:tabs>
          <w:tab w:val="clear" w:pos="624"/>
          <w:tab w:val="clear" w:pos="1247"/>
          <w:tab w:val="clear" w:pos="1871"/>
          <w:tab w:val="clear" w:pos="2495"/>
          <w:tab w:val="clear" w:pos="3119"/>
          <w:tab w:val="clear" w:pos="3742"/>
          <w:tab w:val="clear" w:pos="4366"/>
          <w:tab w:val="clear" w:pos="4990"/>
          <w:tab w:val="left" w:pos="2552"/>
        </w:tabs>
        <w:bidi/>
        <w:spacing w:line="360" w:lineRule="exact"/>
        <w:ind w:left="2552" w:hanging="709"/>
        <w:jc w:val="both"/>
        <w:textDirection w:val="tbRlV"/>
        <w:rPr>
          <w:rFonts w:ascii="Simplified Arabic" w:hAnsi="Simplified Arabic" w:cs="Simplified Arabic"/>
          <w:sz w:val="24"/>
          <w:szCs w:val="24"/>
          <w:rtl/>
          <w:lang w:bidi="en-GB"/>
        </w:rPr>
      </w:pPr>
      <w:r w:rsidRPr="00984A76">
        <w:rPr>
          <w:rFonts w:ascii="Simplified Arabic" w:hAnsi="Simplified Arabic" w:cs="Simplified Arabic"/>
          <w:sz w:val="24"/>
          <w:szCs w:val="24"/>
          <w:rtl/>
        </w:rPr>
        <w:t>يُشكل الطلب العالمي المتزايد على أنظمة التبريد وتكييف الهواء والمضخات الحرارية تحديًا مزدوجًا فيما يتعلق بالمناخ، ناجمًا عن كل من التسرب المباشر للمواد المبردة والاستهلاك غير المباشر للكهرباء، مما يستلزم إجراء تقييمات شاملة لدورة حياة المواد المبردة.</w:t>
      </w:r>
    </w:p>
    <w:p w14:paraId="18CD8F5C" w14:textId="671B03D7" w:rsidR="00D44330" w:rsidRPr="00024458" w:rsidRDefault="00D44330" w:rsidP="00ED60C0">
      <w:pPr>
        <w:pStyle w:val="NormalNonumber"/>
        <w:numPr>
          <w:ilvl w:val="0"/>
          <w:numId w:val="42"/>
        </w:numPr>
        <w:tabs>
          <w:tab w:val="clear" w:pos="624"/>
          <w:tab w:val="clear" w:pos="1247"/>
          <w:tab w:val="clear" w:pos="1871"/>
          <w:tab w:val="clear" w:pos="2495"/>
          <w:tab w:val="clear" w:pos="3119"/>
          <w:tab w:val="clear" w:pos="3742"/>
          <w:tab w:val="clear" w:pos="4366"/>
          <w:tab w:val="clear" w:pos="4990"/>
          <w:tab w:val="left" w:pos="2552"/>
        </w:tabs>
        <w:bidi/>
        <w:spacing w:line="360" w:lineRule="exact"/>
        <w:ind w:left="2552" w:hanging="709"/>
        <w:jc w:val="lowKashida"/>
        <w:textDirection w:val="tbRlV"/>
        <w:rPr>
          <w:rFonts w:ascii="Simplified Arabic" w:hAnsi="Simplified Arabic" w:cs="Simplified Arabic"/>
          <w:sz w:val="24"/>
          <w:szCs w:val="24"/>
          <w:rtl/>
          <w:lang w:bidi="en-GB"/>
        </w:rPr>
      </w:pPr>
      <w:r w:rsidRPr="00984A76">
        <w:rPr>
          <w:rFonts w:ascii="Simplified Arabic" w:hAnsi="Simplified Arabic" w:cs="Simplified Arabic"/>
          <w:sz w:val="24"/>
          <w:szCs w:val="24"/>
          <w:rtl/>
        </w:rPr>
        <w:t>ويُعد تقليل أحمال التبريد والتدفئة من خلال التدابير السلبية، مثل العزل والتظليل، الخطوة الأولى والأكثر أهمية، حيث إن من شأنها خفض الطلب على التبريد واستهلاك الطاقة بنسبة تبلغ زهاء 30٪.</w:t>
      </w:r>
    </w:p>
    <w:p w14:paraId="21016C87" w14:textId="17B3E226" w:rsidR="00D44330" w:rsidRPr="00024458" w:rsidRDefault="00D44330" w:rsidP="00632FB1">
      <w:pPr>
        <w:pStyle w:val="NormalNonumber"/>
        <w:numPr>
          <w:ilvl w:val="0"/>
          <w:numId w:val="42"/>
        </w:numPr>
        <w:tabs>
          <w:tab w:val="clear" w:pos="624"/>
          <w:tab w:val="clear" w:pos="1247"/>
          <w:tab w:val="clear" w:pos="1871"/>
          <w:tab w:val="clear" w:pos="2495"/>
          <w:tab w:val="clear" w:pos="3119"/>
          <w:tab w:val="clear" w:pos="3742"/>
          <w:tab w:val="clear" w:pos="4366"/>
          <w:tab w:val="clear" w:pos="4990"/>
          <w:tab w:val="left" w:pos="2552"/>
        </w:tabs>
        <w:bidi/>
        <w:spacing w:line="360" w:lineRule="exact"/>
        <w:ind w:left="2552" w:hanging="709"/>
        <w:jc w:val="both"/>
        <w:textDirection w:val="tbRlV"/>
        <w:rPr>
          <w:rFonts w:ascii="Simplified Arabic" w:hAnsi="Simplified Arabic" w:cs="Simplified Arabic"/>
          <w:sz w:val="24"/>
          <w:szCs w:val="24"/>
          <w:rtl/>
          <w:lang w:bidi="en-GB"/>
        </w:rPr>
      </w:pPr>
      <w:r w:rsidRPr="00984A76">
        <w:rPr>
          <w:rFonts w:ascii="Simplified Arabic" w:hAnsi="Simplified Arabic" w:cs="Simplified Arabic"/>
          <w:sz w:val="24"/>
          <w:szCs w:val="24"/>
          <w:rtl/>
        </w:rPr>
        <w:t>لا توجد مادة مبردة</w:t>
      </w:r>
      <w:r w:rsidR="001404BF">
        <w:rPr>
          <w:rFonts w:ascii="Simplified Arabic" w:hAnsi="Simplified Arabic" w:cs="Simplified Arabic"/>
          <w:sz w:val="24"/>
          <w:szCs w:val="24"/>
          <w:lang w:val="en-US"/>
        </w:rPr>
        <w:t xml:space="preserve">” </w:t>
      </w:r>
      <w:r w:rsidRPr="00984A76">
        <w:rPr>
          <w:rFonts w:ascii="Simplified Arabic" w:hAnsi="Simplified Arabic" w:cs="Simplified Arabic"/>
          <w:sz w:val="24"/>
          <w:szCs w:val="24"/>
          <w:rtl/>
        </w:rPr>
        <w:t>مثالية</w:t>
      </w:r>
      <w:r w:rsidR="001404BF">
        <w:rPr>
          <w:rFonts w:ascii="Simplified Arabic" w:hAnsi="Simplified Arabic" w:cs="Simplified Arabic"/>
          <w:sz w:val="24"/>
          <w:szCs w:val="24"/>
          <w:lang w:val="en-US"/>
        </w:rPr>
        <w:t>“</w:t>
      </w:r>
      <w:r w:rsidRPr="00984A76">
        <w:rPr>
          <w:rFonts w:ascii="Simplified Arabic" w:hAnsi="Simplified Arabic" w:cs="Simplified Arabic"/>
          <w:sz w:val="24"/>
          <w:szCs w:val="24"/>
          <w:rtl/>
        </w:rPr>
        <w:t>؛ ويتطلب الاختيار تحقيق التوازن بين عوامل قانونية، وأخرى تتعلق بالسلامة والبيئة والملاءمة والتكلفة والكفاءة وسهولة الاستخدام، مع إيلاء اهتمام متزايد لتقييم المخاطر على مدى العمر الافتراضي.</w:t>
      </w:r>
    </w:p>
    <w:p w14:paraId="4EAD420C" w14:textId="40221CC8" w:rsidR="00D44330" w:rsidRPr="00024458" w:rsidRDefault="00D44330" w:rsidP="00632FB1">
      <w:pPr>
        <w:pStyle w:val="NormalNonumber"/>
        <w:numPr>
          <w:ilvl w:val="0"/>
          <w:numId w:val="42"/>
        </w:numPr>
        <w:tabs>
          <w:tab w:val="clear" w:pos="624"/>
          <w:tab w:val="clear" w:pos="1247"/>
          <w:tab w:val="clear" w:pos="1871"/>
          <w:tab w:val="clear" w:pos="2495"/>
          <w:tab w:val="clear" w:pos="3119"/>
          <w:tab w:val="clear" w:pos="3742"/>
          <w:tab w:val="clear" w:pos="4366"/>
          <w:tab w:val="clear" w:pos="4990"/>
          <w:tab w:val="left" w:pos="2552"/>
        </w:tabs>
        <w:bidi/>
        <w:spacing w:line="360" w:lineRule="exact"/>
        <w:ind w:left="2552" w:hanging="709"/>
        <w:jc w:val="both"/>
        <w:textDirection w:val="tbRlV"/>
        <w:rPr>
          <w:rFonts w:ascii="Simplified Arabic" w:hAnsi="Simplified Arabic" w:cs="Simplified Arabic"/>
          <w:sz w:val="24"/>
          <w:szCs w:val="24"/>
          <w:rtl/>
          <w:lang w:bidi="en-GB"/>
        </w:rPr>
      </w:pPr>
      <w:r w:rsidRPr="00984A76">
        <w:rPr>
          <w:rFonts w:ascii="Simplified Arabic" w:hAnsi="Simplified Arabic" w:cs="Simplified Arabic"/>
          <w:sz w:val="24"/>
          <w:szCs w:val="24"/>
          <w:rtl/>
        </w:rPr>
        <w:t xml:space="preserve">قد يؤدي تطبيق إدارة المواد المبردة طيلة دورة حياتها إلى خفض الانبعاثات المتوقعة لعام 2050 إلى النصف، إلا أن هذا الأمر يواجه فجوة متزايدة في المهارات وحاجة ملحة إلى بناء القدرات </w:t>
      </w:r>
      <w:r w:rsidRPr="00984A76">
        <w:rPr>
          <w:rFonts w:ascii="Simplified Arabic" w:hAnsi="Simplified Arabic" w:cs="Simplified Arabic"/>
          <w:sz w:val="24"/>
          <w:szCs w:val="24"/>
          <w:rtl/>
        </w:rPr>
        <w:lastRenderedPageBreak/>
        <w:t>وتوفير فنيين مدربين قادرين على التعامل مع المواد المبردة الأقل قدرة على إحداث الاحترار العالمي والمواد المبردة القابلة للاشتعال.</w:t>
      </w:r>
    </w:p>
    <w:p w14:paraId="67CB9961" w14:textId="6628E07A" w:rsidR="00D44330" w:rsidRPr="00024458" w:rsidRDefault="00D44330" w:rsidP="001E2851">
      <w:pPr>
        <w:pStyle w:val="NormalNonumber"/>
        <w:numPr>
          <w:ilvl w:val="0"/>
          <w:numId w:val="42"/>
        </w:numPr>
        <w:tabs>
          <w:tab w:val="clear" w:pos="624"/>
          <w:tab w:val="clear" w:pos="1247"/>
          <w:tab w:val="clear" w:pos="1871"/>
          <w:tab w:val="clear" w:pos="2495"/>
          <w:tab w:val="clear" w:pos="3119"/>
          <w:tab w:val="clear" w:pos="3742"/>
          <w:tab w:val="clear" w:pos="4366"/>
          <w:tab w:val="clear" w:pos="4990"/>
          <w:tab w:val="left" w:pos="2552"/>
        </w:tabs>
        <w:bidi/>
        <w:spacing w:line="360" w:lineRule="exact"/>
        <w:ind w:left="2552" w:hanging="709"/>
        <w:jc w:val="both"/>
        <w:textDirection w:val="tbRlV"/>
        <w:rPr>
          <w:rFonts w:ascii="Simplified Arabic" w:hAnsi="Simplified Arabic" w:cs="Simplified Arabic"/>
          <w:sz w:val="24"/>
          <w:szCs w:val="24"/>
          <w:rtl/>
          <w:lang w:bidi="en-GB"/>
        </w:rPr>
      </w:pPr>
      <w:r w:rsidRPr="00984A76">
        <w:rPr>
          <w:rFonts w:ascii="Simplified Arabic" w:hAnsi="Simplified Arabic" w:cs="Simplified Arabic"/>
          <w:sz w:val="24"/>
          <w:szCs w:val="24"/>
          <w:rtl/>
        </w:rPr>
        <w:t>يُعد تعزيز النظم الوطنية لجمع البيانات المتعلقة بالتبريد وتكييف الهواء والمضخات الحرارية أمرًا ضروريًا لتحسين دقة النمذجة المتعلقة بأرصدة هذه المواد واستهلاكها وانبعاثاتها في مجال التبريد وتكييف الهواء والمضخات الحرارية وللسماح بوضع استراتيجيات تخفيف قائمة على الأدلة.</w:t>
      </w:r>
    </w:p>
    <w:p w14:paraId="08C801F9" w14:textId="04B35486" w:rsidR="00D44330" w:rsidRPr="00024458" w:rsidRDefault="00D44330" w:rsidP="001E2851">
      <w:pPr>
        <w:pStyle w:val="NormalNonumber"/>
        <w:numPr>
          <w:ilvl w:val="0"/>
          <w:numId w:val="42"/>
        </w:numPr>
        <w:tabs>
          <w:tab w:val="clear" w:pos="624"/>
          <w:tab w:val="clear" w:pos="1247"/>
          <w:tab w:val="clear" w:pos="1871"/>
          <w:tab w:val="clear" w:pos="2495"/>
          <w:tab w:val="clear" w:pos="3119"/>
          <w:tab w:val="clear" w:pos="3742"/>
          <w:tab w:val="clear" w:pos="4366"/>
          <w:tab w:val="clear" w:pos="4990"/>
          <w:tab w:val="left" w:pos="2552"/>
        </w:tabs>
        <w:bidi/>
        <w:spacing w:line="360" w:lineRule="exact"/>
        <w:ind w:left="2552" w:hanging="709"/>
        <w:jc w:val="both"/>
        <w:textDirection w:val="tbRlV"/>
        <w:rPr>
          <w:rFonts w:ascii="Simplified Arabic" w:hAnsi="Simplified Arabic" w:cs="Simplified Arabic"/>
          <w:sz w:val="24"/>
          <w:szCs w:val="24"/>
          <w:rtl/>
          <w:lang w:bidi="en-GB"/>
        </w:rPr>
      </w:pPr>
      <w:r w:rsidRPr="00984A76">
        <w:rPr>
          <w:rFonts w:ascii="Simplified Arabic" w:hAnsi="Simplified Arabic" w:cs="Simplified Arabic"/>
          <w:sz w:val="24"/>
          <w:szCs w:val="24"/>
          <w:rtl/>
        </w:rPr>
        <w:t xml:space="preserve">في مجال التبريد التجاري، هناك تحول كبير عن استخدام المادة </w:t>
      </w:r>
      <w:r w:rsidRPr="000A186E">
        <w:rPr>
          <w:rFonts w:asciiTheme="majorBidi" w:hAnsiTheme="majorBidi" w:cstheme="majorBidi"/>
          <w:sz w:val="22"/>
          <w:szCs w:val="22"/>
          <w:rtl/>
        </w:rPr>
        <w:t>R-404A</w:t>
      </w:r>
      <w:r w:rsidRPr="00984A76">
        <w:rPr>
          <w:rFonts w:ascii="Simplified Arabic" w:hAnsi="Simplified Arabic" w:cs="Simplified Arabic"/>
          <w:sz w:val="24"/>
          <w:szCs w:val="24"/>
          <w:rtl/>
        </w:rPr>
        <w:t xml:space="preserve"> إلى المادة </w:t>
      </w:r>
      <w:r w:rsidRPr="000A186E">
        <w:rPr>
          <w:rFonts w:asciiTheme="majorBidi" w:hAnsiTheme="majorBidi" w:cstheme="majorBidi"/>
          <w:sz w:val="22"/>
          <w:szCs w:val="22"/>
          <w:rtl/>
        </w:rPr>
        <w:t>R-744</w:t>
      </w:r>
      <w:r w:rsidRPr="00984A76">
        <w:rPr>
          <w:rFonts w:ascii="Simplified Arabic" w:hAnsi="Simplified Arabic" w:cs="Simplified Arabic"/>
          <w:sz w:val="24"/>
          <w:szCs w:val="24"/>
          <w:rtl/>
        </w:rPr>
        <w:t xml:space="preserve"> (ثاني أكسيد الكربون) باعتبارها الحل المستدام الرائد، لا سيما في البلدان التي تتميز بدرجات حرارة منخفضة مثل بلدان أوروبا. وفي مناطق أخرى، يجري اعتماد مواد مبردة من الفئة </w:t>
      </w:r>
      <w:r w:rsidRPr="00CA3864">
        <w:rPr>
          <w:rFonts w:asciiTheme="majorBidi" w:hAnsiTheme="majorBidi" w:cstheme="majorBidi"/>
          <w:sz w:val="22"/>
          <w:szCs w:val="22"/>
          <w:rtl/>
        </w:rPr>
        <w:t>A2L</w:t>
      </w:r>
      <w:r w:rsidRPr="00984A76">
        <w:rPr>
          <w:rFonts w:ascii="Simplified Arabic" w:hAnsi="Simplified Arabic" w:cs="Simplified Arabic"/>
          <w:sz w:val="24"/>
          <w:szCs w:val="24"/>
          <w:rtl/>
        </w:rPr>
        <w:t xml:space="preserve"> الأقل قدرة على إحداث الاحترار العالمي، إلى جانب المادتين </w:t>
      </w:r>
      <w:r w:rsidRPr="00CA3864">
        <w:rPr>
          <w:rFonts w:asciiTheme="majorBidi" w:hAnsiTheme="majorBidi" w:cstheme="majorBidi"/>
          <w:sz w:val="22"/>
          <w:szCs w:val="22"/>
          <w:rtl/>
        </w:rPr>
        <w:t>R-744</w:t>
      </w:r>
      <w:r w:rsidRPr="00984A76">
        <w:rPr>
          <w:rFonts w:ascii="Simplified Arabic" w:hAnsi="Simplified Arabic" w:cs="Simplified Arabic"/>
          <w:sz w:val="24"/>
          <w:szCs w:val="24"/>
          <w:rtl/>
        </w:rPr>
        <w:t xml:space="preserve"> و</w:t>
      </w:r>
      <w:r w:rsidRPr="00CA3864">
        <w:rPr>
          <w:rFonts w:asciiTheme="majorBidi" w:hAnsiTheme="majorBidi" w:cstheme="majorBidi"/>
          <w:sz w:val="22"/>
          <w:szCs w:val="22"/>
          <w:rtl/>
        </w:rPr>
        <w:t>R-290</w:t>
      </w:r>
      <w:r w:rsidRPr="00984A76">
        <w:rPr>
          <w:rFonts w:ascii="Simplified Arabic" w:hAnsi="Simplified Arabic" w:cs="Simplified Arabic"/>
          <w:sz w:val="24"/>
          <w:szCs w:val="24"/>
          <w:rtl/>
        </w:rPr>
        <w:t xml:space="preserve"> في الأنظمة ذات الشحنات الصغيرة.</w:t>
      </w:r>
    </w:p>
    <w:p w14:paraId="7C0057DD" w14:textId="61E6205F" w:rsidR="00D44330" w:rsidRPr="00087C24" w:rsidRDefault="00D44330" w:rsidP="001E2851">
      <w:pPr>
        <w:pStyle w:val="NormalNonumber"/>
        <w:numPr>
          <w:ilvl w:val="0"/>
          <w:numId w:val="42"/>
        </w:numPr>
        <w:tabs>
          <w:tab w:val="clear" w:pos="624"/>
          <w:tab w:val="clear" w:pos="1247"/>
          <w:tab w:val="clear" w:pos="1871"/>
          <w:tab w:val="clear" w:pos="2495"/>
          <w:tab w:val="clear" w:pos="3119"/>
          <w:tab w:val="clear" w:pos="3742"/>
          <w:tab w:val="clear" w:pos="4366"/>
          <w:tab w:val="clear" w:pos="4990"/>
          <w:tab w:val="left" w:pos="2552"/>
        </w:tabs>
        <w:bidi/>
        <w:spacing w:line="360" w:lineRule="exact"/>
        <w:ind w:left="2552" w:hanging="709"/>
        <w:jc w:val="both"/>
        <w:textDirection w:val="tbRlV"/>
        <w:rPr>
          <w:rFonts w:ascii="Simplified Arabic" w:hAnsi="Simplified Arabic" w:cs="Simplified Arabic"/>
          <w:sz w:val="24"/>
          <w:szCs w:val="24"/>
          <w:lang w:val="en-GB"/>
        </w:rPr>
      </w:pPr>
      <w:r w:rsidRPr="00984A76">
        <w:rPr>
          <w:rFonts w:ascii="Simplified Arabic" w:hAnsi="Simplified Arabic" w:cs="Simplified Arabic"/>
          <w:sz w:val="24"/>
          <w:szCs w:val="24"/>
          <w:rtl/>
        </w:rPr>
        <w:t xml:space="preserve">في مجال التبريد الصناعي، تُعد كل من المادة </w:t>
      </w:r>
      <w:r w:rsidRPr="00CA3864">
        <w:rPr>
          <w:rFonts w:asciiTheme="majorBidi" w:hAnsiTheme="majorBidi" w:cstheme="majorBidi"/>
          <w:sz w:val="22"/>
          <w:szCs w:val="22"/>
          <w:rtl/>
        </w:rPr>
        <w:t>R-717</w:t>
      </w:r>
      <w:r w:rsidRPr="00984A76">
        <w:rPr>
          <w:rFonts w:ascii="Simplified Arabic" w:hAnsi="Simplified Arabic" w:cs="Simplified Arabic"/>
          <w:sz w:val="24"/>
          <w:szCs w:val="24"/>
          <w:rtl/>
        </w:rPr>
        <w:t xml:space="preserve"> (الأمونيا) و</w:t>
      </w:r>
      <w:r w:rsidRPr="00CA3864">
        <w:rPr>
          <w:rFonts w:asciiTheme="majorBidi" w:hAnsiTheme="majorBidi" w:cstheme="majorBidi"/>
          <w:sz w:val="22"/>
          <w:szCs w:val="22"/>
          <w:rtl/>
        </w:rPr>
        <w:t>R-744</w:t>
      </w:r>
      <w:r w:rsidRPr="00984A76">
        <w:rPr>
          <w:rFonts w:ascii="Simplified Arabic" w:hAnsi="Simplified Arabic" w:cs="Simplified Arabic"/>
          <w:sz w:val="24"/>
          <w:szCs w:val="24"/>
          <w:rtl/>
        </w:rPr>
        <w:t xml:space="preserve"> (ثاني أكسيد الكربون) من المواد المبردة المفضلة ذات القدرة الأقل على إحداث الاحترار العالمي، ومن المتوقع أن يزداد استخدامهما، في حين يواجه قطاع التبريد في مجال النقل انتقالًا أبطأ بسبب اعتبارات السلامة والبنية التحتية وطول العمر الافتراضي للمعدات.</w:t>
      </w:r>
    </w:p>
    <w:p w14:paraId="3437B225" w14:textId="6107281F" w:rsidR="00D44330" w:rsidRPr="00087C24" w:rsidRDefault="00D44330" w:rsidP="001E2851">
      <w:pPr>
        <w:pStyle w:val="NormalNonumber"/>
        <w:numPr>
          <w:ilvl w:val="0"/>
          <w:numId w:val="42"/>
        </w:numPr>
        <w:tabs>
          <w:tab w:val="clear" w:pos="624"/>
          <w:tab w:val="clear" w:pos="1247"/>
          <w:tab w:val="clear" w:pos="1871"/>
          <w:tab w:val="clear" w:pos="2495"/>
          <w:tab w:val="clear" w:pos="3119"/>
          <w:tab w:val="clear" w:pos="3742"/>
          <w:tab w:val="clear" w:pos="4366"/>
          <w:tab w:val="clear" w:pos="4990"/>
          <w:tab w:val="left" w:pos="2552"/>
        </w:tabs>
        <w:bidi/>
        <w:spacing w:line="360" w:lineRule="exact"/>
        <w:ind w:left="2552" w:hanging="709"/>
        <w:jc w:val="both"/>
        <w:textDirection w:val="tbRlV"/>
        <w:rPr>
          <w:rFonts w:ascii="Simplified Arabic" w:hAnsi="Simplified Arabic" w:cs="Simplified Arabic"/>
          <w:sz w:val="24"/>
          <w:szCs w:val="24"/>
          <w:lang w:val="en-GB"/>
        </w:rPr>
      </w:pPr>
      <w:r w:rsidRPr="00984A76">
        <w:rPr>
          <w:rFonts w:ascii="Simplified Arabic" w:hAnsi="Simplified Arabic" w:cs="Simplified Arabic"/>
          <w:sz w:val="24"/>
          <w:szCs w:val="24"/>
          <w:rtl/>
        </w:rPr>
        <w:t>لا يزال خفض استهلاك الطاقة عاملاً أساسياً في أنظمة التبريد المخصصة للراحة، مع وجود اتجاه عالمي نحو استخدام أنواع الضواغط المزودة بمحوّل للتردد (لتحقيق سعة متغيرة)، على الرغم من أن هذه التكنولوجيا لا تزال غير منتشرة بشكل كافٍ في العديد من الأطراف العاملة بموجب المادة 5 وبعض الأطراف غير العاملة بها.</w:t>
      </w:r>
    </w:p>
    <w:p w14:paraId="57BA0ED4" w14:textId="5EA9A438" w:rsidR="00D44330" w:rsidRPr="00024458" w:rsidRDefault="00D44330" w:rsidP="001E2851">
      <w:pPr>
        <w:pStyle w:val="NormalNonumber"/>
        <w:numPr>
          <w:ilvl w:val="0"/>
          <w:numId w:val="42"/>
        </w:numPr>
        <w:tabs>
          <w:tab w:val="clear" w:pos="624"/>
          <w:tab w:val="clear" w:pos="1247"/>
          <w:tab w:val="clear" w:pos="1871"/>
          <w:tab w:val="clear" w:pos="2495"/>
          <w:tab w:val="clear" w:pos="3119"/>
          <w:tab w:val="clear" w:pos="3742"/>
          <w:tab w:val="clear" w:pos="4366"/>
          <w:tab w:val="clear" w:pos="4990"/>
          <w:tab w:val="left" w:pos="2552"/>
        </w:tabs>
        <w:bidi/>
        <w:spacing w:line="360" w:lineRule="exact"/>
        <w:ind w:left="2552" w:hanging="709"/>
        <w:jc w:val="both"/>
        <w:textDirection w:val="tbRlV"/>
        <w:rPr>
          <w:rFonts w:ascii="Simplified Arabic" w:hAnsi="Simplified Arabic" w:cs="Simplified Arabic"/>
          <w:sz w:val="24"/>
          <w:szCs w:val="24"/>
          <w:rtl/>
          <w:lang w:bidi="en-GB"/>
        </w:rPr>
      </w:pPr>
      <w:r w:rsidRPr="00984A76">
        <w:rPr>
          <w:rFonts w:ascii="Simplified Arabic" w:hAnsi="Simplified Arabic" w:cs="Simplified Arabic"/>
          <w:sz w:val="24"/>
          <w:szCs w:val="24"/>
          <w:rtl/>
        </w:rPr>
        <w:t>يمكن للأنظمة المتكاملة للتدفئة والتبريد المشتركين أن تحسّن كفاءة إجمالية في استخدام الطاقة بنسبة تتراوح بين 30 و50٪، وأن تقلل بشكل كبير من انبعاثات ثاني أكسيد الكربون المكافئ من خلال الاستغناء عن التدفئة القائمة على الوقود الأحفوري.</w:t>
      </w:r>
    </w:p>
    <w:p w14:paraId="17D7CF9B" w14:textId="26B01A68" w:rsidR="00D44330" w:rsidRPr="00087C24" w:rsidRDefault="00D44330" w:rsidP="001E2851">
      <w:pPr>
        <w:pStyle w:val="NormalNonumber"/>
        <w:numPr>
          <w:ilvl w:val="0"/>
          <w:numId w:val="42"/>
        </w:numPr>
        <w:tabs>
          <w:tab w:val="clear" w:pos="624"/>
          <w:tab w:val="clear" w:pos="1247"/>
          <w:tab w:val="clear" w:pos="1871"/>
          <w:tab w:val="clear" w:pos="2495"/>
          <w:tab w:val="clear" w:pos="3119"/>
          <w:tab w:val="clear" w:pos="3742"/>
          <w:tab w:val="clear" w:pos="4366"/>
          <w:tab w:val="clear" w:pos="4990"/>
          <w:tab w:val="left" w:pos="2552"/>
        </w:tabs>
        <w:bidi/>
        <w:spacing w:line="360" w:lineRule="exact"/>
        <w:ind w:left="2552" w:hanging="709"/>
        <w:jc w:val="both"/>
        <w:textDirection w:val="tbRlV"/>
        <w:rPr>
          <w:rFonts w:ascii="Simplified Arabic" w:hAnsi="Simplified Arabic" w:cs="Simplified Arabic"/>
          <w:sz w:val="24"/>
          <w:szCs w:val="24"/>
          <w:lang w:val="en-GB" w:eastAsia="zh-TW" w:bidi="en-GB"/>
        </w:rPr>
      </w:pPr>
      <w:r w:rsidRPr="00984A76">
        <w:rPr>
          <w:rFonts w:ascii="Simplified Arabic" w:hAnsi="Simplified Arabic" w:cs="Simplified Arabic"/>
          <w:sz w:val="24"/>
          <w:szCs w:val="24"/>
          <w:rtl/>
        </w:rPr>
        <w:t>باستثناء عمليتي الامتصاص والامتزاز، لا تستطيع التكنولوجيات بخلاف تكنولوجيات ضغط البخار (تكنولوجيات من نوع آخر) حالياً أن تحل محل تقنية ضغط البخار الميكانيكي في مجال التبريد لأغراض الراحة، حيث لا تزال معظمها في مراحلها الناشئة أو في مرحلتي البحث والتطوير. ويعرض هذا الفرع الرسائل الرئيسية الناشئة عن التقارير المرحلية للجان الخيارات التقنية.</w:t>
      </w:r>
    </w:p>
    <w:p w14:paraId="4D443910" w14:textId="77777777" w:rsidR="00D44330" w:rsidRPr="00984A76" w:rsidRDefault="00D44330" w:rsidP="00984A76">
      <w:pPr>
        <w:pStyle w:val="Normalpool"/>
        <w:tabs>
          <w:tab w:val="clear" w:pos="624"/>
        </w:tabs>
        <w:bidi/>
        <w:spacing w:after="120" w:line="360" w:lineRule="exact"/>
        <w:ind w:left="1134"/>
        <w:jc w:val="both"/>
        <w:rPr>
          <w:rFonts w:ascii="Simplified Arabic" w:hAnsi="Simplified Arabic" w:cs="Simplified Arabic"/>
          <w:sz w:val="24"/>
          <w:szCs w:val="24"/>
          <w:rtl/>
        </w:rPr>
      </w:pPr>
      <w:r w:rsidRPr="00984A76">
        <w:rPr>
          <w:rFonts w:ascii="Simplified Arabic" w:hAnsi="Simplified Arabic" w:cs="Simplified Arabic"/>
          <w:sz w:val="24"/>
          <w:szCs w:val="24"/>
          <w:rtl/>
        </w:rPr>
        <w:br w:type="page"/>
      </w:r>
    </w:p>
    <w:p w14:paraId="4D4DE6CA" w14:textId="77777777" w:rsidR="00D44330" w:rsidRPr="00024458" w:rsidRDefault="00D44330" w:rsidP="00024458">
      <w:pPr>
        <w:pStyle w:val="ZZAnxheader"/>
        <w:tabs>
          <w:tab w:val="clear" w:pos="1247"/>
        </w:tabs>
        <w:bidi/>
        <w:spacing w:after="360" w:line="360" w:lineRule="exact"/>
        <w:jc w:val="both"/>
        <w:textDirection w:val="tbRlV"/>
        <w:rPr>
          <w:rFonts w:ascii="Simplified Arabic" w:hAnsi="Simplified Arabic" w:cs="Simplified Arabic"/>
          <w:sz w:val="30"/>
          <w:szCs w:val="30"/>
          <w:rtl/>
          <w:lang w:bidi="en-GB"/>
        </w:rPr>
      </w:pPr>
      <w:r w:rsidRPr="00024458">
        <w:rPr>
          <w:rFonts w:ascii="Simplified Arabic" w:hAnsi="Simplified Arabic" w:cs="Simplified Arabic"/>
          <w:sz w:val="30"/>
          <w:szCs w:val="30"/>
          <w:rtl/>
        </w:rPr>
        <w:lastRenderedPageBreak/>
        <w:t>المرفق الثالث</w:t>
      </w:r>
      <w:r w:rsidRPr="00024458">
        <w:rPr>
          <w:rFonts w:ascii="Simplified Arabic" w:hAnsi="Simplified Arabic" w:cs="Simplified Arabic"/>
          <w:b w:val="0"/>
          <w:bCs w:val="0"/>
          <w:sz w:val="34"/>
          <w:szCs w:val="34"/>
          <w:vertAlign w:val="superscript"/>
          <w:rtl/>
        </w:rPr>
        <w:footnoteReference w:customMarkFollows="1" w:id="19"/>
        <w:t>*</w:t>
      </w:r>
    </w:p>
    <w:p w14:paraId="409BB444" w14:textId="77777777" w:rsidR="00D44330" w:rsidRPr="00024458" w:rsidRDefault="00D44330" w:rsidP="00DA5464">
      <w:pPr>
        <w:pStyle w:val="ZZAnxtitle"/>
        <w:tabs>
          <w:tab w:val="clear" w:pos="1247"/>
        </w:tabs>
        <w:bidi/>
        <w:spacing w:before="0" w:after="240" w:line="400" w:lineRule="exact"/>
        <w:ind w:left="1134"/>
        <w:jc w:val="lowKashida"/>
        <w:textDirection w:val="tbRlV"/>
        <w:rPr>
          <w:rFonts w:ascii="Simplified Arabic" w:hAnsi="Simplified Arabic" w:cs="Simplified Arabic"/>
          <w:szCs w:val="28"/>
          <w:rtl/>
          <w:lang w:val="ar-SA" w:eastAsia="zh-TW" w:bidi="en-GB"/>
        </w:rPr>
      </w:pPr>
      <w:r w:rsidRPr="00024458">
        <w:rPr>
          <w:rFonts w:ascii="Simplified Arabic" w:hAnsi="Simplified Arabic" w:cs="Simplified Arabic"/>
          <w:szCs w:val="28"/>
          <w:rtl/>
        </w:rPr>
        <w:t>أعضاء لجان الخيارات التقنية التابعة لفريق التقييم التكنولوجي والاقتصادي الذين تنتهي عضويتهم في نهاية عام 2026 والذين لا تتطلب إعادة تعيينهم قراراً من اجتماع الأطراف</w:t>
      </w:r>
    </w:p>
    <w:tbl>
      <w:tblPr>
        <w:bidiVisual/>
        <w:tblW w:w="8363" w:type="dxa"/>
        <w:tblInd w:w="1139" w:type="dxa"/>
        <w:tblLayout w:type="fixed"/>
        <w:tblLook w:val="04A0" w:firstRow="1" w:lastRow="0" w:firstColumn="1" w:lastColumn="0" w:noHBand="0" w:noVBand="1"/>
      </w:tblPr>
      <w:tblGrid>
        <w:gridCol w:w="1797"/>
        <w:gridCol w:w="4713"/>
        <w:gridCol w:w="1853"/>
      </w:tblGrid>
      <w:tr w:rsidR="00D44330" w:rsidRPr="00024458" w14:paraId="0CCDBDEC" w14:textId="77777777" w:rsidTr="00F412D6">
        <w:trPr>
          <w:trHeight w:val="57"/>
          <w:tblHeader/>
        </w:trPr>
        <w:tc>
          <w:tcPr>
            <w:tcW w:w="1785" w:type="dxa"/>
            <w:tcBorders>
              <w:top w:val="single" w:sz="4" w:space="0" w:color="auto"/>
              <w:left w:val="nil"/>
              <w:bottom w:val="single" w:sz="12" w:space="0" w:color="auto"/>
              <w:right w:val="nil"/>
            </w:tcBorders>
            <w:vAlign w:val="bottom"/>
            <w:hideMark/>
          </w:tcPr>
          <w:p w14:paraId="305F6939" w14:textId="77777777" w:rsidR="00D44330" w:rsidRPr="00024458" w:rsidRDefault="00D44330" w:rsidP="007701B1">
            <w:pPr>
              <w:pStyle w:val="Normal-pool-Table"/>
              <w:bidi/>
              <w:spacing w:line="280" w:lineRule="exact"/>
              <w:jc w:val="both"/>
              <w:textDirection w:val="tbRlV"/>
              <w:rPr>
                <w:rFonts w:ascii="Simplified Arabic" w:hAnsi="Simplified Arabic" w:cs="Simplified Arabic"/>
                <w:i/>
                <w:iCs/>
                <w:color w:val="000000"/>
                <w:sz w:val="20"/>
                <w:rtl/>
                <w:lang w:bidi="en-GB"/>
              </w:rPr>
            </w:pPr>
            <w:r w:rsidRPr="00024458">
              <w:rPr>
                <w:rFonts w:ascii="Simplified Arabic" w:hAnsi="Simplified Arabic" w:cs="Simplified Arabic"/>
                <w:i/>
                <w:iCs/>
                <w:color w:val="000000"/>
                <w:sz w:val="20"/>
                <w:rtl/>
              </w:rPr>
              <w:t>الاسم</w:t>
            </w:r>
          </w:p>
        </w:tc>
        <w:tc>
          <w:tcPr>
            <w:tcW w:w="4681" w:type="dxa"/>
            <w:tcBorders>
              <w:top w:val="single" w:sz="4" w:space="0" w:color="auto"/>
              <w:left w:val="nil"/>
              <w:bottom w:val="single" w:sz="12" w:space="0" w:color="auto"/>
              <w:right w:val="nil"/>
            </w:tcBorders>
            <w:vAlign w:val="bottom"/>
            <w:hideMark/>
          </w:tcPr>
          <w:p w14:paraId="57548559" w14:textId="77777777" w:rsidR="00D44330" w:rsidRPr="00024458" w:rsidRDefault="00D44330" w:rsidP="007701B1">
            <w:pPr>
              <w:pStyle w:val="Normal-pool-Table"/>
              <w:bidi/>
              <w:spacing w:line="280" w:lineRule="exact"/>
              <w:jc w:val="both"/>
              <w:textDirection w:val="tbRlV"/>
              <w:rPr>
                <w:rFonts w:ascii="Simplified Arabic" w:hAnsi="Simplified Arabic" w:cs="Simplified Arabic"/>
                <w:i/>
                <w:iCs/>
                <w:color w:val="000000"/>
                <w:sz w:val="20"/>
                <w:rtl/>
                <w:lang w:bidi="en-GB"/>
              </w:rPr>
            </w:pPr>
            <w:r w:rsidRPr="00024458">
              <w:rPr>
                <w:rFonts w:ascii="Simplified Arabic" w:hAnsi="Simplified Arabic" w:cs="Simplified Arabic"/>
                <w:i/>
                <w:iCs/>
                <w:color w:val="000000"/>
                <w:sz w:val="20"/>
                <w:rtl/>
              </w:rPr>
              <w:t>المنصب</w:t>
            </w:r>
          </w:p>
        </w:tc>
        <w:tc>
          <w:tcPr>
            <w:tcW w:w="1841" w:type="dxa"/>
            <w:tcBorders>
              <w:top w:val="single" w:sz="4" w:space="0" w:color="auto"/>
              <w:left w:val="nil"/>
              <w:bottom w:val="single" w:sz="12" w:space="0" w:color="auto"/>
              <w:right w:val="nil"/>
            </w:tcBorders>
            <w:vAlign w:val="bottom"/>
            <w:hideMark/>
          </w:tcPr>
          <w:p w14:paraId="608C98C6" w14:textId="77777777" w:rsidR="00D44330" w:rsidRPr="00024458" w:rsidRDefault="00D44330" w:rsidP="007701B1">
            <w:pPr>
              <w:pStyle w:val="Normal-pool-Table"/>
              <w:bidi/>
              <w:spacing w:line="280" w:lineRule="exact"/>
              <w:jc w:val="both"/>
              <w:textDirection w:val="tbRlV"/>
              <w:rPr>
                <w:rFonts w:ascii="Simplified Arabic" w:hAnsi="Simplified Arabic" w:cs="Simplified Arabic"/>
                <w:i/>
                <w:iCs/>
                <w:color w:val="000000"/>
                <w:sz w:val="20"/>
                <w:rtl/>
                <w:lang w:bidi="en-GB"/>
              </w:rPr>
            </w:pPr>
            <w:r w:rsidRPr="00024458">
              <w:rPr>
                <w:rFonts w:ascii="Simplified Arabic" w:hAnsi="Simplified Arabic" w:cs="Simplified Arabic"/>
                <w:i/>
                <w:iCs/>
                <w:color w:val="000000"/>
                <w:sz w:val="20"/>
                <w:rtl/>
              </w:rPr>
              <w:t>البلد</w:t>
            </w:r>
          </w:p>
        </w:tc>
      </w:tr>
      <w:tr w:rsidR="00D44330" w:rsidRPr="00024458" w14:paraId="1400D155" w14:textId="77777777" w:rsidTr="00F412D6">
        <w:trPr>
          <w:trHeight w:val="57"/>
        </w:trPr>
        <w:tc>
          <w:tcPr>
            <w:tcW w:w="8307" w:type="dxa"/>
            <w:gridSpan w:val="3"/>
            <w:tcBorders>
              <w:top w:val="single" w:sz="12" w:space="0" w:color="auto"/>
              <w:left w:val="nil"/>
              <w:bottom w:val="single" w:sz="4" w:space="0" w:color="auto"/>
              <w:right w:val="nil"/>
            </w:tcBorders>
            <w:hideMark/>
          </w:tcPr>
          <w:p w14:paraId="4BFBBFFB" w14:textId="77777777" w:rsidR="00D44330" w:rsidRPr="007701B1" w:rsidRDefault="00D44330" w:rsidP="007701B1">
            <w:pPr>
              <w:pStyle w:val="Normal-pool-Table"/>
              <w:bidi/>
              <w:spacing w:line="280" w:lineRule="exact"/>
              <w:jc w:val="both"/>
              <w:textDirection w:val="tbRlV"/>
              <w:rPr>
                <w:rFonts w:ascii="Simplified Arabic" w:hAnsi="Simplified Arabic" w:cs="Simplified Arabic"/>
                <w:b/>
                <w:bCs/>
                <w:color w:val="000000"/>
                <w:sz w:val="20"/>
                <w:rtl/>
                <w:lang w:bidi="en-GB"/>
              </w:rPr>
            </w:pPr>
            <w:r w:rsidRPr="007701B1">
              <w:rPr>
                <w:rFonts w:ascii="Simplified Arabic" w:hAnsi="Simplified Arabic" w:cs="Simplified Arabic"/>
                <w:b/>
                <w:bCs/>
                <w:color w:val="000000"/>
                <w:sz w:val="20"/>
                <w:rtl/>
              </w:rPr>
              <w:t xml:space="preserve">أعضاء لجان الخيارات التقنية </w:t>
            </w:r>
          </w:p>
        </w:tc>
      </w:tr>
      <w:tr w:rsidR="00D44330" w:rsidRPr="00024458" w14:paraId="1FA000BE" w14:textId="77777777" w:rsidTr="00F412D6">
        <w:trPr>
          <w:trHeight w:val="57"/>
        </w:trPr>
        <w:tc>
          <w:tcPr>
            <w:tcW w:w="1785" w:type="dxa"/>
          </w:tcPr>
          <w:p w14:paraId="7E6B78DA"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سيسيليا جيروتي</w:t>
            </w:r>
          </w:p>
        </w:tc>
        <w:tc>
          <w:tcPr>
            <w:tcW w:w="4681" w:type="dxa"/>
          </w:tcPr>
          <w:p w14:paraId="7C082E44"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عضو لجنة الخيارات التقنية للرغاوي المرنة والجاسئة</w:t>
            </w:r>
          </w:p>
        </w:tc>
        <w:tc>
          <w:tcPr>
            <w:tcW w:w="1841" w:type="dxa"/>
          </w:tcPr>
          <w:p w14:paraId="60E3D645"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إيطاليا</w:t>
            </w:r>
          </w:p>
        </w:tc>
      </w:tr>
      <w:tr w:rsidR="00D44330" w:rsidRPr="00024458" w14:paraId="058DEBEE" w14:textId="77777777" w:rsidTr="00F412D6">
        <w:trPr>
          <w:trHeight w:val="331"/>
        </w:trPr>
        <w:tc>
          <w:tcPr>
            <w:tcW w:w="1785" w:type="dxa"/>
          </w:tcPr>
          <w:p w14:paraId="58492D2C"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ساشا رولهوف</w:t>
            </w:r>
          </w:p>
        </w:tc>
        <w:tc>
          <w:tcPr>
            <w:tcW w:w="4681" w:type="dxa"/>
          </w:tcPr>
          <w:p w14:paraId="0A56DB03"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عضو لجنة الخيارات التقنية للرغاوي المرنة والجاسئة</w:t>
            </w:r>
          </w:p>
        </w:tc>
        <w:tc>
          <w:tcPr>
            <w:tcW w:w="1841" w:type="dxa"/>
          </w:tcPr>
          <w:p w14:paraId="411CB664"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ألمانيا</w:t>
            </w:r>
          </w:p>
        </w:tc>
      </w:tr>
      <w:tr w:rsidR="00D44330" w:rsidRPr="00024458" w14:paraId="10396838" w14:textId="77777777" w:rsidTr="00F412D6">
        <w:trPr>
          <w:trHeight w:val="331"/>
        </w:trPr>
        <w:tc>
          <w:tcPr>
            <w:tcW w:w="1785" w:type="dxa"/>
          </w:tcPr>
          <w:p w14:paraId="30A0B585"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انشان شنغ</w:t>
            </w:r>
          </w:p>
        </w:tc>
        <w:tc>
          <w:tcPr>
            <w:tcW w:w="4681" w:type="dxa"/>
          </w:tcPr>
          <w:p w14:paraId="206081AA"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عضو لجنة الخيارات التقنية للرغاوي المرنة والجاسئة</w:t>
            </w:r>
          </w:p>
        </w:tc>
        <w:tc>
          <w:tcPr>
            <w:tcW w:w="1841" w:type="dxa"/>
          </w:tcPr>
          <w:p w14:paraId="315B2223"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سنغافورة</w:t>
            </w:r>
          </w:p>
        </w:tc>
      </w:tr>
      <w:tr w:rsidR="00D44330" w:rsidRPr="00024458" w14:paraId="525DDDB5" w14:textId="77777777" w:rsidTr="00F412D6">
        <w:trPr>
          <w:trHeight w:val="57"/>
        </w:trPr>
        <w:tc>
          <w:tcPr>
            <w:tcW w:w="1785" w:type="dxa"/>
          </w:tcPr>
          <w:p w14:paraId="055FD51C" w14:textId="77777777" w:rsidR="00D44330" w:rsidRPr="007701B1" w:rsidRDefault="00D44330" w:rsidP="002578FD">
            <w:pPr>
              <w:pStyle w:val="Normal-pool-Table"/>
              <w:bidi/>
              <w:spacing w:line="280" w:lineRule="exact"/>
              <w:rPr>
                <w:rFonts w:ascii="Simplified Arabic" w:hAnsi="Simplified Arabic" w:cs="Simplified Arabic"/>
                <w:color w:val="000000"/>
                <w:sz w:val="20"/>
                <w:rtl/>
              </w:rPr>
            </w:pPr>
          </w:p>
        </w:tc>
        <w:tc>
          <w:tcPr>
            <w:tcW w:w="4681" w:type="dxa"/>
          </w:tcPr>
          <w:p w14:paraId="487F3F74" w14:textId="77777777" w:rsidR="00D44330" w:rsidRPr="007701B1" w:rsidRDefault="00D44330" w:rsidP="002578FD">
            <w:pPr>
              <w:pStyle w:val="Normal-pool-Table"/>
              <w:bidi/>
              <w:spacing w:line="280" w:lineRule="exact"/>
              <w:rPr>
                <w:rFonts w:ascii="Simplified Arabic" w:hAnsi="Simplified Arabic" w:cs="Simplified Arabic"/>
                <w:color w:val="000000"/>
                <w:sz w:val="20"/>
                <w:rtl/>
              </w:rPr>
            </w:pPr>
          </w:p>
        </w:tc>
        <w:tc>
          <w:tcPr>
            <w:tcW w:w="1841" w:type="dxa"/>
          </w:tcPr>
          <w:p w14:paraId="54B22C64" w14:textId="77777777" w:rsidR="00D44330" w:rsidRPr="007701B1" w:rsidRDefault="00D44330" w:rsidP="002578FD">
            <w:pPr>
              <w:pStyle w:val="Normal-pool-Table"/>
              <w:bidi/>
              <w:spacing w:line="280" w:lineRule="exact"/>
              <w:rPr>
                <w:rFonts w:ascii="Simplified Arabic" w:hAnsi="Simplified Arabic" w:cs="Simplified Arabic"/>
                <w:color w:val="000000"/>
                <w:sz w:val="20"/>
                <w:rtl/>
              </w:rPr>
            </w:pPr>
          </w:p>
        </w:tc>
      </w:tr>
      <w:tr w:rsidR="00D44330" w:rsidRPr="00024458" w14:paraId="7E209F7F" w14:textId="77777777" w:rsidTr="00F412D6">
        <w:trPr>
          <w:trHeight w:val="57"/>
        </w:trPr>
        <w:tc>
          <w:tcPr>
            <w:tcW w:w="1785" w:type="dxa"/>
          </w:tcPr>
          <w:p w14:paraId="760F3960"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جمال الفزعي</w:t>
            </w:r>
          </w:p>
        </w:tc>
        <w:tc>
          <w:tcPr>
            <w:tcW w:w="4681" w:type="dxa"/>
          </w:tcPr>
          <w:p w14:paraId="411902CC"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عضو لجنة الخيارات التقنية لإخماد الحرائق</w:t>
            </w:r>
          </w:p>
        </w:tc>
        <w:tc>
          <w:tcPr>
            <w:tcW w:w="1841" w:type="dxa"/>
          </w:tcPr>
          <w:p w14:paraId="778D2DBD"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الكويت</w:t>
            </w:r>
          </w:p>
        </w:tc>
      </w:tr>
      <w:tr w:rsidR="00D44330" w:rsidRPr="00024458" w14:paraId="0F7AC3B0" w14:textId="77777777" w:rsidTr="00F412D6">
        <w:trPr>
          <w:trHeight w:val="57"/>
        </w:trPr>
        <w:tc>
          <w:tcPr>
            <w:tcW w:w="1785" w:type="dxa"/>
          </w:tcPr>
          <w:p w14:paraId="4493C472"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ميشيل م. كولينز</w:t>
            </w:r>
          </w:p>
        </w:tc>
        <w:tc>
          <w:tcPr>
            <w:tcW w:w="4681" w:type="dxa"/>
          </w:tcPr>
          <w:p w14:paraId="73E4263F"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عضو لجنة الخيارات التقنية لإخماد الحرائق</w:t>
            </w:r>
          </w:p>
        </w:tc>
        <w:tc>
          <w:tcPr>
            <w:tcW w:w="1841" w:type="dxa"/>
          </w:tcPr>
          <w:p w14:paraId="129C411D"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الولايات المتحدة الأمريكية</w:t>
            </w:r>
          </w:p>
        </w:tc>
      </w:tr>
      <w:tr w:rsidR="00D44330" w:rsidRPr="00024458" w14:paraId="3F06DE61" w14:textId="77777777" w:rsidTr="00F412D6">
        <w:trPr>
          <w:trHeight w:val="57"/>
        </w:trPr>
        <w:tc>
          <w:tcPr>
            <w:tcW w:w="1785" w:type="dxa"/>
          </w:tcPr>
          <w:p w14:paraId="73B1FBB8"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إيما بالومبو</w:t>
            </w:r>
          </w:p>
        </w:tc>
        <w:tc>
          <w:tcPr>
            <w:tcW w:w="4681" w:type="dxa"/>
          </w:tcPr>
          <w:p w14:paraId="0E12B84F"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عضو لجنة الخيارات التقنية لإخماد الحرائق</w:t>
            </w:r>
          </w:p>
        </w:tc>
        <w:tc>
          <w:tcPr>
            <w:tcW w:w="1841" w:type="dxa"/>
          </w:tcPr>
          <w:p w14:paraId="7F3568EA"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إيطاليا</w:t>
            </w:r>
          </w:p>
        </w:tc>
      </w:tr>
      <w:tr w:rsidR="00D44330" w:rsidRPr="00024458" w14:paraId="716A6A3E" w14:textId="77777777" w:rsidTr="00F412D6">
        <w:trPr>
          <w:trHeight w:val="57"/>
        </w:trPr>
        <w:tc>
          <w:tcPr>
            <w:tcW w:w="1785" w:type="dxa"/>
          </w:tcPr>
          <w:p w14:paraId="058E155F"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شياومينغ تشو</w:t>
            </w:r>
          </w:p>
        </w:tc>
        <w:tc>
          <w:tcPr>
            <w:tcW w:w="4681" w:type="dxa"/>
          </w:tcPr>
          <w:p w14:paraId="36D680BB"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عضو لجنة الخيارات التقنية لإخماد الحرائق</w:t>
            </w:r>
          </w:p>
        </w:tc>
        <w:tc>
          <w:tcPr>
            <w:tcW w:w="1841" w:type="dxa"/>
          </w:tcPr>
          <w:p w14:paraId="5E1547A5"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الصين</w:t>
            </w:r>
          </w:p>
        </w:tc>
      </w:tr>
      <w:tr w:rsidR="00D44330" w:rsidRPr="00024458" w14:paraId="65B54979" w14:textId="77777777" w:rsidTr="00F412D6">
        <w:trPr>
          <w:trHeight w:val="57"/>
        </w:trPr>
        <w:tc>
          <w:tcPr>
            <w:tcW w:w="1785" w:type="dxa"/>
          </w:tcPr>
          <w:p w14:paraId="1A7ABC8B" w14:textId="77777777" w:rsidR="00D44330" w:rsidRPr="007701B1" w:rsidRDefault="00D44330" w:rsidP="002578FD">
            <w:pPr>
              <w:pStyle w:val="Normal-pool-Table"/>
              <w:bidi/>
              <w:spacing w:line="280" w:lineRule="exact"/>
              <w:rPr>
                <w:rFonts w:ascii="Simplified Arabic" w:hAnsi="Simplified Arabic" w:cs="Simplified Arabic"/>
                <w:color w:val="000000"/>
                <w:sz w:val="20"/>
                <w:rtl/>
              </w:rPr>
            </w:pPr>
          </w:p>
        </w:tc>
        <w:tc>
          <w:tcPr>
            <w:tcW w:w="4681" w:type="dxa"/>
          </w:tcPr>
          <w:p w14:paraId="719FE940" w14:textId="77777777" w:rsidR="00D44330" w:rsidRPr="007701B1" w:rsidRDefault="00D44330" w:rsidP="002578FD">
            <w:pPr>
              <w:pStyle w:val="Normal-pool-Table"/>
              <w:bidi/>
              <w:spacing w:line="280" w:lineRule="exact"/>
              <w:rPr>
                <w:rFonts w:ascii="Simplified Arabic" w:hAnsi="Simplified Arabic" w:cs="Simplified Arabic"/>
                <w:color w:val="000000"/>
                <w:sz w:val="20"/>
                <w:rtl/>
              </w:rPr>
            </w:pPr>
          </w:p>
        </w:tc>
        <w:tc>
          <w:tcPr>
            <w:tcW w:w="1841" w:type="dxa"/>
          </w:tcPr>
          <w:p w14:paraId="1EC42467" w14:textId="77777777" w:rsidR="00D44330" w:rsidRPr="007701B1" w:rsidRDefault="00D44330" w:rsidP="002578FD">
            <w:pPr>
              <w:pStyle w:val="Normal-pool-Table"/>
              <w:bidi/>
              <w:spacing w:line="280" w:lineRule="exact"/>
              <w:rPr>
                <w:rFonts w:ascii="Simplified Arabic" w:hAnsi="Simplified Arabic" w:cs="Simplified Arabic"/>
                <w:color w:val="000000"/>
                <w:sz w:val="20"/>
                <w:rtl/>
              </w:rPr>
            </w:pPr>
          </w:p>
        </w:tc>
      </w:tr>
      <w:tr w:rsidR="00D44330" w:rsidRPr="00024458" w14:paraId="454FC609" w14:textId="77777777" w:rsidTr="00F412D6">
        <w:trPr>
          <w:trHeight w:val="57"/>
        </w:trPr>
        <w:tc>
          <w:tcPr>
            <w:tcW w:w="1785" w:type="dxa"/>
            <w:hideMark/>
          </w:tcPr>
          <w:p w14:paraId="76D0A0CA"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جوناثان بانكس</w:t>
            </w:r>
          </w:p>
        </w:tc>
        <w:tc>
          <w:tcPr>
            <w:tcW w:w="4681" w:type="dxa"/>
            <w:hideMark/>
          </w:tcPr>
          <w:p w14:paraId="3CB54C8F"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عضو لجنة الخيارات التقنية لبروميد الميثيل</w:t>
            </w:r>
          </w:p>
        </w:tc>
        <w:tc>
          <w:tcPr>
            <w:tcW w:w="1841" w:type="dxa"/>
            <w:hideMark/>
          </w:tcPr>
          <w:p w14:paraId="1246E870"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أستراليا</w:t>
            </w:r>
          </w:p>
        </w:tc>
      </w:tr>
      <w:tr w:rsidR="00D44330" w:rsidRPr="00024458" w14:paraId="7E556335" w14:textId="77777777" w:rsidTr="00F412D6">
        <w:trPr>
          <w:trHeight w:val="57"/>
        </w:trPr>
        <w:tc>
          <w:tcPr>
            <w:tcW w:w="1785" w:type="dxa"/>
          </w:tcPr>
          <w:p w14:paraId="206D2DB3"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آوشينغ كاو</w:t>
            </w:r>
          </w:p>
        </w:tc>
        <w:tc>
          <w:tcPr>
            <w:tcW w:w="4681" w:type="dxa"/>
          </w:tcPr>
          <w:p w14:paraId="177EEB1F"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عضو لجنة الخيارات التقنية لبروميد الميثيل</w:t>
            </w:r>
          </w:p>
        </w:tc>
        <w:tc>
          <w:tcPr>
            <w:tcW w:w="1841" w:type="dxa"/>
          </w:tcPr>
          <w:p w14:paraId="7B0EB57D"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الصين</w:t>
            </w:r>
          </w:p>
        </w:tc>
      </w:tr>
      <w:tr w:rsidR="00D44330" w:rsidRPr="00024458" w14:paraId="6AAB6DAC" w14:textId="77777777" w:rsidTr="00F412D6">
        <w:trPr>
          <w:trHeight w:val="57"/>
        </w:trPr>
        <w:tc>
          <w:tcPr>
            <w:tcW w:w="1785" w:type="dxa"/>
          </w:tcPr>
          <w:p w14:paraId="2CCBF08D"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غويليرمو كاستيلا</w:t>
            </w:r>
          </w:p>
        </w:tc>
        <w:tc>
          <w:tcPr>
            <w:tcW w:w="4681" w:type="dxa"/>
          </w:tcPr>
          <w:p w14:paraId="26D81449"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عضو لجنة الخيارات التقنية لبروميد الميثيل</w:t>
            </w:r>
          </w:p>
        </w:tc>
        <w:tc>
          <w:tcPr>
            <w:tcW w:w="1841" w:type="dxa"/>
          </w:tcPr>
          <w:p w14:paraId="4A8EFDCD"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أوروغواي</w:t>
            </w:r>
          </w:p>
        </w:tc>
      </w:tr>
      <w:tr w:rsidR="00D44330" w:rsidRPr="00024458" w14:paraId="10980DDB" w14:textId="77777777" w:rsidTr="00F412D6">
        <w:trPr>
          <w:trHeight w:val="57"/>
        </w:trPr>
        <w:tc>
          <w:tcPr>
            <w:tcW w:w="1785" w:type="dxa"/>
          </w:tcPr>
          <w:p w14:paraId="4D9B5545"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كانغ فنفن</w:t>
            </w:r>
          </w:p>
        </w:tc>
        <w:tc>
          <w:tcPr>
            <w:tcW w:w="4681" w:type="dxa"/>
          </w:tcPr>
          <w:p w14:paraId="5B232696"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عضو لجنة الخيارات التقنية لبروميد الميثيل</w:t>
            </w:r>
          </w:p>
        </w:tc>
        <w:tc>
          <w:tcPr>
            <w:tcW w:w="1841" w:type="dxa"/>
          </w:tcPr>
          <w:p w14:paraId="6E8C1F42"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الصين</w:t>
            </w:r>
          </w:p>
        </w:tc>
      </w:tr>
      <w:tr w:rsidR="00D44330" w:rsidRPr="00024458" w14:paraId="73FFC2BB" w14:textId="77777777" w:rsidTr="00F412D6">
        <w:trPr>
          <w:trHeight w:val="57"/>
        </w:trPr>
        <w:tc>
          <w:tcPr>
            <w:tcW w:w="1785" w:type="dxa"/>
          </w:tcPr>
          <w:p w14:paraId="34584D2C"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آيز أوزدم</w:t>
            </w:r>
          </w:p>
        </w:tc>
        <w:tc>
          <w:tcPr>
            <w:tcW w:w="4681" w:type="dxa"/>
          </w:tcPr>
          <w:p w14:paraId="3A9556D1"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عضو لجنة الخيارات التقنية لبروميد الميثيل</w:t>
            </w:r>
          </w:p>
        </w:tc>
        <w:tc>
          <w:tcPr>
            <w:tcW w:w="1841" w:type="dxa"/>
          </w:tcPr>
          <w:p w14:paraId="0E3074DC"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تركيا</w:t>
            </w:r>
          </w:p>
        </w:tc>
      </w:tr>
      <w:tr w:rsidR="00D44330" w:rsidRPr="00024458" w14:paraId="7E76E780" w14:textId="77777777" w:rsidTr="00F412D6">
        <w:trPr>
          <w:trHeight w:val="57"/>
        </w:trPr>
        <w:tc>
          <w:tcPr>
            <w:tcW w:w="1785" w:type="dxa"/>
          </w:tcPr>
          <w:p w14:paraId="35DE8395"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كين غلاسي</w:t>
            </w:r>
          </w:p>
        </w:tc>
        <w:tc>
          <w:tcPr>
            <w:tcW w:w="4681" w:type="dxa"/>
          </w:tcPr>
          <w:p w14:paraId="346ACA83"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عضو لجنة الخيارات التقنية لبروميد الميثيل</w:t>
            </w:r>
          </w:p>
        </w:tc>
        <w:tc>
          <w:tcPr>
            <w:tcW w:w="1841" w:type="dxa"/>
          </w:tcPr>
          <w:p w14:paraId="7FE7E631"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نيوزيلندا</w:t>
            </w:r>
          </w:p>
        </w:tc>
      </w:tr>
      <w:tr w:rsidR="00D44330" w:rsidRPr="00024458" w14:paraId="04B409FE" w14:textId="77777777" w:rsidTr="00F412D6">
        <w:trPr>
          <w:trHeight w:val="57"/>
        </w:trPr>
        <w:tc>
          <w:tcPr>
            <w:tcW w:w="1785" w:type="dxa"/>
          </w:tcPr>
          <w:p w14:paraId="329C0386"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إدواردو غونزاليس</w:t>
            </w:r>
          </w:p>
        </w:tc>
        <w:tc>
          <w:tcPr>
            <w:tcW w:w="4681" w:type="dxa"/>
          </w:tcPr>
          <w:p w14:paraId="2640066B"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عضو لجنة الخيارات التقنية لبروميد الميثيل</w:t>
            </w:r>
          </w:p>
        </w:tc>
        <w:tc>
          <w:tcPr>
            <w:tcW w:w="1841" w:type="dxa"/>
          </w:tcPr>
          <w:p w14:paraId="01430F71"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الفلبين</w:t>
            </w:r>
          </w:p>
        </w:tc>
      </w:tr>
      <w:tr w:rsidR="00D44330" w:rsidRPr="00024458" w14:paraId="23F5E9B3" w14:textId="77777777" w:rsidTr="00F412D6">
        <w:trPr>
          <w:trHeight w:val="57"/>
        </w:trPr>
        <w:tc>
          <w:tcPr>
            <w:tcW w:w="1785" w:type="dxa"/>
          </w:tcPr>
          <w:p w14:paraId="09F001A3"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تاكاشي ميسومي</w:t>
            </w:r>
          </w:p>
        </w:tc>
        <w:tc>
          <w:tcPr>
            <w:tcW w:w="4681" w:type="dxa"/>
          </w:tcPr>
          <w:p w14:paraId="577B7734"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عضو لجنة الخيارات التقنية لبروميد الميثيل</w:t>
            </w:r>
          </w:p>
        </w:tc>
        <w:tc>
          <w:tcPr>
            <w:tcW w:w="1841" w:type="dxa"/>
          </w:tcPr>
          <w:p w14:paraId="3698EE2C"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اليابان</w:t>
            </w:r>
          </w:p>
        </w:tc>
      </w:tr>
      <w:tr w:rsidR="00D44330" w:rsidRPr="00024458" w14:paraId="3DF17F43" w14:textId="77777777" w:rsidTr="00F412D6">
        <w:trPr>
          <w:trHeight w:val="57"/>
        </w:trPr>
        <w:tc>
          <w:tcPr>
            <w:tcW w:w="1785" w:type="dxa"/>
          </w:tcPr>
          <w:p w14:paraId="2C133818"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كريستوف رايشموت</w:t>
            </w:r>
          </w:p>
        </w:tc>
        <w:tc>
          <w:tcPr>
            <w:tcW w:w="4681" w:type="dxa"/>
          </w:tcPr>
          <w:p w14:paraId="785BAFCE"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عضو لجنة الخيارات التقنية لبروميد الميثيل</w:t>
            </w:r>
          </w:p>
        </w:tc>
        <w:tc>
          <w:tcPr>
            <w:tcW w:w="1841" w:type="dxa"/>
          </w:tcPr>
          <w:p w14:paraId="70746FCA"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ألمانيا</w:t>
            </w:r>
          </w:p>
        </w:tc>
      </w:tr>
      <w:tr w:rsidR="00D44330" w:rsidRPr="00024458" w14:paraId="17A630A5" w14:textId="77777777" w:rsidTr="00F412D6">
        <w:trPr>
          <w:trHeight w:val="57"/>
        </w:trPr>
        <w:tc>
          <w:tcPr>
            <w:tcW w:w="1785" w:type="dxa"/>
          </w:tcPr>
          <w:p w14:paraId="74ABEFF3"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أليخاندرو فالييرو</w:t>
            </w:r>
          </w:p>
        </w:tc>
        <w:tc>
          <w:tcPr>
            <w:tcW w:w="4681" w:type="dxa"/>
          </w:tcPr>
          <w:p w14:paraId="0321297A"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عضو لجنة الخيارات التقنية لبروميد الميثيل</w:t>
            </w:r>
          </w:p>
        </w:tc>
        <w:tc>
          <w:tcPr>
            <w:tcW w:w="1841" w:type="dxa"/>
          </w:tcPr>
          <w:p w14:paraId="2A40EBE3"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الأرجنتين</w:t>
            </w:r>
          </w:p>
        </w:tc>
      </w:tr>
      <w:tr w:rsidR="00D44330" w:rsidRPr="00024458" w14:paraId="06CCBE45" w14:textId="77777777" w:rsidTr="00F412D6">
        <w:trPr>
          <w:trHeight w:val="57"/>
        </w:trPr>
        <w:tc>
          <w:tcPr>
            <w:tcW w:w="1785" w:type="dxa"/>
          </w:tcPr>
          <w:p w14:paraId="5DA4F7DE" w14:textId="77777777" w:rsidR="00D44330" w:rsidRPr="007701B1" w:rsidRDefault="00D44330" w:rsidP="002578FD">
            <w:pPr>
              <w:pStyle w:val="Normal-pool-Table"/>
              <w:bidi/>
              <w:spacing w:line="280" w:lineRule="exact"/>
              <w:rPr>
                <w:rFonts w:ascii="Simplified Arabic" w:hAnsi="Simplified Arabic" w:cs="Simplified Arabic"/>
                <w:color w:val="000000"/>
                <w:sz w:val="20"/>
                <w:rtl/>
              </w:rPr>
            </w:pPr>
          </w:p>
        </w:tc>
        <w:tc>
          <w:tcPr>
            <w:tcW w:w="4681" w:type="dxa"/>
          </w:tcPr>
          <w:p w14:paraId="1CC5D5E5" w14:textId="77777777" w:rsidR="00D44330" w:rsidRPr="007701B1" w:rsidRDefault="00D44330" w:rsidP="002578FD">
            <w:pPr>
              <w:pStyle w:val="Normal-pool-Table"/>
              <w:bidi/>
              <w:spacing w:line="280" w:lineRule="exact"/>
              <w:rPr>
                <w:rFonts w:ascii="Simplified Arabic" w:hAnsi="Simplified Arabic" w:cs="Simplified Arabic"/>
                <w:color w:val="000000"/>
                <w:sz w:val="20"/>
                <w:rtl/>
              </w:rPr>
            </w:pPr>
          </w:p>
        </w:tc>
        <w:tc>
          <w:tcPr>
            <w:tcW w:w="1841" w:type="dxa"/>
          </w:tcPr>
          <w:p w14:paraId="6CAB684A" w14:textId="77777777" w:rsidR="00D44330" w:rsidRPr="007701B1" w:rsidRDefault="00D44330" w:rsidP="002578FD">
            <w:pPr>
              <w:pStyle w:val="Normal-pool-Table"/>
              <w:bidi/>
              <w:spacing w:line="280" w:lineRule="exact"/>
              <w:rPr>
                <w:rFonts w:ascii="Simplified Arabic" w:hAnsi="Simplified Arabic" w:cs="Simplified Arabic"/>
                <w:color w:val="000000"/>
                <w:sz w:val="20"/>
                <w:rtl/>
              </w:rPr>
            </w:pPr>
          </w:p>
        </w:tc>
      </w:tr>
      <w:tr w:rsidR="00D44330" w:rsidRPr="00024458" w14:paraId="45341E3E" w14:textId="77777777" w:rsidTr="00F412D6">
        <w:trPr>
          <w:trHeight w:val="57"/>
        </w:trPr>
        <w:tc>
          <w:tcPr>
            <w:tcW w:w="1785" w:type="dxa"/>
            <w:hideMark/>
          </w:tcPr>
          <w:p w14:paraId="77AC1961"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إيمانويل أدو-يوبو</w:t>
            </w:r>
          </w:p>
        </w:tc>
        <w:tc>
          <w:tcPr>
            <w:tcW w:w="4681" w:type="dxa"/>
            <w:hideMark/>
          </w:tcPr>
          <w:p w14:paraId="2056A6E9"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عضو لجنة الخيارات التقنية الطبية والكيميائية</w:t>
            </w:r>
          </w:p>
        </w:tc>
        <w:tc>
          <w:tcPr>
            <w:tcW w:w="1841" w:type="dxa"/>
            <w:hideMark/>
          </w:tcPr>
          <w:p w14:paraId="374DF81C"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غانا</w:t>
            </w:r>
          </w:p>
        </w:tc>
      </w:tr>
      <w:tr w:rsidR="00D44330" w:rsidRPr="00024458" w14:paraId="65E222CF" w14:textId="77777777" w:rsidTr="00F412D6">
        <w:trPr>
          <w:trHeight w:val="57"/>
        </w:trPr>
        <w:tc>
          <w:tcPr>
            <w:tcW w:w="1785" w:type="dxa"/>
            <w:hideMark/>
          </w:tcPr>
          <w:p w14:paraId="7B7902B7"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فاطمة الشطي</w:t>
            </w:r>
          </w:p>
        </w:tc>
        <w:tc>
          <w:tcPr>
            <w:tcW w:w="4681" w:type="dxa"/>
            <w:hideMark/>
          </w:tcPr>
          <w:p w14:paraId="6C6A30A5"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عضو لجنة الخيارات التقنية الطبية والكيميائية</w:t>
            </w:r>
          </w:p>
        </w:tc>
        <w:tc>
          <w:tcPr>
            <w:tcW w:w="1841" w:type="dxa"/>
          </w:tcPr>
          <w:p w14:paraId="40D9280C"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الكويت</w:t>
            </w:r>
          </w:p>
        </w:tc>
      </w:tr>
      <w:tr w:rsidR="00D44330" w:rsidRPr="00024458" w14:paraId="06F2AB40" w14:textId="77777777" w:rsidTr="00F412D6">
        <w:trPr>
          <w:trHeight w:val="251"/>
        </w:trPr>
        <w:tc>
          <w:tcPr>
            <w:tcW w:w="1785" w:type="dxa"/>
            <w:hideMark/>
          </w:tcPr>
          <w:p w14:paraId="2F5E3FDC"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بول آتكينز</w:t>
            </w:r>
          </w:p>
        </w:tc>
        <w:tc>
          <w:tcPr>
            <w:tcW w:w="4681" w:type="dxa"/>
            <w:hideMark/>
          </w:tcPr>
          <w:p w14:paraId="4DC49A89"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عضو لجنة الخيارات التقنية الطبية والكيميائية</w:t>
            </w:r>
          </w:p>
        </w:tc>
        <w:tc>
          <w:tcPr>
            <w:tcW w:w="1841" w:type="dxa"/>
            <w:hideMark/>
          </w:tcPr>
          <w:p w14:paraId="0A695BC8"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الولايات المتحدة الأمريكية</w:t>
            </w:r>
          </w:p>
        </w:tc>
      </w:tr>
      <w:tr w:rsidR="00D44330" w:rsidRPr="00A50247" w14:paraId="1DD7693B" w14:textId="77777777" w:rsidTr="00F412D6">
        <w:trPr>
          <w:trHeight w:val="251"/>
        </w:trPr>
        <w:tc>
          <w:tcPr>
            <w:tcW w:w="1785" w:type="dxa"/>
          </w:tcPr>
          <w:p w14:paraId="26A07471"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نيك كامبل</w:t>
            </w:r>
          </w:p>
        </w:tc>
        <w:tc>
          <w:tcPr>
            <w:tcW w:w="4681" w:type="dxa"/>
          </w:tcPr>
          <w:p w14:paraId="749FE3BF"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عضو لجنة الخيارات التقنية الطبية والكيميائية</w:t>
            </w:r>
          </w:p>
        </w:tc>
        <w:tc>
          <w:tcPr>
            <w:tcW w:w="1841" w:type="dxa"/>
          </w:tcPr>
          <w:p w14:paraId="34F10847"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المملكة المتحدة لبريطانيا العظمى وأيرلندا الشمالية</w:t>
            </w:r>
          </w:p>
        </w:tc>
      </w:tr>
      <w:tr w:rsidR="00D44330" w:rsidRPr="00024458" w14:paraId="1A7DB79E" w14:textId="77777777" w:rsidTr="00F412D6">
        <w:trPr>
          <w:trHeight w:val="251"/>
        </w:trPr>
        <w:tc>
          <w:tcPr>
            <w:tcW w:w="1785" w:type="dxa"/>
          </w:tcPr>
          <w:p w14:paraId="6BECC350"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ني صن (روبرت) تشونج كويت ييف</w:t>
            </w:r>
          </w:p>
        </w:tc>
        <w:tc>
          <w:tcPr>
            <w:tcW w:w="4681" w:type="dxa"/>
          </w:tcPr>
          <w:p w14:paraId="750DCDD1"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عضو لجنة الخيارات التقنية الطبية والكيميائية</w:t>
            </w:r>
          </w:p>
        </w:tc>
        <w:tc>
          <w:tcPr>
            <w:tcW w:w="1841" w:type="dxa"/>
          </w:tcPr>
          <w:p w14:paraId="2D9DD193"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موريشيوس</w:t>
            </w:r>
          </w:p>
        </w:tc>
      </w:tr>
      <w:tr w:rsidR="00D44330" w:rsidRPr="00024458" w14:paraId="44068FE1" w14:textId="77777777" w:rsidTr="00F412D6">
        <w:trPr>
          <w:trHeight w:val="251"/>
        </w:trPr>
        <w:tc>
          <w:tcPr>
            <w:tcW w:w="1785" w:type="dxa"/>
          </w:tcPr>
          <w:p w14:paraId="63F9D940"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جيانشين هو</w:t>
            </w:r>
          </w:p>
        </w:tc>
        <w:tc>
          <w:tcPr>
            <w:tcW w:w="4681" w:type="dxa"/>
          </w:tcPr>
          <w:p w14:paraId="03105694"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عضو لجنة الخيارات التقنية الطبية والكيميائية</w:t>
            </w:r>
          </w:p>
        </w:tc>
        <w:tc>
          <w:tcPr>
            <w:tcW w:w="1841" w:type="dxa"/>
          </w:tcPr>
          <w:p w14:paraId="24D61594"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الصين</w:t>
            </w:r>
          </w:p>
        </w:tc>
      </w:tr>
      <w:tr w:rsidR="00D44330" w:rsidRPr="00024458" w14:paraId="29A8E0B9" w14:textId="77777777" w:rsidTr="00F412D6">
        <w:trPr>
          <w:trHeight w:val="251"/>
        </w:trPr>
        <w:tc>
          <w:tcPr>
            <w:tcW w:w="1785" w:type="dxa"/>
          </w:tcPr>
          <w:p w14:paraId="4ACA95A9"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جافيد خان</w:t>
            </w:r>
          </w:p>
        </w:tc>
        <w:tc>
          <w:tcPr>
            <w:tcW w:w="4681" w:type="dxa"/>
          </w:tcPr>
          <w:p w14:paraId="58DC55F3"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عضو لجنة الخيارات التقنية الطبية والكيميائية</w:t>
            </w:r>
          </w:p>
        </w:tc>
        <w:tc>
          <w:tcPr>
            <w:tcW w:w="1841" w:type="dxa"/>
          </w:tcPr>
          <w:p w14:paraId="17DA3827"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باكستان</w:t>
            </w:r>
          </w:p>
        </w:tc>
      </w:tr>
      <w:tr w:rsidR="00D44330" w:rsidRPr="00A50247" w14:paraId="536CBC17" w14:textId="77777777" w:rsidTr="00F412D6">
        <w:trPr>
          <w:trHeight w:val="251"/>
        </w:trPr>
        <w:tc>
          <w:tcPr>
            <w:tcW w:w="1785" w:type="dxa"/>
          </w:tcPr>
          <w:p w14:paraId="4EC1E7A8"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تيم نواكس</w:t>
            </w:r>
          </w:p>
        </w:tc>
        <w:tc>
          <w:tcPr>
            <w:tcW w:w="4681" w:type="dxa"/>
          </w:tcPr>
          <w:p w14:paraId="7FE0F8AF"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عضو لجنة الخيارات التقنية الطبية والكيميائية</w:t>
            </w:r>
          </w:p>
        </w:tc>
        <w:tc>
          <w:tcPr>
            <w:tcW w:w="1841" w:type="dxa"/>
          </w:tcPr>
          <w:p w14:paraId="74B15DE9"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المملكة المتحدة لبريطانيا العظمى وأيرلندا الشمالية</w:t>
            </w:r>
          </w:p>
        </w:tc>
      </w:tr>
      <w:tr w:rsidR="00D44330" w:rsidRPr="00A50247" w14:paraId="14784CA7" w14:textId="77777777" w:rsidTr="00F412D6">
        <w:trPr>
          <w:trHeight w:val="251"/>
        </w:trPr>
        <w:tc>
          <w:tcPr>
            <w:tcW w:w="1785" w:type="dxa"/>
          </w:tcPr>
          <w:p w14:paraId="0D788F5B"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lastRenderedPageBreak/>
              <w:t>جون بريتشارد</w:t>
            </w:r>
          </w:p>
        </w:tc>
        <w:tc>
          <w:tcPr>
            <w:tcW w:w="4681" w:type="dxa"/>
          </w:tcPr>
          <w:p w14:paraId="65205718"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عضو لجنة الخيارات التقنية الطبية والكيميائية</w:t>
            </w:r>
          </w:p>
        </w:tc>
        <w:tc>
          <w:tcPr>
            <w:tcW w:w="1841" w:type="dxa"/>
          </w:tcPr>
          <w:p w14:paraId="24BA2709"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المملكة المتحدة لبريطانيا العظمى وأيرلندا الشمالية</w:t>
            </w:r>
          </w:p>
        </w:tc>
      </w:tr>
      <w:tr w:rsidR="00D44330" w:rsidRPr="00024458" w14:paraId="2D926295" w14:textId="77777777" w:rsidTr="00F412D6">
        <w:trPr>
          <w:trHeight w:val="251"/>
        </w:trPr>
        <w:tc>
          <w:tcPr>
            <w:tcW w:w="1785" w:type="dxa"/>
          </w:tcPr>
          <w:p w14:paraId="662167FA"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رابور رضا</w:t>
            </w:r>
          </w:p>
        </w:tc>
        <w:tc>
          <w:tcPr>
            <w:tcW w:w="4681" w:type="dxa"/>
          </w:tcPr>
          <w:p w14:paraId="2A9EBC56"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عضو لجنة الخيارات التقنية الطبية والكيميائية</w:t>
            </w:r>
          </w:p>
        </w:tc>
        <w:tc>
          <w:tcPr>
            <w:tcW w:w="1841" w:type="dxa"/>
          </w:tcPr>
          <w:p w14:paraId="26ABF2E8"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بنغلاديش</w:t>
            </w:r>
          </w:p>
        </w:tc>
      </w:tr>
      <w:tr w:rsidR="00D44330" w:rsidRPr="00024458" w14:paraId="4C546D24" w14:textId="77777777" w:rsidTr="00F412D6">
        <w:trPr>
          <w:trHeight w:val="251"/>
        </w:trPr>
        <w:tc>
          <w:tcPr>
            <w:tcW w:w="1785" w:type="dxa"/>
          </w:tcPr>
          <w:p w14:paraId="63DCBFB9"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كريستين وورلو</w:t>
            </w:r>
          </w:p>
        </w:tc>
        <w:tc>
          <w:tcPr>
            <w:tcW w:w="4681" w:type="dxa"/>
          </w:tcPr>
          <w:p w14:paraId="26B414FE"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عضو لجنة الخيارات التقنية الطبية والكيميائية</w:t>
            </w:r>
          </w:p>
        </w:tc>
        <w:tc>
          <w:tcPr>
            <w:tcW w:w="1841" w:type="dxa"/>
          </w:tcPr>
          <w:p w14:paraId="6596269E"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أستراليا</w:t>
            </w:r>
          </w:p>
        </w:tc>
      </w:tr>
      <w:tr w:rsidR="00D44330" w:rsidRPr="00024458" w14:paraId="2005CF36" w14:textId="77777777" w:rsidTr="00F412D6">
        <w:trPr>
          <w:trHeight w:val="251"/>
        </w:trPr>
        <w:tc>
          <w:tcPr>
            <w:tcW w:w="1785" w:type="dxa"/>
          </w:tcPr>
          <w:p w14:paraId="5DEBCD93"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ليفي تشانغ</w:t>
            </w:r>
          </w:p>
        </w:tc>
        <w:tc>
          <w:tcPr>
            <w:tcW w:w="4681" w:type="dxa"/>
          </w:tcPr>
          <w:p w14:paraId="3A3A75E4"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عضو لجنة الخيارات التقنية الطبية والكيميائية</w:t>
            </w:r>
          </w:p>
        </w:tc>
        <w:tc>
          <w:tcPr>
            <w:tcW w:w="1841" w:type="dxa"/>
          </w:tcPr>
          <w:p w14:paraId="6FC97E79"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الصين</w:t>
            </w:r>
          </w:p>
        </w:tc>
      </w:tr>
      <w:tr w:rsidR="00D44330" w:rsidRPr="00024458" w14:paraId="7E8FD1B2" w14:textId="77777777" w:rsidTr="00F412D6">
        <w:trPr>
          <w:trHeight w:val="197"/>
        </w:trPr>
        <w:tc>
          <w:tcPr>
            <w:tcW w:w="1785" w:type="dxa"/>
            <w:tcBorders>
              <w:top w:val="nil"/>
              <w:left w:val="nil"/>
              <w:right w:val="nil"/>
            </w:tcBorders>
          </w:tcPr>
          <w:p w14:paraId="19EB09C9" w14:textId="77777777" w:rsidR="00D44330" w:rsidRPr="007701B1" w:rsidRDefault="00D44330" w:rsidP="002578FD">
            <w:pPr>
              <w:pStyle w:val="Normal-pool-Table"/>
              <w:bidi/>
              <w:spacing w:line="280" w:lineRule="exact"/>
              <w:rPr>
                <w:rFonts w:ascii="Simplified Arabic" w:hAnsi="Simplified Arabic" w:cs="Simplified Arabic"/>
                <w:color w:val="000000"/>
                <w:sz w:val="20"/>
                <w:rtl/>
              </w:rPr>
            </w:pPr>
          </w:p>
        </w:tc>
        <w:tc>
          <w:tcPr>
            <w:tcW w:w="4681" w:type="dxa"/>
            <w:tcBorders>
              <w:top w:val="nil"/>
              <w:left w:val="nil"/>
              <w:right w:val="nil"/>
            </w:tcBorders>
          </w:tcPr>
          <w:p w14:paraId="68E31C37" w14:textId="77777777" w:rsidR="00D44330" w:rsidRPr="007701B1" w:rsidRDefault="00D44330" w:rsidP="002578FD">
            <w:pPr>
              <w:pStyle w:val="Normal-pool-Table"/>
              <w:bidi/>
              <w:spacing w:line="280" w:lineRule="exact"/>
              <w:rPr>
                <w:rFonts w:ascii="Simplified Arabic" w:hAnsi="Simplified Arabic" w:cs="Simplified Arabic"/>
                <w:color w:val="000000"/>
                <w:sz w:val="20"/>
                <w:rtl/>
              </w:rPr>
            </w:pPr>
          </w:p>
        </w:tc>
        <w:tc>
          <w:tcPr>
            <w:tcW w:w="1841" w:type="dxa"/>
            <w:tcBorders>
              <w:top w:val="nil"/>
              <w:left w:val="nil"/>
              <w:right w:val="nil"/>
            </w:tcBorders>
          </w:tcPr>
          <w:p w14:paraId="6BBE4CA9" w14:textId="77777777" w:rsidR="00D44330" w:rsidRPr="007701B1" w:rsidRDefault="00D44330" w:rsidP="002578FD">
            <w:pPr>
              <w:pStyle w:val="Normal-pool-Table"/>
              <w:bidi/>
              <w:spacing w:line="280" w:lineRule="exact"/>
              <w:rPr>
                <w:rFonts w:ascii="Simplified Arabic" w:hAnsi="Simplified Arabic" w:cs="Simplified Arabic"/>
                <w:color w:val="000000"/>
                <w:sz w:val="20"/>
                <w:rtl/>
              </w:rPr>
            </w:pPr>
          </w:p>
        </w:tc>
      </w:tr>
      <w:tr w:rsidR="00D44330" w:rsidRPr="00024458" w14:paraId="0E771725" w14:textId="77777777" w:rsidTr="00F412D6">
        <w:trPr>
          <w:trHeight w:val="256"/>
        </w:trPr>
        <w:tc>
          <w:tcPr>
            <w:tcW w:w="1785" w:type="dxa"/>
          </w:tcPr>
          <w:p w14:paraId="6E6CA5DA"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يسر علوش</w:t>
            </w:r>
          </w:p>
        </w:tc>
        <w:tc>
          <w:tcPr>
            <w:tcW w:w="4681" w:type="dxa"/>
            <w:tcBorders>
              <w:top w:val="nil"/>
              <w:left w:val="nil"/>
              <w:right w:val="nil"/>
            </w:tcBorders>
          </w:tcPr>
          <w:p w14:paraId="592396B4"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عضو لجنة الخيارات التقنية للتبريد وتكييف الهواء والمضخات الحرارية</w:t>
            </w:r>
          </w:p>
        </w:tc>
        <w:tc>
          <w:tcPr>
            <w:tcW w:w="1841" w:type="dxa"/>
          </w:tcPr>
          <w:p w14:paraId="455950A1"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تونس</w:t>
            </w:r>
          </w:p>
        </w:tc>
      </w:tr>
      <w:tr w:rsidR="00D44330" w:rsidRPr="00024458" w14:paraId="169B6561" w14:textId="77777777" w:rsidTr="00F412D6">
        <w:trPr>
          <w:trHeight w:val="256"/>
        </w:trPr>
        <w:tc>
          <w:tcPr>
            <w:tcW w:w="1785" w:type="dxa"/>
          </w:tcPr>
          <w:p w14:paraId="09BF9414"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جيتندرا بامبور</w:t>
            </w:r>
          </w:p>
        </w:tc>
        <w:tc>
          <w:tcPr>
            <w:tcW w:w="4681" w:type="dxa"/>
            <w:tcBorders>
              <w:top w:val="nil"/>
              <w:left w:val="nil"/>
              <w:right w:val="nil"/>
            </w:tcBorders>
          </w:tcPr>
          <w:p w14:paraId="15A06822"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عضو لجنة الخيارات التقنية للتبريد وتكييف الهواء والمضخات الحرارية</w:t>
            </w:r>
          </w:p>
        </w:tc>
        <w:tc>
          <w:tcPr>
            <w:tcW w:w="1841" w:type="dxa"/>
          </w:tcPr>
          <w:p w14:paraId="45C7A1EA"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الهند</w:t>
            </w:r>
          </w:p>
        </w:tc>
      </w:tr>
      <w:tr w:rsidR="00D44330" w:rsidRPr="00024458" w14:paraId="00E0A2AF" w14:textId="77777777" w:rsidTr="00F412D6">
        <w:trPr>
          <w:trHeight w:val="197"/>
        </w:trPr>
        <w:tc>
          <w:tcPr>
            <w:tcW w:w="1785" w:type="dxa"/>
          </w:tcPr>
          <w:p w14:paraId="628CE5C5"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ماريا بريتو باسيلار</w:t>
            </w:r>
          </w:p>
        </w:tc>
        <w:tc>
          <w:tcPr>
            <w:tcW w:w="4681" w:type="dxa"/>
            <w:tcBorders>
              <w:top w:val="nil"/>
              <w:left w:val="nil"/>
              <w:right w:val="nil"/>
            </w:tcBorders>
          </w:tcPr>
          <w:p w14:paraId="5257A4DC"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عضو لجنة الخيارات التقنية للتبريد وتكييف الهواء والمضخات الحرارية</w:t>
            </w:r>
          </w:p>
        </w:tc>
        <w:tc>
          <w:tcPr>
            <w:tcW w:w="1841" w:type="dxa"/>
          </w:tcPr>
          <w:p w14:paraId="075C7427"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البرازيل</w:t>
            </w:r>
          </w:p>
        </w:tc>
      </w:tr>
      <w:tr w:rsidR="00D44330" w:rsidRPr="00024458" w14:paraId="049558C9" w14:textId="77777777" w:rsidTr="00F412D6">
        <w:trPr>
          <w:trHeight w:val="197"/>
        </w:trPr>
        <w:tc>
          <w:tcPr>
            <w:tcW w:w="1785" w:type="dxa"/>
          </w:tcPr>
          <w:p w14:paraId="44CDD4FD"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فينغ تساو</w:t>
            </w:r>
          </w:p>
        </w:tc>
        <w:tc>
          <w:tcPr>
            <w:tcW w:w="4681" w:type="dxa"/>
            <w:tcBorders>
              <w:top w:val="nil"/>
              <w:left w:val="nil"/>
              <w:right w:val="nil"/>
            </w:tcBorders>
          </w:tcPr>
          <w:p w14:paraId="2770B758"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عضو لجنة الخيارات التقنية للتبريد وتكييف الهواء والمضخات الحرارية</w:t>
            </w:r>
          </w:p>
        </w:tc>
        <w:tc>
          <w:tcPr>
            <w:tcW w:w="1841" w:type="dxa"/>
          </w:tcPr>
          <w:p w14:paraId="2A366A36"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الصين</w:t>
            </w:r>
          </w:p>
        </w:tc>
      </w:tr>
      <w:tr w:rsidR="00D44330" w:rsidRPr="00024458" w14:paraId="694304B9" w14:textId="77777777" w:rsidTr="00F412D6">
        <w:trPr>
          <w:trHeight w:val="197"/>
        </w:trPr>
        <w:tc>
          <w:tcPr>
            <w:tcW w:w="1785" w:type="dxa"/>
          </w:tcPr>
          <w:p w14:paraId="707BCF37"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آنا ماريا كارينيو</w:t>
            </w:r>
          </w:p>
        </w:tc>
        <w:tc>
          <w:tcPr>
            <w:tcW w:w="4681" w:type="dxa"/>
            <w:tcBorders>
              <w:top w:val="nil"/>
              <w:left w:val="nil"/>
              <w:right w:val="nil"/>
            </w:tcBorders>
          </w:tcPr>
          <w:p w14:paraId="58C953A9"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عضو لجنة الخيارات التقنية للتبريد وتكييف الهواء والمضخات الحرارية</w:t>
            </w:r>
          </w:p>
        </w:tc>
        <w:tc>
          <w:tcPr>
            <w:tcW w:w="1841" w:type="dxa"/>
          </w:tcPr>
          <w:p w14:paraId="3E9B5CC7"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كولومبيا</w:t>
            </w:r>
          </w:p>
        </w:tc>
      </w:tr>
      <w:tr w:rsidR="00D44330" w:rsidRPr="00024458" w14:paraId="1F56CBE3" w14:textId="77777777" w:rsidTr="00F412D6">
        <w:trPr>
          <w:trHeight w:val="197"/>
        </w:trPr>
        <w:tc>
          <w:tcPr>
            <w:tcW w:w="1785" w:type="dxa"/>
          </w:tcPr>
          <w:p w14:paraId="4B192385"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راديم سيرماك</w:t>
            </w:r>
          </w:p>
        </w:tc>
        <w:tc>
          <w:tcPr>
            <w:tcW w:w="4681" w:type="dxa"/>
            <w:tcBorders>
              <w:top w:val="nil"/>
              <w:left w:val="nil"/>
              <w:right w:val="nil"/>
            </w:tcBorders>
          </w:tcPr>
          <w:p w14:paraId="1E7477E4"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عضو لجنة الخيارات التقنية للتبريد وتكييف الهواء والمضخات الحرارية</w:t>
            </w:r>
          </w:p>
        </w:tc>
        <w:tc>
          <w:tcPr>
            <w:tcW w:w="1841" w:type="dxa"/>
          </w:tcPr>
          <w:p w14:paraId="75281FBF"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تشيكيا</w:t>
            </w:r>
          </w:p>
        </w:tc>
      </w:tr>
      <w:tr w:rsidR="00D44330" w:rsidRPr="00024458" w14:paraId="196F242C" w14:textId="77777777" w:rsidTr="00F412D6">
        <w:trPr>
          <w:trHeight w:val="197"/>
        </w:trPr>
        <w:tc>
          <w:tcPr>
            <w:tcW w:w="1785" w:type="dxa"/>
          </w:tcPr>
          <w:p w14:paraId="5FD893B6"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يو تشين</w:t>
            </w:r>
          </w:p>
        </w:tc>
        <w:tc>
          <w:tcPr>
            <w:tcW w:w="4681" w:type="dxa"/>
            <w:tcBorders>
              <w:top w:val="nil"/>
              <w:left w:val="nil"/>
              <w:right w:val="nil"/>
            </w:tcBorders>
          </w:tcPr>
          <w:p w14:paraId="12A79B91"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عضو لجنة الخيارات التقنية للتبريد وتكييف الهواء والمضخات الحرارية</w:t>
            </w:r>
          </w:p>
        </w:tc>
        <w:tc>
          <w:tcPr>
            <w:tcW w:w="1841" w:type="dxa"/>
          </w:tcPr>
          <w:p w14:paraId="4307B31C"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الولايات المتحدة الأمريكية</w:t>
            </w:r>
          </w:p>
        </w:tc>
      </w:tr>
      <w:tr w:rsidR="00D44330" w:rsidRPr="00A50247" w14:paraId="2C69B0A6" w14:textId="77777777" w:rsidTr="00F412D6">
        <w:trPr>
          <w:trHeight w:val="197"/>
        </w:trPr>
        <w:tc>
          <w:tcPr>
            <w:tcW w:w="1785" w:type="dxa"/>
          </w:tcPr>
          <w:p w14:paraId="57CB6E25"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دانييل كولبورن</w:t>
            </w:r>
          </w:p>
        </w:tc>
        <w:tc>
          <w:tcPr>
            <w:tcW w:w="4681" w:type="dxa"/>
            <w:tcBorders>
              <w:top w:val="nil"/>
              <w:left w:val="nil"/>
              <w:right w:val="nil"/>
            </w:tcBorders>
          </w:tcPr>
          <w:p w14:paraId="324D6A31"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عضو لجنة الخيارات التقنية للتبريد وتكييف الهواء والمضخات الحرارية</w:t>
            </w:r>
          </w:p>
        </w:tc>
        <w:tc>
          <w:tcPr>
            <w:tcW w:w="1841" w:type="dxa"/>
          </w:tcPr>
          <w:p w14:paraId="5EEFB117"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المملكة المتحدة لبريطانيا العظمى وأيرلندا الشمالية</w:t>
            </w:r>
          </w:p>
        </w:tc>
      </w:tr>
      <w:tr w:rsidR="00D44330" w:rsidRPr="00024458" w14:paraId="691A90C1" w14:textId="77777777" w:rsidTr="00F412D6">
        <w:trPr>
          <w:trHeight w:val="197"/>
        </w:trPr>
        <w:tc>
          <w:tcPr>
            <w:tcW w:w="1785" w:type="dxa"/>
          </w:tcPr>
          <w:p w14:paraId="6DAA9C5B"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سوكومار ديفوتا</w:t>
            </w:r>
          </w:p>
        </w:tc>
        <w:tc>
          <w:tcPr>
            <w:tcW w:w="4681" w:type="dxa"/>
            <w:tcBorders>
              <w:top w:val="nil"/>
              <w:left w:val="nil"/>
              <w:right w:val="nil"/>
            </w:tcBorders>
          </w:tcPr>
          <w:p w14:paraId="453D36E9"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عضو لجنة الخيارات التقنية للتبريد وتكييف الهواء والمضخات الحرارية</w:t>
            </w:r>
          </w:p>
        </w:tc>
        <w:tc>
          <w:tcPr>
            <w:tcW w:w="1841" w:type="dxa"/>
          </w:tcPr>
          <w:p w14:paraId="58705931"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الهند</w:t>
            </w:r>
          </w:p>
        </w:tc>
      </w:tr>
      <w:tr w:rsidR="00D44330" w:rsidRPr="00024458" w14:paraId="2079C968" w14:textId="77777777" w:rsidTr="00F412D6">
        <w:trPr>
          <w:trHeight w:val="197"/>
        </w:trPr>
        <w:tc>
          <w:tcPr>
            <w:tcW w:w="1785" w:type="dxa"/>
          </w:tcPr>
          <w:p w14:paraId="3B3021CB"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هيلدي دونت</w:t>
            </w:r>
          </w:p>
        </w:tc>
        <w:tc>
          <w:tcPr>
            <w:tcW w:w="4681" w:type="dxa"/>
            <w:tcBorders>
              <w:top w:val="nil"/>
              <w:left w:val="nil"/>
              <w:right w:val="nil"/>
            </w:tcBorders>
          </w:tcPr>
          <w:p w14:paraId="408D2EE1"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عضو لجنة الخيارات التقنية للتبريد وتكييف الهواء والمضخات الحرارية</w:t>
            </w:r>
          </w:p>
        </w:tc>
        <w:tc>
          <w:tcPr>
            <w:tcW w:w="1841" w:type="dxa"/>
          </w:tcPr>
          <w:p w14:paraId="034C482E"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بلجيكا</w:t>
            </w:r>
          </w:p>
        </w:tc>
      </w:tr>
      <w:tr w:rsidR="00D44330" w:rsidRPr="00024458" w14:paraId="2BC8DC94" w14:textId="77777777" w:rsidTr="00F412D6">
        <w:trPr>
          <w:trHeight w:val="197"/>
        </w:trPr>
        <w:tc>
          <w:tcPr>
            <w:tcW w:w="1785" w:type="dxa"/>
          </w:tcPr>
          <w:p w14:paraId="7B305334"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غابرييل دريفوس</w:t>
            </w:r>
          </w:p>
        </w:tc>
        <w:tc>
          <w:tcPr>
            <w:tcW w:w="4681" w:type="dxa"/>
            <w:tcBorders>
              <w:top w:val="nil"/>
              <w:left w:val="nil"/>
              <w:right w:val="nil"/>
            </w:tcBorders>
          </w:tcPr>
          <w:p w14:paraId="07F4DA1F"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عضو لجنة الخيارات التقنية للتبريد وتكييف الهواء والمضخات الحرارية</w:t>
            </w:r>
          </w:p>
        </w:tc>
        <w:tc>
          <w:tcPr>
            <w:tcW w:w="1841" w:type="dxa"/>
          </w:tcPr>
          <w:p w14:paraId="57607DD9"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الولايات المتحدة الأمريكية</w:t>
            </w:r>
          </w:p>
        </w:tc>
      </w:tr>
      <w:tr w:rsidR="00D44330" w:rsidRPr="00024458" w14:paraId="4C603E25" w14:textId="77777777" w:rsidTr="00F412D6">
        <w:trPr>
          <w:trHeight w:val="197"/>
        </w:trPr>
        <w:tc>
          <w:tcPr>
            <w:tcW w:w="1785" w:type="dxa"/>
          </w:tcPr>
          <w:p w14:paraId="53C2DF13"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بسام الأسعد</w:t>
            </w:r>
          </w:p>
        </w:tc>
        <w:tc>
          <w:tcPr>
            <w:tcW w:w="4681" w:type="dxa"/>
            <w:tcBorders>
              <w:top w:val="nil"/>
              <w:left w:val="nil"/>
              <w:right w:val="nil"/>
            </w:tcBorders>
          </w:tcPr>
          <w:p w14:paraId="75F4B66A"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عضو لجنة الخيارات التقنية للتبريد وتكييف الهواء والمضخات الحرارية</w:t>
            </w:r>
          </w:p>
        </w:tc>
        <w:tc>
          <w:tcPr>
            <w:tcW w:w="1841" w:type="dxa"/>
          </w:tcPr>
          <w:p w14:paraId="4806EA88"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لبنان</w:t>
            </w:r>
          </w:p>
        </w:tc>
      </w:tr>
      <w:tr w:rsidR="00D44330" w:rsidRPr="00024458" w14:paraId="3274C08F" w14:textId="77777777" w:rsidTr="00F412D6">
        <w:trPr>
          <w:trHeight w:val="197"/>
        </w:trPr>
        <w:tc>
          <w:tcPr>
            <w:tcW w:w="1785" w:type="dxa"/>
          </w:tcPr>
          <w:p w14:paraId="233CEA02"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كايلي فارلي</w:t>
            </w:r>
          </w:p>
        </w:tc>
        <w:tc>
          <w:tcPr>
            <w:tcW w:w="4681" w:type="dxa"/>
            <w:tcBorders>
              <w:top w:val="nil"/>
              <w:left w:val="nil"/>
              <w:right w:val="nil"/>
            </w:tcBorders>
          </w:tcPr>
          <w:p w14:paraId="72EA1D06"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عضو لجنة الخيارات التقنية للتبريد وتكييف الهواء والمضخات الحرارية</w:t>
            </w:r>
          </w:p>
        </w:tc>
        <w:tc>
          <w:tcPr>
            <w:tcW w:w="1841" w:type="dxa"/>
          </w:tcPr>
          <w:p w14:paraId="1A686844"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أستراليا</w:t>
            </w:r>
          </w:p>
        </w:tc>
      </w:tr>
      <w:tr w:rsidR="00D44330" w:rsidRPr="00024458" w14:paraId="3A80369F" w14:textId="77777777" w:rsidTr="00F412D6">
        <w:trPr>
          <w:trHeight w:val="197"/>
        </w:trPr>
        <w:tc>
          <w:tcPr>
            <w:tcW w:w="1785" w:type="dxa"/>
          </w:tcPr>
          <w:p w14:paraId="440C0F35"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تشيانغ غاو</w:t>
            </w:r>
          </w:p>
        </w:tc>
        <w:tc>
          <w:tcPr>
            <w:tcW w:w="4681" w:type="dxa"/>
            <w:tcBorders>
              <w:top w:val="nil"/>
              <w:left w:val="nil"/>
              <w:right w:val="nil"/>
            </w:tcBorders>
          </w:tcPr>
          <w:p w14:paraId="1DB03541"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عضو لجنة الخيارات التقنية للتبريد وتكييف الهواء والمضخات الحرارية</w:t>
            </w:r>
          </w:p>
        </w:tc>
        <w:tc>
          <w:tcPr>
            <w:tcW w:w="1841" w:type="dxa"/>
          </w:tcPr>
          <w:p w14:paraId="0BF7BFA8"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الصين</w:t>
            </w:r>
          </w:p>
        </w:tc>
      </w:tr>
      <w:tr w:rsidR="00D44330" w:rsidRPr="00A50247" w14:paraId="6B64065C" w14:textId="77777777" w:rsidTr="00F412D6">
        <w:trPr>
          <w:trHeight w:val="197"/>
        </w:trPr>
        <w:tc>
          <w:tcPr>
            <w:tcW w:w="1785" w:type="dxa"/>
          </w:tcPr>
          <w:p w14:paraId="63BC3A24"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 xml:space="preserve">راي غلوكمان </w:t>
            </w:r>
          </w:p>
        </w:tc>
        <w:tc>
          <w:tcPr>
            <w:tcW w:w="4681" w:type="dxa"/>
            <w:tcBorders>
              <w:top w:val="nil"/>
              <w:left w:val="nil"/>
              <w:right w:val="nil"/>
            </w:tcBorders>
          </w:tcPr>
          <w:p w14:paraId="470F62C0"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عضو لجنة الخيارات التقنية للتبريد وتكييف الهواء والمضخات الحرارية</w:t>
            </w:r>
          </w:p>
        </w:tc>
        <w:tc>
          <w:tcPr>
            <w:tcW w:w="1841" w:type="dxa"/>
          </w:tcPr>
          <w:p w14:paraId="344C3A44"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المملكة المتحدة لبريطانيا العظمى وأيرلندا الشمالية</w:t>
            </w:r>
          </w:p>
        </w:tc>
      </w:tr>
      <w:tr w:rsidR="00D44330" w:rsidRPr="00024458" w14:paraId="2602379C" w14:textId="77777777" w:rsidTr="00F412D6">
        <w:trPr>
          <w:trHeight w:val="197"/>
        </w:trPr>
        <w:tc>
          <w:tcPr>
            <w:tcW w:w="1785" w:type="dxa"/>
          </w:tcPr>
          <w:p w14:paraId="7754F872"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سمير حامد</w:t>
            </w:r>
          </w:p>
        </w:tc>
        <w:tc>
          <w:tcPr>
            <w:tcW w:w="4681" w:type="dxa"/>
            <w:tcBorders>
              <w:top w:val="nil"/>
              <w:left w:val="nil"/>
              <w:right w:val="nil"/>
            </w:tcBorders>
          </w:tcPr>
          <w:p w14:paraId="11CC2587"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عضو لجنة الخيارات التقنية للتبريد وتكييف الهواء والمضخات الحرارية</w:t>
            </w:r>
          </w:p>
        </w:tc>
        <w:tc>
          <w:tcPr>
            <w:tcW w:w="1841" w:type="dxa"/>
          </w:tcPr>
          <w:p w14:paraId="5FC8661C"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الأردن</w:t>
            </w:r>
          </w:p>
        </w:tc>
      </w:tr>
      <w:tr w:rsidR="00D44330" w:rsidRPr="00024458" w14:paraId="448F0EE6" w14:textId="77777777" w:rsidTr="00F412D6">
        <w:trPr>
          <w:trHeight w:val="197"/>
        </w:trPr>
        <w:tc>
          <w:tcPr>
            <w:tcW w:w="1785" w:type="dxa"/>
          </w:tcPr>
          <w:p w14:paraId="3E1C23AE"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هيرلين هيرليانيكا</w:t>
            </w:r>
          </w:p>
        </w:tc>
        <w:tc>
          <w:tcPr>
            <w:tcW w:w="4681" w:type="dxa"/>
            <w:tcBorders>
              <w:top w:val="nil"/>
              <w:left w:val="nil"/>
              <w:right w:val="nil"/>
            </w:tcBorders>
          </w:tcPr>
          <w:p w14:paraId="5891930A"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عضو لجنة الخيارات التقنية للتبريد وتكييف الهواء والمضخات الحرارية</w:t>
            </w:r>
          </w:p>
        </w:tc>
        <w:tc>
          <w:tcPr>
            <w:tcW w:w="1841" w:type="dxa"/>
          </w:tcPr>
          <w:p w14:paraId="63C2D5C0"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إندونيسيا</w:t>
            </w:r>
          </w:p>
        </w:tc>
      </w:tr>
      <w:tr w:rsidR="00D44330" w:rsidRPr="00024458" w14:paraId="1AB13A75" w14:textId="77777777" w:rsidTr="00F412D6">
        <w:trPr>
          <w:trHeight w:val="197"/>
        </w:trPr>
        <w:tc>
          <w:tcPr>
            <w:tcW w:w="1785" w:type="dxa"/>
          </w:tcPr>
          <w:p w14:paraId="3F3B79D4"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يوكي كاميوكا</w:t>
            </w:r>
          </w:p>
        </w:tc>
        <w:tc>
          <w:tcPr>
            <w:tcW w:w="4681" w:type="dxa"/>
            <w:tcBorders>
              <w:top w:val="nil"/>
              <w:left w:val="nil"/>
              <w:right w:val="nil"/>
            </w:tcBorders>
          </w:tcPr>
          <w:p w14:paraId="67BD7F8C"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عضو لجنة الخيارات التقنية للتبريد وتكييف الهواء والمضخات الحرارية</w:t>
            </w:r>
          </w:p>
        </w:tc>
        <w:tc>
          <w:tcPr>
            <w:tcW w:w="1841" w:type="dxa"/>
          </w:tcPr>
          <w:p w14:paraId="6BD30D47"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اليابان</w:t>
            </w:r>
          </w:p>
        </w:tc>
      </w:tr>
      <w:tr w:rsidR="00D44330" w:rsidRPr="00024458" w14:paraId="65E09F2E" w14:textId="77777777" w:rsidTr="00F412D6">
        <w:trPr>
          <w:trHeight w:val="197"/>
        </w:trPr>
        <w:tc>
          <w:tcPr>
            <w:tcW w:w="1785" w:type="dxa"/>
          </w:tcPr>
          <w:p w14:paraId="1C1C5015"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مايكل كوفيلد</w:t>
            </w:r>
          </w:p>
        </w:tc>
        <w:tc>
          <w:tcPr>
            <w:tcW w:w="4681" w:type="dxa"/>
            <w:tcBorders>
              <w:top w:val="nil"/>
              <w:left w:val="nil"/>
              <w:right w:val="nil"/>
            </w:tcBorders>
          </w:tcPr>
          <w:p w14:paraId="0538E43D"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عضو لجنة الخيارات التقنية للتبريد وتكييف الهواء والمضخات الحرارية</w:t>
            </w:r>
          </w:p>
        </w:tc>
        <w:tc>
          <w:tcPr>
            <w:tcW w:w="1841" w:type="dxa"/>
          </w:tcPr>
          <w:p w14:paraId="7298AAE2"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ألمانيا</w:t>
            </w:r>
          </w:p>
        </w:tc>
      </w:tr>
      <w:tr w:rsidR="00D44330" w:rsidRPr="00024458" w14:paraId="4A8FB195" w14:textId="77777777" w:rsidTr="00F412D6">
        <w:trPr>
          <w:trHeight w:val="197"/>
        </w:trPr>
        <w:tc>
          <w:tcPr>
            <w:tcW w:w="1785" w:type="dxa"/>
          </w:tcPr>
          <w:p w14:paraId="754783F2"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ميري كوبان</w:t>
            </w:r>
          </w:p>
        </w:tc>
        <w:tc>
          <w:tcPr>
            <w:tcW w:w="4681" w:type="dxa"/>
            <w:tcBorders>
              <w:top w:val="nil"/>
              <w:left w:val="nil"/>
              <w:right w:val="nil"/>
            </w:tcBorders>
          </w:tcPr>
          <w:p w14:paraId="539DCBC1"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عضو لجنة الخيارات التقنية للتبريد وتكييف الهواء والمضخات الحرارية</w:t>
            </w:r>
          </w:p>
        </w:tc>
        <w:tc>
          <w:tcPr>
            <w:tcW w:w="1841" w:type="dxa"/>
          </w:tcPr>
          <w:p w14:paraId="679E9A3B"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الولايات المتحدة الأمريكية</w:t>
            </w:r>
          </w:p>
        </w:tc>
      </w:tr>
      <w:tr w:rsidR="00D44330" w:rsidRPr="00024458" w14:paraId="580A7453" w14:textId="77777777" w:rsidTr="00F412D6">
        <w:trPr>
          <w:trHeight w:val="197"/>
        </w:trPr>
        <w:tc>
          <w:tcPr>
            <w:tcW w:w="1785" w:type="dxa"/>
          </w:tcPr>
          <w:p w14:paraId="059C8D67"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يورغن كولر</w:t>
            </w:r>
          </w:p>
        </w:tc>
        <w:tc>
          <w:tcPr>
            <w:tcW w:w="4681" w:type="dxa"/>
            <w:tcBorders>
              <w:top w:val="nil"/>
              <w:left w:val="nil"/>
              <w:right w:val="nil"/>
            </w:tcBorders>
          </w:tcPr>
          <w:p w14:paraId="61E96DF3"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عضو لجنة الخيارات التقنية للتبريد وتكييف الهواء والمضخات الحرارية</w:t>
            </w:r>
          </w:p>
        </w:tc>
        <w:tc>
          <w:tcPr>
            <w:tcW w:w="1841" w:type="dxa"/>
          </w:tcPr>
          <w:p w14:paraId="532BF2B2"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ألمانيا</w:t>
            </w:r>
          </w:p>
        </w:tc>
      </w:tr>
      <w:tr w:rsidR="00D44330" w:rsidRPr="00024458" w14:paraId="6EC8F6D5" w14:textId="77777777" w:rsidTr="00F412D6">
        <w:trPr>
          <w:trHeight w:val="197"/>
        </w:trPr>
        <w:tc>
          <w:tcPr>
            <w:tcW w:w="1785" w:type="dxa"/>
          </w:tcPr>
          <w:p w14:paraId="241D6FF1"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لامبرت كويبرز</w:t>
            </w:r>
          </w:p>
        </w:tc>
        <w:tc>
          <w:tcPr>
            <w:tcW w:w="4681" w:type="dxa"/>
            <w:tcBorders>
              <w:top w:val="nil"/>
              <w:left w:val="nil"/>
              <w:right w:val="nil"/>
            </w:tcBorders>
          </w:tcPr>
          <w:p w14:paraId="185C3796"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عضو لجنة الخيارات التقنية للتبريد وتكييف الهواء والمضخات الحرارية</w:t>
            </w:r>
          </w:p>
        </w:tc>
        <w:tc>
          <w:tcPr>
            <w:tcW w:w="1841" w:type="dxa"/>
          </w:tcPr>
          <w:p w14:paraId="24CD3076"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هولندا (مملكة -)</w:t>
            </w:r>
          </w:p>
        </w:tc>
      </w:tr>
      <w:tr w:rsidR="00D44330" w:rsidRPr="00024458" w14:paraId="20298F23" w14:textId="77777777" w:rsidTr="00F412D6">
        <w:trPr>
          <w:trHeight w:val="197"/>
        </w:trPr>
        <w:tc>
          <w:tcPr>
            <w:tcW w:w="1785" w:type="dxa"/>
          </w:tcPr>
          <w:p w14:paraId="2EB22CA9"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 xml:space="preserve">ستيف كوجاك </w:t>
            </w:r>
          </w:p>
        </w:tc>
        <w:tc>
          <w:tcPr>
            <w:tcW w:w="4681" w:type="dxa"/>
            <w:tcBorders>
              <w:top w:val="nil"/>
              <w:left w:val="nil"/>
              <w:right w:val="nil"/>
            </w:tcBorders>
          </w:tcPr>
          <w:p w14:paraId="04681CCD"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عضو لجنة الخيارات التقنية للتبريد وتكييف الهواء والمضخات الحرارية</w:t>
            </w:r>
          </w:p>
        </w:tc>
        <w:tc>
          <w:tcPr>
            <w:tcW w:w="1841" w:type="dxa"/>
          </w:tcPr>
          <w:p w14:paraId="292589F0"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الولايات المتحدة الأمريكية</w:t>
            </w:r>
          </w:p>
        </w:tc>
      </w:tr>
      <w:tr w:rsidR="00D44330" w:rsidRPr="00A50247" w14:paraId="283A1556" w14:textId="77777777" w:rsidTr="00F412D6">
        <w:trPr>
          <w:trHeight w:val="197"/>
        </w:trPr>
        <w:tc>
          <w:tcPr>
            <w:tcW w:w="1785" w:type="dxa"/>
          </w:tcPr>
          <w:p w14:paraId="7564E81C"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ريتشارد لوتون</w:t>
            </w:r>
          </w:p>
        </w:tc>
        <w:tc>
          <w:tcPr>
            <w:tcW w:w="4681" w:type="dxa"/>
            <w:tcBorders>
              <w:top w:val="nil"/>
              <w:left w:val="nil"/>
              <w:right w:val="nil"/>
            </w:tcBorders>
          </w:tcPr>
          <w:p w14:paraId="3B29756E"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عضو لجنة الخيارات التقنية للتبريد وتكييف الهواء والمضخات الحرارية</w:t>
            </w:r>
          </w:p>
        </w:tc>
        <w:tc>
          <w:tcPr>
            <w:tcW w:w="1841" w:type="dxa"/>
          </w:tcPr>
          <w:p w14:paraId="408ACF28"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المملكة المتحدة لبريطانيا العظمى وأيرلندا الشمالية</w:t>
            </w:r>
          </w:p>
        </w:tc>
      </w:tr>
      <w:tr w:rsidR="00D44330" w:rsidRPr="00024458" w14:paraId="473AB455" w14:textId="77777777" w:rsidTr="00F412D6">
        <w:trPr>
          <w:trHeight w:val="197"/>
        </w:trPr>
        <w:tc>
          <w:tcPr>
            <w:tcW w:w="1785" w:type="dxa"/>
          </w:tcPr>
          <w:p w14:paraId="57515BFB"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تينجكسون لي</w:t>
            </w:r>
          </w:p>
        </w:tc>
        <w:tc>
          <w:tcPr>
            <w:tcW w:w="4681" w:type="dxa"/>
            <w:tcBorders>
              <w:top w:val="nil"/>
              <w:left w:val="nil"/>
              <w:right w:val="nil"/>
            </w:tcBorders>
          </w:tcPr>
          <w:p w14:paraId="6742A0EB"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عضو لجنة الخيارات التقنية للتبريد وتكييف الهواء والمضخات الحرارية</w:t>
            </w:r>
          </w:p>
        </w:tc>
        <w:tc>
          <w:tcPr>
            <w:tcW w:w="1841" w:type="dxa"/>
          </w:tcPr>
          <w:p w14:paraId="0224576D"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الصين</w:t>
            </w:r>
          </w:p>
        </w:tc>
      </w:tr>
      <w:tr w:rsidR="00D44330" w:rsidRPr="00024458" w14:paraId="0FDF72B8" w14:textId="77777777" w:rsidTr="00F412D6">
        <w:trPr>
          <w:trHeight w:val="197"/>
        </w:trPr>
        <w:tc>
          <w:tcPr>
            <w:tcW w:w="1785" w:type="dxa"/>
          </w:tcPr>
          <w:p w14:paraId="32250284"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كارلواندريا مالفيسينو</w:t>
            </w:r>
          </w:p>
        </w:tc>
        <w:tc>
          <w:tcPr>
            <w:tcW w:w="4681" w:type="dxa"/>
            <w:tcBorders>
              <w:top w:val="nil"/>
              <w:left w:val="nil"/>
              <w:right w:val="nil"/>
            </w:tcBorders>
          </w:tcPr>
          <w:p w14:paraId="50DE4011"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عضو لجنة الخيارات التقنية للتبريد وتكييف الهواء والمضخات الحرارية</w:t>
            </w:r>
          </w:p>
        </w:tc>
        <w:tc>
          <w:tcPr>
            <w:tcW w:w="1841" w:type="dxa"/>
          </w:tcPr>
          <w:p w14:paraId="794CBC44"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إيطاليا</w:t>
            </w:r>
          </w:p>
        </w:tc>
      </w:tr>
      <w:tr w:rsidR="00D44330" w:rsidRPr="00024458" w14:paraId="4FE48633" w14:textId="77777777" w:rsidTr="00F412D6">
        <w:trPr>
          <w:trHeight w:val="197"/>
        </w:trPr>
        <w:tc>
          <w:tcPr>
            <w:tcW w:w="1785" w:type="dxa"/>
          </w:tcPr>
          <w:p w14:paraId="0A40B39F"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أكيو ميارا</w:t>
            </w:r>
          </w:p>
        </w:tc>
        <w:tc>
          <w:tcPr>
            <w:tcW w:w="4681" w:type="dxa"/>
            <w:tcBorders>
              <w:top w:val="nil"/>
              <w:left w:val="nil"/>
              <w:right w:val="nil"/>
            </w:tcBorders>
          </w:tcPr>
          <w:p w14:paraId="6F3785C5"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عضو لجنة الخيارات التقنية للتبريد وتكييف الهواء والمضخات الحرارية</w:t>
            </w:r>
          </w:p>
        </w:tc>
        <w:tc>
          <w:tcPr>
            <w:tcW w:w="1841" w:type="dxa"/>
          </w:tcPr>
          <w:p w14:paraId="4013BA72"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اليابان</w:t>
            </w:r>
          </w:p>
        </w:tc>
      </w:tr>
      <w:tr w:rsidR="00D44330" w:rsidRPr="00024458" w14:paraId="5FFA821E" w14:textId="77777777" w:rsidTr="00F412D6">
        <w:trPr>
          <w:trHeight w:val="197"/>
        </w:trPr>
        <w:tc>
          <w:tcPr>
            <w:tcW w:w="1785" w:type="dxa"/>
          </w:tcPr>
          <w:p w14:paraId="0CFD23C1"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بيتر نيكسا</w:t>
            </w:r>
          </w:p>
        </w:tc>
        <w:tc>
          <w:tcPr>
            <w:tcW w:w="4681" w:type="dxa"/>
            <w:tcBorders>
              <w:top w:val="nil"/>
              <w:left w:val="nil"/>
              <w:right w:val="nil"/>
            </w:tcBorders>
          </w:tcPr>
          <w:p w14:paraId="665152B1" w14:textId="77777777" w:rsidR="00D44330" w:rsidRPr="00087C24" w:rsidRDefault="00D44330" w:rsidP="002578FD">
            <w:pPr>
              <w:pStyle w:val="Normal-pool-Table"/>
              <w:bidi/>
              <w:spacing w:line="280" w:lineRule="exact"/>
              <w:textDirection w:val="tbRlV"/>
              <w:rPr>
                <w:rFonts w:ascii="Simplified Arabic" w:hAnsi="Simplified Arabic" w:cs="Simplified Arabic"/>
                <w:color w:val="000000"/>
                <w:sz w:val="20"/>
                <w:lang w:val="en-GB"/>
              </w:rPr>
            </w:pPr>
            <w:r w:rsidRPr="007701B1">
              <w:rPr>
                <w:rFonts w:ascii="Simplified Arabic" w:hAnsi="Simplified Arabic" w:cs="Simplified Arabic"/>
                <w:color w:val="000000"/>
                <w:sz w:val="20"/>
                <w:rtl/>
              </w:rPr>
              <w:t>عضو لجنة الخيارات التقنية للتبريد وتكييف الهواء والمضخات الحرارية</w:t>
            </w:r>
          </w:p>
        </w:tc>
        <w:tc>
          <w:tcPr>
            <w:tcW w:w="1841" w:type="dxa"/>
          </w:tcPr>
          <w:p w14:paraId="58DE3740"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النرويج</w:t>
            </w:r>
          </w:p>
        </w:tc>
      </w:tr>
      <w:tr w:rsidR="00D44330" w:rsidRPr="00024458" w14:paraId="105B24F7" w14:textId="77777777" w:rsidTr="00F412D6">
        <w:trPr>
          <w:trHeight w:val="197"/>
        </w:trPr>
        <w:tc>
          <w:tcPr>
            <w:tcW w:w="1785" w:type="dxa"/>
          </w:tcPr>
          <w:p w14:paraId="285E9A02"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السيد تيتسوجي أوكادا</w:t>
            </w:r>
          </w:p>
        </w:tc>
        <w:tc>
          <w:tcPr>
            <w:tcW w:w="4681" w:type="dxa"/>
            <w:tcBorders>
              <w:top w:val="nil"/>
              <w:left w:val="nil"/>
              <w:right w:val="nil"/>
            </w:tcBorders>
          </w:tcPr>
          <w:p w14:paraId="504701C9"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عضو لجنة الخيارات التقنية للتبريد وتكييف الهواء والمضخات الحرارية</w:t>
            </w:r>
          </w:p>
        </w:tc>
        <w:tc>
          <w:tcPr>
            <w:tcW w:w="1841" w:type="dxa"/>
          </w:tcPr>
          <w:p w14:paraId="4F1C6BA9"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اليابان</w:t>
            </w:r>
          </w:p>
        </w:tc>
      </w:tr>
      <w:tr w:rsidR="00D44330" w:rsidRPr="00024458" w14:paraId="6D6B0F73" w14:textId="77777777" w:rsidTr="00F412D6">
        <w:trPr>
          <w:trHeight w:val="197"/>
        </w:trPr>
        <w:tc>
          <w:tcPr>
            <w:tcW w:w="1785" w:type="dxa"/>
          </w:tcPr>
          <w:p w14:paraId="13A5C0CB"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بالاف بوروهيت</w:t>
            </w:r>
          </w:p>
        </w:tc>
        <w:tc>
          <w:tcPr>
            <w:tcW w:w="4681" w:type="dxa"/>
            <w:tcBorders>
              <w:top w:val="nil"/>
              <w:left w:val="nil"/>
              <w:right w:val="nil"/>
            </w:tcBorders>
          </w:tcPr>
          <w:p w14:paraId="58E1F3E7"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عضو لجنة الخيارات التقنية للتبريد وتكييف الهواء والمضخات الحرارية</w:t>
            </w:r>
          </w:p>
        </w:tc>
        <w:tc>
          <w:tcPr>
            <w:tcW w:w="1841" w:type="dxa"/>
          </w:tcPr>
          <w:p w14:paraId="6F56BBAF"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الهند</w:t>
            </w:r>
          </w:p>
        </w:tc>
      </w:tr>
      <w:tr w:rsidR="00D44330" w:rsidRPr="00024458" w14:paraId="67CF0989" w14:textId="77777777" w:rsidTr="00F412D6">
        <w:trPr>
          <w:trHeight w:val="197"/>
        </w:trPr>
        <w:tc>
          <w:tcPr>
            <w:tcW w:w="1785" w:type="dxa"/>
          </w:tcPr>
          <w:p w14:paraId="3F3C97C1"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تاو رين</w:t>
            </w:r>
          </w:p>
        </w:tc>
        <w:tc>
          <w:tcPr>
            <w:tcW w:w="4681" w:type="dxa"/>
            <w:tcBorders>
              <w:top w:val="nil"/>
              <w:left w:val="nil"/>
              <w:right w:val="nil"/>
            </w:tcBorders>
          </w:tcPr>
          <w:p w14:paraId="12968D06"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عضو لجنة الخيارات التقنية للتبريد وتكييف الهواء والمضخات الحرارية</w:t>
            </w:r>
          </w:p>
        </w:tc>
        <w:tc>
          <w:tcPr>
            <w:tcW w:w="1841" w:type="dxa"/>
          </w:tcPr>
          <w:p w14:paraId="34ACE4B7"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الصين</w:t>
            </w:r>
          </w:p>
        </w:tc>
      </w:tr>
      <w:tr w:rsidR="00D44330" w:rsidRPr="00024458" w14:paraId="0A8356FE" w14:textId="77777777" w:rsidTr="00F412D6">
        <w:trPr>
          <w:trHeight w:val="197"/>
        </w:trPr>
        <w:tc>
          <w:tcPr>
            <w:tcW w:w="1785" w:type="dxa"/>
          </w:tcPr>
          <w:p w14:paraId="0CADAA6F"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lastRenderedPageBreak/>
              <w:t>جيورجيو روسينولو</w:t>
            </w:r>
          </w:p>
        </w:tc>
        <w:tc>
          <w:tcPr>
            <w:tcW w:w="4681" w:type="dxa"/>
            <w:tcBorders>
              <w:top w:val="nil"/>
              <w:left w:val="nil"/>
              <w:right w:val="nil"/>
            </w:tcBorders>
          </w:tcPr>
          <w:p w14:paraId="7D7019BF"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عضو لجنة الخيارات التقنية للتبريد وتكييف الهواء والمضخات الحرارية</w:t>
            </w:r>
          </w:p>
        </w:tc>
        <w:tc>
          <w:tcPr>
            <w:tcW w:w="1841" w:type="dxa"/>
          </w:tcPr>
          <w:p w14:paraId="5098A1C8"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الولايات المتحدة الأمريكية</w:t>
            </w:r>
          </w:p>
        </w:tc>
      </w:tr>
      <w:tr w:rsidR="00D44330" w:rsidRPr="00024458" w14:paraId="38BB4F27" w14:textId="77777777" w:rsidTr="00F412D6">
        <w:trPr>
          <w:trHeight w:val="197"/>
        </w:trPr>
        <w:tc>
          <w:tcPr>
            <w:tcW w:w="1785" w:type="dxa"/>
          </w:tcPr>
          <w:p w14:paraId="6BACFFE0"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مادي ساكاندي</w:t>
            </w:r>
          </w:p>
        </w:tc>
        <w:tc>
          <w:tcPr>
            <w:tcW w:w="4681" w:type="dxa"/>
            <w:tcBorders>
              <w:top w:val="nil"/>
              <w:left w:val="nil"/>
              <w:right w:val="nil"/>
            </w:tcBorders>
          </w:tcPr>
          <w:p w14:paraId="66E117A7"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عضو لجنة الخيارات التقنية للتبريد وتكييف الهواء والمضخات الحرارية</w:t>
            </w:r>
          </w:p>
        </w:tc>
        <w:tc>
          <w:tcPr>
            <w:tcW w:w="1841" w:type="dxa"/>
          </w:tcPr>
          <w:p w14:paraId="6455556E"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بوركينا فاسو</w:t>
            </w:r>
          </w:p>
        </w:tc>
      </w:tr>
      <w:tr w:rsidR="00D44330" w:rsidRPr="00024458" w14:paraId="2689F210" w14:textId="77777777" w:rsidTr="00F412D6">
        <w:trPr>
          <w:trHeight w:val="197"/>
        </w:trPr>
        <w:tc>
          <w:tcPr>
            <w:tcW w:w="1785" w:type="dxa"/>
          </w:tcPr>
          <w:p w14:paraId="04D85E1E"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ليلى ساين</w:t>
            </w:r>
          </w:p>
        </w:tc>
        <w:tc>
          <w:tcPr>
            <w:tcW w:w="4681" w:type="dxa"/>
            <w:tcBorders>
              <w:top w:val="nil"/>
              <w:left w:val="nil"/>
              <w:right w:val="nil"/>
            </w:tcBorders>
          </w:tcPr>
          <w:p w14:paraId="7B9F5B4B"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عضو لجنة الخيارات التقنية للتبريد وتكييف الهواء والمضخات الحرارية</w:t>
            </w:r>
          </w:p>
        </w:tc>
        <w:tc>
          <w:tcPr>
            <w:tcW w:w="1841" w:type="dxa"/>
          </w:tcPr>
          <w:p w14:paraId="2B7E4781"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تركيا</w:t>
            </w:r>
          </w:p>
        </w:tc>
      </w:tr>
      <w:tr w:rsidR="00D44330" w:rsidRPr="00024458" w14:paraId="66DAC703" w14:textId="77777777" w:rsidTr="00F412D6">
        <w:trPr>
          <w:trHeight w:val="197"/>
        </w:trPr>
        <w:tc>
          <w:tcPr>
            <w:tcW w:w="1785" w:type="dxa"/>
          </w:tcPr>
          <w:p w14:paraId="15180D42"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أندريا فويغت</w:t>
            </w:r>
          </w:p>
        </w:tc>
        <w:tc>
          <w:tcPr>
            <w:tcW w:w="4681" w:type="dxa"/>
            <w:tcBorders>
              <w:top w:val="nil"/>
              <w:left w:val="nil"/>
              <w:right w:val="nil"/>
            </w:tcBorders>
          </w:tcPr>
          <w:p w14:paraId="56C14E5A"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عضو لجنة الخيارات التقنية للتبريد وتكييف الهواء والمضخات الحرارية</w:t>
            </w:r>
          </w:p>
        </w:tc>
        <w:tc>
          <w:tcPr>
            <w:tcW w:w="1841" w:type="dxa"/>
          </w:tcPr>
          <w:p w14:paraId="50E7C76F"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ألمانيا</w:t>
            </w:r>
          </w:p>
        </w:tc>
      </w:tr>
      <w:tr w:rsidR="00D44330" w:rsidRPr="00024458" w14:paraId="7C13FF1E" w14:textId="77777777" w:rsidTr="00F412D6">
        <w:trPr>
          <w:trHeight w:val="197"/>
        </w:trPr>
        <w:tc>
          <w:tcPr>
            <w:tcW w:w="1785" w:type="dxa"/>
          </w:tcPr>
          <w:p w14:paraId="7211A830"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آسبيورن ل. فونسيلد</w:t>
            </w:r>
          </w:p>
        </w:tc>
        <w:tc>
          <w:tcPr>
            <w:tcW w:w="4681" w:type="dxa"/>
            <w:tcBorders>
              <w:top w:val="nil"/>
              <w:left w:val="nil"/>
              <w:right w:val="nil"/>
            </w:tcBorders>
          </w:tcPr>
          <w:p w14:paraId="2A6E1B12"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عضو لجنة الخيارات التقنية للتبريد وتكييف الهواء والمضخات الحرارية</w:t>
            </w:r>
          </w:p>
        </w:tc>
        <w:tc>
          <w:tcPr>
            <w:tcW w:w="1841" w:type="dxa"/>
          </w:tcPr>
          <w:p w14:paraId="5D114F17"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الدانمرك</w:t>
            </w:r>
          </w:p>
        </w:tc>
      </w:tr>
      <w:tr w:rsidR="00D44330" w:rsidRPr="00024458" w14:paraId="0F3A570B" w14:textId="77777777" w:rsidTr="00F412D6">
        <w:trPr>
          <w:trHeight w:val="197"/>
        </w:trPr>
        <w:tc>
          <w:tcPr>
            <w:tcW w:w="1785" w:type="dxa"/>
          </w:tcPr>
          <w:p w14:paraId="262F12F8" w14:textId="4A2DE0A1"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كريستيان م. ويسنيفسكي</w:t>
            </w:r>
          </w:p>
        </w:tc>
        <w:tc>
          <w:tcPr>
            <w:tcW w:w="4681" w:type="dxa"/>
            <w:tcBorders>
              <w:top w:val="nil"/>
              <w:left w:val="nil"/>
              <w:right w:val="nil"/>
            </w:tcBorders>
          </w:tcPr>
          <w:p w14:paraId="76F76B50"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عضو لجنة الخيارات التقنية للتبريد وتكييف الهواء والمضخات الحرارية</w:t>
            </w:r>
          </w:p>
        </w:tc>
        <w:tc>
          <w:tcPr>
            <w:tcW w:w="1841" w:type="dxa"/>
          </w:tcPr>
          <w:p w14:paraId="0CDCD740"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الولايات المتحدة الأمريكية</w:t>
            </w:r>
          </w:p>
        </w:tc>
      </w:tr>
      <w:tr w:rsidR="00D44330" w:rsidRPr="00024458" w14:paraId="7F0A4D39" w14:textId="77777777" w:rsidTr="00F412D6">
        <w:trPr>
          <w:trHeight w:val="57"/>
        </w:trPr>
        <w:tc>
          <w:tcPr>
            <w:tcW w:w="1785" w:type="dxa"/>
            <w:tcBorders>
              <w:top w:val="nil"/>
              <w:left w:val="nil"/>
              <w:bottom w:val="single" w:sz="12" w:space="0" w:color="auto"/>
              <w:right w:val="nil"/>
            </w:tcBorders>
          </w:tcPr>
          <w:p w14:paraId="4C29FB97"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صموئيل يانا موتا</w:t>
            </w:r>
          </w:p>
        </w:tc>
        <w:tc>
          <w:tcPr>
            <w:tcW w:w="4681" w:type="dxa"/>
            <w:tcBorders>
              <w:top w:val="nil"/>
              <w:left w:val="nil"/>
              <w:bottom w:val="single" w:sz="12" w:space="0" w:color="auto"/>
              <w:right w:val="nil"/>
            </w:tcBorders>
          </w:tcPr>
          <w:p w14:paraId="01A5AB59"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عضو لجنة الخيارات التقنية للتبريد وتكييف الهواء والمضخات الحرارية</w:t>
            </w:r>
          </w:p>
        </w:tc>
        <w:tc>
          <w:tcPr>
            <w:tcW w:w="1841" w:type="dxa"/>
            <w:tcBorders>
              <w:top w:val="nil"/>
              <w:left w:val="nil"/>
              <w:bottom w:val="single" w:sz="12" w:space="0" w:color="auto"/>
              <w:right w:val="nil"/>
            </w:tcBorders>
          </w:tcPr>
          <w:p w14:paraId="4BAB207E" w14:textId="77777777" w:rsidR="00D44330" w:rsidRPr="007701B1" w:rsidRDefault="00D44330" w:rsidP="002578FD">
            <w:pPr>
              <w:pStyle w:val="Normal-pool-Table"/>
              <w:bidi/>
              <w:spacing w:line="280" w:lineRule="exact"/>
              <w:textDirection w:val="tbRlV"/>
              <w:rPr>
                <w:rFonts w:ascii="Simplified Arabic" w:hAnsi="Simplified Arabic" w:cs="Simplified Arabic"/>
                <w:color w:val="000000"/>
                <w:sz w:val="20"/>
                <w:rtl/>
                <w:lang w:bidi="en-GB"/>
              </w:rPr>
            </w:pPr>
            <w:r w:rsidRPr="007701B1">
              <w:rPr>
                <w:rFonts w:ascii="Simplified Arabic" w:hAnsi="Simplified Arabic" w:cs="Simplified Arabic"/>
                <w:color w:val="000000"/>
                <w:sz w:val="20"/>
                <w:rtl/>
              </w:rPr>
              <w:t>بيرو</w:t>
            </w:r>
          </w:p>
        </w:tc>
      </w:tr>
    </w:tbl>
    <w:p w14:paraId="49418C00" w14:textId="77777777" w:rsidR="00D44330" w:rsidRPr="00984A76" w:rsidRDefault="00D44330" w:rsidP="00984A76">
      <w:pPr>
        <w:tabs>
          <w:tab w:val="clear" w:pos="1247"/>
          <w:tab w:val="clear" w:pos="1814"/>
          <w:tab w:val="clear" w:pos="2381"/>
          <w:tab w:val="clear" w:pos="2948"/>
          <w:tab w:val="clear" w:pos="3515"/>
        </w:tabs>
        <w:bidi/>
        <w:spacing w:after="120" w:line="360" w:lineRule="exact"/>
        <w:ind w:left="1134"/>
        <w:jc w:val="both"/>
        <w:rPr>
          <w:rFonts w:ascii="Simplified Arabic" w:hAnsi="Simplified Arabic" w:hint="default"/>
          <w:b/>
          <w:bCs/>
          <w:sz w:val="24"/>
          <w:szCs w:val="24"/>
          <w:rtl/>
          <w:lang w:val="en-US"/>
        </w:rPr>
      </w:pPr>
      <w:r w:rsidRPr="00984A76">
        <w:rPr>
          <w:rFonts w:ascii="Simplified Arabic" w:hAnsi="Simplified Arabic" w:hint="default"/>
          <w:sz w:val="24"/>
          <w:szCs w:val="24"/>
          <w:rtl/>
        </w:rPr>
        <w:br w:type="page"/>
      </w:r>
    </w:p>
    <w:p w14:paraId="72A4C56C" w14:textId="77777777" w:rsidR="00D44330" w:rsidRPr="00901457" w:rsidRDefault="00D44330" w:rsidP="00901457">
      <w:pPr>
        <w:pStyle w:val="ZZAnxheader"/>
        <w:tabs>
          <w:tab w:val="clear" w:pos="1247"/>
        </w:tabs>
        <w:bidi/>
        <w:spacing w:after="360" w:line="360" w:lineRule="exact"/>
        <w:jc w:val="both"/>
        <w:textDirection w:val="tbRlV"/>
        <w:rPr>
          <w:rFonts w:ascii="Simplified Arabic" w:hAnsi="Simplified Arabic" w:cs="Simplified Arabic"/>
          <w:sz w:val="30"/>
          <w:szCs w:val="30"/>
          <w:lang w:bidi="en-GB"/>
        </w:rPr>
      </w:pPr>
      <w:r w:rsidRPr="00901457">
        <w:rPr>
          <w:rFonts w:ascii="Simplified Arabic" w:hAnsi="Simplified Arabic" w:cs="Simplified Arabic"/>
          <w:sz w:val="30"/>
          <w:szCs w:val="30"/>
          <w:rtl/>
        </w:rPr>
        <w:lastRenderedPageBreak/>
        <w:t>المرفق الرابع</w:t>
      </w:r>
      <w:r w:rsidRPr="004E6EA0">
        <w:rPr>
          <w:rFonts w:ascii="Simplified Arabic" w:hAnsi="Simplified Arabic" w:cs="Simplified Arabic"/>
          <w:b w:val="0"/>
          <w:bCs w:val="0"/>
          <w:sz w:val="34"/>
          <w:szCs w:val="34"/>
          <w:vertAlign w:val="superscript"/>
          <w:rtl/>
        </w:rPr>
        <w:footnoteReference w:customMarkFollows="1" w:id="20"/>
        <w:t>*</w:t>
      </w:r>
    </w:p>
    <w:p w14:paraId="3636AFE1" w14:textId="77777777" w:rsidR="00D44330" w:rsidRPr="00901457" w:rsidRDefault="00D44330" w:rsidP="00901457">
      <w:pPr>
        <w:pStyle w:val="ZZAnxtitle"/>
        <w:tabs>
          <w:tab w:val="clear" w:pos="1247"/>
        </w:tabs>
        <w:bidi/>
        <w:spacing w:before="0" w:after="240" w:line="400" w:lineRule="exact"/>
        <w:ind w:left="1134"/>
        <w:jc w:val="both"/>
        <w:textDirection w:val="tbRlV"/>
        <w:rPr>
          <w:rFonts w:ascii="Simplified Arabic" w:hAnsi="Simplified Arabic" w:cs="Simplified Arabic"/>
          <w:szCs w:val="28"/>
          <w:rtl/>
          <w:lang w:val="ar-SA" w:eastAsia="zh-TW"/>
        </w:rPr>
      </w:pPr>
      <w:r w:rsidRPr="00901457">
        <w:rPr>
          <w:rFonts w:ascii="Simplified Arabic" w:hAnsi="Simplified Arabic" w:cs="Simplified Arabic"/>
          <w:szCs w:val="28"/>
          <w:rtl/>
        </w:rPr>
        <w:t>مصفوفة الخبرات المطلوبة من فريق التقييم التكنولوجي والاقتصادي بحلول أيار/مايو 202</w:t>
      </w:r>
      <w:r w:rsidRPr="00901457">
        <w:rPr>
          <w:rFonts w:ascii="Simplified Arabic" w:hAnsi="Simplified Arabic" w:cs="Simplified Arabic"/>
          <w:szCs w:val="28"/>
          <w:rtl/>
          <w:lang w:val="ar-SA" w:eastAsia="zh-TW"/>
        </w:rPr>
        <w:t>6</w:t>
      </w:r>
    </w:p>
    <w:tbl>
      <w:tblPr>
        <w:tblStyle w:val="PlainTable21"/>
        <w:bidiVisual/>
        <w:tblW w:w="8363" w:type="dxa"/>
        <w:tblInd w:w="1144" w:type="dxa"/>
        <w:tblLayout w:type="fixed"/>
        <w:tblLook w:val="06A0" w:firstRow="1" w:lastRow="0" w:firstColumn="1" w:lastColumn="0" w:noHBand="1" w:noVBand="1"/>
      </w:tblPr>
      <w:tblGrid>
        <w:gridCol w:w="1659"/>
        <w:gridCol w:w="3872"/>
        <w:gridCol w:w="2832"/>
      </w:tblGrid>
      <w:tr w:rsidR="00D44330" w:rsidRPr="00A50247" w14:paraId="7E38EDBB" w14:textId="77777777" w:rsidTr="008F0FDE">
        <w:trPr>
          <w:cnfStyle w:val="100000000000" w:firstRow="1" w:lastRow="0" w:firstColumn="0" w:lastColumn="0" w:oddVBand="0" w:evenVBand="0" w:oddHBand="0"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1659" w:type="dxa"/>
            <w:tcBorders>
              <w:top w:val="single" w:sz="4" w:space="0" w:color="auto"/>
              <w:bottom w:val="single" w:sz="12" w:space="0" w:color="auto"/>
            </w:tcBorders>
          </w:tcPr>
          <w:p w14:paraId="6B061717" w14:textId="77777777" w:rsidR="00D44330" w:rsidRPr="009C4E83" w:rsidRDefault="00D44330" w:rsidP="008F0FDE">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rPr>
                <w:rFonts w:ascii="Simplified Arabic" w:hAnsi="Simplified Arabic" w:cs="Simplified Arabic"/>
                <w:sz w:val="20"/>
                <w:lang w:val="en-US" w:eastAsia="zh-TW" w:bidi="en-GB"/>
              </w:rPr>
            </w:pPr>
            <w:r w:rsidRPr="009C4E83">
              <w:rPr>
                <w:rFonts w:ascii="Simplified Arabic" w:hAnsi="Simplified Arabic" w:cs="Simplified Arabic"/>
                <w:color w:val="000000"/>
                <w:sz w:val="20"/>
                <w:rtl/>
              </w:rPr>
              <w:t>الهيئة</w:t>
            </w:r>
          </w:p>
        </w:tc>
        <w:tc>
          <w:tcPr>
            <w:tcW w:w="3872" w:type="dxa"/>
            <w:tcBorders>
              <w:top w:val="single" w:sz="4" w:space="0" w:color="auto"/>
              <w:bottom w:val="single" w:sz="12" w:space="0" w:color="auto"/>
            </w:tcBorders>
          </w:tcPr>
          <w:p w14:paraId="63B0AAB7" w14:textId="77777777" w:rsidR="00D44330" w:rsidRPr="009C4E83" w:rsidRDefault="00D44330" w:rsidP="008F0FDE">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0"/>
                <w:rtl/>
                <w:lang w:val="ar-SA" w:eastAsia="zh-TW" w:bidi="en-GB"/>
              </w:rPr>
            </w:pPr>
            <w:r w:rsidRPr="009C4E83">
              <w:rPr>
                <w:rFonts w:ascii="Simplified Arabic" w:hAnsi="Simplified Arabic" w:cs="Simplified Arabic"/>
                <w:color w:val="000000"/>
                <w:sz w:val="20"/>
                <w:rtl/>
              </w:rPr>
              <w:t>الخبرة المطلوبة</w:t>
            </w:r>
          </w:p>
        </w:tc>
        <w:tc>
          <w:tcPr>
            <w:tcW w:w="2832" w:type="dxa"/>
            <w:tcBorders>
              <w:top w:val="single" w:sz="4" w:space="0" w:color="auto"/>
              <w:bottom w:val="single" w:sz="12" w:space="0" w:color="auto"/>
            </w:tcBorders>
          </w:tcPr>
          <w:p w14:paraId="0B9214E9" w14:textId="77777777" w:rsidR="00D44330" w:rsidRPr="009C4E83" w:rsidRDefault="00D44330" w:rsidP="008F0FDE">
            <w:pPr>
              <w:pStyle w:val="Normal-pool-Table"/>
              <w:tabs>
                <w:tab w:val="clear" w:pos="624"/>
                <w:tab w:val="clear" w:pos="1247"/>
                <w:tab w:val="clear" w:pos="1871"/>
                <w:tab w:val="clear" w:pos="2495"/>
                <w:tab w:val="clear" w:pos="3119"/>
                <w:tab w:val="clear" w:pos="3742"/>
                <w:tab w:val="clear" w:pos="4366"/>
                <w:tab w:val="clear" w:pos="4990"/>
              </w:tabs>
              <w:bidi/>
              <w:spacing w:line="280" w:lineRule="exact"/>
              <w:textDirection w:val="tbRlV"/>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0"/>
                <w:rtl/>
                <w:lang w:val="ar-SA" w:eastAsia="zh-TW" w:bidi="en-GB"/>
              </w:rPr>
            </w:pPr>
            <w:r w:rsidRPr="009C4E83">
              <w:rPr>
                <w:rFonts w:ascii="Simplified Arabic" w:hAnsi="Simplified Arabic" w:cs="Simplified Arabic"/>
                <w:color w:val="000000"/>
                <w:sz w:val="20"/>
                <w:rtl/>
              </w:rPr>
              <w:t>طرف عامل/غير عامل بموجب المادة 5</w:t>
            </w:r>
          </w:p>
        </w:tc>
      </w:tr>
      <w:tr w:rsidR="00D44330" w:rsidRPr="00A50247" w14:paraId="3CC83318" w14:textId="77777777" w:rsidTr="008F0FDE">
        <w:trPr>
          <w:trHeight w:val="208"/>
        </w:trPr>
        <w:tc>
          <w:tcPr>
            <w:cnfStyle w:val="001000000000" w:firstRow="0" w:lastRow="0" w:firstColumn="1" w:lastColumn="0" w:oddVBand="0" w:evenVBand="0" w:oddHBand="0" w:evenHBand="0" w:firstRowFirstColumn="0" w:firstRowLastColumn="0" w:lastRowFirstColumn="0" w:lastRowLastColumn="0"/>
            <w:tcW w:w="1659" w:type="dxa"/>
            <w:vMerge w:val="restart"/>
            <w:tcBorders>
              <w:top w:val="single" w:sz="12" w:space="0" w:color="auto"/>
            </w:tcBorders>
            <w:vAlign w:val="center"/>
          </w:tcPr>
          <w:p w14:paraId="69051CE3" w14:textId="77777777" w:rsidR="00D44330" w:rsidRPr="009C4E83" w:rsidRDefault="00D44330" w:rsidP="008F0FDE">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rPr>
                <w:rFonts w:ascii="Simplified Arabic" w:hAnsi="Simplified Arabic" w:cs="Simplified Arabic"/>
                <w:sz w:val="20"/>
                <w:rtl/>
                <w:lang w:val="ar-SA" w:eastAsia="zh-TW" w:bidi="en-GB"/>
              </w:rPr>
            </w:pPr>
            <w:r w:rsidRPr="009C4E83">
              <w:rPr>
                <w:rFonts w:ascii="Simplified Arabic" w:hAnsi="Simplified Arabic" w:cs="Simplified Arabic"/>
                <w:color w:val="000000"/>
                <w:sz w:val="20"/>
                <w:rtl/>
              </w:rPr>
              <w:t>لجنة الخيارات التقنية لإخماد الحرائق</w:t>
            </w:r>
          </w:p>
        </w:tc>
        <w:tc>
          <w:tcPr>
            <w:tcW w:w="3872" w:type="dxa"/>
            <w:tcBorders>
              <w:top w:val="single" w:sz="12" w:space="0" w:color="auto"/>
            </w:tcBorders>
          </w:tcPr>
          <w:p w14:paraId="04321758" w14:textId="77777777" w:rsidR="00D44330" w:rsidRPr="009C4E83" w:rsidRDefault="00D44330" w:rsidP="008F0FDE">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rtl/>
                <w:lang w:val="ar-SA" w:eastAsia="zh-TW" w:bidi="en-GB"/>
              </w:rPr>
            </w:pPr>
            <w:r w:rsidRPr="009C4E83">
              <w:rPr>
                <w:rFonts w:ascii="Simplified Arabic" w:hAnsi="Simplified Arabic" w:cs="Simplified Arabic"/>
                <w:color w:val="000000"/>
                <w:sz w:val="20"/>
                <w:rtl/>
              </w:rPr>
              <w:t>استخدام مركبات الكربون الهيدروفلورية وبدائلها</w:t>
            </w:r>
          </w:p>
        </w:tc>
        <w:tc>
          <w:tcPr>
            <w:tcW w:w="2832" w:type="dxa"/>
            <w:tcBorders>
              <w:top w:val="single" w:sz="12" w:space="0" w:color="auto"/>
            </w:tcBorders>
          </w:tcPr>
          <w:p w14:paraId="10B64D82" w14:textId="77777777" w:rsidR="00D44330" w:rsidRPr="009C4E83" w:rsidRDefault="00D44330" w:rsidP="008F0FDE">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rtl/>
                <w:lang w:val="ar-SA" w:eastAsia="zh-TW" w:bidi="en-GB"/>
              </w:rPr>
            </w:pPr>
            <w:r w:rsidRPr="009C4E83">
              <w:rPr>
                <w:rFonts w:ascii="Simplified Arabic" w:hAnsi="Simplified Arabic" w:cs="Simplified Arabic"/>
                <w:color w:val="000000"/>
                <w:sz w:val="20"/>
                <w:rtl/>
              </w:rPr>
              <w:t>أمريكا الوسطى و/أو الجنوبية والشرق الأوسط والجنوب الأفريقي (2)</w:t>
            </w:r>
          </w:p>
        </w:tc>
      </w:tr>
      <w:tr w:rsidR="00D44330" w:rsidRPr="00984A76" w14:paraId="67B604BC" w14:textId="77777777" w:rsidTr="008F0FDE">
        <w:trPr>
          <w:trHeight w:val="54"/>
        </w:trPr>
        <w:tc>
          <w:tcPr>
            <w:cnfStyle w:val="001000000000" w:firstRow="0" w:lastRow="0" w:firstColumn="1" w:lastColumn="0" w:oddVBand="0" w:evenVBand="0" w:oddHBand="0" w:evenHBand="0" w:firstRowFirstColumn="0" w:firstRowLastColumn="0" w:lastRowFirstColumn="0" w:lastRowLastColumn="0"/>
            <w:tcW w:w="1659" w:type="dxa"/>
            <w:vMerge/>
          </w:tcPr>
          <w:p w14:paraId="675CE267" w14:textId="77777777" w:rsidR="00D44330" w:rsidRPr="009C4E83" w:rsidRDefault="00D44330" w:rsidP="008F0FDE">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rPr>
                <w:rFonts w:ascii="Simplified Arabic" w:hAnsi="Simplified Arabic" w:cs="Simplified Arabic"/>
                <w:sz w:val="20"/>
                <w:rtl/>
              </w:rPr>
            </w:pPr>
          </w:p>
        </w:tc>
        <w:tc>
          <w:tcPr>
            <w:tcW w:w="3872" w:type="dxa"/>
          </w:tcPr>
          <w:p w14:paraId="71667C94" w14:textId="77777777" w:rsidR="00D44330" w:rsidRPr="009C4E83" w:rsidRDefault="00D44330" w:rsidP="008F0FDE">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rtl/>
                <w:lang w:val="ar-SA" w:eastAsia="zh-TW" w:bidi="en-GB"/>
              </w:rPr>
            </w:pPr>
            <w:r w:rsidRPr="009C4E83">
              <w:rPr>
                <w:rFonts w:ascii="Simplified Arabic" w:hAnsi="Simplified Arabic" w:cs="Simplified Arabic"/>
                <w:color w:val="000000"/>
                <w:sz w:val="20"/>
                <w:rtl/>
              </w:rPr>
              <w:t xml:space="preserve">استخدام الهالونات وبدائلها في السفن التجارية والاستعادة من تكسير السفن </w:t>
            </w:r>
          </w:p>
        </w:tc>
        <w:tc>
          <w:tcPr>
            <w:tcW w:w="2832" w:type="dxa"/>
          </w:tcPr>
          <w:p w14:paraId="03C640F1" w14:textId="77777777" w:rsidR="00D44330" w:rsidRPr="009C4E83" w:rsidRDefault="00D44330" w:rsidP="008F0FDE">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rtl/>
                <w:lang w:val="ar-SA" w:eastAsia="zh-TW" w:bidi="en-GB"/>
              </w:rPr>
            </w:pPr>
            <w:r w:rsidRPr="009C4E83">
              <w:rPr>
                <w:rFonts w:ascii="Simplified Arabic" w:hAnsi="Simplified Arabic" w:cs="Simplified Arabic"/>
                <w:color w:val="000000"/>
                <w:sz w:val="20"/>
                <w:rtl/>
              </w:rPr>
              <w:t>باكستان</w:t>
            </w:r>
          </w:p>
        </w:tc>
      </w:tr>
      <w:tr w:rsidR="00D44330" w:rsidRPr="00A50247" w14:paraId="1A280DE6" w14:textId="77777777" w:rsidTr="008F0FDE">
        <w:trPr>
          <w:trHeight w:val="244"/>
        </w:trPr>
        <w:tc>
          <w:tcPr>
            <w:cnfStyle w:val="001000000000" w:firstRow="0" w:lastRow="0" w:firstColumn="1" w:lastColumn="0" w:oddVBand="0" w:evenVBand="0" w:oddHBand="0" w:evenHBand="0" w:firstRowFirstColumn="0" w:firstRowLastColumn="0" w:lastRowFirstColumn="0" w:lastRowLastColumn="0"/>
            <w:tcW w:w="1659" w:type="dxa"/>
            <w:vMerge/>
          </w:tcPr>
          <w:p w14:paraId="4CE0A06C" w14:textId="77777777" w:rsidR="00D44330" w:rsidRPr="009C4E83" w:rsidRDefault="00D44330" w:rsidP="008F0FDE">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rPr>
                <w:rFonts w:ascii="Simplified Arabic" w:hAnsi="Simplified Arabic" w:cs="Simplified Arabic"/>
                <w:sz w:val="20"/>
                <w:rtl/>
              </w:rPr>
            </w:pPr>
          </w:p>
        </w:tc>
        <w:tc>
          <w:tcPr>
            <w:tcW w:w="3872" w:type="dxa"/>
          </w:tcPr>
          <w:p w14:paraId="6077404D" w14:textId="77777777" w:rsidR="00D44330" w:rsidRPr="009C4E83" w:rsidRDefault="00D44330" w:rsidP="008F0FDE">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rtl/>
                <w:lang w:val="ar-SA" w:eastAsia="zh-TW" w:bidi="en-GB"/>
              </w:rPr>
            </w:pPr>
            <w:r w:rsidRPr="009C4E83">
              <w:rPr>
                <w:rFonts w:ascii="Simplified Arabic" w:hAnsi="Simplified Arabic" w:cs="Simplified Arabic"/>
                <w:color w:val="000000"/>
                <w:sz w:val="20"/>
                <w:rtl/>
              </w:rPr>
              <w:t xml:space="preserve">المحطات النووية لتوليد الكهرباء </w:t>
            </w:r>
          </w:p>
        </w:tc>
        <w:tc>
          <w:tcPr>
            <w:tcW w:w="2832" w:type="dxa"/>
          </w:tcPr>
          <w:p w14:paraId="59EAA77B" w14:textId="77777777" w:rsidR="00D44330" w:rsidRPr="009C4E83" w:rsidRDefault="00D44330" w:rsidP="008F0FDE">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rtl/>
                <w:lang w:val="ar-SA" w:eastAsia="zh-TW" w:bidi="en-GB"/>
              </w:rPr>
            </w:pPr>
            <w:r w:rsidRPr="009C4E83">
              <w:rPr>
                <w:rFonts w:ascii="Simplified Arabic" w:hAnsi="Simplified Arabic" w:cs="Simplified Arabic"/>
                <w:color w:val="000000"/>
                <w:sz w:val="20"/>
                <w:rtl/>
              </w:rPr>
              <w:t>أطراف عاملة بموجب المادة 5 وأطراف غير عاملة بموجبها</w:t>
            </w:r>
          </w:p>
        </w:tc>
      </w:tr>
      <w:tr w:rsidR="00D44330" w:rsidRPr="00A50247" w14:paraId="6ED52AFB" w14:textId="77777777" w:rsidTr="008F0FDE">
        <w:trPr>
          <w:trHeight w:val="221"/>
        </w:trPr>
        <w:tc>
          <w:tcPr>
            <w:cnfStyle w:val="001000000000" w:firstRow="0" w:lastRow="0" w:firstColumn="1" w:lastColumn="0" w:oddVBand="0" w:evenVBand="0" w:oddHBand="0" w:evenHBand="0" w:firstRowFirstColumn="0" w:firstRowLastColumn="0" w:lastRowFirstColumn="0" w:lastRowLastColumn="0"/>
            <w:tcW w:w="1659" w:type="dxa"/>
            <w:vMerge/>
          </w:tcPr>
          <w:p w14:paraId="0DA9FFD5" w14:textId="77777777" w:rsidR="00D44330" w:rsidRPr="009C4E83" w:rsidRDefault="00D44330" w:rsidP="008F0FDE">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rPr>
                <w:rFonts w:ascii="Simplified Arabic" w:hAnsi="Simplified Arabic" w:cs="Simplified Arabic"/>
                <w:sz w:val="20"/>
                <w:rtl/>
              </w:rPr>
            </w:pPr>
          </w:p>
        </w:tc>
        <w:tc>
          <w:tcPr>
            <w:tcW w:w="3872" w:type="dxa"/>
          </w:tcPr>
          <w:p w14:paraId="4DC84899" w14:textId="77777777" w:rsidR="00D44330" w:rsidRPr="009C4E83" w:rsidRDefault="00D44330" w:rsidP="008F0FDE">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rtl/>
                <w:lang w:val="ar-SA" w:eastAsia="zh-TW" w:bidi="en-GB"/>
              </w:rPr>
            </w:pPr>
            <w:r w:rsidRPr="009C4E83">
              <w:rPr>
                <w:rFonts w:ascii="Simplified Arabic" w:hAnsi="Simplified Arabic" w:cs="Simplified Arabic"/>
                <w:color w:val="000000"/>
                <w:sz w:val="20"/>
                <w:rtl/>
              </w:rPr>
              <w:t xml:space="preserve">الطيران المدني (خصوصاً أنشطة الصيانة والإصلاح والتجديد) </w:t>
            </w:r>
          </w:p>
        </w:tc>
        <w:tc>
          <w:tcPr>
            <w:tcW w:w="2832" w:type="dxa"/>
          </w:tcPr>
          <w:p w14:paraId="1795F498" w14:textId="77777777" w:rsidR="00D44330" w:rsidRPr="009C4E83" w:rsidRDefault="00D44330" w:rsidP="008F0FDE">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rtl/>
                <w:lang w:val="ar-SA" w:eastAsia="zh-TW" w:bidi="en-GB"/>
              </w:rPr>
            </w:pPr>
            <w:r w:rsidRPr="009C4E83">
              <w:rPr>
                <w:rFonts w:ascii="Simplified Arabic" w:hAnsi="Simplified Arabic" w:cs="Simplified Arabic"/>
                <w:color w:val="000000"/>
                <w:sz w:val="20"/>
                <w:rtl/>
              </w:rPr>
              <w:t>أطراف عاملة بموجب المادة 5 وأطراف غير عاملة بموجبها</w:t>
            </w:r>
          </w:p>
        </w:tc>
      </w:tr>
      <w:tr w:rsidR="00D44330" w:rsidRPr="00984A76" w14:paraId="5682DF51" w14:textId="77777777" w:rsidTr="008F0FDE">
        <w:trPr>
          <w:trHeight w:val="159"/>
        </w:trPr>
        <w:tc>
          <w:tcPr>
            <w:cnfStyle w:val="001000000000" w:firstRow="0" w:lastRow="0" w:firstColumn="1" w:lastColumn="0" w:oddVBand="0" w:evenVBand="0" w:oddHBand="0" w:evenHBand="0" w:firstRowFirstColumn="0" w:firstRowLastColumn="0" w:lastRowFirstColumn="0" w:lastRowLastColumn="0"/>
            <w:tcW w:w="1659" w:type="dxa"/>
            <w:vMerge/>
          </w:tcPr>
          <w:p w14:paraId="02DECF21" w14:textId="77777777" w:rsidR="00D44330" w:rsidRPr="009C4E83" w:rsidRDefault="00D44330" w:rsidP="008F0FDE">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rPr>
                <w:rFonts w:ascii="Simplified Arabic" w:hAnsi="Simplified Arabic" w:cs="Simplified Arabic"/>
                <w:sz w:val="20"/>
                <w:rtl/>
              </w:rPr>
            </w:pPr>
          </w:p>
        </w:tc>
        <w:tc>
          <w:tcPr>
            <w:tcW w:w="3872" w:type="dxa"/>
          </w:tcPr>
          <w:p w14:paraId="38BCE6DA" w14:textId="77777777" w:rsidR="00D44330" w:rsidRPr="009C4E83" w:rsidRDefault="00D44330" w:rsidP="008F0FDE">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rtl/>
                <w:lang w:val="ar-SA" w:eastAsia="zh-TW" w:bidi="en-GB"/>
              </w:rPr>
            </w:pPr>
            <w:r w:rsidRPr="009C4E83">
              <w:rPr>
                <w:rFonts w:ascii="Simplified Arabic" w:hAnsi="Simplified Arabic" w:cs="Simplified Arabic"/>
                <w:color w:val="000000"/>
                <w:sz w:val="20"/>
                <w:rtl/>
              </w:rPr>
              <w:t xml:space="preserve">إعادة تدوير الهالونات ومركبات الكربون الهيدروفلورية </w:t>
            </w:r>
          </w:p>
        </w:tc>
        <w:tc>
          <w:tcPr>
            <w:tcW w:w="2832" w:type="dxa"/>
          </w:tcPr>
          <w:p w14:paraId="41F10613" w14:textId="77777777" w:rsidR="00D44330" w:rsidRPr="009C4E83" w:rsidRDefault="00D44330" w:rsidP="008F0FDE">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rtl/>
                <w:lang w:val="ar-SA" w:eastAsia="zh-TW" w:bidi="en-GB"/>
              </w:rPr>
            </w:pPr>
            <w:r w:rsidRPr="009C4E83">
              <w:rPr>
                <w:rFonts w:ascii="Simplified Arabic" w:hAnsi="Simplified Arabic" w:cs="Simplified Arabic"/>
                <w:color w:val="000000"/>
                <w:sz w:val="20"/>
                <w:rtl/>
              </w:rPr>
              <w:t>أطراف عاملة بموجب المادة 5</w:t>
            </w:r>
          </w:p>
        </w:tc>
      </w:tr>
      <w:tr w:rsidR="00D44330" w:rsidRPr="00A50247" w14:paraId="326FFF8C" w14:textId="77777777" w:rsidTr="008F0FDE">
        <w:trPr>
          <w:trHeight w:val="159"/>
        </w:trPr>
        <w:tc>
          <w:tcPr>
            <w:cnfStyle w:val="001000000000" w:firstRow="0" w:lastRow="0" w:firstColumn="1" w:lastColumn="0" w:oddVBand="0" w:evenVBand="0" w:oddHBand="0" w:evenHBand="0" w:firstRowFirstColumn="0" w:firstRowLastColumn="0" w:lastRowFirstColumn="0" w:lastRowLastColumn="0"/>
            <w:tcW w:w="1659" w:type="dxa"/>
            <w:vMerge/>
          </w:tcPr>
          <w:p w14:paraId="75BE0D26" w14:textId="77777777" w:rsidR="00D44330" w:rsidRPr="009C4E83" w:rsidRDefault="00D44330" w:rsidP="008F0FDE">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rPr>
                <w:rFonts w:ascii="Simplified Arabic" w:hAnsi="Simplified Arabic" w:cs="Simplified Arabic"/>
                <w:sz w:val="20"/>
                <w:rtl/>
              </w:rPr>
            </w:pPr>
          </w:p>
        </w:tc>
        <w:tc>
          <w:tcPr>
            <w:tcW w:w="3872" w:type="dxa"/>
          </w:tcPr>
          <w:p w14:paraId="170B6C22" w14:textId="77777777" w:rsidR="00D44330" w:rsidRPr="009C4E83" w:rsidRDefault="00D44330" w:rsidP="008F0FDE">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rtl/>
                <w:lang w:val="ar-SA" w:eastAsia="zh-TW" w:bidi="en-GB"/>
              </w:rPr>
            </w:pPr>
            <w:r w:rsidRPr="009C4E83">
              <w:rPr>
                <w:rFonts w:ascii="Simplified Arabic" w:hAnsi="Simplified Arabic" w:cs="Simplified Arabic"/>
                <w:color w:val="000000"/>
                <w:sz w:val="20"/>
                <w:rtl/>
              </w:rPr>
              <w:t xml:space="preserve">استخدام الهالون 1301 كمادة وسيطة وانبعاثاته </w:t>
            </w:r>
          </w:p>
        </w:tc>
        <w:tc>
          <w:tcPr>
            <w:tcW w:w="2832" w:type="dxa"/>
          </w:tcPr>
          <w:p w14:paraId="2C401B9C" w14:textId="77777777" w:rsidR="00D44330" w:rsidRPr="009C4E83" w:rsidRDefault="00D44330" w:rsidP="008F0FDE">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rtl/>
                <w:lang w:val="ar-SA" w:eastAsia="zh-TW" w:bidi="en-GB"/>
              </w:rPr>
            </w:pPr>
            <w:r w:rsidRPr="009C4E83">
              <w:rPr>
                <w:rFonts w:ascii="Simplified Arabic" w:hAnsi="Simplified Arabic" w:cs="Simplified Arabic"/>
                <w:color w:val="000000"/>
                <w:sz w:val="20"/>
                <w:rtl/>
              </w:rPr>
              <w:t>أطراف عاملة بموجب المادة 5 وأطراف غير عاملة بموجبها</w:t>
            </w:r>
          </w:p>
        </w:tc>
      </w:tr>
      <w:tr w:rsidR="00D44330" w:rsidRPr="00A50247" w14:paraId="31CEE4B3" w14:textId="77777777" w:rsidTr="008F0FDE">
        <w:trPr>
          <w:trHeight w:val="1709"/>
        </w:trPr>
        <w:tc>
          <w:tcPr>
            <w:cnfStyle w:val="001000000000" w:firstRow="0" w:lastRow="0" w:firstColumn="1" w:lastColumn="0" w:oddVBand="0" w:evenVBand="0" w:oddHBand="0" w:evenHBand="0" w:firstRowFirstColumn="0" w:firstRowLastColumn="0" w:lastRowFirstColumn="0" w:lastRowLastColumn="0"/>
            <w:tcW w:w="1659" w:type="dxa"/>
          </w:tcPr>
          <w:p w14:paraId="0DAB6977" w14:textId="77777777" w:rsidR="00D44330" w:rsidRPr="009C4E83" w:rsidRDefault="00D44330" w:rsidP="008F0FDE">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rPr>
                <w:rFonts w:ascii="Simplified Arabic" w:hAnsi="Simplified Arabic" w:cs="Simplified Arabic"/>
                <w:sz w:val="20"/>
                <w:rtl/>
                <w:lang w:val="ar-SA" w:eastAsia="zh-TW" w:bidi="en-GB"/>
              </w:rPr>
            </w:pPr>
            <w:r w:rsidRPr="009C4E83">
              <w:rPr>
                <w:rFonts w:ascii="Simplified Arabic" w:hAnsi="Simplified Arabic" w:cs="Simplified Arabic"/>
                <w:color w:val="000000"/>
                <w:sz w:val="20"/>
                <w:rtl/>
              </w:rPr>
              <w:t>لجنة الخيارات التقنية للرغاوي</w:t>
            </w:r>
          </w:p>
        </w:tc>
        <w:tc>
          <w:tcPr>
            <w:tcW w:w="3872" w:type="dxa"/>
          </w:tcPr>
          <w:p w14:paraId="03F9B846" w14:textId="6BA657AA" w:rsidR="00D44330" w:rsidRPr="009C4E83" w:rsidRDefault="00D44330" w:rsidP="008F0FDE">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rtl/>
                <w:lang w:val="ar-SA" w:eastAsia="zh-TW" w:bidi="en-GB"/>
              </w:rPr>
            </w:pPr>
            <w:r w:rsidRPr="009C4E83">
              <w:rPr>
                <w:rFonts w:ascii="Simplified Arabic" w:hAnsi="Simplified Arabic" w:cs="Simplified Arabic"/>
                <w:color w:val="000000"/>
                <w:sz w:val="20"/>
                <w:rtl/>
              </w:rPr>
              <w:t>إنتاج البوليستيرين المشكل بالانبثاق في ال</w:t>
            </w:r>
            <w:r w:rsidR="008B43AD">
              <w:rPr>
                <w:rFonts w:ascii="Simplified Arabic" w:hAnsi="Simplified Arabic" w:cs="Simplified Arabic" w:hint="cs"/>
                <w:color w:val="000000"/>
                <w:sz w:val="20"/>
                <w:rtl/>
              </w:rPr>
              <w:t>صين والهند</w:t>
            </w:r>
            <w:r w:rsidRPr="009C4E83">
              <w:rPr>
                <w:rFonts w:ascii="Simplified Arabic" w:hAnsi="Simplified Arabic" w:cs="Simplified Arabic"/>
                <w:color w:val="000000"/>
                <w:sz w:val="20"/>
                <w:rtl/>
              </w:rPr>
              <w:t xml:space="preserve"> - ليحل محل الخبراء المغادرين.</w:t>
            </w:r>
          </w:p>
          <w:p w14:paraId="1E1F1831" w14:textId="77777777" w:rsidR="00D44330" w:rsidRPr="009C4E83" w:rsidRDefault="00D44330" w:rsidP="008F0FDE">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rtl/>
                <w:lang w:val="ar-SA" w:eastAsia="zh-TW" w:bidi="en-GB"/>
              </w:rPr>
            </w:pPr>
            <w:r w:rsidRPr="009C4E83">
              <w:rPr>
                <w:rFonts w:ascii="Simplified Arabic" w:hAnsi="Simplified Arabic" w:cs="Simplified Arabic"/>
                <w:color w:val="000000"/>
                <w:sz w:val="20"/>
                <w:rtl/>
              </w:rPr>
              <w:t xml:space="preserve">خبراء تقنيون في شركات نُظم البولي يوريثان </w:t>
            </w:r>
          </w:p>
          <w:p w14:paraId="29EFE393" w14:textId="77777777" w:rsidR="00D44330" w:rsidRPr="009C4E83" w:rsidRDefault="00D44330" w:rsidP="008F0FDE">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rtl/>
                <w:lang w:val="ar-SA" w:eastAsia="zh-TW" w:bidi="en-GB"/>
              </w:rPr>
            </w:pPr>
            <w:r w:rsidRPr="009C4E83">
              <w:rPr>
                <w:rFonts w:ascii="Simplified Arabic" w:hAnsi="Simplified Arabic" w:cs="Simplified Arabic"/>
                <w:color w:val="000000"/>
                <w:sz w:val="20"/>
                <w:rtl/>
              </w:rPr>
              <w:t xml:space="preserve">خاصة من جنوب أفريقيا الجنوبية، وجمهورية كوريا، </w:t>
            </w:r>
          </w:p>
          <w:p w14:paraId="72FA34B9" w14:textId="77777777" w:rsidR="00D44330" w:rsidRPr="009C4E83" w:rsidRDefault="00D44330" w:rsidP="008F0FDE">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lang w:val="en-US" w:eastAsia="zh-TW" w:bidi="en-GB"/>
              </w:rPr>
            </w:pPr>
            <w:r w:rsidRPr="009C4E83">
              <w:rPr>
                <w:rFonts w:ascii="Simplified Arabic" w:hAnsi="Simplified Arabic" w:cs="Simplified Arabic"/>
                <w:color w:val="000000"/>
                <w:sz w:val="20"/>
                <w:rtl/>
              </w:rPr>
              <w:t>الشرق الأوسط والأطراف من أمريكا اللاتينية، وخاصة الخبراء في الشركات الصغيرة والمتوسطة الحجم.</w:t>
            </w:r>
          </w:p>
          <w:p w14:paraId="03C59180" w14:textId="77777777" w:rsidR="00D44330" w:rsidRPr="009C4E83" w:rsidRDefault="00D44330" w:rsidP="008F0FDE">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rtl/>
                <w:lang w:val="ar-SA" w:eastAsia="zh-TW" w:bidi="en-GB"/>
              </w:rPr>
            </w:pPr>
            <w:r w:rsidRPr="009C4E83">
              <w:rPr>
                <w:rFonts w:ascii="Simplified Arabic" w:hAnsi="Simplified Arabic" w:cs="Simplified Arabic"/>
                <w:color w:val="000000"/>
                <w:sz w:val="20"/>
                <w:rtl/>
              </w:rPr>
              <w:t xml:space="preserve">كيمياء عوامل نفخ الرغاوي وتفاعلات الرغوة </w:t>
            </w:r>
          </w:p>
        </w:tc>
        <w:tc>
          <w:tcPr>
            <w:tcW w:w="2832" w:type="dxa"/>
          </w:tcPr>
          <w:p w14:paraId="4D6B8B61" w14:textId="77777777" w:rsidR="00D44330" w:rsidRPr="009C4E83" w:rsidRDefault="00D44330" w:rsidP="008F0FDE">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rtl/>
                <w:lang w:val="ar-SA" w:eastAsia="zh-TW" w:bidi="en-GB"/>
              </w:rPr>
            </w:pPr>
            <w:r w:rsidRPr="009C4E83">
              <w:rPr>
                <w:rFonts w:ascii="Simplified Arabic" w:hAnsi="Simplified Arabic" w:cs="Simplified Arabic"/>
                <w:color w:val="000000"/>
                <w:sz w:val="20"/>
                <w:rtl/>
              </w:rPr>
              <w:t>أطراف عاملة بموجب المادة 5 أو أطراف غير عاملة بموجبها</w:t>
            </w:r>
          </w:p>
        </w:tc>
      </w:tr>
      <w:tr w:rsidR="00D44330" w:rsidRPr="00A50247" w14:paraId="1BAE5EF1" w14:textId="77777777" w:rsidTr="008F0FDE">
        <w:trPr>
          <w:trHeight w:val="708"/>
        </w:trPr>
        <w:tc>
          <w:tcPr>
            <w:cnfStyle w:val="001000000000" w:firstRow="0" w:lastRow="0" w:firstColumn="1" w:lastColumn="0" w:oddVBand="0" w:evenVBand="0" w:oddHBand="0" w:evenHBand="0" w:firstRowFirstColumn="0" w:firstRowLastColumn="0" w:lastRowFirstColumn="0" w:lastRowLastColumn="0"/>
            <w:tcW w:w="1659" w:type="dxa"/>
          </w:tcPr>
          <w:p w14:paraId="69288669" w14:textId="77777777" w:rsidR="00D44330" w:rsidRPr="009C4E83" w:rsidRDefault="00D44330" w:rsidP="008F0FDE">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rPr>
                <w:rFonts w:ascii="Simplified Arabic" w:hAnsi="Simplified Arabic" w:cs="Simplified Arabic"/>
                <w:sz w:val="20"/>
                <w:rtl/>
                <w:lang w:val="ar-SA" w:eastAsia="zh-TW" w:bidi="en-GB"/>
              </w:rPr>
            </w:pPr>
            <w:r w:rsidRPr="009C4E83">
              <w:rPr>
                <w:rFonts w:ascii="Simplified Arabic" w:hAnsi="Simplified Arabic" w:cs="Simplified Arabic"/>
                <w:color w:val="000000"/>
                <w:sz w:val="20"/>
                <w:rtl/>
              </w:rPr>
              <w:t>لجنة الخيارات التقنية لبروميد الميثيل</w:t>
            </w:r>
          </w:p>
        </w:tc>
        <w:tc>
          <w:tcPr>
            <w:tcW w:w="3872" w:type="dxa"/>
          </w:tcPr>
          <w:p w14:paraId="52B94CC0" w14:textId="77777777" w:rsidR="00D44330" w:rsidRPr="009C4E83" w:rsidRDefault="00D44330" w:rsidP="008F0FDE">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lang w:val="en-US" w:eastAsia="zh-TW" w:bidi="en-GB"/>
              </w:rPr>
            </w:pPr>
            <w:r w:rsidRPr="009C4E83">
              <w:rPr>
                <w:rFonts w:ascii="Simplified Arabic" w:hAnsi="Simplified Arabic" w:cs="Simplified Arabic"/>
                <w:color w:val="000000"/>
                <w:sz w:val="20"/>
                <w:rtl/>
              </w:rPr>
              <w:t>الأعضاء ذوو الخبرة في مجال بدائل بروميد الميثيل التي تُستخدم بشكل فعال لمكافحة آفات الحجر الصحي التي تؤثر على استيراد وتصدير السلع الزراعية على الصعيد العالمي</w:t>
            </w:r>
          </w:p>
        </w:tc>
        <w:tc>
          <w:tcPr>
            <w:tcW w:w="2832" w:type="dxa"/>
          </w:tcPr>
          <w:p w14:paraId="29C23D17" w14:textId="77777777" w:rsidR="00D44330" w:rsidRPr="009C4E83" w:rsidRDefault="00D44330" w:rsidP="008F0FDE">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lang w:val="en-US" w:eastAsia="zh-TW" w:bidi="en-GB"/>
              </w:rPr>
            </w:pPr>
            <w:r w:rsidRPr="009C4E83">
              <w:rPr>
                <w:rFonts w:ascii="Simplified Arabic" w:hAnsi="Simplified Arabic" w:cs="Simplified Arabic"/>
                <w:color w:val="000000"/>
                <w:sz w:val="20"/>
                <w:rtl/>
              </w:rPr>
              <w:t>أطراف عاملة بموجب المادة 5 أو أطراف غير عاملة بموجبها</w:t>
            </w:r>
          </w:p>
        </w:tc>
      </w:tr>
      <w:tr w:rsidR="00D44330" w:rsidRPr="00A50247" w14:paraId="298F3DEE" w14:textId="77777777" w:rsidTr="008F0FDE">
        <w:trPr>
          <w:trHeight w:val="56"/>
        </w:trPr>
        <w:tc>
          <w:tcPr>
            <w:cnfStyle w:val="001000000000" w:firstRow="0" w:lastRow="0" w:firstColumn="1" w:lastColumn="0" w:oddVBand="0" w:evenVBand="0" w:oddHBand="0" w:evenHBand="0" w:firstRowFirstColumn="0" w:firstRowLastColumn="0" w:lastRowFirstColumn="0" w:lastRowLastColumn="0"/>
            <w:tcW w:w="1659" w:type="dxa"/>
            <w:vMerge w:val="restart"/>
            <w:vAlign w:val="center"/>
          </w:tcPr>
          <w:p w14:paraId="0B7D1740" w14:textId="77777777" w:rsidR="00D44330" w:rsidRPr="009C4E83" w:rsidRDefault="00D44330" w:rsidP="008F0FDE">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rPr>
                <w:rFonts w:ascii="Simplified Arabic" w:hAnsi="Simplified Arabic" w:cs="Simplified Arabic"/>
                <w:sz w:val="20"/>
                <w:rtl/>
                <w:lang w:val="ar-SA" w:eastAsia="zh-TW" w:bidi="en-GB"/>
              </w:rPr>
            </w:pPr>
            <w:r w:rsidRPr="009C4E83">
              <w:rPr>
                <w:rFonts w:ascii="Simplified Arabic" w:hAnsi="Simplified Arabic" w:cs="Simplified Arabic"/>
                <w:color w:val="000000"/>
                <w:sz w:val="20"/>
                <w:rtl/>
              </w:rPr>
              <w:t>لجنة الخيارات التقنية الطبية والكيميائية</w:t>
            </w:r>
          </w:p>
        </w:tc>
        <w:tc>
          <w:tcPr>
            <w:tcW w:w="3872" w:type="dxa"/>
          </w:tcPr>
          <w:p w14:paraId="58F1A19A" w14:textId="77777777" w:rsidR="00D44330" w:rsidRPr="009C4E83" w:rsidRDefault="00D44330" w:rsidP="008F0FDE">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808080" w:themeColor="background1" w:themeShade="80"/>
                <w:sz w:val="20"/>
                <w:rtl/>
                <w:lang w:val="ar-SA" w:eastAsia="zh-TW" w:bidi="en-GB"/>
              </w:rPr>
            </w:pPr>
            <w:r w:rsidRPr="009C4E83">
              <w:rPr>
                <w:rFonts w:ascii="Simplified Arabic" w:hAnsi="Simplified Arabic" w:cs="Simplified Arabic"/>
                <w:color w:val="000000"/>
                <w:sz w:val="20"/>
                <w:rtl/>
              </w:rPr>
              <w:t>تصنيع الآيروسولات والمواد الدافعة في البخاخات المحددة الجرعات</w:t>
            </w:r>
          </w:p>
        </w:tc>
        <w:tc>
          <w:tcPr>
            <w:tcW w:w="2832" w:type="dxa"/>
          </w:tcPr>
          <w:p w14:paraId="48D1895B" w14:textId="77777777" w:rsidR="00D44330" w:rsidRPr="009C4E83" w:rsidRDefault="00D44330" w:rsidP="008F0FDE">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lang w:val="en-US" w:eastAsia="zh-TW" w:bidi="en-GB"/>
              </w:rPr>
            </w:pPr>
            <w:r w:rsidRPr="009C4E83">
              <w:rPr>
                <w:rFonts w:ascii="Simplified Arabic" w:hAnsi="Simplified Arabic" w:cs="Simplified Arabic"/>
                <w:color w:val="000000"/>
                <w:sz w:val="20"/>
                <w:rtl/>
              </w:rPr>
              <w:t>أطراف عاملة بموجب المادة 5 (أمريكا الجنوبية، أفريقيا، الصين)، أطراف غير عاملة بموجب المادة 5</w:t>
            </w:r>
          </w:p>
        </w:tc>
      </w:tr>
      <w:tr w:rsidR="00D44330" w:rsidRPr="00A50247" w14:paraId="12400EEB" w14:textId="77777777" w:rsidTr="008F0FDE">
        <w:trPr>
          <w:trHeight w:val="56"/>
        </w:trPr>
        <w:tc>
          <w:tcPr>
            <w:cnfStyle w:val="001000000000" w:firstRow="0" w:lastRow="0" w:firstColumn="1" w:lastColumn="0" w:oddVBand="0" w:evenVBand="0" w:oddHBand="0" w:evenHBand="0" w:firstRowFirstColumn="0" w:firstRowLastColumn="0" w:lastRowFirstColumn="0" w:lastRowLastColumn="0"/>
            <w:tcW w:w="1659" w:type="dxa"/>
            <w:vMerge/>
          </w:tcPr>
          <w:p w14:paraId="77478D14" w14:textId="77777777" w:rsidR="00D44330" w:rsidRPr="009C4E83" w:rsidRDefault="00D44330" w:rsidP="008F0FDE">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rPr>
                <w:rFonts w:ascii="Simplified Arabic" w:hAnsi="Simplified Arabic" w:cs="Simplified Arabic"/>
                <w:sz w:val="20"/>
                <w:rtl/>
              </w:rPr>
            </w:pPr>
          </w:p>
        </w:tc>
        <w:tc>
          <w:tcPr>
            <w:tcW w:w="3872" w:type="dxa"/>
          </w:tcPr>
          <w:p w14:paraId="0EFC2C42" w14:textId="77777777" w:rsidR="00D44330" w:rsidRPr="009C4E83" w:rsidRDefault="00D44330" w:rsidP="008F0FDE">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sz w:val="20"/>
                <w:rtl/>
                <w:lang w:val="ar-SA" w:eastAsia="zh-TW" w:bidi="en-GB"/>
              </w:rPr>
            </w:pPr>
            <w:r w:rsidRPr="009C4E83">
              <w:rPr>
                <w:rFonts w:ascii="Simplified Arabic" w:hAnsi="Simplified Arabic" w:cs="Simplified Arabic"/>
                <w:color w:val="000000"/>
                <w:sz w:val="20"/>
                <w:rtl/>
              </w:rPr>
              <w:t>تصنيع واستخدام رابع كلوريد الكربون والمواد ذات الأعمار القصيرة جداً على مستوى العالم</w:t>
            </w:r>
          </w:p>
        </w:tc>
        <w:tc>
          <w:tcPr>
            <w:tcW w:w="2832" w:type="dxa"/>
          </w:tcPr>
          <w:p w14:paraId="7B3A9A58" w14:textId="77777777" w:rsidR="00D44330" w:rsidRPr="009C4E83" w:rsidRDefault="00D44330" w:rsidP="008F0FDE">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rtl/>
                <w:lang w:val="ar-SA" w:eastAsia="zh-TW" w:bidi="en-GB"/>
              </w:rPr>
            </w:pPr>
            <w:r w:rsidRPr="009C4E83">
              <w:rPr>
                <w:rFonts w:ascii="Simplified Arabic" w:hAnsi="Simplified Arabic" w:cs="Simplified Arabic"/>
                <w:color w:val="000000"/>
                <w:sz w:val="20"/>
                <w:rtl/>
              </w:rPr>
              <w:t>أطراف عاملة بموجب المادة 5 أو أطراف غير عاملة بموجبها</w:t>
            </w:r>
          </w:p>
        </w:tc>
      </w:tr>
      <w:tr w:rsidR="00D44330" w:rsidRPr="00A50247" w14:paraId="2F105332" w14:textId="77777777" w:rsidTr="008F0FDE">
        <w:trPr>
          <w:trHeight w:val="56"/>
        </w:trPr>
        <w:tc>
          <w:tcPr>
            <w:cnfStyle w:val="001000000000" w:firstRow="0" w:lastRow="0" w:firstColumn="1" w:lastColumn="0" w:oddVBand="0" w:evenVBand="0" w:oddHBand="0" w:evenHBand="0" w:firstRowFirstColumn="0" w:firstRowLastColumn="0" w:lastRowFirstColumn="0" w:lastRowLastColumn="0"/>
            <w:tcW w:w="1659" w:type="dxa"/>
            <w:vMerge/>
          </w:tcPr>
          <w:p w14:paraId="3E89050B" w14:textId="77777777" w:rsidR="00D44330" w:rsidRPr="009C4E83" w:rsidRDefault="00D44330" w:rsidP="008F0FDE">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rPr>
                <w:rFonts w:ascii="Simplified Arabic" w:hAnsi="Simplified Arabic" w:cs="Simplified Arabic"/>
                <w:sz w:val="20"/>
                <w:rtl/>
              </w:rPr>
            </w:pPr>
          </w:p>
        </w:tc>
        <w:tc>
          <w:tcPr>
            <w:tcW w:w="3872" w:type="dxa"/>
          </w:tcPr>
          <w:p w14:paraId="29934F43" w14:textId="77777777" w:rsidR="00D44330" w:rsidRPr="009C4E83" w:rsidRDefault="00D44330" w:rsidP="008F0FDE">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sz w:val="20"/>
                <w:rtl/>
                <w:lang w:val="ar-SA" w:eastAsia="zh-TW" w:bidi="en-GB"/>
              </w:rPr>
            </w:pPr>
            <w:r w:rsidRPr="009C4E83">
              <w:rPr>
                <w:rFonts w:ascii="Simplified Arabic" w:hAnsi="Simplified Arabic" w:cs="Simplified Arabic"/>
                <w:color w:val="000000"/>
                <w:sz w:val="20"/>
                <w:rtl/>
              </w:rPr>
              <w:t>صناعة أشباه الموصلات والإلكترونيات الأخرى</w:t>
            </w:r>
          </w:p>
        </w:tc>
        <w:tc>
          <w:tcPr>
            <w:tcW w:w="2832" w:type="dxa"/>
          </w:tcPr>
          <w:p w14:paraId="13549622" w14:textId="77777777" w:rsidR="00D44330" w:rsidRPr="009C4E83" w:rsidRDefault="00D44330" w:rsidP="008F0FDE">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rtl/>
                <w:lang w:val="ar-SA" w:eastAsia="zh-TW" w:bidi="en-GB"/>
              </w:rPr>
            </w:pPr>
            <w:r w:rsidRPr="009C4E83">
              <w:rPr>
                <w:rFonts w:ascii="Simplified Arabic" w:hAnsi="Simplified Arabic" w:cs="Simplified Arabic"/>
                <w:color w:val="000000"/>
                <w:sz w:val="20"/>
                <w:rtl/>
              </w:rPr>
              <w:t>شرق آسيا، أطراف غير عاملة بموجب المادة 5</w:t>
            </w:r>
          </w:p>
        </w:tc>
      </w:tr>
      <w:tr w:rsidR="00D44330" w:rsidRPr="00A50247" w14:paraId="5B5E09E6" w14:textId="77777777" w:rsidTr="008F0FDE">
        <w:trPr>
          <w:trHeight w:val="56"/>
        </w:trPr>
        <w:tc>
          <w:tcPr>
            <w:cnfStyle w:val="001000000000" w:firstRow="0" w:lastRow="0" w:firstColumn="1" w:lastColumn="0" w:oddVBand="0" w:evenVBand="0" w:oddHBand="0" w:evenHBand="0" w:firstRowFirstColumn="0" w:firstRowLastColumn="0" w:lastRowFirstColumn="0" w:lastRowLastColumn="0"/>
            <w:tcW w:w="1659" w:type="dxa"/>
            <w:vMerge/>
          </w:tcPr>
          <w:p w14:paraId="20546B86" w14:textId="77777777" w:rsidR="00D44330" w:rsidRPr="009C4E83" w:rsidRDefault="00D44330" w:rsidP="008F0FDE">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rPr>
                <w:rFonts w:ascii="Simplified Arabic" w:hAnsi="Simplified Arabic" w:cs="Simplified Arabic"/>
                <w:color w:val="808080" w:themeColor="background1" w:themeShade="80"/>
                <w:sz w:val="20"/>
                <w:rtl/>
              </w:rPr>
            </w:pPr>
          </w:p>
        </w:tc>
        <w:tc>
          <w:tcPr>
            <w:tcW w:w="3872" w:type="dxa"/>
          </w:tcPr>
          <w:p w14:paraId="61ADBCA8" w14:textId="77777777" w:rsidR="00D44330" w:rsidRPr="009C4E83" w:rsidRDefault="00D44330" w:rsidP="008F0FDE">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808080" w:themeColor="background1" w:themeShade="80"/>
                <w:sz w:val="20"/>
                <w:rtl/>
                <w:lang w:val="ar-SA" w:eastAsia="zh-TW" w:bidi="en-GB"/>
              </w:rPr>
            </w:pPr>
            <w:r w:rsidRPr="009C4E83">
              <w:rPr>
                <w:rFonts w:ascii="Simplified Arabic" w:hAnsi="Simplified Arabic" w:cs="Simplified Arabic"/>
                <w:color w:val="000000"/>
                <w:sz w:val="20"/>
                <w:rtl/>
              </w:rPr>
              <w:t>إدارة نهاية العمر الافتراضي وتقنيات التدمير</w:t>
            </w:r>
          </w:p>
        </w:tc>
        <w:tc>
          <w:tcPr>
            <w:tcW w:w="2832" w:type="dxa"/>
          </w:tcPr>
          <w:p w14:paraId="612B7616" w14:textId="77777777" w:rsidR="00D44330" w:rsidRPr="009C4E83" w:rsidRDefault="00D44330" w:rsidP="008F0FDE">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808080" w:themeColor="background1" w:themeShade="80"/>
                <w:sz w:val="20"/>
                <w:rtl/>
                <w:lang w:val="ar-SA" w:eastAsia="zh-TW" w:bidi="en-GB"/>
              </w:rPr>
            </w:pPr>
            <w:r w:rsidRPr="009C4E83">
              <w:rPr>
                <w:rFonts w:ascii="Simplified Arabic" w:hAnsi="Simplified Arabic" w:cs="Simplified Arabic"/>
                <w:color w:val="000000"/>
                <w:sz w:val="20"/>
                <w:rtl/>
              </w:rPr>
              <w:t>أطراف عاملة بموجب المادة 5 وأطراف غير عاملة بموجبها</w:t>
            </w:r>
          </w:p>
        </w:tc>
      </w:tr>
      <w:tr w:rsidR="00D44330" w:rsidRPr="00A50247" w14:paraId="01A4477C" w14:textId="77777777" w:rsidTr="008F0FDE">
        <w:trPr>
          <w:trHeight w:val="56"/>
        </w:trPr>
        <w:tc>
          <w:tcPr>
            <w:cnfStyle w:val="001000000000" w:firstRow="0" w:lastRow="0" w:firstColumn="1" w:lastColumn="0" w:oddVBand="0" w:evenVBand="0" w:oddHBand="0" w:evenHBand="0" w:firstRowFirstColumn="0" w:firstRowLastColumn="0" w:lastRowFirstColumn="0" w:lastRowLastColumn="0"/>
            <w:tcW w:w="1659" w:type="dxa"/>
          </w:tcPr>
          <w:p w14:paraId="41AEA993" w14:textId="77777777" w:rsidR="00D44330" w:rsidRPr="009C4E83" w:rsidRDefault="00D44330" w:rsidP="008F0FDE">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rPr>
                <w:rFonts w:ascii="Simplified Arabic" w:hAnsi="Simplified Arabic" w:cs="Simplified Arabic"/>
                <w:color w:val="808080" w:themeColor="background1" w:themeShade="80"/>
                <w:sz w:val="20"/>
                <w:rtl/>
                <w:lang w:val="ar-SA" w:eastAsia="zh-TW" w:bidi="en-GB"/>
              </w:rPr>
            </w:pPr>
            <w:r w:rsidRPr="009C4E83">
              <w:rPr>
                <w:rFonts w:ascii="Simplified Arabic" w:hAnsi="Simplified Arabic" w:cs="Simplified Arabic"/>
                <w:color w:val="000000"/>
                <w:sz w:val="20"/>
                <w:rtl/>
              </w:rPr>
              <w:t>لجنة الخيارات التقنية للتبريد وتكييف الهواء والمضخات الحرارية</w:t>
            </w:r>
          </w:p>
        </w:tc>
        <w:tc>
          <w:tcPr>
            <w:tcW w:w="3872" w:type="dxa"/>
          </w:tcPr>
          <w:p w14:paraId="64AC5141" w14:textId="77777777" w:rsidR="00D44330" w:rsidRPr="009C4E83" w:rsidRDefault="00D44330" w:rsidP="008F0FDE">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sz w:val="20"/>
                <w:rtl/>
                <w:lang w:val="ar-SA" w:eastAsia="zh-TW" w:bidi="en-GB"/>
              </w:rPr>
            </w:pPr>
            <w:r w:rsidRPr="009C4E83">
              <w:rPr>
                <w:rFonts w:ascii="Simplified Arabic" w:hAnsi="Simplified Arabic" w:cs="Simplified Arabic"/>
                <w:color w:val="000000"/>
                <w:sz w:val="20"/>
                <w:rtl/>
              </w:rPr>
              <w:t>لا حاجة لخبرات إضافية في الوقت الحالي</w:t>
            </w:r>
          </w:p>
        </w:tc>
        <w:tc>
          <w:tcPr>
            <w:tcW w:w="2832" w:type="dxa"/>
          </w:tcPr>
          <w:p w14:paraId="41B6172F" w14:textId="77777777" w:rsidR="00D44330" w:rsidRPr="009C4E83" w:rsidRDefault="00D44330" w:rsidP="008F0FDE">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rtl/>
              </w:rPr>
            </w:pPr>
          </w:p>
        </w:tc>
      </w:tr>
      <w:tr w:rsidR="00D44330" w:rsidRPr="00A50247" w14:paraId="0E91D728" w14:textId="77777777" w:rsidTr="008F0FDE">
        <w:trPr>
          <w:trHeight w:val="56"/>
        </w:trPr>
        <w:tc>
          <w:tcPr>
            <w:cnfStyle w:val="001000000000" w:firstRow="0" w:lastRow="0" w:firstColumn="1" w:lastColumn="0" w:oddVBand="0" w:evenVBand="0" w:oddHBand="0" w:evenHBand="0" w:firstRowFirstColumn="0" w:firstRowLastColumn="0" w:lastRowFirstColumn="0" w:lastRowLastColumn="0"/>
            <w:tcW w:w="1659" w:type="dxa"/>
            <w:tcBorders>
              <w:bottom w:val="single" w:sz="12" w:space="0" w:color="auto"/>
            </w:tcBorders>
          </w:tcPr>
          <w:p w14:paraId="1657189F" w14:textId="77777777" w:rsidR="00D44330" w:rsidRPr="009C4E83" w:rsidRDefault="00D44330" w:rsidP="008F0FDE">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rPr>
                <w:rFonts w:ascii="Simplified Arabic" w:hAnsi="Simplified Arabic" w:cs="Simplified Arabic"/>
                <w:color w:val="808080" w:themeColor="background1" w:themeShade="80"/>
                <w:sz w:val="20"/>
                <w:rtl/>
                <w:lang w:val="ar-SA" w:eastAsia="zh-TW" w:bidi="en-GB"/>
              </w:rPr>
            </w:pPr>
            <w:r w:rsidRPr="009C4E83">
              <w:rPr>
                <w:rFonts w:ascii="Simplified Arabic" w:hAnsi="Simplified Arabic" w:cs="Simplified Arabic"/>
                <w:color w:val="000000"/>
                <w:sz w:val="20"/>
                <w:rtl/>
              </w:rPr>
              <w:t>كبار الخبراء</w:t>
            </w:r>
          </w:p>
        </w:tc>
        <w:tc>
          <w:tcPr>
            <w:tcW w:w="3872" w:type="dxa"/>
            <w:tcBorders>
              <w:bottom w:val="single" w:sz="12" w:space="0" w:color="auto"/>
            </w:tcBorders>
          </w:tcPr>
          <w:p w14:paraId="2658448F" w14:textId="77777777" w:rsidR="00D44330" w:rsidRPr="009C4E83" w:rsidRDefault="00D44330" w:rsidP="008F0FDE">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color w:val="000000"/>
                <w:sz w:val="20"/>
                <w:rtl/>
                <w:lang w:val="ar-SA" w:eastAsia="zh-TW"/>
              </w:rPr>
            </w:pPr>
            <w:r w:rsidRPr="009C4E83">
              <w:rPr>
                <w:rFonts w:ascii="Simplified Arabic" w:hAnsi="Simplified Arabic" w:cs="Simplified Arabic"/>
                <w:color w:val="000000"/>
                <w:sz w:val="20"/>
                <w:rtl/>
                <w:lang w:val="ar-SA" w:eastAsia="zh-TW"/>
              </w:rPr>
              <w:t>يوفر كبار الخبراء الأعضاء الحاليون الخبرات اللازمة</w:t>
            </w:r>
          </w:p>
        </w:tc>
        <w:tc>
          <w:tcPr>
            <w:tcW w:w="2832" w:type="dxa"/>
            <w:tcBorders>
              <w:bottom w:val="single" w:sz="12" w:space="0" w:color="auto"/>
            </w:tcBorders>
          </w:tcPr>
          <w:p w14:paraId="234AFB27" w14:textId="77777777" w:rsidR="00D44330" w:rsidRPr="009C4E83" w:rsidRDefault="00D44330" w:rsidP="008F0FDE">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rtl/>
              </w:rPr>
            </w:pPr>
          </w:p>
        </w:tc>
      </w:tr>
    </w:tbl>
    <w:p w14:paraId="0BF7DC69" w14:textId="32732819" w:rsidR="00D44330" w:rsidRPr="00984A76" w:rsidRDefault="00CA7ED6" w:rsidP="00CA7ED6">
      <w:pPr>
        <w:tabs>
          <w:tab w:val="clear" w:pos="1247"/>
          <w:tab w:val="clear" w:pos="1814"/>
          <w:tab w:val="clear" w:pos="2381"/>
          <w:tab w:val="clear" w:pos="2948"/>
          <w:tab w:val="clear" w:pos="3515"/>
        </w:tabs>
        <w:bidi/>
        <w:spacing w:before="480" w:after="120" w:line="360" w:lineRule="exact"/>
        <w:ind w:left="1134"/>
        <w:jc w:val="center"/>
        <w:rPr>
          <w:rFonts w:ascii="Simplified Arabic" w:hAnsi="Simplified Arabic" w:hint="default"/>
          <w:sz w:val="24"/>
          <w:szCs w:val="24"/>
        </w:rPr>
      </w:pPr>
      <w:r>
        <w:rPr>
          <w:rFonts w:ascii="Simplified Arabic" w:hAnsi="Simplified Arabic" w:hint="default"/>
          <w:sz w:val="24"/>
          <w:szCs w:val="24"/>
        </w:rPr>
        <w:t>____________</w:t>
      </w:r>
    </w:p>
    <w:sectPr w:rsidR="00D44330" w:rsidRPr="00984A76" w:rsidSect="00CA1B8B">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39" w:code="9"/>
      <w:pgMar w:top="907" w:right="1417" w:bottom="1417" w:left="992" w:header="539" w:footer="975" w:gutter="0"/>
      <w:cols w:space="539"/>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EDD29" w14:textId="77777777" w:rsidR="00570FF3" w:rsidRPr="006E5708" w:rsidRDefault="00570FF3">
      <w:pPr>
        <w:rPr>
          <w:rFonts w:hint="default"/>
        </w:rPr>
      </w:pPr>
      <w:r w:rsidRPr="006E5708">
        <w:separator/>
      </w:r>
    </w:p>
  </w:endnote>
  <w:endnote w:type="continuationSeparator" w:id="0">
    <w:p w14:paraId="28CDD554" w14:textId="77777777" w:rsidR="00570FF3" w:rsidRPr="006E5708" w:rsidRDefault="00570FF3">
      <w:pPr>
        <w:rPr>
          <w:rFonts w:hint="default"/>
        </w:rPr>
      </w:pPr>
      <w:r w:rsidRPr="006E57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charset w:val="B2"/>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Traditional Arabic">
    <w:charset w:val="B2"/>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BBF92" w14:textId="77777777" w:rsidR="00D44330" w:rsidRPr="007A6D6B" w:rsidRDefault="00D44330" w:rsidP="00244544">
    <w:pPr>
      <w:pStyle w:val="Footer-pool"/>
      <w:tabs>
        <w:tab w:val="clear" w:pos="624"/>
        <w:tab w:val="clear" w:pos="1247"/>
        <w:tab w:val="clear" w:pos="1871"/>
        <w:tab w:val="clear" w:pos="2495"/>
        <w:tab w:val="clear" w:pos="3119"/>
        <w:tab w:val="clear" w:pos="3742"/>
        <w:tab w:val="clear" w:pos="4366"/>
        <w:tab w:val="clear" w:pos="4990"/>
        <w:tab w:val="clear" w:pos="8641"/>
      </w:tabs>
      <w:spacing w:after="0"/>
      <w:jc w:val="right"/>
    </w:pPr>
    <w:r w:rsidRPr="007A6D6B">
      <w:rPr>
        <w:rStyle w:val="PageNumber"/>
        <w:b/>
      </w:rPr>
      <w:fldChar w:fldCharType="begin"/>
    </w:r>
    <w:r w:rsidRPr="007A6D6B">
      <w:rPr>
        <w:rStyle w:val="PageNumber"/>
        <w:b/>
      </w:rPr>
      <w:instrText xml:space="preserve"> PAGE </w:instrText>
    </w:r>
    <w:r w:rsidRPr="007A6D6B">
      <w:rPr>
        <w:rStyle w:val="PageNumber"/>
        <w:b/>
      </w:rPr>
      <w:fldChar w:fldCharType="separate"/>
    </w:r>
    <w:r w:rsidRPr="007A6D6B">
      <w:rPr>
        <w:rStyle w:val="PageNumber"/>
        <w:b/>
      </w:rPr>
      <w:t>13</w:t>
    </w:r>
    <w:r w:rsidRPr="007A6D6B">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F2A52" w14:textId="77777777" w:rsidR="00D44330" w:rsidRPr="00843E48" w:rsidRDefault="00D44330" w:rsidP="00244544">
    <w:pPr>
      <w:pStyle w:val="Footer-pool"/>
      <w:tabs>
        <w:tab w:val="clear" w:pos="624"/>
        <w:tab w:val="clear" w:pos="1247"/>
        <w:tab w:val="clear" w:pos="1871"/>
        <w:tab w:val="clear" w:pos="2495"/>
        <w:tab w:val="clear" w:pos="3119"/>
        <w:tab w:val="clear" w:pos="3742"/>
        <w:tab w:val="clear" w:pos="4366"/>
        <w:tab w:val="clear" w:pos="4990"/>
        <w:tab w:val="clear" w:pos="8641"/>
      </w:tabs>
      <w:spacing w:after="0"/>
      <w:rPr>
        <w:b w:val="0"/>
      </w:rPr>
    </w:pPr>
    <w:r w:rsidRPr="00843E48">
      <w:rPr>
        <w:rStyle w:val="PageNumber"/>
        <w:b/>
      </w:rPr>
      <w:fldChar w:fldCharType="begin"/>
    </w:r>
    <w:r w:rsidRPr="00843E48">
      <w:rPr>
        <w:rStyle w:val="PageNumber"/>
        <w:b/>
      </w:rPr>
      <w:instrText xml:space="preserve"> PAGE \* MERGEFORMAT </w:instrText>
    </w:r>
    <w:r w:rsidRPr="00843E48">
      <w:rPr>
        <w:rStyle w:val="PageNumber"/>
        <w:b/>
      </w:rPr>
      <w:fldChar w:fldCharType="separate"/>
    </w:r>
    <w:r w:rsidRPr="00843E48">
      <w:rPr>
        <w:rStyle w:val="PageNumber"/>
        <w:b/>
      </w:rPr>
      <w:t>13</w:t>
    </w:r>
    <w:r w:rsidRPr="00843E48">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6B7DB" w14:textId="6A4B835D" w:rsidR="00D44330" w:rsidRDefault="00D44330" w:rsidP="00356686">
    <w:pPr>
      <w:pStyle w:val="Footer-jobnumber"/>
      <w:bidi/>
    </w:pPr>
    <w:r>
      <w:t>K2607173[A]</w:t>
    </w:r>
    <w:r>
      <w:tab/>
    </w:r>
    <w:r w:rsidR="001C423E">
      <w:t>0207</w:t>
    </w:r>
    <w:r>
      <w:t>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65A8C" w14:textId="275F2212" w:rsidR="007A36F8" w:rsidRPr="00565077" w:rsidRDefault="006E5708" w:rsidP="00565077">
    <w:pPr>
      <w:pStyle w:val="Header-pool"/>
      <w:pBdr>
        <w:bottom w:val="none" w:sz="0" w:space="0" w:color="auto"/>
      </w:pBdr>
      <w:tabs>
        <w:tab w:val="clear" w:pos="1247"/>
        <w:tab w:val="clear" w:pos="1814"/>
        <w:tab w:val="clear" w:pos="2381"/>
        <w:tab w:val="clear" w:pos="2948"/>
        <w:tab w:val="clear" w:pos="3515"/>
        <w:tab w:val="clear" w:pos="9072"/>
      </w:tabs>
      <w:bidi/>
      <w:rPr>
        <w:rFonts w:cs="Times New Roman" w:hint="default"/>
        <w:bCs/>
        <w:szCs w:val="18"/>
      </w:rPr>
    </w:pPr>
    <w:r w:rsidRPr="00565077">
      <w:rPr>
        <w:rFonts w:cs="Times New Roman"/>
        <w:bCs/>
        <w:szCs w:val="18"/>
      </w:rPr>
      <w:fldChar w:fldCharType="begin"/>
    </w:r>
    <w:r w:rsidRPr="00565077">
      <w:rPr>
        <w:rFonts w:cs="Times New Roman"/>
        <w:bCs/>
        <w:szCs w:val="18"/>
      </w:rPr>
      <w:instrText xml:space="preserve"> PAGE </w:instrText>
    </w:r>
    <w:r w:rsidRPr="00565077">
      <w:rPr>
        <w:rFonts w:cs="Times New Roman"/>
        <w:bCs/>
        <w:szCs w:val="18"/>
      </w:rPr>
      <w:fldChar w:fldCharType="separate"/>
    </w:r>
    <w:r w:rsidRPr="00565077">
      <w:rPr>
        <w:rFonts w:cs="Times New Roman"/>
        <w:bCs/>
        <w:szCs w:val="18"/>
      </w:rPr>
      <w:t>1</w:t>
    </w:r>
    <w:r w:rsidRPr="00565077">
      <w:rPr>
        <w:rFonts w:cs="Times New Roman"/>
        <w:bCs/>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E9324" w14:textId="18A1D19C" w:rsidR="007A36F8" w:rsidRPr="00984A76" w:rsidRDefault="006E5708" w:rsidP="00984A76">
    <w:pPr>
      <w:pStyle w:val="Footer-pool"/>
      <w:tabs>
        <w:tab w:val="clear" w:pos="624"/>
        <w:tab w:val="clear" w:pos="1247"/>
        <w:tab w:val="clear" w:pos="1871"/>
        <w:tab w:val="clear" w:pos="2495"/>
        <w:tab w:val="clear" w:pos="3119"/>
        <w:tab w:val="clear" w:pos="3742"/>
        <w:tab w:val="clear" w:pos="4366"/>
        <w:tab w:val="clear" w:pos="4990"/>
        <w:tab w:val="clear" w:pos="8641"/>
      </w:tabs>
      <w:spacing w:after="0"/>
      <w:rPr>
        <w:b w:val="0"/>
        <w:bCs/>
      </w:rPr>
    </w:pPr>
    <w:r w:rsidRPr="00984A76">
      <w:rPr>
        <w:rStyle w:val="PageNumber"/>
        <w:b/>
        <w:bCs/>
      </w:rPr>
      <w:fldChar w:fldCharType="begin"/>
    </w:r>
    <w:r w:rsidRPr="00984A76">
      <w:rPr>
        <w:rStyle w:val="PageNumber"/>
        <w:b/>
        <w:bCs/>
      </w:rPr>
      <w:instrText xml:space="preserve"> PAGE \* MERGEFORMAT </w:instrText>
    </w:r>
    <w:r w:rsidRPr="00984A76">
      <w:rPr>
        <w:rStyle w:val="PageNumber"/>
        <w:b/>
        <w:bCs/>
      </w:rPr>
      <w:fldChar w:fldCharType="separate"/>
    </w:r>
    <w:r w:rsidRPr="00984A76">
      <w:rPr>
        <w:rStyle w:val="PageNumber"/>
        <w:b/>
        <w:bCs/>
        <w:noProof/>
      </w:rPr>
      <w:t>1</w:t>
    </w:r>
    <w:r w:rsidRPr="00984A76">
      <w:rPr>
        <w:rStyle w:val="PageNumber"/>
        <w:b/>
        <w:bC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CEE0D" w14:textId="4B2DEB96" w:rsidR="006E5708" w:rsidRPr="00565077" w:rsidRDefault="00565077" w:rsidP="006E5708">
    <w:pPr>
      <w:pStyle w:val="Footer-jobnumber"/>
      <w:bidi/>
      <w:textDirection w:val="tbRlV"/>
      <w:rPr>
        <w:lang w:val="en-US" w:eastAsia="zh-TW" w:bidi="en-GB"/>
      </w:rPr>
    </w:pPr>
    <w:r w:rsidRPr="00565077">
      <w:rPr>
        <w:lang w:val="ar-SA" w:eastAsia="zh-TW"/>
      </w:rPr>
      <w:t>K2603804[</w:t>
    </w:r>
    <w:r>
      <w:rPr>
        <w:lang w:val="en-US" w:eastAsia="zh-TW"/>
      </w:rPr>
      <w:t>A</w:t>
    </w:r>
    <w:r w:rsidRPr="00565077">
      <w:rPr>
        <w:lang w:val="ar-SA" w:eastAsia="zh-TW"/>
      </w:rPr>
      <w:t>]</w:t>
    </w:r>
    <w:r w:rsidRPr="00565077">
      <w:rPr>
        <w:rtl/>
        <w:lang w:val="ar-SA" w:eastAsia="zh-TW"/>
      </w:rPr>
      <w:tab/>
    </w:r>
    <w:r>
      <w:rPr>
        <w:lang w:val="en-US" w:eastAsia="zh-TW"/>
      </w:rPr>
      <w:t>140426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18622" w14:textId="77777777" w:rsidR="00570FF3" w:rsidRPr="006E5708" w:rsidRDefault="00570FF3" w:rsidP="008F073D">
      <w:pPr>
        <w:pStyle w:val="Footnote-Separator"/>
        <w:bidi/>
        <w:spacing w:before="0"/>
        <w:ind w:left="567"/>
        <w:rPr>
          <w:szCs w:val="18"/>
        </w:rPr>
      </w:pPr>
      <w:r w:rsidRPr="006E5708">
        <w:separator/>
      </w:r>
    </w:p>
  </w:footnote>
  <w:footnote w:type="continuationSeparator" w:id="0">
    <w:p w14:paraId="7540A398" w14:textId="77777777" w:rsidR="00570FF3" w:rsidRPr="006E5708" w:rsidRDefault="00570FF3" w:rsidP="00C70B49">
      <w:pPr>
        <w:pStyle w:val="Footnote-Separator"/>
      </w:pPr>
      <w:r w:rsidRPr="006E5708">
        <w:continuationSeparator/>
      </w:r>
    </w:p>
  </w:footnote>
  <w:footnote w:type="continuationNotice" w:id="1">
    <w:p w14:paraId="29F15BAD" w14:textId="77777777" w:rsidR="00570FF3" w:rsidRPr="006E5708" w:rsidRDefault="00570FF3" w:rsidP="00C70B49">
      <w:pPr>
        <w:pStyle w:val="ASpacer"/>
      </w:pPr>
    </w:p>
  </w:footnote>
  <w:footnote w:id="2">
    <w:p w14:paraId="4A4D33BF" w14:textId="77777777" w:rsidR="00984A76" w:rsidRPr="008F073D" w:rsidRDefault="00984A76" w:rsidP="008F073D">
      <w:pPr>
        <w:pStyle w:val="FootnoteText"/>
        <w:tabs>
          <w:tab w:val="clear" w:pos="1247"/>
          <w:tab w:val="clear" w:pos="1814"/>
          <w:tab w:val="clear" w:pos="2381"/>
          <w:tab w:val="clear" w:pos="2948"/>
          <w:tab w:val="clear" w:pos="3515"/>
        </w:tabs>
        <w:bidi/>
        <w:spacing w:after="40" w:line="280" w:lineRule="exact"/>
        <w:ind w:left="1134"/>
        <w:jc w:val="both"/>
        <w:rPr>
          <w:rFonts w:ascii="Simplified Arabic" w:hAnsi="Simplified Arabic" w:hint="default"/>
          <w:szCs w:val="20"/>
          <w:rtl/>
        </w:rPr>
      </w:pPr>
      <w:r w:rsidRPr="008F073D">
        <w:rPr>
          <w:rStyle w:val="FootnoteReference"/>
          <w:rFonts w:ascii="Simplified Arabic" w:hAnsi="Simplified Arabic" w:hint="default"/>
          <w:szCs w:val="20"/>
          <w:vertAlign w:val="baseline"/>
        </w:rPr>
        <w:t>*</w:t>
      </w:r>
      <w:r w:rsidRPr="008F073D">
        <w:rPr>
          <w:rFonts w:ascii="Simplified Arabic" w:hAnsi="Simplified Arabic" w:hint="default"/>
          <w:szCs w:val="20"/>
          <w:rtl/>
        </w:rPr>
        <w:t xml:space="preserve"> </w:t>
      </w:r>
      <w:r w:rsidRPr="00CA1B8B">
        <w:rPr>
          <w:rFonts w:asciiTheme="majorBidi" w:hAnsiTheme="majorBidi" w:cstheme="majorBidi" w:hint="default"/>
          <w:sz w:val="18"/>
          <w:szCs w:val="18"/>
        </w:rPr>
        <w:t>UNEP/OzL.Pro.WG.1/48/1</w:t>
      </w:r>
      <w:r w:rsidRPr="008F073D">
        <w:rPr>
          <w:rFonts w:ascii="Simplified Arabic" w:hAnsi="Simplified Arabic" w:hint="default"/>
          <w:szCs w:val="20"/>
          <w:rtl/>
        </w:rPr>
        <w:t>.</w:t>
      </w:r>
    </w:p>
  </w:footnote>
  <w:footnote w:id="3">
    <w:p w14:paraId="3ECF4CD3" w14:textId="77777777" w:rsidR="00D44330" w:rsidRPr="008F073D" w:rsidRDefault="00D44330" w:rsidP="00CA1B8B">
      <w:pPr>
        <w:pStyle w:val="Footnote-Text"/>
        <w:tabs>
          <w:tab w:val="clear" w:pos="624"/>
          <w:tab w:val="clear" w:pos="1247"/>
          <w:tab w:val="clear" w:pos="1871"/>
          <w:tab w:val="clear" w:pos="2495"/>
          <w:tab w:val="clear" w:pos="3119"/>
          <w:tab w:val="clear" w:pos="3742"/>
          <w:tab w:val="clear" w:pos="4366"/>
          <w:tab w:val="clear" w:pos="4990"/>
        </w:tabs>
        <w:bidi/>
        <w:spacing w:before="0" w:line="280" w:lineRule="exact"/>
        <w:ind w:left="1134"/>
        <w:jc w:val="lowKashida"/>
        <w:textDirection w:val="tbRlV"/>
        <w:rPr>
          <w:rFonts w:ascii="Simplified Arabic" w:hAnsi="Simplified Arabic" w:cs="Simplified Arabic"/>
          <w:sz w:val="20"/>
          <w:lang w:val="ar-SA" w:eastAsia="zh-TW" w:bidi="en-GB"/>
        </w:rPr>
      </w:pPr>
      <w:r w:rsidRPr="008F073D">
        <w:rPr>
          <w:rFonts w:ascii="Simplified Arabic" w:hAnsi="Simplified Arabic" w:cs="Simplified Arabic"/>
          <w:sz w:val="20"/>
          <w:rtl/>
        </w:rPr>
        <w:t>(</w:t>
      </w:r>
      <w:r w:rsidRPr="008F073D">
        <w:rPr>
          <w:rFonts w:ascii="Simplified Arabic" w:hAnsi="Simplified Arabic" w:cs="Simplified Arabic"/>
          <w:sz w:val="20"/>
          <w:rtl/>
        </w:rPr>
        <w:footnoteRef/>
      </w:r>
      <w:r w:rsidRPr="008F073D">
        <w:rPr>
          <w:rFonts w:ascii="Simplified Arabic" w:hAnsi="Simplified Arabic" w:cs="Simplified Arabic"/>
          <w:sz w:val="20"/>
          <w:rtl/>
        </w:rPr>
        <w:t>) يمكن الاطلاع عليه في بوابة الاجتماع الثامن والأربعين للفريق العامل المفتوح العضوية على الرابط</w:t>
      </w:r>
      <w:r w:rsidRPr="008F073D">
        <w:rPr>
          <w:rFonts w:ascii="Simplified Arabic" w:hAnsi="Simplified Arabic" w:cs="Simplified Arabic"/>
          <w:sz w:val="20"/>
        </w:rPr>
        <w:t>:</w:t>
      </w:r>
      <w:r w:rsidRPr="008F073D">
        <w:rPr>
          <w:rFonts w:ascii="Simplified Arabic" w:hAnsi="Simplified Arabic" w:cs="Simplified Arabic"/>
          <w:sz w:val="20"/>
          <w:rtl/>
        </w:rPr>
        <w:t xml:space="preserve"> </w:t>
      </w:r>
      <w:hyperlink r:id="rId1" w:history="1">
        <w:r w:rsidRPr="00CA1B8B">
          <w:rPr>
            <w:rStyle w:val="Hyperlink"/>
            <w:rFonts w:asciiTheme="majorBidi" w:hAnsiTheme="majorBidi" w:cstheme="majorBidi"/>
            <w:szCs w:val="18"/>
          </w:rPr>
          <w:t>https://ozone.unep.org/meetings/48th-meeting-open-ended-working-group-parties/pre-session-documents</w:t>
        </w:r>
      </w:hyperlink>
      <w:r w:rsidRPr="008F073D">
        <w:rPr>
          <w:rFonts w:ascii="Simplified Arabic" w:hAnsi="Simplified Arabic" w:cs="Simplified Arabic"/>
          <w:sz w:val="20"/>
          <w:rtl/>
        </w:rPr>
        <w:t>.</w:t>
      </w:r>
    </w:p>
  </w:footnote>
  <w:footnote w:id="4">
    <w:p w14:paraId="31C2FDFA" w14:textId="4E2EE7EB" w:rsidR="00D44330" w:rsidRPr="00E5680C" w:rsidRDefault="00CA1B8B" w:rsidP="008F073D">
      <w:pPr>
        <w:pStyle w:val="Footnote-Text"/>
        <w:tabs>
          <w:tab w:val="clear" w:pos="624"/>
          <w:tab w:val="clear" w:pos="1247"/>
          <w:tab w:val="clear" w:pos="1871"/>
          <w:tab w:val="clear" w:pos="2495"/>
          <w:tab w:val="clear" w:pos="3119"/>
          <w:tab w:val="clear" w:pos="3742"/>
          <w:tab w:val="clear" w:pos="4366"/>
          <w:tab w:val="clear" w:pos="4990"/>
        </w:tabs>
        <w:bidi/>
        <w:spacing w:before="0" w:line="280" w:lineRule="exact"/>
        <w:ind w:left="1134"/>
        <w:jc w:val="both"/>
        <w:textDirection w:val="tbRlV"/>
        <w:rPr>
          <w:rFonts w:ascii="Simplified Arabic" w:hAnsi="Simplified Arabic" w:cs="Simplified Arabic"/>
          <w:w w:val="101"/>
          <w:sz w:val="20"/>
          <w:lang w:eastAsia="zh-TW" w:bidi="en-GB"/>
        </w:rPr>
      </w:pPr>
      <w:r w:rsidRPr="00E5680C">
        <w:rPr>
          <w:rFonts w:ascii="Simplified Arabic" w:hAnsi="Simplified Arabic" w:cs="Simplified Arabic"/>
          <w:w w:val="101"/>
          <w:sz w:val="20"/>
        </w:rPr>
        <w:t>)</w:t>
      </w:r>
      <w:r w:rsidR="00D44330" w:rsidRPr="00E5680C">
        <w:rPr>
          <w:rStyle w:val="FootnoteReference"/>
          <w:rFonts w:ascii="Simplified Arabic" w:hAnsi="Simplified Arabic" w:cs="Simplified Arabic"/>
          <w:w w:val="101"/>
          <w:szCs w:val="20"/>
          <w:vertAlign w:val="baseline"/>
          <w:rtl/>
        </w:rPr>
        <w:footnoteRef/>
      </w:r>
      <w:r w:rsidRPr="00E5680C">
        <w:rPr>
          <w:rFonts w:ascii="Simplified Arabic" w:hAnsi="Simplified Arabic" w:cs="Simplified Arabic"/>
          <w:w w:val="101"/>
          <w:sz w:val="20"/>
        </w:rPr>
        <w:t>(</w:t>
      </w:r>
      <w:r w:rsidR="00D44330" w:rsidRPr="00E5680C">
        <w:rPr>
          <w:rFonts w:ascii="Simplified Arabic" w:hAnsi="Simplified Arabic" w:cs="Simplified Arabic"/>
          <w:w w:val="101"/>
          <w:sz w:val="20"/>
          <w:rtl/>
        </w:rPr>
        <w:t xml:space="preserve"> </w:t>
      </w:r>
      <w:hyperlink r:id="rId2" w:history="1">
        <w:r w:rsidR="00D44330" w:rsidRPr="00E5680C">
          <w:rPr>
            <w:rStyle w:val="Hyperlink"/>
            <w:rFonts w:asciiTheme="majorBidi" w:eastAsia="SimSun" w:hAnsiTheme="majorBidi" w:cstheme="majorBidi"/>
            <w:w w:val="101"/>
            <w:szCs w:val="18"/>
            <w:rtl/>
          </w:rPr>
          <w:t>https://ozone.unep.org/system/files/documents/TEAP-DecisionXXXVII6-replenishment-TF-report-May2026-RTF-report.pdf</w:t>
        </w:r>
      </w:hyperlink>
      <w:r w:rsidR="00D44330" w:rsidRPr="00E5680C">
        <w:rPr>
          <w:rFonts w:ascii="Simplified Arabic" w:hAnsi="Simplified Arabic" w:cs="Simplified Arabic"/>
          <w:w w:val="101"/>
          <w:sz w:val="20"/>
          <w:rtl/>
        </w:rPr>
        <w:t>.</w:t>
      </w:r>
      <w:hyperlink r:id="rId3" w:history="1"/>
    </w:p>
  </w:footnote>
  <w:footnote w:id="5">
    <w:p w14:paraId="20962E59" w14:textId="537A577B" w:rsidR="00D44330" w:rsidRPr="008F073D" w:rsidRDefault="00CA1B8B" w:rsidP="008F073D">
      <w:pPr>
        <w:pStyle w:val="Footnote-Text"/>
        <w:tabs>
          <w:tab w:val="clear" w:pos="624"/>
          <w:tab w:val="clear" w:pos="1247"/>
          <w:tab w:val="clear" w:pos="1871"/>
          <w:tab w:val="clear" w:pos="2495"/>
          <w:tab w:val="clear" w:pos="3119"/>
          <w:tab w:val="clear" w:pos="3742"/>
          <w:tab w:val="clear" w:pos="4366"/>
          <w:tab w:val="clear" w:pos="4990"/>
        </w:tabs>
        <w:bidi/>
        <w:spacing w:before="0" w:line="280" w:lineRule="exact"/>
        <w:ind w:left="1134"/>
        <w:jc w:val="both"/>
        <w:textDirection w:val="tbRlV"/>
        <w:rPr>
          <w:rFonts w:ascii="Simplified Arabic" w:hAnsi="Simplified Arabic" w:cs="Simplified Arabic"/>
          <w:sz w:val="20"/>
          <w:lang w:val="ar-SA" w:eastAsia="zh-TW" w:bidi="en-GB"/>
        </w:rPr>
      </w:pPr>
      <w:r>
        <w:rPr>
          <w:rFonts w:ascii="Simplified Arabic" w:hAnsi="Simplified Arabic" w:cs="Simplified Arabic"/>
          <w:sz w:val="20"/>
        </w:rPr>
        <w:t>)</w:t>
      </w:r>
      <w:r w:rsidR="00D44330" w:rsidRPr="008F073D">
        <w:rPr>
          <w:rStyle w:val="FootnoteReference"/>
          <w:rFonts w:ascii="Simplified Arabic" w:hAnsi="Simplified Arabic" w:cs="Simplified Arabic"/>
          <w:szCs w:val="20"/>
          <w:vertAlign w:val="baseline"/>
          <w:rtl/>
        </w:rPr>
        <w:footnoteRef/>
      </w:r>
      <w:r>
        <w:rPr>
          <w:rFonts w:ascii="Simplified Arabic" w:hAnsi="Simplified Arabic" w:cs="Simplified Arabic"/>
          <w:sz w:val="20"/>
        </w:rPr>
        <w:t>(</w:t>
      </w:r>
      <w:r w:rsidR="00D44330" w:rsidRPr="008F073D">
        <w:rPr>
          <w:rFonts w:ascii="Simplified Arabic" w:hAnsi="Simplified Arabic" w:cs="Simplified Arabic"/>
          <w:sz w:val="20"/>
          <w:rtl/>
        </w:rPr>
        <w:t xml:space="preserve"> تشمل هذه المخصصات متوسطًا سنويًّا قدره 2,5 في المئة لصيانة معدات التبريد وتكييف الهواء القائمة، وصيانة معدات إخماد الحرائق ومعدات الوقاية من الحرائق الموجودة في 1 كانون الثاني/يناير 2030، واستخدامات المذيبات في تصنيع محركات الصواريخ، والإيروسولات الطبية الموضعية المستخدمة في العلاج المتخصص للحروق.</w:t>
      </w:r>
    </w:p>
  </w:footnote>
  <w:footnote w:id="6">
    <w:p w14:paraId="3C7CCD98" w14:textId="5EF90E8D" w:rsidR="00D44330" w:rsidRPr="008F073D" w:rsidRDefault="00CA1B8B" w:rsidP="008F073D">
      <w:pPr>
        <w:pStyle w:val="Footnote-Text"/>
        <w:tabs>
          <w:tab w:val="clear" w:pos="624"/>
          <w:tab w:val="clear" w:pos="1247"/>
          <w:tab w:val="clear" w:pos="1871"/>
          <w:tab w:val="clear" w:pos="2495"/>
          <w:tab w:val="clear" w:pos="3119"/>
          <w:tab w:val="clear" w:pos="3742"/>
          <w:tab w:val="clear" w:pos="4366"/>
          <w:tab w:val="clear" w:pos="4990"/>
        </w:tabs>
        <w:bidi/>
        <w:spacing w:before="0" w:line="280" w:lineRule="exact"/>
        <w:ind w:left="1134"/>
        <w:jc w:val="both"/>
        <w:textDirection w:val="tbRlV"/>
        <w:rPr>
          <w:rFonts w:ascii="Simplified Arabic" w:hAnsi="Simplified Arabic" w:cs="Simplified Arabic"/>
          <w:sz w:val="20"/>
          <w:lang w:val="ar-SA" w:eastAsia="zh-TW" w:bidi="en-GB"/>
        </w:rPr>
      </w:pPr>
      <w:r>
        <w:rPr>
          <w:rFonts w:ascii="Simplified Arabic" w:hAnsi="Simplified Arabic" w:cs="Simplified Arabic"/>
          <w:sz w:val="20"/>
        </w:rPr>
        <w:t>)</w:t>
      </w:r>
      <w:r w:rsidR="00D44330" w:rsidRPr="008F073D">
        <w:rPr>
          <w:rStyle w:val="FootnoteReference"/>
          <w:rFonts w:ascii="Simplified Arabic" w:hAnsi="Simplified Arabic" w:cs="Simplified Arabic"/>
          <w:szCs w:val="20"/>
          <w:vertAlign w:val="baseline"/>
          <w:rtl/>
        </w:rPr>
        <w:footnoteRef/>
      </w:r>
      <w:r>
        <w:rPr>
          <w:rFonts w:ascii="Simplified Arabic" w:hAnsi="Simplified Arabic" w:cs="Simplified Arabic"/>
          <w:sz w:val="20"/>
        </w:rPr>
        <w:t>(</w:t>
      </w:r>
      <w:r w:rsidR="00D44330" w:rsidRPr="008F073D">
        <w:rPr>
          <w:rFonts w:ascii="Simplified Arabic" w:hAnsi="Simplified Arabic" w:cs="Simplified Arabic"/>
          <w:sz w:val="20"/>
          <w:rtl/>
        </w:rPr>
        <w:t xml:space="preserve"> تمشياً مع مقرر اللجنة التنفيذية 62/17.</w:t>
      </w:r>
    </w:p>
  </w:footnote>
  <w:footnote w:id="7">
    <w:p w14:paraId="1AE82214" w14:textId="4C9DEE3F" w:rsidR="00D44330" w:rsidRPr="008F073D" w:rsidRDefault="00CA1B8B" w:rsidP="008F073D">
      <w:pPr>
        <w:pStyle w:val="Footnote-Text"/>
        <w:tabs>
          <w:tab w:val="clear" w:pos="624"/>
          <w:tab w:val="clear" w:pos="1247"/>
          <w:tab w:val="clear" w:pos="1871"/>
          <w:tab w:val="clear" w:pos="2495"/>
          <w:tab w:val="clear" w:pos="3119"/>
          <w:tab w:val="clear" w:pos="3742"/>
          <w:tab w:val="clear" w:pos="4366"/>
          <w:tab w:val="clear" w:pos="4990"/>
        </w:tabs>
        <w:bidi/>
        <w:spacing w:before="0" w:line="280" w:lineRule="exact"/>
        <w:ind w:left="1134"/>
        <w:jc w:val="both"/>
        <w:textDirection w:val="tbRlV"/>
        <w:rPr>
          <w:rFonts w:ascii="Simplified Arabic" w:hAnsi="Simplified Arabic" w:cs="Simplified Arabic"/>
          <w:sz w:val="20"/>
          <w:lang w:val="ar-SA" w:eastAsia="zh-TW" w:bidi="en-GB"/>
        </w:rPr>
      </w:pPr>
      <w:r>
        <w:rPr>
          <w:rFonts w:ascii="Simplified Arabic" w:hAnsi="Simplified Arabic" w:cs="Simplified Arabic"/>
          <w:sz w:val="20"/>
        </w:rPr>
        <w:t>)</w:t>
      </w:r>
      <w:r w:rsidR="00D44330" w:rsidRPr="008F073D">
        <w:rPr>
          <w:rStyle w:val="FootnoteReference"/>
          <w:rFonts w:ascii="Simplified Arabic" w:hAnsi="Simplified Arabic" w:cs="Simplified Arabic"/>
          <w:szCs w:val="20"/>
          <w:vertAlign w:val="baseline"/>
          <w:rtl/>
        </w:rPr>
        <w:footnoteRef/>
      </w:r>
      <w:r>
        <w:rPr>
          <w:rFonts w:ascii="Simplified Arabic" w:hAnsi="Simplified Arabic" w:cs="Simplified Arabic"/>
          <w:sz w:val="20"/>
        </w:rPr>
        <w:t>(</w:t>
      </w:r>
      <w:r w:rsidR="00D44330" w:rsidRPr="008F073D">
        <w:rPr>
          <w:rFonts w:ascii="Simplified Arabic" w:hAnsi="Simplified Arabic" w:cs="Simplified Arabic"/>
          <w:sz w:val="20"/>
          <w:rtl/>
        </w:rPr>
        <w:t xml:space="preserve"> </w:t>
      </w:r>
      <w:hyperlink r:id="rId4" w:history="1">
        <w:r w:rsidR="00D44330" w:rsidRPr="000F706F">
          <w:rPr>
            <w:rStyle w:val="Hyperlink"/>
            <w:rFonts w:asciiTheme="majorBidi" w:eastAsia="SimSun" w:hAnsiTheme="majorBidi" w:cstheme="majorBidi"/>
            <w:szCs w:val="18"/>
            <w:rtl/>
          </w:rPr>
          <w:t>https://ozone.unep.org/system/files/documents/TEAP-May2026-Progress-Report-vol1.pdf</w:t>
        </w:r>
      </w:hyperlink>
      <w:r w:rsidR="00D44330" w:rsidRPr="008F073D">
        <w:rPr>
          <w:rFonts w:ascii="Simplified Arabic" w:hAnsi="Simplified Arabic" w:cs="Simplified Arabic"/>
          <w:sz w:val="20"/>
          <w:rtl/>
        </w:rPr>
        <w:t>.</w:t>
      </w:r>
      <w:hyperlink r:id="rId5" w:history="1"/>
    </w:p>
  </w:footnote>
  <w:footnote w:id="8">
    <w:p w14:paraId="56701548" w14:textId="7AC1C92A" w:rsidR="00D44330" w:rsidRPr="008F073D" w:rsidRDefault="00CA1B8B" w:rsidP="008F073D">
      <w:pPr>
        <w:pStyle w:val="Footnote-Text"/>
        <w:tabs>
          <w:tab w:val="clear" w:pos="624"/>
          <w:tab w:val="clear" w:pos="1247"/>
          <w:tab w:val="clear" w:pos="1871"/>
          <w:tab w:val="clear" w:pos="2495"/>
          <w:tab w:val="clear" w:pos="3119"/>
          <w:tab w:val="clear" w:pos="3742"/>
          <w:tab w:val="clear" w:pos="4366"/>
          <w:tab w:val="clear" w:pos="4990"/>
        </w:tabs>
        <w:bidi/>
        <w:spacing w:before="0" w:line="280" w:lineRule="exact"/>
        <w:ind w:left="1134"/>
        <w:jc w:val="both"/>
        <w:textDirection w:val="tbRlV"/>
        <w:rPr>
          <w:rFonts w:ascii="Simplified Arabic" w:hAnsi="Simplified Arabic" w:cs="Simplified Arabic"/>
          <w:sz w:val="20"/>
          <w:lang w:val="ar-SA" w:eastAsia="zh-TW" w:bidi="en-GB"/>
        </w:rPr>
      </w:pPr>
      <w:r>
        <w:rPr>
          <w:rFonts w:ascii="Simplified Arabic" w:hAnsi="Simplified Arabic" w:cs="Simplified Arabic"/>
          <w:sz w:val="20"/>
        </w:rPr>
        <w:t>)</w:t>
      </w:r>
      <w:r w:rsidR="00D44330" w:rsidRPr="008F073D">
        <w:rPr>
          <w:rStyle w:val="FootnoteReference"/>
          <w:rFonts w:ascii="Simplified Arabic" w:hAnsi="Simplified Arabic" w:cs="Simplified Arabic"/>
          <w:szCs w:val="20"/>
          <w:vertAlign w:val="baseline"/>
          <w:rtl/>
        </w:rPr>
        <w:footnoteRef/>
      </w:r>
      <w:r>
        <w:rPr>
          <w:rFonts w:ascii="Simplified Arabic" w:hAnsi="Simplified Arabic" w:cs="Simplified Arabic"/>
          <w:sz w:val="20"/>
        </w:rPr>
        <w:t>(</w:t>
      </w:r>
      <w:r w:rsidR="00D44330" w:rsidRPr="008F073D">
        <w:rPr>
          <w:rFonts w:ascii="Simplified Arabic" w:hAnsi="Simplified Arabic" w:cs="Simplified Arabic"/>
          <w:sz w:val="20"/>
          <w:rtl/>
        </w:rPr>
        <w:t xml:space="preserve"> الوثيقة </w:t>
      </w:r>
      <w:r w:rsidR="00D44330" w:rsidRPr="00CA1B8B">
        <w:rPr>
          <w:rFonts w:asciiTheme="majorBidi" w:eastAsia="SimSun" w:hAnsiTheme="majorBidi" w:cstheme="majorBidi"/>
          <w:szCs w:val="18"/>
          <w:rtl/>
        </w:rPr>
        <w:t>UNEP/OzL.Pro.WG.1/47/2</w:t>
      </w:r>
      <w:r w:rsidR="00D44330" w:rsidRPr="008F073D">
        <w:rPr>
          <w:rFonts w:ascii="Simplified Arabic" w:hAnsi="Simplified Arabic" w:cs="Simplified Arabic"/>
          <w:sz w:val="20"/>
          <w:rtl/>
        </w:rPr>
        <w:t xml:space="preserve"> (الفقرات 17–21) وإضافتها (</w:t>
      </w:r>
      <w:r w:rsidR="00D44330" w:rsidRPr="00CA1B8B">
        <w:rPr>
          <w:rFonts w:asciiTheme="majorBidi" w:eastAsia="SimSun" w:hAnsiTheme="majorBidi" w:cstheme="majorBidi"/>
          <w:szCs w:val="18"/>
          <w:rtl/>
        </w:rPr>
        <w:t>UNEP/OzL.Pro.WG.1/47/2/Add.1</w:t>
      </w:r>
      <w:r w:rsidR="00D44330" w:rsidRPr="008F073D">
        <w:rPr>
          <w:rFonts w:ascii="Simplified Arabic" w:hAnsi="Simplified Arabic" w:cs="Simplified Arabic"/>
          <w:sz w:val="20"/>
          <w:rtl/>
        </w:rPr>
        <w:t xml:space="preserve"> (الفقرات 19-28 والجدول 1)).</w:t>
      </w:r>
    </w:p>
  </w:footnote>
  <w:footnote w:id="9">
    <w:p w14:paraId="24ED57F4" w14:textId="676E5C88" w:rsidR="00D44330" w:rsidRPr="008F073D" w:rsidRDefault="00D44330" w:rsidP="008F073D">
      <w:pPr>
        <w:pStyle w:val="Footnote-Text"/>
        <w:tabs>
          <w:tab w:val="clear" w:pos="624"/>
          <w:tab w:val="clear" w:pos="1247"/>
          <w:tab w:val="clear" w:pos="1871"/>
          <w:tab w:val="clear" w:pos="2495"/>
          <w:tab w:val="clear" w:pos="3119"/>
          <w:tab w:val="clear" w:pos="3742"/>
          <w:tab w:val="clear" w:pos="4366"/>
          <w:tab w:val="clear" w:pos="4990"/>
        </w:tabs>
        <w:bidi/>
        <w:spacing w:before="0" w:line="280" w:lineRule="exact"/>
        <w:ind w:left="1134"/>
        <w:jc w:val="both"/>
        <w:textDirection w:val="tbRlV"/>
        <w:rPr>
          <w:rFonts w:ascii="Simplified Arabic" w:hAnsi="Simplified Arabic" w:cs="Simplified Arabic"/>
          <w:sz w:val="20"/>
          <w:lang w:val="ar-SA" w:eastAsia="zh-TW" w:bidi="en-GB"/>
        </w:rPr>
      </w:pPr>
      <w:r w:rsidRPr="008F073D">
        <w:rPr>
          <w:rFonts w:ascii="Simplified Arabic" w:hAnsi="Simplified Arabic" w:cs="Simplified Arabic"/>
          <w:sz w:val="20"/>
          <w:rtl/>
        </w:rPr>
        <w:t>(</w:t>
      </w:r>
      <w:r w:rsidRPr="008F073D">
        <w:rPr>
          <w:rStyle w:val="FootnoteReference"/>
          <w:rFonts w:ascii="Simplified Arabic" w:hAnsi="Simplified Arabic" w:cs="Simplified Arabic"/>
          <w:szCs w:val="20"/>
          <w:vertAlign w:val="baseline"/>
          <w:rtl/>
        </w:rPr>
        <w:footnoteRef/>
      </w:r>
      <w:r w:rsidRPr="008F073D">
        <w:rPr>
          <w:rFonts w:ascii="Simplified Arabic" w:hAnsi="Simplified Arabic" w:cs="Simplified Arabic"/>
          <w:sz w:val="20"/>
          <w:rtl/>
        </w:rPr>
        <w:t xml:space="preserve">) انظر </w:t>
      </w:r>
      <w:hyperlink r:id="rId6" w:history="1">
        <w:r w:rsidRPr="00CA1B8B">
          <w:rPr>
            <w:rStyle w:val="Hyperlink"/>
            <w:rFonts w:asciiTheme="majorBidi" w:hAnsiTheme="majorBidi" w:cstheme="majorBidi"/>
            <w:szCs w:val="18"/>
          </w:rPr>
          <w:t>https://ozone.unep.org/science/assessment/teap/teap-expertise-required</w:t>
        </w:r>
      </w:hyperlink>
      <w:r w:rsidRPr="008F073D">
        <w:rPr>
          <w:rFonts w:ascii="Simplified Arabic" w:hAnsi="Simplified Arabic" w:cs="Simplified Arabic"/>
          <w:sz w:val="20"/>
          <w:rtl/>
        </w:rPr>
        <w:t>.</w:t>
      </w:r>
    </w:p>
  </w:footnote>
  <w:footnote w:id="10">
    <w:p w14:paraId="4053FB97" w14:textId="6B6B46BF" w:rsidR="00D44330" w:rsidRPr="008F073D" w:rsidRDefault="00CA1B8B" w:rsidP="008F073D">
      <w:pPr>
        <w:pStyle w:val="Footnote-Text"/>
        <w:tabs>
          <w:tab w:val="clear" w:pos="624"/>
          <w:tab w:val="clear" w:pos="1247"/>
          <w:tab w:val="clear" w:pos="1871"/>
          <w:tab w:val="clear" w:pos="2495"/>
          <w:tab w:val="clear" w:pos="3119"/>
          <w:tab w:val="clear" w:pos="3742"/>
          <w:tab w:val="clear" w:pos="4366"/>
          <w:tab w:val="clear" w:pos="4990"/>
        </w:tabs>
        <w:bidi/>
        <w:spacing w:before="0" w:line="280" w:lineRule="exact"/>
        <w:ind w:left="1134"/>
        <w:jc w:val="both"/>
        <w:textDirection w:val="tbRlV"/>
        <w:rPr>
          <w:rFonts w:ascii="Simplified Arabic" w:hAnsi="Simplified Arabic" w:cs="Simplified Arabic"/>
          <w:sz w:val="20"/>
          <w:lang w:val="ar-SA" w:eastAsia="zh-TW" w:bidi="en-GB"/>
        </w:rPr>
      </w:pPr>
      <w:r>
        <w:rPr>
          <w:rFonts w:ascii="Simplified Arabic" w:hAnsi="Simplified Arabic" w:cs="Simplified Arabic"/>
          <w:sz w:val="20"/>
        </w:rPr>
        <w:t>)</w:t>
      </w:r>
      <w:r w:rsidR="00D44330" w:rsidRPr="008F073D">
        <w:rPr>
          <w:rStyle w:val="FootnoteReference"/>
          <w:rFonts w:ascii="Simplified Arabic" w:hAnsi="Simplified Arabic" w:cs="Simplified Arabic"/>
          <w:szCs w:val="20"/>
          <w:vertAlign w:val="baseline"/>
          <w:rtl/>
        </w:rPr>
        <w:footnoteRef/>
      </w:r>
      <w:r>
        <w:rPr>
          <w:rFonts w:ascii="Simplified Arabic" w:hAnsi="Simplified Arabic" w:cs="Simplified Arabic"/>
          <w:sz w:val="20"/>
        </w:rPr>
        <w:t>(</w:t>
      </w:r>
      <w:r w:rsidR="00D44330" w:rsidRPr="008F073D">
        <w:rPr>
          <w:rFonts w:ascii="Simplified Arabic" w:hAnsi="Simplified Arabic" w:cs="Simplified Arabic"/>
          <w:sz w:val="20"/>
          <w:rtl/>
        </w:rPr>
        <w:t xml:space="preserve"> </w:t>
      </w:r>
      <w:hyperlink r:id="rId7" w:history="1">
        <w:r w:rsidR="00D44330" w:rsidRPr="00C321AD">
          <w:rPr>
            <w:rStyle w:val="Hyperlink"/>
            <w:rFonts w:asciiTheme="majorBidi" w:eastAsia="SimSun" w:hAnsiTheme="majorBidi" w:cstheme="majorBidi"/>
            <w:szCs w:val="18"/>
            <w:rtl/>
          </w:rPr>
          <w:t>https://ozone.unep.org/node/1941</w:t>
        </w:r>
      </w:hyperlink>
      <w:r w:rsidR="00D44330" w:rsidRPr="008F073D">
        <w:rPr>
          <w:rFonts w:ascii="Simplified Arabic" w:hAnsi="Simplified Arabic" w:cs="Simplified Arabic"/>
          <w:sz w:val="20"/>
          <w:rtl/>
        </w:rPr>
        <w:t>.</w:t>
      </w:r>
      <w:hyperlink r:id="rId8" w:history="1"/>
    </w:p>
  </w:footnote>
  <w:footnote w:id="11">
    <w:p w14:paraId="70E7A26C" w14:textId="351AA388" w:rsidR="00D44330" w:rsidRPr="008F073D" w:rsidRDefault="00CA1B8B" w:rsidP="008F073D">
      <w:pPr>
        <w:pStyle w:val="Footnote-Text"/>
        <w:tabs>
          <w:tab w:val="clear" w:pos="624"/>
          <w:tab w:val="clear" w:pos="1247"/>
          <w:tab w:val="clear" w:pos="1871"/>
          <w:tab w:val="clear" w:pos="2495"/>
          <w:tab w:val="clear" w:pos="3119"/>
          <w:tab w:val="clear" w:pos="3742"/>
          <w:tab w:val="clear" w:pos="4366"/>
          <w:tab w:val="clear" w:pos="4990"/>
        </w:tabs>
        <w:bidi/>
        <w:spacing w:before="0" w:line="280" w:lineRule="exact"/>
        <w:ind w:left="1134"/>
        <w:jc w:val="both"/>
        <w:textDirection w:val="tbRlV"/>
        <w:rPr>
          <w:rFonts w:ascii="Simplified Arabic" w:hAnsi="Simplified Arabic" w:cs="Simplified Arabic"/>
          <w:sz w:val="20"/>
          <w:lang w:val="ar-SA" w:eastAsia="zh-TW" w:bidi="en-GB"/>
        </w:rPr>
      </w:pPr>
      <w:r>
        <w:rPr>
          <w:rFonts w:ascii="Simplified Arabic" w:hAnsi="Simplified Arabic" w:cs="Simplified Arabic"/>
          <w:sz w:val="20"/>
        </w:rPr>
        <w:t>)</w:t>
      </w:r>
      <w:r w:rsidR="00D44330" w:rsidRPr="008F073D">
        <w:rPr>
          <w:rStyle w:val="FootnoteReference"/>
          <w:rFonts w:ascii="Simplified Arabic" w:hAnsi="Simplified Arabic" w:cs="Simplified Arabic"/>
          <w:szCs w:val="20"/>
          <w:vertAlign w:val="baseline"/>
          <w:rtl/>
        </w:rPr>
        <w:footnoteRef/>
      </w:r>
      <w:r>
        <w:rPr>
          <w:rFonts w:ascii="Simplified Arabic" w:hAnsi="Simplified Arabic" w:cs="Simplified Arabic"/>
          <w:sz w:val="20"/>
        </w:rPr>
        <w:t>(</w:t>
      </w:r>
      <w:r w:rsidR="00D44330" w:rsidRPr="008F073D">
        <w:rPr>
          <w:rFonts w:ascii="Simplified Arabic" w:hAnsi="Simplified Arabic" w:cs="Simplified Arabic"/>
          <w:sz w:val="20"/>
          <w:rtl/>
        </w:rPr>
        <w:t xml:space="preserve"> على الرغم من أن التقرير يشير إلى أن تكنولوجيا التدمير قد خضعت للاختبار بما يشمل أكثر من 60 مركبًا، بما في ذلك المركبات البيركلورية والمبرومة، إلا أنه لم تُقدم أي بيانات داعمة عن فئات المركبات تلك. لذلك، وبصرف النظر عن فئات المواد الخاضعة للرقابة التي عُرضت بيانات بشأنها، لم يكن بالإمكان إجراء أي تقييم مستند إلى البيانات فيما يتعلق بتلك المواد الأخرى.</w:t>
      </w:r>
    </w:p>
  </w:footnote>
  <w:footnote w:id="12">
    <w:p w14:paraId="014F0FE2" w14:textId="77777777" w:rsidR="00D44330" w:rsidRPr="008F073D" w:rsidRDefault="00D44330" w:rsidP="008F073D">
      <w:pPr>
        <w:pStyle w:val="Footnote-Text"/>
        <w:tabs>
          <w:tab w:val="clear" w:pos="624"/>
          <w:tab w:val="clear" w:pos="1247"/>
          <w:tab w:val="clear" w:pos="1871"/>
          <w:tab w:val="clear" w:pos="2495"/>
          <w:tab w:val="clear" w:pos="3119"/>
          <w:tab w:val="clear" w:pos="3742"/>
          <w:tab w:val="clear" w:pos="4366"/>
          <w:tab w:val="clear" w:pos="4990"/>
        </w:tabs>
        <w:bidi/>
        <w:spacing w:before="0" w:line="280" w:lineRule="exact"/>
        <w:ind w:left="1134"/>
        <w:jc w:val="both"/>
        <w:textDirection w:val="tbRlV"/>
        <w:rPr>
          <w:rFonts w:ascii="Simplified Arabic" w:hAnsi="Simplified Arabic" w:cs="Simplified Arabic"/>
          <w:sz w:val="20"/>
          <w:lang w:val="ar-SA" w:eastAsia="zh-TW" w:bidi="en-GB"/>
        </w:rPr>
      </w:pPr>
      <w:r w:rsidRPr="008F073D">
        <w:rPr>
          <w:rFonts w:ascii="Simplified Arabic" w:hAnsi="Simplified Arabic" w:cs="Simplified Arabic"/>
          <w:sz w:val="20"/>
          <w:rtl/>
        </w:rPr>
        <w:t>* لم تخضع النسخة الأصلية من المرفق باللغة الإنكليزية لتحرير رسمي.</w:t>
      </w:r>
    </w:p>
  </w:footnote>
  <w:footnote w:id="13">
    <w:p w14:paraId="51211450" w14:textId="61EA4AA6" w:rsidR="00D44330" w:rsidRPr="008F073D" w:rsidRDefault="00CA1B8B" w:rsidP="008F073D">
      <w:pPr>
        <w:pStyle w:val="Footnote-Text"/>
        <w:tabs>
          <w:tab w:val="clear" w:pos="624"/>
          <w:tab w:val="clear" w:pos="1247"/>
          <w:tab w:val="clear" w:pos="1871"/>
          <w:tab w:val="clear" w:pos="2495"/>
          <w:tab w:val="clear" w:pos="3119"/>
          <w:tab w:val="clear" w:pos="3742"/>
          <w:tab w:val="clear" w:pos="4366"/>
          <w:tab w:val="clear" w:pos="4990"/>
        </w:tabs>
        <w:bidi/>
        <w:spacing w:before="0" w:line="280" w:lineRule="exact"/>
        <w:ind w:left="1134"/>
        <w:jc w:val="both"/>
        <w:textDirection w:val="tbRlV"/>
        <w:rPr>
          <w:rFonts w:ascii="Simplified Arabic" w:hAnsi="Simplified Arabic" w:cs="Simplified Arabic"/>
          <w:sz w:val="20"/>
          <w:lang w:val="ar-SA" w:eastAsia="zh-TW" w:bidi="en-GB"/>
        </w:rPr>
      </w:pPr>
      <w:r>
        <w:rPr>
          <w:rFonts w:ascii="Simplified Arabic" w:hAnsi="Simplified Arabic" w:cs="Simplified Arabic"/>
          <w:sz w:val="20"/>
        </w:rPr>
        <w:t>)</w:t>
      </w:r>
      <w:r w:rsidR="00D44330" w:rsidRPr="008F073D">
        <w:rPr>
          <w:rStyle w:val="FootnoteReference"/>
          <w:rFonts w:ascii="Simplified Arabic" w:hAnsi="Simplified Arabic" w:cs="Simplified Arabic"/>
          <w:szCs w:val="20"/>
          <w:vertAlign w:val="baseline"/>
          <w:rtl/>
        </w:rPr>
        <w:footnoteRef/>
      </w:r>
      <w:r>
        <w:rPr>
          <w:rFonts w:ascii="Simplified Arabic" w:hAnsi="Simplified Arabic" w:cs="Simplified Arabic"/>
          <w:sz w:val="20"/>
        </w:rPr>
        <w:t>(</w:t>
      </w:r>
      <w:r w:rsidR="00D44330" w:rsidRPr="008F073D">
        <w:rPr>
          <w:rFonts w:ascii="Simplified Arabic" w:hAnsi="Simplified Arabic" w:cs="Simplified Arabic"/>
          <w:sz w:val="20"/>
          <w:rtl/>
        </w:rPr>
        <w:t xml:space="preserve"> </w:t>
      </w:r>
      <w:hyperlink r:id="rId9" w:history="1">
        <w:r w:rsidR="00D44330" w:rsidRPr="0097394D">
          <w:rPr>
            <w:rStyle w:val="Hyperlink"/>
            <w:rFonts w:asciiTheme="majorBidi" w:eastAsia="SimSun" w:hAnsiTheme="majorBidi" w:cstheme="majorBidi"/>
            <w:szCs w:val="18"/>
            <w:rtl/>
          </w:rPr>
          <w:t>https://www.multilateralfund.org/our-impact</w:t>
        </w:r>
      </w:hyperlink>
      <w:r w:rsidR="00D44330" w:rsidRPr="008F073D">
        <w:rPr>
          <w:rFonts w:ascii="Simplified Arabic" w:hAnsi="Simplified Arabic" w:cs="Simplified Arabic"/>
          <w:sz w:val="20"/>
          <w:rtl/>
        </w:rPr>
        <w:t>.</w:t>
      </w:r>
      <w:hyperlink r:id="rId10" w:history="1"/>
    </w:p>
  </w:footnote>
  <w:footnote w:id="14">
    <w:p w14:paraId="7D151847" w14:textId="05B00D5F" w:rsidR="00D44330" w:rsidRPr="008116AC" w:rsidRDefault="00CA1B8B" w:rsidP="008F073D">
      <w:pPr>
        <w:pStyle w:val="Footnote-Text"/>
        <w:tabs>
          <w:tab w:val="clear" w:pos="624"/>
          <w:tab w:val="clear" w:pos="1247"/>
          <w:tab w:val="clear" w:pos="1871"/>
          <w:tab w:val="clear" w:pos="2495"/>
          <w:tab w:val="clear" w:pos="3119"/>
          <w:tab w:val="clear" w:pos="3742"/>
          <w:tab w:val="clear" w:pos="4366"/>
          <w:tab w:val="clear" w:pos="4990"/>
        </w:tabs>
        <w:bidi/>
        <w:spacing w:before="0" w:line="280" w:lineRule="exact"/>
        <w:ind w:left="1134"/>
        <w:jc w:val="both"/>
        <w:textDirection w:val="tbRlV"/>
        <w:rPr>
          <w:rFonts w:ascii="Simplified Arabic" w:hAnsi="Simplified Arabic" w:cs="Simplified Arabic"/>
          <w:w w:val="97"/>
          <w:sz w:val="20"/>
          <w:lang w:val="ar-SA" w:eastAsia="zh-TW" w:bidi="en-GB"/>
        </w:rPr>
      </w:pPr>
      <w:r w:rsidRPr="008116AC">
        <w:rPr>
          <w:rFonts w:ascii="Simplified Arabic" w:hAnsi="Simplified Arabic" w:cs="Simplified Arabic"/>
          <w:w w:val="97"/>
          <w:sz w:val="20"/>
        </w:rPr>
        <w:t>)</w:t>
      </w:r>
      <w:r w:rsidR="00D44330" w:rsidRPr="008116AC">
        <w:rPr>
          <w:rStyle w:val="FootnoteReference"/>
          <w:rFonts w:ascii="Simplified Arabic" w:hAnsi="Simplified Arabic" w:cs="Simplified Arabic"/>
          <w:w w:val="97"/>
          <w:szCs w:val="20"/>
          <w:vertAlign w:val="baseline"/>
          <w:rtl/>
        </w:rPr>
        <w:footnoteRef/>
      </w:r>
      <w:r w:rsidRPr="008116AC">
        <w:rPr>
          <w:rFonts w:ascii="Simplified Arabic" w:hAnsi="Simplified Arabic" w:cs="Simplified Arabic"/>
          <w:w w:val="97"/>
          <w:sz w:val="20"/>
        </w:rPr>
        <w:t>(</w:t>
      </w:r>
      <w:r w:rsidR="00D44330" w:rsidRPr="008116AC">
        <w:rPr>
          <w:rFonts w:ascii="Simplified Arabic" w:hAnsi="Simplified Arabic" w:cs="Simplified Arabic"/>
          <w:w w:val="97"/>
          <w:sz w:val="20"/>
          <w:rtl/>
        </w:rPr>
        <w:t xml:space="preserve"> </w:t>
      </w:r>
      <w:hyperlink r:id="rId11" w:history="1">
        <w:r w:rsidR="006033FC" w:rsidRPr="006033FC">
          <w:rPr>
            <w:rStyle w:val="Hyperlink"/>
            <w:rFonts w:asciiTheme="majorBidi" w:hAnsiTheme="majorBidi" w:cstheme="majorBidi"/>
            <w:w w:val="97"/>
            <w:szCs w:val="18"/>
          </w:rPr>
          <w:t>https://ozone.unep.org/treaties/montreal-protocol/meetings/thirtieth-meeting-parties/decisions/annex-i-adjustments</w:t>
        </w:r>
      </w:hyperlink>
      <w:r w:rsidR="00D44330" w:rsidRPr="008116AC">
        <w:rPr>
          <w:rFonts w:ascii="Simplified Arabic" w:hAnsi="Simplified Arabic" w:cs="Simplified Arabic"/>
          <w:w w:val="97"/>
          <w:sz w:val="20"/>
          <w:rtl/>
        </w:rPr>
        <w:t>.</w:t>
      </w:r>
      <w:r w:rsidR="00D44330">
        <w:fldChar w:fldCharType="begin"/>
      </w:r>
      <w:r w:rsidR="00D44330">
        <w:instrText>HYPERLINK "https://ozone.unep.org/treaties/montreal-protocol/meetings/thirtieth-meeting-parties/decisions/annex-i-adjustments."</w:instrText>
      </w:r>
      <w:r w:rsidR="00D44330">
        <w:fldChar w:fldCharType="separate"/>
      </w:r>
      <w:r w:rsidR="00D44330">
        <w:fldChar w:fldCharType="end"/>
      </w:r>
    </w:p>
  </w:footnote>
  <w:footnote w:id="15">
    <w:p w14:paraId="2D515195" w14:textId="1ED59F0C" w:rsidR="00D44330" w:rsidRPr="008F073D" w:rsidRDefault="00CA1B8B" w:rsidP="008F073D">
      <w:pPr>
        <w:pStyle w:val="Footnote-Text"/>
        <w:tabs>
          <w:tab w:val="clear" w:pos="624"/>
          <w:tab w:val="clear" w:pos="1247"/>
          <w:tab w:val="clear" w:pos="1871"/>
          <w:tab w:val="clear" w:pos="2495"/>
          <w:tab w:val="clear" w:pos="3119"/>
          <w:tab w:val="clear" w:pos="3742"/>
          <w:tab w:val="clear" w:pos="4366"/>
          <w:tab w:val="clear" w:pos="4990"/>
        </w:tabs>
        <w:bidi/>
        <w:spacing w:before="0" w:line="280" w:lineRule="exact"/>
        <w:ind w:left="1134"/>
        <w:jc w:val="both"/>
        <w:textDirection w:val="tbRlV"/>
        <w:rPr>
          <w:rFonts w:ascii="Simplified Arabic" w:hAnsi="Simplified Arabic" w:cs="Simplified Arabic"/>
          <w:sz w:val="20"/>
          <w:lang w:val="ar-SA" w:eastAsia="zh-TW" w:bidi="en-GB"/>
        </w:rPr>
      </w:pPr>
      <w:r>
        <w:rPr>
          <w:rFonts w:ascii="Simplified Arabic" w:hAnsi="Simplified Arabic" w:cs="Simplified Arabic"/>
          <w:sz w:val="20"/>
        </w:rPr>
        <w:t>)</w:t>
      </w:r>
      <w:r w:rsidR="00D44330" w:rsidRPr="008F073D">
        <w:rPr>
          <w:rStyle w:val="FootnoteReference"/>
          <w:rFonts w:ascii="Simplified Arabic" w:hAnsi="Simplified Arabic" w:cs="Simplified Arabic"/>
          <w:szCs w:val="20"/>
          <w:vertAlign w:val="baseline"/>
          <w:rtl/>
        </w:rPr>
        <w:footnoteRef/>
      </w:r>
      <w:r>
        <w:rPr>
          <w:rFonts w:ascii="Simplified Arabic" w:hAnsi="Simplified Arabic" w:cs="Simplified Arabic"/>
          <w:sz w:val="20"/>
        </w:rPr>
        <w:t>(</w:t>
      </w:r>
      <w:r w:rsidR="00D44330" w:rsidRPr="008F073D">
        <w:rPr>
          <w:rFonts w:ascii="Simplified Arabic" w:hAnsi="Simplified Arabic" w:cs="Simplified Arabic"/>
          <w:sz w:val="20"/>
          <w:rtl/>
        </w:rPr>
        <w:t xml:space="preserve"> تشير الفقرة 2 من المقرر 28/2 الصادر بموجب بروتوكول مونتريال إلى الأطراف في المجموعة الثانية العاملة بموجب المادة 5، </w:t>
      </w:r>
      <w:proofErr w:type="gramStart"/>
      <w:r w:rsidR="00D44330" w:rsidRPr="008F073D">
        <w:rPr>
          <w:rFonts w:ascii="Simplified Arabic" w:hAnsi="Simplified Arabic" w:cs="Simplified Arabic"/>
          <w:sz w:val="20"/>
          <w:rtl/>
        </w:rPr>
        <w:t>وهي:</w:t>
      </w:r>
      <w:proofErr w:type="gramEnd"/>
      <w:r w:rsidR="00D44330" w:rsidRPr="008F073D">
        <w:rPr>
          <w:rFonts w:ascii="Simplified Arabic" w:hAnsi="Simplified Arabic" w:cs="Simplified Arabic"/>
          <w:sz w:val="20"/>
          <w:rtl/>
        </w:rPr>
        <w:t xml:space="preserve"> </w:t>
      </w:r>
      <w:r w:rsidR="008F253B" w:rsidRPr="008F073D">
        <w:rPr>
          <w:rFonts w:ascii="Simplified Arabic" w:hAnsi="Simplified Arabic" w:cs="Simplified Arabic"/>
          <w:sz w:val="20"/>
          <w:rtl/>
        </w:rPr>
        <w:t>الإمارات العربية المتحدة</w:t>
      </w:r>
      <w:r w:rsidR="00CA7419" w:rsidRPr="008F073D">
        <w:rPr>
          <w:rFonts w:ascii="Simplified Arabic" w:hAnsi="Simplified Arabic" w:cs="Simplified Arabic"/>
          <w:sz w:val="20"/>
          <w:rtl/>
        </w:rPr>
        <w:t>، و</w:t>
      </w:r>
      <w:r w:rsidR="00D44330" w:rsidRPr="008F073D">
        <w:rPr>
          <w:rFonts w:ascii="Simplified Arabic" w:hAnsi="Simplified Arabic" w:cs="Simplified Arabic"/>
          <w:sz w:val="20"/>
          <w:rtl/>
        </w:rPr>
        <w:t>إيران (جمهورية - الإسلامية)</w:t>
      </w:r>
      <w:r w:rsidR="008F253B" w:rsidRPr="008F073D" w:rsidDel="008F253B">
        <w:rPr>
          <w:rFonts w:ascii="Simplified Arabic" w:hAnsi="Simplified Arabic" w:cs="Simplified Arabic"/>
          <w:sz w:val="20"/>
          <w:rtl/>
        </w:rPr>
        <w:t xml:space="preserve"> </w:t>
      </w:r>
      <w:r w:rsidR="00D44330" w:rsidRPr="008F073D">
        <w:rPr>
          <w:rFonts w:ascii="Simplified Arabic" w:hAnsi="Simplified Arabic" w:cs="Simplified Arabic"/>
          <w:sz w:val="20"/>
          <w:rtl/>
        </w:rPr>
        <w:t>، وباكستان، والبحرين، والعراق، وعمان، وقطر، والكويت، والمملكة العربية السعودية، والهند.</w:t>
      </w:r>
    </w:p>
  </w:footnote>
  <w:footnote w:id="16">
    <w:p w14:paraId="23B38949" w14:textId="03D3FBD9" w:rsidR="00D44330" w:rsidRPr="008F073D" w:rsidRDefault="00CA1B8B" w:rsidP="008F073D">
      <w:pPr>
        <w:pStyle w:val="Footnote-Text"/>
        <w:tabs>
          <w:tab w:val="clear" w:pos="624"/>
          <w:tab w:val="clear" w:pos="1247"/>
          <w:tab w:val="clear" w:pos="1871"/>
          <w:tab w:val="clear" w:pos="2495"/>
          <w:tab w:val="clear" w:pos="3119"/>
          <w:tab w:val="clear" w:pos="3742"/>
          <w:tab w:val="clear" w:pos="4366"/>
          <w:tab w:val="clear" w:pos="4990"/>
        </w:tabs>
        <w:bidi/>
        <w:spacing w:before="0" w:line="280" w:lineRule="exact"/>
        <w:ind w:left="1134"/>
        <w:jc w:val="both"/>
        <w:textDirection w:val="tbRlV"/>
        <w:rPr>
          <w:rFonts w:ascii="Simplified Arabic" w:hAnsi="Simplified Arabic" w:cs="Simplified Arabic"/>
          <w:sz w:val="20"/>
          <w:lang w:val="ar-SA" w:eastAsia="zh-TW" w:bidi="en-GB"/>
        </w:rPr>
      </w:pPr>
      <w:r>
        <w:rPr>
          <w:rFonts w:ascii="Simplified Arabic" w:hAnsi="Simplified Arabic" w:cs="Simplified Arabic"/>
          <w:sz w:val="20"/>
        </w:rPr>
        <w:t>)</w:t>
      </w:r>
      <w:r w:rsidR="00D44330" w:rsidRPr="008F073D">
        <w:rPr>
          <w:rStyle w:val="FootnoteReference"/>
          <w:rFonts w:ascii="Simplified Arabic" w:hAnsi="Simplified Arabic" w:cs="Simplified Arabic"/>
          <w:szCs w:val="20"/>
          <w:vertAlign w:val="baseline"/>
          <w:rtl/>
        </w:rPr>
        <w:footnoteRef/>
      </w:r>
      <w:r>
        <w:rPr>
          <w:rFonts w:ascii="Simplified Arabic" w:hAnsi="Simplified Arabic" w:cs="Simplified Arabic"/>
          <w:sz w:val="20"/>
        </w:rPr>
        <w:t>(</w:t>
      </w:r>
      <w:r w:rsidR="00D44330" w:rsidRPr="008F073D">
        <w:rPr>
          <w:rFonts w:ascii="Simplified Arabic" w:hAnsi="Simplified Arabic" w:cs="Simplified Arabic"/>
          <w:sz w:val="20"/>
          <w:rtl/>
        </w:rPr>
        <w:t xml:space="preserve"> </w:t>
      </w:r>
      <w:r w:rsidR="00D44330" w:rsidRPr="00CA1B8B">
        <w:rPr>
          <w:rFonts w:asciiTheme="majorBidi" w:eastAsia="SimSun" w:hAnsiTheme="majorBidi" w:cstheme="majorBidi"/>
          <w:szCs w:val="18"/>
        </w:rPr>
        <w:t>UNEP/</w:t>
      </w:r>
      <w:proofErr w:type="spellStart"/>
      <w:r w:rsidR="00D44330" w:rsidRPr="00CA1B8B">
        <w:rPr>
          <w:rFonts w:asciiTheme="majorBidi" w:eastAsia="SimSun" w:hAnsiTheme="majorBidi" w:cstheme="majorBidi"/>
          <w:szCs w:val="18"/>
        </w:rPr>
        <w:t>OzL.Pro</w:t>
      </w:r>
      <w:proofErr w:type="spellEnd"/>
      <w:r w:rsidR="00D44330" w:rsidRPr="00CA1B8B">
        <w:rPr>
          <w:rFonts w:asciiTheme="majorBidi" w:eastAsia="SimSun" w:hAnsiTheme="majorBidi" w:cstheme="majorBidi"/>
          <w:szCs w:val="18"/>
        </w:rPr>
        <w:t>/</w:t>
      </w:r>
      <w:proofErr w:type="spellStart"/>
      <w:r w:rsidR="00D44330" w:rsidRPr="00CA1B8B">
        <w:rPr>
          <w:rFonts w:asciiTheme="majorBidi" w:eastAsia="SimSun" w:hAnsiTheme="majorBidi" w:cstheme="majorBidi"/>
          <w:szCs w:val="18"/>
        </w:rPr>
        <w:t>ExCom</w:t>
      </w:r>
      <w:proofErr w:type="spellEnd"/>
      <w:r w:rsidR="00D44330" w:rsidRPr="00CA1B8B">
        <w:rPr>
          <w:rFonts w:asciiTheme="majorBidi" w:eastAsia="SimSun" w:hAnsiTheme="majorBidi" w:cstheme="majorBidi"/>
          <w:szCs w:val="18"/>
        </w:rPr>
        <w:t>/97/20</w:t>
      </w:r>
      <w:r w:rsidR="00D44330" w:rsidRPr="008F073D">
        <w:rPr>
          <w:rFonts w:ascii="Simplified Arabic" w:hAnsi="Simplified Arabic" w:cs="Simplified Arabic"/>
          <w:sz w:val="20"/>
          <w:rtl/>
        </w:rPr>
        <w:t>.</w:t>
      </w:r>
    </w:p>
  </w:footnote>
  <w:footnote w:id="17">
    <w:p w14:paraId="39A68C4A" w14:textId="77777777" w:rsidR="00D44330" w:rsidRPr="008F073D" w:rsidRDefault="00D44330" w:rsidP="008F073D">
      <w:pPr>
        <w:pStyle w:val="Footnote-Text"/>
        <w:tabs>
          <w:tab w:val="clear" w:pos="624"/>
          <w:tab w:val="clear" w:pos="1247"/>
          <w:tab w:val="clear" w:pos="1871"/>
          <w:tab w:val="clear" w:pos="2495"/>
          <w:tab w:val="clear" w:pos="3119"/>
          <w:tab w:val="clear" w:pos="3742"/>
          <w:tab w:val="clear" w:pos="4366"/>
          <w:tab w:val="clear" w:pos="4990"/>
        </w:tabs>
        <w:bidi/>
        <w:spacing w:before="0" w:line="280" w:lineRule="exact"/>
        <w:ind w:left="1134"/>
        <w:jc w:val="both"/>
        <w:textDirection w:val="tbRlV"/>
        <w:rPr>
          <w:rFonts w:ascii="Simplified Arabic" w:hAnsi="Simplified Arabic" w:cs="Simplified Arabic"/>
          <w:sz w:val="20"/>
          <w:lang w:val="ar-SA" w:eastAsia="zh-TW" w:bidi="en-GB"/>
        </w:rPr>
      </w:pPr>
      <w:r w:rsidRPr="008F073D">
        <w:rPr>
          <w:rFonts w:ascii="Simplified Arabic" w:hAnsi="Simplified Arabic" w:cs="Simplified Arabic"/>
          <w:sz w:val="20"/>
          <w:rtl/>
        </w:rPr>
        <w:t>* لم تخضع النسخة الأصلية من المرفق باللغة الإنكليزية لتحرير رسمي.</w:t>
      </w:r>
    </w:p>
  </w:footnote>
  <w:footnote w:id="18">
    <w:p w14:paraId="4560B365" w14:textId="3A45BEB4" w:rsidR="00D44330" w:rsidRPr="008F073D" w:rsidRDefault="00CA1B8B" w:rsidP="008F073D">
      <w:pPr>
        <w:pStyle w:val="FootnoteText"/>
        <w:tabs>
          <w:tab w:val="clear" w:pos="1247"/>
          <w:tab w:val="clear" w:pos="1814"/>
          <w:tab w:val="clear" w:pos="2381"/>
          <w:tab w:val="clear" w:pos="2948"/>
          <w:tab w:val="clear" w:pos="3515"/>
        </w:tabs>
        <w:bidi/>
        <w:spacing w:after="40" w:line="280" w:lineRule="exact"/>
        <w:ind w:left="1134"/>
        <w:jc w:val="both"/>
        <w:textDirection w:val="tbRlV"/>
        <w:rPr>
          <w:rFonts w:ascii="Simplified Arabic" w:hAnsi="Simplified Arabic" w:hint="default"/>
          <w:szCs w:val="20"/>
          <w:lang w:val="ar-SA" w:eastAsia="zh-TW" w:bidi="en-GB"/>
        </w:rPr>
      </w:pPr>
      <w:r>
        <w:rPr>
          <w:rFonts w:ascii="Simplified Arabic" w:hAnsi="Simplified Arabic" w:hint="default"/>
          <w:szCs w:val="20"/>
        </w:rPr>
        <w:t>)</w:t>
      </w:r>
      <w:r w:rsidR="00D44330" w:rsidRPr="008F073D">
        <w:rPr>
          <w:rStyle w:val="FootnoteReference"/>
          <w:rFonts w:ascii="Simplified Arabic" w:hAnsi="Simplified Arabic" w:hint="default"/>
          <w:szCs w:val="20"/>
          <w:vertAlign w:val="baseline"/>
          <w:rtl/>
        </w:rPr>
        <w:footnoteRef/>
      </w:r>
      <w:r>
        <w:rPr>
          <w:rFonts w:ascii="Simplified Arabic" w:hAnsi="Simplified Arabic" w:hint="default"/>
          <w:szCs w:val="20"/>
        </w:rPr>
        <w:t>(</w:t>
      </w:r>
      <w:r w:rsidR="00D44330" w:rsidRPr="008F073D">
        <w:rPr>
          <w:rFonts w:ascii="Simplified Arabic" w:hAnsi="Simplified Arabic" w:hint="default"/>
          <w:szCs w:val="20"/>
          <w:rtl/>
        </w:rPr>
        <w:t xml:space="preserve"> إعلان إصدار حصص إنتاج المواد المستنفدة للأوزون ومركبات الكربون الهيدروفلورية لعام 2026</w:t>
      </w:r>
    </w:p>
  </w:footnote>
  <w:footnote w:id="19">
    <w:p w14:paraId="29CF1298" w14:textId="77777777" w:rsidR="00D44330" w:rsidRPr="008F073D" w:rsidRDefault="00D44330" w:rsidP="008F073D">
      <w:pPr>
        <w:pStyle w:val="Footnote-Text"/>
        <w:tabs>
          <w:tab w:val="clear" w:pos="624"/>
          <w:tab w:val="clear" w:pos="1247"/>
          <w:tab w:val="clear" w:pos="1871"/>
          <w:tab w:val="clear" w:pos="2495"/>
          <w:tab w:val="clear" w:pos="3119"/>
          <w:tab w:val="clear" w:pos="3742"/>
          <w:tab w:val="clear" w:pos="4366"/>
          <w:tab w:val="clear" w:pos="4990"/>
        </w:tabs>
        <w:bidi/>
        <w:spacing w:before="0" w:line="280" w:lineRule="exact"/>
        <w:ind w:left="1134"/>
        <w:jc w:val="both"/>
        <w:textDirection w:val="tbRlV"/>
        <w:rPr>
          <w:rFonts w:ascii="Simplified Arabic" w:hAnsi="Simplified Arabic" w:cs="Simplified Arabic"/>
          <w:sz w:val="20"/>
          <w:lang w:val="ar-SA" w:eastAsia="zh-TW" w:bidi="en-GB"/>
        </w:rPr>
      </w:pPr>
      <w:r w:rsidRPr="008F073D">
        <w:rPr>
          <w:rFonts w:ascii="Simplified Arabic" w:hAnsi="Simplified Arabic" w:cs="Simplified Arabic"/>
          <w:sz w:val="20"/>
          <w:rtl/>
        </w:rPr>
        <w:t>* لم تخضع النسخة الأصلية من المرفق باللغة الإنكليزية لتحرير رسمي.</w:t>
      </w:r>
    </w:p>
  </w:footnote>
  <w:footnote w:id="20">
    <w:p w14:paraId="08091016" w14:textId="77777777" w:rsidR="00D44330" w:rsidRPr="008F073D" w:rsidRDefault="00D44330" w:rsidP="008F073D">
      <w:pPr>
        <w:pStyle w:val="Footnote-Text"/>
        <w:tabs>
          <w:tab w:val="clear" w:pos="624"/>
          <w:tab w:val="clear" w:pos="1247"/>
          <w:tab w:val="clear" w:pos="1871"/>
          <w:tab w:val="clear" w:pos="2495"/>
          <w:tab w:val="clear" w:pos="3119"/>
          <w:tab w:val="clear" w:pos="3742"/>
          <w:tab w:val="clear" w:pos="4366"/>
          <w:tab w:val="clear" w:pos="4990"/>
        </w:tabs>
        <w:bidi/>
        <w:spacing w:before="0" w:line="280" w:lineRule="exact"/>
        <w:ind w:left="1134"/>
        <w:jc w:val="both"/>
        <w:textDirection w:val="tbRlV"/>
        <w:rPr>
          <w:rFonts w:ascii="Simplified Arabic" w:hAnsi="Simplified Arabic" w:cs="Simplified Arabic"/>
          <w:sz w:val="20"/>
          <w:lang w:val="ar-SA" w:eastAsia="zh-TW" w:bidi="en-GB"/>
        </w:rPr>
      </w:pPr>
      <w:r w:rsidRPr="008F073D">
        <w:rPr>
          <w:rFonts w:ascii="Simplified Arabic" w:hAnsi="Simplified Arabic" w:cs="Simplified Arabic"/>
          <w:sz w:val="20"/>
          <w:rtl/>
        </w:rPr>
        <w:t>* لم تخضع النسخة الأصلية من المرفق باللغة الإنكليزية لتحرير رسمي.</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DEAD" w14:textId="77777777" w:rsidR="00D44330" w:rsidRPr="00984A76" w:rsidRDefault="00D44330" w:rsidP="00415BBE">
    <w:pPr>
      <w:pStyle w:val="Header-pool"/>
      <w:bidi/>
      <w:textDirection w:val="tbRlV"/>
      <w:rPr>
        <w:rFonts w:hint="default"/>
        <w:sz w:val="17"/>
        <w:szCs w:val="17"/>
        <w:lang w:eastAsia="zh-TW" w:bidi="en-GB"/>
      </w:rPr>
    </w:pPr>
    <w:r w:rsidRPr="00984A76">
      <w:rPr>
        <w:bCs/>
        <w:sz w:val="17"/>
        <w:szCs w:val="17"/>
      </w:rPr>
      <w:t>UNEP/OzL.Pro.WG.1/48/2/Add.1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B01E6" w14:textId="77777777" w:rsidR="00D44330" w:rsidRPr="00741ACF" w:rsidRDefault="00D44330" w:rsidP="00415BBE">
    <w:pPr>
      <w:pStyle w:val="Header-pool"/>
      <w:bidi/>
      <w:jc w:val="right"/>
      <w:textDirection w:val="tbRlV"/>
      <w:rPr>
        <w:rFonts w:hint="default"/>
        <w:sz w:val="17"/>
        <w:szCs w:val="17"/>
        <w:lang w:eastAsia="zh-TW" w:bidi="en-GB"/>
      </w:rPr>
    </w:pPr>
    <w:r w:rsidRPr="00741ACF">
      <w:rPr>
        <w:bCs/>
        <w:sz w:val="17"/>
        <w:szCs w:val="17"/>
      </w:rPr>
      <w:t>UNEP/OzL.Pro.WG.1/48/2/Add.1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80C78" w14:textId="77777777" w:rsidR="00984A76" w:rsidRDefault="00984A76" w:rsidP="00984A76">
    <w:pPr>
      <w:pStyle w:val="Header"/>
      <w:pBdr>
        <w:bottom w:val="none" w:sz="0" w:space="0" w:color="auto"/>
      </w:pBdr>
      <w:rPr>
        <w:rFonts w:hint="defau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5D065" w14:textId="68EC211B" w:rsidR="007A36F8" w:rsidRPr="00565077" w:rsidRDefault="006E5708" w:rsidP="00565077">
    <w:pPr>
      <w:pStyle w:val="Header-pool"/>
      <w:tabs>
        <w:tab w:val="clear" w:pos="1247"/>
        <w:tab w:val="clear" w:pos="1814"/>
        <w:tab w:val="clear" w:pos="2381"/>
        <w:tab w:val="clear" w:pos="2948"/>
        <w:tab w:val="clear" w:pos="3515"/>
        <w:tab w:val="clear" w:pos="9072"/>
      </w:tabs>
      <w:bidi/>
      <w:textDirection w:val="tbRlV"/>
      <w:rPr>
        <w:rFonts w:hint="default"/>
        <w:sz w:val="17"/>
        <w:szCs w:val="17"/>
        <w:lang w:val="ar-SA" w:eastAsia="zh-TW" w:bidi="en-GB"/>
      </w:rPr>
    </w:pPr>
    <w:r w:rsidRPr="00565077">
      <w:rPr>
        <w:rFonts w:cs="Times New Roman"/>
        <w:bCs/>
        <w:sz w:val="17"/>
        <w:szCs w:val="17"/>
      </w:rPr>
      <w:t>UNEP/OzL.Pro.WG.1/48/</w:t>
    </w:r>
    <w:r w:rsidR="00984A76">
      <w:rPr>
        <w:rFonts w:cs="Times New Roman" w:hint="default"/>
        <w:bCs/>
        <w:sz w:val="17"/>
        <w:szCs w:val="17"/>
      </w:rPr>
      <w:t>2/Add.1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74C1F" w14:textId="4A480A05" w:rsidR="007A36F8" w:rsidRPr="00984A76" w:rsidRDefault="006E5708" w:rsidP="006E5708">
    <w:pPr>
      <w:pStyle w:val="Header-pool"/>
      <w:bidi/>
      <w:jc w:val="right"/>
      <w:textDirection w:val="tbRlV"/>
      <w:rPr>
        <w:rFonts w:hint="default"/>
        <w:sz w:val="17"/>
        <w:szCs w:val="17"/>
        <w:lang w:val="ar-SA" w:eastAsia="zh-TW" w:bidi="en-GB"/>
      </w:rPr>
    </w:pPr>
    <w:r w:rsidRPr="00984A76">
      <w:rPr>
        <w:rFonts w:cs="Times New Roman"/>
        <w:bCs/>
        <w:sz w:val="17"/>
        <w:szCs w:val="17"/>
      </w:rPr>
      <w:t>UNEP/OzL.Pro.WG.1/48/</w:t>
    </w:r>
    <w:r w:rsidR="00984A76" w:rsidRPr="00984A76">
      <w:rPr>
        <w:rFonts w:cs="Times New Roman" w:hint="default"/>
        <w:bCs/>
        <w:sz w:val="17"/>
        <w:szCs w:val="17"/>
      </w:rPr>
      <w:t>2/Add.1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48047" w14:textId="77777777" w:rsidR="00A7703A" w:rsidRDefault="00A7703A" w:rsidP="00A7703A">
    <w:pPr>
      <w:pStyle w:val="Header"/>
      <w:pBdr>
        <w:bottom w:val="none" w:sz="0" w:space="0" w:color="auto"/>
      </w:pBdr>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3CA153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C1EA2F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A9E89D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0E207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8A059C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E2E43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C6B0B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C02F07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B0C4D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86431F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EF45E29"/>
    <w:multiLevelType w:val="hybridMultilevel"/>
    <w:tmpl w:val="63D65FD8"/>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10862631"/>
    <w:multiLevelType w:val="hybridMultilevel"/>
    <w:tmpl w:val="B66A9896"/>
    <w:lvl w:ilvl="0" w:tplc="6714FA1A">
      <w:start w:val="1"/>
      <w:numFmt w:val="arabicAbjad"/>
      <w:lvlText w:val="(%1)"/>
      <w:lvlJc w:val="left"/>
      <w:pPr>
        <w:ind w:left="2847" w:hanging="360"/>
      </w:pPr>
      <w:rPr>
        <w:rFonts w:hint="default"/>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13" w15:restartNumberingAfterBreak="0">
    <w:nsid w:val="12C07D3E"/>
    <w:multiLevelType w:val="hybridMultilevel"/>
    <w:tmpl w:val="22B4C798"/>
    <w:lvl w:ilvl="0" w:tplc="06A07E12">
      <w:start w:val="1"/>
      <w:numFmt w:val="arabicAbjad"/>
      <w:lvlText w:val="(%1)"/>
      <w:lvlJc w:val="left"/>
      <w:pPr>
        <w:ind w:left="2174" w:hanging="360"/>
      </w:pPr>
      <w:rPr>
        <w:rFonts w:hint="default"/>
      </w:rPr>
    </w:lvl>
    <w:lvl w:ilvl="1" w:tplc="08090019" w:tentative="1">
      <w:start w:val="1"/>
      <w:numFmt w:val="lowerLetter"/>
      <w:lvlText w:val="%2."/>
      <w:lvlJc w:val="left"/>
      <w:pPr>
        <w:ind w:left="2894" w:hanging="360"/>
      </w:pPr>
    </w:lvl>
    <w:lvl w:ilvl="2" w:tplc="0809001B" w:tentative="1">
      <w:start w:val="1"/>
      <w:numFmt w:val="lowerRoman"/>
      <w:lvlText w:val="%3."/>
      <w:lvlJc w:val="right"/>
      <w:pPr>
        <w:ind w:left="3614" w:hanging="180"/>
      </w:pPr>
    </w:lvl>
    <w:lvl w:ilvl="3" w:tplc="0809000F" w:tentative="1">
      <w:start w:val="1"/>
      <w:numFmt w:val="decimal"/>
      <w:lvlText w:val="%4."/>
      <w:lvlJc w:val="left"/>
      <w:pPr>
        <w:ind w:left="4334" w:hanging="360"/>
      </w:pPr>
    </w:lvl>
    <w:lvl w:ilvl="4" w:tplc="08090019" w:tentative="1">
      <w:start w:val="1"/>
      <w:numFmt w:val="lowerLetter"/>
      <w:lvlText w:val="%5."/>
      <w:lvlJc w:val="left"/>
      <w:pPr>
        <w:ind w:left="5054" w:hanging="360"/>
      </w:pPr>
    </w:lvl>
    <w:lvl w:ilvl="5" w:tplc="0809001B" w:tentative="1">
      <w:start w:val="1"/>
      <w:numFmt w:val="lowerRoman"/>
      <w:lvlText w:val="%6."/>
      <w:lvlJc w:val="right"/>
      <w:pPr>
        <w:ind w:left="5774" w:hanging="180"/>
      </w:pPr>
    </w:lvl>
    <w:lvl w:ilvl="6" w:tplc="0809000F" w:tentative="1">
      <w:start w:val="1"/>
      <w:numFmt w:val="decimal"/>
      <w:lvlText w:val="%7."/>
      <w:lvlJc w:val="left"/>
      <w:pPr>
        <w:ind w:left="6494" w:hanging="360"/>
      </w:pPr>
    </w:lvl>
    <w:lvl w:ilvl="7" w:tplc="08090019" w:tentative="1">
      <w:start w:val="1"/>
      <w:numFmt w:val="lowerLetter"/>
      <w:lvlText w:val="%8."/>
      <w:lvlJc w:val="left"/>
      <w:pPr>
        <w:ind w:left="7214" w:hanging="360"/>
      </w:pPr>
    </w:lvl>
    <w:lvl w:ilvl="8" w:tplc="0809001B" w:tentative="1">
      <w:start w:val="1"/>
      <w:numFmt w:val="lowerRoman"/>
      <w:lvlText w:val="%9."/>
      <w:lvlJc w:val="right"/>
      <w:pPr>
        <w:ind w:left="7934" w:hanging="180"/>
      </w:pPr>
    </w:lvl>
  </w:abstractNum>
  <w:abstractNum w:abstractNumId="14" w15:restartNumberingAfterBreak="0">
    <w:nsid w:val="17B94C69"/>
    <w:multiLevelType w:val="hybridMultilevel"/>
    <w:tmpl w:val="D7903112"/>
    <w:lvl w:ilvl="0" w:tplc="DB445DA0">
      <w:start w:val="1"/>
      <w:numFmt w:val="arabicAbjad"/>
      <w:lvlText w:val="(%1)"/>
      <w:lvlJc w:val="left"/>
      <w:pPr>
        <w:ind w:left="644" w:hanging="360"/>
      </w:pPr>
      <w:rPr>
        <w:rFonts w:hint="default"/>
        <w:b w:val="0"/>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19115CF7"/>
    <w:multiLevelType w:val="hybridMultilevel"/>
    <w:tmpl w:val="DAD80E00"/>
    <w:lvl w:ilvl="0" w:tplc="C3CA9198">
      <w:start w:val="1"/>
      <w:numFmt w:val="arabicAlpha"/>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6" w15:restartNumberingAfterBreak="0">
    <w:nsid w:val="1B4F6127"/>
    <w:multiLevelType w:val="hybridMultilevel"/>
    <w:tmpl w:val="276EF206"/>
    <w:lvl w:ilvl="0" w:tplc="AAAAE4A4">
      <w:start w:val="1"/>
      <w:numFmt w:val="arabicAbjad"/>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7" w15:restartNumberingAfterBreak="0">
    <w:nsid w:val="1D242FCE"/>
    <w:multiLevelType w:val="hybridMultilevel"/>
    <w:tmpl w:val="60A877F6"/>
    <w:lvl w:ilvl="0" w:tplc="06A07E12">
      <w:start w:val="1"/>
      <w:numFmt w:val="arabicAbjad"/>
      <w:lvlText w:val="(%1)"/>
      <w:lvlJc w:val="left"/>
      <w:pPr>
        <w:ind w:left="2174" w:hanging="360"/>
      </w:pPr>
      <w:rPr>
        <w:rFonts w:hint="default"/>
      </w:rPr>
    </w:lvl>
    <w:lvl w:ilvl="1" w:tplc="08090019" w:tentative="1">
      <w:start w:val="1"/>
      <w:numFmt w:val="lowerLetter"/>
      <w:lvlText w:val="%2."/>
      <w:lvlJc w:val="left"/>
      <w:pPr>
        <w:ind w:left="2894" w:hanging="360"/>
      </w:pPr>
    </w:lvl>
    <w:lvl w:ilvl="2" w:tplc="0809001B" w:tentative="1">
      <w:start w:val="1"/>
      <w:numFmt w:val="lowerRoman"/>
      <w:lvlText w:val="%3."/>
      <w:lvlJc w:val="right"/>
      <w:pPr>
        <w:ind w:left="3614" w:hanging="180"/>
      </w:pPr>
    </w:lvl>
    <w:lvl w:ilvl="3" w:tplc="0809000F" w:tentative="1">
      <w:start w:val="1"/>
      <w:numFmt w:val="decimal"/>
      <w:lvlText w:val="%4."/>
      <w:lvlJc w:val="left"/>
      <w:pPr>
        <w:ind w:left="4334" w:hanging="360"/>
      </w:pPr>
    </w:lvl>
    <w:lvl w:ilvl="4" w:tplc="08090019" w:tentative="1">
      <w:start w:val="1"/>
      <w:numFmt w:val="lowerLetter"/>
      <w:lvlText w:val="%5."/>
      <w:lvlJc w:val="left"/>
      <w:pPr>
        <w:ind w:left="5054" w:hanging="360"/>
      </w:pPr>
    </w:lvl>
    <w:lvl w:ilvl="5" w:tplc="0809001B" w:tentative="1">
      <w:start w:val="1"/>
      <w:numFmt w:val="lowerRoman"/>
      <w:lvlText w:val="%6."/>
      <w:lvlJc w:val="right"/>
      <w:pPr>
        <w:ind w:left="5774" w:hanging="180"/>
      </w:pPr>
    </w:lvl>
    <w:lvl w:ilvl="6" w:tplc="0809000F" w:tentative="1">
      <w:start w:val="1"/>
      <w:numFmt w:val="decimal"/>
      <w:lvlText w:val="%7."/>
      <w:lvlJc w:val="left"/>
      <w:pPr>
        <w:ind w:left="6494" w:hanging="360"/>
      </w:pPr>
    </w:lvl>
    <w:lvl w:ilvl="7" w:tplc="08090019" w:tentative="1">
      <w:start w:val="1"/>
      <w:numFmt w:val="lowerLetter"/>
      <w:lvlText w:val="%8."/>
      <w:lvlJc w:val="left"/>
      <w:pPr>
        <w:ind w:left="7214" w:hanging="360"/>
      </w:pPr>
    </w:lvl>
    <w:lvl w:ilvl="8" w:tplc="0809001B" w:tentative="1">
      <w:start w:val="1"/>
      <w:numFmt w:val="lowerRoman"/>
      <w:lvlText w:val="%9."/>
      <w:lvlJc w:val="right"/>
      <w:pPr>
        <w:ind w:left="7934" w:hanging="180"/>
      </w:pPr>
    </w:lvl>
  </w:abstractNum>
  <w:abstractNum w:abstractNumId="18" w15:restartNumberingAfterBreak="0">
    <w:nsid w:val="1D573A0F"/>
    <w:multiLevelType w:val="hybridMultilevel"/>
    <w:tmpl w:val="22B4C798"/>
    <w:lvl w:ilvl="0" w:tplc="FFFFFFFF">
      <w:start w:val="1"/>
      <w:numFmt w:val="arabicAbjad"/>
      <w:lvlText w:val="(%1)"/>
      <w:lvlJc w:val="left"/>
      <w:pPr>
        <w:ind w:left="2174" w:hanging="360"/>
      </w:pPr>
      <w:rPr>
        <w:rFonts w:hint="default"/>
      </w:rPr>
    </w:lvl>
    <w:lvl w:ilvl="1" w:tplc="FFFFFFFF" w:tentative="1">
      <w:start w:val="1"/>
      <w:numFmt w:val="lowerLetter"/>
      <w:lvlText w:val="%2."/>
      <w:lvlJc w:val="left"/>
      <w:pPr>
        <w:ind w:left="2894" w:hanging="360"/>
      </w:pPr>
    </w:lvl>
    <w:lvl w:ilvl="2" w:tplc="FFFFFFFF" w:tentative="1">
      <w:start w:val="1"/>
      <w:numFmt w:val="lowerRoman"/>
      <w:lvlText w:val="%3."/>
      <w:lvlJc w:val="right"/>
      <w:pPr>
        <w:ind w:left="3614" w:hanging="180"/>
      </w:pPr>
    </w:lvl>
    <w:lvl w:ilvl="3" w:tplc="FFFFFFFF" w:tentative="1">
      <w:start w:val="1"/>
      <w:numFmt w:val="decimal"/>
      <w:lvlText w:val="%4."/>
      <w:lvlJc w:val="left"/>
      <w:pPr>
        <w:ind w:left="4334" w:hanging="360"/>
      </w:pPr>
    </w:lvl>
    <w:lvl w:ilvl="4" w:tplc="FFFFFFFF" w:tentative="1">
      <w:start w:val="1"/>
      <w:numFmt w:val="lowerLetter"/>
      <w:lvlText w:val="%5."/>
      <w:lvlJc w:val="left"/>
      <w:pPr>
        <w:ind w:left="5054" w:hanging="360"/>
      </w:pPr>
    </w:lvl>
    <w:lvl w:ilvl="5" w:tplc="FFFFFFFF" w:tentative="1">
      <w:start w:val="1"/>
      <w:numFmt w:val="lowerRoman"/>
      <w:lvlText w:val="%6."/>
      <w:lvlJc w:val="right"/>
      <w:pPr>
        <w:ind w:left="5774" w:hanging="180"/>
      </w:pPr>
    </w:lvl>
    <w:lvl w:ilvl="6" w:tplc="FFFFFFFF" w:tentative="1">
      <w:start w:val="1"/>
      <w:numFmt w:val="decimal"/>
      <w:lvlText w:val="%7."/>
      <w:lvlJc w:val="left"/>
      <w:pPr>
        <w:ind w:left="6494" w:hanging="360"/>
      </w:pPr>
    </w:lvl>
    <w:lvl w:ilvl="7" w:tplc="FFFFFFFF" w:tentative="1">
      <w:start w:val="1"/>
      <w:numFmt w:val="lowerLetter"/>
      <w:lvlText w:val="%8."/>
      <w:lvlJc w:val="left"/>
      <w:pPr>
        <w:ind w:left="7214" w:hanging="360"/>
      </w:pPr>
    </w:lvl>
    <w:lvl w:ilvl="8" w:tplc="FFFFFFFF" w:tentative="1">
      <w:start w:val="1"/>
      <w:numFmt w:val="lowerRoman"/>
      <w:lvlText w:val="%9."/>
      <w:lvlJc w:val="right"/>
      <w:pPr>
        <w:ind w:left="7934" w:hanging="180"/>
      </w:pPr>
    </w:lvl>
  </w:abstractNum>
  <w:abstractNum w:abstractNumId="19" w15:restartNumberingAfterBreak="0">
    <w:nsid w:val="218528DE"/>
    <w:multiLevelType w:val="hybridMultilevel"/>
    <w:tmpl w:val="2F121FB2"/>
    <w:lvl w:ilvl="0" w:tplc="6714FA1A">
      <w:start w:val="1"/>
      <w:numFmt w:val="arabicAbjad"/>
      <w:lvlText w:val="(%1)"/>
      <w:lvlJc w:val="left"/>
      <w:pPr>
        <w:ind w:left="2534" w:hanging="360"/>
      </w:pPr>
      <w:rPr>
        <w:rFonts w:hint="default"/>
      </w:rPr>
    </w:lvl>
    <w:lvl w:ilvl="1" w:tplc="04090019" w:tentative="1">
      <w:start w:val="1"/>
      <w:numFmt w:val="lowerLetter"/>
      <w:lvlText w:val="%2."/>
      <w:lvlJc w:val="left"/>
      <w:pPr>
        <w:ind w:left="3254" w:hanging="360"/>
      </w:pPr>
    </w:lvl>
    <w:lvl w:ilvl="2" w:tplc="0409001B" w:tentative="1">
      <w:start w:val="1"/>
      <w:numFmt w:val="lowerRoman"/>
      <w:lvlText w:val="%3."/>
      <w:lvlJc w:val="right"/>
      <w:pPr>
        <w:ind w:left="3974" w:hanging="180"/>
      </w:pPr>
    </w:lvl>
    <w:lvl w:ilvl="3" w:tplc="0409000F" w:tentative="1">
      <w:start w:val="1"/>
      <w:numFmt w:val="decimal"/>
      <w:lvlText w:val="%4."/>
      <w:lvlJc w:val="left"/>
      <w:pPr>
        <w:ind w:left="4694" w:hanging="360"/>
      </w:pPr>
    </w:lvl>
    <w:lvl w:ilvl="4" w:tplc="04090019" w:tentative="1">
      <w:start w:val="1"/>
      <w:numFmt w:val="lowerLetter"/>
      <w:lvlText w:val="%5."/>
      <w:lvlJc w:val="left"/>
      <w:pPr>
        <w:ind w:left="5414" w:hanging="360"/>
      </w:pPr>
    </w:lvl>
    <w:lvl w:ilvl="5" w:tplc="0409001B" w:tentative="1">
      <w:start w:val="1"/>
      <w:numFmt w:val="lowerRoman"/>
      <w:lvlText w:val="%6."/>
      <w:lvlJc w:val="right"/>
      <w:pPr>
        <w:ind w:left="6134" w:hanging="180"/>
      </w:pPr>
    </w:lvl>
    <w:lvl w:ilvl="6" w:tplc="0409000F" w:tentative="1">
      <w:start w:val="1"/>
      <w:numFmt w:val="decimal"/>
      <w:lvlText w:val="%7."/>
      <w:lvlJc w:val="left"/>
      <w:pPr>
        <w:ind w:left="6854" w:hanging="360"/>
      </w:pPr>
    </w:lvl>
    <w:lvl w:ilvl="7" w:tplc="04090019" w:tentative="1">
      <w:start w:val="1"/>
      <w:numFmt w:val="lowerLetter"/>
      <w:lvlText w:val="%8."/>
      <w:lvlJc w:val="left"/>
      <w:pPr>
        <w:ind w:left="7574" w:hanging="360"/>
      </w:pPr>
    </w:lvl>
    <w:lvl w:ilvl="8" w:tplc="0409001B" w:tentative="1">
      <w:start w:val="1"/>
      <w:numFmt w:val="lowerRoman"/>
      <w:lvlText w:val="%9."/>
      <w:lvlJc w:val="right"/>
      <w:pPr>
        <w:ind w:left="8294" w:hanging="180"/>
      </w:pPr>
    </w:lvl>
  </w:abstractNum>
  <w:abstractNum w:abstractNumId="20" w15:restartNumberingAfterBreak="0">
    <w:nsid w:val="2B5350D6"/>
    <w:multiLevelType w:val="hybridMultilevel"/>
    <w:tmpl w:val="8300FDF8"/>
    <w:lvl w:ilvl="0" w:tplc="B0380142">
      <w:start w:val="1"/>
      <w:numFmt w:val="arabicAbjad"/>
      <w:lvlText w:val="(%1)"/>
      <w:lvlJc w:val="left"/>
      <w:pPr>
        <w:ind w:left="2260" w:hanging="360"/>
      </w:pPr>
      <w:rPr>
        <w:rFonts w:hint="default"/>
      </w:rPr>
    </w:lvl>
    <w:lvl w:ilvl="1" w:tplc="FFFFFFFF">
      <w:start w:val="1"/>
      <w:numFmt w:val="lowerLetter"/>
      <w:lvlText w:val="%2."/>
      <w:lvlJc w:val="left"/>
      <w:pPr>
        <w:ind w:left="1733" w:hanging="360"/>
      </w:pPr>
    </w:lvl>
    <w:lvl w:ilvl="2" w:tplc="FFFFFFFF">
      <w:start w:val="1"/>
      <w:numFmt w:val="lowerRoman"/>
      <w:lvlText w:val="%3."/>
      <w:lvlJc w:val="right"/>
      <w:pPr>
        <w:ind w:left="2453" w:hanging="180"/>
      </w:pPr>
    </w:lvl>
    <w:lvl w:ilvl="3" w:tplc="FFFFFFFF">
      <w:start w:val="1"/>
      <w:numFmt w:val="arabicAbjad"/>
      <w:lvlText w:val="(%4)"/>
      <w:lvlJc w:val="left"/>
      <w:pPr>
        <w:ind w:left="1108" w:hanging="360"/>
      </w:pPr>
      <w:rPr>
        <w:rFonts w:hint="default"/>
      </w:rPr>
    </w:lvl>
    <w:lvl w:ilvl="4" w:tplc="FFFFFFFF" w:tentative="1">
      <w:start w:val="1"/>
      <w:numFmt w:val="lowerLetter"/>
      <w:lvlText w:val="%5."/>
      <w:lvlJc w:val="left"/>
      <w:pPr>
        <w:ind w:left="3893" w:hanging="360"/>
      </w:pPr>
    </w:lvl>
    <w:lvl w:ilvl="5" w:tplc="FFFFFFFF" w:tentative="1">
      <w:start w:val="1"/>
      <w:numFmt w:val="lowerRoman"/>
      <w:lvlText w:val="%6."/>
      <w:lvlJc w:val="right"/>
      <w:pPr>
        <w:ind w:left="4613" w:hanging="180"/>
      </w:pPr>
    </w:lvl>
    <w:lvl w:ilvl="6" w:tplc="FFFFFFFF" w:tentative="1">
      <w:start w:val="1"/>
      <w:numFmt w:val="decimal"/>
      <w:lvlText w:val="%7."/>
      <w:lvlJc w:val="left"/>
      <w:pPr>
        <w:ind w:left="5333" w:hanging="360"/>
      </w:pPr>
    </w:lvl>
    <w:lvl w:ilvl="7" w:tplc="FFFFFFFF" w:tentative="1">
      <w:start w:val="1"/>
      <w:numFmt w:val="lowerLetter"/>
      <w:lvlText w:val="%8."/>
      <w:lvlJc w:val="left"/>
      <w:pPr>
        <w:ind w:left="6053" w:hanging="360"/>
      </w:pPr>
    </w:lvl>
    <w:lvl w:ilvl="8" w:tplc="FFFFFFFF" w:tentative="1">
      <w:start w:val="1"/>
      <w:numFmt w:val="lowerRoman"/>
      <w:lvlText w:val="%9."/>
      <w:lvlJc w:val="right"/>
      <w:pPr>
        <w:ind w:left="6773" w:hanging="180"/>
      </w:pPr>
    </w:lvl>
  </w:abstractNum>
  <w:abstractNum w:abstractNumId="21" w15:restartNumberingAfterBreak="0">
    <w:nsid w:val="30240F1A"/>
    <w:multiLevelType w:val="hybridMultilevel"/>
    <w:tmpl w:val="5936BDCC"/>
    <w:lvl w:ilvl="0" w:tplc="809ED36C">
      <w:start w:val="1"/>
      <w:numFmt w:val="arabicAbjad"/>
      <w:lvlText w:val="(%1)"/>
      <w:lvlJc w:val="left"/>
      <w:pPr>
        <w:ind w:left="1968" w:hanging="360"/>
      </w:pPr>
      <w:rPr>
        <w:rFonts w:hint="default"/>
      </w:rPr>
    </w:lvl>
    <w:lvl w:ilvl="1" w:tplc="FFFFFFFF" w:tentative="1">
      <w:start w:val="1"/>
      <w:numFmt w:val="bullet"/>
      <w:lvlText w:val="o"/>
      <w:lvlJc w:val="left"/>
      <w:pPr>
        <w:ind w:left="2688" w:hanging="360"/>
      </w:pPr>
      <w:rPr>
        <w:rFonts w:ascii="Courier New" w:hAnsi="Courier New" w:cs="Courier New" w:hint="default"/>
      </w:rPr>
    </w:lvl>
    <w:lvl w:ilvl="2" w:tplc="FFFFFFFF" w:tentative="1">
      <w:start w:val="1"/>
      <w:numFmt w:val="bullet"/>
      <w:lvlText w:val=""/>
      <w:lvlJc w:val="left"/>
      <w:pPr>
        <w:ind w:left="3408" w:hanging="360"/>
      </w:pPr>
      <w:rPr>
        <w:rFonts w:ascii="Wingdings" w:hAnsi="Wingdings" w:hint="default"/>
      </w:rPr>
    </w:lvl>
    <w:lvl w:ilvl="3" w:tplc="FFFFFFFF" w:tentative="1">
      <w:start w:val="1"/>
      <w:numFmt w:val="bullet"/>
      <w:lvlText w:val=""/>
      <w:lvlJc w:val="left"/>
      <w:pPr>
        <w:ind w:left="4128" w:hanging="360"/>
      </w:pPr>
      <w:rPr>
        <w:rFonts w:ascii="Symbol" w:hAnsi="Symbol" w:hint="default"/>
      </w:rPr>
    </w:lvl>
    <w:lvl w:ilvl="4" w:tplc="FFFFFFFF" w:tentative="1">
      <w:start w:val="1"/>
      <w:numFmt w:val="bullet"/>
      <w:lvlText w:val="o"/>
      <w:lvlJc w:val="left"/>
      <w:pPr>
        <w:ind w:left="4848" w:hanging="360"/>
      </w:pPr>
      <w:rPr>
        <w:rFonts w:ascii="Courier New" w:hAnsi="Courier New" w:cs="Courier New" w:hint="default"/>
      </w:rPr>
    </w:lvl>
    <w:lvl w:ilvl="5" w:tplc="FFFFFFFF" w:tentative="1">
      <w:start w:val="1"/>
      <w:numFmt w:val="bullet"/>
      <w:lvlText w:val=""/>
      <w:lvlJc w:val="left"/>
      <w:pPr>
        <w:ind w:left="5568" w:hanging="360"/>
      </w:pPr>
      <w:rPr>
        <w:rFonts w:ascii="Wingdings" w:hAnsi="Wingdings" w:hint="default"/>
      </w:rPr>
    </w:lvl>
    <w:lvl w:ilvl="6" w:tplc="FFFFFFFF" w:tentative="1">
      <w:start w:val="1"/>
      <w:numFmt w:val="bullet"/>
      <w:lvlText w:val=""/>
      <w:lvlJc w:val="left"/>
      <w:pPr>
        <w:ind w:left="6288" w:hanging="360"/>
      </w:pPr>
      <w:rPr>
        <w:rFonts w:ascii="Symbol" w:hAnsi="Symbol" w:hint="default"/>
      </w:rPr>
    </w:lvl>
    <w:lvl w:ilvl="7" w:tplc="FFFFFFFF" w:tentative="1">
      <w:start w:val="1"/>
      <w:numFmt w:val="bullet"/>
      <w:lvlText w:val="o"/>
      <w:lvlJc w:val="left"/>
      <w:pPr>
        <w:ind w:left="7008" w:hanging="360"/>
      </w:pPr>
      <w:rPr>
        <w:rFonts w:ascii="Courier New" w:hAnsi="Courier New" w:cs="Courier New" w:hint="default"/>
      </w:rPr>
    </w:lvl>
    <w:lvl w:ilvl="8" w:tplc="FFFFFFFF" w:tentative="1">
      <w:start w:val="1"/>
      <w:numFmt w:val="bullet"/>
      <w:lvlText w:val=""/>
      <w:lvlJc w:val="left"/>
      <w:pPr>
        <w:ind w:left="7728" w:hanging="360"/>
      </w:pPr>
      <w:rPr>
        <w:rFonts w:ascii="Wingdings" w:hAnsi="Wingdings" w:hint="default"/>
      </w:rPr>
    </w:lvl>
  </w:abstractNum>
  <w:abstractNum w:abstractNumId="22"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54C61A6"/>
    <w:multiLevelType w:val="hybridMultilevel"/>
    <w:tmpl w:val="13BC728C"/>
    <w:lvl w:ilvl="0" w:tplc="EACE8252">
      <w:start w:val="5"/>
      <w:numFmt w:val="decimal"/>
      <w:lvlText w:val="%1."/>
      <w:lvlJc w:val="left"/>
      <w:pPr>
        <w:ind w:left="1608" w:hanging="360"/>
      </w:pPr>
      <w:rPr>
        <w:rFonts w:hint="default"/>
      </w:rPr>
    </w:lvl>
    <w:lvl w:ilvl="1" w:tplc="08090019" w:tentative="1">
      <w:start w:val="1"/>
      <w:numFmt w:val="lowerLetter"/>
      <w:lvlText w:val="%2."/>
      <w:lvlJc w:val="left"/>
      <w:pPr>
        <w:ind w:left="2328" w:hanging="360"/>
      </w:pPr>
    </w:lvl>
    <w:lvl w:ilvl="2" w:tplc="0809001B" w:tentative="1">
      <w:start w:val="1"/>
      <w:numFmt w:val="lowerRoman"/>
      <w:lvlText w:val="%3."/>
      <w:lvlJc w:val="right"/>
      <w:pPr>
        <w:ind w:left="3048" w:hanging="180"/>
      </w:pPr>
    </w:lvl>
    <w:lvl w:ilvl="3" w:tplc="0809000F" w:tentative="1">
      <w:start w:val="1"/>
      <w:numFmt w:val="decimal"/>
      <w:lvlText w:val="%4."/>
      <w:lvlJc w:val="left"/>
      <w:pPr>
        <w:ind w:left="3768" w:hanging="360"/>
      </w:pPr>
    </w:lvl>
    <w:lvl w:ilvl="4" w:tplc="08090019" w:tentative="1">
      <w:start w:val="1"/>
      <w:numFmt w:val="lowerLetter"/>
      <w:lvlText w:val="%5."/>
      <w:lvlJc w:val="left"/>
      <w:pPr>
        <w:ind w:left="4488" w:hanging="360"/>
      </w:pPr>
    </w:lvl>
    <w:lvl w:ilvl="5" w:tplc="0809001B" w:tentative="1">
      <w:start w:val="1"/>
      <w:numFmt w:val="lowerRoman"/>
      <w:lvlText w:val="%6."/>
      <w:lvlJc w:val="right"/>
      <w:pPr>
        <w:ind w:left="5208" w:hanging="180"/>
      </w:pPr>
    </w:lvl>
    <w:lvl w:ilvl="6" w:tplc="0809000F" w:tentative="1">
      <w:start w:val="1"/>
      <w:numFmt w:val="decimal"/>
      <w:lvlText w:val="%7."/>
      <w:lvlJc w:val="left"/>
      <w:pPr>
        <w:ind w:left="5928" w:hanging="360"/>
      </w:pPr>
    </w:lvl>
    <w:lvl w:ilvl="7" w:tplc="08090019" w:tentative="1">
      <w:start w:val="1"/>
      <w:numFmt w:val="lowerLetter"/>
      <w:lvlText w:val="%8."/>
      <w:lvlJc w:val="left"/>
      <w:pPr>
        <w:ind w:left="6648" w:hanging="360"/>
      </w:pPr>
    </w:lvl>
    <w:lvl w:ilvl="8" w:tplc="0809001B" w:tentative="1">
      <w:start w:val="1"/>
      <w:numFmt w:val="lowerRoman"/>
      <w:lvlText w:val="%9."/>
      <w:lvlJc w:val="right"/>
      <w:pPr>
        <w:ind w:left="7368" w:hanging="180"/>
      </w:pPr>
    </w:lvl>
  </w:abstractNum>
  <w:abstractNum w:abstractNumId="24" w15:restartNumberingAfterBreak="0">
    <w:nsid w:val="37405649"/>
    <w:multiLevelType w:val="hybridMultilevel"/>
    <w:tmpl w:val="93A00B34"/>
    <w:lvl w:ilvl="0" w:tplc="41608B46">
      <w:start w:val="1"/>
      <w:numFmt w:val="decimal"/>
      <w:lvlText w:val="%1-"/>
      <w:lvlJc w:val="left"/>
      <w:pPr>
        <w:ind w:left="1877" w:hanging="63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25" w15:restartNumberingAfterBreak="0">
    <w:nsid w:val="3AD675C8"/>
    <w:multiLevelType w:val="hybridMultilevel"/>
    <w:tmpl w:val="B9428BC0"/>
    <w:lvl w:ilvl="0" w:tplc="6714FA1A">
      <w:start w:val="1"/>
      <w:numFmt w:val="arabicAbjad"/>
      <w:lvlText w:val="(%1)"/>
      <w:lvlJc w:val="left"/>
      <w:pPr>
        <w:ind w:left="2231" w:hanging="360"/>
      </w:pPr>
      <w:rPr>
        <w:rFonts w:hint="default"/>
      </w:rPr>
    </w:lvl>
    <w:lvl w:ilvl="1" w:tplc="04090019" w:tentative="1">
      <w:start w:val="1"/>
      <w:numFmt w:val="lowerLetter"/>
      <w:lvlText w:val="%2."/>
      <w:lvlJc w:val="left"/>
      <w:pPr>
        <w:ind w:left="2951" w:hanging="360"/>
      </w:p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26" w15:restartNumberingAfterBreak="0">
    <w:nsid w:val="3F8A5335"/>
    <w:multiLevelType w:val="hybridMultilevel"/>
    <w:tmpl w:val="A532DFB2"/>
    <w:lvl w:ilvl="0" w:tplc="6714FA1A">
      <w:start w:val="1"/>
      <w:numFmt w:val="arabicAbjad"/>
      <w:lvlText w:val="(%1)"/>
      <w:lvlJc w:val="left"/>
      <w:pPr>
        <w:ind w:left="2231" w:hanging="360"/>
      </w:pPr>
      <w:rPr>
        <w:rFonts w:hint="default"/>
      </w:rPr>
    </w:lvl>
    <w:lvl w:ilvl="1" w:tplc="04090019" w:tentative="1">
      <w:start w:val="1"/>
      <w:numFmt w:val="lowerLetter"/>
      <w:lvlText w:val="%2."/>
      <w:lvlJc w:val="left"/>
      <w:pPr>
        <w:ind w:left="2951" w:hanging="360"/>
      </w:p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27" w15:restartNumberingAfterBreak="0">
    <w:nsid w:val="4100605D"/>
    <w:multiLevelType w:val="hybridMultilevel"/>
    <w:tmpl w:val="219E2278"/>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44326C8D"/>
    <w:multiLevelType w:val="hybridMultilevel"/>
    <w:tmpl w:val="6C904A94"/>
    <w:lvl w:ilvl="0" w:tplc="08090001">
      <w:start w:val="1"/>
      <w:numFmt w:val="bullet"/>
      <w:lvlText w:val=""/>
      <w:lvlJc w:val="left"/>
      <w:pPr>
        <w:ind w:left="2770" w:hanging="360"/>
      </w:pPr>
      <w:rPr>
        <w:rFonts w:ascii="Symbol" w:hAnsi="Symbol" w:hint="default"/>
      </w:rPr>
    </w:lvl>
    <w:lvl w:ilvl="1" w:tplc="08090003">
      <w:start w:val="1"/>
      <w:numFmt w:val="bullet"/>
      <w:lvlText w:val="o"/>
      <w:lvlJc w:val="left"/>
      <w:pPr>
        <w:ind w:left="3904" w:hanging="360"/>
      </w:pPr>
      <w:rPr>
        <w:rFonts w:ascii="Courier New" w:hAnsi="Courier New" w:cs="Courier New" w:hint="default"/>
      </w:rPr>
    </w:lvl>
    <w:lvl w:ilvl="2" w:tplc="08090005" w:tentative="1">
      <w:start w:val="1"/>
      <w:numFmt w:val="bullet"/>
      <w:lvlText w:val=""/>
      <w:lvlJc w:val="left"/>
      <w:pPr>
        <w:ind w:left="3407" w:hanging="360"/>
      </w:pPr>
      <w:rPr>
        <w:rFonts w:ascii="Wingdings" w:hAnsi="Wingdings" w:hint="default"/>
      </w:rPr>
    </w:lvl>
    <w:lvl w:ilvl="3" w:tplc="08090001" w:tentative="1">
      <w:start w:val="1"/>
      <w:numFmt w:val="bullet"/>
      <w:lvlText w:val=""/>
      <w:lvlJc w:val="left"/>
      <w:pPr>
        <w:ind w:left="4127" w:hanging="360"/>
      </w:pPr>
      <w:rPr>
        <w:rFonts w:ascii="Symbol" w:hAnsi="Symbol" w:hint="default"/>
      </w:rPr>
    </w:lvl>
    <w:lvl w:ilvl="4" w:tplc="08090003" w:tentative="1">
      <w:start w:val="1"/>
      <w:numFmt w:val="bullet"/>
      <w:lvlText w:val="o"/>
      <w:lvlJc w:val="left"/>
      <w:pPr>
        <w:ind w:left="4847" w:hanging="360"/>
      </w:pPr>
      <w:rPr>
        <w:rFonts w:ascii="Courier New" w:hAnsi="Courier New" w:cs="Courier New" w:hint="default"/>
      </w:rPr>
    </w:lvl>
    <w:lvl w:ilvl="5" w:tplc="08090005" w:tentative="1">
      <w:start w:val="1"/>
      <w:numFmt w:val="bullet"/>
      <w:lvlText w:val=""/>
      <w:lvlJc w:val="left"/>
      <w:pPr>
        <w:ind w:left="5567" w:hanging="360"/>
      </w:pPr>
      <w:rPr>
        <w:rFonts w:ascii="Wingdings" w:hAnsi="Wingdings" w:hint="default"/>
      </w:rPr>
    </w:lvl>
    <w:lvl w:ilvl="6" w:tplc="08090001" w:tentative="1">
      <w:start w:val="1"/>
      <w:numFmt w:val="bullet"/>
      <w:lvlText w:val=""/>
      <w:lvlJc w:val="left"/>
      <w:pPr>
        <w:ind w:left="6287" w:hanging="360"/>
      </w:pPr>
      <w:rPr>
        <w:rFonts w:ascii="Symbol" w:hAnsi="Symbol" w:hint="default"/>
      </w:rPr>
    </w:lvl>
    <w:lvl w:ilvl="7" w:tplc="08090003" w:tentative="1">
      <w:start w:val="1"/>
      <w:numFmt w:val="bullet"/>
      <w:lvlText w:val="o"/>
      <w:lvlJc w:val="left"/>
      <w:pPr>
        <w:ind w:left="7007" w:hanging="360"/>
      </w:pPr>
      <w:rPr>
        <w:rFonts w:ascii="Courier New" w:hAnsi="Courier New" w:cs="Courier New" w:hint="default"/>
      </w:rPr>
    </w:lvl>
    <w:lvl w:ilvl="8" w:tplc="08090005" w:tentative="1">
      <w:start w:val="1"/>
      <w:numFmt w:val="bullet"/>
      <w:lvlText w:val=""/>
      <w:lvlJc w:val="left"/>
      <w:pPr>
        <w:ind w:left="7727" w:hanging="360"/>
      </w:pPr>
      <w:rPr>
        <w:rFonts w:ascii="Wingdings" w:hAnsi="Wingdings" w:hint="default"/>
      </w:rPr>
    </w:lvl>
  </w:abstractNum>
  <w:abstractNum w:abstractNumId="29" w15:restartNumberingAfterBreak="0">
    <w:nsid w:val="44DE408E"/>
    <w:multiLevelType w:val="hybridMultilevel"/>
    <w:tmpl w:val="981CD1C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0" w15:restartNumberingAfterBreak="0">
    <w:nsid w:val="45191F42"/>
    <w:multiLevelType w:val="hybridMultilevel"/>
    <w:tmpl w:val="78E464A8"/>
    <w:lvl w:ilvl="0" w:tplc="06A07E12">
      <w:start w:val="1"/>
      <w:numFmt w:val="arabicAbjad"/>
      <w:lvlText w:val="(%1)"/>
      <w:lvlJc w:val="left"/>
      <w:pPr>
        <w:ind w:left="5747" w:hanging="360"/>
      </w:pPr>
      <w:rPr>
        <w:rFonts w:hint="default"/>
      </w:rPr>
    </w:lvl>
    <w:lvl w:ilvl="1" w:tplc="FFFFFFFF">
      <w:start w:val="1"/>
      <w:numFmt w:val="bullet"/>
      <w:lvlText w:val="o"/>
      <w:lvlJc w:val="left"/>
      <w:pPr>
        <w:ind w:left="6467" w:hanging="360"/>
      </w:pPr>
      <w:rPr>
        <w:rFonts w:ascii="Courier New" w:hAnsi="Courier New" w:cs="Courier New" w:hint="default"/>
      </w:rPr>
    </w:lvl>
    <w:lvl w:ilvl="2" w:tplc="FFFFFFFF" w:tentative="1">
      <w:start w:val="1"/>
      <w:numFmt w:val="bullet"/>
      <w:lvlText w:val=""/>
      <w:lvlJc w:val="left"/>
      <w:pPr>
        <w:ind w:left="7187" w:hanging="360"/>
      </w:pPr>
      <w:rPr>
        <w:rFonts w:ascii="Wingdings" w:hAnsi="Wingdings" w:hint="default"/>
      </w:rPr>
    </w:lvl>
    <w:lvl w:ilvl="3" w:tplc="FFFFFFFF" w:tentative="1">
      <w:start w:val="1"/>
      <w:numFmt w:val="bullet"/>
      <w:lvlText w:val=""/>
      <w:lvlJc w:val="left"/>
      <w:pPr>
        <w:ind w:left="7907" w:hanging="360"/>
      </w:pPr>
      <w:rPr>
        <w:rFonts w:ascii="Symbol" w:hAnsi="Symbol" w:hint="default"/>
      </w:rPr>
    </w:lvl>
    <w:lvl w:ilvl="4" w:tplc="FFFFFFFF" w:tentative="1">
      <w:start w:val="1"/>
      <w:numFmt w:val="bullet"/>
      <w:lvlText w:val="o"/>
      <w:lvlJc w:val="left"/>
      <w:pPr>
        <w:ind w:left="8627" w:hanging="360"/>
      </w:pPr>
      <w:rPr>
        <w:rFonts w:ascii="Courier New" w:hAnsi="Courier New" w:cs="Courier New" w:hint="default"/>
      </w:rPr>
    </w:lvl>
    <w:lvl w:ilvl="5" w:tplc="FFFFFFFF" w:tentative="1">
      <w:start w:val="1"/>
      <w:numFmt w:val="bullet"/>
      <w:lvlText w:val=""/>
      <w:lvlJc w:val="left"/>
      <w:pPr>
        <w:ind w:left="9347" w:hanging="360"/>
      </w:pPr>
      <w:rPr>
        <w:rFonts w:ascii="Wingdings" w:hAnsi="Wingdings" w:hint="default"/>
      </w:rPr>
    </w:lvl>
    <w:lvl w:ilvl="6" w:tplc="FFFFFFFF" w:tentative="1">
      <w:start w:val="1"/>
      <w:numFmt w:val="bullet"/>
      <w:lvlText w:val=""/>
      <w:lvlJc w:val="left"/>
      <w:pPr>
        <w:ind w:left="10067" w:hanging="360"/>
      </w:pPr>
      <w:rPr>
        <w:rFonts w:ascii="Symbol" w:hAnsi="Symbol" w:hint="default"/>
      </w:rPr>
    </w:lvl>
    <w:lvl w:ilvl="7" w:tplc="FFFFFFFF" w:tentative="1">
      <w:start w:val="1"/>
      <w:numFmt w:val="bullet"/>
      <w:lvlText w:val="o"/>
      <w:lvlJc w:val="left"/>
      <w:pPr>
        <w:ind w:left="10787" w:hanging="360"/>
      </w:pPr>
      <w:rPr>
        <w:rFonts w:ascii="Courier New" w:hAnsi="Courier New" w:cs="Courier New" w:hint="default"/>
      </w:rPr>
    </w:lvl>
    <w:lvl w:ilvl="8" w:tplc="FFFFFFFF" w:tentative="1">
      <w:start w:val="1"/>
      <w:numFmt w:val="bullet"/>
      <w:lvlText w:val=""/>
      <w:lvlJc w:val="left"/>
      <w:pPr>
        <w:ind w:left="11507" w:hanging="360"/>
      </w:pPr>
      <w:rPr>
        <w:rFonts w:ascii="Wingdings" w:hAnsi="Wingdings" w:hint="default"/>
      </w:rPr>
    </w:lvl>
  </w:abstractNum>
  <w:abstractNum w:abstractNumId="31" w15:restartNumberingAfterBreak="0">
    <w:nsid w:val="465F7AA2"/>
    <w:multiLevelType w:val="hybridMultilevel"/>
    <w:tmpl w:val="CD54C5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arabicAbjad"/>
      <w:lvlText w:val="(%2)"/>
      <w:lvlJc w:val="left"/>
      <w:pPr>
        <w:tabs>
          <w:tab w:val="num" w:pos="2495"/>
        </w:tabs>
        <w:ind w:left="1248" w:firstLine="623"/>
      </w:pPr>
      <w:rPr>
        <w:rFonts w:hint="default"/>
      </w:rPr>
    </w:lvl>
    <w:lvl w:ilvl="2">
      <w:start w:val="1"/>
      <w:numFmt w:val="arabicAbjad"/>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33" w15:restartNumberingAfterBreak="0">
    <w:nsid w:val="562E619B"/>
    <w:multiLevelType w:val="hybridMultilevel"/>
    <w:tmpl w:val="69D0A938"/>
    <w:lvl w:ilvl="0" w:tplc="04090001">
      <w:start w:val="1"/>
      <w:numFmt w:val="bullet"/>
      <w:lvlText w:val=""/>
      <w:lvlJc w:val="left"/>
      <w:pPr>
        <w:ind w:left="2563" w:hanging="360"/>
      </w:pPr>
      <w:rPr>
        <w:rFonts w:ascii="Symbol" w:hAnsi="Symbol" w:hint="default"/>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34" w15:restartNumberingAfterBreak="0">
    <w:nsid w:val="56CE7693"/>
    <w:multiLevelType w:val="hybridMultilevel"/>
    <w:tmpl w:val="507E7866"/>
    <w:lvl w:ilvl="0" w:tplc="C99E3B0C">
      <w:start w:val="1"/>
      <w:numFmt w:val="arabicAbjad"/>
      <w:lvlText w:val="(%1)"/>
      <w:lvlJc w:val="left"/>
      <w:pPr>
        <w:ind w:left="2687" w:hanging="360"/>
      </w:pPr>
      <w:rPr>
        <w:rFonts w:hint="default"/>
      </w:rPr>
    </w:lvl>
    <w:lvl w:ilvl="1" w:tplc="08090019" w:tentative="1">
      <w:start w:val="1"/>
      <w:numFmt w:val="lowerLetter"/>
      <w:lvlText w:val="%2."/>
      <w:lvlJc w:val="left"/>
      <w:pPr>
        <w:ind w:left="3407" w:hanging="360"/>
      </w:pPr>
    </w:lvl>
    <w:lvl w:ilvl="2" w:tplc="0809001B" w:tentative="1">
      <w:start w:val="1"/>
      <w:numFmt w:val="lowerRoman"/>
      <w:lvlText w:val="%3."/>
      <w:lvlJc w:val="right"/>
      <w:pPr>
        <w:ind w:left="4127" w:hanging="180"/>
      </w:pPr>
    </w:lvl>
    <w:lvl w:ilvl="3" w:tplc="0809000F" w:tentative="1">
      <w:start w:val="1"/>
      <w:numFmt w:val="decimal"/>
      <w:lvlText w:val="%4."/>
      <w:lvlJc w:val="left"/>
      <w:pPr>
        <w:ind w:left="4847" w:hanging="360"/>
      </w:pPr>
    </w:lvl>
    <w:lvl w:ilvl="4" w:tplc="08090019" w:tentative="1">
      <w:start w:val="1"/>
      <w:numFmt w:val="lowerLetter"/>
      <w:lvlText w:val="%5."/>
      <w:lvlJc w:val="left"/>
      <w:pPr>
        <w:ind w:left="5567" w:hanging="360"/>
      </w:pPr>
    </w:lvl>
    <w:lvl w:ilvl="5" w:tplc="0809001B" w:tentative="1">
      <w:start w:val="1"/>
      <w:numFmt w:val="lowerRoman"/>
      <w:lvlText w:val="%6."/>
      <w:lvlJc w:val="right"/>
      <w:pPr>
        <w:ind w:left="6287" w:hanging="180"/>
      </w:pPr>
    </w:lvl>
    <w:lvl w:ilvl="6" w:tplc="0809000F" w:tentative="1">
      <w:start w:val="1"/>
      <w:numFmt w:val="decimal"/>
      <w:lvlText w:val="%7."/>
      <w:lvlJc w:val="left"/>
      <w:pPr>
        <w:ind w:left="7007" w:hanging="360"/>
      </w:pPr>
    </w:lvl>
    <w:lvl w:ilvl="7" w:tplc="08090019" w:tentative="1">
      <w:start w:val="1"/>
      <w:numFmt w:val="lowerLetter"/>
      <w:lvlText w:val="%8."/>
      <w:lvlJc w:val="left"/>
      <w:pPr>
        <w:ind w:left="7727" w:hanging="360"/>
      </w:pPr>
    </w:lvl>
    <w:lvl w:ilvl="8" w:tplc="0809001B" w:tentative="1">
      <w:start w:val="1"/>
      <w:numFmt w:val="lowerRoman"/>
      <w:lvlText w:val="%9."/>
      <w:lvlJc w:val="right"/>
      <w:pPr>
        <w:ind w:left="8447" w:hanging="180"/>
      </w:pPr>
    </w:lvl>
  </w:abstractNum>
  <w:abstractNum w:abstractNumId="35" w15:restartNumberingAfterBreak="0">
    <w:nsid w:val="62291BF8"/>
    <w:multiLevelType w:val="multilevel"/>
    <w:tmpl w:val="1F46421A"/>
    <w:styleLink w:val="Normallist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43B6CE5"/>
    <w:multiLevelType w:val="hybridMultilevel"/>
    <w:tmpl w:val="DD5C93D8"/>
    <w:lvl w:ilvl="0" w:tplc="D9644AC6">
      <w:start w:val="1"/>
      <w:numFmt w:val="decimal"/>
      <w:lvlText w:val="%1-"/>
      <w:lvlJc w:val="left"/>
      <w:pPr>
        <w:ind w:left="1967" w:hanging="360"/>
      </w:pPr>
      <w:rPr>
        <w:rFonts w:hint="default"/>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37" w15:restartNumberingAfterBreak="0">
    <w:nsid w:val="6C704AFA"/>
    <w:multiLevelType w:val="hybridMultilevel"/>
    <w:tmpl w:val="539A8EE2"/>
    <w:lvl w:ilvl="0" w:tplc="0809000F">
      <w:start w:val="1"/>
      <w:numFmt w:val="decimal"/>
      <w:lvlText w:val="%1."/>
      <w:lvlJc w:val="left"/>
      <w:pPr>
        <w:ind w:left="1967" w:hanging="360"/>
      </w:pPr>
    </w:lvl>
    <w:lvl w:ilvl="1" w:tplc="8AF8BA08">
      <w:numFmt w:val="bullet"/>
      <w:lvlText w:val="•"/>
      <w:lvlJc w:val="left"/>
      <w:pPr>
        <w:ind w:left="2687" w:hanging="360"/>
      </w:pPr>
      <w:rPr>
        <w:rFonts w:ascii="Simplified Arabic" w:eastAsia="Times New Roman" w:hAnsi="Simplified Arabic" w:cs="Simplified Arabic" w:hint="default"/>
      </w:rPr>
    </w:lvl>
    <w:lvl w:ilvl="2" w:tplc="37FABC52">
      <w:numFmt w:val="bullet"/>
      <w:lvlText w:val="•"/>
      <w:lvlJc w:val="left"/>
      <w:pPr>
        <w:ind w:left="3587" w:hanging="360"/>
      </w:pPr>
      <w:rPr>
        <w:rFonts w:ascii="Simplified Arabic" w:eastAsia="Times New Roman" w:hAnsi="Simplified Arabic" w:cs="Simplified Arabic" w:hint="default"/>
      </w:rPr>
    </w:lvl>
    <w:lvl w:ilvl="3" w:tplc="9A6C9A68">
      <w:numFmt w:val="bullet"/>
      <w:lvlText w:val="•"/>
      <w:lvlJc w:val="left"/>
      <w:pPr>
        <w:ind w:left="4127" w:hanging="360"/>
      </w:pPr>
      <w:rPr>
        <w:rFonts w:ascii="Simplified Arabic" w:eastAsia="Times New Roman" w:hAnsi="Simplified Arabic" w:cs="Simplified Arabic" w:hint="default"/>
      </w:rPr>
    </w:lvl>
    <w:lvl w:ilvl="4" w:tplc="E80463C4">
      <w:numFmt w:val="bullet"/>
      <w:lvlText w:val="•"/>
      <w:lvlJc w:val="left"/>
      <w:pPr>
        <w:ind w:left="4847" w:hanging="360"/>
      </w:pPr>
      <w:rPr>
        <w:rFonts w:ascii="Simplified Arabic" w:eastAsia="Times New Roman" w:hAnsi="Simplified Arabic" w:cs="Simplified Arabic" w:hint="default"/>
      </w:rPr>
    </w:lvl>
    <w:lvl w:ilvl="5" w:tplc="4498E762">
      <w:numFmt w:val="bullet"/>
      <w:lvlText w:val="•"/>
      <w:lvlJc w:val="left"/>
      <w:pPr>
        <w:ind w:left="5747" w:hanging="360"/>
      </w:pPr>
      <w:rPr>
        <w:rFonts w:ascii="Simplified Arabic" w:eastAsia="Times New Roman" w:hAnsi="Simplified Arabic" w:cs="Simplified Arabic" w:hint="default"/>
      </w:rPr>
    </w:lvl>
    <w:lvl w:ilvl="6" w:tplc="E75E7D1E">
      <w:numFmt w:val="bullet"/>
      <w:lvlText w:val="•"/>
      <w:lvlJc w:val="left"/>
      <w:pPr>
        <w:ind w:left="6287" w:hanging="360"/>
      </w:pPr>
      <w:rPr>
        <w:rFonts w:ascii="Simplified Arabic" w:eastAsia="Times New Roman" w:hAnsi="Simplified Arabic" w:cs="Simplified Arabic" w:hint="default"/>
      </w:r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38"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arabicAbjad"/>
      <w:lvlText w:val="(%3)"/>
      <w:lvlJc w:val="left"/>
      <w:pPr>
        <w:ind w:left="720" w:hanging="432"/>
      </w:pPr>
      <w:rPr>
        <w:rFonts w:hint="default"/>
      </w:rPr>
    </w:lvl>
    <w:lvl w:ilvl="3">
      <w:start w:val="1"/>
      <w:numFmt w:val="arabicAbjad"/>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39" w15:restartNumberingAfterBreak="0">
    <w:nsid w:val="75215237"/>
    <w:multiLevelType w:val="hybridMultilevel"/>
    <w:tmpl w:val="C2E21524"/>
    <w:lvl w:ilvl="0" w:tplc="06A07E12">
      <w:start w:val="1"/>
      <w:numFmt w:val="arabicAbjad"/>
      <w:lvlText w:val="(%1)"/>
      <w:lvlJc w:val="left"/>
      <w:pPr>
        <w:ind w:left="2232" w:hanging="360"/>
      </w:pPr>
      <w:rPr>
        <w:rFonts w:hint="default"/>
      </w:rPr>
    </w:lvl>
    <w:lvl w:ilvl="1" w:tplc="08090019">
      <w:start w:val="1"/>
      <w:numFmt w:val="lowerLetter"/>
      <w:lvlText w:val="%2."/>
      <w:lvlJc w:val="left"/>
      <w:pPr>
        <w:ind w:left="2952" w:hanging="360"/>
      </w:pPr>
    </w:lvl>
    <w:lvl w:ilvl="2" w:tplc="0809001B" w:tentative="1">
      <w:start w:val="1"/>
      <w:numFmt w:val="lowerRoman"/>
      <w:lvlText w:val="%3."/>
      <w:lvlJc w:val="right"/>
      <w:pPr>
        <w:ind w:left="3672" w:hanging="180"/>
      </w:pPr>
    </w:lvl>
    <w:lvl w:ilvl="3" w:tplc="0809000F" w:tentative="1">
      <w:start w:val="1"/>
      <w:numFmt w:val="decimal"/>
      <w:lvlText w:val="%4."/>
      <w:lvlJc w:val="left"/>
      <w:pPr>
        <w:ind w:left="4392" w:hanging="360"/>
      </w:pPr>
    </w:lvl>
    <w:lvl w:ilvl="4" w:tplc="08090019" w:tentative="1">
      <w:start w:val="1"/>
      <w:numFmt w:val="lowerLetter"/>
      <w:lvlText w:val="%5."/>
      <w:lvlJc w:val="left"/>
      <w:pPr>
        <w:ind w:left="5112" w:hanging="360"/>
      </w:pPr>
    </w:lvl>
    <w:lvl w:ilvl="5" w:tplc="0809001B" w:tentative="1">
      <w:start w:val="1"/>
      <w:numFmt w:val="lowerRoman"/>
      <w:lvlText w:val="%6."/>
      <w:lvlJc w:val="right"/>
      <w:pPr>
        <w:ind w:left="5832" w:hanging="180"/>
      </w:pPr>
    </w:lvl>
    <w:lvl w:ilvl="6" w:tplc="0809000F" w:tentative="1">
      <w:start w:val="1"/>
      <w:numFmt w:val="decimal"/>
      <w:lvlText w:val="%7."/>
      <w:lvlJc w:val="left"/>
      <w:pPr>
        <w:ind w:left="6552" w:hanging="360"/>
      </w:pPr>
    </w:lvl>
    <w:lvl w:ilvl="7" w:tplc="08090019" w:tentative="1">
      <w:start w:val="1"/>
      <w:numFmt w:val="lowerLetter"/>
      <w:lvlText w:val="%8."/>
      <w:lvlJc w:val="left"/>
      <w:pPr>
        <w:ind w:left="7272" w:hanging="360"/>
      </w:pPr>
    </w:lvl>
    <w:lvl w:ilvl="8" w:tplc="0809001B" w:tentative="1">
      <w:start w:val="1"/>
      <w:numFmt w:val="lowerRoman"/>
      <w:lvlText w:val="%9."/>
      <w:lvlJc w:val="right"/>
      <w:pPr>
        <w:ind w:left="7992" w:hanging="180"/>
      </w:pPr>
    </w:lvl>
  </w:abstractNum>
  <w:num w:numId="1" w16cid:durableId="560672902">
    <w:abstractNumId w:val="32"/>
  </w:num>
  <w:num w:numId="2" w16cid:durableId="1242644713">
    <w:abstractNumId w:val="38"/>
  </w:num>
  <w:num w:numId="3" w16cid:durableId="1933662228">
    <w:abstractNumId w:val="22"/>
  </w:num>
  <w:num w:numId="4" w16cid:durableId="1991909117">
    <w:abstractNumId w:val="10"/>
  </w:num>
  <w:num w:numId="5" w16cid:durableId="1138956019">
    <w:abstractNumId w:val="16"/>
  </w:num>
  <w:num w:numId="6" w16cid:durableId="2043434838">
    <w:abstractNumId w:val="9"/>
  </w:num>
  <w:num w:numId="7" w16cid:durableId="1662662834">
    <w:abstractNumId w:val="7"/>
  </w:num>
  <w:num w:numId="8" w16cid:durableId="51464197">
    <w:abstractNumId w:val="6"/>
  </w:num>
  <w:num w:numId="9" w16cid:durableId="1853759464">
    <w:abstractNumId w:val="5"/>
  </w:num>
  <w:num w:numId="10" w16cid:durableId="1804233499">
    <w:abstractNumId w:val="4"/>
  </w:num>
  <w:num w:numId="11" w16cid:durableId="1408073150">
    <w:abstractNumId w:val="8"/>
  </w:num>
  <w:num w:numId="12" w16cid:durableId="1554734546">
    <w:abstractNumId w:val="3"/>
  </w:num>
  <w:num w:numId="13" w16cid:durableId="689067116">
    <w:abstractNumId w:val="2"/>
  </w:num>
  <w:num w:numId="14" w16cid:durableId="1539396030">
    <w:abstractNumId w:val="1"/>
  </w:num>
  <w:num w:numId="15" w16cid:durableId="1371805069">
    <w:abstractNumId w:val="0"/>
  </w:num>
  <w:num w:numId="16" w16cid:durableId="344552741">
    <w:abstractNumId w:val="34"/>
  </w:num>
  <w:num w:numId="17" w16cid:durableId="1448887245">
    <w:abstractNumId w:val="20"/>
  </w:num>
  <w:num w:numId="18" w16cid:durableId="712538599">
    <w:abstractNumId w:val="23"/>
  </w:num>
  <w:num w:numId="19" w16cid:durableId="669143604">
    <w:abstractNumId w:val="36"/>
  </w:num>
  <w:num w:numId="20" w16cid:durableId="1436828450">
    <w:abstractNumId w:val="24"/>
  </w:num>
  <w:num w:numId="21" w16cid:durableId="1520584583">
    <w:abstractNumId w:val="35"/>
  </w:num>
  <w:num w:numId="22" w16cid:durableId="197740893">
    <w:abstractNumId w:val="32"/>
    <w:lvlOverride w:ilvl="0">
      <w:lvl w:ilvl="0">
        <w:start w:val="1"/>
        <w:numFmt w:val="decimal"/>
        <w:pStyle w:val="Normalnumber"/>
        <w:lvlText w:val="%1-"/>
        <w:lvlJc w:val="left"/>
        <w:pPr>
          <w:ind w:left="1636" w:hanging="360"/>
        </w:pPr>
        <w:rPr>
          <w:rFonts w:hint="default"/>
        </w:rPr>
      </w:lvl>
    </w:lvlOverride>
    <w:lvlOverride w:ilvl="1">
      <w:lvl w:ilvl="1">
        <w:start w:val="1"/>
        <w:numFmt w:val="lowerLetter"/>
        <w:lvlText w:val="%2."/>
        <w:lvlJc w:val="left"/>
        <w:pPr>
          <w:ind w:left="2328" w:hanging="360"/>
        </w:pPr>
      </w:lvl>
    </w:lvlOverride>
    <w:lvlOverride w:ilvl="2">
      <w:lvl w:ilvl="2" w:tentative="1">
        <w:start w:val="1"/>
        <w:numFmt w:val="lowerRoman"/>
        <w:lvlText w:val="%3."/>
        <w:lvlJc w:val="right"/>
        <w:pPr>
          <w:ind w:left="3048" w:hanging="180"/>
        </w:pPr>
      </w:lvl>
    </w:lvlOverride>
    <w:lvlOverride w:ilvl="3">
      <w:lvl w:ilvl="3" w:tentative="1">
        <w:start w:val="1"/>
        <w:numFmt w:val="decimal"/>
        <w:lvlText w:val="%4."/>
        <w:lvlJc w:val="left"/>
        <w:pPr>
          <w:ind w:left="3768" w:hanging="360"/>
        </w:pPr>
      </w:lvl>
    </w:lvlOverride>
    <w:lvlOverride w:ilvl="4">
      <w:lvl w:ilvl="4" w:tentative="1">
        <w:start w:val="1"/>
        <w:numFmt w:val="lowerLetter"/>
        <w:lvlText w:val="%5."/>
        <w:lvlJc w:val="left"/>
        <w:pPr>
          <w:ind w:left="4488" w:hanging="360"/>
        </w:pPr>
      </w:lvl>
    </w:lvlOverride>
    <w:lvlOverride w:ilvl="5">
      <w:lvl w:ilvl="5" w:tentative="1">
        <w:start w:val="1"/>
        <w:numFmt w:val="lowerRoman"/>
        <w:lvlText w:val="%6."/>
        <w:lvlJc w:val="right"/>
        <w:pPr>
          <w:ind w:left="5208" w:hanging="180"/>
        </w:pPr>
      </w:lvl>
    </w:lvlOverride>
    <w:lvlOverride w:ilvl="6">
      <w:lvl w:ilvl="6" w:tentative="1">
        <w:start w:val="1"/>
        <w:numFmt w:val="decimal"/>
        <w:lvlText w:val="%7."/>
        <w:lvlJc w:val="left"/>
        <w:pPr>
          <w:ind w:left="5928" w:hanging="360"/>
        </w:pPr>
      </w:lvl>
    </w:lvlOverride>
    <w:lvlOverride w:ilvl="7">
      <w:lvl w:ilvl="7" w:tentative="1">
        <w:start w:val="1"/>
        <w:numFmt w:val="lowerLetter"/>
        <w:lvlText w:val="%8."/>
        <w:lvlJc w:val="left"/>
        <w:pPr>
          <w:ind w:left="6648" w:hanging="360"/>
        </w:pPr>
      </w:lvl>
    </w:lvlOverride>
    <w:lvlOverride w:ilvl="8">
      <w:lvl w:ilvl="8" w:tentative="1">
        <w:start w:val="1"/>
        <w:numFmt w:val="lowerRoman"/>
        <w:lvlText w:val="%9."/>
        <w:lvlJc w:val="right"/>
        <w:pPr>
          <w:ind w:left="7368" w:hanging="180"/>
        </w:pPr>
      </w:lvl>
    </w:lvlOverride>
  </w:num>
  <w:num w:numId="23" w16cid:durableId="2060783230">
    <w:abstractNumId w:val="37"/>
    <w:lvlOverride w:ilvl="0">
      <w:lvl w:ilvl="0" w:tplc="0809000F">
        <w:start w:val="1"/>
        <w:numFmt w:val="decimal"/>
        <w:lvlText w:val="%1-"/>
        <w:lvlJc w:val="left"/>
        <w:pPr>
          <w:ind w:left="1967" w:hanging="360"/>
        </w:pPr>
        <w:rPr>
          <w:rFonts w:hint="default"/>
        </w:rPr>
      </w:lvl>
    </w:lvlOverride>
    <w:lvlOverride w:ilvl="1">
      <w:lvl w:ilvl="1" w:tplc="8AF8BA08">
        <w:start w:val="1"/>
        <w:numFmt w:val="lowerLetter"/>
        <w:lvlText w:val="%2."/>
        <w:lvlJc w:val="left"/>
        <w:pPr>
          <w:ind w:left="2687" w:hanging="360"/>
        </w:pPr>
      </w:lvl>
    </w:lvlOverride>
    <w:lvlOverride w:ilvl="2">
      <w:lvl w:ilvl="2" w:tplc="37FABC52">
        <w:start w:val="1"/>
        <w:numFmt w:val="lowerRoman"/>
        <w:lvlText w:val="%3."/>
        <w:lvlJc w:val="right"/>
        <w:pPr>
          <w:ind w:left="3407" w:hanging="180"/>
        </w:pPr>
      </w:lvl>
    </w:lvlOverride>
    <w:lvlOverride w:ilvl="3">
      <w:lvl w:ilvl="3" w:tplc="9A6C9A68">
        <w:start w:val="1"/>
        <w:numFmt w:val="decimal"/>
        <w:lvlText w:val="%4."/>
        <w:lvlJc w:val="left"/>
        <w:pPr>
          <w:ind w:left="4127" w:hanging="360"/>
        </w:pPr>
      </w:lvl>
    </w:lvlOverride>
    <w:lvlOverride w:ilvl="4">
      <w:lvl w:ilvl="4" w:tplc="E80463C4">
        <w:start w:val="1"/>
        <w:numFmt w:val="lowerLetter"/>
        <w:lvlText w:val="%5."/>
        <w:lvlJc w:val="left"/>
        <w:pPr>
          <w:ind w:left="4847" w:hanging="360"/>
        </w:pPr>
      </w:lvl>
    </w:lvlOverride>
    <w:lvlOverride w:ilvl="5">
      <w:lvl w:ilvl="5" w:tplc="4498E762">
        <w:start w:val="1"/>
        <w:numFmt w:val="lowerRoman"/>
        <w:lvlText w:val="%6."/>
        <w:lvlJc w:val="right"/>
        <w:pPr>
          <w:ind w:left="5567" w:hanging="180"/>
        </w:pPr>
      </w:lvl>
    </w:lvlOverride>
    <w:lvlOverride w:ilvl="6">
      <w:lvl w:ilvl="6" w:tplc="E75E7D1E">
        <w:start w:val="1"/>
        <w:numFmt w:val="decimal"/>
        <w:lvlText w:val="%7."/>
        <w:lvlJc w:val="left"/>
        <w:pPr>
          <w:ind w:left="6287" w:hanging="360"/>
        </w:pPr>
      </w:lvl>
    </w:lvlOverride>
    <w:lvlOverride w:ilvl="7">
      <w:lvl w:ilvl="7" w:tplc="08090019" w:tentative="1">
        <w:start w:val="1"/>
        <w:numFmt w:val="lowerLetter"/>
        <w:lvlText w:val="%8."/>
        <w:lvlJc w:val="left"/>
        <w:pPr>
          <w:ind w:left="7007" w:hanging="360"/>
        </w:pPr>
      </w:lvl>
    </w:lvlOverride>
    <w:lvlOverride w:ilvl="8">
      <w:lvl w:ilvl="8" w:tplc="0809001B" w:tentative="1">
        <w:start w:val="1"/>
        <w:numFmt w:val="lowerRoman"/>
        <w:lvlText w:val="%9."/>
        <w:lvlJc w:val="right"/>
        <w:pPr>
          <w:ind w:left="7727" w:hanging="180"/>
        </w:pPr>
      </w:lvl>
    </w:lvlOverride>
  </w:num>
  <w:num w:numId="24" w16cid:durableId="1130053233">
    <w:abstractNumId w:val="25"/>
  </w:num>
  <w:num w:numId="25" w16cid:durableId="425225117">
    <w:abstractNumId w:val="19"/>
  </w:num>
  <w:num w:numId="26" w16cid:durableId="1755585915">
    <w:abstractNumId w:val="26"/>
  </w:num>
  <w:num w:numId="27" w16cid:durableId="345405798">
    <w:abstractNumId w:val="12"/>
  </w:num>
  <w:num w:numId="28" w16cid:durableId="596912014">
    <w:abstractNumId w:val="11"/>
  </w:num>
  <w:num w:numId="29" w16cid:durableId="509761498">
    <w:abstractNumId w:val="27"/>
  </w:num>
  <w:num w:numId="30" w16cid:durableId="956253219">
    <w:abstractNumId w:val="29"/>
  </w:num>
  <w:num w:numId="31" w16cid:durableId="98187770">
    <w:abstractNumId w:val="15"/>
  </w:num>
  <w:num w:numId="32" w16cid:durableId="911427144">
    <w:abstractNumId w:val="39"/>
  </w:num>
  <w:num w:numId="33" w16cid:durableId="1806506253">
    <w:abstractNumId w:val="30"/>
  </w:num>
  <w:num w:numId="34" w16cid:durableId="991757662">
    <w:abstractNumId w:val="13"/>
  </w:num>
  <w:num w:numId="35" w16cid:durableId="693842584">
    <w:abstractNumId w:val="17"/>
  </w:num>
  <w:num w:numId="36" w16cid:durableId="149367271">
    <w:abstractNumId w:val="21"/>
  </w:num>
  <w:num w:numId="37" w16cid:durableId="432945112">
    <w:abstractNumId w:val="32"/>
    <w:lvlOverride w:ilvl="0">
      <w:startOverride w:val="1"/>
      <w:lvl w:ilvl="0">
        <w:start w:val="1"/>
        <w:numFmt w:val="decimal"/>
        <w:pStyle w:val="Normalnumber"/>
        <w:lvlText w:val="%1-"/>
        <w:lvlJc w:val="left"/>
        <w:pPr>
          <w:ind w:left="1608" w:hanging="360"/>
        </w:pPr>
        <w:rPr>
          <w:rFonts w:hint="default"/>
        </w:rPr>
      </w:lvl>
    </w:lvlOverride>
    <w:lvlOverride w:ilvl="1">
      <w:startOverride w:val="1"/>
      <w:lvl w:ilvl="1">
        <w:start w:val="1"/>
        <w:numFmt w:val="lowerLetter"/>
        <w:lvlText w:val="%2."/>
        <w:lvlJc w:val="left"/>
        <w:pPr>
          <w:ind w:left="2328" w:hanging="360"/>
        </w:pPr>
      </w:lvl>
    </w:lvlOverride>
    <w:lvlOverride w:ilvl="2">
      <w:startOverride w:val="1"/>
      <w:lvl w:ilvl="2" w:tentative="1">
        <w:start w:val="1"/>
        <w:numFmt w:val="lowerRoman"/>
        <w:lvlText w:val="%3."/>
        <w:lvlJc w:val="right"/>
        <w:pPr>
          <w:ind w:left="3048" w:hanging="180"/>
        </w:pPr>
      </w:lvl>
    </w:lvlOverride>
    <w:lvlOverride w:ilvl="3">
      <w:startOverride w:val="1"/>
      <w:lvl w:ilvl="3" w:tentative="1">
        <w:start w:val="1"/>
        <w:numFmt w:val="decimal"/>
        <w:lvlText w:val="%4."/>
        <w:lvlJc w:val="left"/>
        <w:pPr>
          <w:ind w:left="3768" w:hanging="360"/>
        </w:pPr>
      </w:lvl>
    </w:lvlOverride>
    <w:lvlOverride w:ilvl="4">
      <w:startOverride w:val="1"/>
      <w:lvl w:ilvl="4" w:tentative="1">
        <w:start w:val="1"/>
        <w:numFmt w:val="lowerLetter"/>
        <w:lvlText w:val="%5."/>
        <w:lvlJc w:val="left"/>
        <w:pPr>
          <w:ind w:left="4488" w:hanging="360"/>
        </w:pPr>
      </w:lvl>
    </w:lvlOverride>
    <w:lvlOverride w:ilvl="5">
      <w:startOverride w:val="1"/>
      <w:lvl w:ilvl="5" w:tentative="1">
        <w:start w:val="1"/>
        <w:numFmt w:val="lowerRoman"/>
        <w:lvlText w:val="%6."/>
        <w:lvlJc w:val="right"/>
        <w:pPr>
          <w:ind w:left="5208" w:hanging="180"/>
        </w:pPr>
      </w:lvl>
    </w:lvlOverride>
    <w:lvlOverride w:ilvl="6">
      <w:startOverride w:val="1"/>
      <w:lvl w:ilvl="6" w:tentative="1">
        <w:start w:val="1"/>
        <w:numFmt w:val="decimal"/>
        <w:lvlText w:val="%7."/>
        <w:lvlJc w:val="left"/>
        <w:pPr>
          <w:ind w:left="5928" w:hanging="360"/>
        </w:pPr>
      </w:lvl>
    </w:lvlOverride>
    <w:lvlOverride w:ilvl="7">
      <w:startOverride w:val="1"/>
      <w:lvl w:ilvl="7" w:tentative="1">
        <w:start w:val="1"/>
        <w:numFmt w:val="lowerLetter"/>
        <w:lvlText w:val="%8."/>
        <w:lvlJc w:val="left"/>
        <w:pPr>
          <w:ind w:left="6648" w:hanging="360"/>
        </w:pPr>
      </w:lvl>
    </w:lvlOverride>
    <w:lvlOverride w:ilvl="8">
      <w:startOverride w:val="1"/>
      <w:lvl w:ilvl="8" w:tentative="1">
        <w:start w:val="1"/>
        <w:numFmt w:val="lowerRoman"/>
        <w:lvlText w:val="%9."/>
        <w:lvlJc w:val="right"/>
        <w:pPr>
          <w:ind w:left="7368" w:hanging="180"/>
        </w:pPr>
      </w:lvl>
    </w:lvlOverride>
  </w:num>
  <w:num w:numId="38" w16cid:durableId="1425801817">
    <w:abstractNumId w:val="31"/>
  </w:num>
  <w:num w:numId="39" w16cid:durableId="1056666893">
    <w:abstractNumId w:val="28"/>
  </w:num>
  <w:num w:numId="40" w16cid:durableId="1072461147">
    <w:abstractNumId w:val="14"/>
  </w:num>
  <w:num w:numId="41" w16cid:durableId="415327244">
    <w:abstractNumId w:val="18"/>
  </w:num>
  <w:num w:numId="42" w16cid:durableId="1901138423">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ar-SA"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09"/>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E9B"/>
    <w:rsid w:val="0000607D"/>
    <w:rsid w:val="00014659"/>
    <w:rsid w:val="000149E6"/>
    <w:rsid w:val="00016AF3"/>
    <w:rsid w:val="00020889"/>
    <w:rsid w:val="000208C8"/>
    <w:rsid w:val="00020BFA"/>
    <w:rsid w:val="00021DD8"/>
    <w:rsid w:val="00024458"/>
    <w:rsid w:val="000247B0"/>
    <w:rsid w:val="00026955"/>
    <w:rsid w:val="00026997"/>
    <w:rsid w:val="0002752F"/>
    <w:rsid w:val="00030CEA"/>
    <w:rsid w:val="00033E0B"/>
    <w:rsid w:val="00035EDE"/>
    <w:rsid w:val="000509B4"/>
    <w:rsid w:val="00053FD6"/>
    <w:rsid w:val="00056B2C"/>
    <w:rsid w:val="00056D4F"/>
    <w:rsid w:val="0006035B"/>
    <w:rsid w:val="000608F1"/>
    <w:rsid w:val="0007166E"/>
    <w:rsid w:val="00071886"/>
    <w:rsid w:val="000742BC"/>
    <w:rsid w:val="00077AED"/>
    <w:rsid w:val="0008041D"/>
    <w:rsid w:val="00082A0C"/>
    <w:rsid w:val="00082DCD"/>
    <w:rsid w:val="00083504"/>
    <w:rsid w:val="00085E49"/>
    <w:rsid w:val="00086B99"/>
    <w:rsid w:val="0008710B"/>
    <w:rsid w:val="00087C24"/>
    <w:rsid w:val="0009640C"/>
    <w:rsid w:val="000A186E"/>
    <w:rsid w:val="000B21D5"/>
    <w:rsid w:val="000B22A2"/>
    <w:rsid w:val="000C2A52"/>
    <w:rsid w:val="000C2BCE"/>
    <w:rsid w:val="000C46A9"/>
    <w:rsid w:val="000D33C0"/>
    <w:rsid w:val="000D404F"/>
    <w:rsid w:val="000D4750"/>
    <w:rsid w:val="000D5884"/>
    <w:rsid w:val="000D6941"/>
    <w:rsid w:val="000D71B6"/>
    <w:rsid w:val="000E0405"/>
    <w:rsid w:val="000E2556"/>
    <w:rsid w:val="000E6E7E"/>
    <w:rsid w:val="000F12F5"/>
    <w:rsid w:val="000F5750"/>
    <w:rsid w:val="000F6CFF"/>
    <w:rsid w:val="000F706F"/>
    <w:rsid w:val="00101582"/>
    <w:rsid w:val="00115F73"/>
    <w:rsid w:val="00117297"/>
    <w:rsid w:val="001202E3"/>
    <w:rsid w:val="00123699"/>
    <w:rsid w:val="0013059D"/>
    <w:rsid w:val="001404BF"/>
    <w:rsid w:val="0014083A"/>
    <w:rsid w:val="00141A55"/>
    <w:rsid w:val="00141F2F"/>
    <w:rsid w:val="001446A3"/>
    <w:rsid w:val="00155395"/>
    <w:rsid w:val="00163ACC"/>
    <w:rsid w:val="00164A82"/>
    <w:rsid w:val="00172E6C"/>
    <w:rsid w:val="00173D27"/>
    <w:rsid w:val="00174739"/>
    <w:rsid w:val="00177144"/>
    <w:rsid w:val="001778A3"/>
    <w:rsid w:val="00180524"/>
    <w:rsid w:val="0018127C"/>
    <w:rsid w:val="00181EC8"/>
    <w:rsid w:val="00181FC0"/>
    <w:rsid w:val="001822B0"/>
    <w:rsid w:val="00184349"/>
    <w:rsid w:val="0019161E"/>
    <w:rsid w:val="00192785"/>
    <w:rsid w:val="00195F33"/>
    <w:rsid w:val="00197C63"/>
    <w:rsid w:val="001A430C"/>
    <w:rsid w:val="001A5EE1"/>
    <w:rsid w:val="001A7FF9"/>
    <w:rsid w:val="001B1617"/>
    <w:rsid w:val="001B3615"/>
    <w:rsid w:val="001B504B"/>
    <w:rsid w:val="001C29FC"/>
    <w:rsid w:val="001C423E"/>
    <w:rsid w:val="001C5199"/>
    <w:rsid w:val="001C547C"/>
    <w:rsid w:val="001D096A"/>
    <w:rsid w:val="001D3874"/>
    <w:rsid w:val="001D5344"/>
    <w:rsid w:val="001D57C2"/>
    <w:rsid w:val="001D6523"/>
    <w:rsid w:val="001D7E75"/>
    <w:rsid w:val="001E22D1"/>
    <w:rsid w:val="001E2851"/>
    <w:rsid w:val="001E3959"/>
    <w:rsid w:val="001E3A17"/>
    <w:rsid w:val="001E4BA8"/>
    <w:rsid w:val="001E506B"/>
    <w:rsid w:val="001E56D2"/>
    <w:rsid w:val="001E7D56"/>
    <w:rsid w:val="001F230D"/>
    <w:rsid w:val="001F75DE"/>
    <w:rsid w:val="001F77F2"/>
    <w:rsid w:val="00200D58"/>
    <w:rsid w:val="002013BE"/>
    <w:rsid w:val="0020598D"/>
    <w:rsid w:val="002063A4"/>
    <w:rsid w:val="00206F97"/>
    <w:rsid w:val="0021082E"/>
    <w:rsid w:val="0021145B"/>
    <w:rsid w:val="00212AA8"/>
    <w:rsid w:val="0021387E"/>
    <w:rsid w:val="00214277"/>
    <w:rsid w:val="00223388"/>
    <w:rsid w:val="0022762D"/>
    <w:rsid w:val="00232303"/>
    <w:rsid w:val="00234806"/>
    <w:rsid w:val="002378D6"/>
    <w:rsid w:val="00243D36"/>
    <w:rsid w:val="00244544"/>
    <w:rsid w:val="00247707"/>
    <w:rsid w:val="002526E2"/>
    <w:rsid w:val="002578FD"/>
    <w:rsid w:val="00263171"/>
    <w:rsid w:val="002657D0"/>
    <w:rsid w:val="00271834"/>
    <w:rsid w:val="00276AC8"/>
    <w:rsid w:val="002778FE"/>
    <w:rsid w:val="00277919"/>
    <w:rsid w:val="00286740"/>
    <w:rsid w:val="00287B42"/>
    <w:rsid w:val="00290BBC"/>
    <w:rsid w:val="002929D8"/>
    <w:rsid w:val="002935C2"/>
    <w:rsid w:val="002A1CBC"/>
    <w:rsid w:val="002A237D"/>
    <w:rsid w:val="002A4C53"/>
    <w:rsid w:val="002A5033"/>
    <w:rsid w:val="002B0672"/>
    <w:rsid w:val="002B1B4C"/>
    <w:rsid w:val="002B247F"/>
    <w:rsid w:val="002B507B"/>
    <w:rsid w:val="002C145D"/>
    <w:rsid w:val="002C2C3E"/>
    <w:rsid w:val="002C533E"/>
    <w:rsid w:val="002C5525"/>
    <w:rsid w:val="002C7B46"/>
    <w:rsid w:val="002D027F"/>
    <w:rsid w:val="002D7A85"/>
    <w:rsid w:val="002D7B60"/>
    <w:rsid w:val="002E19D4"/>
    <w:rsid w:val="002F0362"/>
    <w:rsid w:val="002F4761"/>
    <w:rsid w:val="002F5C79"/>
    <w:rsid w:val="003019E2"/>
    <w:rsid w:val="00313353"/>
    <w:rsid w:val="0031413F"/>
    <w:rsid w:val="003148BB"/>
    <w:rsid w:val="00317976"/>
    <w:rsid w:val="00317C09"/>
    <w:rsid w:val="00317D8D"/>
    <w:rsid w:val="00323885"/>
    <w:rsid w:val="0032767B"/>
    <w:rsid w:val="00330A4D"/>
    <w:rsid w:val="00331475"/>
    <w:rsid w:val="00345FCF"/>
    <w:rsid w:val="003468E1"/>
    <w:rsid w:val="00351A93"/>
    <w:rsid w:val="00351C99"/>
    <w:rsid w:val="003529A0"/>
    <w:rsid w:val="00354DE3"/>
    <w:rsid w:val="00355EA9"/>
    <w:rsid w:val="00356B4D"/>
    <w:rsid w:val="003578DE"/>
    <w:rsid w:val="00361B82"/>
    <w:rsid w:val="00365F6B"/>
    <w:rsid w:val="00370BF9"/>
    <w:rsid w:val="00371340"/>
    <w:rsid w:val="003759E2"/>
    <w:rsid w:val="0038229F"/>
    <w:rsid w:val="003834AD"/>
    <w:rsid w:val="00383E21"/>
    <w:rsid w:val="00386999"/>
    <w:rsid w:val="00390145"/>
    <w:rsid w:val="00394379"/>
    <w:rsid w:val="00395B17"/>
    <w:rsid w:val="00396257"/>
    <w:rsid w:val="00397EB8"/>
    <w:rsid w:val="003A07AB"/>
    <w:rsid w:val="003A086E"/>
    <w:rsid w:val="003A37B8"/>
    <w:rsid w:val="003A4FD0"/>
    <w:rsid w:val="003A69D1"/>
    <w:rsid w:val="003A7106"/>
    <w:rsid w:val="003A7705"/>
    <w:rsid w:val="003B1545"/>
    <w:rsid w:val="003C035E"/>
    <w:rsid w:val="003C3267"/>
    <w:rsid w:val="003C37E5"/>
    <w:rsid w:val="003C409D"/>
    <w:rsid w:val="003C5BA6"/>
    <w:rsid w:val="003D1420"/>
    <w:rsid w:val="003E219F"/>
    <w:rsid w:val="003E5AF5"/>
    <w:rsid w:val="003F0E85"/>
    <w:rsid w:val="003F36E0"/>
    <w:rsid w:val="00404CB5"/>
    <w:rsid w:val="00405251"/>
    <w:rsid w:val="00410C55"/>
    <w:rsid w:val="0041604D"/>
    <w:rsid w:val="00416854"/>
    <w:rsid w:val="00416FB0"/>
    <w:rsid w:val="00417725"/>
    <w:rsid w:val="0041779A"/>
    <w:rsid w:val="00417B99"/>
    <w:rsid w:val="004243EA"/>
    <w:rsid w:val="00432183"/>
    <w:rsid w:val="00437F26"/>
    <w:rsid w:val="00444097"/>
    <w:rsid w:val="00445487"/>
    <w:rsid w:val="00454769"/>
    <w:rsid w:val="00456D58"/>
    <w:rsid w:val="00464396"/>
    <w:rsid w:val="00466991"/>
    <w:rsid w:val="0047064C"/>
    <w:rsid w:val="00474D90"/>
    <w:rsid w:val="00477AFF"/>
    <w:rsid w:val="004800B8"/>
    <w:rsid w:val="00481C2F"/>
    <w:rsid w:val="00481F0B"/>
    <w:rsid w:val="00485633"/>
    <w:rsid w:val="00486F47"/>
    <w:rsid w:val="00487E4B"/>
    <w:rsid w:val="00493898"/>
    <w:rsid w:val="00494518"/>
    <w:rsid w:val="00495BFE"/>
    <w:rsid w:val="004A42E1"/>
    <w:rsid w:val="004A60C7"/>
    <w:rsid w:val="004B162C"/>
    <w:rsid w:val="004B262B"/>
    <w:rsid w:val="004B5E21"/>
    <w:rsid w:val="004B775F"/>
    <w:rsid w:val="004C1473"/>
    <w:rsid w:val="004C3DBE"/>
    <w:rsid w:val="004C5C96"/>
    <w:rsid w:val="004D06A4"/>
    <w:rsid w:val="004D3321"/>
    <w:rsid w:val="004D60EA"/>
    <w:rsid w:val="004D7437"/>
    <w:rsid w:val="004E28B8"/>
    <w:rsid w:val="004E59D4"/>
    <w:rsid w:val="004E6EA0"/>
    <w:rsid w:val="004E79AC"/>
    <w:rsid w:val="004F1A81"/>
    <w:rsid w:val="004F2BC4"/>
    <w:rsid w:val="00514FA5"/>
    <w:rsid w:val="005176F1"/>
    <w:rsid w:val="005218D9"/>
    <w:rsid w:val="00532E47"/>
    <w:rsid w:val="0053439B"/>
    <w:rsid w:val="005346F3"/>
    <w:rsid w:val="00536186"/>
    <w:rsid w:val="00536826"/>
    <w:rsid w:val="005430C9"/>
    <w:rsid w:val="00544CBB"/>
    <w:rsid w:val="00546EB6"/>
    <w:rsid w:val="005500AB"/>
    <w:rsid w:val="00550518"/>
    <w:rsid w:val="00552CD6"/>
    <w:rsid w:val="00565077"/>
    <w:rsid w:val="00570FF3"/>
    <w:rsid w:val="00571AF5"/>
    <w:rsid w:val="0057315F"/>
    <w:rsid w:val="00575DF1"/>
    <w:rsid w:val="00576104"/>
    <w:rsid w:val="005874BA"/>
    <w:rsid w:val="005878B7"/>
    <w:rsid w:val="005940BC"/>
    <w:rsid w:val="00594BA0"/>
    <w:rsid w:val="00594E94"/>
    <w:rsid w:val="005C67C8"/>
    <w:rsid w:val="005D0249"/>
    <w:rsid w:val="005D5A1D"/>
    <w:rsid w:val="005D6E8C"/>
    <w:rsid w:val="005E25DC"/>
    <w:rsid w:val="005E68BA"/>
    <w:rsid w:val="005E6C71"/>
    <w:rsid w:val="005F100C"/>
    <w:rsid w:val="005F68DA"/>
    <w:rsid w:val="005F75E6"/>
    <w:rsid w:val="006014DD"/>
    <w:rsid w:val="006033FC"/>
    <w:rsid w:val="0060773B"/>
    <w:rsid w:val="00607D94"/>
    <w:rsid w:val="006157B5"/>
    <w:rsid w:val="00625119"/>
    <w:rsid w:val="006258BA"/>
    <w:rsid w:val="00626FC6"/>
    <w:rsid w:val="006303B4"/>
    <w:rsid w:val="006312B6"/>
    <w:rsid w:val="00632FB1"/>
    <w:rsid w:val="00633CEB"/>
    <w:rsid w:val="00633D3D"/>
    <w:rsid w:val="00633F3A"/>
    <w:rsid w:val="00641703"/>
    <w:rsid w:val="006431A6"/>
    <w:rsid w:val="006459F6"/>
    <w:rsid w:val="00646A7F"/>
    <w:rsid w:val="006501AD"/>
    <w:rsid w:val="00651BFA"/>
    <w:rsid w:val="006533B3"/>
    <w:rsid w:val="00656F33"/>
    <w:rsid w:val="00663A80"/>
    <w:rsid w:val="00665A4B"/>
    <w:rsid w:val="006731FE"/>
    <w:rsid w:val="0067337F"/>
    <w:rsid w:val="00692E2A"/>
    <w:rsid w:val="00694D2E"/>
    <w:rsid w:val="006A76F2"/>
    <w:rsid w:val="006B2069"/>
    <w:rsid w:val="006C3DDA"/>
    <w:rsid w:val="006C421C"/>
    <w:rsid w:val="006D3277"/>
    <w:rsid w:val="006D7EFB"/>
    <w:rsid w:val="006E5708"/>
    <w:rsid w:val="006E64C0"/>
    <w:rsid w:val="006E6672"/>
    <w:rsid w:val="006E6722"/>
    <w:rsid w:val="006E702D"/>
    <w:rsid w:val="006E70FC"/>
    <w:rsid w:val="006F10F1"/>
    <w:rsid w:val="007027B9"/>
    <w:rsid w:val="007104E2"/>
    <w:rsid w:val="00713586"/>
    <w:rsid w:val="00713D8F"/>
    <w:rsid w:val="007141F7"/>
    <w:rsid w:val="00715E88"/>
    <w:rsid w:val="0072508B"/>
    <w:rsid w:val="007259BB"/>
    <w:rsid w:val="00731395"/>
    <w:rsid w:val="00732257"/>
    <w:rsid w:val="00734338"/>
    <w:rsid w:val="00734CAA"/>
    <w:rsid w:val="00736583"/>
    <w:rsid w:val="00741ACF"/>
    <w:rsid w:val="00744426"/>
    <w:rsid w:val="00746EA0"/>
    <w:rsid w:val="0075473A"/>
    <w:rsid w:val="00755106"/>
    <w:rsid w:val="0075533C"/>
    <w:rsid w:val="00757581"/>
    <w:rsid w:val="007611A0"/>
    <w:rsid w:val="007658A0"/>
    <w:rsid w:val="007701B1"/>
    <w:rsid w:val="00771992"/>
    <w:rsid w:val="007758E0"/>
    <w:rsid w:val="00776A43"/>
    <w:rsid w:val="00781A5C"/>
    <w:rsid w:val="00783907"/>
    <w:rsid w:val="00784420"/>
    <w:rsid w:val="007905E7"/>
    <w:rsid w:val="00795BB1"/>
    <w:rsid w:val="00796D3F"/>
    <w:rsid w:val="007A1683"/>
    <w:rsid w:val="007A36F8"/>
    <w:rsid w:val="007A5C12"/>
    <w:rsid w:val="007A62DE"/>
    <w:rsid w:val="007A7CB0"/>
    <w:rsid w:val="007B1C53"/>
    <w:rsid w:val="007B256A"/>
    <w:rsid w:val="007B68A3"/>
    <w:rsid w:val="007C18C3"/>
    <w:rsid w:val="007C2541"/>
    <w:rsid w:val="007C5FEC"/>
    <w:rsid w:val="007D66A8"/>
    <w:rsid w:val="007D773D"/>
    <w:rsid w:val="007E003F"/>
    <w:rsid w:val="0080070D"/>
    <w:rsid w:val="00802E72"/>
    <w:rsid w:val="00805F1D"/>
    <w:rsid w:val="00806A79"/>
    <w:rsid w:val="00810008"/>
    <w:rsid w:val="008116AC"/>
    <w:rsid w:val="008164F2"/>
    <w:rsid w:val="00821395"/>
    <w:rsid w:val="00830E26"/>
    <w:rsid w:val="00837245"/>
    <w:rsid w:val="00843576"/>
    <w:rsid w:val="00843B64"/>
    <w:rsid w:val="00843E48"/>
    <w:rsid w:val="008470BD"/>
    <w:rsid w:val="008478FC"/>
    <w:rsid w:val="00863F36"/>
    <w:rsid w:val="0086634C"/>
    <w:rsid w:val="00867BFF"/>
    <w:rsid w:val="0088480A"/>
    <w:rsid w:val="0088757A"/>
    <w:rsid w:val="008934B1"/>
    <w:rsid w:val="008957DD"/>
    <w:rsid w:val="00897D98"/>
    <w:rsid w:val="008A26B4"/>
    <w:rsid w:val="008A3AB9"/>
    <w:rsid w:val="008A6DF2"/>
    <w:rsid w:val="008A7807"/>
    <w:rsid w:val="008B0D6B"/>
    <w:rsid w:val="008B3832"/>
    <w:rsid w:val="008B43AD"/>
    <w:rsid w:val="008B4CC9"/>
    <w:rsid w:val="008C13F0"/>
    <w:rsid w:val="008C1B8B"/>
    <w:rsid w:val="008C39C2"/>
    <w:rsid w:val="008D21DB"/>
    <w:rsid w:val="008D3AE0"/>
    <w:rsid w:val="008D7C99"/>
    <w:rsid w:val="008E0122"/>
    <w:rsid w:val="008E0FCB"/>
    <w:rsid w:val="008E58A0"/>
    <w:rsid w:val="008F073D"/>
    <w:rsid w:val="008F0FDE"/>
    <w:rsid w:val="008F253B"/>
    <w:rsid w:val="00901457"/>
    <w:rsid w:val="009022BE"/>
    <w:rsid w:val="00902346"/>
    <w:rsid w:val="00907D78"/>
    <w:rsid w:val="00911F4D"/>
    <w:rsid w:val="009165E0"/>
    <w:rsid w:val="0092178C"/>
    <w:rsid w:val="0092404B"/>
    <w:rsid w:val="0092493F"/>
    <w:rsid w:val="00930B88"/>
    <w:rsid w:val="009341E8"/>
    <w:rsid w:val="00936238"/>
    <w:rsid w:val="009378DC"/>
    <w:rsid w:val="00940DCC"/>
    <w:rsid w:val="0094179A"/>
    <w:rsid w:val="0094459E"/>
    <w:rsid w:val="00944DBC"/>
    <w:rsid w:val="00950977"/>
    <w:rsid w:val="00951A7B"/>
    <w:rsid w:val="009564A6"/>
    <w:rsid w:val="00956836"/>
    <w:rsid w:val="00961A33"/>
    <w:rsid w:val="009628B9"/>
    <w:rsid w:val="00967621"/>
    <w:rsid w:val="00967E6A"/>
    <w:rsid w:val="0097394D"/>
    <w:rsid w:val="00980797"/>
    <w:rsid w:val="00982E55"/>
    <w:rsid w:val="00984A76"/>
    <w:rsid w:val="009935AC"/>
    <w:rsid w:val="009955C9"/>
    <w:rsid w:val="00997C49"/>
    <w:rsid w:val="009A39C8"/>
    <w:rsid w:val="009A3E26"/>
    <w:rsid w:val="009A6054"/>
    <w:rsid w:val="009B01ED"/>
    <w:rsid w:val="009B451C"/>
    <w:rsid w:val="009B4A0F"/>
    <w:rsid w:val="009C0FEC"/>
    <w:rsid w:val="009C11D2"/>
    <w:rsid w:val="009C3994"/>
    <w:rsid w:val="009C4E83"/>
    <w:rsid w:val="009C6C70"/>
    <w:rsid w:val="009D0922"/>
    <w:rsid w:val="009D0B63"/>
    <w:rsid w:val="009D0EE8"/>
    <w:rsid w:val="009D4A7E"/>
    <w:rsid w:val="009E1A50"/>
    <w:rsid w:val="009E21EC"/>
    <w:rsid w:val="009E307E"/>
    <w:rsid w:val="009E456D"/>
    <w:rsid w:val="009E47E3"/>
    <w:rsid w:val="009E71F4"/>
    <w:rsid w:val="009E7EF6"/>
    <w:rsid w:val="00A0167C"/>
    <w:rsid w:val="00A03A4A"/>
    <w:rsid w:val="00A07870"/>
    <w:rsid w:val="00A07F19"/>
    <w:rsid w:val="00A10A25"/>
    <w:rsid w:val="00A1348D"/>
    <w:rsid w:val="00A138D7"/>
    <w:rsid w:val="00A142D1"/>
    <w:rsid w:val="00A1489E"/>
    <w:rsid w:val="00A232EE"/>
    <w:rsid w:val="00A40420"/>
    <w:rsid w:val="00A4175F"/>
    <w:rsid w:val="00A44411"/>
    <w:rsid w:val="00A469FA"/>
    <w:rsid w:val="00A50247"/>
    <w:rsid w:val="00A50E94"/>
    <w:rsid w:val="00A50F50"/>
    <w:rsid w:val="00A55B01"/>
    <w:rsid w:val="00A56B5B"/>
    <w:rsid w:val="00A603FF"/>
    <w:rsid w:val="00A657DD"/>
    <w:rsid w:val="00A666A6"/>
    <w:rsid w:val="00A675FD"/>
    <w:rsid w:val="00A67D8C"/>
    <w:rsid w:val="00A72437"/>
    <w:rsid w:val="00A7415C"/>
    <w:rsid w:val="00A7703A"/>
    <w:rsid w:val="00A80611"/>
    <w:rsid w:val="00A81E03"/>
    <w:rsid w:val="00A84B15"/>
    <w:rsid w:val="00A87016"/>
    <w:rsid w:val="00A91AD5"/>
    <w:rsid w:val="00A97EBE"/>
    <w:rsid w:val="00AA51B7"/>
    <w:rsid w:val="00AA5804"/>
    <w:rsid w:val="00AB1F69"/>
    <w:rsid w:val="00AB5340"/>
    <w:rsid w:val="00AC010E"/>
    <w:rsid w:val="00AC01CC"/>
    <w:rsid w:val="00AC16B8"/>
    <w:rsid w:val="00AC2BFD"/>
    <w:rsid w:val="00AC7C96"/>
    <w:rsid w:val="00AC7CBC"/>
    <w:rsid w:val="00AE02DC"/>
    <w:rsid w:val="00AE237D"/>
    <w:rsid w:val="00AE2A3D"/>
    <w:rsid w:val="00AE502A"/>
    <w:rsid w:val="00AF0DF7"/>
    <w:rsid w:val="00AF7C07"/>
    <w:rsid w:val="00B029F1"/>
    <w:rsid w:val="00B07927"/>
    <w:rsid w:val="00B17AC6"/>
    <w:rsid w:val="00B213AD"/>
    <w:rsid w:val="00B22C93"/>
    <w:rsid w:val="00B25EA0"/>
    <w:rsid w:val="00B27589"/>
    <w:rsid w:val="00B33026"/>
    <w:rsid w:val="00B37EF9"/>
    <w:rsid w:val="00B40089"/>
    <w:rsid w:val="00B405B7"/>
    <w:rsid w:val="00B457E9"/>
    <w:rsid w:val="00B45E6D"/>
    <w:rsid w:val="00B52222"/>
    <w:rsid w:val="00B523A2"/>
    <w:rsid w:val="00B527FC"/>
    <w:rsid w:val="00B54FE7"/>
    <w:rsid w:val="00B57C47"/>
    <w:rsid w:val="00B61BE6"/>
    <w:rsid w:val="00B621CA"/>
    <w:rsid w:val="00B627B3"/>
    <w:rsid w:val="00B655B5"/>
    <w:rsid w:val="00B66901"/>
    <w:rsid w:val="00B71E6D"/>
    <w:rsid w:val="00B72070"/>
    <w:rsid w:val="00B779E1"/>
    <w:rsid w:val="00B83DCB"/>
    <w:rsid w:val="00B859A3"/>
    <w:rsid w:val="00B86C68"/>
    <w:rsid w:val="00B8742A"/>
    <w:rsid w:val="00B91EE1"/>
    <w:rsid w:val="00B92AB9"/>
    <w:rsid w:val="00BA0090"/>
    <w:rsid w:val="00BA1A67"/>
    <w:rsid w:val="00BA5C70"/>
    <w:rsid w:val="00BA7077"/>
    <w:rsid w:val="00BA788F"/>
    <w:rsid w:val="00BB04F7"/>
    <w:rsid w:val="00BB4904"/>
    <w:rsid w:val="00BB49DE"/>
    <w:rsid w:val="00BC07FE"/>
    <w:rsid w:val="00BD0163"/>
    <w:rsid w:val="00BD159E"/>
    <w:rsid w:val="00BD28CF"/>
    <w:rsid w:val="00BD47D5"/>
    <w:rsid w:val="00BE5B5F"/>
    <w:rsid w:val="00BF743B"/>
    <w:rsid w:val="00C01D36"/>
    <w:rsid w:val="00C06131"/>
    <w:rsid w:val="00C13D12"/>
    <w:rsid w:val="00C23FAC"/>
    <w:rsid w:val="00C26F55"/>
    <w:rsid w:val="00C30C63"/>
    <w:rsid w:val="00C321AD"/>
    <w:rsid w:val="00C32B37"/>
    <w:rsid w:val="00C36B8B"/>
    <w:rsid w:val="00C47DBF"/>
    <w:rsid w:val="00C53666"/>
    <w:rsid w:val="00C552FF"/>
    <w:rsid w:val="00C558DA"/>
    <w:rsid w:val="00C55AF3"/>
    <w:rsid w:val="00C60713"/>
    <w:rsid w:val="00C60963"/>
    <w:rsid w:val="00C70B49"/>
    <w:rsid w:val="00C75C7C"/>
    <w:rsid w:val="00C80F58"/>
    <w:rsid w:val="00C81951"/>
    <w:rsid w:val="00C83A8F"/>
    <w:rsid w:val="00C84759"/>
    <w:rsid w:val="00C97578"/>
    <w:rsid w:val="00CA09FC"/>
    <w:rsid w:val="00CA1B8B"/>
    <w:rsid w:val="00CA3864"/>
    <w:rsid w:val="00CA6C7F"/>
    <w:rsid w:val="00CA7419"/>
    <w:rsid w:val="00CA78AF"/>
    <w:rsid w:val="00CA7ED6"/>
    <w:rsid w:val="00CB6653"/>
    <w:rsid w:val="00CB6F8C"/>
    <w:rsid w:val="00CC0260"/>
    <w:rsid w:val="00CC10A6"/>
    <w:rsid w:val="00CC270A"/>
    <w:rsid w:val="00CC2E74"/>
    <w:rsid w:val="00CD2EFE"/>
    <w:rsid w:val="00CD5EB8"/>
    <w:rsid w:val="00CD6AC7"/>
    <w:rsid w:val="00CD7044"/>
    <w:rsid w:val="00CE08B9"/>
    <w:rsid w:val="00CE51CA"/>
    <w:rsid w:val="00CE524C"/>
    <w:rsid w:val="00CF141F"/>
    <w:rsid w:val="00CF1E9B"/>
    <w:rsid w:val="00CF1ECF"/>
    <w:rsid w:val="00CF23B4"/>
    <w:rsid w:val="00CF4777"/>
    <w:rsid w:val="00CF5AF8"/>
    <w:rsid w:val="00D067BB"/>
    <w:rsid w:val="00D06E12"/>
    <w:rsid w:val="00D070CC"/>
    <w:rsid w:val="00D11333"/>
    <w:rsid w:val="00D1352A"/>
    <w:rsid w:val="00D13EDE"/>
    <w:rsid w:val="00D169AF"/>
    <w:rsid w:val="00D23C82"/>
    <w:rsid w:val="00D24FA9"/>
    <w:rsid w:val="00D25249"/>
    <w:rsid w:val="00D255A7"/>
    <w:rsid w:val="00D404F7"/>
    <w:rsid w:val="00D4193E"/>
    <w:rsid w:val="00D44172"/>
    <w:rsid w:val="00D44330"/>
    <w:rsid w:val="00D526D8"/>
    <w:rsid w:val="00D5799F"/>
    <w:rsid w:val="00D57ECC"/>
    <w:rsid w:val="00D60E1A"/>
    <w:rsid w:val="00D63B8C"/>
    <w:rsid w:val="00D712FD"/>
    <w:rsid w:val="00D72CB6"/>
    <w:rsid w:val="00D739CC"/>
    <w:rsid w:val="00D8093D"/>
    <w:rsid w:val="00D8108C"/>
    <w:rsid w:val="00D842AE"/>
    <w:rsid w:val="00D867B8"/>
    <w:rsid w:val="00D9211C"/>
    <w:rsid w:val="00D92DE0"/>
    <w:rsid w:val="00D92FEF"/>
    <w:rsid w:val="00D93A0F"/>
    <w:rsid w:val="00DA1BCA"/>
    <w:rsid w:val="00DA3FFA"/>
    <w:rsid w:val="00DA5464"/>
    <w:rsid w:val="00DA6DBB"/>
    <w:rsid w:val="00DA7299"/>
    <w:rsid w:val="00DB36B7"/>
    <w:rsid w:val="00DB3E23"/>
    <w:rsid w:val="00DB57D1"/>
    <w:rsid w:val="00DC46FF"/>
    <w:rsid w:val="00DC5254"/>
    <w:rsid w:val="00DD1A4F"/>
    <w:rsid w:val="00DD3107"/>
    <w:rsid w:val="00DD5EFF"/>
    <w:rsid w:val="00DD7C2C"/>
    <w:rsid w:val="00DE6E55"/>
    <w:rsid w:val="00DF0A46"/>
    <w:rsid w:val="00DF5660"/>
    <w:rsid w:val="00E0574F"/>
    <w:rsid w:val="00E06797"/>
    <w:rsid w:val="00E07F02"/>
    <w:rsid w:val="00E122BC"/>
    <w:rsid w:val="00E1265B"/>
    <w:rsid w:val="00E12854"/>
    <w:rsid w:val="00E13B48"/>
    <w:rsid w:val="00E1404F"/>
    <w:rsid w:val="00E1447C"/>
    <w:rsid w:val="00E17436"/>
    <w:rsid w:val="00E212EF"/>
    <w:rsid w:val="00E21C83"/>
    <w:rsid w:val="00E24ADA"/>
    <w:rsid w:val="00E256F6"/>
    <w:rsid w:val="00E26631"/>
    <w:rsid w:val="00E32F59"/>
    <w:rsid w:val="00E36ABB"/>
    <w:rsid w:val="00E37F15"/>
    <w:rsid w:val="00E41170"/>
    <w:rsid w:val="00E440CD"/>
    <w:rsid w:val="00E46D9A"/>
    <w:rsid w:val="00E509D1"/>
    <w:rsid w:val="00E53656"/>
    <w:rsid w:val="00E55D70"/>
    <w:rsid w:val="00E565FF"/>
    <w:rsid w:val="00E5680C"/>
    <w:rsid w:val="00E600D6"/>
    <w:rsid w:val="00E63C75"/>
    <w:rsid w:val="00E65388"/>
    <w:rsid w:val="00E67833"/>
    <w:rsid w:val="00E74500"/>
    <w:rsid w:val="00E74ACB"/>
    <w:rsid w:val="00E85B7D"/>
    <w:rsid w:val="00E879BF"/>
    <w:rsid w:val="00E9121B"/>
    <w:rsid w:val="00E94B48"/>
    <w:rsid w:val="00E96614"/>
    <w:rsid w:val="00EA0AE2"/>
    <w:rsid w:val="00EA292F"/>
    <w:rsid w:val="00EA39E5"/>
    <w:rsid w:val="00EB301F"/>
    <w:rsid w:val="00EB3106"/>
    <w:rsid w:val="00EB5F26"/>
    <w:rsid w:val="00EC01B5"/>
    <w:rsid w:val="00EC0951"/>
    <w:rsid w:val="00EC5A46"/>
    <w:rsid w:val="00EC63E2"/>
    <w:rsid w:val="00ED0087"/>
    <w:rsid w:val="00ED1F3E"/>
    <w:rsid w:val="00ED60C0"/>
    <w:rsid w:val="00EE1BA8"/>
    <w:rsid w:val="00EE1E98"/>
    <w:rsid w:val="00EE397B"/>
    <w:rsid w:val="00EE4483"/>
    <w:rsid w:val="00EE5261"/>
    <w:rsid w:val="00EF22B3"/>
    <w:rsid w:val="00EF469A"/>
    <w:rsid w:val="00EF5971"/>
    <w:rsid w:val="00F03B69"/>
    <w:rsid w:val="00F07A50"/>
    <w:rsid w:val="00F113DA"/>
    <w:rsid w:val="00F166C6"/>
    <w:rsid w:val="00F22EB9"/>
    <w:rsid w:val="00F23184"/>
    <w:rsid w:val="00F25F15"/>
    <w:rsid w:val="00F319FC"/>
    <w:rsid w:val="00F352F1"/>
    <w:rsid w:val="00F37DC8"/>
    <w:rsid w:val="00F412D6"/>
    <w:rsid w:val="00F439B3"/>
    <w:rsid w:val="00F44352"/>
    <w:rsid w:val="00F45189"/>
    <w:rsid w:val="00F45AA8"/>
    <w:rsid w:val="00F47D40"/>
    <w:rsid w:val="00F502DD"/>
    <w:rsid w:val="00F50ED7"/>
    <w:rsid w:val="00F511D5"/>
    <w:rsid w:val="00F52A1B"/>
    <w:rsid w:val="00F63082"/>
    <w:rsid w:val="00F638FC"/>
    <w:rsid w:val="00F650C3"/>
    <w:rsid w:val="00F65D85"/>
    <w:rsid w:val="00F7203C"/>
    <w:rsid w:val="00F75453"/>
    <w:rsid w:val="00F75BAB"/>
    <w:rsid w:val="00F8091E"/>
    <w:rsid w:val="00F80AF3"/>
    <w:rsid w:val="00F8615C"/>
    <w:rsid w:val="00F90E85"/>
    <w:rsid w:val="00F969E5"/>
    <w:rsid w:val="00F97AEE"/>
    <w:rsid w:val="00F97E54"/>
    <w:rsid w:val="00FA00C9"/>
    <w:rsid w:val="00FA161D"/>
    <w:rsid w:val="00FA1C95"/>
    <w:rsid w:val="00FA6BB0"/>
    <w:rsid w:val="00FA7CFF"/>
    <w:rsid w:val="00FB1DFB"/>
    <w:rsid w:val="00FB1E35"/>
    <w:rsid w:val="00FC5116"/>
    <w:rsid w:val="00FD2D77"/>
    <w:rsid w:val="00FD5520"/>
    <w:rsid w:val="00FD5860"/>
    <w:rsid w:val="00FE352D"/>
    <w:rsid w:val="00FE40EB"/>
    <w:rsid w:val="00FE45F5"/>
    <w:rsid w:val="00FE4D02"/>
    <w:rsid w:val="00FE51C9"/>
    <w:rsid w:val="00FE698E"/>
    <w:rsid w:val="00FE7B2F"/>
    <w:rsid w:val="00FE7D62"/>
    <w:rsid w:val="00FF381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64427"/>
  <w15:chartTrackingRefBased/>
  <w15:docId w15:val="{EB5B5D7B-8410-471A-9854-DF07B6D23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6E5708"/>
    <w:pPr>
      <w:tabs>
        <w:tab w:val="left" w:pos="1247"/>
        <w:tab w:val="left" w:pos="1814"/>
        <w:tab w:val="left" w:pos="2381"/>
        <w:tab w:val="left" w:pos="2948"/>
        <w:tab w:val="left" w:pos="3515"/>
      </w:tabs>
    </w:pPr>
    <w:rPr>
      <w:rFonts w:cs="Simplified Arabic" w:hint="cs"/>
      <w:szCs w:val="30"/>
    </w:rPr>
  </w:style>
  <w:style w:type="paragraph" w:styleId="Heading1">
    <w:name w:val="heading 1"/>
    <w:basedOn w:val="CH1"/>
    <w:next w:val="Normalnumber"/>
    <w:link w:val="Heading1Char"/>
    <w:qFormat/>
    <w:rsid w:val="00117297"/>
    <w:pPr>
      <w:numPr>
        <w:numId w:val="2"/>
      </w:numPr>
      <w:tabs>
        <w:tab w:val="clear" w:pos="851"/>
        <w:tab w:val="clear" w:pos="1247"/>
        <w:tab w:val="clear" w:pos="4990"/>
      </w:tabs>
      <w:ind w:left="1248" w:right="624" w:hanging="397"/>
      <w:outlineLvl w:val="0"/>
    </w:pPr>
    <w:rPr>
      <w:rFonts w:cs="Simplified Arabic" w:hint="cs"/>
      <w:szCs w:val="25"/>
    </w:rPr>
  </w:style>
  <w:style w:type="paragraph" w:styleId="Heading2">
    <w:name w:val="heading 2"/>
    <w:aliases w:val="Chpt"/>
    <w:basedOn w:val="CH2"/>
    <w:next w:val="Normalnumber"/>
    <w:link w:val="Heading2Char"/>
    <w:qFormat/>
    <w:rsid w:val="00117297"/>
    <w:pPr>
      <w:numPr>
        <w:numId w:val="3"/>
      </w:numPr>
      <w:tabs>
        <w:tab w:val="clear" w:pos="851"/>
        <w:tab w:val="clear" w:pos="1247"/>
        <w:tab w:val="clear" w:pos="4990"/>
      </w:tabs>
      <w:outlineLvl w:val="1"/>
    </w:pPr>
    <w:rPr>
      <w:rFonts w:cs="Simplified Arabic" w:hint="cs"/>
      <w:szCs w:val="25"/>
    </w:rPr>
  </w:style>
  <w:style w:type="paragraph" w:styleId="Heading3">
    <w:name w:val="heading 3"/>
    <w:basedOn w:val="CH3"/>
    <w:next w:val="Normalnumber"/>
    <w:link w:val="Heading3Char"/>
    <w:qFormat/>
    <w:rsid w:val="00117297"/>
    <w:pPr>
      <w:numPr>
        <w:numId w:val="4"/>
      </w:numPr>
      <w:tabs>
        <w:tab w:val="clear" w:pos="851"/>
        <w:tab w:val="clear" w:pos="1247"/>
        <w:tab w:val="clear" w:pos="4990"/>
      </w:tabs>
      <w:outlineLvl w:val="2"/>
    </w:pPr>
    <w:rPr>
      <w:rFonts w:cs="Simplified Arabic" w:hint="cs"/>
      <w:szCs w:val="25"/>
    </w:rPr>
  </w:style>
  <w:style w:type="paragraph" w:styleId="Heading4">
    <w:name w:val="heading 4"/>
    <w:basedOn w:val="Normal"/>
    <w:next w:val="Normalnumber"/>
    <w:link w:val="Heading4Char"/>
    <w:qFormat/>
    <w:rsid w:val="00117297"/>
    <w:pPr>
      <w:keepNext/>
      <w:keepLines/>
      <w:numPr>
        <w:ilvl w:val="3"/>
        <w:numId w:val="2"/>
      </w:numPr>
      <w:tabs>
        <w:tab w:val="clear" w:pos="1247"/>
      </w:tabs>
      <w:suppressAutoHyphens/>
      <w:spacing w:before="120"/>
      <w:ind w:left="1248" w:right="624" w:hanging="397"/>
      <w:outlineLvl w:val="3"/>
    </w:pPr>
    <w:rPr>
      <w:b/>
      <w:szCs w:val="25"/>
    </w:rPr>
  </w:style>
  <w:style w:type="paragraph" w:styleId="Heading5">
    <w:name w:val="heading 5"/>
    <w:basedOn w:val="CH5"/>
    <w:next w:val="Normalnumber"/>
    <w:link w:val="Heading5Char"/>
    <w:qFormat/>
    <w:rsid w:val="00117297"/>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qFormat/>
    <w:rsid w:val="00117297"/>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qFormat/>
    <w:rsid w:val="00117297"/>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qFormat/>
    <w:rsid w:val="00117297"/>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qFormat/>
    <w:rsid w:val="00117297"/>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117297"/>
    <w:rPr>
      <w:rFonts w:ascii="Times New Roman" w:hAnsi="Times New Roman"/>
      <w:b/>
      <w:sz w:val="18"/>
    </w:rPr>
  </w:style>
  <w:style w:type="table" w:customStyle="1" w:styleId="Tabledocright">
    <w:name w:val="Table_doc_right"/>
    <w:basedOn w:val="TableNormal"/>
    <w:rsid w:val="00117297"/>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117297"/>
    <w:pPr>
      <w:ind w:left="1000"/>
    </w:pPr>
    <w:rPr>
      <w:sz w:val="18"/>
      <w:szCs w:val="18"/>
    </w:rPr>
  </w:style>
  <w:style w:type="paragraph" w:styleId="TOC7">
    <w:name w:val="toc 7"/>
    <w:basedOn w:val="Normal"/>
    <w:next w:val="Normal"/>
    <w:autoRedefine/>
    <w:semiHidden/>
    <w:rsid w:val="00117297"/>
    <w:pPr>
      <w:ind w:left="1200"/>
    </w:pPr>
    <w:rPr>
      <w:sz w:val="18"/>
      <w:szCs w:val="18"/>
    </w:rPr>
  </w:style>
  <w:style w:type="paragraph" w:styleId="TOC8">
    <w:name w:val="toc 8"/>
    <w:basedOn w:val="Normal"/>
    <w:next w:val="Normal"/>
    <w:autoRedefine/>
    <w:semiHidden/>
    <w:rsid w:val="00117297"/>
    <w:pPr>
      <w:ind w:left="1400"/>
    </w:pPr>
    <w:rPr>
      <w:sz w:val="18"/>
      <w:szCs w:val="18"/>
    </w:rPr>
  </w:style>
  <w:style w:type="paragraph" w:styleId="TOC9">
    <w:name w:val="toc 9"/>
    <w:basedOn w:val="Normal"/>
    <w:next w:val="Normal"/>
    <w:autoRedefine/>
    <w:semiHidden/>
    <w:rsid w:val="00117297"/>
    <w:pPr>
      <w:ind w:left="1600"/>
    </w:pPr>
    <w:rPr>
      <w:sz w:val="18"/>
      <w:szCs w:val="18"/>
    </w:rPr>
  </w:style>
  <w:style w:type="paragraph" w:customStyle="1" w:styleId="Titlefigure">
    <w:name w:val="Title_figure"/>
    <w:basedOn w:val="Titletable"/>
    <w:next w:val="NormalNonumber"/>
    <w:rsid w:val="00117297"/>
    <w:pPr>
      <w:tabs>
        <w:tab w:val="clear" w:pos="4990"/>
      </w:tabs>
    </w:pPr>
    <w:rPr>
      <w:bCs w:val="0"/>
    </w:rPr>
  </w:style>
  <w:style w:type="paragraph" w:styleId="TableofFigures">
    <w:name w:val="table of figures"/>
    <w:basedOn w:val="Normal"/>
    <w:next w:val="Normal"/>
    <w:autoRedefine/>
    <w:semiHidden/>
    <w:rsid w:val="00117297"/>
    <w:pPr>
      <w:ind w:left="1814" w:hanging="567"/>
    </w:pPr>
  </w:style>
  <w:style w:type="paragraph" w:customStyle="1" w:styleId="CH1">
    <w:name w:val="CH1"/>
    <w:basedOn w:val="Normal-pool"/>
    <w:next w:val="CH2"/>
    <w:link w:val="CH1Char"/>
    <w:qFormat/>
    <w:rsid w:val="00117297"/>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117297"/>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link w:val="CH3Char"/>
    <w:qFormat/>
    <w:rsid w:val="00117297"/>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117297"/>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117297"/>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117297"/>
    <w:pPr>
      <w:tabs>
        <w:tab w:val="left" w:pos="4321"/>
        <w:tab w:val="right" w:pos="8641"/>
      </w:tabs>
      <w:spacing w:before="60"/>
    </w:pPr>
    <w:rPr>
      <w:b/>
      <w:sz w:val="18"/>
    </w:rPr>
  </w:style>
  <w:style w:type="paragraph" w:customStyle="1" w:styleId="Footer-pool">
    <w:name w:val="Footer-pool"/>
    <w:basedOn w:val="Normal-pool"/>
    <w:next w:val="Normal-pool"/>
    <w:rsid w:val="00117297"/>
    <w:pPr>
      <w:tabs>
        <w:tab w:val="right" w:pos="8641"/>
      </w:tabs>
      <w:spacing w:after="120"/>
    </w:pPr>
    <w:rPr>
      <w:b/>
      <w:sz w:val="18"/>
    </w:rPr>
  </w:style>
  <w:style w:type="paragraph" w:customStyle="1" w:styleId="Header-pool">
    <w:name w:val="Header-pool"/>
    <w:basedOn w:val="Normal"/>
    <w:next w:val="Normal"/>
    <w:rsid w:val="00117297"/>
    <w:pPr>
      <w:pBdr>
        <w:bottom w:val="single" w:sz="4" w:space="1" w:color="auto"/>
      </w:pBdr>
      <w:tabs>
        <w:tab w:val="right" w:pos="9072"/>
      </w:tabs>
    </w:pPr>
    <w:rPr>
      <w:b/>
      <w:sz w:val="18"/>
    </w:rPr>
  </w:style>
  <w:style w:type="character" w:styleId="FootnoteReference">
    <w:name w:val="footnote reference"/>
    <w:aliases w:val="Footnote text,16 Point,Superscript 6 Point,Footnote Text1,Footnote Text2,ftref,(Ref. de nota al pie),number,SUPERS,Footnote Reference Superscript,Footnote reference number,Footnote symbol,note TESI,-E Fußnotenzeichen,stylish,fr,Ref"/>
    <w:link w:val="CharCharCharCharCarChar"/>
    <w:unhideWhenUsed/>
    <w:qFormat/>
    <w:rsid w:val="00117297"/>
    <w:rPr>
      <w:rFonts w:ascii="Times New Roman" w:hAnsi="Times New Roman"/>
      <w:color w:val="auto"/>
      <w:sz w:val="20"/>
      <w:szCs w:val="18"/>
      <w:vertAlign w:val="superscript"/>
    </w:rPr>
  </w:style>
  <w:style w:type="table" w:customStyle="1" w:styleId="AATable">
    <w:name w:val="AA_Table"/>
    <w:basedOn w:val="TableNormal"/>
    <w:semiHidden/>
    <w:rsid w:val="00117297"/>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117297"/>
    <w:pPr>
      <w:keepNext/>
      <w:keepLines/>
      <w:suppressAutoHyphens/>
    </w:pPr>
    <w:rPr>
      <w:b/>
    </w:rPr>
  </w:style>
  <w:style w:type="paragraph" w:customStyle="1" w:styleId="AATitle2">
    <w:name w:val="AA_Title2"/>
    <w:basedOn w:val="AATitle"/>
    <w:rsid w:val="00117297"/>
    <w:pPr>
      <w:keepNext w:val="0"/>
      <w:keepLines w:val="0"/>
      <w:tabs>
        <w:tab w:val="clear" w:pos="4990"/>
      </w:tabs>
      <w:spacing w:before="120" w:after="120"/>
    </w:pPr>
  </w:style>
  <w:style w:type="paragraph" w:customStyle="1" w:styleId="BBTitle">
    <w:name w:val="BB_Title"/>
    <w:basedOn w:val="Normal-pool"/>
    <w:link w:val="BBTitleChar"/>
    <w:qFormat/>
    <w:rsid w:val="00117297"/>
    <w:pPr>
      <w:keepNext/>
      <w:keepLines/>
      <w:suppressAutoHyphens/>
      <w:spacing w:before="320" w:after="240"/>
      <w:ind w:left="1247" w:right="567"/>
    </w:pPr>
    <w:rPr>
      <w:b/>
      <w:sz w:val="28"/>
      <w:szCs w:val="28"/>
    </w:rPr>
  </w:style>
  <w:style w:type="paragraph" w:customStyle="1" w:styleId="CH4">
    <w:name w:val="CH4"/>
    <w:basedOn w:val="Normal-pool"/>
    <w:next w:val="Normalnumber"/>
    <w:link w:val="FooterChar"/>
    <w:rsid w:val="00117297"/>
    <w:pPr>
      <w:keepNext/>
      <w:keepLines/>
      <w:tabs>
        <w:tab w:val="clear" w:pos="624"/>
        <w:tab w:val="right" w:pos="851"/>
      </w:tabs>
      <w:suppressAutoHyphens/>
      <w:spacing w:before="120" w:after="120"/>
      <w:ind w:left="1247" w:right="284" w:hanging="1247"/>
    </w:pPr>
    <w:rPr>
      <w:b/>
    </w:rPr>
  </w:style>
  <w:style w:type="paragraph" w:styleId="Header">
    <w:name w:val="header"/>
    <w:basedOn w:val="Normal"/>
    <w:next w:val="Header-pool"/>
    <w:link w:val="HeaderChar"/>
    <w:rsid w:val="00117297"/>
    <w:pPr>
      <w:pBdr>
        <w:bottom w:val="single" w:sz="4" w:space="1" w:color="auto"/>
      </w:pBdr>
      <w:tabs>
        <w:tab w:val="center" w:pos="4536"/>
        <w:tab w:val="right" w:pos="9072"/>
      </w:tabs>
    </w:pPr>
    <w:rPr>
      <w:b/>
      <w:sz w:val="18"/>
    </w:rPr>
  </w:style>
  <w:style w:type="character" w:styleId="Hyperlink">
    <w:name w:val="Hyperlink"/>
    <w:basedOn w:val="DefaultParagraphFont"/>
    <w:rsid w:val="00117297"/>
    <w:rPr>
      <w:color w:val="0000FF"/>
      <w:u w:val="none"/>
    </w:rPr>
  </w:style>
  <w:style w:type="numbering" w:customStyle="1" w:styleId="Normallist">
    <w:name w:val="Normal_list"/>
    <w:basedOn w:val="NoList"/>
    <w:rsid w:val="00117297"/>
    <w:pPr>
      <w:numPr>
        <w:numId w:val="1"/>
      </w:numPr>
    </w:pPr>
  </w:style>
  <w:style w:type="paragraph" w:customStyle="1" w:styleId="NormalNonumber">
    <w:name w:val="Normal_No_number"/>
    <w:basedOn w:val="Normal-pool"/>
    <w:link w:val="NormalNonumberChar"/>
    <w:qFormat/>
    <w:rsid w:val="00117297"/>
    <w:pPr>
      <w:spacing w:after="120"/>
      <w:ind w:left="1247"/>
    </w:pPr>
  </w:style>
  <w:style w:type="paragraph" w:customStyle="1" w:styleId="Normalnumber">
    <w:name w:val="Normal_number"/>
    <w:basedOn w:val="Normal"/>
    <w:link w:val="NormalnumberChar"/>
    <w:qFormat/>
    <w:rsid w:val="00117297"/>
    <w:pPr>
      <w:numPr>
        <w:numId w:val="1"/>
      </w:numPr>
      <w:tabs>
        <w:tab w:val="clear" w:pos="624"/>
      </w:tabs>
      <w:spacing w:after="120"/>
      <w:ind w:left="1247"/>
    </w:pPr>
  </w:style>
  <w:style w:type="paragraph" w:customStyle="1" w:styleId="Titletable">
    <w:name w:val="Title_table"/>
    <w:basedOn w:val="Normal-pool"/>
    <w:next w:val="NormalNonumber"/>
    <w:rsid w:val="00117297"/>
    <w:pPr>
      <w:keepNext/>
      <w:keepLines/>
      <w:suppressAutoHyphens/>
      <w:spacing w:after="60"/>
      <w:ind w:left="1247"/>
    </w:pPr>
    <w:rPr>
      <w:b/>
      <w:bCs/>
    </w:rPr>
  </w:style>
  <w:style w:type="paragraph" w:styleId="TOC1">
    <w:name w:val="toc 1"/>
    <w:basedOn w:val="Normal"/>
    <w:next w:val="Normal"/>
    <w:autoRedefine/>
    <w:uiPriority w:val="39"/>
    <w:unhideWhenUsed/>
    <w:rsid w:val="00117297"/>
    <w:pPr>
      <w:tabs>
        <w:tab w:val="right" w:leader="dot" w:pos="9486"/>
      </w:tabs>
      <w:spacing w:before="240"/>
      <w:ind w:left="1984" w:hanging="737"/>
    </w:pPr>
    <w:rPr>
      <w:bCs/>
    </w:rPr>
  </w:style>
  <w:style w:type="paragraph" w:styleId="TOC2">
    <w:name w:val="toc 2"/>
    <w:basedOn w:val="Normal"/>
    <w:next w:val="Normal"/>
    <w:uiPriority w:val="39"/>
    <w:unhideWhenUsed/>
    <w:rsid w:val="00117297"/>
    <w:pPr>
      <w:tabs>
        <w:tab w:val="right" w:leader="dot" w:pos="9486"/>
      </w:tabs>
      <w:spacing w:before="60"/>
      <w:ind w:left="2608" w:hanging="737"/>
    </w:pPr>
  </w:style>
  <w:style w:type="paragraph" w:styleId="TOC3">
    <w:name w:val="toc 3"/>
    <w:basedOn w:val="Normal"/>
    <w:next w:val="Normal"/>
    <w:unhideWhenUsed/>
    <w:rsid w:val="00117297"/>
    <w:pPr>
      <w:tabs>
        <w:tab w:val="right" w:leader="dot" w:pos="9486"/>
      </w:tabs>
      <w:ind w:left="3232" w:hanging="737"/>
    </w:pPr>
    <w:rPr>
      <w:iCs/>
    </w:rPr>
  </w:style>
  <w:style w:type="paragraph" w:styleId="TOC4">
    <w:name w:val="toc 4"/>
    <w:basedOn w:val="Normal"/>
    <w:next w:val="Normal"/>
    <w:unhideWhenUsed/>
    <w:rsid w:val="00117297"/>
    <w:pPr>
      <w:tabs>
        <w:tab w:val="left" w:pos="1000"/>
        <w:tab w:val="right" w:leader="dot" w:pos="9486"/>
      </w:tabs>
      <w:ind w:left="3856" w:hanging="737"/>
    </w:pPr>
    <w:rPr>
      <w:szCs w:val="18"/>
    </w:rPr>
  </w:style>
  <w:style w:type="paragraph" w:styleId="TOC5">
    <w:name w:val="toc 5"/>
    <w:basedOn w:val="Normal"/>
    <w:next w:val="Normal"/>
    <w:rsid w:val="00117297"/>
    <w:pPr>
      <w:tabs>
        <w:tab w:val="right" w:leader="dot" w:pos="9486"/>
      </w:tabs>
      <w:ind w:left="4479" w:hanging="737"/>
    </w:pPr>
    <w:rPr>
      <w:sz w:val="18"/>
      <w:szCs w:val="18"/>
    </w:rPr>
  </w:style>
  <w:style w:type="paragraph" w:customStyle="1" w:styleId="ZZAnxheader">
    <w:name w:val="ZZ_Anx_header"/>
    <w:basedOn w:val="Normal-pool"/>
    <w:link w:val="ZZAnxheaderChar"/>
    <w:rsid w:val="00117297"/>
    <w:rPr>
      <w:b/>
      <w:bCs/>
      <w:sz w:val="28"/>
      <w:szCs w:val="22"/>
    </w:rPr>
  </w:style>
  <w:style w:type="paragraph" w:customStyle="1" w:styleId="ZZAnxtitle">
    <w:name w:val="ZZ_Anx_title"/>
    <w:basedOn w:val="Normal-pool"/>
    <w:link w:val="ZZAnxtitleChar"/>
    <w:rsid w:val="00117297"/>
    <w:pPr>
      <w:spacing w:before="360" w:after="120"/>
      <w:ind w:left="1247"/>
    </w:pPr>
    <w:rPr>
      <w:b/>
      <w:bCs/>
      <w:sz w:val="28"/>
      <w:szCs w:val="26"/>
    </w:rPr>
  </w:style>
  <w:style w:type="paragraph" w:styleId="NormalWeb">
    <w:name w:val="Normal (Web)"/>
    <w:basedOn w:val="Normal"/>
    <w:uiPriority w:val="99"/>
    <w:unhideWhenUsed/>
    <w:rsid w:val="00117297"/>
    <w:pPr>
      <w:spacing w:before="100" w:beforeAutospacing="1" w:after="100" w:afterAutospacing="1"/>
    </w:pPr>
    <w:rPr>
      <w:rFonts w:eastAsiaTheme="minorEastAsia"/>
      <w:sz w:val="24"/>
      <w:szCs w:val="24"/>
    </w:rPr>
  </w:style>
  <w:style w:type="paragraph" w:customStyle="1" w:styleId="Normal-pool-Table">
    <w:name w:val="Normal-pool-Table"/>
    <w:basedOn w:val="Normal-pool"/>
    <w:rsid w:val="00117297"/>
    <w:pPr>
      <w:spacing w:before="40" w:after="40"/>
    </w:pPr>
    <w:rPr>
      <w:sz w:val="18"/>
    </w:rPr>
  </w:style>
  <w:style w:type="paragraph" w:customStyle="1" w:styleId="Footnote-Text">
    <w:name w:val="Footnote-Text"/>
    <w:basedOn w:val="Normal-pool"/>
    <w:rsid w:val="00117297"/>
    <w:pPr>
      <w:spacing w:before="20" w:after="40"/>
      <w:ind w:left="1247"/>
    </w:pPr>
    <w:rPr>
      <w:sz w:val="18"/>
    </w:rPr>
  </w:style>
  <w:style w:type="paragraph" w:customStyle="1" w:styleId="AConvName">
    <w:name w:val="A_ConvName"/>
    <w:basedOn w:val="Normal-pool"/>
    <w:next w:val="Normal-pool"/>
    <w:rsid w:val="00117297"/>
    <w:pPr>
      <w:spacing w:before="120" w:after="240"/>
    </w:pPr>
    <w:rPr>
      <w:rFonts w:ascii="Arial" w:hAnsi="Arial"/>
      <w:b/>
      <w:sz w:val="28"/>
    </w:rPr>
  </w:style>
  <w:style w:type="paragraph" w:customStyle="1" w:styleId="ASymbol">
    <w:name w:val="A_Symbol"/>
    <w:basedOn w:val="Normal-pool"/>
    <w:rsid w:val="00117297"/>
    <w:pPr>
      <w:tabs>
        <w:tab w:val="clear" w:pos="624"/>
        <w:tab w:val="clear" w:pos="1247"/>
        <w:tab w:val="right" w:pos="2920"/>
      </w:tabs>
    </w:pPr>
    <w:rPr>
      <w:rFonts w:eastAsia="SimSun"/>
    </w:rPr>
  </w:style>
  <w:style w:type="paragraph" w:customStyle="1" w:styleId="AText">
    <w:name w:val="A_Text"/>
    <w:basedOn w:val="Normal-pool"/>
    <w:rsid w:val="00117297"/>
    <w:pPr>
      <w:spacing w:before="120"/>
    </w:pPr>
  </w:style>
  <w:style w:type="paragraph" w:customStyle="1" w:styleId="ATwoLetters">
    <w:name w:val="A_TwoLetters"/>
    <w:basedOn w:val="Normal-pool"/>
    <w:next w:val="Normal-pool"/>
    <w:rsid w:val="00117297"/>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117297"/>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117297"/>
    <w:rPr>
      <w:rFonts w:ascii="Tahoma" w:hAnsi="Tahoma" w:cs="Tahoma"/>
      <w:sz w:val="16"/>
      <w:szCs w:val="16"/>
    </w:rPr>
  </w:style>
  <w:style w:type="character" w:customStyle="1" w:styleId="BalloonTextChar">
    <w:name w:val="Balloon Text Char"/>
    <w:basedOn w:val="DefaultParagraphFont"/>
    <w:link w:val="BalloonText"/>
    <w:rsid w:val="00117297"/>
    <w:rPr>
      <w:rFonts w:ascii="Tahoma" w:eastAsia="Times New Roman" w:hAnsi="Tahoma" w:cs="Tahoma"/>
      <w:sz w:val="16"/>
      <w:szCs w:val="16"/>
    </w:rPr>
  </w:style>
  <w:style w:type="character" w:styleId="CommentReference">
    <w:name w:val="annotation reference"/>
    <w:basedOn w:val="DefaultParagraphFont"/>
    <w:unhideWhenUsed/>
    <w:rsid w:val="00117297"/>
    <w:rPr>
      <w:sz w:val="16"/>
      <w:szCs w:val="16"/>
    </w:rPr>
  </w:style>
  <w:style w:type="paragraph" w:styleId="CommentText">
    <w:name w:val="annotation text"/>
    <w:basedOn w:val="Normal"/>
    <w:link w:val="CommentTextChar"/>
    <w:unhideWhenUsed/>
    <w:rsid w:val="00117297"/>
  </w:style>
  <w:style w:type="character" w:customStyle="1" w:styleId="CommentTextChar">
    <w:name w:val="Comment Text Char"/>
    <w:basedOn w:val="DefaultParagraphFont"/>
    <w:link w:val="CommentText"/>
    <w:rsid w:val="00117297"/>
    <w:rPr>
      <w:rFonts w:eastAsia="Times New Roman"/>
    </w:rPr>
  </w:style>
  <w:style w:type="paragraph" w:styleId="CommentSubject">
    <w:name w:val="annotation subject"/>
    <w:basedOn w:val="CommentText"/>
    <w:next w:val="CommentText"/>
    <w:link w:val="CommentSubjectChar"/>
    <w:unhideWhenUsed/>
    <w:rsid w:val="00117297"/>
    <w:rPr>
      <w:b/>
      <w:bCs/>
    </w:rPr>
  </w:style>
  <w:style w:type="character" w:customStyle="1" w:styleId="CommentSubjectChar">
    <w:name w:val="Comment Subject Char"/>
    <w:basedOn w:val="CommentTextChar"/>
    <w:link w:val="CommentSubject"/>
    <w:rsid w:val="00117297"/>
    <w:rPr>
      <w:rFonts w:eastAsia="Times New Roman"/>
      <w:b/>
      <w:bCs/>
    </w:rPr>
  </w:style>
  <w:style w:type="character" w:styleId="FollowedHyperlink">
    <w:name w:val="FollowedHyperlink"/>
    <w:uiPriority w:val="99"/>
    <w:rsid w:val="00117297"/>
    <w:rPr>
      <w:color w:val="0000FF"/>
      <w:u w:val="none"/>
    </w:rPr>
  </w:style>
  <w:style w:type="character" w:customStyle="1" w:styleId="FooterChar">
    <w:name w:val="Footer Char"/>
    <w:basedOn w:val="DefaultParagraphFont"/>
    <w:link w:val="CH4"/>
    <w:rsid w:val="00117297"/>
    <w:rPr>
      <w:rFonts w:eastAsia="Times New Roman"/>
      <w:b/>
    </w:rPr>
  </w:style>
  <w:style w:type="character" w:customStyle="1" w:styleId="HeaderChar">
    <w:name w:val="Header Char"/>
    <w:basedOn w:val="DefaultParagraphFont"/>
    <w:link w:val="Header"/>
    <w:rsid w:val="00117297"/>
    <w:rPr>
      <w:rFonts w:eastAsia="Times New Roman"/>
      <w:b/>
      <w:sz w:val="18"/>
    </w:rPr>
  </w:style>
  <w:style w:type="character" w:customStyle="1" w:styleId="Heading1Char">
    <w:name w:val="Heading 1 Char"/>
    <w:basedOn w:val="DefaultParagraphFont"/>
    <w:link w:val="Heading1"/>
    <w:rsid w:val="00117297"/>
    <w:rPr>
      <w:rFonts w:eastAsia="Times New Roman"/>
      <w:b/>
      <w:sz w:val="28"/>
      <w:szCs w:val="28"/>
    </w:rPr>
  </w:style>
  <w:style w:type="character" w:customStyle="1" w:styleId="Heading2Char">
    <w:name w:val="Heading 2 Char"/>
    <w:aliases w:val="Chpt Char"/>
    <w:basedOn w:val="DefaultParagraphFont"/>
    <w:link w:val="Heading2"/>
    <w:rsid w:val="00117297"/>
    <w:rPr>
      <w:rFonts w:eastAsia="Times New Roman"/>
      <w:b/>
      <w:sz w:val="24"/>
      <w:szCs w:val="24"/>
    </w:rPr>
  </w:style>
  <w:style w:type="character" w:customStyle="1" w:styleId="Heading3Char">
    <w:name w:val="Heading 3 Char"/>
    <w:basedOn w:val="DefaultParagraphFont"/>
    <w:link w:val="Heading3"/>
    <w:rsid w:val="00117297"/>
    <w:rPr>
      <w:rFonts w:eastAsia="Times New Roman"/>
      <w:b/>
    </w:rPr>
  </w:style>
  <w:style w:type="character" w:customStyle="1" w:styleId="Heading4Char">
    <w:name w:val="Heading 4 Char"/>
    <w:basedOn w:val="DefaultParagraphFont"/>
    <w:link w:val="Heading4"/>
    <w:rsid w:val="00117297"/>
    <w:rPr>
      <w:rFonts w:eastAsia="Times New Roman"/>
      <w:b/>
    </w:rPr>
  </w:style>
  <w:style w:type="character" w:customStyle="1" w:styleId="Heading5Char">
    <w:name w:val="Heading 5 Char"/>
    <w:basedOn w:val="DefaultParagraphFont"/>
    <w:link w:val="Heading5"/>
    <w:rsid w:val="00117297"/>
    <w:rPr>
      <w:rFonts w:eastAsia="Times New Roman"/>
      <w:b/>
    </w:rPr>
  </w:style>
  <w:style w:type="character" w:customStyle="1" w:styleId="Heading6Char">
    <w:name w:val="Heading 6 Char"/>
    <w:basedOn w:val="DefaultParagraphFont"/>
    <w:link w:val="Heading6"/>
    <w:rsid w:val="00117297"/>
    <w:rPr>
      <w:rFonts w:eastAsia="Times New Roman"/>
      <w:bCs/>
      <w:sz w:val="24"/>
    </w:rPr>
  </w:style>
  <w:style w:type="character" w:customStyle="1" w:styleId="Heading7Char">
    <w:name w:val="Heading 7 Char"/>
    <w:basedOn w:val="DefaultParagraphFont"/>
    <w:link w:val="Heading7"/>
    <w:rsid w:val="00117297"/>
    <w:rPr>
      <w:rFonts w:eastAsia="Times New Roman"/>
      <w:b/>
      <w:snapToGrid w:val="0"/>
      <w:u w:val="single"/>
    </w:rPr>
  </w:style>
  <w:style w:type="character" w:customStyle="1" w:styleId="Heading8Char">
    <w:name w:val="Heading 8 Char"/>
    <w:basedOn w:val="DefaultParagraphFont"/>
    <w:link w:val="Heading8"/>
    <w:rsid w:val="00117297"/>
    <w:rPr>
      <w:rFonts w:eastAsia="Times New Roman"/>
      <w:b/>
      <w:snapToGrid w:val="0"/>
      <w:u w:val="single"/>
    </w:rPr>
  </w:style>
  <w:style w:type="character" w:customStyle="1" w:styleId="Heading9Char">
    <w:name w:val="Heading 9 Char"/>
    <w:basedOn w:val="DefaultParagraphFont"/>
    <w:link w:val="Heading9"/>
    <w:rsid w:val="00117297"/>
    <w:rPr>
      <w:rFonts w:eastAsia="Times New Roman"/>
      <w:snapToGrid w:val="0"/>
      <w:u w:val="single"/>
    </w:rPr>
  </w:style>
  <w:style w:type="paragraph" w:styleId="ListParagraph">
    <w:name w:val="List Paragraph"/>
    <w:basedOn w:val="Normal"/>
    <w:link w:val="ListParagraphChar"/>
    <w:uiPriority w:val="34"/>
    <w:qFormat/>
    <w:rsid w:val="00117297"/>
    <w:pPr>
      <w:ind w:left="720"/>
      <w:contextualSpacing/>
    </w:pPr>
  </w:style>
  <w:style w:type="paragraph" w:styleId="NoSpacing">
    <w:name w:val="No Spacing"/>
    <w:uiPriority w:val="1"/>
    <w:qFormat/>
    <w:rsid w:val="00117297"/>
    <w:rPr>
      <w:rFonts w:asciiTheme="minorHAnsi" w:eastAsiaTheme="minorHAnsi" w:hAnsiTheme="minorHAnsi" w:cstheme="minorBidi"/>
      <w:sz w:val="22"/>
      <w:szCs w:val="22"/>
    </w:rPr>
  </w:style>
  <w:style w:type="character" w:customStyle="1" w:styleId="NormalnumberChar">
    <w:name w:val="Normal_number Char"/>
    <w:link w:val="Normalnumber"/>
    <w:rsid w:val="00117297"/>
    <w:rPr>
      <w:rFonts w:eastAsia="Times New Roman"/>
    </w:rPr>
  </w:style>
  <w:style w:type="character" w:styleId="PlaceholderText">
    <w:name w:val="Placeholder Text"/>
    <w:basedOn w:val="DefaultParagraphFont"/>
    <w:uiPriority w:val="99"/>
    <w:semiHidden/>
    <w:rsid w:val="00117297"/>
    <w:rPr>
      <w:color w:val="808080"/>
    </w:rPr>
  </w:style>
  <w:style w:type="table" w:styleId="TableGrid">
    <w:name w:val="Table Grid"/>
    <w:basedOn w:val="TableNormal"/>
    <w:uiPriority w:val="59"/>
    <w:rsid w:val="0011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117297"/>
    <w:pPr>
      <w:spacing w:before="120" w:after="240"/>
    </w:pPr>
  </w:style>
  <w:style w:type="character" w:customStyle="1" w:styleId="ALogoChar">
    <w:name w:val="A_Logo Char"/>
    <w:basedOn w:val="DefaultParagraphFont"/>
    <w:link w:val="ALogo"/>
    <w:rsid w:val="00117297"/>
    <w:rPr>
      <w:rFonts w:eastAsia="Times New Roman"/>
    </w:rPr>
  </w:style>
  <w:style w:type="paragraph" w:customStyle="1" w:styleId="ASpacer">
    <w:name w:val="A_Spacer"/>
    <w:basedOn w:val="Normal-pool"/>
    <w:link w:val="ASpacerChar"/>
    <w:qFormat/>
    <w:rsid w:val="00117297"/>
    <w:rPr>
      <w:sz w:val="2"/>
    </w:rPr>
  </w:style>
  <w:style w:type="character" w:customStyle="1" w:styleId="ASpacerChar">
    <w:name w:val="A_Spacer Char"/>
    <w:basedOn w:val="DefaultParagraphFont"/>
    <w:link w:val="ASpacer"/>
    <w:rsid w:val="00117297"/>
    <w:rPr>
      <w:rFonts w:eastAsia="Times New Roman"/>
      <w:sz w:val="2"/>
    </w:rPr>
  </w:style>
  <w:style w:type="paragraph" w:customStyle="1" w:styleId="AATitle1">
    <w:name w:val="AA_Title1"/>
    <w:basedOn w:val="Normal-pool"/>
    <w:qFormat/>
    <w:rsid w:val="00117297"/>
  </w:style>
  <w:style w:type="character" w:styleId="UnresolvedMention">
    <w:name w:val="Unresolved Mention"/>
    <w:basedOn w:val="DefaultParagraphFont"/>
    <w:uiPriority w:val="99"/>
    <w:semiHidden/>
    <w:rsid w:val="00117297"/>
    <w:rPr>
      <w:color w:val="605E5C"/>
      <w:shd w:val="clear" w:color="auto" w:fill="E1DFDD"/>
    </w:rPr>
  </w:style>
  <w:style w:type="paragraph" w:customStyle="1" w:styleId="ANormal">
    <w:name w:val="A_Normal"/>
    <w:basedOn w:val="Normal-pool"/>
    <w:rsid w:val="00117297"/>
  </w:style>
  <w:style w:type="paragraph" w:customStyle="1" w:styleId="AText0">
    <w:name w:val="A_Text0"/>
    <w:basedOn w:val="AText"/>
    <w:next w:val="AText"/>
    <w:rsid w:val="00117297"/>
    <w:pPr>
      <w:tabs>
        <w:tab w:val="clear" w:pos="4990"/>
      </w:tabs>
      <w:spacing w:before="0" w:after="120"/>
    </w:pPr>
  </w:style>
  <w:style w:type="paragraph" w:styleId="Footer">
    <w:name w:val="footer"/>
    <w:basedOn w:val="Normal"/>
    <w:link w:val="FooterChar1"/>
    <w:unhideWhenUsed/>
    <w:rsid w:val="00117297"/>
    <w:pPr>
      <w:tabs>
        <w:tab w:val="clear" w:pos="1247"/>
        <w:tab w:val="right" w:pos="8641"/>
      </w:tabs>
    </w:pPr>
    <w:rPr>
      <w:b/>
      <w:sz w:val="18"/>
    </w:rPr>
  </w:style>
  <w:style w:type="character" w:customStyle="1" w:styleId="FooterChar1">
    <w:name w:val="Footer Char1"/>
    <w:basedOn w:val="DefaultParagraphFont"/>
    <w:link w:val="Footer"/>
    <w:uiPriority w:val="99"/>
    <w:rsid w:val="00117297"/>
    <w:rPr>
      <w:rFonts w:eastAsia="Times New Roman"/>
      <w:b/>
      <w:sz w:val="18"/>
    </w:rPr>
  </w:style>
  <w:style w:type="paragraph" w:customStyle="1" w:styleId="Normal-pool">
    <w:name w:val="Normal-pool"/>
    <w:link w:val="Normal-poolChar"/>
    <w:qFormat/>
    <w:rsid w:val="00117297"/>
    <w:pPr>
      <w:tabs>
        <w:tab w:val="left" w:pos="624"/>
        <w:tab w:val="left" w:pos="1247"/>
        <w:tab w:val="left" w:pos="1871"/>
        <w:tab w:val="left" w:pos="2495"/>
        <w:tab w:val="left" w:pos="3119"/>
        <w:tab w:val="left" w:pos="3742"/>
        <w:tab w:val="left" w:pos="4366"/>
        <w:tab w:val="left" w:pos="4990"/>
      </w:tabs>
    </w:pPr>
    <w:rPr>
      <w:rFonts w:eastAsia="Times New Roman"/>
    </w:rPr>
  </w:style>
  <w:style w:type="paragraph" w:customStyle="1" w:styleId="Footer-jobnumber">
    <w:name w:val="Footer-jobnumber"/>
    <w:basedOn w:val="Normal-pool"/>
    <w:qFormat/>
    <w:rsid w:val="00117297"/>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117297"/>
    <w:pPr>
      <w:spacing w:before="60"/>
      <w:ind w:left="624"/>
    </w:pPr>
    <w:rPr>
      <w:rFonts w:eastAsiaTheme="minorEastAsia"/>
      <w:sz w:val="18"/>
    </w:rPr>
  </w:style>
  <w:style w:type="paragraph" w:styleId="Bibliography">
    <w:name w:val="Bibliography"/>
    <w:basedOn w:val="Normal"/>
    <w:next w:val="Normal"/>
    <w:uiPriority w:val="37"/>
    <w:semiHidden/>
    <w:rsid w:val="00117297"/>
  </w:style>
  <w:style w:type="paragraph" w:styleId="BlockText">
    <w:name w:val="Block Text"/>
    <w:basedOn w:val="Normal"/>
    <w:semiHidden/>
    <w:unhideWhenUsed/>
    <w:rsid w:val="0011729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117297"/>
    <w:pPr>
      <w:spacing w:after="120"/>
    </w:pPr>
  </w:style>
  <w:style w:type="character" w:customStyle="1" w:styleId="BodyTextChar">
    <w:name w:val="Body Text Char"/>
    <w:basedOn w:val="DefaultParagraphFont"/>
    <w:link w:val="BodyText"/>
    <w:rsid w:val="00117297"/>
    <w:rPr>
      <w:rFonts w:eastAsia="Times New Roman"/>
    </w:rPr>
  </w:style>
  <w:style w:type="paragraph" w:styleId="BodyText2">
    <w:name w:val="Body Text 2"/>
    <w:basedOn w:val="Normal"/>
    <w:link w:val="BodyText2Char"/>
    <w:unhideWhenUsed/>
    <w:rsid w:val="00117297"/>
    <w:pPr>
      <w:spacing w:after="120" w:line="480" w:lineRule="auto"/>
    </w:pPr>
  </w:style>
  <w:style w:type="character" w:customStyle="1" w:styleId="BodyText2Char">
    <w:name w:val="Body Text 2 Char"/>
    <w:basedOn w:val="DefaultParagraphFont"/>
    <w:link w:val="BodyText2"/>
    <w:rsid w:val="00117297"/>
    <w:rPr>
      <w:rFonts w:eastAsia="Times New Roman"/>
    </w:rPr>
  </w:style>
  <w:style w:type="paragraph" w:styleId="BodyText3">
    <w:name w:val="Body Text 3"/>
    <w:basedOn w:val="Normal"/>
    <w:link w:val="BodyText3Char"/>
    <w:semiHidden/>
    <w:unhideWhenUsed/>
    <w:rsid w:val="00117297"/>
    <w:pPr>
      <w:spacing w:after="120"/>
    </w:pPr>
    <w:rPr>
      <w:sz w:val="16"/>
      <w:szCs w:val="16"/>
    </w:rPr>
  </w:style>
  <w:style w:type="character" w:customStyle="1" w:styleId="BodyText3Char">
    <w:name w:val="Body Text 3 Char"/>
    <w:basedOn w:val="DefaultParagraphFont"/>
    <w:link w:val="BodyText3"/>
    <w:semiHidden/>
    <w:rsid w:val="00117297"/>
    <w:rPr>
      <w:rFonts w:eastAsia="Times New Roman"/>
      <w:sz w:val="16"/>
      <w:szCs w:val="16"/>
    </w:rPr>
  </w:style>
  <w:style w:type="paragraph" w:styleId="BodyTextFirstIndent">
    <w:name w:val="Body Text First Indent"/>
    <w:basedOn w:val="BodyText"/>
    <w:link w:val="BodyTextFirstIndentChar"/>
    <w:semiHidden/>
    <w:unhideWhenUsed/>
    <w:rsid w:val="00117297"/>
    <w:pPr>
      <w:spacing w:after="0"/>
      <w:ind w:firstLine="360"/>
    </w:pPr>
  </w:style>
  <w:style w:type="character" w:customStyle="1" w:styleId="BodyTextFirstIndentChar">
    <w:name w:val="Body Text First Indent Char"/>
    <w:basedOn w:val="BodyTextChar"/>
    <w:link w:val="BodyTextFirstIndent"/>
    <w:semiHidden/>
    <w:rsid w:val="00117297"/>
    <w:rPr>
      <w:rFonts w:eastAsia="Times New Roman"/>
    </w:rPr>
  </w:style>
  <w:style w:type="paragraph" w:styleId="BodyTextIndent">
    <w:name w:val="Body Text Indent"/>
    <w:basedOn w:val="Normal"/>
    <w:link w:val="BodyTextIndentChar"/>
    <w:semiHidden/>
    <w:unhideWhenUsed/>
    <w:rsid w:val="00117297"/>
    <w:pPr>
      <w:spacing w:after="120"/>
      <w:ind w:left="283"/>
    </w:pPr>
  </w:style>
  <w:style w:type="character" w:customStyle="1" w:styleId="BodyTextIndentChar">
    <w:name w:val="Body Text Indent Char"/>
    <w:basedOn w:val="DefaultParagraphFont"/>
    <w:link w:val="BodyTextIndent"/>
    <w:semiHidden/>
    <w:rsid w:val="00117297"/>
    <w:rPr>
      <w:rFonts w:eastAsia="Times New Roman"/>
    </w:rPr>
  </w:style>
  <w:style w:type="paragraph" w:styleId="BodyTextFirstIndent2">
    <w:name w:val="Body Text First Indent 2"/>
    <w:basedOn w:val="BodyTextIndent"/>
    <w:link w:val="BodyTextFirstIndent2Char"/>
    <w:semiHidden/>
    <w:unhideWhenUsed/>
    <w:rsid w:val="00117297"/>
    <w:pPr>
      <w:spacing w:after="0"/>
      <w:ind w:left="360" w:firstLine="360"/>
    </w:pPr>
  </w:style>
  <w:style w:type="character" w:customStyle="1" w:styleId="BodyTextFirstIndent2Char">
    <w:name w:val="Body Text First Indent 2 Char"/>
    <w:basedOn w:val="BodyTextIndentChar"/>
    <w:link w:val="BodyTextFirstIndent2"/>
    <w:semiHidden/>
    <w:rsid w:val="00117297"/>
    <w:rPr>
      <w:rFonts w:eastAsia="Times New Roman"/>
    </w:rPr>
  </w:style>
  <w:style w:type="paragraph" w:styleId="BodyTextIndent2">
    <w:name w:val="Body Text Indent 2"/>
    <w:basedOn w:val="Normal"/>
    <w:link w:val="BodyTextIndent2Char"/>
    <w:semiHidden/>
    <w:unhideWhenUsed/>
    <w:rsid w:val="00117297"/>
    <w:pPr>
      <w:spacing w:after="120" w:line="480" w:lineRule="auto"/>
      <w:ind w:left="283"/>
    </w:pPr>
  </w:style>
  <w:style w:type="character" w:customStyle="1" w:styleId="BodyTextIndent2Char">
    <w:name w:val="Body Text Indent 2 Char"/>
    <w:basedOn w:val="DefaultParagraphFont"/>
    <w:link w:val="BodyTextIndent2"/>
    <w:semiHidden/>
    <w:rsid w:val="00117297"/>
    <w:rPr>
      <w:rFonts w:eastAsia="Times New Roman"/>
    </w:rPr>
  </w:style>
  <w:style w:type="paragraph" w:styleId="BodyTextIndent3">
    <w:name w:val="Body Text Indent 3"/>
    <w:basedOn w:val="Normal"/>
    <w:link w:val="BodyTextIndent3Char"/>
    <w:semiHidden/>
    <w:unhideWhenUsed/>
    <w:rsid w:val="00117297"/>
    <w:pPr>
      <w:spacing w:after="120"/>
      <w:ind w:left="283"/>
    </w:pPr>
    <w:rPr>
      <w:sz w:val="16"/>
      <w:szCs w:val="16"/>
    </w:rPr>
  </w:style>
  <w:style w:type="character" w:customStyle="1" w:styleId="BodyTextIndent3Char">
    <w:name w:val="Body Text Indent 3 Char"/>
    <w:basedOn w:val="DefaultParagraphFont"/>
    <w:link w:val="BodyTextIndent3"/>
    <w:semiHidden/>
    <w:rsid w:val="00117297"/>
    <w:rPr>
      <w:rFonts w:eastAsia="Times New Roman"/>
      <w:sz w:val="16"/>
      <w:szCs w:val="16"/>
    </w:rPr>
  </w:style>
  <w:style w:type="character" w:styleId="BookTitle">
    <w:name w:val="Book Title"/>
    <w:basedOn w:val="DefaultParagraphFont"/>
    <w:uiPriority w:val="33"/>
    <w:semiHidden/>
    <w:qFormat/>
    <w:rsid w:val="00117297"/>
    <w:rPr>
      <w:b/>
      <w:bCs/>
      <w:i/>
      <w:iCs/>
      <w:spacing w:val="5"/>
    </w:rPr>
  </w:style>
  <w:style w:type="paragraph" w:styleId="Caption">
    <w:name w:val="caption"/>
    <w:basedOn w:val="Normal"/>
    <w:next w:val="Normal"/>
    <w:semiHidden/>
    <w:unhideWhenUsed/>
    <w:qFormat/>
    <w:rsid w:val="00117297"/>
    <w:pPr>
      <w:spacing w:after="200"/>
    </w:pPr>
    <w:rPr>
      <w:i/>
      <w:iCs/>
      <w:color w:val="1F497D" w:themeColor="text2"/>
      <w:sz w:val="18"/>
      <w:szCs w:val="18"/>
    </w:rPr>
  </w:style>
  <w:style w:type="paragraph" w:styleId="Closing">
    <w:name w:val="Closing"/>
    <w:basedOn w:val="Normal"/>
    <w:link w:val="ClosingChar"/>
    <w:semiHidden/>
    <w:unhideWhenUsed/>
    <w:rsid w:val="00117297"/>
    <w:pPr>
      <w:ind w:left="4252"/>
    </w:pPr>
  </w:style>
  <w:style w:type="character" w:customStyle="1" w:styleId="ClosingChar">
    <w:name w:val="Closing Char"/>
    <w:basedOn w:val="DefaultParagraphFont"/>
    <w:link w:val="Closing"/>
    <w:semiHidden/>
    <w:rsid w:val="00117297"/>
    <w:rPr>
      <w:rFonts w:eastAsia="Times New Roman"/>
    </w:rPr>
  </w:style>
  <w:style w:type="table" w:styleId="ColorfulGrid">
    <w:name w:val="Colorful Grid"/>
    <w:basedOn w:val="TableNormal"/>
    <w:uiPriority w:val="73"/>
    <w:semiHidden/>
    <w:unhideWhenUsed/>
    <w:rsid w:val="0011729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17297"/>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117297"/>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117297"/>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117297"/>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117297"/>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117297"/>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117297"/>
    <w:rPr>
      <w:rFonts w:cs="Simplified Arabic" w:hint="cs"/>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17297"/>
    <w:rPr>
      <w:rFonts w:cs="Simplified Arabic" w:hint="cs"/>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117297"/>
    <w:rPr>
      <w:rFonts w:cs="Simplified Arabic" w:hint="cs"/>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117297"/>
    <w:rPr>
      <w:rFonts w:cs="Simplified Arabic" w:hint="cs"/>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117297"/>
    <w:rPr>
      <w:rFonts w:cs="Simplified Arabic" w:hint="cs"/>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117297"/>
    <w:rPr>
      <w:rFonts w:cs="Simplified Arabic" w:hint="cs"/>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117297"/>
    <w:rPr>
      <w:rFonts w:cs="Simplified Arabic" w:hint="cs"/>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117297"/>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1729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17297"/>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17297"/>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117297"/>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17297"/>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17297"/>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117297"/>
    <w:rPr>
      <w:rFonts w:cs="Simplified Arabic" w:hint="cs"/>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17297"/>
    <w:rPr>
      <w:rFonts w:cs="Simplified Arabic" w:hint="cs"/>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117297"/>
    <w:rPr>
      <w:rFonts w:cs="Simplified Arabic" w:hint="cs"/>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117297"/>
    <w:rPr>
      <w:rFonts w:cs="Simplified Arabic" w:hint="cs"/>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117297"/>
    <w:rPr>
      <w:rFonts w:cs="Simplified Arabic" w:hint="cs"/>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117297"/>
    <w:rPr>
      <w:rFonts w:cs="Simplified Arabic" w:hint="cs"/>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117297"/>
    <w:rPr>
      <w:rFonts w:cs="Simplified Arabic" w:hint="cs"/>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117297"/>
  </w:style>
  <w:style w:type="character" w:customStyle="1" w:styleId="DateChar">
    <w:name w:val="Date Char"/>
    <w:basedOn w:val="DefaultParagraphFont"/>
    <w:link w:val="Date"/>
    <w:semiHidden/>
    <w:rsid w:val="00117297"/>
    <w:rPr>
      <w:rFonts w:eastAsia="Times New Roman"/>
    </w:rPr>
  </w:style>
  <w:style w:type="paragraph" w:styleId="DocumentMap">
    <w:name w:val="Document Map"/>
    <w:basedOn w:val="Normal"/>
    <w:link w:val="DocumentMapChar"/>
    <w:semiHidden/>
    <w:unhideWhenUsed/>
    <w:rsid w:val="00117297"/>
    <w:rPr>
      <w:rFonts w:ascii="Segoe UI" w:hAnsi="Segoe UI" w:cs="Segoe UI"/>
      <w:sz w:val="16"/>
      <w:szCs w:val="16"/>
    </w:rPr>
  </w:style>
  <w:style w:type="character" w:customStyle="1" w:styleId="DocumentMapChar">
    <w:name w:val="Document Map Char"/>
    <w:basedOn w:val="DefaultParagraphFont"/>
    <w:link w:val="DocumentMap"/>
    <w:semiHidden/>
    <w:rsid w:val="00117297"/>
    <w:rPr>
      <w:rFonts w:ascii="Segoe UI" w:eastAsia="Times New Roman" w:hAnsi="Segoe UI" w:cs="Segoe UI"/>
      <w:sz w:val="16"/>
      <w:szCs w:val="16"/>
    </w:rPr>
  </w:style>
  <w:style w:type="paragraph" w:styleId="E-mailSignature">
    <w:name w:val="E-mail Signature"/>
    <w:basedOn w:val="Normal"/>
    <w:link w:val="E-mailSignatureChar"/>
    <w:semiHidden/>
    <w:unhideWhenUsed/>
    <w:rsid w:val="00117297"/>
  </w:style>
  <w:style w:type="character" w:customStyle="1" w:styleId="E-mailSignatureChar">
    <w:name w:val="E-mail Signature Char"/>
    <w:basedOn w:val="DefaultParagraphFont"/>
    <w:link w:val="E-mailSignature"/>
    <w:semiHidden/>
    <w:rsid w:val="00117297"/>
    <w:rPr>
      <w:rFonts w:eastAsia="Times New Roman"/>
    </w:rPr>
  </w:style>
  <w:style w:type="character" w:styleId="Emphasis">
    <w:name w:val="Emphasis"/>
    <w:basedOn w:val="DefaultParagraphFont"/>
    <w:qFormat/>
    <w:rsid w:val="00117297"/>
    <w:rPr>
      <w:i/>
      <w:iCs/>
    </w:rPr>
  </w:style>
  <w:style w:type="character" w:styleId="EndnoteReference">
    <w:name w:val="endnote reference"/>
    <w:basedOn w:val="DefaultParagraphFont"/>
    <w:unhideWhenUsed/>
    <w:rsid w:val="00117297"/>
    <w:rPr>
      <w:vertAlign w:val="superscript"/>
    </w:rPr>
  </w:style>
  <w:style w:type="paragraph" w:styleId="EndnoteText">
    <w:name w:val="endnote text"/>
    <w:basedOn w:val="Normal"/>
    <w:link w:val="EndnoteTextChar"/>
    <w:unhideWhenUsed/>
    <w:rsid w:val="00117297"/>
  </w:style>
  <w:style w:type="character" w:customStyle="1" w:styleId="EndnoteTextChar">
    <w:name w:val="Endnote Text Char"/>
    <w:basedOn w:val="DefaultParagraphFont"/>
    <w:link w:val="EndnoteText"/>
    <w:rsid w:val="00117297"/>
    <w:rPr>
      <w:rFonts w:eastAsia="Times New Roman"/>
    </w:rPr>
  </w:style>
  <w:style w:type="paragraph" w:styleId="EnvelopeAddress">
    <w:name w:val="envelope address"/>
    <w:basedOn w:val="Normal"/>
    <w:semiHidden/>
    <w:unhideWhenUsed/>
    <w:rsid w:val="0011729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117297"/>
    <w:rPr>
      <w:rFonts w:asciiTheme="majorHAnsi" w:eastAsiaTheme="majorEastAsia" w:hAnsiTheme="majorHAnsi" w:cstheme="majorBidi"/>
    </w:rPr>
  </w:style>
  <w:style w:type="paragraph" w:styleId="FootnoteText">
    <w:name w:val="footnote text"/>
    <w:aliases w:val="Fußnotentextf,DNV-FT,Geneva 9,Font: Geneva 9,Boston 10,f,footnote3,text,Geneva,92,Font:,Boston,10,FOOTNOTES,fn,single space,Footnote Text Rail EIS,ft,Footnotes,Footnote ak,fn cafc,Footnotes Char Char,Footnote Text Char Char,fn Char Char"/>
    <w:basedOn w:val="Normal"/>
    <w:link w:val="FootnoteTextChar"/>
    <w:uiPriority w:val="99"/>
    <w:unhideWhenUsed/>
    <w:qFormat/>
    <w:rsid w:val="00117297"/>
  </w:style>
  <w:style w:type="character" w:customStyle="1" w:styleId="FootnoteTextChar">
    <w:name w:val="Footnote Text Char"/>
    <w:aliases w:val="Fußnotentextf Char,DNV-FT Char,Geneva 9 Char,Font: Geneva 9 Char,Boston 10 Char,f Char,footnote3 Char,text Char,Geneva Char,92 Char,Font: Char,Boston Char,10 Char,FOOTNOTES Char,fn Char,single space Char,Footnote Text Rail EIS Char"/>
    <w:basedOn w:val="DefaultParagraphFont"/>
    <w:link w:val="FootnoteText"/>
    <w:uiPriority w:val="99"/>
    <w:qFormat/>
    <w:rsid w:val="00117297"/>
    <w:rPr>
      <w:rFonts w:eastAsia="Times New Roman"/>
    </w:rPr>
  </w:style>
  <w:style w:type="table" w:styleId="GridTable1Light">
    <w:name w:val="Grid Table 1 Light"/>
    <w:basedOn w:val="TableNormal"/>
    <w:uiPriority w:val="46"/>
    <w:rsid w:val="0011729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17297"/>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17297"/>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17297"/>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17297"/>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17297"/>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17297"/>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1729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1729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117297"/>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117297"/>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117297"/>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11729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117297"/>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11729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1729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11729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11729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11729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11729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11729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11729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1729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1729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11729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11729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11729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11729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11729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1729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11729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11729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11729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11729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11729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11729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1729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11729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11729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117297"/>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11729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11729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11729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1729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11729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11729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117297"/>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11729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11729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117297"/>
    <w:rPr>
      <w:color w:val="2B579A"/>
      <w:shd w:val="clear" w:color="auto" w:fill="E1DFDD"/>
    </w:rPr>
  </w:style>
  <w:style w:type="character" w:styleId="HTMLAcronym">
    <w:name w:val="HTML Acronym"/>
    <w:basedOn w:val="DefaultParagraphFont"/>
    <w:semiHidden/>
    <w:unhideWhenUsed/>
    <w:rsid w:val="00117297"/>
  </w:style>
  <w:style w:type="paragraph" w:styleId="HTMLAddress">
    <w:name w:val="HTML Address"/>
    <w:basedOn w:val="Normal"/>
    <w:link w:val="HTMLAddressChar"/>
    <w:semiHidden/>
    <w:unhideWhenUsed/>
    <w:rsid w:val="00117297"/>
    <w:rPr>
      <w:i/>
      <w:iCs/>
    </w:rPr>
  </w:style>
  <w:style w:type="character" w:customStyle="1" w:styleId="HTMLAddressChar">
    <w:name w:val="HTML Address Char"/>
    <w:basedOn w:val="DefaultParagraphFont"/>
    <w:link w:val="HTMLAddress"/>
    <w:semiHidden/>
    <w:rsid w:val="00117297"/>
    <w:rPr>
      <w:rFonts w:eastAsia="Times New Roman"/>
      <w:i/>
      <w:iCs/>
    </w:rPr>
  </w:style>
  <w:style w:type="character" w:styleId="HTMLCite">
    <w:name w:val="HTML Cite"/>
    <w:basedOn w:val="DefaultParagraphFont"/>
    <w:semiHidden/>
    <w:unhideWhenUsed/>
    <w:rsid w:val="00117297"/>
    <w:rPr>
      <w:i/>
      <w:iCs/>
    </w:rPr>
  </w:style>
  <w:style w:type="character" w:styleId="HTMLCode">
    <w:name w:val="HTML Code"/>
    <w:basedOn w:val="DefaultParagraphFont"/>
    <w:semiHidden/>
    <w:unhideWhenUsed/>
    <w:rsid w:val="00117297"/>
    <w:rPr>
      <w:rFonts w:ascii="Consolas" w:hAnsi="Consolas" w:cs="Consolas"/>
      <w:sz w:val="20"/>
      <w:szCs w:val="20"/>
    </w:rPr>
  </w:style>
  <w:style w:type="character" w:styleId="HTMLDefinition">
    <w:name w:val="HTML Definition"/>
    <w:basedOn w:val="DefaultParagraphFont"/>
    <w:semiHidden/>
    <w:unhideWhenUsed/>
    <w:rsid w:val="00117297"/>
    <w:rPr>
      <w:i/>
      <w:iCs/>
    </w:rPr>
  </w:style>
  <w:style w:type="character" w:styleId="HTMLKeyboard">
    <w:name w:val="HTML Keyboard"/>
    <w:basedOn w:val="DefaultParagraphFont"/>
    <w:semiHidden/>
    <w:unhideWhenUsed/>
    <w:rsid w:val="00117297"/>
    <w:rPr>
      <w:rFonts w:ascii="Consolas" w:hAnsi="Consolas" w:cs="Consolas"/>
      <w:sz w:val="20"/>
      <w:szCs w:val="20"/>
    </w:rPr>
  </w:style>
  <w:style w:type="paragraph" w:styleId="HTMLPreformatted">
    <w:name w:val="HTML Preformatted"/>
    <w:basedOn w:val="Normal"/>
    <w:link w:val="HTMLPreformattedChar"/>
    <w:semiHidden/>
    <w:unhideWhenUsed/>
    <w:rsid w:val="00117297"/>
    <w:rPr>
      <w:rFonts w:ascii="Consolas" w:hAnsi="Consolas" w:cs="Consolas"/>
    </w:rPr>
  </w:style>
  <w:style w:type="character" w:customStyle="1" w:styleId="HTMLPreformattedChar">
    <w:name w:val="HTML Preformatted Char"/>
    <w:basedOn w:val="DefaultParagraphFont"/>
    <w:link w:val="HTMLPreformatted"/>
    <w:semiHidden/>
    <w:rsid w:val="00117297"/>
    <w:rPr>
      <w:rFonts w:ascii="Consolas" w:eastAsia="Times New Roman" w:hAnsi="Consolas" w:cs="Consolas"/>
    </w:rPr>
  </w:style>
  <w:style w:type="character" w:styleId="HTMLSample">
    <w:name w:val="HTML Sample"/>
    <w:basedOn w:val="DefaultParagraphFont"/>
    <w:semiHidden/>
    <w:unhideWhenUsed/>
    <w:rsid w:val="00117297"/>
    <w:rPr>
      <w:rFonts w:ascii="Consolas" w:hAnsi="Consolas" w:cs="Consolas"/>
      <w:sz w:val="24"/>
      <w:szCs w:val="24"/>
    </w:rPr>
  </w:style>
  <w:style w:type="character" w:styleId="HTMLTypewriter">
    <w:name w:val="HTML Typewriter"/>
    <w:basedOn w:val="DefaultParagraphFont"/>
    <w:semiHidden/>
    <w:unhideWhenUsed/>
    <w:rsid w:val="00117297"/>
    <w:rPr>
      <w:rFonts w:ascii="Consolas" w:hAnsi="Consolas" w:cs="Consolas"/>
      <w:sz w:val="20"/>
      <w:szCs w:val="20"/>
    </w:rPr>
  </w:style>
  <w:style w:type="character" w:styleId="HTMLVariable">
    <w:name w:val="HTML Variable"/>
    <w:basedOn w:val="DefaultParagraphFont"/>
    <w:semiHidden/>
    <w:unhideWhenUsed/>
    <w:rsid w:val="00117297"/>
    <w:rPr>
      <w:i/>
      <w:iCs/>
    </w:rPr>
  </w:style>
  <w:style w:type="paragraph" w:styleId="Index1">
    <w:name w:val="index 1"/>
    <w:basedOn w:val="Normal"/>
    <w:next w:val="Normal"/>
    <w:autoRedefine/>
    <w:semiHidden/>
    <w:unhideWhenUsed/>
    <w:rsid w:val="00117297"/>
    <w:pPr>
      <w:tabs>
        <w:tab w:val="clear" w:pos="1247"/>
      </w:tabs>
      <w:ind w:left="200" w:hanging="200"/>
    </w:pPr>
  </w:style>
  <w:style w:type="paragraph" w:styleId="Index2">
    <w:name w:val="index 2"/>
    <w:basedOn w:val="Normal"/>
    <w:next w:val="Normal"/>
    <w:autoRedefine/>
    <w:semiHidden/>
    <w:unhideWhenUsed/>
    <w:rsid w:val="00117297"/>
    <w:pPr>
      <w:tabs>
        <w:tab w:val="clear" w:pos="1247"/>
      </w:tabs>
      <w:ind w:left="400" w:hanging="200"/>
    </w:pPr>
  </w:style>
  <w:style w:type="paragraph" w:styleId="Index3">
    <w:name w:val="index 3"/>
    <w:basedOn w:val="Normal"/>
    <w:next w:val="Normal"/>
    <w:autoRedefine/>
    <w:semiHidden/>
    <w:unhideWhenUsed/>
    <w:rsid w:val="00117297"/>
    <w:pPr>
      <w:tabs>
        <w:tab w:val="clear" w:pos="1247"/>
      </w:tabs>
      <w:ind w:left="600" w:hanging="200"/>
    </w:pPr>
  </w:style>
  <w:style w:type="paragraph" w:styleId="Index4">
    <w:name w:val="index 4"/>
    <w:basedOn w:val="Normal"/>
    <w:next w:val="Normal"/>
    <w:autoRedefine/>
    <w:semiHidden/>
    <w:unhideWhenUsed/>
    <w:rsid w:val="00117297"/>
    <w:pPr>
      <w:tabs>
        <w:tab w:val="clear" w:pos="1247"/>
      </w:tabs>
      <w:ind w:left="800" w:hanging="200"/>
    </w:pPr>
  </w:style>
  <w:style w:type="paragraph" w:styleId="Index5">
    <w:name w:val="index 5"/>
    <w:basedOn w:val="Normal"/>
    <w:next w:val="Normal"/>
    <w:autoRedefine/>
    <w:semiHidden/>
    <w:unhideWhenUsed/>
    <w:rsid w:val="00117297"/>
    <w:pPr>
      <w:tabs>
        <w:tab w:val="clear" w:pos="1247"/>
      </w:tabs>
      <w:ind w:left="1000" w:hanging="200"/>
    </w:pPr>
  </w:style>
  <w:style w:type="paragraph" w:styleId="Index6">
    <w:name w:val="index 6"/>
    <w:basedOn w:val="Normal"/>
    <w:next w:val="Normal"/>
    <w:autoRedefine/>
    <w:semiHidden/>
    <w:unhideWhenUsed/>
    <w:rsid w:val="00117297"/>
    <w:pPr>
      <w:tabs>
        <w:tab w:val="clear" w:pos="1247"/>
      </w:tabs>
      <w:ind w:left="1200" w:hanging="200"/>
    </w:pPr>
  </w:style>
  <w:style w:type="paragraph" w:styleId="Index7">
    <w:name w:val="index 7"/>
    <w:basedOn w:val="Normal"/>
    <w:next w:val="Normal"/>
    <w:autoRedefine/>
    <w:semiHidden/>
    <w:unhideWhenUsed/>
    <w:rsid w:val="00117297"/>
    <w:pPr>
      <w:tabs>
        <w:tab w:val="clear" w:pos="1247"/>
      </w:tabs>
      <w:ind w:left="1400" w:hanging="200"/>
    </w:pPr>
  </w:style>
  <w:style w:type="paragraph" w:styleId="Index8">
    <w:name w:val="index 8"/>
    <w:basedOn w:val="Normal"/>
    <w:next w:val="Normal"/>
    <w:autoRedefine/>
    <w:semiHidden/>
    <w:unhideWhenUsed/>
    <w:rsid w:val="00117297"/>
    <w:pPr>
      <w:tabs>
        <w:tab w:val="clear" w:pos="1247"/>
      </w:tabs>
      <w:ind w:left="1600" w:hanging="200"/>
    </w:pPr>
  </w:style>
  <w:style w:type="paragraph" w:styleId="Index9">
    <w:name w:val="index 9"/>
    <w:basedOn w:val="Normal"/>
    <w:next w:val="Normal"/>
    <w:autoRedefine/>
    <w:semiHidden/>
    <w:unhideWhenUsed/>
    <w:rsid w:val="00117297"/>
    <w:pPr>
      <w:tabs>
        <w:tab w:val="clear" w:pos="1247"/>
      </w:tabs>
      <w:ind w:left="1800" w:hanging="200"/>
    </w:pPr>
  </w:style>
  <w:style w:type="paragraph" w:styleId="IndexHeading">
    <w:name w:val="index heading"/>
    <w:basedOn w:val="Normal"/>
    <w:next w:val="Index1"/>
    <w:semiHidden/>
    <w:unhideWhenUsed/>
    <w:rsid w:val="00117297"/>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117297"/>
    <w:rPr>
      <w:i/>
      <w:iCs/>
      <w:color w:val="4F81BD" w:themeColor="accent1"/>
    </w:rPr>
  </w:style>
  <w:style w:type="paragraph" w:styleId="IntenseQuote">
    <w:name w:val="Intense Quote"/>
    <w:basedOn w:val="Normal"/>
    <w:next w:val="Normal"/>
    <w:link w:val="IntenseQuoteChar"/>
    <w:uiPriority w:val="30"/>
    <w:semiHidden/>
    <w:qFormat/>
    <w:rsid w:val="0011729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117297"/>
    <w:rPr>
      <w:rFonts w:eastAsia="Times New Roman"/>
      <w:i/>
      <w:iCs/>
      <w:color w:val="4F81BD" w:themeColor="accent1"/>
    </w:rPr>
  </w:style>
  <w:style w:type="character" w:styleId="IntenseReference">
    <w:name w:val="Intense Reference"/>
    <w:basedOn w:val="DefaultParagraphFont"/>
    <w:uiPriority w:val="32"/>
    <w:semiHidden/>
    <w:qFormat/>
    <w:rsid w:val="00117297"/>
    <w:rPr>
      <w:b/>
      <w:bCs/>
      <w:smallCaps/>
      <w:color w:val="4F81BD" w:themeColor="accent1"/>
      <w:spacing w:val="5"/>
    </w:rPr>
  </w:style>
  <w:style w:type="table" w:styleId="LightGrid">
    <w:name w:val="Light Grid"/>
    <w:basedOn w:val="TableNormal"/>
    <w:uiPriority w:val="62"/>
    <w:semiHidden/>
    <w:unhideWhenUsed/>
    <w:rsid w:val="0011729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1729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11729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11729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11729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11729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11729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117297"/>
    <w:rPr>
      <w:rFonts w:cs="Simplified Arabic" w:hint="c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17297"/>
    <w:rPr>
      <w:rFonts w:cs="Simplified Arabic" w:hint="c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117297"/>
    <w:rPr>
      <w:rFonts w:cs="Simplified Arabic" w:hint="c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117297"/>
    <w:rPr>
      <w:rFonts w:cs="Simplified Arabic" w:hint="c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117297"/>
    <w:rPr>
      <w:rFonts w:cs="Simplified Arabic" w:hint="c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117297"/>
    <w:rPr>
      <w:rFonts w:cs="Simplified Arabic" w:hint="c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117297"/>
    <w:rPr>
      <w:rFonts w:cs="Simplified Arabic" w:hint="c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11729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1729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117297"/>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117297"/>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117297"/>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117297"/>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117297"/>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117297"/>
  </w:style>
  <w:style w:type="paragraph" w:styleId="List">
    <w:name w:val="List"/>
    <w:basedOn w:val="Normal"/>
    <w:semiHidden/>
    <w:unhideWhenUsed/>
    <w:rsid w:val="00117297"/>
    <w:pPr>
      <w:ind w:left="283" w:hanging="283"/>
      <w:contextualSpacing/>
    </w:pPr>
  </w:style>
  <w:style w:type="paragraph" w:styleId="List2">
    <w:name w:val="List 2"/>
    <w:basedOn w:val="Normal"/>
    <w:semiHidden/>
    <w:unhideWhenUsed/>
    <w:rsid w:val="00117297"/>
    <w:pPr>
      <w:ind w:left="566" w:hanging="283"/>
      <w:contextualSpacing/>
    </w:pPr>
  </w:style>
  <w:style w:type="paragraph" w:styleId="List3">
    <w:name w:val="List 3"/>
    <w:basedOn w:val="Normal"/>
    <w:semiHidden/>
    <w:unhideWhenUsed/>
    <w:rsid w:val="00117297"/>
    <w:pPr>
      <w:ind w:left="849" w:hanging="283"/>
      <w:contextualSpacing/>
    </w:pPr>
  </w:style>
  <w:style w:type="paragraph" w:styleId="List4">
    <w:name w:val="List 4"/>
    <w:basedOn w:val="Normal"/>
    <w:semiHidden/>
    <w:unhideWhenUsed/>
    <w:rsid w:val="00117297"/>
    <w:pPr>
      <w:ind w:left="1132" w:hanging="283"/>
      <w:contextualSpacing/>
    </w:pPr>
  </w:style>
  <w:style w:type="paragraph" w:styleId="List5">
    <w:name w:val="List 5"/>
    <w:basedOn w:val="Normal"/>
    <w:semiHidden/>
    <w:unhideWhenUsed/>
    <w:rsid w:val="00117297"/>
    <w:pPr>
      <w:ind w:left="1415" w:hanging="283"/>
      <w:contextualSpacing/>
    </w:pPr>
  </w:style>
  <w:style w:type="paragraph" w:styleId="ListBullet">
    <w:name w:val="List Bullet"/>
    <w:basedOn w:val="Normal"/>
    <w:semiHidden/>
    <w:rsid w:val="00117297"/>
    <w:pPr>
      <w:numPr>
        <w:numId w:val="6"/>
      </w:numPr>
      <w:contextualSpacing/>
    </w:pPr>
  </w:style>
  <w:style w:type="paragraph" w:styleId="ListBullet2">
    <w:name w:val="List Bullet 2"/>
    <w:basedOn w:val="Normal"/>
    <w:semiHidden/>
    <w:unhideWhenUsed/>
    <w:rsid w:val="00117297"/>
    <w:pPr>
      <w:numPr>
        <w:numId w:val="7"/>
      </w:numPr>
      <w:contextualSpacing/>
    </w:pPr>
  </w:style>
  <w:style w:type="paragraph" w:styleId="ListBullet3">
    <w:name w:val="List Bullet 3"/>
    <w:basedOn w:val="Normal"/>
    <w:semiHidden/>
    <w:unhideWhenUsed/>
    <w:rsid w:val="00117297"/>
    <w:pPr>
      <w:numPr>
        <w:numId w:val="8"/>
      </w:numPr>
      <w:contextualSpacing/>
    </w:pPr>
  </w:style>
  <w:style w:type="paragraph" w:styleId="ListBullet4">
    <w:name w:val="List Bullet 4"/>
    <w:basedOn w:val="Normal"/>
    <w:semiHidden/>
    <w:unhideWhenUsed/>
    <w:rsid w:val="00117297"/>
    <w:pPr>
      <w:numPr>
        <w:numId w:val="9"/>
      </w:numPr>
      <w:contextualSpacing/>
    </w:pPr>
  </w:style>
  <w:style w:type="paragraph" w:styleId="ListBullet5">
    <w:name w:val="List Bullet 5"/>
    <w:basedOn w:val="Normal"/>
    <w:semiHidden/>
    <w:unhideWhenUsed/>
    <w:rsid w:val="00117297"/>
    <w:pPr>
      <w:numPr>
        <w:numId w:val="10"/>
      </w:numPr>
      <w:contextualSpacing/>
    </w:pPr>
  </w:style>
  <w:style w:type="paragraph" w:styleId="ListContinue">
    <w:name w:val="List Continue"/>
    <w:basedOn w:val="Normal"/>
    <w:semiHidden/>
    <w:unhideWhenUsed/>
    <w:rsid w:val="00117297"/>
    <w:pPr>
      <w:spacing w:after="120"/>
      <w:ind w:left="283"/>
      <w:contextualSpacing/>
    </w:pPr>
  </w:style>
  <w:style w:type="paragraph" w:styleId="ListContinue2">
    <w:name w:val="List Continue 2"/>
    <w:basedOn w:val="Normal"/>
    <w:semiHidden/>
    <w:unhideWhenUsed/>
    <w:rsid w:val="00117297"/>
    <w:pPr>
      <w:spacing w:after="120"/>
      <w:ind w:left="566"/>
      <w:contextualSpacing/>
    </w:pPr>
  </w:style>
  <w:style w:type="paragraph" w:styleId="ListContinue3">
    <w:name w:val="List Continue 3"/>
    <w:basedOn w:val="Normal"/>
    <w:semiHidden/>
    <w:rsid w:val="00117297"/>
    <w:pPr>
      <w:spacing w:after="120"/>
      <w:ind w:left="849"/>
      <w:contextualSpacing/>
    </w:pPr>
  </w:style>
  <w:style w:type="paragraph" w:styleId="ListContinue4">
    <w:name w:val="List Continue 4"/>
    <w:basedOn w:val="Normal"/>
    <w:semiHidden/>
    <w:rsid w:val="00117297"/>
    <w:pPr>
      <w:spacing w:after="120"/>
      <w:ind w:left="1132"/>
      <w:contextualSpacing/>
    </w:pPr>
  </w:style>
  <w:style w:type="paragraph" w:styleId="ListContinue5">
    <w:name w:val="List Continue 5"/>
    <w:basedOn w:val="Normal"/>
    <w:semiHidden/>
    <w:rsid w:val="00117297"/>
    <w:pPr>
      <w:spacing w:after="120"/>
      <w:ind w:left="1415"/>
      <w:contextualSpacing/>
    </w:pPr>
  </w:style>
  <w:style w:type="paragraph" w:styleId="ListNumber">
    <w:name w:val="List Number"/>
    <w:basedOn w:val="Normal"/>
    <w:semiHidden/>
    <w:rsid w:val="00117297"/>
    <w:pPr>
      <w:numPr>
        <w:numId w:val="11"/>
      </w:numPr>
      <w:contextualSpacing/>
    </w:pPr>
  </w:style>
  <w:style w:type="paragraph" w:styleId="ListNumber2">
    <w:name w:val="List Number 2"/>
    <w:basedOn w:val="Normal"/>
    <w:semiHidden/>
    <w:unhideWhenUsed/>
    <w:rsid w:val="00117297"/>
    <w:pPr>
      <w:numPr>
        <w:numId w:val="12"/>
      </w:numPr>
      <w:contextualSpacing/>
    </w:pPr>
  </w:style>
  <w:style w:type="paragraph" w:styleId="ListNumber3">
    <w:name w:val="List Number 3"/>
    <w:basedOn w:val="Normal"/>
    <w:semiHidden/>
    <w:unhideWhenUsed/>
    <w:rsid w:val="00117297"/>
    <w:pPr>
      <w:numPr>
        <w:numId w:val="13"/>
      </w:numPr>
      <w:contextualSpacing/>
    </w:pPr>
  </w:style>
  <w:style w:type="paragraph" w:styleId="ListNumber4">
    <w:name w:val="List Number 4"/>
    <w:basedOn w:val="Normal"/>
    <w:semiHidden/>
    <w:unhideWhenUsed/>
    <w:rsid w:val="00117297"/>
    <w:pPr>
      <w:numPr>
        <w:numId w:val="14"/>
      </w:numPr>
      <w:contextualSpacing/>
    </w:pPr>
  </w:style>
  <w:style w:type="paragraph" w:styleId="ListNumber5">
    <w:name w:val="List Number 5"/>
    <w:basedOn w:val="Normal"/>
    <w:semiHidden/>
    <w:unhideWhenUsed/>
    <w:rsid w:val="00117297"/>
    <w:pPr>
      <w:numPr>
        <w:numId w:val="15"/>
      </w:numPr>
      <w:contextualSpacing/>
    </w:pPr>
  </w:style>
  <w:style w:type="table" w:styleId="ListTable1Light">
    <w:name w:val="List Table 1 Light"/>
    <w:basedOn w:val="TableNormal"/>
    <w:uiPriority w:val="46"/>
    <w:rsid w:val="00117297"/>
    <w:rPr>
      <w:rFonts w:cs="Simplified Arabic" w:hint="c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17297"/>
    <w:rPr>
      <w:rFonts w:cs="Simplified Arabic" w:hint="c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117297"/>
    <w:rPr>
      <w:rFonts w:cs="Simplified Arabic" w:hint="c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117297"/>
    <w:rPr>
      <w:rFonts w:cs="Simplified Arabic" w:hint="c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117297"/>
    <w:rPr>
      <w:rFonts w:cs="Simplified Arabic" w:hint="c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117297"/>
    <w:rPr>
      <w:rFonts w:cs="Simplified Arabic" w:hint="c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117297"/>
    <w:rPr>
      <w:rFonts w:cs="Simplified Arabic" w:hint="c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117297"/>
    <w:rPr>
      <w:rFonts w:cs="Simplified Arabic" w:hint="c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17297"/>
    <w:rPr>
      <w:rFonts w:cs="Simplified Arabic" w:hint="c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117297"/>
    <w:rPr>
      <w:rFonts w:cs="Simplified Arabic" w:hint="c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117297"/>
    <w:rPr>
      <w:rFonts w:cs="Simplified Arabic" w:hint="c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117297"/>
    <w:rPr>
      <w:rFonts w:cs="Simplified Arabic" w:hint="c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117297"/>
    <w:rPr>
      <w:rFonts w:cs="Simplified Arabic" w:hint="c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117297"/>
    <w:rPr>
      <w:rFonts w:cs="Simplified Arabic" w:hint="c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117297"/>
    <w:rPr>
      <w:rFonts w:cs="Simplified Arabic" w:hint="c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17297"/>
    <w:rPr>
      <w:rFonts w:cs="Simplified Arabic" w:hint="c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117297"/>
    <w:rPr>
      <w:rFonts w:cs="Simplified Arabic" w:hint="c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117297"/>
    <w:rPr>
      <w:rFonts w:cs="Simplified Arabic" w:hint="c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117297"/>
    <w:rPr>
      <w:rFonts w:cs="Simplified Arabic" w:hint="c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117297"/>
    <w:rPr>
      <w:rFonts w:cs="Simplified Arabic" w:hint="c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117297"/>
    <w:rPr>
      <w:rFonts w:cs="Simplified Arabic" w:hint="c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117297"/>
    <w:rPr>
      <w:rFonts w:cs="Simplified Arabic" w:hint="c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17297"/>
    <w:rPr>
      <w:rFonts w:cs="Simplified Arabic" w:hint="c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117297"/>
    <w:rPr>
      <w:rFonts w:cs="Simplified Arabic" w:hint="c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117297"/>
    <w:rPr>
      <w:rFonts w:cs="Simplified Arabic" w:hint="c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117297"/>
    <w:rPr>
      <w:rFonts w:cs="Simplified Arabic" w:hint="c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117297"/>
    <w:rPr>
      <w:rFonts w:cs="Simplified Arabic" w:hint="c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117297"/>
    <w:rPr>
      <w:rFonts w:cs="Simplified Arabic" w:hint="c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117297"/>
    <w:rPr>
      <w:rFonts w:cs="Simplified Arabic" w:hint="cs"/>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17297"/>
    <w:rPr>
      <w:rFonts w:cs="Simplified Arabic" w:hint="cs"/>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17297"/>
    <w:rPr>
      <w:rFonts w:cs="Simplified Arabic" w:hint="cs"/>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17297"/>
    <w:rPr>
      <w:rFonts w:cs="Simplified Arabic" w:hint="cs"/>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17297"/>
    <w:rPr>
      <w:rFonts w:cs="Simplified Arabic" w:hint="cs"/>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17297"/>
    <w:rPr>
      <w:rFonts w:cs="Simplified Arabic" w:hint="cs"/>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17297"/>
    <w:rPr>
      <w:rFonts w:cs="Simplified Arabic" w:hint="cs"/>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17297"/>
    <w:rPr>
      <w:rFonts w:cs="Simplified Arabic" w:hint="cs"/>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17297"/>
    <w:rPr>
      <w:rFonts w:cs="Simplified Arabic" w:hint="cs"/>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117297"/>
    <w:rPr>
      <w:rFonts w:cs="Simplified Arabic" w:hint="cs"/>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117297"/>
    <w:rPr>
      <w:rFonts w:cs="Simplified Arabic" w:hint="cs"/>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117297"/>
    <w:rPr>
      <w:rFonts w:cs="Simplified Arabic" w:hint="cs"/>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117297"/>
    <w:rPr>
      <w:rFonts w:cs="Simplified Arabic" w:hint="cs"/>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117297"/>
    <w:rPr>
      <w:rFonts w:cs="Simplified Arabic" w:hint="cs"/>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117297"/>
    <w:rPr>
      <w:rFonts w:cs="Simplified Arabic" w:hint="cs"/>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17297"/>
    <w:rPr>
      <w:rFonts w:cs="Simplified Arabic" w:hint="cs"/>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17297"/>
    <w:rPr>
      <w:rFonts w:cs="Simplified Arabic" w:hint="cs"/>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17297"/>
    <w:rPr>
      <w:rFonts w:cs="Simplified Arabic" w:hint="cs"/>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17297"/>
    <w:rPr>
      <w:rFonts w:cs="Simplified Arabic" w:hint="cs"/>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17297"/>
    <w:rPr>
      <w:rFonts w:cs="Simplified Arabic" w:hint="cs"/>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17297"/>
    <w:rPr>
      <w:rFonts w:cs="Simplified Arabic" w:hint="cs"/>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117297"/>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cs="Consolas"/>
    </w:rPr>
  </w:style>
  <w:style w:type="character" w:customStyle="1" w:styleId="MacroTextChar">
    <w:name w:val="Macro Text Char"/>
    <w:basedOn w:val="DefaultParagraphFont"/>
    <w:link w:val="MacroText"/>
    <w:semiHidden/>
    <w:rsid w:val="00117297"/>
    <w:rPr>
      <w:rFonts w:ascii="Consolas" w:eastAsia="Times New Roman" w:hAnsi="Consolas" w:cs="Consolas"/>
    </w:rPr>
  </w:style>
  <w:style w:type="table" w:styleId="MediumGrid1">
    <w:name w:val="Medium Grid 1"/>
    <w:basedOn w:val="TableNormal"/>
    <w:uiPriority w:val="67"/>
    <w:semiHidden/>
    <w:unhideWhenUsed/>
    <w:rsid w:val="0011729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1729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11729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11729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11729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11729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11729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11729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1729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1729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1729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1729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1729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1729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1729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1729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11729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11729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11729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11729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11729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117297"/>
    <w:rPr>
      <w:rFonts w:cs="Simplified Arabic" w:hint="cs"/>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17297"/>
    <w:rPr>
      <w:rFonts w:cs="Simplified Arabic" w:hint="cs"/>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117297"/>
    <w:rPr>
      <w:rFonts w:cs="Simplified Arabic" w:hint="cs"/>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117297"/>
    <w:rPr>
      <w:rFonts w:cs="Simplified Arabic" w:hint="cs"/>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117297"/>
    <w:rPr>
      <w:rFonts w:cs="Simplified Arabic" w:hint="cs"/>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117297"/>
    <w:rPr>
      <w:rFonts w:cs="Simplified Arabic" w:hint="cs"/>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117297"/>
    <w:rPr>
      <w:rFonts w:cs="Simplified Arabic" w:hint="cs"/>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117297"/>
    <w:rPr>
      <w:rFonts w:cs="Simplified Arabic" w:hint="cs"/>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17297"/>
    <w:rPr>
      <w:rFonts w:cs="Simplified Arabic" w:hint="cs"/>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17297"/>
    <w:rPr>
      <w:rFonts w:cs="Simplified Arabic" w:hint="cs"/>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17297"/>
    <w:rPr>
      <w:rFonts w:cs="Simplified Arabic" w:hint="cs"/>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17297"/>
    <w:rPr>
      <w:rFonts w:cs="Simplified Arabic" w:hint="cs"/>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17297"/>
    <w:rPr>
      <w:rFonts w:cs="Simplified Arabic" w:hint="cs"/>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17297"/>
    <w:rPr>
      <w:rFonts w:cs="Simplified Arabic" w:hint="cs"/>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1729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1729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1729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1729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1729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1729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1729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172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1172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1172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1172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1172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1172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1172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117297"/>
    <w:rPr>
      <w:color w:val="2B579A"/>
      <w:shd w:val="clear" w:color="auto" w:fill="E1DFDD"/>
    </w:rPr>
  </w:style>
  <w:style w:type="paragraph" w:styleId="MessageHeader">
    <w:name w:val="Message Header"/>
    <w:basedOn w:val="Normal"/>
    <w:link w:val="MessageHeaderChar"/>
    <w:semiHidden/>
    <w:rsid w:val="0011729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117297"/>
    <w:rPr>
      <w:rFonts w:asciiTheme="majorHAnsi" w:eastAsiaTheme="majorEastAsia" w:hAnsiTheme="majorHAnsi" w:cstheme="majorBidi"/>
      <w:sz w:val="24"/>
      <w:szCs w:val="24"/>
      <w:shd w:val="pct20" w:color="auto" w:fill="auto"/>
    </w:rPr>
  </w:style>
  <w:style w:type="paragraph" w:styleId="NormalIndent">
    <w:name w:val="Normal Indent"/>
    <w:basedOn w:val="Normal"/>
    <w:semiHidden/>
    <w:unhideWhenUsed/>
    <w:rsid w:val="00117297"/>
    <w:pPr>
      <w:ind w:left="720"/>
    </w:pPr>
  </w:style>
  <w:style w:type="paragraph" w:styleId="NoteHeading">
    <w:name w:val="Note Heading"/>
    <w:basedOn w:val="Normal"/>
    <w:next w:val="Normal"/>
    <w:link w:val="NoteHeadingChar"/>
    <w:semiHidden/>
    <w:unhideWhenUsed/>
    <w:rsid w:val="00117297"/>
  </w:style>
  <w:style w:type="character" w:customStyle="1" w:styleId="NoteHeadingChar">
    <w:name w:val="Note Heading Char"/>
    <w:basedOn w:val="DefaultParagraphFont"/>
    <w:link w:val="NoteHeading"/>
    <w:semiHidden/>
    <w:rsid w:val="00117297"/>
    <w:rPr>
      <w:rFonts w:eastAsia="Times New Roman"/>
    </w:rPr>
  </w:style>
  <w:style w:type="table" w:styleId="PlainTable1">
    <w:name w:val="Plain Table 1"/>
    <w:basedOn w:val="TableNormal"/>
    <w:uiPriority w:val="41"/>
    <w:rsid w:val="0011729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1729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17297"/>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1729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1729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117297"/>
    <w:rPr>
      <w:rFonts w:ascii="Consolas" w:hAnsi="Consolas" w:cs="Consolas"/>
      <w:sz w:val="21"/>
      <w:szCs w:val="21"/>
    </w:rPr>
  </w:style>
  <w:style w:type="character" w:customStyle="1" w:styleId="PlainTextChar">
    <w:name w:val="Plain Text Char"/>
    <w:basedOn w:val="DefaultParagraphFont"/>
    <w:link w:val="PlainText"/>
    <w:semiHidden/>
    <w:rsid w:val="00117297"/>
    <w:rPr>
      <w:rFonts w:ascii="Consolas" w:eastAsia="Times New Roman" w:hAnsi="Consolas" w:cs="Consolas"/>
      <w:sz w:val="21"/>
      <w:szCs w:val="21"/>
    </w:rPr>
  </w:style>
  <w:style w:type="paragraph" w:styleId="Quote">
    <w:name w:val="Quote"/>
    <w:basedOn w:val="Normal"/>
    <w:next w:val="Normal"/>
    <w:link w:val="QuoteChar"/>
    <w:uiPriority w:val="29"/>
    <w:semiHidden/>
    <w:qFormat/>
    <w:rsid w:val="0011729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117297"/>
    <w:rPr>
      <w:rFonts w:eastAsia="Times New Roman"/>
      <w:i/>
      <w:iCs/>
      <w:color w:val="404040" w:themeColor="text1" w:themeTint="BF"/>
    </w:rPr>
  </w:style>
  <w:style w:type="paragraph" w:styleId="Salutation">
    <w:name w:val="Salutation"/>
    <w:basedOn w:val="Normal"/>
    <w:next w:val="Normal"/>
    <w:link w:val="SalutationChar"/>
    <w:semiHidden/>
    <w:unhideWhenUsed/>
    <w:rsid w:val="00117297"/>
  </w:style>
  <w:style w:type="character" w:customStyle="1" w:styleId="SalutationChar">
    <w:name w:val="Salutation Char"/>
    <w:basedOn w:val="DefaultParagraphFont"/>
    <w:link w:val="Salutation"/>
    <w:semiHidden/>
    <w:rsid w:val="00117297"/>
    <w:rPr>
      <w:rFonts w:eastAsia="Times New Roman"/>
    </w:rPr>
  </w:style>
  <w:style w:type="paragraph" w:styleId="Signature">
    <w:name w:val="Signature"/>
    <w:basedOn w:val="Normal"/>
    <w:link w:val="SignatureChar"/>
    <w:semiHidden/>
    <w:unhideWhenUsed/>
    <w:rsid w:val="00117297"/>
    <w:pPr>
      <w:ind w:left="4252"/>
    </w:pPr>
  </w:style>
  <w:style w:type="character" w:customStyle="1" w:styleId="SignatureChar">
    <w:name w:val="Signature Char"/>
    <w:basedOn w:val="DefaultParagraphFont"/>
    <w:link w:val="Signature"/>
    <w:semiHidden/>
    <w:rsid w:val="00117297"/>
    <w:rPr>
      <w:rFonts w:eastAsia="Times New Roman"/>
    </w:rPr>
  </w:style>
  <w:style w:type="character" w:styleId="SmartHyperlink">
    <w:name w:val="Smart Hyperlink"/>
    <w:basedOn w:val="DefaultParagraphFont"/>
    <w:uiPriority w:val="99"/>
    <w:semiHidden/>
    <w:rsid w:val="00117297"/>
    <w:rPr>
      <w:u w:val="dotted"/>
    </w:rPr>
  </w:style>
  <w:style w:type="character" w:styleId="SmartLink">
    <w:name w:val="Smart Link"/>
    <w:basedOn w:val="DefaultParagraphFont"/>
    <w:uiPriority w:val="99"/>
    <w:semiHidden/>
    <w:unhideWhenUsed/>
    <w:rsid w:val="00117297"/>
    <w:rPr>
      <w:color w:val="0000FF"/>
      <w:u w:val="single"/>
      <w:shd w:val="clear" w:color="auto" w:fill="F3F2F1"/>
    </w:rPr>
  </w:style>
  <w:style w:type="character" w:styleId="Strong">
    <w:name w:val="Strong"/>
    <w:basedOn w:val="DefaultParagraphFont"/>
    <w:semiHidden/>
    <w:qFormat/>
    <w:rsid w:val="00117297"/>
    <w:rPr>
      <w:b/>
      <w:bCs/>
    </w:rPr>
  </w:style>
  <w:style w:type="paragraph" w:styleId="Subtitle">
    <w:name w:val="Subtitle"/>
    <w:basedOn w:val="Normal"/>
    <w:next w:val="Normal"/>
    <w:link w:val="SubtitleChar"/>
    <w:semiHidden/>
    <w:qFormat/>
    <w:rsid w:val="0011729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117297"/>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semiHidden/>
    <w:qFormat/>
    <w:rsid w:val="00117297"/>
    <w:rPr>
      <w:i/>
      <w:iCs/>
      <w:color w:val="404040" w:themeColor="text1" w:themeTint="BF"/>
    </w:rPr>
  </w:style>
  <w:style w:type="character" w:styleId="SubtleReference">
    <w:name w:val="Subtle Reference"/>
    <w:basedOn w:val="DefaultParagraphFont"/>
    <w:uiPriority w:val="31"/>
    <w:semiHidden/>
    <w:qFormat/>
    <w:rsid w:val="00117297"/>
    <w:rPr>
      <w:smallCaps/>
      <w:color w:val="5A5A5A" w:themeColor="text1" w:themeTint="A5"/>
    </w:rPr>
  </w:style>
  <w:style w:type="table" w:styleId="Table3Deffects1">
    <w:name w:val="Table 3D effects 1"/>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11729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117297"/>
    <w:pPr>
      <w:tabs>
        <w:tab w:val="clear" w:pos="1247"/>
      </w:tabs>
      <w:ind w:left="200" w:hanging="200"/>
    </w:pPr>
  </w:style>
  <w:style w:type="table" w:styleId="TableProfessional">
    <w:name w:val="Table Professional"/>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117297"/>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11729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117297"/>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117297"/>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17297"/>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styleId="Revision">
    <w:name w:val="Revision"/>
    <w:hidden/>
    <w:uiPriority w:val="99"/>
    <w:semiHidden/>
    <w:rsid w:val="000E2556"/>
    <w:rPr>
      <w:rFonts w:eastAsia="Times New Roman"/>
    </w:rPr>
  </w:style>
  <w:style w:type="paragraph" w:customStyle="1" w:styleId="Headerpool">
    <w:name w:val="Header_pool"/>
    <w:basedOn w:val="Normal"/>
    <w:next w:val="Normal"/>
    <w:semiHidden/>
    <w:rsid w:val="00D44330"/>
    <w:pPr>
      <w:pBdr>
        <w:bottom w:val="single" w:sz="4" w:space="1" w:color="auto"/>
      </w:pBdr>
      <w:tabs>
        <w:tab w:val="center" w:pos="4536"/>
        <w:tab w:val="right" w:pos="9072"/>
      </w:tabs>
      <w:spacing w:after="120"/>
    </w:pPr>
    <w:rPr>
      <w:rFonts w:eastAsia="Times New Roman" w:cs="Times New Roman" w:hint="default"/>
      <w:b/>
      <w:sz w:val="18"/>
      <w:szCs w:val="20"/>
      <w:lang w:val="en-GB" w:eastAsia="en-US"/>
    </w:rPr>
  </w:style>
  <w:style w:type="numbering" w:customStyle="1" w:styleId="NoList1">
    <w:name w:val="No List1"/>
    <w:next w:val="NoList"/>
    <w:uiPriority w:val="99"/>
    <w:semiHidden/>
    <w:unhideWhenUsed/>
    <w:rsid w:val="00D44330"/>
  </w:style>
  <w:style w:type="table" w:customStyle="1" w:styleId="AATable1">
    <w:name w:val="AA_Table1"/>
    <w:basedOn w:val="TableNormal"/>
    <w:semiHidden/>
    <w:rsid w:val="00D44330"/>
    <w:rPr>
      <w:rFonts w:eastAsia="Times New Roman"/>
      <w:lang w:val="en-US" w:eastAsia="en-US"/>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numbering" w:customStyle="1" w:styleId="Normallist1">
    <w:name w:val="Normal_list1"/>
    <w:basedOn w:val="NoList"/>
    <w:rsid w:val="00D44330"/>
  </w:style>
  <w:style w:type="character" w:customStyle="1" w:styleId="FollowedHyperlink1">
    <w:name w:val="FollowedHyperlink1"/>
    <w:semiHidden/>
    <w:unhideWhenUsed/>
    <w:rsid w:val="00D44330"/>
    <w:rPr>
      <w:color w:val="800080"/>
      <w:u w:val="single"/>
    </w:rPr>
  </w:style>
  <w:style w:type="paragraph" w:customStyle="1" w:styleId="NormalWeb1">
    <w:name w:val="Normal (Web)1"/>
    <w:basedOn w:val="Normal"/>
    <w:next w:val="NormalWeb"/>
    <w:uiPriority w:val="99"/>
    <w:semiHidden/>
    <w:unhideWhenUsed/>
    <w:rsid w:val="00D44330"/>
    <w:pPr>
      <w:spacing w:before="100" w:beforeAutospacing="1" w:after="100" w:afterAutospacing="1"/>
    </w:pPr>
    <w:rPr>
      <w:rFonts w:eastAsia="MS Mincho" w:cs="Times New Roman" w:hint="default"/>
      <w:sz w:val="24"/>
      <w:szCs w:val="24"/>
      <w:lang w:val="en-GB" w:eastAsia="en-US"/>
    </w:rPr>
  </w:style>
  <w:style w:type="character" w:customStyle="1" w:styleId="HeaderChar1">
    <w:name w:val="Header Char1"/>
    <w:basedOn w:val="DefaultParagraphFont"/>
    <w:uiPriority w:val="99"/>
    <w:semiHidden/>
    <w:rsid w:val="00D44330"/>
    <w:rPr>
      <w:lang w:eastAsia="en-US"/>
    </w:rPr>
  </w:style>
  <w:style w:type="character" w:customStyle="1" w:styleId="UnresolvedMention1">
    <w:name w:val="Unresolved Mention1"/>
    <w:basedOn w:val="DefaultParagraphFont"/>
    <w:uiPriority w:val="99"/>
    <w:semiHidden/>
    <w:unhideWhenUsed/>
    <w:rsid w:val="00D44330"/>
    <w:rPr>
      <w:color w:val="605E5C"/>
      <w:shd w:val="clear" w:color="auto" w:fill="E1DFDD"/>
    </w:rPr>
  </w:style>
  <w:style w:type="character" w:customStyle="1" w:styleId="UnresolvedMention2">
    <w:name w:val="Unresolved Mention2"/>
    <w:basedOn w:val="DefaultParagraphFont"/>
    <w:uiPriority w:val="99"/>
    <w:semiHidden/>
    <w:unhideWhenUsed/>
    <w:rsid w:val="00D44330"/>
    <w:rPr>
      <w:color w:val="605E5C"/>
      <w:shd w:val="clear" w:color="auto" w:fill="E1DFDD"/>
    </w:rPr>
  </w:style>
  <w:style w:type="paragraph" w:customStyle="1" w:styleId="Subparagraph">
    <w:name w:val="Subparagraph"/>
    <w:basedOn w:val="Normal"/>
    <w:qFormat/>
    <w:rsid w:val="00D44330"/>
    <w:pPr>
      <w:tabs>
        <w:tab w:val="num" w:pos="1134"/>
        <w:tab w:val="left" w:pos="4082"/>
      </w:tabs>
      <w:spacing w:after="120"/>
      <w:ind w:left="1247" w:firstLine="567"/>
    </w:pPr>
    <w:rPr>
      <w:rFonts w:eastAsia="Times New Roman" w:cs="Times New Roman" w:hint="default"/>
      <w:szCs w:val="20"/>
      <w:lang w:val="en-GB" w:eastAsia="en-US"/>
    </w:rPr>
  </w:style>
  <w:style w:type="character" w:customStyle="1" w:styleId="UnresolvedMention3">
    <w:name w:val="Unresolved Mention3"/>
    <w:basedOn w:val="DefaultParagraphFont"/>
    <w:uiPriority w:val="99"/>
    <w:semiHidden/>
    <w:unhideWhenUsed/>
    <w:rsid w:val="00D44330"/>
    <w:rPr>
      <w:color w:val="605E5C"/>
      <w:shd w:val="clear" w:color="auto" w:fill="E1DFDD"/>
    </w:rPr>
  </w:style>
  <w:style w:type="character" w:customStyle="1" w:styleId="A4">
    <w:name w:val="A4"/>
    <w:uiPriority w:val="99"/>
    <w:rsid w:val="00D44330"/>
    <w:rPr>
      <w:rFonts w:cs="Roboto"/>
      <w:color w:val="000000"/>
      <w:sz w:val="20"/>
      <w:szCs w:val="20"/>
    </w:rPr>
  </w:style>
  <w:style w:type="character" w:customStyle="1" w:styleId="CH2Char">
    <w:name w:val="CH2 Char"/>
    <w:link w:val="CH2"/>
    <w:locked/>
    <w:rsid w:val="00D44330"/>
    <w:rPr>
      <w:rFonts w:eastAsia="Times New Roman"/>
      <w:b/>
      <w:sz w:val="24"/>
      <w:szCs w:val="24"/>
    </w:rPr>
  </w:style>
  <w:style w:type="paragraph" w:customStyle="1" w:styleId="Default">
    <w:name w:val="Default"/>
    <w:rsid w:val="00D44330"/>
    <w:pPr>
      <w:autoSpaceDE w:val="0"/>
      <w:autoSpaceDN w:val="0"/>
      <w:adjustRightInd w:val="0"/>
    </w:pPr>
    <w:rPr>
      <w:rFonts w:ascii="Courier New" w:eastAsia="Times New Roman" w:hAnsi="Courier New" w:cs="Courier New"/>
      <w:color w:val="000000"/>
      <w:sz w:val="24"/>
      <w:szCs w:val="24"/>
      <w:lang w:val="en-US" w:eastAsia="en-GB"/>
    </w:rPr>
  </w:style>
  <w:style w:type="character" w:customStyle="1" w:styleId="normaltextrun">
    <w:name w:val="normaltextrun"/>
    <w:basedOn w:val="DefaultParagraphFont"/>
    <w:rsid w:val="00D44330"/>
  </w:style>
  <w:style w:type="character" w:customStyle="1" w:styleId="eop">
    <w:name w:val="eop"/>
    <w:basedOn w:val="DefaultParagraphFont"/>
    <w:rsid w:val="00D44330"/>
  </w:style>
  <w:style w:type="character" w:customStyle="1" w:styleId="Normal-poolChar">
    <w:name w:val="Normal-pool Char"/>
    <w:link w:val="Normal-pool"/>
    <w:locked/>
    <w:rsid w:val="00D44330"/>
    <w:rPr>
      <w:rFonts w:eastAsia="Times New Roman"/>
    </w:rPr>
  </w:style>
  <w:style w:type="paragraph" w:customStyle="1" w:styleId="Normalpool">
    <w:name w:val="Normal_pool"/>
    <w:link w:val="NormalpoolChar"/>
    <w:qFormat/>
    <w:rsid w:val="00D44330"/>
    <w:pPr>
      <w:tabs>
        <w:tab w:val="left" w:pos="624"/>
      </w:tabs>
    </w:pPr>
    <w:rPr>
      <w:rFonts w:eastAsia="Times New Roman"/>
      <w:lang w:val="en-GB" w:eastAsia="en-US"/>
    </w:rPr>
  </w:style>
  <w:style w:type="character" w:customStyle="1" w:styleId="NormalpoolChar">
    <w:name w:val="Normal_pool Char"/>
    <w:link w:val="Normalpool"/>
    <w:locked/>
    <w:rsid w:val="00D44330"/>
    <w:rPr>
      <w:rFonts w:eastAsia="Times New Roman"/>
      <w:lang w:val="en-GB" w:eastAsia="en-US"/>
    </w:rPr>
  </w:style>
  <w:style w:type="character" w:customStyle="1" w:styleId="UnresolvedMention4">
    <w:name w:val="Unresolved Mention4"/>
    <w:basedOn w:val="DefaultParagraphFont"/>
    <w:uiPriority w:val="99"/>
    <w:semiHidden/>
    <w:rsid w:val="00D44330"/>
    <w:rPr>
      <w:color w:val="605E5C"/>
      <w:shd w:val="clear" w:color="auto" w:fill="E1DFDD"/>
    </w:rPr>
  </w:style>
  <w:style w:type="paragraph" w:customStyle="1" w:styleId="ARNormal-pool">
    <w:name w:val="AR_Normal-pool"/>
    <w:basedOn w:val="Normal"/>
    <w:link w:val="ARNormal-poolChar"/>
    <w:qFormat/>
    <w:rsid w:val="00D44330"/>
    <w:pPr>
      <w:tabs>
        <w:tab w:val="left" w:pos="4082"/>
      </w:tabs>
      <w:jc w:val="both"/>
    </w:pPr>
    <w:rPr>
      <w:rFonts w:cs="Times New Roman" w:hint="default"/>
      <w:szCs w:val="20"/>
      <w:lang w:val="ru-RU" w:eastAsia="en-US"/>
    </w:rPr>
  </w:style>
  <w:style w:type="character" w:customStyle="1" w:styleId="ARNormal-poolChar">
    <w:name w:val="AR_Normal-pool Char"/>
    <w:link w:val="ARNormal-pool"/>
    <w:rsid w:val="00D44330"/>
    <w:rPr>
      <w:lang w:val="ru-RU" w:eastAsia="en-US"/>
    </w:rPr>
  </w:style>
  <w:style w:type="paragraph" w:customStyle="1" w:styleId="ARAATitle">
    <w:name w:val="AR_AA_Title"/>
    <w:basedOn w:val="ARNormal-pool"/>
    <w:qFormat/>
    <w:rsid w:val="00D44330"/>
    <w:pPr>
      <w:keepNext/>
      <w:keepLines/>
      <w:suppressAutoHyphens/>
      <w:spacing w:line="320" w:lineRule="exact"/>
      <w:jc w:val="left"/>
    </w:pPr>
    <w:rPr>
      <w:rFonts w:ascii="Simplified Arabic" w:hAnsi="Simplified Arabic"/>
      <w:b/>
      <w:bCs/>
      <w:sz w:val="24"/>
    </w:rPr>
  </w:style>
  <w:style w:type="paragraph" w:customStyle="1" w:styleId="ARAATitle2">
    <w:name w:val="AR_AA_Title2"/>
    <w:basedOn w:val="ARAATitle"/>
    <w:qFormat/>
    <w:rsid w:val="00D44330"/>
    <w:pPr>
      <w:tabs>
        <w:tab w:val="clear" w:pos="4082"/>
      </w:tabs>
      <w:spacing w:before="120" w:line="360" w:lineRule="exact"/>
    </w:pPr>
  </w:style>
  <w:style w:type="paragraph" w:customStyle="1" w:styleId="ARBBTitle">
    <w:name w:val="AR_BB_Title"/>
    <w:basedOn w:val="ARNormal-pool"/>
    <w:link w:val="ARBBTitleChar"/>
    <w:qFormat/>
    <w:rsid w:val="00D44330"/>
    <w:pPr>
      <w:keepNext/>
      <w:keepLines/>
      <w:suppressAutoHyphens/>
      <w:spacing w:before="360" w:after="240"/>
      <w:ind w:left="1247" w:right="567"/>
    </w:pPr>
    <w:rPr>
      <w:rFonts w:ascii="Simplified Arabic" w:hAnsi="Simplified Arabic"/>
      <w:b/>
      <w:bCs/>
      <w:sz w:val="28"/>
      <w:szCs w:val="28"/>
    </w:rPr>
  </w:style>
  <w:style w:type="character" w:customStyle="1" w:styleId="ARBBTitleChar">
    <w:name w:val="AR_BB_Title Char"/>
    <w:link w:val="ARBBTitle"/>
    <w:rsid w:val="00D44330"/>
    <w:rPr>
      <w:rFonts w:ascii="Simplified Arabic" w:hAnsi="Simplified Arabic"/>
      <w:b/>
      <w:bCs/>
      <w:sz w:val="28"/>
      <w:szCs w:val="28"/>
      <w:lang w:val="ru-RU" w:eastAsia="en-US"/>
    </w:rPr>
  </w:style>
  <w:style w:type="paragraph" w:customStyle="1" w:styleId="ARCH1">
    <w:name w:val="AR_CH1"/>
    <w:basedOn w:val="ARNormal-pool"/>
    <w:next w:val="Normal"/>
    <w:qFormat/>
    <w:rsid w:val="00D44330"/>
    <w:pPr>
      <w:keepNext/>
      <w:keepLines/>
      <w:tabs>
        <w:tab w:val="right" w:pos="851"/>
      </w:tabs>
      <w:suppressAutoHyphens/>
      <w:spacing w:before="240"/>
      <w:ind w:left="1247" w:right="284" w:hanging="1247"/>
    </w:pPr>
    <w:rPr>
      <w:rFonts w:ascii="Simplified Arabic" w:hAnsi="Simplified Arabic"/>
      <w:b/>
      <w:bCs/>
      <w:sz w:val="28"/>
      <w:szCs w:val="28"/>
    </w:rPr>
  </w:style>
  <w:style w:type="paragraph" w:customStyle="1" w:styleId="ARCH2">
    <w:name w:val="AR_CH2"/>
    <w:basedOn w:val="ARNormal-pool"/>
    <w:next w:val="Normal"/>
    <w:link w:val="ARCH2Char"/>
    <w:qFormat/>
    <w:rsid w:val="00D44330"/>
    <w:pPr>
      <w:keepNext/>
      <w:keepLines/>
      <w:tabs>
        <w:tab w:val="right" w:pos="851"/>
      </w:tabs>
      <w:suppressAutoHyphens/>
      <w:bidi/>
      <w:spacing w:before="240"/>
    </w:pPr>
    <w:rPr>
      <w:rFonts w:ascii="Simplified Arabic" w:hAnsi="Simplified Arabic"/>
      <w:b/>
      <w:bCs/>
      <w:sz w:val="24"/>
      <w:lang w:val="en-GB"/>
    </w:rPr>
  </w:style>
  <w:style w:type="character" w:customStyle="1" w:styleId="ARCH2Char">
    <w:name w:val="AR_CH2 Char"/>
    <w:link w:val="ARCH2"/>
    <w:locked/>
    <w:rsid w:val="00D44330"/>
    <w:rPr>
      <w:rFonts w:ascii="Simplified Arabic" w:hAnsi="Simplified Arabic"/>
      <w:b/>
      <w:bCs/>
      <w:sz w:val="24"/>
      <w:lang w:val="en-GB" w:eastAsia="en-US"/>
    </w:rPr>
  </w:style>
  <w:style w:type="paragraph" w:customStyle="1" w:styleId="ARCH3">
    <w:name w:val="AR_CH3"/>
    <w:basedOn w:val="ARNormal-pool"/>
    <w:next w:val="Normal"/>
    <w:rsid w:val="00D44330"/>
    <w:pPr>
      <w:keepNext/>
      <w:keepLines/>
      <w:tabs>
        <w:tab w:val="right" w:pos="851"/>
      </w:tabs>
      <w:suppressAutoHyphens/>
      <w:spacing w:before="240"/>
      <w:ind w:left="1247" w:right="284" w:hanging="1247"/>
    </w:pPr>
    <w:rPr>
      <w:b/>
      <w:bCs/>
      <w:lang w:val="fr-CA"/>
    </w:rPr>
  </w:style>
  <w:style w:type="paragraph" w:customStyle="1" w:styleId="ARCH4">
    <w:name w:val="AR_CH4"/>
    <w:basedOn w:val="ARNormal-pool"/>
    <w:next w:val="Normal"/>
    <w:rsid w:val="00D44330"/>
    <w:pPr>
      <w:keepNext/>
      <w:keepLines/>
      <w:tabs>
        <w:tab w:val="right" w:pos="851"/>
      </w:tabs>
      <w:suppressAutoHyphens/>
      <w:ind w:left="1247" w:right="284" w:hanging="1247"/>
    </w:pPr>
    <w:rPr>
      <w:rFonts w:ascii="Times New Roman Bold" w:hAnsi="Times New Roman Bold"/>
      <w:b/>
      <w:lang w:val="fr-CA"/>
    </w:rPr>
  </w:style>
  <w:style w:type="paragraph" w:customStyle="1" w:styleId="ARCH5">
    <w:name w:val="AR_CH5"/>
    <w:basedOn w:val="Normal"/>
    <w:next w:val="Normal"/>
    <w:rsid w:val="00D44330"/>
    <w:pPr>
      <w:keepNext/>
      <w:keepLines/>
      <w:tabs>
        <w:tab w:val="right" w:pos="851"/>
        <w:tab w:val="left" w:pos="4082"/>
      </w:tabs>
      <w:suppressAutoHyphens/>
      <w:ind w:left="1247" w:right="284" w:hanging="1247"/>
    </w:pPr>
    <w:rPr>
      <w:rFonts w:eastAsia="Times New Roman" w:cs="Times New Roman" w:hint="default"/>
      <w:b/>
      <w:szCs w:val="20"/>
      <w:lang w:val="fr-CA" w:eastAsia="en-US"/>
    </w:rPr>
  </w:style>
  <w:style w:type="paragraph" w:customStyle="1" w:styleId="ARFooter-pool">
    <w:name w:val="AR_Footer-pool"/>
    <w:basedOn w:val="ARNormal-pool"/>
    <w:next w:val="ARNormal-pool"/>
    <w:qFormat/>
    <w:rsid w:val="00D44330"/>
    <w:pPr>
      <w:tabs>
        <w:tab w:val="left" w:pos="4321"/>
        <w:tab w:val="right" w:pos="8641"/>
      </w:tabs>
      <w:spacing w:before="60"/>
    </w:pPr>
    <w:rPr>
      <w:rFonts w:ascii="Times New Roman Bold" w:hAnsi="Times New Roman Bold" w:cs="Times New Roman Bold"/>
      <w:b/>
      <w:bCs/>
      <w:sz w:val="18"/>
      <w:szCs w:val="18"/>
    </w:rPr>
  </w:style>
  <w:style w:type="paragraph" w:customStyle="1" w:styleId="ARFootnoteText">
    <w:name w:val="AR_Footnote_Text"/>
    <w:basedOn w:val="ARNormal-pool"/>
    <w:link w:val="ARFootnoteTextChar"/>
    <w:qFormat/>
    <w:rsid w:val="00D44330"/>
    <w:pPr>
      <w:spacing w:before="20" w:after="40" w:line="240" w:lineRule="exact"/>
      <w:ind w:left="1247"/>
    </w:pPr>
    <w:rPr>
      <w:rFonts w:ascii="Simplified Arabic" w:hAnsi="Simplified Arabic"/>
    </w:rPr>
  </w:style>
  <w:style w:type="character" w:customStyle="1" w:styleId="ARFootnoteTextChar">
    <w:name w:val="AR_Footnote_Text Char"/>
    <w:basedOn w:val="ARNormal-poolChar"/>
    <w:link w:val="ARFootnoteText"/>
    <w:rsid w:val="00D44330"/>
    <w:rPr>
      <w:rFonts w:ascii="Simplified Arabic" w:hAnsi="Simplified Arabic"/>
      <w:lang w:val="ru-RU" w:eastAsia="en-US"/>
    </w:rPr>
  </w:style>
  <w:style w:type="paragraph" w:customStyle="1" w:styleId="ARHeader-pool">
    <w:name w:val="AR_Header-pool"/>
    <w:basedOn w:val="ARNormal-pool"/>
    <w:next w:val="ARNormal-pool"/>
    <w:qFormat/>
    <w:rsid w:val="00D44330"/>
    <w:pPr>
      <w:pBdr>
        <w:bottom w:val="single" w:sz="4" w:space="1" w:color="auto"/>
      </w:pBdr>
      <w:tabs>
        <w:tab w:val="clear" w:pos="1814"/>
        <w:tab w:val="clear" w:pos="2381"/>
        <w:tab w:val="clear" w:pos="2948"/>
        <w:tab w:val="clear" w:pos="3515"/>
        <w:tab w:val="center" w:pos="4536"/>
        <w:tab w:val="right" w:pos="9072"/>
      </w:tabs>
    </w:pPr>
    <w:rPr>
      <w:rFonts w:ascii="Times New Roman Bold" w:hAnsi="Times New Roman Bold" w:cs="Times New Roman Bold"/>
      <w:b/>
      <w:bCs/>
      <w:sz w:val="18"/>
      <w:szCs w:val="18"/>
    </w:rPr>
  </w:style>
  <w:style w:type="paragraph" w:customStyle="1" w:styleId="ARNormalNonumber">
    <w:name w:val="AR_Normal_No_number"/>
    <w:basedOn w:val="ARNormal-pool"/>
    <w:qFormat/>
    <w:rsid w:val="00D44330"/>
    <w:pPr>
      <w:ind w:left="1247"/>
    </w:pPr>
  </w:style>
  <w:style w:type="paragraph" w:customStyle="1" w:styleId="ARNormalnumber">
    <w:name w:val="AR_Normal_number"/>
    <w:basedOn w:val="ARNormal-pool"/>
    <w:link w:val="ARNormalnumberChar"/>
    <w:qFormat/>
    <w:rsid w:val="00D44330"/>
    <w:pPr>
      <w:tabs>
        <w:tab w:val="num" w:pos="567"/>
      </w:tabs>
      <w:ind w:left="1247"/>
    </w:pPr>
    <w:rPr>
      <w:rFonts w:ascii="Simplified Arabic" w:eastAsia="Times New Roman" w:hAnsi="Simplified Arabic"/>
      <w:sz w:val="24"/>
    </w:rPr>
  </w:style>
  <w:style w:type="character" w:customStyle="1" w:styleId="ARNormalnumberChar">
    <w:name w:val="AR_Normal_number Char"/>
    <w:link w:val="ARNormalnumber"/>
    <w:rsid w:val="00D44330"/>
    <w:rPr>
      <w:rFonts w:ascii="Simplified Arabic" w:eastAsia="Times New Roman" w:hAnsi="Simplified Arabic"/>
      <w:sz w:val="24"/>
      <w:lang w:val="ru-RU" w:eastAsia="en-US"/>
    </w:rPr>
  </w:style>
  <w:style w:type="paragraph" w:customStyle="1" w:styleId="ARNormal-pool-Table">
    <w:name w:val="AR_Normal-pool-Table"/>
    <w:basedOn w:val="ARNormal-pool"/>
    <w:link w:val="ARNormal-pool-TableChar"/>
    <w:qFormat/>
    <w:rsid w:val="00D44330"/>
    <w:pPr>
      <w:bidi/>
      <w:spacing w:before="40" w:after="40"/>
      <w:ind w:right="113"/>
      <w:textDirection w:val="tbRlV"/>
    </w:pPr>
    <w:rPr>
      <w:rFonts w:ascii="Simplified Arabic" w:hAnsi="Simplified Arabic"/>
    </w:rPr>
  </w:style>
  <w:style w:type="character" w:customStyle="1" w:styleId="ARNormal-pool-TableChar">
    <w:name w:val="AR_Normal-pool-Table Char"/>
    <w:basedOn w:val="ARNormal-poolChar"/>
    <w:link w:val="ARNormal-pool-Table"/>
    <w:rsid w:val="00D44330"/>
    <w:rPr>
      <w:rFonts w:ascii="Simplified Arabic" w:hAnsi="Simplified Arabic"/>
      <w:lang w:val="ru-RU" w:eastAsia="en-US"/>
    </w:rPr>
  </w:style>
  <w:style w:type="paragraph" w:customStyle="1" w:styleId="ARTitletable">
    <w:name w:val="AR_Title_table"/>
    <w:basedOn w:val="ARNormal-pool"/>
    <w:qFormat/>
    <w:rsid w:val="00D44330"/>
    <w:pPr>
      <w:keepNext/>
      <w:keepLines/>
      <w:suppressAutoHyphens/>
      <w:spacing w:after="60"/>
      <w:ind w:left="1247"/>
    </w:pPr>
    <w:rPr>
      <w:b/>
      <w:bCs/>
    </w:rPr>
  </w:style>
  <w:style w:type="paragraph" w:customStyle="1" w:styleId="ARTitlefigure">
    <w:name w:val="AR_Title_figure"/>
    <w:basedOn w:val="ARTitletable"/>
    <w:next w:val="ARNormalNonumber"/>
    <w:qFormat/>
    <w:rsid w:val="00D44330"/>
    <w:rPr>
      <w:bCs w:val="0"/>
    </w:rPr>
  </w:style>
  <w:style w:type="paragraph" w:customStyle="1" w:styleId="ARZZAnxheader">
    <w:name w:val="AR_ZZ_Anx_header"/>
    <w:basedOn w:val="ARNormal-pool"/>
    <w:qFormat/>
    <w:rsid w:val="00D44330"/>
    <w:rPr>
      <w:b/>
      <w:bCs/>
      <w:sz w:val="28"/>
      <w:szCs w:val="22"/>
    </w:rPr>
  </w:style>
  <w:style w:type="paragraph" w:customStyle="1" w:styleId="ARZZAnxtitle">
    <w:name w:val="AR_ZZ_Anx_title"/>
    <w:basedOn w:val="ARNormal-pool"/>
    <w:link w:val="ARZZAnxtitleChar"/>
    <w:qFormat/>
    <w:rsid w:val="00D44330"/>
    <w:pPr>
      <w:spacing w:before="360"/>
      <w:ind w:left="1247"/>
    </w:pPr>
    <w:rPr>
      <w:b/>
      <w:bCs/>
      <w:sz w:val="28"/>
      <w:szCs w:val="26"/>
    </w:rPr>
  </w:style>
  <w:style w:type="character" w:customStyle="1" w:styleId="ARZZAnxtitleChar">
    <w:name w:val="AR_ZZ_Anx_title Char"/>
    <w:link w:val="ARZZAnxtitle"/>
    <w:rsid w:val="00D44330"/>
    <w:rPr>
      <w:b/>
      <w:bCs/>
      <w:sz w:val="28"/>
      <w:szCs w:val="26"/>
      <w:lang w:val="ru-RU" w:eastAsia="en-US"/>
    </w:rPr>
  </w:style>
  <w:style w:type="paragraph" w:customStyle="1" w:styleId="ARAATitle1">
    <w:name w:val="AR_AA_Title1"/>
    <w:basedOn w:val="ARAATitle"/>
    <w:qFormat/>
    <w:rsid w:val="00D44330"/>
    <w:pPr>
      <w:bidi/>
    </w:pPr>
    <w:rPr>
      <w:b w:val="0"/>
    </w:rPr>
  </w:style>
  <w:style w:type="numbering" w:customStyle="1" w:styleId="Normallist2">
    <w:name w:val="Normal_list2"/>
    <w:rsid w:val="00D44330"/>
    <w:pPr>
      <w:numPr>
        <w:numId w:val="21"/>
      </w:numPr>
    </w:p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qFormat/>
    <w:rsid w:val="00D44330"/>
    <w:pPr>
      <w:tabs>
        <w:tab w:val="clear" w:pos="1247"/>
        <w:tab w:val="clear" w:pos="1814"/>
        <w:tab w:val="clear" w:pos="2381"/>
        <w:tab w:val="clear" w:pos="2948"/>
        <w:tab w:val="clear" w:pos="3515"/>
        <w:tab w:val="left" w:pos="720"/>
      </w:tabs>
      <w:spacing w:after="160" w:line="240" w:lineRule="exact"/>
      <w:jc w:val="both"/>
    </w:pPr>
    <w:rPr>
      <w:rFonts w:cs="Times New Roman" w:hint="default"/>
      <w:szCs w:val="18"/>
      <w:vertAlign w:val="superscript"/>
    </w:rPr>
  </w:style>
  <w:style w:type="character" w:customStyle="1" w:styleId="Norma-poolChar">
    <w:name w:val="Norma-pool Char"/>
    <w:link w:val="Norma-pool"/>
    <w:locked/>
    <w:rsid w:val="00D44330"/>
    <w:rPr>
      <w:iCs/>
      <w:szCs w:val="18"/>
    </w:rPr>
  </w:style>
  <w:style w:type="paragraph" w:customStyle="1" w:styleId="Norma-pool">
    <w:name w:val="Norma-pool"/>
    <w:link w:val="Norma-poolChar"/>
    <w:qFormat/>
    <w:rsid w:val="00D44330"/>
    <w:pPr>
      <w:tabs>
        <w:tab w:val="left" w:pos="624"/>
      </w:tabs>
    </w:pPr>
    <w:rPr>
      <w:iCs/>
      <w:szCs w:val="18"/>
    </w:rPr>
  </w:style>
  <w:style w:type="table" w:customStyle="1" w:styleId="TableGrid10">
    <w:name w:val="Table Grid1"/>
    <w:basedOn w:val="TableNormal"/>
    <w:next w:val="TableGrid"/>
    <w:rsid w:val="00D44330"/>
    <w:rPr>
      <w:rFonts w:eastAsia="Times New Roman" w:cs="Traditional Arabic"/>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D44330"/>
    <w:rPr>
      <w:rFonts w:eastAsia="Times New Roman"/>
      <w:lang w:val="en-GB" w:eastAsia="en-GB"/>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2">
    <w:name w:val="No List2"/>
    <w:next w:val="NoList"/>
    <w:uiPriority w:val="99"/>
    <w:semiHidden/>
    <w:unhideWhenUsed/>
    <w:rsid w:val="00D44330"/>
  </w:style>
  <w:style w:type="paragraph" w:customStyle="1" w:styleId="Level1">
    <w:name w:val="Level1"/>
    <w:basedOn w:val="Normal"/>
    <w:rsid w:val="00D44330"/>
    <w:pPr>
      <w:tabs>
        <w:tab w:val="clear" w:pos="1247"/>
        <w:tab w:val="clear" w:pos="1814"/>
        <w:tab w:val="clear" w:pos="2381"/>
        <w:tab w:val="clear" w:pos="2948"/>
        <w:tab w:val="clear" w:pos="3515"/>
        <w:tab w:val="left" w:pos="578"/>
        <w:tab w:val="left" w:pos="1157"/>
      </w:tabs>
      <w:spacing w:after="240"/>
    </w:pPr>
    <w:rPr>
      <w:rFonts w:eastAsia="Times New Roman" w:cs="Times New Roman" w:hint="default"/>
      <w:szCs w:val="22"/>
      <w:lang w:val="en-GB" w:eastAsia="fr-FR"/>
    </w:rPr>
  </w:style>
  <w:style w:type="paragraph" w:customStyle="1" w:styleId="font6">
    <w:name w:val="font6"/>
    <w:basedOn w:val="Normal"/>
    <w:rsid w:val="00D44330"/>
    <w:pPr>
      <w:tabs>
        <w:tab w:val="clear" w:pos="1247"/>
        <w:tab w:val="clear" w:pos="1814"/>
        <w:tab w:val="clear" w:pos="2381"/>
        <w:tab w:val="clear" w:pos="2948"/>
        <w:tab w:val="clear" w:pos="3515"/>
      </w:tabs>
      <w:spacing w:before="100" w:beforeAutospacing="1" w:after="100" w:afterAutospacing="1"/>
    </w:pPr>
    <w:rPr>
      <w:rFonts w:ascii="Arial" w:eastAsia="Arial Unicode MS" w:hAnsi="Arial" w:cs="Arial" w:hint="default"/>
      <w:szCs w:val="20"/>
      <w:lang w:eastAsia="fr-FR"/>
    </w:rPr>
  </w:style>
  <w:style w:type="paragraph" w:customStyle="1" w:styleId="SingleTxt">
    <w:name w:val="__Single Txt"/>
    <w:basedOn w:val="Normal"/>
    <w:rsid w:val="00D44330"/>
    <w:pPr>
      <w:tabs>
        <w:tab w:val="clear" w:pos="1247"/>
        <w:tab w:val="clear" w:pos="1814"/>
        <w:tab w:val="clear" w:pos="2381"/>
        <w:tab w:val="clear" w:pos="2948"/>
        <w:tab w:val="clear" w:pos="3515"/>
        <w:tab w:val="left" w:pos="1267"/>
        <w:tab w:val="left" w:pos="1930"/>
        <w:tab w:val="left" w:pos="2592"/>
        <w:tab w:val="left" w:pos="3254"/>
        <w:tab w:val="left" w:pos="3917"/>
        <w:tab w:val="left" w:pos="4579"/>
        <w:tab w:val="left" w:pos="5242"/>
        <w:tab w:val="left" w:pos="5904"/>
        <w:tab w:val="left" w:pos="6566"/>
      </w:tabs>
      <w:spacing w:after="120" w:line="400" w:lineRule="exact"/>
      <w:ind w:left="1267" w:right="1267"/>
      <w:jc w:val="lowKashida"/>
    </w:pPr>
    <w:rPr>
      <w:rFonts w:eastAsia="Times New Roman" w:cs="Traditional Arabic" w:hint="default"/>
      <w:w w:val="103"/>
      <w:kern w:val="14"/>
      <w:lang w:val="en-US" w:eastAsia="en-US"/>
    </w:rPr>
  </w:style>
  <w:style w:type="paragraph" w:customStyle="1" w:styleId="ListParagraph1">
    <w:name w:val="List Paragraph1"/>
    <w:basedOn w:val="Normal"/>
    <w:rsid w:val="00D44330"/>
    <w:pPr>
      <w:tabs>
        <w:tab w:val="clear" w:pos="1247"/>
        <w:tab w:val="clear" w:pos="1814"/>
        <w:tab w:val="clear" w:pos="2381"/>
        <w:tab w:val="clear" w:pos="2948"/>
        <w:tab w:val="clear" w:pos="3515"/>
      </w:tabs>
      <w:spacing w:after="120"/>
      <w:ind w:left="720"/>
      <w:contextualSpacing/>
      <w:jc w:val="both"/>
    </w:pPr>
    <w:rPr>
      <w:rFonts w:ascii="Cambria" w:eastAsia="MS Mincho" w:hAnsi="Cambria" w:cs="Times New Roman" w:hint="default"/>
      <w:sz w:val="24"/>
      <w:szCs w:val="20"/>
      <w:lang w:val="de-DE" w:eastAsia="en-US"/>
    </w:rPr>
  </w:style>
  <w:style w:type="character" w:customStyle="1" w:styleId="BBTitleChar">
    <w:name w:val="BB_Title Char"/>
    <w:link w:val="BBTitle"/>
    <w:rsid w:val="00D44330"/>
    <w:rPr>
      <w:rFonts w:eastAsia="Times New Roman"/>
      <w:b/>
      <w:sz w:val="28"/>
      <w:szCs w:val="28"/>
    </w:rPr>
  </w:style>
  <w:style w:type="numbering" w:customStyle="1" w:styleId="Normallist3">
    <w:name w:val="Normal_list3"/>
    <w:basedOn w:val="NoList"/>
    <w:rsid w:val="00D44330"/>
  </w:style>
  <w:style w:type="paragraph" w:customStyle="1" w:styleId="Char1CharCharCharCharCharChar">
    <w:name w:val="Char1 Char Char Char Char Char Char"/>
    <w:basedOn w:val="Normal"/>
    <w:rsid w:val="00D44330"/>
    <w:pPr>
      <w:tabs>
        <w:tab w:val="clear" w:pos="1247"/>
        <w:tab w:val="clear" w:pos="1814"/>
        <w:tab w:val="clear" w:pos="2381"/>
        <w:tab w:val="clear" w:pos="2948"/>
        <w:tab w:val="clear" w:pos="3515"/>
      </w:tabs>
      <w:spacing w:after="160" w:line="240" w:lineRule="exact"/>
    </w:pPr>
    <w:rPr>
      <w:rFonts w:ascii="Tahoma" w:eastAsia="Times New Roman" w:hAnsi="Tahoma" w:cs="Times New Roman" w:hint="default"/>
      <w:szCs w:val="20"/>
      <w:lang w:val="en-US" w:eastAsia="en-US"/>
    </w:rPr>
  </w:style>
  <w:style w:type="paragraph" w:customStyle="1" w:styleId="Paralevel1">
    <w:name w:val="Para level1"/>
    <w:basedOn w:val="Normal"/>
    <w:autoRedefine/>
    <w:rsid w:val="00D44330"/>
    <w:pPr>
      <w:tabs>
        <w:tab w:val="clear" w:pos="1247"/>
        <w:tab w:val="clear" w:pos="1814"/>
        <w:tab w:val="clear" w:pos="2381"/>
        <w:tab w:val="clear" w:pos="2948"/>
        <w:tab w:val="clear" w:pos="3515"/>
      </w:tabs>
      <w:spacing w:after="120"/>
      <w:ind w:left="1247"/>
    </w:pPr>
    <w:rPr>
      <w:rFonts w:eastAsia="Times New Roman" w:cs="Times New Roman" w:hint="default"/>
      <w:szCs w:val="20"/>
      <w:lang w:val="en-US" w:eastAsia="en-US"/>
    </w:rPr>
  </w:style>
  <w:style w:type="paragraph" w:customStyle="1" w:styleId="Style15">
    <w:name w:val="Style15"/>
    <w:basedOn w:val="Normal"/>
    <w:uiPriority w:val="99"/>
    <w:qFormat/>
    <w:rsid w:val="00D44330"/>
    <w:pPr>
      <w:tabs>
        <w:tab w:val="clear" w:pos="1247"/>
        <w:tab w:val="clear" w:pos="1814"/>
        <w:tab w:val="clear" w:pos="2381"/>
        <w:tab w:val="clear" w:pos="2948"/>
        <w:tab w:val="clear" w:pos="3515"/>
        <w:tab w:val="left" w:pos="720"/>
        <w:tab w:val="left" w:pos="1080"/>
      </w:tabs>
    </w:pPr>
    <w:rPr>
      <w:rFonts w:eastAsia="Times New Roman" w:cs="Times New Roman" w:hint="default"/>
      <w:b/>
      <w:color w:val="000000"/>
      <w:szCs w:val="20"/>
      <w:lang w:val="en-GB"/>
    </w:rPr>
  </w:style>
  <w:style w:type="character" w:customStyle="1" w:styleId="DeltaViewInsertion">
    <w:name w:val="DeltaView Insertion"/>
    <w:uiPriority w:val="99"/>
    <w:rsid w:val="00D44330"/>
    <w:rPr>
      <w:color w:val="0000FF"/>
      <w:u w:val="double"/>
    </w:rPr>
  </w:style>
  <w:style w:type="character" w:customStyle="1" w:styleId="content">
    <w:name w:val="content"/>
    <w:basedOn w:val="DefaultParagraphFont"/>
    <w:rsid w:val="00D44330"/>
  </w:style>
  <w:style w:type="character" w:customStyle="1" w:styleId="terminologypart">
    <w:name w:val="terminologypart"/>
    <w:basedOn w:val="DefaultParagraphFont"/>
    <w:rsid w:val="00D44330"/>
  </w:style>
  <w:style w:type="character" w:customStyle="1" w:styleId="CH3Char">
    <w:name w:val="CH3 Char"/>
    <w:link w:val="CH3"/>
    <w:rsid w:val="00D44330"/>
    <w:rPr>
      <w:rFonts w:eastAsia="Times New Roman"/>
      <w:b/>
    </w:rPr>
  </w:style>
  <w:style w:type="character" w:customStyle="1" w:styleId="ZZAnxtitleChar">
    <w:name w:val="ZZ_Anx_title Char"/>
    <w:link w:val="ZZAnxtitle"/>
    <w:rsid w:val="00D44330"/>
    <w:rPr>
      <w:rFonts w:eastAsia="Times New Roman"/>
      <w:b/>
      <w:bCs/>
      <w:sz w:val="28"/>
      <w:szCs w:val="26"/>
    </w:rPr>
  </w:style>
  <w:style w:type="character" w:customStyle="1" w:styleId="UnresolvedMention5">
    <w:name w:val="Unresolved Mention5"/>
    <w:basedOn w:val="DefaultParagraphFont"/>
    <w:uiPriority w:val="99"/>
    <w:semiHidden/>
    <w:unhideWhenUsed/>
    <w:rsid w:val="00D44330"/>
    <w:rPr>
      <w:color w:val="605E5C"/>
      <w:shd w:val="clear" w:color="auto" w:fill="E1DFDD"/>
    </w:rPr>
  </w:style>
  <w:style w:type="character" w:customStyle="1" w:styleId="NormalNonumberChar">
    <w:name w:val="Normal_No_number Char"/>
    <w:link w:val="NormalNonumber"/>
    <w:locked/>
    <w:rsid w:val="00D44330"/>
    <w:rPr>
      <w:rFonts w:eastAsia="Times New Roman"/>
    </w:rPr>
  </w:style>
  <w:style w:type="numbering" w:customStyle="1" w:styleId="Normallist4">
    <w:name w:val="Normal_list4"/>
    <w:basedOn w:val="NoList"/>
    <w:rsid w:val="00D44330"/>
  </w:style>
  <w:style w:type="character" w:customStyle="1" w:styleId="CH1Char">
    <w:name w:val="CH1 Char"/>
    <w:link w:val="CH1"/>
    <w:locked/>
    <w:rsid w:val="00D44330"/>
    <w:rPr>
      <w:rFonts w:eastAsia="Times New Roman"/>
      <w:b/>
      <w:sz w:val="28"/>
      <w:szCs w:val="28"/>
    </w:rPr>
  </w:style>
  <w:style w:type="numbering" w:customStyle="1" w:styleId="Normallist5">
    <w:name w:val="Normal_list5"/>
    <w:basedOn w:val="NoList"/>
    <w:rsid w:val="00D44330"/>
  </w:style>
  <w:style w:type="numbering" w:customStyle="1" w:styleId="Normallist21">
    <w:name w:val="Normal_list21"/>
    <w:rsid w:val="00D44330"/>
  </w:style>
  <w:style w:type="numbering" w:customStyle="1" w:styleId="Normallist41">
    <w:name w:val="Normal_list41"/>
    <w:basedOn w:val="NoList"/>
    <w:rsid w:val="00D44330"/>
  </w:style>
  <w:style w:type="character" w:customStyle="1" w:styleId="ZZAnxheaderChar">
    <w:name w:val="ZZ_Anx_header Char"/>
    <w:link w:val="ZZAnxheader"/>
    <w:rsid w:val="00D44330"/>
    <w:rPr>
      <w:rFonts w:eastAsia="Times New Roman"/>
      <w:b/>
      <w:bCs/>
      <w:sz w:val="28"/>
      <w:szCs w:val="22"/>
    </w:rPr>
  </w:style>
  <w:style w:type="character" w:customStyle="1" w:styleId="ListParagraphChar">
    <w:name w:val="List Paragraph Char"/>
    <w:link w:val="ListParagraph"/>
    <w:uiPriority w:val="34"/>
    <w:locked/>
    <w:rsid w:val="00D44330"/>
    <w:rPr>
      <w:rFonts w:cs="Simplified Arabic"/>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s://ozone.unep.org/node/1941" TargetMode="External"/><Relationship Id="rId3" Type="http://schemas.openxmlformats.org/officeDocument/2006/relationships/hyperlink" Target="https://ozone.unep.org/system/files/documents/TEAP-DecisionXXXVII6-replenishment-TF-report-May2026-RTF-report.pdf" TargetMode="External"/><Relationship Id="rId7" Type="http://schemas.openxmlformats.org/officeDocument/2006/relationships/hyperlink" Target="https://ozone.unep.org/node/1941" TargetMode="External"/><Relationship Id="rId2" Type="http://schemas.openxmlformats.org/officeDocument/2006/relationships/hyperlink" Target="https://ozone.unep.org/system/files/documents/TEAP-DecisionXXXVII6-replenishment-TF-report-May2026-RTF-report.pdf" TargetMode="External"/><Relationship Id="rId1" Type="http://schemas.openxmlformats.org/officeDocument/2006/relationships/hyperlink" Target="https://ozone.unep.org/meetings/48th-meeting-open-ended-working-group-parties/pre-session-documents" TargetMode="External"/><Relationship Id="rId6" Type="http://schemas.openxmlformats.org/officeDocument/2006/relationships/hyperlink" Target="https://ozone.unep.org/science/assessment/teap/teap-expertise-required" TargetMode="External"/><Relationship Id="rId11" Type="http://schemas.openxmlformats.org/officeDocument/2006/relationships/hyperlink" Target="https://ozone.unep.org/treaties/montreal-protocol/meetings/thirtieth-meeting-parties/decisions/annex-i-adjustments." TargetMode="External"/><Relationship Id="rId5" Type="http://schemas.openxmlformats.org/officeDocument/2006/relationships/hyperlink" Target="https://ozone.unep.org/system/files/documents/TEAP-May2026-Progress-Report-vol1.pdf" TargetMode="External"/><Relationship Id="rId10" Type="http://schemas.openxmlformats.org/officeDocument/2006/relationships/hyperlink" Target="https://www.multilateralfund.org/our-impact" TargetMode="External"/><Relationship Id="rId4" Type="http://schemas.openxmlformats.org/officeDocument/2006/relationships/hyperlink" Target="https://ozone.unep.org/system/files/documents/TEAP-May2026-Progress-Report-vol1.pdf" TargetMode="External"/><Relationship Id="rId9" Type="http://schemas.openxmlformats.org/officeDocument/2006/relationships/hyperlink" Target="https://www.multilateralfund.org/our-impa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db09683-50ee-412d-9d3f-013dd3b9fb6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5D4F860D66614BADA8AE4A931E72AB" ma:contentTypeVersion="17" ma:contentTypeDescription="Create a new document." ma:contentTypeScope="" ma:versionID="58be2ac0be820a0afd27bac3d0a3d745">
  <xsd:schema xmlns:xsd="http://www.w3.org/2001/XMLSchema" xmlns:xs="http://www.w3.org/2001/XMLSchema" xmlns:p="http://schemas.microsoft.com/office/2006/metadata/properties" xmlns:ns2="3db09683-50ee-412d-9d3f-013dd3b9fb66" xmlns:ns3="835e1463-96b8-4cc0-9914-ea16108bd78b" xmlns:ns4="985ec44e-1bab-4c0b-9df0-6ba128686fc9" targetNamespace="http://schemas.microsoft.com/office/2006/metadata/properties" ma:root="true" ma:fieldsID="9ced5bbbc2a2d4351942831c62714474" ns2:_="" ns3:_="" ns4:_="">
    <xsd:import namespace="3db09683-50ee-412d-9d3f-013dd3b9fb66"/>
    <xsd:import namespace="835e1463-96b8-4cc0-9914-ea16108bd78b"/>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b09683-50ee-412d-9d3f-013dd3b9fb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5e1463-96b8-4cc0-9914-ea16108bd78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6f4a234-4967-42fb-b9b4-faaa56284462}" ma:internalName="TaxCatchAll" ma:showField="CatchAllData" ma:web="835e1463-96b8-4cc0-9914-ea16108bd7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3db09683-50ee-412d-9d3f-013dd3b9fb66"/>
  </ds:schemaRefs>
</ds:datastoreItem>
</file>

<file path=customXml/itemProps2.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3.xml><?xml version="1.0" encoding="utf-8"?>
<ds:datastoreItem xmlns:ds="http://schemas.openxmlformats.org/officeDocument/2006/customXml" ds:itemID="{5F1F3D90-ED95-4E45-8936-DDAB2A33B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b09683-50ee-412d-9d3f-013dd3b9fb66"/>
    <ds:schemaRef ds:uri="835e1463-96b8-4cc0-9914-ea16108bd78b"/>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Template>
  <TotalTime>46</TotalTime>
  <Pages>37</Pages>
  <Words>14573</Words>
  <Characters>83067</Characters>
  <Application>Microsoft Office Word</Application>
  <DocSecurity>0</DocSecurity>
  <PresentationFormat/>
  <Lines>692</Lines>
  <Paragraphs>194</Paragraphs>
  <ScaleCrop>false</ScaleCrop>
  <HeadingPairs>
    <vt:vector size="2" baseType="variant">
      <vt:variant>
        <vt:lpstr>Title</vt:lpstr>
      </vt:variant>
      <vt:variant>
        <vt:i4>1</vt:i4>
      </vt:variant>
    </vt:vector>
  </HeadingPairs>
  <TitlesOfParts>
    <vt:vector size="1" baseType="lpstr">
      <vt:lpstr>K2603804-a-OzL-Pro-WG-1-48-1</vt:lpstr>
    </vt:vector>
  </TitlesOfParts>
  <Manager/>
  <Company/>
  <LinksUpToDate>false</LinksUpToDate>
  <CharactersWithSpaces>97446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K2603804-a-OzL-Pro-WG-1-48-1</dc:title>
  <dc:subject/>
  <dc:creator>Sara Abousalama</dc:creator>
  <cp:keywords/>
  <dc:description/>
  <cp:lastModifiedBy>Julius Njenga</cp:lastModifiedBy>
  <cp:revision>20</cp:revision>
  <cp:lastPrinted>2026-07-07T10:05:00Z</cp:lastPrinted>
  <dcterms:created xsi:type="dcterms:W3CDTF">2026-07-06T09:01:00Z</dcterms:created>
  <dcterms:modified xsi:type="dcterms:W3CDTF">2026-07-07T10:05:00Z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UNEP-OZL-PRO-WG</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ntentTypeId">
    <vt:lpwstr>0x010100E35D4F860D66614BADA8AE4A931E72AB</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TranslatedWith">
    <vt:lpwstr>Mercury</vt:lpwstr>
  </property>
  <property fmtid="{D5CDD505-2E9C-101B-9397-08002B2CF9AE}" pid="20" name="GeneratedBy">
    <vt:lpwstr>elbadrim@un.org</vt:lpwstr>
  </property>
  <property fmtid="{D5CDD505-2E9C-101B-9397-08002B2CF9AE}" pid="21" name="GeneratedDate">
    <vt:lpwstr>04/08/2026 09:57:32</vt:lpwstr>
  </property>
  <property fmtid="{D5CDD505-2E9C-101B-9397-08002B2CF9AE}" pid="22" name="OriginalDocID">
    <vt:lpwstr>093e9076-b9c4-44ad-a48b-1594a6e6262a</vt:lpwstr>
  </property>
</Properties>
</file>