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160E27" w:rsidRPr="00160E27" w14:paraId="70ABBD62" w14:textId="77777777" w:rsidTr="00160E27">
        <w:trPr>
          <w:trHeight w:val="850"/>
        </w:trPr>
        <w:tc>
          <w:tcPr>
            <w:tcW w:w="1559" w:type="dxa"/>
          </w:tcPr>
          <w:p w14:paraId="58900C20" w14:textId="630A9137" w:rsidR="00160E27" w:rsidRPr="00160E27" w:rsidRDefault="00160E27" w:rsidP="00160E27">
            <w:pPr>
              <w:pStyle w:val="AUnitedNations"/>
              <w:rPr>
                <w:rFonts w:eastAsiaTheme="minorEastAsia"/>
              </w:rPr>
            </w:pPr>
            <w:r w:rsidRPr="00160E27">
              <w:rPr>
                <w:rFonts w:eastAsiaTheme="minorEastAsia"/>
              </w:rPr>
              <w:t xml:space="preserve">United </w:t>
            </w:r>
            <w:r w:rsidRPr="00160E27">
              <w:rPr>
                <w:rFonts w:eastAsiaTheme="minorEastAsia"/>
              </w:rPr>
              <w:br/>
              <w:t>Nations</w:t>
            </w:r>
          </w:p>
        </w:tc>
        <w:tc>
          <w:tcPr>
            <w:tcW w:w="6520" w:type="dxa"/>
          </w:tcPr>
          <w:p w14:paraId="292E0E94" w14:textId="460F2335" w:rsidR="00160E27" w:rsidRPr="00160E27" w:rsidRDefault="00160E27" w:rsidP="00160E27">
            <w:pPr>
              <w:pStyle w:val="Normal-pool"/>
              <w:rPr>
                <w:rFonts w:eastAsiaTheme="minorEastAsia"/>
              </w:rPr>
            </w:pPr>
            <w:r w:rsidRPr="00160E27">
              <w:rPr>
                <w:rFonts w:eastAsiaTheme="minorEastAsia"/>
                <w:noProof/>
              </w:rPr>
              <w:drawing>
                <wp:anchor distT="0" distB="0" distL="114300" distR="114300" simplePos="0" relativeHeight="251658240" behindDoc="0" locked="0" layoutInCell="1" allowOverlap="1" wp14:anchorId="4DC67C66" wp14:editId="61116643">
                  <wp:simplePos x="0" y="0"/>
                  <wp:positionH relativeFrom="column">
                    <wp:posOffset>-3175</wp:posOffset>
                  </wp:positionH>
                  <wp:positionV relativeFrom="paragraph">
                    <wp:posOffset>1905</wp:posOffset>
                  </wp:positionV>
                  <wp:extent cx="1269153" cy="573559"/>
                  <wp:effectExtent l="0" t="0" r="7620" b="0"/>
                  <wp:wrapNone/>
                  <wp:docPr id="2007982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82981"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66F218BB" w14:textId="77777777" w:rsidR="00160E27" w:rsidRPr="00160E27" w:rsidRDefault="00160E27" w:rsidP="00160E27">
            <w:pPr>
              <w:pStyle w:val="Normal-pool"/>
              <w:rPr>
                <w:rFonts w:eastAsiaTheme="minorEastAsia"/>
              </w:rPr>
            </w:pPr>
          </w:p>
        </w:tc>
      </w:tr>
    </w:tbl>
    <w:p w14:paraId="78FC0621" w14:textId="77777777" w:rsidR="006533B3" w:rsidRPr="00160E27" w:rsidRDefault="006533B3" w:rsidP="00160E27">
      <w:pPr>
        <w:pStyle w:val="ASpacer"/>
        <w:rPr>
          <w:rFonts w:eastAsiaTheme="minorEastAsia"/>
        </w:rPr>
      </w:pPr>
    </w:p>
    <w:tbl>
      <w:tblPr>
        <w:tblW w:w="9496" w:type="dxa"/>
        <w:tblLook w:val="0000" w:firstRow="0" w:lastRow="0" w:firstColumn="0" w:lastColumn="0" w:noHBand="0" w:noVBand="0"/>
      </w:tblPr>
      <w:tblGrid>
        <w:gridCol w:w="6284"/>
        <w:gridCol w:w="3212"/>
      </w:tblGrid>
      <w:tr w:rsidR="00160E27" w:rsidRPr="00160E27" w14:paraId="43DD3BF0" w14:textId="77777777" w:rsidTr="00160E27">
        <w:trPr>
          <w:trHeight w:val="340"/>
        </w:trPr>
        <w:tc>
          <w:tcPr>
            <w:tcW w:w="3358" w:type="pct"/>
            <w:vAlign w:val="bottom"/>
          </w:tcPr>
          <w:p w14:paraId="16C8126C" w14:textId="77777777" w:rsidR="00160E27" w:rsidRPr="00160E27" w:rsidRDefault="00160E27" w:rsidP="00160E27">
            <w:pPr>
              <w:pStyle w:val="Normal-pool"/>
              <w:rPr>
                <w:rFonts w:eastAsiaTheme="minorEastAsia"/>
              </w:rPr>
            </w:pPr>
          </w:p>
        </w:tc>
        <w:tc>
          <w:tcPr>
            <w:tcW w:w="1642" w:type="pct"/>
            <w:noWrap/>
            <w:vAlign w:val="bottom"/>
          </w:tcPr>
          <w:p w14:paraId="147767FE" w14:textId="4109B4CD" w:rsidR="00160E27" w:rsidRPr="00160E27" w:rsidRDefault="00160E27" w:rsidP="00160E27">
            <w:pPr>
              <w:pStyle w:val="ASymbol"/>
            </w:pPr>
            <w:r w:rsidRPr="00160E27">
              <w:rPr>
                <w:b/>
                <w:sz w:val="28"/>
              </w:rPr>
              <w:t>UNEP</w:t>
            </w:r>
            <w:r w:rsidRPr="00160E27">
              <w:t>/OzL.Pro.WG.</w:t>
            </w:r>
            <w:bookmarkStart w:id="0" w:name="Symbol1A"/>
            <w:r w:rsidRPr="00160E27">
              <w:t>1</w:t>
            </w:r>
            <w:bookmarkStart w:id="1" w:name="Symbol1B"/>
            <w:bookmarkEnd w:id="0"/>
            <w:r w:rsidRPr="00160E27">
              <w:t>/48</w:t>
            </w:r>
            <w:bookmarkStart w:id="2" w:name="Symbol1C"/>
            <w:bookmarkEnd w:id="1"/>
            <w:r w:rsidR="00F13A82">
              <w:t>/2/Add.1</w:t>
            </w:r>
            <w:bookmarkEnd w:id="2"/>
          </w:p>
        </w:tc>
      </w:tr>
    </w:tbl>
    <w:p w14:paraId="645C13F3" w14:textId="77777777" w:rsidR="00160E27" w:rsidRPr="00160E27" w:rsidRDefault="00160E27" w:rsidP="00160E2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160E27" w:rsidRPr="00160E27" w14:paraId="0C8325FE" w14:textId="77777777" w:rsidTr="00160E27">
        <w:trPr>
          <w:trHeight w:val="2098"/>
        </w:trPr>
        <w:tc>
          <w:tcPr>
            <w:tcW w:w="5386" w:type="dxa"/>
          </w:tcPr>
          <w:p w14:paraId="6A6CB42E" w14:textId="301F18B8" w:rsidR="00160E27" w:rsidRPr="00160E27" w:rsidRDefault="00160E27" w:rsidP="00160E27">
            <w:pPr>
              <w:pStyle w:val="AConvName"/>
              <w:rPr>
                <w:rFonts w:eastAsiaTheme="minorEastAsia"/>
              </w:rPr>
            </w:pPr>
            <w:r w:rsidRPr="00160E27">
              <w:rPr>
                <w:rFonts w:eastAsiaTheme="minorEastAsia"/>
              </w:rPr>
              <w:t xml:space="preserve">Montreal Protocol </w:t>
            </w:r>
            <w:r w:rsidRPr="00160E27">
              <w:rPr>
                <w:rFonts w:eastAsiaTheme="minorEastAsia"/>
              </w:rPr>
              <w:br/>
              <w:t xml:space="preserve">on Substances that </w:t>
            </w:r>
            <w:r w:rsidRPr="00160E27">
              <w:rPr>
                <w:rFonts w:eastAsiaTheme="minorEastAsia"/>
              </w:rPr>
              <w:br/>
              <w:t>Deplete the Ozone Layer</w:t>
            </w:r>
          </w:p>
        </w:tc>
        <w:tc>
          <w:tcPr>
            <w:tcW w:w="992" w:type="dxa"/>
          </w:tcPr>
          <w:p w14:paraId="674925B2" w14:textId="77777777" w:rsidR="00160E27" w:rsidRPr="00160E27" w:rsidRDefault="00160E27" w:rsidP="00160E27">
            <w:pPr>
              <w:pStyle w:val="Normal-pool"/>
              <w:rPr>
                <w:rFonts w:eastAsiaTheme="minorEastAsia"/>
              </w:rPr>
            </w:pPr>
          </w:p>
        </w:tc>
        <w:tc>
          <w:tcPr>
            <w:tcW w:w="3118" w:type="dxa"/>
          </w:tcPr>
          <w:p w14:paraId="7115D761" w14:textId="1C969D52" w:rsidR="00160E27" w:rsidRPr="00160E27" w:rsidRDefault="00160E27" w:rsidP="00160E27">
            <w:pPr>
              <w:pStyle w:val="AText"/>
              <w:rPr>
                <w:rFonts w:eastAsiaTheme="minorEastAsia"/>
              </w:rPr>
            </w:pPr>
            <w:r w:rsidRPr="00160E27">
              <w:rPr>
                <w:rFonts w:eastAsiaTheme="minorEastAsia"/>
              </w:rPr>
              <w:t xml:space="preserve">Distr.: </w:t>
            </w:r>
            <w:bookmarkStart w:id="3" w:name="Distribution"/>
            <w:r w:rsidR="00F13A82">
              <w:rPr>
                <w:rFonts w:eastAsiaTheme="minorEastAsia"/>
              </w:rPr>
              <w:t>General</w:t>
            </w:r>
            <w:bookmarkEnd w:id="3"/>
            <w:r w:rsidRPr="00160E27">
              <w:rPr>
                <w:rFonts w:eastAsiaTheme="minorEastAsia"/>
              </w:rPr>
              <w:t xml:space="preserve"> </w:t>
            </w:r>
          </w:p>
          <w:p w14:paraId="594A64AE" w14:textId="51E07896" w:rsidR="00160E27" w:rsidRPr="00160E27" w:rsidRDefault="00F13A82" w:rsidP="00160E27">
            <w:pPr>
              <w:pStyle w:val="AText0"/>
              <w:rPr>
                <w:rFonts w:eastAsiaTheme="minorEastAsia"/>
              </w:rPr>
            </w:pPr>
            <w:bookmarkStart w:id="4" w:name="DistributionDate"/>
            <w:r>
              <w:rPr>
                <w:rFonts w:eastAsiaTheme="minorEastAsia"/>
              </w:rPr>
              <w:t>20 May 2026</w:t>
            </w:r>
            <w:bookmarkEnd w:id="4"/>
            <w:r w:rsidR="00160E27" w:rsidRPr="00160E27">
              <w:rPr>
                <w:rFonts w:eastAsiaTheme="minorEastAsia"/>
              </w:rPr>
              <w:t xml:space="preserve"> </w:t>
            </w:r>
          </w:p>
          <w:p w14:paraId="7C380776" w14:textId="2E548D16" w:rsidR="00160E27" w:rsidRPr="00160E27" w:rsidRDefault="00160E27" w:rsidP="00160E27">
            <w:pPr>
              <w:pStyle w:val="AText"/>
              <w:rPr>
                <w:rFonts w:eastAsiaTheme="minorEastAsia"/>
              </w:rPr>
            </w:pPr>
            <w:bookmarkStart w:id="5" w:name="DistributionLang"/>
            <w:r w:rsidRPr="00160E27">
              <w:rPr>
                <w:rFonts w:eastAsiaTheme="minorEastAsia"/>
              </w:rPr>
              <w:t>Original: English</w:t>
            </w:r>
            <w:bookmarkEnd w:id="5"/>
          </w:p>
        </w:tc>
      </w:tr>
    </w:tbl>
    <w:p w14:paraId="479DFA60" w14:textId="77777777" w:rsidR="00160E27" w:rsidRPr="00160E27" w:rsidRDefault="00160E27" w:rsidP="00160E2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60E27" w:rsidRPr="00160E27" w14:paraId="314B37A5" w14:textId="77777777" w:rsidTr="00160E27">
        <w:trPr>
          <w:trHeight w:val="57"/>
        </w:trPr>
        <w:tc>
          <w:tcPr>
            <w:tcW w:w="5301" w:type="dxa"/>
          </w:tcPr>
          <w:p w14:paraId="5B414474" w14:textId="77777777" w:rsidR="00160E27" w:rsidRPr="00160E27" w:rsidRDefault="00160E27" w:rsidP="00160E27">
            <w:pPr>
              <w:pStyle w:val="AATitle"/>
              <w:rPr>
                <w:rFonts w:eastAsiaTheme="minorEastAsia"/>
              </w:rPr>
            </w:pPr>
            <w:bookmarkStart w:id="6" w:name="CorNot1Text"/>
            <w:r w:rsidRPr="00160E27">
              <w:rPr>
                <w:rFonts w:eastAsiaTheme="minorEastAsia"/>
              </w:rPr>
              <w:t xml:space="preserve">Open-ended Working Group of the Parties </w:t>
            </w:r>
            <w:r w:rsidRPr="00160E27">
              <w:rPr>
                <w:rFonts w:eastAsiaTheme="minorEastAsia"/>
              </w:rPr>
              <w:br/>
              <w:t xml:space="preserve">to the Montreal Protocol on Substances </w:t>
            </w:r>
            <w:r w:rsidRPr="00160E27">
              <w:rPr>
                <w:rFonts w:eastAsiaTheme="minorEastAsia"/>
              </w:rPr>
              <w:br/>
              <w:t xml:space="preserve">that Deplete the Ozone Layer </w:t>
            </w:r>
          </w:p>
          <w:p w14:paraId="26F1E92C" w14:textId="620DFA53" w:rsidR="00160E27" w:rsidRPr="00160E27" w:rsidRDefault="00160E27" w:rsidP="00160E27">
            <w:pPr>
              <w:pStyle w:val="AATitle"/>
              <w:rPr>
                <w:rFonts w:eastAsiaTheme="minorEastAsia"/>
              </w:rPr>
            </w:pPr>
            <w:r w:rsidRPr="00160E27">
              <w:rPr>
                <w:rFonts w:eastAsiaTheme="minorEastAsia"/>
              </w:rPr>
              <w:t>Forty-eighth meeting</w:t>
            </w:r>
            <w:bookmarkEnd w:id="6"/>
            <w:r w:rsidRPr="00160E27">
              <w:rPr>
                <w:rFonts w:eastAsiaTheme="minorEastAsia"/>
              </w:rPr>
              <w:t xml:space="preserve"> </w:t>
            </w:r>
          </w:p>
          <w:p w14:paraId="178DC04A" w14:textId="0919ED12" w:rsidR="00160E27" w:rsidRPr="00160E27" w:rsidRDefault="00160E27" w:rsidP="00160E27">
            <w:pPr>
              <w:pStyle w:val="AATitle1"/>
              <w:rPr>
                <w:rFonts w:eastAsiaTheme="minorEastAsia"/>
              </w:rPr>
            </w:pPr>
            <w:bookmarkStart w:id="7" w:name="CorNot1VenueDate"/>
            <w:r w:rsidRPr="00160E27">
              <w:rPr>
                <w:rFonts w:eastAsiaTheme="minorEastAsia"/>
              </w:rPr>
              <w:t>Bangkok, 13–17 July 2026</w:t>
            </w:r>
            <w:bookmarkEnd w:id="7"/>
            <w:r w:rsidRPr="00160E27">
              <w:rPr>
                <w:rFonts w:eastAsiaTheme="minorEastAsia"/>
              </w:rPr>
              <w:t xml:space="preserve"> </w:t>
            </w:r>
          </w:p>
          <w:p w14:paraId="174CBC1D" w14:textId="68DF738B" w:rsidR="008C7DBB" w:rsidRPr="00E0168F" w:rsidRDefault="00C421D0" w:rsidP="007A6D6B">
            <w:pPr>
              <w:pStyle w:val="AATitle1"/>
              <w:rPr>
                <w:rFonts w:eastAsiaTheme="minorEastAsia"/>
                <w:b/>
                <w:bCs/>
              </w:rPr>
            </w:pPr>
            <w:bookmarkStart w:id="8" w:name="CorNot1AgItem"/>
            <w:r>
              <w:rPr>
                <w:rFonts w:eastAsiaTheme="minorEastAsia"/>
              </w:rPr>
              <w:t>Item</w:t>
            </w:r>
            <w:r w:rsidR="00917C66">
              <w:rPr>
                <w:rFonts w:eastAsiaTheme="minorEastAsia"/>
              </w:rPr>
              <w:t>s</w:t>
            </w:r>
            <w:r>
              <w:rPr>
                <w:rFonts w:eastAsiaTheme="minorEastAsia"/>
              </w:rPr>
              <w:t xml:space="preserve"> 3</w:t>
            </w:r>
            <w:r w:rsidR="001D02A9">
              <w:sym w:font="Symbol" w:char="F02D"/>
            </w:r>
            <w:r>
              <w:rPr>
                <w:rFonts w:eastAsiaTheme="minorEastAsia"/>
              </w:rPr>
              <w:t>5 of the provisional agenda</w:t>
            </w:r>
            <w:bookmarkStart w:id="9" w:name="_Hlk76459712"/>
            <w:bookmarkStart w:id="10" w:name="_Hlk69114350"/>
            <w:bookmarkEnd w:id="8"/>
            <w:r w:rsidRPr="009C3955">
              <w:footnoteReference w:customMarkFollows="1" w:id="2"/>
              <w:t>*</w:t>
            </w:r>
            <w:bookmarkEnd w:id="9"/>
            <w:bookmarkEnd w:id="10"/>
            <w:r>
              <w:rPr>
                <w:rFonts w:eastAsiaTheme="minorEastAsia"/>
              </w:rPr>
              <w:t xml:space="preserve"> </w:t>
            </w:r>
          </w:p>
        </w:tc>
        <w:tc>
          <w:tcPr>
            <w:tcW w:w="4195" w:type="dxa"/>
          </w:tcPr>
          <w:p w14:paraId="75D96D83" w14:textId="77777777" w:rsidR="00160E27" w:rsidRPr="00160E27" w:rsidRDefault="00160E27" w:rsidP="00160E27">
            <w:pPr>
              <w:pStyle w:val="Normal-pool"/>
              <w:rPr>
                <w:rFonts w:eastAsiaTheme="minorEastAsia"/>
              </w:rPr>
            </w:pPr>
          </w:p>
        </w:tc>
      </w:tr>
    </w:tbl>
    <w:p w14:paraId="3A4C40F4" w14:textId="77777777" w:rsidR="00E62558" w:rsidRPr="00D1205D" w:rsidRDefault="00E62558" w:rsidP="00E62558">
      <w:pPr>
        <w:pStyle w:val="BBTitle"/>
      </w:pPr>
      <w:r w:rsidRPr="00581216">
        <w:t xml:space="preserve">Issues for discussion by and information for the attention of the Open-ended Working Group of the Parties to the Montreal </w:t>
      </w:r>
      <w:r w:rsidRPr="00D1205D">
        <w:t>Protocol at its forty-</w:t>
      </w:r>
      <w:r>
        <w:t>eighth</w:t>
      </w:r>
      <w:r w:rsidRPr="00D1205D">
        <w:t xml:space="preserve"> meeting</w:t>
      </w:r>
    </w:p>
    <w:p w14:paraId="1A64A34A" w14:textId="77777777" w:rsidR="00E62558" w:rsidRPr="00D1205D" w:rsidRDefault="00E62558" w:rsidP="00E62558">
      <w:pPr>
        <w:pStyle w:val="CH2"/>
      </w:pPr>
      <w:r w:rsidRPr="00D1205D">
        <w:tab/>
      </w:r>
      <w:r w:rsidRPr="00D1205D">
        <w:tab/>
        <w:t>Note by the Secretariat</w:t>
      </w:r>
    </w:p>
    <w:p w14:paraId="21D90EC6" w14:textId="77777777" w:rsidR="00E62558" w:rsidRPr="00581216" w:rsidRDefault="00E62558" w:rsidP="00E62558">
      <w:pPr>
        <w:pStyle w:val="CH3"/>
      </w:pPr>
      <w:r w:rsidRPr="00D1205D">
        <w:tab/>
      </w:r>
      <w:r w:rsidRPr="00D1205D">
        <w:tab/>
      </w:r>
      <w:r w:rsidRPr="00576E6A">
        <w:t>Addendum</w:t>
      </w:r>
    </w:p>
    <w:p w14:paraId="1F1880F2" w14:textId="77777777" w:rsidR="00E62558" w:rsidRPr="00581216" w:rsidRDefault="00E62558" w:rsidP="00E62558">
      <w:pPr>
        <w:pStyle w:val="CH1"/>
      </w:pPr>
      <w:r w:rsidRPr="00581216">
        <w:tab/>
        <w:t>I.</w:t>
      </w:r>
      <w:r w:rsidRPr="00581216">
        <w:tab/>
        <w:t>Introduction</w:t>
      </w:r>
    </w:p>
    <w:p w14:paraId="0A17948A" w14:textId="5C3F6FE6" w:rsidR="00E62558" w:rsidRPr="00481BFC" w:rsidRDefault="00E62558" w:rsidP="00DD181C">
      <w:pPr>
        <w:pStyle w:val="Normalnumber"/>
        <w:tabs>
          <w:tab w:val="clear" w:pos="1247"/>
          <w:tab w:val="clear" w:pos="1814"/>
          <w:tab w:val="clear" w:pos="2381"/>
          <w:tab w:val="clear" w:pos="2948"/>
          <w:tab w:val="clear" w:pos="3515"/>
          <w:tab w:val="left" w:pos="624"/>
        </w:tabs>
        <w:ind w:left="1247"/>
      </w:pPr>
      <w:r>
        <w:t xml:space="preserve">The present addendum to the </w:t>
      </w:r>
      <w:r w:rsidRPr="00FB252C">
        <w:t>n</w:t>
      </w:r>
      <w:r>
        <w:t xml:space="preserve">ote by the </w:t>
      </w:r>
      <w:r w:rsidRPr="00A60026">
        <w:t>Secretaria</w:t>
      </w:r>
      <w:r>
        <w:t xml:space="preserve">t on issues for discussion by and information for the attention of the </w:t>
      </w:r>
      <w:r w:rsidRPr="00B77C2A">
        <w:t>O</w:t>
      </w:r>
      <w:r w:rsidRPr="00A60026">
        <w:t>pen-ended Working Group of the Parties to the Montreal Protocol on Substances that Deplete the Ozone Layer</w:t>
      </w:r>
      <w:r>
        <w:t xml:space="preserve"> at its forty-eighth meeting (</w:t>
      </w:r>
      <w:r w:rsidRPr="00FB252C">
        <w:t>U</w:t>
      </w:r>
      <w:r w:rsidRPr="00A60026">
        <w:t>NEP/OzL.Pro.WG.1/4</w:t>
      </w:r>
      <w:r>
        <w:t>8</w:t>
      </w:r>
      <w:r w:rsidRPr="00A60026">
        <w:t>/2</w:t>
      </w:r>
      <w:r>
        <w:t xml:space="preserve">) contains information that has become available since the preparation of that note. Section II of the addendum sets out new and </w:t>
      </w:r>
      <w:r w:rsidRPr="000039CE">
        <w:t xml:space="preserve">updated information provided by the Technology and Economic Assessment Panel in its 2026 report and by the Secretariat in relation to items 3–5 of the provisional </w:t>
      </w:r>
      <w:r w:rsidRPr="00481BFC">
        <w:t>agenda</w:t>
      </w:r>
      <w:r w:rsidRPr="000039CE">
        <w:t>.</w:t>
      </w:r>
      <w:r>
        <w:t xml:space="preserve"> Section III contains updated information of relevance to the Thirty-Eighth Meeting of the Parties </w:t>
      </w:r>
      <w:r w:rsidRPr="001514E8">
        <w:t xml:space="preserve">to the </w:t>
      </w:r>
      <w:r w:rsidRPr="00B77C2A">
        <w:t>M</w:t>
      </w:r>
      <w:r w:rsidRPr="001514E8">
        <w:t xml:space="preserve">ontreal </w:t>
      </w:r>
      <w:r w:rsidRPr="00481BFC">
        <w:t>Protocol regarding submissions from parties in response to decisions XXXVII/</w:t>
      </w:r>
      <w:r>
        <w:t>3</w:t>
      </w:r>
      <w:r w:rsidR="00D027CB">
        <w:t>,</w:t>
      </w:r>
      <w:r>
        <w:t xml:space="preserve"> on </w:t>
      </w:r>
      <w:r w:rsidRPr="00CF2490">
        <w:t>recycled, used and unwanted controlled substances</w:t>
      </w:r>
      <w:r>
        <w:t>,</w:t>
      </w:r>
      <w:r w:rsidRPr="00481BFC">
        <w:t xml:space="preserve"> and XXXVII/</w:t>
      </w:r>
      <w:r>
        <w:t>5</w:t>
      </w:r>
      <w:r w:rsidR="00D027CB">
        <w:t>,</w:t>
      </w:r>
      <w:r>
        <w:t xml:space="preserve"> on n</w:t>
      </w:r>
      <w:r w:rsidRPr="00FB241D">
        <w:t>ational and regional initiatives to support the implementation of the Kigali Amendment to the Montreal Protocol</w:t>
      </w:r>
      <w:r w:rsidRPr="00481BFC">
        <w:t>.</w:t>
      </w:r>
    </w:p>
    <w:p w14:paraId="45AA36B1" w14:textId="1B79DE2E" w:rsidR="00E62558" w:rsidRPr="00581216" w:rsidRDefault="00E62558" w:rsidP="00DD181C">
      <w:pPr>
        <w:pStyle w:val="Normalnumber"/>
        <w:tabs>
          <w:tab w:val="clear" w:pos="1247"/>
          <w:tab w:val="clear" w:pos="1814"/>
          <w:tab w:val="clear" w:pos="2381"/>
          <w:tab w:val="clear" w:pos="2948"/>
          <w:tab w:val="clear" w:pos="3515"/>
          <w:tab w:val="left" w:pos="624"/>
        </w:tabs>
        <w:ind w:left="1247"/>
      </w:pPr>
      <w:bookmarkStart w:id="11" w:name="_Hlk137637470"/>
      <w:r w:rsidRPr="00581216">
        <w:t>The 202</w:t>
      </w:r>
      <w:r>
        <w:t>6</w:t>
      </w:r>
      <w:r w:rsidRPr="00581216">
        <w:t xml:space="preserve"> report of the Technology and Economic Assessment Panel currently consists of </w:t>
      </w:r>
      <w:r>
        <w:t>two</w:t>
      </w:r>
      <w:r w:rsidRPr="00581216">
        <w:t xml:space="preserve"> volumes</w:t>
      </w:r>
      <w:r w:rsidRPr="00297BD2">
        <w:t>:</w:t>
      </w:r>
      <w:r w:rsidRPr="00297BD2">
        <w:rPr>
          <w:vertAlign w:val="superscript"/>
        </w:rPr>
        <w:footnoteReference w:id="3"/>
      </w:r>
    </w:p>
    <w:p w14:paraId="2E0105DC" w14:textId="08B4B6AE" w:rsidR="00E62558" w:rsidRPr="005D23A3" w:rsidRDefault="00E62558" w:rsidP="00DD181C">
      <w:pPr>
        <w:numPr>
          <w:ilvl w:val="1"/>
          <w:numId w:val="1"/>
        </w:numPr>
        <w:tabs>
          <w:tab w:val="clear" w:pos="1247"/>
          <w:tab w:val="clear" w:pos="1814"/>
          <w:tab w:val="clear" w:pos="2381"/>
          <w:tab w:val="clear" w:pos="2495"/>
          <w:tab w:val="clear" w:pos="2948"/>
          <w:tab w:val="clear" w:pos="3515"/>
          <w:tab w:val="left" w:pos="624"/>
        </w:tabs>
        <w:spacing w:after="120"/>
        <w:ind w:left="1247" w:firstLine="624"/>
      </w:pPr>
      <w:r w:rsidRPr="005D23A3">
        <w:t xml:space="preserve">Volume 1: </w:t>
      </w:r>
      <w:r w:rsidR="00AF0D5D" w:rsidRPr="005D23A3">
        <w:t>P</w:t>
      </w:r>
      <w:r w:rsidRPr="005D23A3">
        <w:t>rogress report</w:t>
      </w:r>
      <w:r w:rsidR="00AF0D5D" w:rsidRPr="005D23A3">
        <w:t xml:space="preserve"> (May 2026)</w:t>
      </w:r>
      <w:r w:rsidRPr="005D23A3">
        <w:t xml:space="preserve">; </w:t>
      </w:r>
    </w:p>
    <w:p w14:paraId="784A8F6D" w14:textId="7F06C8C0" w:rsidR="00E62558" w:rsidRPr="005D23A3" w:rsidRDefault="00E62558" w:rsidP="00DD181C">
      <w:pPr>
        <w:pStyle w:val="ListParagraph"/>
        <w:numPr>
          <w:ilvl w:val="1"/>
          <w:numId w:val="1"/>
        </w:numPr>
        <w:tabs>
          <w:tab w:val="clear" w:pos="2381"/>
        </w:tabs>
        <w:spacing w:after="120"/>
        <w:ind w:left="1247"/>
      </w:pPr>
      <w:r w:rsidRPr="005D23A3">
        <w:t>Volume 2:</w:t>
      </w:r>
      <w:r w:rsidR="00D644AD" w:rsidRPr="005D23A3">
        <w:t xml:space="preserve"> </w:t>
      </w:r>
      <w:r w:rsidRPr="005D23A3">
        <w:t xml:space="preserve">Assessment of the </w:t>
      </w:r>
      <w:r w:rsidR="00D12056" w:rsidRPr="005D23A3">
        <w:t>f</w:t>
      </w:r>
      <w:r w:rsidRPr="005D23A3">
        <w:t xml:space="preserve">unding </w:t>
      </w:r>
      <w:r w:rsidR="00D12056" w:rsidRPr="005D23A3">
        <w:t>r</w:t>
      </w:r>
      <w:r w:rsidRPr="005D23A3">
        <w:t xml:space="preserve">equirement for the </w:t>
      </w:r>
      <w:r w:rsidR="00D12056" w:rsidRPr="005D23A3">
        <w:t>r</w:t>
      </w:r>
      <w:r w:rsidRPr="005D23A3">
        <w:t xml:space="preserve">eplenishment of the Multilateral Fund for the </w:t>
      </w:r>
      <w:r w:rsidR="00817CBB" w:rsidRPr="005D23A3">
        <w:t>p</w:t>
      </w:r>
      <w:r w:rsidRPr="005D23A3">
        <w:t>eriod 2027</w:t>
      </w:r>
      <w:r w:rsidR="00817CBB" w:rsidRPr="005D23A3">
        <w:t>–</w:t>
      </w:r>
      <w:r w:rsidRPr="005D23A3">
        <w:t>2029</w:t>
      </w:r>
      <w:r w:rsidR="008740D7">
        <w:t>.</w:t>
      </w:r>
    </w:p>
    <w:bookmarkEnd w:id="11"/>
    <w:p w14:paraId="5F6D45E0" w14:textId="77777777" w:rsidR="00E62558" w:rsidRPr="00581216" w:rsidRDefault="00E62558" w:rsidP="00E62558">
      <w:pPr>
        <w:pStyle w:val="CH1"/>
      </w:pPr>
      <w:r w:rsidRPr="00581216">
        <w:tab/>
        <w:t>II.</w:t>
      </w:r>
      <w:r w:rsidRPr="00581216">
        <w:tab/>
        <w:t>Summary of issues for discussion by the Open-ended Working Group at its forty-</w:t>
      </w:r>
      <w:r>
        <w:t>eighth</w:t>
      </w:r>
      <w:r w:rsidRPr="00581216">
        <w:t xml:space="preserve"> meeting </w:t>
      </w:r>
    </w:p>
    <w:p w14:paraId="7E1E972F" w14:textId="77777777" w:rsidR="00E62558" w:rsidRPr="00581216" w:rsidRDefault="00E62558" w:rsidP="00DD181C">
      <w:pPr>
        <w:pStyle w:val="Normalnumber"/>
        <w:tabs>
          <w:tab w:val="clear" w:pos="1247"/>
          <w:tab w:val="clear" w:pos="1814"/>
          <w:tab w:val="clear" w:pos="2381"/>
          <w:tab w:val="clear" w:pos="2948"/>
          <w:tab w:val="clear" w:pos="3515"/>
          <w:tab w:val="left" w:pos="624"/>
        </w:tabs>
        <w:ind w:left="1247"/>
      </w:pPr>
      <w:r w:rsidRPr="00581216">
        <w:t>The issues covered in the present addendum are set out below in the order of the respective items on the provisional agenda of the meeting.</w:t>
      </w:r>
    </w:p>
    <w:p w14:paraId="769AED18" w14:textId="2C835474" w:rsidR="00E62558" w:rsidRPr="008E6F6F" w:rsidRDefault="00E62558" w:rsidP="00E62558">
      <w:pPr>
        <w:pStyle w:val="CH2"/>
      </w:pPr>
      <w:r w:rsidRPr="00581216">
        <w:lastRenderedPageBreak/>
        <w:tab/>
      </w:r>
      <w:r w:rsidRPr="00581216">
        <w:tab/>
      </w:r>
      <w:r w:rsidRPr="008E6F6F">
        <w:t xml:space="preserve">Agenda item </w:t>
      </w:r>
      <w:r>
        <w:t>3</w:t>
      </w:r>
    </w:p>
    <w:p w14:paraId="308697D9" w14:textId="454BB9C3" w:rsidR="00E62558" w:rsidRPr="008E6F6F" w:rsidRDefault="00E62558" w:rsidP="00E62558">
      <w:pPr>
        <w:pStyle w:val="CH2"/>
        <w:keepNext w:val="0"/>
        <w:keepLines w:val="0"/>
        <w:spacing w:before="120"/>
      </w:pPr>
      <w:r w:rsidRPr="008E6F6F">
        <w:tab/>
      </w:r>
      <w:r w:rsidRPr="008E6F6F">
        <w:tab/>
        <w:t xml:space="preserve">Report of the Technology and Economic Assessment Panel on the </w:t>
      </w:r>
      <w:r>
        <w:br/>
        <w:t>2027</w:t>
      </w:r>
      <w:r>
        <w:rPr>
          <w:lang w:eastAsia="en-GB"/>
        </w:rPr>
        <w:t>–</w:t>
      </w:r>
      <w:r>
        <w:t xml:space="preserve">2029 </w:t>
      </w:r>
      <w:r w:rsidRPr="008E6F6F">
        <w:t xml:space="preserve">replenishment of the Multilateral Fund for the Implementation of the Montreal Protocol </w:t>
      </w:r>
      <w:r w:rsidRPr="0010364A">
        <w:t>(decision XXXVII/6)</w:t>
      </w:r>
      <w:r w:rsidRPr="008E6F6F">
        <w:t xml:space="preserve"> </w:t>
      </w:r>
    </w:p>
    <w:p w14:paraId="367C297D" w14:textId="66CBDD97" w:rsidR="00E62558" w:rsidRPr="00FF4E75" w:rsidRDefault="003A747F" w:rsidP="00DD181C">
      <w:pPr>
        <w:pStyle w:val="Normalnumber"/>
        <w:tabs>
          <w:tab w:val="clear" w:pos="1247"/>
          <w:tab w:val="clear" w:pos="1814"/>
          <w:tab w:val="clear" w:pos="2381"/>
          <w:tab w:val="clear" w:pos="2948"/>
          <w:tab w:val="clear" w:pos="3515"/>
          <w:tab w:val="left" w:pos="624"/>
        </w:tabs>
        <w:ind w:left="1247"/>
      </w:pPr>
      <w:r>
        <w:t>Pursuant to</w:t>
      </w:r>
      <w:r w:rsidR="00E62558" w:rsidRPr="00564034">
        <w:t xml:space="preserve"> decision XXXVII/6</w:t>
      </w:r>
      <w:r w:rsidR="00457D65" w:rsidRPr="00564034">
        <w:t xml:space="preserve"> and</w:t>
      </w:r>
      <w:r w:rsidR="00E62558" w:rsidRPr="00564034">
        <w:t xml:space="preserve"> as outlined</w:t>
      </w:r>
      <w:r w:rsidR="00E62558" w:rsidRPr="002F2F61">
        <w:t xml:space="preserve"> in the</w:t>
      </w:r>
      <w:r w:rsidR="00E62558" w:rsidRPr="00DF6A74">
        <w:t xml:space="preserve"> note by the Secretariat (UNEP/OzL.Pro.WG.1/48/2, paras. 4–9),</w:t>
      </w:r>
      <w:r w:rsidR="00E62558" w:rsidRPr="008E6F6F">
        <w:t xml:space="preserve"> the Technology and Economic Assessment Panel established a task force to prepare </w:t>
      </w:r>
      <w:r w:rsidR="00E62558">
        <w:t>the</w:t>
      </w:r>
      <w:r w:rsidR="00E62558" w:rsidRPr="008E6F6F">
        <w:t xml:space="preserve"> report</w:t>
      </w:r>
      <w:r w:rsidR="00E62558" w:rsidRPr="008E6F6F">
        <w:rPr>
          <w:rStyle w:val="FootnoteReference"/>
        </w:rPr>
        <w:footnoteReference w:id="4"/>
      </w:r>
      <w:r w:rsidR="00E62558" w:rsidRPr="008E6F6F">
        <w:t xml:space="preserve"> on the appropriate level of replenishment of the Multilateral Fund for the Implementation of the Montreal Protocol for the triennium 202</w:t>
      </w:r>
      <w:r w:rsidR="00E62558">
        <w:t>7</w:t>
      </w:r>
      <w:r w:rsidR="00E62558" w:rsidRPr="008E6F6F">
        <w:t>–202</w:t>
      </w:r>
      <w:r w:rsidR="00E62558">
        <w:t>9</w:t>
      </w:r>
      <w:r w:rsidR="00E62558" w:rsidRPr="008E6F6F">
        <w:t xml:space="preserve"> </w:t>
      </w:r>
      <w:r w:rsidR="00E62558" w:rsidRPr="00314B80">
        <w:t>in</w:t>
      </w:r>
      <w:r w:rsidR="00E62558">
        <w:t xml:space="preserve"> </w:t>
      </w:r>
      <w:r w:rsidR="005170CA">
        <w:t xml:space="preserve">support of </w:t>
      </w:r>
      <w:r w:rsidR="00E62558" w:rsidRPr="003562DC">
        <w:t xml:space="preserve">parties operating under paragraph 1 of Article 5 </w:t>
      </w:r>
      <w:r w:rsidR="00E62558">
        <w:t xml:space="preserve">(Article 5 parties) </w:t>
      </w:r>
      <w:r w:rsidR="00E62558" w:rsidRPr="008E6F6F">
        <w:t>for submission to the Thirty-</w:t>
      </w:r>
      <w:r w:rsidR="00E62558">
        <w:t>Eighth</w:t>
      </w:r>
      <w:r w:rsidR="00E62558" w:rsidRPr="008E6F6F">
        <w:t xml:space="preserve"> Meeting of the Parties through the Open-ended Working Group at its forty-</w:t>
      </w:r>
      <w:r w:rsidR="00E62558">
        <w:t>eighth</w:t>
      </w:r>
      <w:r w:rsidR="00E62558" w:rsidRPr="008E6F6F">
        <w:t xml:space="preserve"> meeting. The executive summary of the report</w:t>
      </w:r>
      <w:r w:rsidR="00192906" w:rsidRPr="008E6F6F">
        <w:t>, as received from the Panel</w:t>
      </w:r>
      <w:r w:rsidR="00192906">
        <w:t xml:space="preserve"> and </w:t>
      </w:r>
      <w:r w:rsidR="00192906" w:rsidRPr="008E6F6F">
        <w:t>without formal editing,</w:t>
      </w:r>
      <w:r w:rsidR="00E62558" w:rsidRPr="008E6F6F">
        <w:t xml:space="preserve"> is set out in </w:t>
      </w:r>
      <w:r w:rsidR="00E62558" w:rsidRPr="00576E3F">
        <w:t>annex I to the</w:t>
      </w:r>
      <w:r w:rsidR="00E62558" w:rsidRPr="008E6F6F">
        <w:t xml:space="preserve"> present addendum</w:t>
      </w:r>
      <w:r w:rsidR="00E62558" w:rsidRPr="00FF4E75">
        <w:t xml:space="preserve">. </w:t>
      </w:r>
      <w:bookmarkStart w:id="12" w:name="_Hlk42353497"/>
    </w:p>
    <w:bookmarkEnd w:id="12"/>
    <w:p w14:paraId="54506917" w14:textId="596149F4" w:rsidR="00E62558" w:rsidRDefault="00A84A35" w:rsidP="00DD181C">
      <w:pPr>
        <w:pStyle w:val="Normalnumber"/>
        <w:tabs>
          <w:tab w:val="clear" w:pos="1247"/>
          <w:tab w:val="clear" w:pos="1814"/>
          <w:tab w:val="clear" w:pos="2381"/>
          <w:tab w:val="clear" w:pos="2948"/>
          <w:tab w:val="clear" w:pos="3515"/>
          <w:tab w:val="left" w:pos="624"/>
        </w:tabs>
        <w:ind w:left="1247"/>
        <w:rPr>
          <w:lang w:eastAsia="en-GB"/>
        </w:rPr>
      </w:pPr>
      <w:r>
        <w:rPr>
          <w:lang w:eastAsia="en-GB"/>
        </w:rPr>
        <w:t xml:space="preserve">In the </w:t>
      </w:r>
      <w:r w:rsidRPr="00BC41D8">
        <w:rPr>
          <w:lang w:eastAsia="en-GB"/>
        </w:rPr>
        <w:t>report, t</w:t>
      </w:r>
      <w:r w:rsidR="00E62558" w:rsidRPr="00BC41D8">
        <w:rPr>
          <w:lang w:eastAsia="en-GB"/>
        </w:rPr>
        <w:t xml:space="preserve">he task </w:t>
      </w:r>
      <w:r w:rsidR="00E62558" w:rsidRPr="00192906">
        <w:rPr>
          <w:lang w:eastAsia="en-GB"/>
        </w:rPr>
        <w:t xml:space="preserve">force </w:t>
      </w:r>
      <w:r w:rsidRPr="00192906">
        <w:t xml:space="preserve">presents, </w:t>
      </w:r>
      <w:r w:rsidRPr="00192906">
        <w:rPr>
          <w:lang w:eastAsia="en-GB"/>
        </w:rPr>
        <w:t>across several chapters and annexes,</w:t>
      </w:r>
      <w:r w:rsidR="00E62558" w:rsidRPr="00192906">
        <w:rPr>
          <w:lang w:eastAsia="en-GB"/>
        </w:rPr>
        <w:t xml:space="preserve"> a detailed analysis of its estimates of funding requirements for the triennium 2027–2029 and indicative figures for the trienni</w:t>
      </w:r>
      <w:r w:rsidR="000C07E5" w:rsidRPr="00192906">
        <w:rPr>
          <w:lang w:eastAsia="en-GB"/>
        </w:rPr>
        <w:t>ums</w:t>
      </w:r>
      <w:r w:rsidR="00E62558" w:rsidRPr="00192906">
        <w:rPr>
          <w:lang w:eastAsia="en-GB"/>
        </w:rPr>
        <w:t xml:space="preserve"> 2030–2032 and 2033–2035. The estimates are based</w:t>
      </w:r>
      <w:r w:rsidR="00E62558">
        <w:rPr>
          <w:lang w:eastAsia="en-GB"/>
        </w:rPr>
        <w:t xml:space="preserve"> on Article 7 data reported by parties to the Secretariat, information contained in the consolidated business plan of the </w:t>
      </w:r>
      <w:r w:rsidR="00E62558" w:rsidRPr="00285961">
        <w:rPr>
          <w:lang w:eastAsia="en-GB"/>
        </w:rPr>
        <w:t>Multilateral Fund</w:t>
      </w:r>
      <w:r w:rsidR="00E62558">
        <w:rPr>
          <w:lang w:eastAsia="en-GB"/>
        </w:rPr>
        <w:t xml:space="preserve"> for 2026–2028, relevant decisions of the Executive Committee of the Multilateral Fund </w:t>
      </w:r>
      <w:r w:rsidR="008C22E8">
        <w:rPr>
          <w:lang w:eastAsia="en-GB"/>
        </w:rPr>
        <w:t xml:space="preserve">taken at meetings </w:t>
      </w:r>
      <w:r w:rsidR="00E62558">
        <w:rPr>
          <w:lang w:eastAsia="en-GB"/>
        </w:rPr>
        <w:t xml:space="preserve">up to and </w:t>
      </w:r>
      <w:r w:rsidR="00E62558" w:rsidRPr="00440FD2">
        <w:rPr>
          <w:lang w:eastAsia="en-GB"/>
        </w:rPr>
        <w:t>including its ninety-seventh meeting, existing cost guidelines, existing and expert-derived cost</w:t>
      </w:r>
      <w:r w:rsidR="00440FD2" w:rsidRPr="00790DF9">
        <w:rPr>
          <w:lang w:eastAsia="en-GB"/>
        </w:rPr>
        <w:t>-</w:t>
      </w:r>
      <w:r w:rsidR="00E62558" w:rsidRPr="00440FD2">
        <w:rPr>
          <w:lang w:eastAsia="en-GB"/>
        </w:rPr>
        <w:t>effectiveness values, and relevant</w:t>
      </w:r>
      <w:r w:rsidR="00E62558">
        <w:rPr>
          <w:lang w:eastAsia="en-GB"/>
        </w:rPr>
        <w:t xml:space="preserve"> information </w:t>
      </w:r>
      <w:r w:rsidR="00E62558" w:rsidRPr="0045569D">
        <w:rPr>
          <w:lang w:eastAsia="en-GB"/>
        </w:rPr>
        <w:t>available through</w:t>
      </w:r>
      <w:r w:rsidR="00E62558">
        <w:rPr>
          <w:lang w:eastAsia="en-GB"/>
        </w:rPr>
        <w:t xml:space="preserve"> the Multilateral Fund and Ozone secretariats. </w:t>
      </w:r>
    </w:p>
    <w:p w14:paraId="0C92737B" w14:textId="413EA306" w:rsidR="007225B3" w:rsidRPr="007225B3" w:rsidRDefault="00E62558" w:rsidP="007225B3">
      <w:pPr>
        <w:pStyle w:val="Normalnumber"/>
        <w:rPr>
          <w:lang w:eastAsia="en-GB"/>
        </w:rPr>
      </w:pPr>
      <w:r w:rsidRPr="00BA01C6">
        <w:rPr>
          <w:lang w:eastAsia="en-GB"/>
        </w:rPr>
        <w:t xml:space="preserve">The estimates cover activities related to the phase-out of </w:t>
      </w:r>
      <w:r w:rsidR="00DA16A2">
        <w:rPr>
          <w:lang w:eastAsia="en-GB"/>
        </w:rPr>
        <w:t xml:space="preserve">consumption and production of </w:t>
      </w:r>
      <w:r w:rsidRPr="00BA01C6">
        <w:rPr>
          <w:lang w:eastAsia="en-GB"/>
        </w:rPr>
        <w:t>hydrochlorofluorocarbons (</w:t>
      </w:r>
      <w:r w:rsidRPr="0076685B">
        <w:rPr>
          <w:lang w:eastAsia="en-GB"/>
        </w:rPr>
        <w:t>HCFC</w:t>
      </w:r>
      <w:r w:rsidRPr="00BA01C6">
        <w:rPr>
          <w:lang w:eastAsia="en-GB"/>
        </w:rPr>
        <w:t>s); the phase-down</w:t>
      </w:r>
      <w:r w:rsidRPr="00756FD0">
        <w:rPr>
          <w:lang w:eastAsia="en-GB"/>
        </w:rPr>
        <w:t xml:space="preserve"> of </w:t>
      </w:r>
      <w:r w:rsidR="00B2128C">
        <w:rPr>
          <w:lang w:eastAsia="en-GB"/>
        </w:rPr>
        <w:t xml:space="preserve">consumption and production of </w:t>
      </w:r>
      <w:r>
        <w:rPr>
          <w:lang w:eastAsia="en-GB"/>
        </w:rPr>
        <w:t>hydrofluorocarbons (</w:t>
      </w:r>
      <w:r w:rsidRPr="00D81019">
        <w:rPr>
          <w:lang w:eastAsia="en-GB"/>
        </w:rPr>
        <w:t>HFCs</w:t>
      </w:r>
      <w:r>
        <w:rPr>
          <w:lang w:eastAsia="en-GB"/>
        </w:rPr>
        <w:t>)</w:t>
      </w:r>
      <w:r w:rsidR="00484DCF">
        <w:rPr>
          <w:lang w:eastAsia="en-GB"/>
        </w:rPr>
        <w:t>,</w:t>
      </w:r>
      <w:r w:rsidRPr="00756FD0">
        <w:rPr>
          <w:lang w:eastAsia="en-GB"/>
        </w:rPr>
        <w:t xml:space="preserve"> including mitigation of </w:t>
      </w:r>
      <w:r w:rsidR="00BA01C6" w:rsidRPr="00756FD0">
        <w:rPr>
          <w:lang w:eastAsia="en-GB"/>
        </w:rPr>
        <w:t>by</w:t>
      </w:r>
      <w:r w:rsidR="00BA01C6">
        <w:rPr>
          <w:lang w:eastAsia="en-GB"/>
        </w:rPr>
        <w:t>-</w:t>
      </w:r>
      <w:r w:rsidRPr="00756FD0">
        <w:rPr>
          <w:lang w:eastAsia="en-GB"/>
        </w:rPr>
        <w:t>product HFC-23</w:t>
      </w:r>
      <w:r>
        <w:rPr>
          <w:lang w:eastAsia="en-GB"/>
        </w:rPr>
        <w:t xml:space="preserve"> emissions</w:t>
      </w:r>
      <w:r w:rsidRPr="00756FD0">
        <w:rPr>
          <w:lang w:eastAsia="en-GB"/>
        </w:rPr>
        <w:t xml:space="preserve">; </w:t>
      </w:r>
      <w:r w:rsidR="00484DCF">
        <w:rPr>
          <w:lang w:eastAsia="en-GB"/>
        </w:rPr>
        <w:t>and</w:t>
      </w:r>
      <w:r>
        <w:rPr>
          <w:lang w:eastAsia="en-GB"/>
        </w:rPr>
        <w:t xml:space="preserve"> </w:t>
      </w:r>
      <w:r w:rsidRPr="00756FD0">
        <w:rPr>
          <w:lang w:eastAsia="en-GB"/>
        </w:rPr>
        <w:t xml:space="preserve">institutional strengthening and standard activities (i.e. costs related to the </w:t>
      </w:r>
      <w:r w:rsidR="0081617A">
        <w:rPr>
          <w:lang w:eastAsia="en-GB"/>
        </w:rPr>
        <w:t>C</w:t>
      </w:r>
      <w:r w:rsidRPr="00756FD0">
        <w:rPr>
          <w:lang w:eastAsia="en-GB"/>
        </w:rPr>
        <w:t xml:space="preserve">ompliance </w:t>
      </w:r>
      <w:r w:rsidR="0081617A">
        <w:t>A</w:t>
      </w:r>
      <w:r w:rsidRPr="00756FD0">
        <w:t>ssistance</w:t>
      </w:r>
      <w:r w:rsidRPr="00756FD0">
        <w:rPr>
          <w:lang w:eastAsia="en-GB"/>
        </w:rPr>
        <w:t xml:space="preserve"> </w:t>
      </w:r>
      <w:r w:rsidR="0081617A">
        <w:rPr>
          <w:lang w:eastAsia="en-GB"/>
        </w:rPr>
        <w:t>P</w:t>
      </w:r>
      <w:r w:rsidRPr="00756FD0">
        <w:rPr>
          <w:lang w:eastAsia="en-GB"/>
        </w:rPr>
        <w:t xml:space="preserve">rogramme of the </w:t>
      </w:r>
      <w:r w:rsidRPr="006D2347">
        <w:rPr>
          <w:lang w:eastAsia="en-GB"/>
        </w:rPr>
        <w:t>United Nations Environment Programme</w:t>
      </w:r>
      <w:r w:rsidRPr="00756FD0">
        <w:rPr>
          <w:lang w:eastAsia="en-GB"/>
        </w:rPr>
        <w:t xml:space="preserve">, </w:t>
      </w:r>
      <w:r>
        <w:rPr>
          <w:lang w:eastAsia="en-GB"/>
        </w:rPr>
        <w:t xml:space="preserve">other </w:t>
      </w:r>
      <w:r w:rsidRPr="00756FD0">
        <w:rPr>
          <w:lang w:eastAsia="en-GB"/>
        </w:rPr>
        <w:t xml:space="preserve">implementing agencies, the Multilateral Fund secretariat </w:t>
      </w:r>
      <w:r w:rsidRPr="00030FB4">
        <w:rPr>
          <w:lang w:eastAsia="en-GB"/>
        </w:rPr>
        <w:t>and the Fund Treasurer</w:t>
      </w:r>
      <w:r w:rsidRPr="00756FD0">
        <w:rPr>
          <w:lang w:eastAsia="en-GB"/>
        </w:rPr>
        <w:t xml:space="preserve">). </w:t>
      </w:r>
      <w:r>
        <w:rPr>
          <w:lang w:eastAsia="en-GB"/>
        </w:rPr>
        <w:t>Funding for energy efficiency</w:t>
      </w:r>
      <w:r w:rsidR="00D30DB8">
        <w:rPr>
          <w:lang w:eastAsia="en-GB"/>
        </w:rPr>
        <w:t>,</w:t>
      </w:r>
      <w:r>
        <w:rPr>
          <w:lang w:eastAsia="en-GB"/>
        </w:rPr>
        <w:t xml:space="preserve"> addressed in several </w:t>
      </w:r>
      <w:r>
        <w:t>Executive</w:t>
      </w:r>
      <w:r>
        <w:rPr>
          <w:lang w:eastAsia="en-GB"/>
        </w:rPr>
        <w:t xml:space="preserve"> Committee decisions</w:t>
      </w:r>
      <w:r w:rsidR="00D30DB8">
        <w:rPr>
          <w:lang w:eastAsia="en-GB"/>
        </w:rPr>
        <w:t>,</w:t>
      </w:r>
      <w:r>
        <w:rPr>
          <w:lang w:eastAsia="en-GB"/>
        </w:rPr>
        <w:t xml:space="preserve"> is also </w:t>
      </w:r>
      <w:r w:rsidRPr="00C33E0A">
        <w:rPr>
          <w:lang w:eastAsia="en-GB"/>
        </w:rPr>
        <w:t xml:space="preserve">incorporated into the estimated funding requirements for HCFC </w:t>
      </w:r>
      <w:r w:rsidR="00E51DFA">
        <w:rPr>
          <w:lang w:eastAsia="en-GB"/>
        </w:rPr>
        <w:t>phase</w:t>
      </w:r>
      <w:r w:rsidR="00E51DFA">
        <w:rPr>
          <w:lang w:eastAsia="en-GB"/>
        </w:rPr>
        <w:noBreakHyphen/>
      </w:r>
      <w:r w:rsidRPr="00C33E0A">
        <w:rPr>
          <w:lang w:eastAsia="en-GB"/>
        </w:rPr>
        <w:t xml:space="preserve">out and HFC phase-down in the </w:t>
      </w:r>
      <w:r w:rsidR="00ED1A4C" w:rsidRPr="00C33E0A">
        <w:rPr>
          <w:lang w:eastAsia="en-GB"/>
        </w:rPr>
        <w:t xml:space="preserve">triennium </w:t>
      </w:r>
      <w:r w:rsidRPr="00C33E0A">
        <w:rPr>
          <w:lang w:eastAsia="en-GB"/>
        </w:rPr>
        <w:t>2027</w:t>
      </w:r>
      <w:r>
        <w:rPr>
          <w:lang w:eastAsia="en-GB"/>
        </w:rPr>
        <w:t>–</w:t>
      </w:r>
      <w:r w:rsidRPr="00C33E0A">
        <w:rPr>
          <w:lang w:eastAsia="en-GB"/>
        </w:rPr>
        <w:t>2029</w:t>
      </w:r>
      <w:r>
        <w:rPr>
          <w:lang w:eastAsia="en-GB"/>
        </w:rPr>
        <w:t>.</w:t>
      </w:r>
      <w:r w:rsidR="00F16C59">
        <w:rPr>
          <w:lang w:eastAsia="en-GB"/>
        </w:rPr>
        <w:t xml:space="preserve"> </w:t>
      </w:r>
      <w:r w:rsidR="007225B3" w:rsidRPr="007225B3">
        <w:rPr>
          <w:lang w:eastAsia="en-GB"/>
        </w:rPr>
        <w:t xml:space="preserve">A funding window for pilot projects for regional atmospheric monitoring of controlled substances is also </w:t>
      </w:r>
      <w:r w:rsidR="00591FDC">
        <w:rPr>
          <w:lang w:eastAsia="en-GB"/>
        </w:rPr>
        <w:t>included</w:t>
      </w:r>
      <w:r w:rsidR="007225B3" w:rsidRPr="007225B3">
        <w:rPr>
          <w:lang w:eastAsia="en-GB"/>
        </w:rPr>
        <w:t xml:space="preserve"> in the funding estimate</w:t>
      </w:r>
      <w:r w:rsidR="00085E4A">
        <w:rPr>
          <w:lang w:eastAsia="en-GB"/>
        </w:rPr>
        <w:t>s</w:t>
      </w:r>
      <w:r w:rsidR="007225B3" w:rsidRPr="007225B3">
        <w:rPr>
          <w:lang w:eastAsia="en-GB"/>
        </w:rPr>
        <w:t xml:space="preserve"> for the triennium</w:t>
      </w:r>
      <w:r w:rsidR="00085E4A">
        <w:rPr>
          <w:lang w:eastAsia="en-GB"/>
        </w:rPr>
        <w:t>s 2027</w:t>
      </w:r>
      <w:r w:rsidR="007F5E9D" w:rsidRPr="007F5E9D">
        <w:rPr>
          <w:lang w:eastAsia="en-GB"/>
        </w:rPr>
        <w:t>–</w:t>
      </w:r>
      <w:r w:rsidR="00085E4A">
        <w:rPr>
          <w:lang w:eastAsia="en-GB"/>
        </w:rPr>
        <w:t xml:space="preserve">2029 and </w:t>
      </w:r>
      <w:r w:rsidR="004D1D75">
        <w:rPr>
          <w:lang w:eastAsia="en-GB"/>
        </w:rPr>
        <w:t>2030</w:t>
      </w:r>
      <w:r w:rsidR="007F5E9D" w:rsidRPr="007F5E9D">
        <w:rPr>
          <w:lang w:eastAsia="en-GB"/>
        </w:rPr>
        <w:t>–</w:t>
      </w:r>
      <w:r w:rsidR="007F5E9D">
        <w:rPr>
          <w:lang w:eastAsia="en-GB"/>
        </w:rPr>
        <w:t>2032</w:t>
      </w:r>
      <w:r w:rsidR="007225B3" w:rsidRPr="007225B3">
        <w:rPr>
          <w:lang w:eastAsia="en-GB"/>
        </w:rPr>
        <w:t>.</w:t>
      </w:r>
      <w:r w:rsidR="00EC4CE6">
        <w:rPr>
          <w:lang w:eastAsia="en-GB"/>
        </w:rPr>
        <w:t xml:space="preserve"> </w:t>
      </w:r>
      <w:r w:rsidR="00DA11E9">
        <w:rPr>
          <w:lang w:eastAsia="en-GB"/>
        </w:rPr>
        <w:t>Detailed a</w:t>
      </w:r>
      <w:r w:rsidR="00EA4430">
        <w:rPr>
          <w:lang w:eastAsia="en-GB"/>
        </w:rPr>
        <w:t>nalyses</w:t>
      </w:r>
      <w:r w:rsidR="00EC4CE6">
        <w:rPr>
          <w:lang w:eastAsia="en-GB"/>
        </w:rPr>
        <w:t xml:space="preserve"> </w:t>
      </w:r>
      <w:r w:rsidR="00F8576A">
        <w:rPr>
          <w:lang w:eastAsia="en-GB"/>
        </w:rPr>
        <w:t>of the</w:t>
      </w:r>
      <w:r w:rsidR="00EC4CE6">
        <w:rPr>
          <w:lang w:eastAsia="en-GB"/>
        </w:rPr>
        <w:t xml:space="preserve"> funding estimates for energy efficiency and</w:t>
      </w:r>
      <w:r w:rsidR="00F8576A">
        <w:rPr>
          <w:lang w:eastAsia="en-GB"/>
        </w:rPr>
        <w:t xml:space="preserve"> regional atmospheric monitoring </w:t>
      </w:r>
      <w:r w:rsidR="001F5884">
        <w:rPr>
          <w:lang w:eastAsia="en-GB"/>
        </w:rPr>
        <w:t xml:space="preserve">are </w:t>
      </w:r>
      <w:r w:rsidR="004952CF">
        <w:rPr>
          <w:lang w:eastAsia="en-GB"/>
        </w:rPr>
        <w:t>set out</w:t>
      </w:r>
      <w:r w:rsidR="001F5884">
        <w:rPr>
          <w:lang w:eastAsia="en-GB"/>
        </w:rPr>
        <w:t xml:space="preserve"> in chapters 7 a</w:t>
      </w:r>
      <w:r w:rsidR="00CA531C">
        <w:rPr>
          <w:lang w:eastAsia="en-GB"/>
        </w:rPr>
        <w:t>nd 10</w:t>
      </w:r>
      <w:r w:rsidR="00615D81">
        <w:rPr>
          <w:lang w:eastAsia="en-GB"/>
        </w:rPr>
        <w:t xml:space="preserve"> </w:t>
      </w:r>
      <w:r w:rsidR="00CA531C">
        <w:rPr>
          <w:lang w:eastAsia="en-GB"/>
        </w:rPr>
        <w:t xml:space="preserve">of the task </w:t>
      </w:r>
      <w:r w:rsidR="00790DF9" w:rsidRPr="009748B2">
        <w:rPr>
          <w:lang w:eastAsia="en-GB"/>
        </w:rPr>
        <w:t>force</w:t>
      </w:r>
      <w:r w:rsidR="00790DF9">
        <w:rPr>
          <w:lang w:eastAsia="en-GB"/>
        </w:rPr>
        <w:t xml:space="preserve"> </w:t>
      </w:r>
      <w:r w:rsidR="00CA531C">
        <w:rPr>
          <w:lang w:eastAsia="en-GB"/>
        </w:rPr>
        <w:t>report</w:t>
      </w:r>
      <w:r w:rsidR="00615D81">
        <w:rPr>
          <w:lang w:eastAsia="en-GB"/>
        </w:rPr>
        <w:t>,</w:t>
      </w:r>
      <w:r w:rsidR="00615D81" w:rsidRPr="00615D81">
        <w:rPr>
          <w:lang w:eastAsia="en-GB"/>
        </w:rPr>
        <w:t xml:space="preserve"> </w:t>
      </w:r>
      <w:r w:rsidR="00615D81">
        <w:rPr>
          <w:lang w:eastAsia="en-GB"/>
        </w:rPr>
        <w:t>respectively</w:t>
      </w:r>
      <w:r w:rsidR="00CA531C">
        <w:rPr>
          <w:lang w:eastAsia="en-GB"/>
        </w:rPr>
        <w:t>.</w:t>
      </w:r>
      <w:r w:rsidR="00EC4CE6">
        <w:rPr>
          <w:lang w:eastAsia="en-GB"/>
        </w:rPr>
        <w:t xml:space="preserve"> </w:t>
      </w:r>
    </w:p>
    <w:p w14:paraId="42DA9591" w14:textId="6032B665" w:rsidR="000F6A2D" w:rsidRDefault="000F6A2D" w:rsidP="00E0168F">
      <w:pPr>
        <w:pStyle w:val="Normalnumber"/>
        <w:rPr>
          <w:lang w:eastAsia="en-GB"/>
        </w:rPr>
      </w:pPr>
      <w:r w:rsidRPr="000F6A2D">
        <w:rPr>
          <w:lang w:eastAsia="en-GB"/>
        </w:rPr>
        <w:t xml:space="preserve">As </w:t>
      </w:r>
      <w:r w:rsidR="00D7299F">
        <w:rPr>
          <w:lang w:eastAsia="en-GB"/>
        </w:rPr>
        <w:t xml:space="preserve">is </w:t>
      </w:r>
      <w:r w:rsidRPr="000F6A2D">
        <w:rPr>
          <w:lang w:eastAsia="en-GB"/>
        </w:rPr>
        <w:t xml:space="preserve">requested in decision XXXVII/6, funding estimates for the special needs of low-volume-consuming and very-low-volume-consuming countries are included in the total estimates for all three trienniums, </w:t>
      </w:r>
      <w:r w:rsidRPr="000E4889">
        <w:rPr>
          <w:lang w:eastAsia="en-GB"/>
        </w:rPr>
        <w:t>taking into account relevant decisions of the Executive Committee. While th</w:t>
      </w:r>
      <w:r w:rsidR="00744CF6" w:rsidRPr="000E4889">
        <w:rPr>
          <w:lang w:eastAsia="en-GB"/>
        </w:rPr>
        <w:t>o</w:t>
      </w:r>
      <w:r w:rsidRPr="000E4889">
        <w:rPr>
          <w:lang w:eastAsia="en-GB"/>
        </w:rPr>
        <w:t>se estimates are based on current cost guidelines, further analysis of the special needs of those countries</w:t>
      </w:r>
      <w:r w:rsidR="0053561F" w:rsidRPr="000E4889">
        <w:rPr>
          <w:lang w:eastAsia="en-GB"/>
        </w:rPr>
        <w:t>, set out</w:t>
      </w:r>
      <w:r w:rsidRPr="000E4889">
        <w:rPr>
          <w:lang w:eastAsia="en-GB"/>
        </w:rPr>
        <w:t xml:space="preserve"> in chapter 6 of the task force report</w:t>
      </w:r>
      <w:r w:rsidR="0053561F" w:rsidRPr="000E4889">
        <w:rPr>
          <w:lang w:eastAsia="en-GB"/>
        </w:rPr>
        <w:t>,</w:t>
      </w:r>
      <w:r w:rsidRPr="000E4889">
        <w:rPr>
          <w:lang w:eastAsia="en-GB"/>
        </w:rPr>
        <w:t xml:space="preserve"> suggests higher funding for consideration in a potential review of cost guidelines in 2028.</w:t>
      </w:r>
    </w:p>
    <w:p w14:paraId="44091029" w14:textId="6886F023" w:rsidR="00E62558" w:rsidRPr="00D83459" w:rsidRDefault="006168A4" w:rsidP="00E0168F">
      <w:pPr>
        <w:pStyle w:val="Normalnumber"/>
        <w:rPr>
          <w:lang w:eastAsia="en-GB"/>
        </w:rPr>
      </w:pPr>
      <w:r w:rsidRPr="006168A4">
        <w:rPr>
          <w:lang w:eastAsia="en-GB"/>
        </w:rPr>
        <w:t xml:space="preserve">As </w:t>
      </w:r>
      <w:r w:rsidR="00D7299F">
        <w:rPr>
          <w:lang w:eastAsia="en-GB"/>
        </w:rPr>
        <w:t xml:space="preserve">is </w:t>
      </w:r>
      <w:r w:rsidRPr="006168A4">
        <w:rPr>
          <w:lang w:eastAsia="en-GB"/>
        </w:rPr>
        <w:t>also requested in the decision</w:t>
      </w:r>
      <w:r w:rsidR="00060139">
        <w:rPr>
          <w:lang w:eastAsia="en-GB"/>
        </w:rPr>
        <w:t xml:space="preserve">, the task force </w:t>
      </w:r>
      <w:r w:rsidR="00E62558" w:rsidRPr="00E5647B">
        <w:rPr>
          <w:lang w:eastAsia="en-GB"/>
        </w:rPr>
        <w:t xml:space="preserve">addressed </w:t>
      </w:r>
      <w:r w:rsidR="00D50CE8">
        <w:rPr>
          <w:lang w:eastAsia="en-GB"/>
        </w:rPr>
        <w:t>issues related to</w:t>
      </w:r>
      <w:r w:rsidR="00E62558" w:rsidRPr="00923D6A">
        <w:rPr>
          <w:lang w:eastAsia="en-GB"/>
        </w:rPr>
        <w:t xml:space="preserve"> life</w:t>
      </w:r>
      <w:r w:rsidR="00E62558">
        <w:rPr>
          <w:lang w:eastAsia="en-GB"/>
        </w:rPr>
        <w:t>-</w:t>
      </w:r>
      <w:r w:rsidR="00E62558" w:rsidRPr="00923D6A">
        <w:rPr>
          <w:lang w:eastAsia="en-GB"/>
        </w:rPr>
        <w:t xml:space="preserve">cycle refrigerant management </w:t>
      </w:r>
      <w:r w:rsidR="00163475">
        <w:rPr>
          <w:lang w:eastAsia="en-GB"/>
        </w:rPr>
        <w:t xml:space="preserve">and </w:t>
      </w:r>
      <w:r w:rsidR="00E62558" w:rsidRPr="00923D6A">
        <w:rPr>
          <w:lang w:eastAsia="en-GB"/>
        </w:rPr>
        <w:t>digital technologies in the servicing sector</w:t>
      </w:r>
      <w:r w:rsidRPr="006168A4">
        <w:rPr>
          <w:lang w:eastAsia="en-GB"/>
        </w:rPr>
        <w:t xml:space="preserve"> </w:t>
      </w:r>
      <w:r w:rsidRPr="00E5647B">
        <w:rPr>
          <w:lang w:eastAsia="en-GB"/>
        </w:rPr>
        <w:t>separate</w:t>
      </w:r>
      <w:r w:rsidR="00662078">
        <w:rPr>
          <w:lang w:eastAsia="en-GB"/>
        </w:rPr>
        <w:t>ly</w:t>
      </w:r>
      <w:r w:rsidR="00FB50CB">
        <w:rPr>
          <w:lang w:eastAsia="en-GB"/>
        </w:rPr>
        <w:t xml:space="preserve"> in</w:t>
      </w:r>
      <w:r w:rsidRPr="00E5647B">
        <w:rPr>
          <w:lang w:eastAsia="en-GB"/>
        </w:rPr>
        <w:t xml:space="preserve"> chapters</w:t>
      </w:r>
      <w:r w:rsidR="00EE2C76">
        <w:rPr>
          <w:lang w:eastAsia="en-GB"/>
        </w:rPr>
        <w:t xml:space="preserve"> </w:t>
      </w:r>
      <w:r w:rsidR="00EE2C76" w:rsidRPr="00EE2C76">
        <w:rPr>
          <w:lang w:eastAsia="en-GB"/>
        </w:rPr>
        <w:t>8 and 9, respectively</w:t>
      </w:r>
      <w:r w:rsidR="00E62558">
        <w:rPr>
          <w:lang w:eastAsia="en-GB"/>
        </w:rPr>
        <w:t xml:space="preserve">. </w:t>
      </w:r>
      <w:r w:rsidR="00E62558" w:rsidRPr="00923D6A">
        <w:rPr>
          <w:lang w:eastAsia="en-GB"/>
        </w:rPr>
        <w:t xml:space="preserve">While </w:t>
      </w:r>
      <w:r w:rsidR="00E62558">
        <w:rPr>
          <w:lang w:eastAsia="en-GB"/>
        </w:rPr>
        <w:t>detailed information on th</w:t>
      </w:r>
      <w:r w:rsidR="00CA49D8">
        <w:rPr>
          <w:lang w:eastAsia="en-GB"/>
        </w:rPr>
        <w:t>os</w:t>
      </w:r>
      <w:r w:rsidR="00E62558">
        <w:rPr>
          <w:lang w:eastAsia="en-GB"/>
        </w:rPr>
        <w:t xml:space="preserve">e topics </w:t>
      </w:r>
      <w:r w:rsidR="00CA49D8">
        <w:rPr>
          <w:lang w:eastAsia="en-GB"/>
        </w:rPr>
        <w:t xml:space="preserve">is provided </w:t>
      </w:r>
      <w:r w:rsidR="00E62558">
        <w:rPr>
          <w:lang w:eastAsia="en-GB"/>
        </w:rPr>
        <w:t xml:space="preserve">for parties’ consideration, </w:t>
      </w:r>
      <w:r w:rsidR="00D4086B">
        <w:rPr>
          <w:lang w:eastAsia="en-GB"/>
        </w:rPr>
        <w:t xml:space="preserve">the </w:t>
      </w:r>
      <w:r w:rsidR="0043340F">
        <w:rPr>
          <w:lang w:eastAsia="en-GB"/>
        </w:rPr>
        <w:t xml:space="preserve">topics </w:t>
      </w:r>
      <w:r w:rsidR="00D4086B">
        <w:rPr>
          <w:lang w:eastAsia="en-GB"/>
        </w:rPr>
        <w:t xml:space="preserve">were not taken into account </w:t>
      </w:r>
      <w:r w:rsidR="005D278F">
        <w:rPr>
          <w:lang w:eastAsia="en-GB"/>
        </w:rPr>
        <w:t xml:space="preserve">in </w:t>
      </w:r>
      <w:r w:rsidR="00E62558" w:rsidRPr="00C8220F">
        <w:rPr>
          <w:lang w:eastAsia="en-GB"/>
        </w:rPr>
        <w:t xml:space="preserve">the estimated funding requirements for the three </w:t>
      </w:r>
      <w:r w:rsidR="00E62558" w:rsidRPr="00C92CCF">
        <w:rPr>
          <w:lang w:eastAsia="en-GB"/>
        </w:rPr>
        <w:t>trienni</w:t>
      </w:r>
      <w:r w:rsidR="00F71B7E" w:rsidRPr="00C92CCF">
        <w:rPr>
          <w:lang w:eastAsia="en-GB"/>
        </w:rPr>
        <w:t>ums</w:t>
      </w:r>
      <w:r w:rsidR="00E62558" w:rsidRPr="00D83459">
        <w:rPr>
          <w:lang w:eastAsia="en-GB"/>
        </w:rPr>
        <w:t>.</w:t>
      </w:r>
    </w:p>
    <w:p w14:paraId="2ABDE06B" w14:textId="6AD9CEDE" w:rsidR="00E62558" w:rsidRPr="005664D0" w:rsidRDefault="00973FCC" w:rsidP="00E62558">
      <w:pPr>
        <w:pStyle w:val="Normalnumber"/>
        <w:rPr>
          <w:lang w:eastAsia="en-GB"/>
        </w:rPr>
      </w:pPr>
      <w:r>
        <w:rPr>
          <w:lang w:eastAsia="en-GB"/>
        </w:rPr>
        <w:t xml:space="preserve">For the </w:t>
      </w:r>
      <w:r w:rsidR="004A480A">
        <w:rPr>
          <w:lang w:eastAsia="en-GB"/>
        </w:rPr>
        <w:t xml:space="preserve">HCFC consumption sector, the task force </w:t>
      </w:r>
      <w:r w:rsidR="00E544EE">
        <w:rPr>
          <w:lang w:eastAsia="en-GB"/>
        </w:rPr>
        <w:t xml:space="preserve">derived </w:t>
      </w:r>
      <w:r w:rsidR="00332F12">
        <w:rPr>
          <w:lang w:eastAsia="en-GB"/>
        </w:rPr>
        <w:t>its funding estimate</w:t>
      </w:r>
      <w:r w:rsidR="00721A1A">
        <w:rPr>
          <w:lang w:eastAsia="en-GB"/>
        </w:rPr>
        <w:t>s</w:t>
      </w:r>
      <w:r w:rsidR="00332F12">
        <w:rPr>
          <w:lang w:eastAsia="en-GB"/>
        </w:rPr>
        <w:t xml:space="preserve"> </w:t>
      </w:r>
      <w:r w:rsidR="00E62558" w:rsidRPr="00721A1A">
        <w:rPr>
          <w:lang w:eastAsia="en-GB"/>
        </w:rPr>
        <w:t>assum</w:t>
      </w:r>
      <w:r w:rsidR="00B45613" w:rsidRPr="00E0168F">
        <w:rPr>
          <w:lang w:eastAsia="en-GB"/>
        </w:rPr>
        <w:t>ing</w:t>
      </w:r>
      <w:r w:rsidR="00E62558" w:rsidRPr="006463BB">
        <w:rPr>
          <w:lang w:eastAsia="en-GB"/>
        </w:rPr>
        <w:t xml:space="preserve"> full phase-out by 2030, with </w:t>
      </w:r>
      <w:r w:rsidR="00E62558">
        <w:rPr>
          <w:lang w:eastAsia="en-GB"/>
        </w:rPr>
        <w:t xml:space="preserve">only </w:t>
      </w:r>
      <w:r w:rsidR="00E62558" w:rsidRPr="006463BB">
        <w:rPr>
          <w:lang w:eastAsia="en-GB"/>
        </w:rPr>
        <w:t xml:space="preserve">limited servicing tail allowances </w:t>
      </w:r>
      <w:r w:rsidR="00E62558">
        <w:rPr>
          <w:lang w:eastAsia="en-GB"/>
        </w:rPr>
        <w:t xml:space="preserve">permitted </w:t>
      </w:r>
      <w:r w:rsidR="00E62558" w:rsidRPr="006463BB">
        <w:rPr>
          <w:lang w:eastAsia="en-GB"/>
        </w:rPr>
        <w:t xml:space="preserve">during </w:t>
      </w:r>
      <w:r w:rsidR="00E62558">
        <w:rPr>
          <w:lang w:eastAsia="en-GB"/>
        </w:rPr>
        <w:t xml:space="preserve">the </w:t>
      </w:r>
      <w:r w:rsidR="00CC023E">
        <w:rPr>
          <w:lang w:eastAsia="en-GB"/>
        </w:rPr>
        <w:t xml:space="preserve">period </w:t>
      </w:r>
      <w:r w:rsidR="00E51DFA">
        <w:rPr>
          <w:lang w:eastAsia="en-GB"/>
        </w:rPr>
        <w:br/>
      </w:r>
      <w:r w:rsidR="00E62558" w:rsidRPr="006463BB">
        <w:rPr>
          <w:lang w:eastAsia="en-GB"/>
        </w:rPr>
        <w:t>2030</w:t>
      </w:r>
      <w:r w:rsidR="00E62558">
        <w:rPr>
          <w:lang w:eastAsia="en-GB"/>
        </w:rPr>
        <w:t>–</w:t>
      </w:r>
      <w:r w:rsidR="00E62558" w:rsidRPr="006463BB">
        <w:rPr>
          <w:lang w:eastAsia="en-GB"/>
        </w:rPr>
        <w:t>2040.</w:t>
      </w:r>
      <w:r w:rsidR="00E62558">
        <w:rPr>
          <w:rStyle w:val="FootnoteReference"/>
          <w:lang w:eastAsia="en-GB"/>
        </w:rPr>
        <w:footnoteReference w:id="5"/>
      </w:r>
      <w:r w:rsidR="00E62558" w:rsidRPr="006463BB">
        <w:rPr>
          <w:lang w:eastAsia="en-GB"/>
        </w:rPr>
        <w:t xml:space="preserve"> </w:t>
      </w:r>
      <w:r w:rsidR="00E62558">
        <w:rPr>
          <w:lang w:eastAsia="en-GB"/>
        </w:rPr>
        <w:t>It also</w:t>
      </w:r>
      <w:r w:rsidR="00E62558" w:rsidRPr="006463BB">
        <w:rPr>
          <w:lang w:eastAsia="en-GB"/>
        </w:rPr>
        <w:t xml:space="preserve"> </w:t>
      </w:r>
      <w:r w:rsidR="00E62558" w:rsidRPr="00721A1A">
        <w:rPr>
          <w:lang w:eastAsia="en-GB"/>
        </w:rPr>
        <w:t>assume</w:t>
      </w:r>
      <w:r w:rsidR="00B45613" w:rsidRPr="00E0168F">
        <w:rPr>
          <w:lang w:eastAsia="en-GB"/>
        </w:rPr>
        <w:t>d</w:t>
      </w:r>
      <w:r w:rsidR="00E62558" w:rsidRPr="006463BB">
        <w:rPr>
          <w:lang w:eastAsia="en-GB"/>
        </w:rPr>
        <w:t xml:space="preserve"> that funding requirements after 2030 </w:t>
      </w:r>
      <w:r w:rsidR="00E62558" w:rsidRPr="009748B2">
        <w:rPr>
          <w:lang w:eastAsia="en-GB"/>
        </w:rPr>
        <w:t>would</w:t>
      </w:r>
      <w:r w:rsidR="00E62558" w:rsidRPr="006463BB">
        <w:rPr>
          <w:lang w:eastAsia="en-GB"/>
        </w:rPr>
        <w:t xml:space="preserve"> be primarily limited to </w:t>
      </w:r>
      <w:r w:rsidR="00E62558">
        <w:rPr>
          <w:lang w:eastAsia="en-GB"/>
        </w:rPr>
        <w:t xml:space="preserve">disbursements for </w:t>
      </w:r>
      <w:r w:rsidR="00E62558" w:rsidRPr="006463BB">
        <w:rPr>
          <w:lang w:eastAsia="en-GB"/>
        </w:rPr>
        <w:t xml:space="preserve">committed tranches under HCFC </w:t>
      </w:r>
      <w:r w:rsidR="00AF39EE">
        <w:rPr>
          <w:lang w:eastAsia="en-GB"/>
        </w:rPr>
        <w:t>p</w:t>
      </w:r>
      <w:r w:rsidR="00E62558" w:rsidRPr="006463BB">
        <w:rPr>
          <w:lang w:eastAsia="en-GB"/>
        </w:rPr>
        <w:t xml:space="preserve">hase-out </w:t>
      </w:r>
      <w:r w:rsidR="00AF39EE">
        <w:rPr>
          <w:lang w:eastAsia="en-GB"/>
        </w:rPr>
        <w:t>m</w:t>
      </w:r>
      <w:r w:rsidR="00E62558" w:rsidRPr="006463BB">
        <w:rPr>
          <w:lang w:eastAsia="en-GB"/>
        </w:rPr>
        <w:t xml:space="preserve">anagement </w:t>
      </w:r>
      <w:r w:rsidR="00AF39EE">
        <w:rPr>
          <w:lang w:eastAsia="en-GB"/>
        </w:rPr>
        <w:t>p</w:t>
      </w:r>
      <w:r w:rsidR="00E62558" w:rsidRPr="006463BB">
        <w:rPr>
          <w:lang w:eastAsia="en-GB"/>
        </w:rPr>
        <w:t>lans.</w:t>
      </w:r>
      <w:r w:rsidR="00E62558">
        <w:rPr>
          <w:lang w:eastAsia="en-GB"/>
        </w:rPr>
        <w:t xml:space="preserve"> Furthermore, the task force </w:t>
      </w:r>
      <w:r w:rsidR="00E62558" w:rsidRPr="00721A1A">
        <w:rPr>
          <w:lang w:eastAsia="en-GB"/>
        </w:rPr>
        <w:t>assume</w:t>
      </w:r>
      <w:r w:rsidR="00B45613" w:rsidRPr="00AB47F8">
        <w:rPr>
          <w:lang w:eastAsia="en-GB"/>
        </w:rPr>
        <w:t>d</w:t>
      </w:r>
      <w:r w:rsidR="00E62558" w:rsidRPr="005664D0">
        <w:rPr>
          <w:lang w:eastAsia="en-GB"/>
        </w:rPr>
        <w:t xml:space="preserve"> that 90 per cent of H</w:t>
      </w:r>
      <w:r w:rsidR="008B1774">
        <w:rPr>
          <w:lang w:eastAsia="en-GB"/>
        </w:rPr>
        <w:t>CFC p</w:t>
      </w:r>
      <w:r w:rsidR="008B1774" w:rsidRPr="006463BB">
        <w:rPr>
          <w:lang w:eastAsia="en-GB"/>
        </w:rPr>
        <w:t xml:space="preserve">hase-out </w:t>
      </w:r>
      <w:r w:rsidR="008B1774">
        <w:rPr>
          <w:lang w:eastAsia="en-GB"/>
        </w:rPr>
        <w:t>m</w:t>
      </w:r>
      <w:r w:rsidR="008B1774" w:rsidRPr="006463BB">
        <w:rPr>
          <w:lang w:eastAsia="en-GB"/>
        </w:rPr>
        <w:t xml:space="preserve">anagement </w:t>
      </w:r>
      <w:r w:rsidR="008B1774">
        <w:rPr>
          <w:lang w:eastAsia="en-GB"/>
        </w:rPr>
        <w:t>p</w:t>
      </w:r>
      <w:r w:rsidR="008B1774" w:rsidRPr="006463BB">
        <w:rPr>
          <w:lang w:eastAsia="en-GB"/>
        </w:rPr>
        <w:t>lan</w:t>
      </w:r>
      <w:r w:rsidR="00E62558" w:rsidRPr="005664D0">
        <w:rPr>
          <w:lang w:eastAsia="en-GB"/>
        </w:rPr>
        <w:t xml:space="preserve"> funding </w:t>
      </w:r>
      <w:r w:rsidR="00E62558" w:rsidRPr="009748B2">
        <w:rPr>
          <w:lang w:eastAsia="en-GB"/>
        </w:rPr>
        <w:t>would</w:t>
      </w:r>
      <w:r w:rsidR="00E62558" w:rsidRPr="005664D0">
        <w:rPr>
          <w:lang w:eastAsia="en-GB"/>
        </w:rPr>
        <w:t xml:space="preserve"> be allocated during the </w:t>
      </w:r>
      <w:r w:rsidR="00F71B7E" w:rsidRPr="005664D0">
        <w:rPr>
          <w:lang w:eastAsia="en-GB"/>
        </w:rPr>
        <w:t xml:space="preserve">triennium </w:t>
      </w:r>
      <w:r w:rsidR="00E62558" w:rsidRPr="005664D0">
        <w:rPr>
          <w:lang w:eastAsia="en-GB"/>
        </w:rPr>
        <w:t xml:space="preserve">2027–2029, with the remaining 10 per cent allocated during </w:t>
      </w:r>
      <w:r w:rsidR="008B1774">
        <w:rPr>
          <w:lang w:eastAsia="en-GB"/>
        </w:rPr>
        <w:t xml:space="preserve">the triennium </w:t>
      </w:r>
      <w:r w:rsidR="00E51DFA">
        <w:rPr>
          <w:lang w:eastAsia="en-GB"/>
        </w:rPr>
        <w:br/>
      </w:r>
      <w:r w:rsidR="00E62558" w:rsidRPr="005664D0">
        <w:rPr>
          <w:lang w:eastAsia="en-GB"/>
        </w:rPr>
        <w:t>2030–2032</w:t>
      </w:r>
      <w:r w:rsidR="00E62558">
        <w:rPr>
          <w:lang w:eastAsia="en-GB"/>
        </w:rPr>
        <w:t>.</w:t>
      </w:r>
      <w:r w:rsidR="00E62558">
        <w:rPr>
          <w:rStyle w:val="FootnoteReference"/>
          <w:lang w:eastAsia="en-GB"/>
        </w:rPr>
        <w:footnoteReference w:id="6"/>
      </w:r>
    </w:p>
    <w:p w14:paraId="51573572" w14:textId="109DECF3" w:rsidR="00E62558" w:rsidRDefault="00337F74" w:rsidP="00DD181C">
      <w:pPr>
        <w:pStyle w:val="Normalnumber"/>
        <w:tabs>
          <w:tab w:val="clear" w:pos="1247"/>
          <w:tab w:val="clear" w:pos="1814"/>
          <w:tab w:val="clear" w:pos="2381"/>
          <w:tab w:val="clear" w:pos="2948"/>
          <w:tab w:val="clear" w:pos="3515"/>
          <w:tab w:val="left" w:pos="624"/>
        </w:tabs>
        <w:ind w:left="1247"/>
        <w:rPr>
          <w:lang w:eastAsia="en-GB"/>
        </w:rPr>
      </w:pPr>
      <w:r>
        <w:rPr>
          <w:lang w:eastAsia="en-GB"/>
        </w:rPr>
        <w:lastRenderedPageBreak/>
        <w:t xml:space="preserve">To address the parties’ </w:t>
      </w:r>
      <w:r w:rsidR="003D2AED">
        <w:rPr>
          <w:lang w:eastAsia="en-GB"/>
        </w:rPr>
        <w:t>request in decis</w:t>
      </w:r>
      <w:r w:rsidR="0009671F">
        <w:rPr>
          <w:lang w:eastAsia="en-GB"/>
        </w:rPr>
        <w:t>i</w:t>
      </w:r>
      <w:r w:rsidR="00B45613">
        <w:rPr>
          <w:lang w:eastAsia="en-GB"/>
        </w:rPr>
        <w:t>on</w:t>
      </w:r>
      <w:r w:rsidR="001D3F66" w:rsidRPr="001D3F66">
        <w:rPr>
          <w:lang w:eastAsia="en-GB"/>
        </w:rPr>
        <w:t xml:space="preserve"> XXXVII/6</w:t>
      </w:r>
      <w:r w:rsidR="001D3F66">
        <w:rPr>
          <w:lang w:eastAsia="en-GB"/>
        </w:rPr>
        <w:t xml:space="preserve"> </w:t>
      </w:r>
      <w:r w:rsidR="003D2AED">
        <w:rPr>
          <w:lang w:eastAsia="en-GB"/>
        </w:rPr>
        <w:t xml:space="preserve">for </w:t>
      </w:r>
      <w:r w:rsidR="001D3F66" w:rsidRPr="00676AF6">
        <w:rPr>
          <w:lang w:eastAsia="en-GB"/>
        </w:rPr>
        <w:t>a compliance-based methodology that is independent of the Multilateral Fund business pla</w:t>
      </w:r>
      <w:r w:rsidR="0009671F">
        <w:rPr>
          <w:lang w:eastAsia="en-GB"/>
        </w:rPr>
        <w:t>n</w:t>
      </w:r>
      <w:r w:rsidR="001D3F66">
        <w:rPr>
          <w:lang w:eastAsia="en-GB"/>
        </w:rPr>
        <w:t xml:space="preserve">, the task force </w:t>
      </w:r>
      <w:r w:rsidR="00E62558" w:rsidRPr="00D076BD">
        <w:rPr>
          <w:lang w:eastAsia="en-GB"/>
        </w:rPr>
        <w:t>developed</w:t>
      </w:r>
      <w:r w:rsidR="00E62558" w:rsidRPr="00676AF6">
        <w:rPr>
          <w:lang w:eastAsia="en-GB"/>
        </w:rPr>
        <w:t xml:space="preserve"> two </w:t>
      </w:r>
      <w:r w:rsidR="00ED5CB8">
        <w:rPr>
          <w:lang w:eastAsia="en-GB"/>
        </w:rPr>
        <w:t>cost</w:t>
      </w:r>
      <w:r w:rsidR="00ED5CB8">
        <w:rPr>
          <w:lang w:eastAsia="en-GB"/>
        </w:rPr>
        <w:noBreakHyphen/>
      </w:r>
      <w:r w:rsidR="00E62558" w:rsidRPr="00676AF6">
        <w:rPr>
          <w:lang w:eastAsia="en-GB"/>
        </w:rPr>
        <w:t>effectiveness scenarios for 15 non-</w:t>
      </w:r>
      <w:r w:rsidR="00647CC1" w:rsidRPr="00923D6A">
        <w:rPr>
          <w:lang w:eastAsia="en-GB"/>
        </w:rPr>
        <w:t>low-volume-consuming</w:t>
      </w:r>
      <w:r w:rsidR="00E62558" w:rsidRPr="00676AF6">
        <w:rPr>
          <w:lang w:eastAsia="en-GB"/>
        </w:rPr>
        <w:t xml:space="preserve"> parties</w:t>
      </w:r>
      <w:r w:rsidR="00E62558">
        <w:rPr>
          <w:lang w:eastAsia="en-GB"/>
        </w:rPr>
        <w:t xml:space="preserve"> with </w:t>
      </w:r>
      <w:r w:rsidR="00E62558" w:rsidRPr="00C31AC6">
        <w:rPr>
          <w:lang w:eastAsia="en-GB"/>
        </w:rPr>
        <w:t xml:space="preserve">remaining eligible </w:t>
      </w:r>
      <w:r w:rsidR="00E62558" w:rsidRPr="00F92DBA">
        <w:rPr>
          <w:lang w:eastAsia="en-GB"/>
        </w:rPr>
        <w:t>manufacturing consumption</w:t>
      </w:r>
      <w:r w:rsidR="00E62558" w:rsidRPr="00C31AC6">
        <w:rPr>
          <w:lang w:eastAsia="en-GB"/>
        </w:rPr>
        <w:t>:</w:t>
      </w:r>
      <w:r w:rsidR="00E62558">
        <w:rPr>
          <w:lang w:eastAsia="en-GB"/>
        </w:rPr>
        <w:t xml:space="preserve"> </w:t>
      </w:r>
      <w:r w:rsidR="00E62558" w:rsidRPr="007106E0">
        <w:rPr>
          <w:lang w:eastAsia="en-GB"/>
        </w:rPr>
        <w:t xml:space="preserve">HCFC scenario 1, based on historical average </w:t>
      </w:r>
      <w:r w:rsidR="00E62558" w:rsidRPr="002D7604">
        <w:rPr>
          <w:lang w:eastAsia="en-GB"/>
        </w:rPr>
        <w:t xml:space="preserve">cost-effectiveness </w:t>
      </w:r>
      <w:r w:rsidR="00E62558">
        <w:rPr>
          <w:lang w:eastAsia="en-GB"/>
        </w:rPr>
        <w:t>v</w:t>
      </w:r>
      <w:r w:rsidR="00E62558" w:rsidRPr="007106E0">
        <w:rPr>
          <w:lang w:eastAsia="en-GB"/>
        </w:rPr>
        <w:t>alues</w:t>
      </w:r>
      <w:r w:rsidR="00E62558">
        <w:rPr>
          <w:lang w:eastAsia="en-GB"/>
        </w:rPr>
        <w:t>;</w:t>
      </w:r>
      <w:r w:rsidR="00E62558" w:rsidRPr="007106E0">
        <w:rPr>
          <w:lang w:eastAsia="en-GB"/>
        </w:rPr>
        <w:t xml:space="preserve"> and HCFC scenario 2, based on the </w:t>
      </w:r>
      <w:r w:rsidR="00892924">
        <w:rPr>
          <w:lang w:eastAsia="en-GB"/>
        </w:rPr>
        <w:t>cost</w:t>
      </w:r>
      <w:r w:rsidR="00892924">
        <w:rPr>
          <w:lang w:eastAsia="en-GB"/>
        </w:rPr>
        <w:noBreakHyphen/>
      </w:r>
      <w:r w:rsidR="00E62558" w:rsidRPr="002D7604">
        <w:rPr>
          <w:lang w:eastAsia="en-GB"/>
        </w:rPr>
        <w:t>effectiveness</w:t>
      </w:r>
      <w:r w:rsidR="00E62558" w:rsidRPr="007106E0">
        <w:rPr>
          <w:lang w:eastAsia="en-GB"/>
        </w:rPr>
        <w:t xml:space="preserve"> thresholds established under existing cost guidelines.</w:t>
      </w:r>
    </w:p>
    <w:p w14:paraId="12B80896" w14:textId="3DDA7360" w:rsidR="00BE4664" w:rsidRDefault="008762CE" w:rsidP="00D10905">
      <w:pPr>
        <w:pStyle w:val="Normalnumber"/>
        <w:keepNext/>
        <w:keepLines/>
        <w:tabs>
          <w:tab w:val="clear" w:pos="1247"/>
          <w:tab w:val="clear" w:pos="1814"/>
          <w:tab w:val="clear" w:pos="2381"/>
          <w:tab w:val="clear" w:pos="2948"/>
          <w:tab w:val="clear" w:pos="3515"/>
          <w:tab w:val="left" w:pos="624"/>
        </w:tabs>
        <w:ind w:left="1247"/>
        <w:rPr>
          <w:lang w:eastAsia="en-GB"/>
        </w:rPr>
      </w:pPr>
      <w:r>
        <w:rPr>
          <w:lang w:eastAsia="en-GB"/>
        </w:rPr>
        <w:t xml:space="preserve">For the HCFC production sector, </w:t>
      </w:r>
      <w:r w:rsidR="00C0033D">
        <w:rPr>
          <w:lang w:eastAsia="en-GB"/>
        </w:rPr>
        <w:t xml:space="preserve">funding estimates include costs for the </w:t>
      </w:r>
      <w:r w:rsidR="00BE4664">
        <w:rPr>
          <w:lang w:eastAsia="en-GB"/>
        </w:rPr>
        <w:t>remaining HCFC production phase-out management plans</w:t>
      </w:r>
      <w:r w:rsidR="00B453D6">
        <w:rPr>
          <w:lang w:eastAsia="en-GB"/>
        </w:rPr>
        <w:t>,</w:t>
      </w:r>
      <w:r w:rsidR="00BE4664">
        <w:rPr>
          <w:lang w:eastAsia="en-GB"/>
        </w:rPr>
        <w:t xml:space="preserve"> including verification activities</w:t>
      </w:r>
      <w:r w:rsidR="00B453D6">
        <w:rPr>
          <w:lang w:eastAsia="en-GB"/>
        </w:rPr>
        <w:t xml:space="preserve"> pertaining to </w:t>
      </w:r>
      <w:r w:rsidR="004F5A52">
        <w:rPr>
          <w:lang w:eastAsia="en-GB"/>
        </w:rPr>
        <w:t xml:space="preserve">one project that is expected to require funding </w:t>
      </w:r>
      <w:r w:rsidR="000B0814" w:rsidRPr="000B0814">
        <w:rPr>
          <w:lang w:eastAsia="en-GB"/>
        </w:rPr>
        <w:t>in the 2027–2029 triennium</w:t>
      </w:r>
      <w:r w:rsidR="00BE4664">
        <w:rPr>
          <w:lang w:eastAsia="en-GB"/>
        </w:rPr>
        <w:t xml:space="preserve">. </w:t>
      </w:r>
    </w:p>
    <w:p w14:paraId="19AA48AF" w14:textId="337A3A6A" w:rsidR="00E62558" w:rsidRDefault="00E62558" w:rsidP="00D10905">
      <w:pPr>
        <w:pStyle w:val="Normalnumber"/>
        <w:keepNext/>
        <w:keepLines/>
        <w:tabs>
          <w:tab w:val="clear" w:pos="1247"/>
          <w:tab w:val="clear" w:pos="1814"/>
          <w:tab w:val="clear" w:pos="2381"/>
          <w:tab w:val="clear" w:pos="2948"/>
          <w:tab w:val="clear" w:pos="3515"/>
          <w:tab w:val="left" w:pos="624"/>
        </w:tabs>
        <w:ind w:left="1247"/>
        <w:rPr>
          <w:lang w:eastAsia="en-GB"/>
        </w:rPr>
      </w:pPr>
      <w:r>
        <w:rPr>
          <w:lang w:eastAsia="en-GB"/>
        </w:rPr>
        <w:t xml:space="preserve">For </w:t>
      </w:r>
      <w:r w:rsidR="0028556E">
        <w:rPr>
          <w:lang w:eastAsia="en-GB"/>
        </w:rPr>
        <w:t xml:space="preserve">the </w:t>
      </w:r>
      <w:r>
        <w:t>HFC</w:t>
      </w:r>
      <w:r>
        <w:rPr>
          <w:lang w:eastAsia="en-GB"/>
        </w:rPr>
        <w:t xml:space="preserve"> </w:t>
      </w:r>
      <w:r w:rsidR="001D3C0D">
        <w:rPr>
          <w:lang w:eastAsia="en-GB"/>
        </w:rPr>
        <w:t>consumption sector</w:t>
      </w:r>
      <w:r>
        <w:rPr>
          <w:lang w:eastAsia="en-GB"/>
        </w:rPr>
        <w:t xml:space="preserve">, the </w:t>
      </w:r>
      <w:r w:rsidR="00252008" w:rsidRPr="009748B2">
        <w:rPr>
          <w:lang w:eastAsia="en-GB"/>
        </w:rPr>
        <w:t>applied</w:t>
      </w:r>
      <w:r w:rsidR="00252008">
        <w:rPr>
          <w:lang w:eastAsia="en-GB"/>
        </w:rPr>
        <w:t xml:space="preserve"> </w:t>
      </w:r>
      <w:r>
        <w:rPr>
          <w:lang w:eastAsia="en-GB"/>
        </w:rPr>
        <w:t xml:space="preserve">methodology </w:t>
      </w:r>
      <w:r w:rsidR="004819FD">
        <w:rPr>
          <w:lang w:eastAsia="en-GB"/>
        </w:rPr>
        <w:t xml:space="preserve">estimates funding </w:t>
      </w:r>
      <w:r w:rsidR="00A535DA">
        <w:rPr>
          <w:lang w:eastAsia="en-GB"/>
        </w:rPr>
        <w:t xml:space="preserve">to </w:t>
      </w:r>
      <w:r w:rsidR="004819FD">
        <w:rPr>
          <w:lang w:eastAsia="en-GB"/>
        </w:rPr>
        <w:t xml:space="preserve">address the needs of Article 5 parties </w:t>
      </w:r>
      <w:r w:rsidR="007C54DC">
        <w:rPr>
          <w:lang w:eastAsia="en-GB"/>
        </w:rPr>
        <w:t>to comply with the</w:t>
      </w:r>
      <w:r w:rsidR="00690AC7">
        <w:rPr>
          <w:lang w:eastAsia="en-GB"/>
        </w:rPr>
        <w:t xml:space="preserve">ir </w:t>
      </w:r>
      <w:r>
        <w:rPr>
          <w:lang w:eastAsia="en-GB"/>
        </w:rPr>
        <w:t>Kigali Amendment</w:t>
      </w:r>
      <w:r w:rsidR="00690AC7">
        <w:rPr>
          <w:lang w:eastAsia="en-GB"/>
        </w:rPr>
        <w:t xml:space="preserve"> phase-do</w:t>
      </w:r>
      <w:r w:rsidR="00E873ED">
        <w:rPr>
          <w:lang w:eastAsia="en-GB"/>
        </w:rPr>
        <w:t>wn schedules</w:t>
      </w:r>
      <w:r>
        <w:rPr>
          <w:lang w:eastAsia="en-GB"/>
        </w:rPr>
        <w:t xml:space="preserve"> </w:t>
      </w:r>
      <w:r w:rsidR="00E873ED">
        <w:rPr>
          <w:lang w:eastAsia="en-GB"/>
        </w:rPr>
        <w:t>as follows</w:t>
      </w:r>
      <w:r>
        <w:rPr>
          <w:lang w:eastAsia="en-GB"/>
        </w:rPr>
        <w:t>:</w:t>
      </w:r>
    </w:p>
    <w:p w14:paraId="34B31520" w14:textId="075E6BEF" w:rsidR="00E62558" w:rsidRPr="005452C4" w:rsidRDefault="00E62558" w:rsidP="00E0168F">
      <w:pPr>
        <w:pStyle w:val="Normalnumber"/>
        <w:keepNext/>
        <w:keepLines/>
        <w:numPr>
          <w:ilvl w:val="1"/>
          <w:numId w:val="1"/>
        </w:numPr>
        <w:tabs>
          <w:tab w:val="clear" w:pos="1247"/>
          <w:tab w:val="clear" w:pos="1814"/>
          <w:tab w:val="clear" w:pos="2381"/>
          <w:tab w:val="clear" w:pos="2495"/>
          <w:tab w:val="clear" w:pos="2948"/>
          <w:tab w:val="clear" w:pos="3515"/>
          <w:tab w:val="left" w:pos="624"/>
        </w:tabs>
        <w:ind w:left="1247" w:firstLine="624"/>
        <w:rPr>
          <w:lang w:eastAsia="en-GB"/>
        </w:rPr>
      </w:pPr>
      <w:r>
        <w:rPr>
          <w:lang w:eastAsia="en-GB"/>
        </w:rPr>
        <w:t xml:space="preserve">Article 5, </w:t>
      </w:r>
      <w:r w:rsidR="00DA0BCB">
        <w:rPr>
          <w:lang w:eastAsia="en-GB"/>
        </w:rPr>
        <w:t>g</w:t>
      </w:r>
      <w:r w:rsidRPr="005452C4">
        <w:rPr>
          <w:lang w:eastAsia="en-GB"/>
        </w:rPr>
        <w:t>roup 1</w:t>
      </w:r>
      <w:r w:rsidR="00DA0BCB">
        <w:rPr>
          <w:lang w:eastAsia="en-GB"/>
        </w:rPr>
        <w:t>,</w:t>
      </w:r>
      <w:r w:rsidRPr="005452C4">
        <w:rPr>
          <w:lang w:eastAsia="en-GB"/>
        </w:rPr>
        <w:t xml:space="preserve"> parties: 10</w:t>
      </w:r>
      <w:r>
        <w:rPr>
          <w:lang w:eastAsia="en-GB"/>
        </w:rPr>
        <w:t xml:space="preserve"> per cent</w:t>
      </w:r>
      <w:r w:rsidRPr="005452C4">
        <w:rPr>
          <w:lang w:eastAsia="en-GB"/>
        </w:rPr>
        <w:t xml:space="preserve"> reduction </w:t>
      </w:r>
      <w:r w:rsidR="007D4B0C">
        <w:rPr>
          <w:lang w:eastAsia="en-GB"/>
        </w:rPr>
        <w:t xml:space="preserve">from the baseline </w:t>
      </w:r>
      <w:r w:rsidRPr="005452C4">
        <w:rPr>
          <w:lang w:eastAsia="en-GB"/>
        </w:rPr>
        <w:t>by 2029 and 30</w:t>
      </w:r>
      <w:r w:rsidR="00ED5CB8">
        <w:rPr>
          <w:lang w:eastAsia="en-GB"/>
        </w:rPr>
        <w:t> </w:t>
      </w:r>
      <w:r>
        <w:rPr>
          <w:lang w:eastAsia="en-GB"/>
        </w:rPr>
        <w:t>per</w:t>
      </w:r>
      <w:r w:rsidR="00ED5CB8">
        <w:rPr>
          <w:lang w:eastAsia="en-GB"/>
        </w:rPr>
        <w:t> </w:t>
      </w:r>
      <w:r>
        <w:rPr>
          <w:lang w:eastAsia="en-GB"/>
        </w:rPr>
        <w:t>cent</w:t>
      </w:r>
      <w:r w:rsidRPr="005452C4">
        <w:rPr>
          <w:lang w:eastAsia="en-GB"/>
        </w:rPr>
        <w:t xml:space="preserve"> reduction </w:t>
      </w:r>
      <w:r w:rsidR="00917C1A">
        <w:rPr>
          <w:lang w:eastAsia="en-GB"/>
        </w:rPr>
        <w:t xml:space="preserve">from the baseline </w:t>
      </w:r>
      <w:r w:rsidRPr="005452C4">
        <w:rPr>
          <w:lang w:eastAsia="en-GB"/>
        </w:rPr>
        <w:t xml:space="preserve">by 2035; </w:t>
      </w:r>
    </w:p>
    <w:p w14:paraId="19859CC0" w14:textId="22734997" w:rsidR="00A14382" w:rsidRPr="00A14382" w:rsidRDefault="00E62558" w:rsidP="00D64413">
      <w:pPr>
        <w:pStyle w:val="ListParagraph"/>
        <w:numPr>
          <w:ilvl w:val="1"/>
          <w:numId w:val="1"/>
        </w:numPr>
        <w:tabs>
          <w:tab w:val="clear" w:pos="2381"/>
        </w:tabs>
        <w:rPr>
          <w:lang w:eastAsia="en-GB"/>
        </w:rPr>
      </w:pPr>
      <w:r>
        <w:rPr>
          <w:lang w:eastAsia="en-GB"/>
        </w:rPr>
        <w:t xml:space="preserve">Article 5, </w:t>
      </w:r>
      <w:r w:rsidR="00DA0BCB">
        <w:rPr>
          <w:lang w:eastAsia="en-GB"/>
        </w:rPr>
        <w:t>g</w:t>
      </w:r>
      <w:r w:rsidRPr="005452C4">
        <w:rPr>
          <w:lang w:eastAsia="en-GB"/>
        </w:rPr>
        <w:t>roup 2</w:t>
      </w:r>
      <w:r w:rsidR="00DA0BCB">
        <w:rPr>
          <w:lang w:eastAsia="en-GB"/>
        </w:rPr>
        <w:t>,</w:t>
      </w:r>
      <w:r w:rsidRPr="005452C4">
        <w:rPr>
          <w:lang w:eastAsia="en-GB"/>
        </w:rPr>
        <w:t xml:space="preserve"> parties: freeze </w:t>
      </w:r>
      <w:r w:rsidR="00B054ED">
        <w:rPr>
          <w:lang w:eastAsia="en-GB"/>
        </w:rPr>
        <w:t xml:space="preserve">at the baseline level </w:t>
      </w:r>
      <w:r w:rsidRPr="005452C4">
        <w:rPr>
          <w:lang w:eastAsia="en-GB"/>
        </w:rPr>
        <w:t>by 2028</w:t>
      </w:r>
      <w:r>
        <w:rPr>
          <w:lang w:eastAsia="en-GB"/>
        </w:rPr>
        <w:t xml:space="preserve"> and</w:t>
      </w:r>
      <w:r w:rsidRPr="005452C4">
        <w:rPr>
          <w:lang w:eastAsia="en-GB"/>
        </w:rPr>
        <w:t xml:space="preserve"> 10</w:t>
      </w:r>
      <w:r>
        <w:rPr>
          <w:lang w:eastAsia="en-GB"/>
        </w:rPr>
        <w:t xml:space="preserve"> per cent</w:t>
      </w:r>
      <w:r w:rsidRPr="005452C4">
        <w:rPr>
          <w:lang w:eastAsia="en-GB"/>
        </w:rPr>
        <w:t xml:space="preserve"> reduction </w:t>
      </w:r>
      <w:r w:rsidR="009B1B15">
        <w:rPr>
          <w:lang w:eastAsia="en-GB"/>
        </w:rPr>
        <w:t xml:space="preserve">from the baseline </w:t>
      </w:r>
      <w:r w:rsidRPr="005452C4">
        <w:rPr>
          <w:lang w:eastAsia="en-GB"/>
        </w:rPr>
        <w:t>by 2032</w:t>
      </w:r>
      <w:r w:rsidR="00A14382" w:rsidRPr="00A14382">
        <w:rPr>
          <w:lang w:eastAsia="en-GB"/>
        </w:rPr>
        <w:t xml:space="preserve">. </w:t>
      </w:r>
    </w:p>
    <w:p w14:paraId="50F416F9" w14:textId="56EA16E0" w:rsidR="00E62558" w:rsidRDefault="00E62558" w:rsidP="00E0168F">
      <w:pPr>
        <w:pStyle w:val="Normalnumber"/>
        <w:numPr>
          <w:ilvl w:val="0"/>
          <w:numId w:val="0"/>
        </w:numPr>
        <w:tabs>
          <w:tab w:val="clear" w:pos="1247"/>
          <w:tab w:val="clear" w:pos="1814"/>
          <w:tab w:val="clear" w:pos="2381"/>
          <w:tab w:val="clear" w:pos="2948"/>
          <w:tab w:val="clear" w:pos="3515"/>
        </w:tabs>
        <w:spacing w:after="0"/>
        <w:rPr>
          <w:lang w:eastAsia="en-GB"/>
        </w:rPr>
      </w:pPr>
      <w:r w:rsidRPr="005452C4">
        <w:rPr>
          <w:lang w:eastAsia="en-GB"/>
        </w:rPr>
        <w:t xml:space="preserve"> </w:t>
      </w:r>
    </w:p>
    <w:p w14:paraId="3F221D0F" w14:textId="0282F146" w:rsidR="00E62558" w:rsidRDefault="00E62558" w:rsidP="00DD181C">
      <w:pPr>
        <w:pStyle w:val="Normalnumber"/>
        <w:tabs>
          <w:tab w:val="clear" w:pos="1247"/>
          <w:tab w:val="clear" w:pos="1814"/>
          <w:tab w:val="clear" w:pos="2381"/>
          <w:tab w:val="clear" w:pos="2948"/>
          <w:tab w:val="clear" w:pos="3515"/>
          <w:tab w:val="left" w:pos="624"/>
        </w:tabs>
        <w:ind w:left="1247"/>
        <w:rPr>
          <w:lang w:eastAsia="en-GB"/>
        </w:rPr>
      </w:pPr>
      <w:r>
        <w:rPr>
          <w:lang w:eastAsia="en-GB"/>
        </w:rPr>
        <w:t xml:space="preserve">While the </w:t>
      </w:r>
      <w:r w:rsidRPr="00C31AC6">
        <w:rPr>
          <w:lang w:eastAsia="en-GB"/>
        </w:rPr>
        <w:t>analysis takes into account that</w:t>
      </w:r>
      <w:r w:rsidR="00121358">
        <w:rPr>
          <w:lang w:eastAsia="en-GB"/>
        </w:rPr>
        <w:t xml:space="preserve">, as </w:t>
      </w:r>
      <w:r w:rsidR="00E37F05">
        <w:rPr>
          <w:lang w:eastAsia="en-GB"/>
        </w:rPr>
        <w:t>of</w:t>
      </w:r>
      <w:r w:rsidR="00121358">
        <w:rPr>
          <w:lang w:eastAsia="en-GB"/>
        </w:rPr>
        <w:t xml:space="preserve"> April 2026,</w:t>
      </w:r>
      <w:r>
        <w:rPr>
          <w:lang w:eastAsia="en-GB"/>
        </w:rPr>
        <w:t xml:space="preserve"> 125 of the 144 Article 5 parties had ratified the Kigali </w:t>
      </w:r>
      <w:r>
        <w:t>Amendment</w:t>
      </w:r>
      <w:r>
        <w:rPr>
          <w:lang w:eastAsia="en-GB"/>
        </w:rPr>
        <w:t>, it assume</w:t>
      </w:r>
      <w:r w:rsidRPr="00E37F05">
        <w:rPr>
          <w:lang w:eastAsia="en-GB"/>
        </w:rPr>
        <w:t>s</w:t>
      </w:r>
      <w:r>
        <w:rPr>
          <w:lang w:eastAsia="en-GB"/>
        </w:rPr>
        <w:t xml:space="preserve"> that all remaining parties will ratify </w:t>
      </w:r>
      <w:r w:rsidR="003F5F47">
        <w:rPr>
          <w:lang w:eastAsia="en-GB"/>
        </w:rPr>
        <w:t xml:space="preserve">the Amendment </w:t>
      </w:r>
      <w:r>
        <w:rPr>
          <w:lang w:eastAsia="en-GB"/>
        </w:rPr>
        <w:t>by 2029</w:t>
      </w:r>
      <w:r w:rsidRPr="00A769DD">
        <w:rPr>
          <w:lang w:eastAsia="en-GB"/>
        </w:rPr>
        <w:t xml:space="preserve">, </w:t>
      </w:r>
      <w:r w:rsidR="007F33B0" w:rsidRPr="00A769DD">
        <w:rPr>
          <w:lang w:eastAsia="en-GB"/>
        </w:rPr>
        <w:t xml:space="preserve">which would </w:t>
      </w:r>
      <w:r w:rsidR="00A769DD" w:rsidRPr="00E0168F">
        <w:rPr>
          <w:lang w:eastAsia="en-GB"/>
        </w:rPr>
        <w:t>make</w:t>
      </w:r>
      <w:r w:rsidRPr="00A769DD">
        <w:rPr>
          <w:lang w:eastAsia="en-GB"/>
        </w:rPr>
        <w:t xml:space="preserve"> all Article 5 parties</w:t>
      </w:r>
      <w:r>
        <w:rPr>
          <w:lang w:eastAsia="en-GB"/>
        </w:rPr>
        <w:t xml:space="preserve"> eligible for funding during the </w:t>
      </w:r>
      <w:r w:rsidR="00F71B7E">
        <w:rPr>
          <w:lang w:eastAsia="en-GB"/>
        </w:rPr>
        <w:t xml:space="preserve">triennium </w:t>
      </w:r>
      <w:r>
        <w:rPr>
          <w:lang w:eastAsia="en-GB"/>
        </w:rPr>
        <w:t>2027–2029.</w:t>
      </w:r>
    </w:p>
    <w:p w14:paraId="1AC190AF" w14:textId="5D2B73C3" w:rsidR="00E62558" w:rsidRPr="00B178F5" w:rsidRDefault="00E62558" w:rsidP="00DD181C">
      <w:pPr>
        <w:pStyle w:val="Normalnumber"/>
        <w:tabs>
          <w:tab w:val="clear" w:pos="1247"/>
          <w:tab w:val="clear" w:pos="1814"/>
          <w:tab w:val="clear" w:pos="2381"/>
          <w:tab w:val="clear" w:pos="2948"/>
          <w:tab w:val="clear" w:pos="3515"/>
          <w:tab w:val="left" w:pos="624"/>
        </w:tabs>
        <w:ind w:left="1247"/>
        <w:rPr>
          <w:lang w:eastAsia="en-GB"/>
        </w:rPr>
      </w:pPr>
      <w:r w:rsidRPr="00593A77">
        <w:rPr>
          <w:lang w:eastAsia="en-GB"/>
        </w:rPr>
        <w:t xml:space="preserve">The </w:t>
      </w:r>
      <w:r w:rsidRPr="0099230B">
        <w:rPr>
          <w:lang w:eastAsia="en-GB"/>
        </w:rPr>
        <w:t xml:space="preserve">model </w:t>
      </w:r>
      <w:r w:rsidR="00C838F6">
        <w:rPr>
          <w:lang w:eastAsia="en-GB"/>
        </w:rPr>
        <w:t xml:space="preserve">used </w:t>
      </w:r>
      <w:r w:rsidRPr="0099230B">
        <w:rPr>
          <w:lang w:eastAsia="en-GB"/>
        </w:rPr>
        <w:t xml:space="preserve">draws on HFC baseline data </w:t>
      </w:r>
      <w:r w:rsidR="00AA45A4" w:rsidRPr="00345207">
        <w:rPr>
          <w:lang w:eastAsia="en-GB"/>
        </w:rPr>
        <w:t>submitted</w:t>
      </w:r>
      <w:r w:rsidR="00AA45A4">
        <w:rPr>
          <w:lang w:eastAsia="en-GB"/>
        </w:rPr>
        <w:t xml:space="preserve"> to</w:t>
      </w:r>
      <w:r w:rsidRPr="0099230B">
        <w:rPr>
          <w:lang w:eastAsia="en-GB"/>
        </w:rPr>
        <w:t xml:space="preserve"> the </w:t>
      </w:r>
      <w:r w:rsidRPr="00B77C2A">
        <w:rPr>
          <w:lang w:eastAsia="en-GB"/>
        </w:rPr>
        <w:t>S</w:t>
      </w:r>
      <w:r w:rsidRPr="0099230B">
        <w:rPr>
          <w:lang w:eastAsia="en-GB"/>
        </w:rPr>
        <w:t xml:space="preserve">ecretariat and </w:t>
      </w:r>
      <w:r w:rsidR="00370847">
        <w:rPr>
          <w:lang w:eastAsia="en-GB"/>
        </w:rPr>
        <w:t xml:space="preserve">generates </w:t>
      </w:r>
      <w:r w:rsidRPr="00370847">
        <w:rPr>
          <w:lang w:eastAsia="en-GB"/>
        </w:rPr>
        <w:t>estimates</w:t>
      </w:r>
      <w:r w:rsidR="00370847">
        <w:rPr>
          <w:lang w:eastAsia="en-GB"/>
        </w:rPr>
        <w:t xml:space="preserve"> of</w:t>
      </w:r>
      <w:r w:rsidRPr="0099230B">
        <w:rPr>
          <w:lang w:eastAsia="en-GB"/>
        </w:rPr>
        <w:t xml:space="preserve"> missing baselines using methodologies applied in earlier task force reports. It also accounts for already </w:t>
      </w:r>
      <w:r w:rsidRPr="00252008">
        <w:rPr>
          <w:lang w:eastAsia="en-GB"/>
        </w:rPr>
        <w:t xml:space="preserve">approved Kigali </w:t>
      </w:r>
      <w:r w:rsidR="005909F3" w:rsidRPr="00252008">
        <w:rPr>
          <w:lang w:eastAsia="en-GB"/>
        </w:rPr>
        <w:t xml:space="preserve">HFC </w:t>
      </w:r>
      <w:r w:rsidR="00495017" w:rsidRPr="00252008">
        <w:rPr>
          <w:lang w:eastAsia="en-GB"/>
        </w:rPr>
        <w:t>i</w:t>
      </w:r>
      <w:r w:rsidRPr="00252008">
        <w:rPr>
          <w:lang w:eastAsia="en-GB"/>
        </w:rPr>
        <w:t xml:space="preserve">mplementation </w:t>
      </w:r>
      <w:r w:rsidR="00495017" w:rsidRPr="00252008">
        <w:rPr>
          <w:lang w:eastAsia="en-GB"/>
        </w:rPr>
        <w:t>p</w:t>
      </w:r>
      <w:r w:rsidRPr="00252008">
        <w:rPr>
          <w:lang w:eastAsia="en-GB"/>
        </w:rPr>
        <w:t>lans</w:t>
      </w:r>
      <w:r w:rsidRPr="0099230B">
        <w:rPr>
          <w:lang w:eastAsia="en-GB"/>
        </w:rPr>
        <w:t xml:space="preserve">, applies existing cost-effectiveness thresholds and task force expert </w:t>
      </w:r>
      <w:r w:rsidRPr="0099230B">
        <w:t>estimates</w:t>
      </w:r>
      <w:r w:rsidRPr="0099230B">
        <w:rPr>
          <w:lang w:eastAsia="en-GB"/>
        </w:rPr>
        <w:t xml:space="preserve"> where standard values are unavailable, and allocates funding across trienni</w:t>
      </w:r>
      <w:r w:rsidR="00F71B7E" w:rsidRPr="0099230B">
        <w:rPr>
          <w:lang w:eastAsia="en-GB"/>
        </w:rPr>
        <w:t>ums</w:t>
      </w:r>
      <w:r w:rsidRPr="0099230B">
        <w:rPr>
          <w:lang w:eastAsia="en-GB"/>
        </w:rPr>
        <w:t xml:space="preserve"> to reflect varying implementation schedules</w:t>
      </w:r>
      <w:r w:rsidR="00576482">
        <w:rPr>
          <w:lang w:eastAsia="en-GB"/>
        </w:rPr>
        <w:t>, reduction targets</w:t>
      </w:r>
      <w:r w:rsidRPr="00B178F5">
        <w:rPr>
          <w:lang w:eastAsia="en-GB"/>
        </w:rPr>
        <w:t xml:space="preserve"> and approval cycles. </w:t>
      </w:r>
    </w:p>
    <w:p w14:paraId="0ED840F3" w14:textId="0FD4844D" w:rsidR="00E62558" w:rsidRPr="00B178F5" w:rsidRDefault="00E62558" w:rsidP="00DD181C">
      <w:pPr>
        <w:pStyle w:val="Normalnumber"/>
        <w:tabs>
          <w:tab w:val="clear" w:pos="1247"/>
          <w:tab w:val="clear" w:pos="1814"/>
          <w:tab w:val="clear" w:pos="2381"/>
          <w:tab w:val="clear" w:pos="2948"/>
          <w:tab w:val="clear" w:pos="3515"/>
          <w:tab w:val="left" w:pos="624"/>
        </w:tabs>
        <w:ind w:left="1247"/>
        <w:rPr>
          <w:lang w:eastAsia="en-GB"/>
        </w:rPr>
      </w:pPr>
      <w:r w:rsidRPr="00B178F5">
        <w:rPr>
          <w:lang w:eastAsia="en-GB"/>
        </w:rPr>
        <w:t>To</w:t>
      </w:r>
      <w:r w:rsidR="00126A80">
        <w:rPr>
          <w:lang w:eastAsia="en-GB"/>
        </w:rPr>
        <w:t xml:space="preserve"> present a range of estimates</w:t>
      </w:r>
      <w:r w:rsidRPr="00B178F5">
        <w:rPr>
          <w:lang w:eastAsia="en-GB"/>
        </w:rPr>
        <w:t xml:space="preserve">, </w:t>
      </w:r>
      <w:r w:rsidR="00444188">
        <w:rPr>
          <w:lang w:eastAsia="en-GB"/>
        </w:rPr>
        <w:t>the task</w:t>
      </w:r>
      <w:r w:rsidR="00DC5E1A">
        <w:rPr>
          <w:lang w:eastAsia="en-GB"/>
        </w:rPr>
        <w:t xml:space="preserve"> </w:t>
      </w:r>
      <w:r w:rsidR="00444188">
        <w:rPr>
          <w:lang w:eastAsia="en-GB"/>
        </w:rPr>
        <w:t>force</w:t>
      </w:r>
      <w:r w:rsidR="00660901" w:rsidRPr="00660901">
        <w:rPr>
          <w:lang w:eastAsia="en-GB"/>
        </w:rPr>
        <w:t xml:space="preserve"> calculated the total costs of </w:t>
      </w:r>
      <w:r w:rsidR="00444188">
        <w:rPr>
          <w:lang w:eastAsia="en-GB"/>
        </w:rPr>
        <w:t xml:space="preserve">the </w:t>
      </w:r>
      <w:r w:rsidR="00660901" w:rsidRPr="00660901">
        <w:rPr>
          <w:lang w:eastAsia="en-GB"/>
        </w:rPr>
        <w:t xml:space="preserve">HFC </w:t>
      </w:r>
      <w:r w:rsidR="00ED5CB8">
        <w:rPr>
          <w:lang w:eastAsia="en-GB"/>
        </w:rPr>
        <w:t>phase</w:t>
      </w:r>
      <w:r w:rsidR="00ED5CB8">
        <w:rPr>
          <w:lang w:eastAsia="en-GB"/>
        </w:rPr>
        <w:noBreakHyphen/>
      </w:r>
      <w:r w:rsidR="00660901" w:rsidRPr="00660901">
        <w:rPr>
          <w:lang w:eastAsia="en-GB"/>
        </w:rPr>
        <w:t xml:space="preserve">down for </w:t>
      </w:r>
      <w:r w:rsidR="00DC5E1A">
        <w:rPr>
          <w:lang w:eastAsia="en-GB"/>
        </w:rPr>
        <w:t>s</w:t>
      </w:r>
      <w:r w:rsidR="00660901" w:rsidRPr="00660901">
        <w:rPr>
          <w:lang w:eastAsia="en-GB"/>
        </w:rPr>
        <w:t>tage</w:t>
      </w:r>
      <w:r w:rsidR="00444188">
        <w:rPr>
          <w:lang w:eastAsia="en-GB"/>
        </w:rPr>
        <w:t>s</w:t>
      </w:r>
      <w:r w:rsidR="00660901" w:rsidRPr="00660901">
        <w:rPr>
          <w:lang w:eastAsia="en-GB"/>
        </w:rPr>
        <w:t xml:space="preserve"> </w:t>
      </w:r>
      <w:r w:rsidR="00D248C0">
        <w:rPr>
          <w:lang w:eastAsia="en-GB"/>
        </w:rPr>
        <w:t xml:space="preserve">I </w:t>
      </w:r>
      <w:r w:rsidR="00444188">
        <w:rPr>
          <w:lang w:eastAsia="en-GB"/>
        </w:rPr>
        <w:t xml:space="preserve">and </w:t>
      </w:r>
      <w:r w:rsidR="00660901" w:rsidRPr="00660901">
        <w:rPr>
          <w:lang w:eastAsia="en-GB"/>
        </w:rPr>
        <w:t xml:space="preserve">II </w:t>
      </w:r>
      <w:r w:rsidR="00444188">
        <w:rPr>
          <w:lang w:eastAsia="en-GB"/>
        </w:rPr>
        <w:t xml:space="preserve">of the Kigali HFC </w:t>
      </w:r>
      <w:r w:rsidR="00305D8E" w:rsidRPr="00305D8E">
        <w:rPr>
          <w:lang w:eastAsia="en-GB"/>
        </w:rPr>
        <w:t>implementation plans</w:t>
      </w:r>
      <w:r w:rsidR="00EA4BB4">
        <w:rPr>
          <w:lang w:eastAsia="en-GB"/>
        </w:rPr>
        <w:t xml:space="preserve"> across the</w:t>
      </w:r>
      <w:r w:rsidR="00660901" w:rsidRPr="00660901">
        <w:rPr>
          <w:lang w:eastAsia="en-GB"/>
        </w:rPr>
        <w:t xml:space="preserve"> </w:t>
      </w:r>
      <w:r w:rsidR="00EA4BB4">
        <w:rPr>
          <w:lang w:eastAsia="en-GB"/>
        </w:rPr>
        <w:t>three</w:t>
      </w:r>
      <w:r w:rsidR="00660901" w:rsidRPr="00660901">
        <w:rPr>
          <w:lang w:eastAsia="en-GB"/>
        </w:rPr>
        <w:t xml:space="preserve"> trienni</w:t>
      </w:r>
      <w:r w:rsidR="00EA4BB4">
        <w:rPr>
          <w:lang w:eastAsia="en-GB"/>
        </w:rPr>
        <w:t>ums,</w:t>
      </w:r>
      <w:r w:rsidR="00660901" w:rsidRPr="00660901">
        <w:rPr>
          <w:lang w:eastAsia="en-GB"/>
        </w:rPr>
        <w:t xml:space="preserve"> taking into account t</w:t>
      </w:r>
      <w:r w:rsidR="00BB2A94">
        <w:rPr>
          <w:lang w:eastAsia="en-GB"/>
        </w:rPr>
        <w:t xml:space="preserve">he </w:t>
      </w:r>
      <w:r w:rsidR="00660901" w:rsidRPr="00660901">
        <w:rPr>
          <w:lang w:eastAsia="en-GB"/>
        </w:rPr>
        <w:t>reduction targets up to 2035</w:t>
      </w:r>
      <w:r w:rsidR="004D5B5D">
        <w:rPr>
          <w:lang w:eastAsia="en-GB"/>
        </w:rPr>
        <w:t xml:space="preserve">, and </w:t>
      </w:r>
      <w:r w:rsidR="00DC5E1A" w:rsidRPr="009748B2">
        <w:rPr>
          <w:lang w:eastAsia="en-GB"/>
        </w:rPr>
        <w:t>subsequently</w:t>
      </w:r>
      <w:r w:rsidR="00DC5E1A">
        <w:rPr>
          <w:lang w:eastAsia="en-GB"/>
        </w:rPr>
        <w:t xml:space="preserve"> </w:t>
      </w:r>
      <w:r w:rsidR="004D5B5D">
        <w:rPr>
          <w:lang w:eastAsia="en-GB"/>
        </w:rPr>
        <w:t xml:space="preserve">applied </w:t>
      </w:r>
      <w:r w:rsidR="00BB2A94">
        <w:rPr>
          <w:lang w:eastAsia="en-GB"/>
        </w:rPr>
        <w:t>t</w:t>
      </w:r>
      <w:r w:rsidRPr="00B178F5">
        <w:rPr>
          <w:lang w:eastAsia="en-GB"/>
        </w:rPr>
        <w:t>wo funding scenarios</w:t>
      </w:r>
      <w:r w:rsidRPr="007932FB">
        <w:rPr>
          <w:lang w:eastAsia="en-GB"/>
        </w:rPr>
        <w:t>: HFC</w:t>
      </w:r>
      <w:r>
        <w:rPr>
          <w:lang w:eastAsia="en-GB"/>
        </w:rPr>
        <w:t xml:space="preserve"> scenario 1, using cost</w:t>
      </w:r>
      <w:r w:rsidR="00BD19B7">
        <w:rPr>
          <w:lang w:eastAsia="en-GB"/>
        </w:rPr>
        <w:t>-</w:t>
      </w:r>
      <w:r>
        <w:rPr>
          <w:lang w:eastAsia="en-GB"/>
        </w:rPr>
        <w:t xml:space="preserve">effectiveness </w:t>
      </w:r>
      <w:r w:rsidRPr="00345207">
        <w:t>thresholds</w:t>
      </w:r>
      <w:r w:rsidRPr="00345207">
        <w:rPr>
          <w:lang w:eastAsia="en-GB"/>
        </w:rPr>
        <w:t xml:space="preserve"> </w:t>
      </w:r>
      <w:r w:rsidR="00FB1F25" w:rsidRPr="00345207">
        <w:rPr>
          <w:lang w:eastAsia="en-GB"/>
        </w:rPr>
        <w:t>in</w:t>
      </w:r>
      <w:r w:rsidR="00FB1F25">
        <w:rPr>
          <w:lang w:eastAsia="en-GB"/>
        </w:rPr>
        <w:t xml:space="preserve"> accordance with</w:t>
      </w:r>
      <w:r>
        <w:rPr>
          <w:lang w:eastAsia="en-GB"/>
        </w:rPr>
        <w:t xml:space="preserve"> cost guidelines </w:t>
      </w:r>
      <w:r w:rsidRPr="008274D4">
        <w:rPr>
          <w:lang w:eastAsia="en-GB"/>
        </w:rPr>
        <w:t xml:space="preserve">or </w:t>
      </w:r>
      <w:r>
        <w:rPr>
          <w:lang w:eastAsia="en-GB"/>
        </w:rPr>
        <w:t xml:space="preserve">task </w:t>
      </w:r>
      <w:r w:rsidR="00ED5CB8">
        <w:rPr>
          <w:lang w:eastAsia="en-GB"/>
        </w:rPr>
        <w:t>force</w:t>
      </w:r>
      <w:r w:rsidR="00ED5CB8">
        <w:rPr>
          <w:lang w:eastAsia="en-GB"/>
        </w:rPr>
        <w:noBreakHyphen/>
      </w:r>
      <w:r w:rsidRPr="008274D4">
        <w:rPr>
          <w:lang w:eastAsia="en-GB"/>
        </w:rPr>
        <w:t>derived estimates</w:t>
      </w:r>
      <w:r>
        <w:rPr>
          <w:lang w:eastAsia="en-GB"/>
        </w:rPr>
        <w:t xml:space="preserve"> and without </w:t>
      </w:r>
      <w:r w:rsidRPr="00953BAB">
        <w:rPr>
          <w:lang w:eastAsia="en-GB"/>
        </w:rPr>
        <w:t xml:space="preserve">consideration </w:t>
      </w:r>
      <w:r>
        <w:rPr>
          <w:lang w:eastAsia="en-GB"/>
        </w:rPr>
        <w:t xml:space="preserve">of </w:t>
      </w:r>
      <w:r w:rsidRPr="00953BAB">
        <w:rPr>
          <w:lang w:eastAsia="en-GB"/>
        </w:rPr>
        <w:t>small and medium-sized enterprises</w:t>
      </w:r>
      <w:r>
        <w:rPr>
          <w:lang w:eastAsia="en-GB"/>
        </w:rPr>
        <w:t xml:space="preserve">; and HFC scenario 2, using </w:t>
      </w:r>
      <w:r w:rsidRPr="008274D4">
        <w:rPr>
          <w:lang w:eastAsia="en-GB"/>
        </w:rPr>
        <w:t xml:space="preserve">adjusted </w:t>
      </w:r>
      <w:r>
        <w:rPr>
          <w:lang w:eastAsia="en-GB"/>
        </w:rPr>
        <w:t>cost</w:t>
      </w:r>
      <w:r w:rsidR="004C3435">
        <w:rPr>
          <w:lang w:eastAsia="en-GB"/>
        </w:rPr>
        <w:t>-</w:t>
      </w:r>
      <w:r>
        <w:rPr>
          <w:lang w:eastAsia="en-GB"/>
        </w:rPr>
        <w:t>effectiveness</w:t>
      </w:r>
      <w:r w:rsidRPr="008274D4">
        <w:rPr>
          <w:lang w:eastAsia="en-GB"/>
        </w:rPr>
        <w:t xml:space="preserve"> thresholds reflecting participation of small and </w:t>
      </w:r>
      <w:r w:rsidR="00ED5CB8">
        <w:rPr>
          <w:lang w:eastAsia="en-GB"/>
        </w:rPr>
        <w:t>medium</w:t>
      </w:r>
      <w:r w:rsidR="00ED5CB8">
        <w:rPr>
          <w:lang w:eastAsia="en-GB"/>
        </w:rPr>
        <w:noBreakHyphen/>
      </w:r>
      <w:r w:rsidRPr="008274D4">
        <w:rPr>
          <w:lang w:eastAsia="en-GB"/>
        </w:rPr>
        <w:t>sized enterprises.</w:t>
      </w:r>
    </w:p>
    <w:p w14:paraId="194066AC" w14:textId="5126F8FC" w:rsidR="00E62558" w:rsidRPr="00B178F5" w:rsidRDefault="00E62558" w:rsidP="00DD181C">
      <w:pPr>
        <w:pStyle w:val="Normalnumber"/>
        <w:tabs>
          <w:tab w:val="clear" w:pos="1247"/>
          <w:tab w:val="clear" w:pos="1814"/>
          <w:tab w:val="clear" w:pos="2381"/>
          <w:tab w:val="clear" w:pos="2948"/>
          <w:tab w:val="clear" w:pos="3515"/>
          <w:tab w:val="left" w:pos="624"/>
        </w:tabs>
        <w:ind w:left="1247"/>
        <w:rPr>
          <w:lang w:eastAsia="en-GB"/>
        </w:rPr>
      </w:pPr>
      <w:r>
        <w:rPr>
          <w:lang w:eastAsia="en-GB"/>
        </w:rPr>
        <w:t>In addition, for each scenario the task force</w:t>
      </w:r>
      <w:r w:rsidRPr="00B178F5">
        <w:rPr>
          <w:lang w:eastAsia="en-GB"/>
        </w:rPr>
        <w:t xml:space="preserve"> proposes two resource allocation schedules (A and B), </w:t>
      </w:r>
      <w:r>
        <w:rPr>
          <w:lang w:eastAsia="en-GB"/>
        </w:rPr>
        <w:t xml:space="preserve">set out in </w:t>
      </w:r>
      <w:r w:rsidRPr="00370847">
        <w:rPr>
          <w:lang w:eastAsia="en-GB"/>
        </w:rPr>
        <w:t>table 1.4 of the task force report,</w:t>
      </w:r>
      <w:r>
        <w:rPr>
          <w:lang w:eastAsia="en-GB"/>
        </w:rPr>
        <w:t xml:space="preserve"> </w:t>
      </w:r>
      <w:r w:rsidRPr="00B178F5">
        <w:rPr>
          <w:lang w:eastAsia="en-GB"/>
        </w:rPr>
        <w:t>which differ in</w:t>
      </w:r>
      <w:r>
        <w:rPr>
          <w:lang w:eastAsia="en-GB"/>
        </w:rPr>
        <w:t xml:space="preserve"> the distribution of funding across trienni</w:t>
      </w:r>
      <w:r w:rsidR="00F71B7E">
        <w:rPr>
          <w:lang w:eastAsia="en-GB"/>
        </w:rPr>
        <w:t>ums</w:t>
      </w:r>
      <w:r w:rsidRPr="00B178F5">
        <w:rPr>
          <w:lang w:eastAsia="en-GB"/>
        </w:rPr>
        <w:t>:</w:t>
      </w:r>
      <w:r>
        <w:t xml:space="preserve"> </w:t>
      </w:r>
      <w:r w:rsidR="00AF71A6">
        <w:t>s</w:t>
      </w:r>
      <w:r>
        <w:t>chedule</w:t>
      </w:r>
      <w:r>
        <w:rPr>
          <w:lang w:eastAsia="en-GB"/>
        </w:rPr>
        <w:t xml:space="preserve"> A reflects a faster, front-loaded funding approach, while schedule B assumes more gradual funding across later trienni</w:t>
      </w:r>
      <w:r w:rsidR="00F71B7E">
        <w:rPr>
          <w:lang w:eastAsia="en-GB"/>
        </w:rPr>
        <w:t>ums</w:t>
      </w:r>
      <w:r>
        <w:rPr>
          <w:lang w:eastAsia="en-GB"/>
        </w:rPr>
        <w:t>.</w:t>
      </w:r>
    </w:p>
    <w:p w14:paraId="56AF9765" w14:textId="5ACC3458" w:rsidR="00E62558" w:rsidRDefault="00E62558" w:rsidP="00DD181C">
      <w:pPr>
        <w:pStyle w:val="Normalnumber"/>
        <w:tabs>
          <w:tab w:val="clear" w:pos="1247"/>
          <w:tab w:val="clear" w:pos="1814"/>
          <w:tab w:val="clear" w:pos="2381"/>
          <w:tab w:val="clear" w:pos="2948"/>
          <w:tab w:val="clear" w:pos="3515"/>
          <w:tab w:val="left" w:pos="624"/>
        </w:tabs>
        <w:ind w:left="1247"/>
        <w:rPr>
          <w:lang w:eastAsia="en-GB"/>
        </w:rPr>
      </w:pPr>
      <w:r>
        <w:rPr>
          <w:lang w:eastAsia="en-GB"/>
        </w:rPr>
        <w:t xml:space="preserve">Additional assumptions include average agency support costs of 9.6 per cent and a 15 per cent deduction for </w:t>
      </w:r>
      <w:r>
        <w:t>foreign</w:t>
      </w:r>
      <w:r>
        <w:rPr>
          <w:lang w:eastAsia="en-GB"/>
        </w:rPr>
        <w:t xml:space="preserve"> ownership </w:t>
      </w:r>
      <w:r w:rsidR="00EC5C12">
        <w:rPr>
          <w:lang w:eastAsia="en-GB"/>
        </w:rPr>
        <w:t xml:space="preserve">applied </w:t>
      </w:r>
      <w:r>
        <w:rPr>
          <w:lang w:eastAsia="en-GB"/>
        </w:rPr>
        <w:t>in manufacturing sectors.</w:t>
      </w:r>
    </w:p>
    <w:p w14:paraId="78B2DE5A" w14:textId="5F2ABF33" w:rsidR="001B07FB" w:rsidRDefault="001B07FB" w:rsidP="00A331C1">
      <w:pPr>
        <w:pStyle w:val="Normalnumber"/>
        <w:tabs>
          <w:tab w:val="clear" w:pos="1247"/>
          <w:tab w:val="clear" w:pos="1814"/>
          <w:tab w:val="clear" w:pos="2381"/>
          <w:tab w:val="clear" w:pos="2948"/>
          <w:tab w:val="clear" w:pos="3515"/>
          <w:tab w:val="left" w:pos="624"/>
        </w:tabs>
        <w:ind w:left="1247"/>
        <w:rPr>
          <w:lang w:eastAsia="en-GB"/>
        </w:rPr>
      </w:pPr>
      <w:r w:rsidRPr="001B07FB">
        <w:rPr>
          <w:lang w:eastAsia="en-GB"/>
        </w:rPr>
        <w:t xml:space="preserve">For the HFC production sector, funding estimates for 2027–2029 </w:t>
      </w:r>
      <w:r w:rsidR="00941698">
        <w:rPr>
          <w:lang w:eastAsia="en-GB"/>
        </w:rPr>
        <w:t>comprise</w:t>
      </w:r>
      <w:r w:rsidRPr="001B07FB">
        <w:rPr>
          <w:lang w:eastAsia="en-GB"/>
        </w:rPr>
        <w:t xml:space="preserve"> project preparation, </w:t>
      </w:r>
      <w:r w:rsidR="00694317">
        <w:rPr>
          <w:lang w:eastAsia="en-GB"/>
        </w:rPr>
        <w:t>Kigali HFC production phase-out implementation plans</w:t>
      </w:r>
      <w:r w:rsidR="00357F9A">
        <w:rPr>
          <w:lang w:eastAsia="en-GB"/>
        </w:rPr>
        <w:t xml:space="preserve"> for two par</w:t>
      </w:r>
      <w:r w:rsidR="008913BE">
        <w:rPr>
          <w:lang w:eastAsia="en-GB"/>
        </w:rPr>
        <w:t>t</w:t>
      </w:r>
      <w:r w:rsidR="00357F9A">
        <w:rPr>
          <w:lang w:eastAsia="en-GB"/>
        </w:rPr>
        <w:t>ies</w:t>
      </w:r>
      <w:r w:rsidRPr="001B07FB">
        <w:rPr>
          <w:lang w:eastAsia="en-GB"/>
        </w:rPr>
        <w:t xml:space="preserve">, and HFC-23 mitigation </w:t>
      </w:r>
      <w:r w:rsidR="00AF66F8">
        <w:rPr>
          <w:lang w:eastAsia="en-GB"/>
        </w:rPr>
        <w:t>projects</w:t>
      </w:r>
      <w:r w:rsidR="00A331C1">
        <w:rPr>
          <w:lang w:eastAsia="en-GB"/>
        </w:rPr>
        <w:t xml:space="preserve"> and related preparation for four Article 5 parties. </w:t>
      </w:r>
      <w:r w:rsidR="008913BE">
        <w:rPr>
          <w:lang w:eastAsia="en-GB"/>
        </w:rPr>
        <w:t xml:space="preserve"> </w:t>
      </w:r>
    </w:p>
    <w:p w14:paraId="294FDF66" w14:textId="33E4E126" w:rsidR="00E62558" w:rsidRPr="00C332D9" w:rsidRDefault="001D29CA" w:rsidP="00DD181C">
      <w:pPr>
        <w:pStyle w:val="Normalnumber"/>
        <w:tabs>
          <w:tab w:val="clear" w:pos="1247"/>
          <w:tab w:val="clear" w:pos="1814"/>
          <w:tab w:val="clear" w:pos="2381"/>
          <w:tab w:val="clear" w:pos="2948"/>
          <w:tab w:val="clear" w:pos="3515"/>
          <w:tab w:val="left" w:pos="624"/>
        </w:tabs>
        <w:ind w:left="1247"/>
      </w:pPr>
      <w:r>
        <w:t>On the basis of</w:t>
      </w:r>
      <w:r w:rsidR="00AF71A6" w:rsidRPr="00C332D9">
        <w:t xml:space="preserve"> </w:t>
      </w:r>
      <w:r w:rsidR="00E62558" w:rsidRPr="00C332D9">
        <w:t xml:space="preserve">a </w:t>
      </w:r>
      <w:r w:rsidR="00E62558" w:rsidRPr="00C332D9">
        <w:rPr>
          <w:lang w:eastAsia="en-GB"/>
        </w:rPr>
        <w:t>detailed</w:t>
      </w:r>
      <w:r w:rsidR="00E62558" w:rsidRPr="00C332D9">
        <w:t xml:space="preserve"> </w:t>
      </w:r>
      <w:r w:rsidR="00E62558" w:rsidRPr="00C332D9">
        <w:rPr>
          <w:lang w:eastAsia="en-GB"/>
        </w:rPr>
        <w:t>analysis</w:t>
      </w:r>
      <w:r w:rsidR="00E62558" w:rsidRPr="00C332D9">
        <w:t>, the task force estimates the total funding requirement for the replenishment of the Multilateral Fund for the triennium 2027–2029 to be between $1</w:t>
      </w:r>
      <w:r w:rsidR="00DC6ECF">
        <w:t>.</w:t>
      </w:r>
      <w:r w:rsidR="00E62558" w:rsidRPr="00C332D9">
        <w:t>282</w:t>
      </w:r>
      <w:r w:rsidR="001010F0">
        <w:t xml:space="preserve"> and </w:t>
      </w:r>
      <w:r w:rsidR="009A255D">
        <w:t>$</w:t>
      </w:r>
      <w:r w:rsidR="00E62558" w:rsidRPr="00C332D9">
        <w:t>1</w:t>
      </w:r>
      <w:r w:rsidR="00630A58">
        <w:t>.</w:t>
      </w:r>
      <w:r w:rsidR="00E62558" w:rsidRPr="00C332D9">
        <w:t xml:space="preserve">361 </w:t>
      </w:r>
      <w:r w:rsidR="00DC6ECF">
        <w:t>b</w:t>
      </w:r>
      <w:r w:rsidR="00E62558" w:rsidRPr="00C332D9">
        <w:t>illion</w:t>
      </w:r>
      <w:r w:rsidR="00D87A1E">
        <w:t xml:space="preserve"> in </w:t>
      </w:r>
      <w:r w:rsidR="00AD66A4">
        <w:t>the</w:t>
      </w:r>
      <w:r w:rsidR="00D87A1E" w:rsidRPr="0021712E">
        <w:t xml:space="preserve"> low-end scenario</w:t>
      </w:r>
      <w:r w:rsidR="00E62558" w:rsidRPr="0021712E">
        <w:t xml:space="preserve"> and</w:t>
      </w:r>
      <w:r w:rsidR="001010F0">
        <w:t xml:space="preserve"> between</w:t>
      </w:r>
      <w:r w:rsidR="00E62558" w:rsidRPr="00C332D9">
        <w:t xml:space="preserve"> $1</w:t>
      </w:r>
      <w:r w:rsidR="00DC6ECF">
        <w:t>.</w:t>
      </w:r>
      <w:r w:rsidR="00E62558" w:rsidRPr="00C332D9">
        <w:t>672</w:t>
      </w:r>
      <w:r w:rsidR="001010F0">
        <w:t xml:space="preserve"> and </w:t>
      </w:r>
      <w:r w:rsidR="009A255D">
        <w:t>$</w:t>
      </w:r>
      <w:r w:rsidR="00E62558" w:rsidRPr="00C332D9">
        <w:t>1</w:t>
      </w:r>
      <w:r w:rsidR="00DC6ECF">
        <w:t>.</w:t>
      </w:r>
      <w:r w:rsidR="00E62558" w:rsidRPr="00C332D9">
        <w:t>755 billion</w:t>
      </w:r>
      <w:r w:rsidR="00532935">
        <w:t xml:space="preserve"> in </w:t>
      </w:r>
      <w:r w:rsidR="00AD209B">
        <w:t>the</w:t>
      </w:r>
      <w:r w:rsidR="00532935">
        <w:t xml:space="preserve"> high</w:t>
      </w:r>
      <w:r w:rsidR="0021712E">
        <w:t>-</w:t>
      </w:r>
      <w:r w:rsidR="00532935">
        <w:t>end scenario</w:t>
      </w:r>
      <w:r w:rsidR="00E62558">
        <w:t xml:space="preserve">, </w:t>
      </w:r>
      <w:r w:rsidR="00DC6ECF">
        <w:t xml:space="preserve">as </w:t>
      </w:r>
      <w:r w:rsidR="00E62558">
        <w:t>summarized in table 1</w:t>
      </w:r>
      <w:r w:rsidR="00E62558" w:rsidRPr="00C332D9">
        <w:t xml:space="preserve">. The </w:t>
      </w:r>
      <w:r w:rsidR="00122EB0">
        <w:t>range</w:t>
      </w:r>
      <w:r w:rsidR="00DC5E1A" w:rsidRPr="009748B2">
        <w:t>s</w:t>
      </w:r>
      <w:r w:rsidR="00122EB0">
        <w:t xml:space="preserve"> of total </w:t>
      </w:r>
      <w:r w:rsidR="00E62558" w:rsidRPr="00C332D9">
        <w:t xml:space="preserve">funding requirements </w:t>
      </w:r>
      <w:r w:rsidR="00DC5E1A" w:rsidRPr="009748B2">
        <w:t>are</w:t>
      </w:r>
      <w:r w:rsidR="004A27D1">
        <w:t xml:space="preserve"> calculated </w:t>
      </w:r>
      <w:r w:rsidR="00A311B6">
        <w:t xml:space="preserve">on </w:t>
      </w:r>
      <w:r w:rsidR="00DC5E1A">
        <w:t xml:space="preserve">the basis of </w:t>
      </w:r>
      <w:r w:rsidR="00A311B6">
        <w:t xml:space="preserve">different </w:t>
      </w:r>
      <w:r w:rsidR="00B9767B">
        <w:t xml:space="preserve">scenarios and resource allocation schedules </w:t>
      </w:r>
      <w:r w:rsidR="00B218ED" w:rsidRPr="00B218ED">
        <w:t>for HCFC phase-out and HFC phase-down. Detailed information on the estimat</w:t>
      </w:r>
      <w:r w:rsidR="00A3151F" w:rsidRPr="009748B2">
        <w:t>ion</w:t>
      </w:r>
      <w:r w:rsidR="00B218ED" w:rsidRPr="00B218ED">
        <w:t xml:space="preserve"> methodology is provided in the annexes </w:t>
      </w:r>
      <w:r w:rsidR="00D77B40" w:rsidRPr="009748B2">
        <w:t>to</w:t>
      </w:r>
      <w:r w:rsidR="00B218ED" w:rsidRPr="00B218ED">
        <w:t xml:space="preserve"> the report. </w:t>
      </w:r>
      <w:r w:rsidR="00E62558" w:rsidRPr="00C332D9">
        <w:t xml:space="preserve"> </w:t>
      </w:r>
    </w:p>
    <w:p w14:paraId="783A207F" w14:textId="1BB76614" w:rsidR="00E62558" w:rsidRPr="00536546" w:rsidRDefault="00E62558" w:rsidP="00E62558">
      <w:pPr>
        <w:pStyle w:val="Titletable"/>
      </w:pPr>
      <w:r w:rsidRPr="00536546">
        <w:rPr>
          <w:b w:val="0"/>
          <w:bCs w:val="0"/>
        </w:rPr>
        <w:lastRenderedPageBreak/>
        <w:t xml:space="preserve">Table 1 </w:t>
      </w:r>
      <w:r>
        <w:rPr>
          <w:b w:val="0"/>
          <w:bCs w:val="0"/>
        </w:rPr>
        <w:br/>
      </w:r>
      <w:r w:rsidR="00D14442">
        <w:t>Estimated</w:t>
      </w:r>
      <w:r w:rsidRPr="009403A8">
        <w:t xml:space="preserve"> total funding requirements for the replenishment of the Multilateral Fund for the </w:t>
      </w:r>
      <w:r w:rsidR="00BC558B">
        <w:t>triennium</w:t>
      </w:r>
      <w:r w:rsidR="00BC558B" w:rsidRPr="009403A8">
        <w:t xml:space="preserve"> </w:t>
      </w:r>
      <w:r w:rsidRPr="009403A8">
        <w:t>2027–</w:t>
      </w:r>
      <w:r w:rsidRPr="00327AB2">
        <w:t>2029</w:t>
      </w:r>
      <w:r w:rsidR="00230354" w:rsidRPr="00327AB2">
        <w:t>, low-end range and high-end range</w:t>
      </w:r>
      <w:r w:rsidRPr="00536546">
        <w:t xml:space="preserve"> </w:t>
      </w:r>
    </w:p>
    <w:p w14:paraId="68FD9D2C" w14:textId="3E8B513F" w:rsidR="00E62558" w:rsidRPr="00536546" w:rsidRDefault="00E62558" w:rsidP="00E62558">
      <w:pPr>
        <w:pStyle w:val="Titletable"/>
        <w:rPr>
          <w:b w:val="0"/>
          <w:bCs w:val="0"/>
          <w:sz w:val="18"/>
          <w:szCs w:val="18"/>
        </w:rPr>
      </w:pPr>
      <w:r w:rsidRPr="00536546">
        <w:rPr>
          <w:b w:val="0"/>
          <w:bCs w:val="0"/>
          <w:sz w:val="18"/>
          <w:szCs w:val="18"/>
        </w:rPr>
        <w:t>(</w:t>
      </w:r>
      <w:r w:rsidR="006D0477">
        <w:rPr>
          <w:b w:val="0"/>
          <w:bCs w:val="0"/>
          <w:sz w:val="18"/>
          <w:szCs w:val="18"/>
        </w:rPr>
        <w:t>M</w:t>
      </w:r>
      <w:r w:rsidRPr="00536546">
        <w:rPr>
          <w:b w:val="0"/>
          <w:bCs w:val="0"/>
          <w:sz w:val="18"/>
          <w:szCs w:val="18"/>
        </w:rPr>
        <w:t>illion</w:t>
      </w:r>
      <w:r w:rsidR="001A541A">
        <w:rPr>
          <w:b w:val="0"/>
          <w:bCs w:val="0"/>
          <w:sz w:val="18"/>
          <w:szCs w:val="18"/>
        </w:rPr>
        <w:t>s of</w:t>
      </w:r>
      <w:r w:rsidRPr="00536546">
        <w:rPr>
          <w:b w:val="0"/>
          <w:bCs w:val="0"/>
          <w:sz w:val="18"/>
          <w:szCs w:val="18"/>
        </w:rPr>
        <w:t xml:space="preserve"> United States dollars)</w:t>
      </w:r>
    </w:p>
    <w:tbl>
      <w:tblPr>
        <w:tblW w:w="8307" w:type="dxa"/>
        <w:jc w:val="right"/>
        <w:tblLayout w:type="fixed"/>
        <w:tblCellMar>
          <w:left w:w="0" w:type="dxa"/>
          <w:right w:w="0" w:type="dxa"/>
        </w:tblCellMar>
        <w:tblLook w:val="04A0" w:firstRow="1" w:lastRow="0" w:firstColumn="1" w:lastColumn="0" w:noHBand="0" w:noVBand="1"/>
      </w:tblPr>
      <w:tblGrid>
        <w:gridCol w:w="4680"/>
        <w:gridCol w:w="1813"/>
        <w:gridCol w:w="1814"/>
      </w:tblGrid>
      <w:tr w:rsidR="00E62558" w:rsidRPr="00563C23" w14:paraId="6F810526" w14:textId="77777777" w:rsidTr="001940D7">
        <w:trPr>
          <w:trHeight w:val="57"/>
          <w:jc w:val="right"/>
        </w:trPr>
        <w:tc>
          <w:tcPr>
            <w:tcW w:w="2817" w:type="pct"/>
            <w:tcBorders>
              <w:top w:val="single" w:sz="4" w:space="0" w:color="auto"/>
              <w:bottom w:val="single" w:sz="12" w:space="0" w:color="auto"/>
            </w:tcBorders>
            <w:noWrap/>
            <w:tcMar>
              <w:top w:w="0" w:type="dxa"/>
              <w:left w:w="108" w:type="dxa"/>
              <w:bottom w:w="0" w:type="dxa"/>
              <w:right w:w="108" w:type="dxa"/>
            </w:tcMar>
            <w:hideMark/>
          </w:tcPr>
          <w:p w14:paraId="648396B2" w14:textId="01B8A61F" w:rsidR="00E62558" w:rsidRPr="00563C23" w:rsidRDefault="00E62558" w:rsidP="00A92EBB">
            <w:pPr>
              <w:pStyle w:val="Normal-pool-Table"/>
              <w:keepNext/>
              <w:keepLines/>
              <w:spacing w:before="20" w:after="20"/>
              <w:rPr>
                <w:i/>
              </w:rPr>
            </w:pPr>
            <w:r w:rsidRPr="00563C23">
              <w:rPr>
                <w:i/>
              </w:rPr>
              <w:t>Triennium 2027–2029</w:t>
            </w:r>
          </w:p>
        </w:tc>
        <w:tc>
          <w:tcPr>
            <w:tcW w:w="1091" w:type="pct"/>
            <w:tcBorders>
              <w:top w:val="single" w:sz="4" w:space="0" w:color="auto"/>
              <w:bottom w:val="single" w:sz="12" w:space="0" w:color="auto"/>
            </w:tcBorders>
            <w:tcMar>
              <w:top w:w="0" w:type="dxa"/>
              <w:left w:w="108" w:type="dxa"/>
              <w:bottom w:w="0" w:type="dxa"/>
              <w:right w:w="108" w:type="dxa"/>
            </w:tcMar>
            <w:hideMark/>
          </w:tcPr>
          <w:p w14:paraId="27391238" w14:textId="23C9B61A" w:rsidR="00E62558" w:rsidRPr="00563C23" w:rsidRDefault="00E62558" w:rsidP="00A92EBB">
            <w:pPr>
              <w:pStyle w:val="Normal-pool-Table"/>
              <w:keepNext/>
              <w:keepLines/>
              <w:spacing w:before="20" w:after="20"/>
              <w:jc w:val="right"/>
              <w:rPr>
                <w:i/>
              </w:rPr>
            </w:pPr>
            <w:r w:rsidRPr="00563C23">
              <w:rPr>
                <w:i/>
              </w:rPr>
              <w:t>Low-end range</w:t>
            </w:r>
            <w:r w:rsidRPr="00563C23">
              <w:rPr>
                <w:i/>
                <w:vertAlign w:val="superscript"/>
              </w:rPr>
              <w:t>a</w:t>
            </w:r>
          </w:p>
        </w:tc>
        <w:tc>
          <w:tcPr>
            <w:tcW w:w="1092" w:type="pct"/>
            <w:tcBorders>
              <w:top w:val="single" w:sz="4" w:space="0" w:color="auto"/>
              <w:bottom w:val="single" w:sz="12" w:space="0" w:color="auto"/>
            </w:tcBorders>
            <w:tcMar>
              <w:top w:w="0" w:type="dxa"/>
              <w:left w:w="108" w:type="dxa"/>
              <w:bottom w:w="0" w:type="dxa"/>
              <w:right w:w="108" w:type="dxa"/>
            </w:tcMar>
            <w:hideMark/>
          </w:tcPr>
          <w:p w14:paraId="537CA2DE" w14:textId="0C5BB7D3" w:rsidR="00E62558" w:rsidRPr="00563C23" w:rsidRDefault="00E62558" w:rsidP="00A92EBB">
            <w:pPr>
              <w:pStyle w:val="Normal-pool-Table"/>
              <w:keepNext/>
              <w:keepLines/>
              <w:spacing w:before="20" w:after="20"/>
              <w:jc w:val="right"/>
              <w:rPr>
                <w:i/>
              </w:rPr>
            </w:pPr>
            <w:r w:rsidRPr="00563C23">
              <w:rPr>
                <w:i/>
              </w:rPr>
              <w:t>High-end range</w:t>
            </w:r>
            <w:r w:rsidRPr="00563C23">
              <w:rPr>
                <w:i/>
                <w:vertAlign w:val="superscript"/>
              </w:rPr>
              <w:t>b</w:t>
            </w:r>
          </w:p>
        </w:tc>
      </w:tr>
      <w:tr w:rsidR="00E62558" w:rsidRPr="00563C23" w14:paraId="612E0EFF" w14:textId="77777777" w:rsidTr="001940D7">
        <w:trPr>
          <w:trHeight w:val="135"/>
          <w:jc w:val="right"/>
        </w:trPr>
        <w:tc>
          <w:tcPr>
            <w:tcW w:w="2817" w:type="pct"/>
            <w:tcBorders>
              <w:top w:val="single" w:sz="12" w:space="0" w:color="auto"/>
            </w:tcBorders>
            <w:noWrap/>
            <w:tcMar>
              <w:top w:w="0" w:type="dxa"/>
              <w:left w:w="108" w:type="dxa"/>
              <w:bottom w:w="0" w:type="dxa"/>
              <w:right w:w="108" w:type="dxa"/>
            </w:tcMar>
            <w:vAlign w:val="center"/>
            <w:hideMark/>
          </w:tcPr>
          <w:p w14:paraId="43AF6F3A" w14:textId="04B6D729" w:rsidR="00E62558" w:rsidRPr="00563C23" w:rsidRDefault="00E62558" w:rsidP="00A92EBB">
            <w:pPr>
              <w:pStyle w:val="Normal-pool-Table"/>
              <w:keepNext/>
              <w:keepLines/>
              <w:spacing w:before="20" w:after="20"/>
              <w:rPr>
                <w:sz w:val="16"/>
              </w:rPr>
            </w:pPr>
            <w:r w:rsidRPr="00563C23">
              <w:t>HCFC activities</w:t>
            </w:r>
            <w:r>
              <w:br/>
            </w:r>
            <w:r w:rsidRPr="00563C23">
              <w:t>(including energy efficiency)</w:t>
            </w:r>
          </w:p>
        </w:tc>
        <w:tc>
          <w:tcPr>
            <w:tcW w:w="1091" w:type="pct"/>
            <w:tcBorders>
              <w:top w:val="single" w:sz="12" w:space="0" w:color="auto"/>
            </w:tcBorders>
            <w:noWrap/>
            <w:tcMar>
              <w:top w:w="0" w:type="dxa"/>
              <w:left w:w="108" w:type="dxa"/>
              <w:bottom w:w="0" w:type="dxa"/>
              <w:right w:w="108" w:type="dxa"/>
            </w:tcMar>
            <w:vAlign w:val="bottom"/>
            <w:hideMark/>
          </w:tcPr>
          <w:p w14:paraId="3C4AD79E" w14:textId="77777777" w:rsidR="00E62558" w:rsidRPr="00E0168F" w:rsidRDefault="00E62558" w:rsidP="00A92EBB">
            <w:pPr>
              <w:pStyle w:val="Normal-pool-Table"/>
              <w:keepNext/>
              <w:keepLines/>
              <w:spacing w:before="20" w:after="20"/>
              <w:jc w:val="right"/>
              <w:rPr>
                <w:bCs/>
              </w:rPr>
            </w:pPr>
            <w:r w:rsidRPr="00E0168F">
              <w:rPr>
                <w:bCs/>
              </w:rPr>
              <w:t>451</w:t>
            </w:r>
          </w:p>
        </w:tc>
        <w:tc>
          <w:tcPr>
            <w:tcW w:w="1092" w:type="pct"/>
            <w:tcBorders>
              <w:top w:val="single" w:sz="12" w:space="0" w:color="auto"/>
            </w:tcBorders>
            <w:noWrap/>
            <w:tcMar>
              <w:top w:w="0" w:type="dxa"/>
              <w:left w:w="108" w:type="dxa"/>
              <w:bottom w:w="0" w:type="dxa"/>
              <w:right w:w="108" w:type="dxa"/>
            </w:tcMar>
            <w:vAlign w:val="bottom"/>
            <w:hideMark/>
          </w:tcPr>
          <w:p w14:paraId="1E3E902F" w14:textId="77777777" w:rsidR="00E62558" w:rsidRPr="00E0168F" w:rsidRDefault="00E62558" w:rsidP="00A92EBB">
            <w:pPr>
              <w:pStyle w:val="Normal-pool-Table"/>
              <w:keepNext/>
              <w:keepLines/>
              <w:spacing w:before="20" w:after="20"/>
              <w:jc w:val="right"/>
              <w:rPr>
                <w:bCs/>
              </w:rPr>
            </w:pPr>
            <w:r w:rsidRPr="00E0168F">
              <w:rPr>
                <w:bCs/>
              </w:rPr>
              <w:t>573</w:t>
            </w:r>
          </w:p>
        </w:tc>
      </w:tr>
      <w:tr w:rsidR="00E62558" w:rsidRPr="00563C23" w14:paraId="76ADF706" w14:textId="77777777" w:rsidTr="001940D7">
        <w:trPr>
          <w:trHeight w:val="42"/>
          <w:jc w:val="right"/>
        </w:trPr>
        <w:tc>
          <w:tcPr>
            <w:tcW w:w="2817" w:type="pct"/>
            <w:noWrap/>
            <w:tcMar>
              <w:top w:w="0" w:type="dxa"/>
              <w:left w:w="108" w:type="dxa"/>
              <w:bottom w:w="0" w:type="dxa"/>
              <w:right w:w="108" w:type="dxa"/>
            </w:tcMar>
            <w:vAlign w:val="center"/>
            <w:hideMark/>
          </w:tcPr>
          <w:p w14:paraId="41B2598F" w14:textId="40AF06CC" w:rsidR="004446C0" w:rsidRDefault="00E62558" w:rsidP="00A92EBB">
            <w:pPr>
              <w:pStyle w:val="Normal-pool-Table"/>
              <w:keepNext/>
              <w:keepLines/>
              <w:spacing w:before="20" w:after="20"/>
            </w:pPr>
            <w:r w:rsidRPr="00327AB2">
              <w:t>HFC activities</w:t>
            </w:r>
            <w:r w:rsidRPr="00327AB2">
              <w:br/>
              <w:t xml:space="preserve">(including </w:t>
            </w:r>
            <w:r w:rsidR="007D6288">
              <w:t xml:space="preserve">energy efficiency, </w:t>
            </w:r>
            <w:r w:rsidRPr="00327AB2">
              <w:t>HFC-23 mitigation</w:t>
            </w:r>
            <w:r w:rsidR="007D6288">
              <w:t xml:space="preserve"> </w:t>
            </w:r>
          </w:p>
          <w:p w14:paraId="3F02481E" w14:textId="5C3A3FE7" w:rsidR="00E62558" w:rsidRPr="00327AB2" w:rsidRDefault="007D6288" w:rsidP="00A92EBB">
            <w:pPr>
              <w:pStyle w:val="Normal-pool-Table"/>
              <w:keepNext/>
              <w:keepLines/>
              <w:spacing w:before="20" w:after="20"/>
              <w:rPr>
                <w:sz w:val="16"/>
              </w:rPr>
            </w:pPr>
            <w:r>
              <w:t>and reg</w:t>
            </w:r>
            <w:r w:rsidR="004446C0">
              <w:t>i</w:t>
            </w:r>
            <w:r>
              <w:t>onal atmospheric monitoring</w:t>
            </w:r>
            <w:r w:rsidR="00E62558" w:rsidRPr="00327AB2">
              <w:t>)</w:t>
            </w:r>
          </w:p>
        </w:tc>
        <w:tc>
          <w:tcPr>
            <w:tcW w:w="1091" w:type="pct"/>
            <w:noWrap/>
            <w:tcMar>
              <w:top w:w="0" w:type="dxa"/>
              <w:left w:w="108" w:type="dxa"/>
              <w:bottom w:w="0" w:type="dxa"/>
              <w:right w:w="108" w:type="dxa"/>
            </w:tcMar>
            <w:vAlign w:val="bottom"/>
            <w:hideMark/>
          </w:tcPr>
          <w:p w14:paraId="55958DED" w14:textId="6814610A" w:rsidR="00E62558" w:rsidRPr="00E0168F" w:rsidRDefault="00E62558" w:rsidP="00A92EBB">
            <w:pPr>
              <w:pStyle w:val="Normal-pool-Table"/>
              <w:keepNext/>
              <w:keepLines/>
              <w:spacing w:before="20" w:after="20"/>
              <w:jc w:val="right"/>
              <w:rPr>
                <w:bCs/>
              </w:rPr>
            </w:pPr>
            <w:r w:rsidRPr="00E0168F">
              <w:rPr>
                <w:bCs/>
              </w:rPr>
              <w:t>702–781</w:t>
            </w:r>
          </w:p>
        </w:tc>
        <w:tc>
          <w:tcPr>
            <w:tcW w:w="1092" w:type="pct"/>
            <w:noWrap/>
            <w:tcMar>
              <w:top w:w="0" w:type="dxa"/>
              <w:left w:w="108" w:type="dxa"/>
              <w:bottom w:w="0" w:type="dxa"/>
              <w:right w:w="108" w:type="dxa"/>
            </w:tcMar>
            <w:vAlign w:val="bottom"/>
            <w:hideMark/>
          </w:tcPr>
          <w:p w14:paraId="65728D92" w14:textId="379D9E4A" w:rsidR="00E62558" w:rsidRPr="00E0168F" w:rsidRDefault="00E62558" w:rsidP="00A92EBB">
            <w:pPr>
              <w:pStyle w:val="Normal-pool-Table"/>
              <w:keepNext/>
              <w:keepLines/>
              <w:spacing w:before="20" w:after="20"/>
              <w:jc w:val="right"/>
              <w:rPr>
                <w:bCs/>
              </w:rPr>
            </w:pPr>
            <w:r w:rsidRPr="00E0168F">
              <w:rPr>
                <w:bCs/>
                <w:lang w:val="en-US"/>
              </w:rPr>
              <w:t>970–1 053</w:t>
            </w:r>
          </w:p>
        </w:tc>
      </w:tr>
      <w:tr w:rsidR="00E62558" w:rsidRPr="00563C23" w14:paraId="1C7B45E4" w14:textId="77777777" w:rsidTr="001940D7">
        <w:trPr>
          <w:trHeight w:val="57"/>
          <w:jc w:val="right"/>
        </w:trPr>
        <w:tc>
          <w:tcPr>
            <w:tcW w:w="2817" w:type="pct"/>
            <w:tcBorders>
              <w:bottom w:val="single" w:sz="4" w:space="0" w:color="auto"/>
            </w:tcBorders>
            <w:tcMar>
              <w:top w:w="0" w:type="dxa"/>
              <w:left w:w="108" w:type="dxa"/>
              <w:bottom w:w="0" w:type="dxa"/>
              <w:right w:w="108" w:type="dxa"/>
            </w:tcMar>
            <w:vAlign w:val="center"/>
            <w:hideMark/>
          </w:tcPr>
          <w:p w14:paraId="0AEA8AFB" w14:textId="671BF455" w:rsidR="00E62558" w:rsidRPr="00563C23" w:rsidRDefault="00E62558" w:rsidP="00A92EBB">
            <w:pPr>
              <w:pStyle w:val="Normal-pool-Table"/>
              <w:keepNext/>
              <w:keepLines/>
              <w:spacing w:before="20" w:after="20"/>
            </w:pPr>
            <w:r w:rsidRPr="00563C23">
              <w:t xml:space="preserve">Institutional strengthening and standard activities </w:t>
            </w:r>
          </w:p>
        </w:tc>
        <w:tc>
          <w:tcPr>
            <w:tcW w:w="1091" w:type="pct"/>
            <w:tcBorders>
              <w:bottom w:val="single" w:sz="4" w:space="0" w:color="auto"/>
            </w:tcBorders>
            <w:noWrap/>
            <w:tcMar>
              <w:top w:w="0" w:type="dxa"/>
              <w:left w:w="108" w:type="dxa"/>
              <w:bottom w:w="0" w:type="dxa"/>
              <w:right w:w="108" w:type="dxa"/>
            </w:tcMar>
            <w:vAlign w:val="bottom"/>
            <w:hideMark/>
          </w:tcPr>
          <w:p w14:paraId="62E284F1" w14:textId="77777777" w:rsidR="00E62558" w:rsidRPr="00E0168F" w:rsidRDefault="00E62558" w:rsidP="00A92EBB">
            <w:pPr>
              <w:pStyle w:val="Normal-pool-Table"/>
              <w:keepNext/>
              <w:keepLines/>
              <w:spacing w:before="20" w:after="20"/>
              <w:jc w:val="right"/>
              <w:rPr>
                <w:bCs/>
              </w:rPr>
            </w:pPr>
            <w:r w:rsidRPr="00E0168F">
              <w:rPr>
                <w:bCs/>
              </w:rPr>
              <w:t>129</w:t>
            </w:r>
          </w:p>
        </w:tc>
        <w:tc>
          <w:tcPr>
            <w:tcW w:w="1092" w:type="pct"/>
            <w:tcBorders>
              <w:bottom w:val="single" w:sz="4" w:space="0" w:color="auto"/>
            </w:tcBorders>
            <w:noWrap/>
            <w:tcMar>
              <w:top w:w="0" w:type="dxa"/>
              <w:left w:w="108" w:type="dxa"/>
              <w:bottom w:w="0" w:type="dxa"/>
              <w:right w:w="108" w:type="dxa"/>
            </w:tcMar>
            <w:vAlign w:val="bottom"/>
            <w:hideMark/>
          </w:tcPr>
          <w:p w14:paraId="2712EF83" w14:textId="77777777" w:rsidR="00E62558" w:rsidRPr="00E0168F" w:rsidRDefault="00E62558" w:rsidP="00A92EBB">
            <w:pPr>
              <w:pStyle w:val="Normal-pool-Table"/>
              <w:keepNext/>
              <w:keepLines/>
              <w:spacing w:before="20" w:after="20"/>
              <w:jc w:val="right"/>
              <w:rPr>
                <w:bCs/>
              </w:rPr>
            </w:pPr>
            <w:r w:rsidRPr="00E0168F">
              <w:rPr>
                <w:bCs/>
              </w:rPr>
              <w:t>129</w:t>
            </w:r>
          </w:p>
        </w:tc>
      </w:tr>
      <w:tr w:rsidR="00E62558" w:rsidRPr="00563C23" w14:paraId="5EADB06F" w14:textId="77777777" w:rsidTr="001940D7">
        <w:trPr>
          <w:trHeight w:val="57"/>
          <w:jc w:val="right"/>
        </w:trPr>
        <w:tc>
          <w:tcPr>
            <w:tcW w:w="2817" w:type="pct"/>
            <w:tcBorders>
              <w:top w:val="single" w:sz="4" w:space="0" w:color="auto"/>
              <w:bottom w:val="single" w:sz="12" w:space="0" w:color="auto"/>
            </w:tcBorders>
            <w:noWrap/>
            <w:tcMar>
              <w:top w:w="0" w:type="dxa"/>
              <w:left w:w="108" w:type="dxa"/>
              <w:bottom w:w="0" w:type="dxa"/>
              <w:right w:w="108" w:type="dxa"/>
            </w:tcMar>
            <w:vAlign w:val="center"/>
            <w:hideMark/>
          </w:tcPr>
          <w:p w14:paraId="4034F260" w14:textId="36793DDE" w:rsidR="00E62558" w:rsidRPr="00563C23" w:rsidRDefault="00B913DF" w:rsidP="00A92EBB">
            <w:pPr>
              <w:pStyle w:val="Normal-pool-Table"/>
              <w:keepNext/>
              <w:keepLines/>
              <w:spacing w:before="20" w:after="20"/>
              <w:rPr>
                <w:b/>
              </w:rPr>
            </w:pPr>
            <w:r>
              <w:rPr>
                <w:b/>
              </w:rPr>
              <w:t>T</w:t>
            </w:r>
            <w:r w:rsidR="00E62558" w:rsidRPr="00563C23">
              <w:rPr>
                <w:b/>
              </w:rPr>
              <w:t>otal</w:t>
            </w:r>
          </w:p>
        </w:tc>
        <w:tc>
          <w:tcPr>
            <w:tcW w:w="1091" w:type="pct"/>
            <w:tcBorders>
              <w:top w:val="single" w:sz="4" w:space="0" w:color="auto"/>
              <w:bottom w:val="single" w:sz="12" w:space="0" w:color="auto"/>
            </w:tcBorders>
            <w:noWrap/>
            <w:tcMar>
              <w:top w:w="0" w:type="dxa"/>
              <w:left w:w="108" w:type="dxa"/>
              <w:bottom w:w="0" w:type="dxa"/>
              <w:right w:w="108" w:type="dxa"/>
            </w:tcMar>
            <w:hideMark/>
          </w:tcPr>
          <w:p w14:paraId="4A432FB5" w14:textId="1A32DEC1" w:rsidR="00E62558" w:rsidRPr="00563C23" w:rsidRDefault="00E62558" w:rsidP="00A92EBB">
            <w:pPr>
              <w:pStyle w:val="Normal-pool-Table"/>
              <w:keepNext/>
              <w:keepLines/>
              <w:spacing w:before="20" w:after="20"/>
              <w:jc w:val="right"/>
              <w:rPr>
                <w:b/>
              </w:rPr>
            </w:pPr>
            <w:r w:rsidRPr="00563C23">
              <w:rPr>
                <w:b/>
                <w:bCs/>
                <w:lang w:val="en-US"/>
              </w:rPr>
              <w:t>1</w:t>
            </w:r>
            <w:r>
              <w:rPr>
                <w:b/>
                <w:bCs/>
                <w:lang w:val="en-US"/>
              </w:rPr>
              <w:t xml:space="preserve"> </w:t>
            </w:r>
            <w:r w:rsidRPr="00563C23">
              <w:rPr>
                <w:b/>
                <w:bCs/>
                <w:lang w:val="en-US"/>
              </w:rPr>
              <w:t>282–1</w:t>
            </w:r>
            <w:r>
              <w:rPr>
                <w:b/>
                <w:bCs/>
                <w:lang w:val="en-US"/>
              </w:rPr>
              <w:t xml:space="preserve"> </w:t>
            </w:r>
            <w:r w:rsidRPr="00563C23">
              <w:rPr>
                <w:b/>
                <w:bCs/>
                <w:lang w:val="en-US"/>
              </w:rPr>
              <w:t>361</w:t>
            </w:r>
          </w:p>
        </w:tc>
        <w:tc>
          <w:tcPr>
            <w:tcW w:w="1092" w:type="pct"/>
            <w:tcBorders>
              <w:top w:val="single" w:sz="4" w:space="0" w:color="auto"/>
              <w:bottom w:val="single" w:sz="12" w:space="0" w:color="auto"/>
            </w:tcBorders>
            <w:noWrap/>
            <w:tcMar>
              <w:top w:w="0" w:type="dxa"/>
              <w:left w:w="108" w:type="dxa"/>
              <w:bottom w:w="0" w:type="dxa"/>
              <w:right w:w="108" w:type="dxa"/>
            </w:tcMar>
            <w:hideMark/>
          </w:tcPr>
          <w:p w14:paraId="0E89FCA3" w14:textId="69509C6A" w:rsidR="00E62558" w:rsidRPr="00563C23" w:rsidRDefault="00E62558" w:rsidP="00A92EBB">
            <w:pPr>
              <w:pStyle w:val="Normal-pool-Table"/>
              <w:keepNext/>
              <w:keepLines/>
              <w:spacing w:before="20" w:after="20"/>
              <w:jc w:val="right"/>
              <w:rPr>
                <w:b/>
              </w:rPr>
            </w:pPr>
            <w:r w:rsidRPr="00563C23">
              <w:rPr>
                <w:b/>
                <w:bCs/>
                <w:lang w:val="en-US"/>
              </w:rPr>
              <w:t>1</w:t>
            </w:r>
            <w:r>
              <w:rPr>
                <w:b/>
                <w:bCs/>
                <w:lang w:val="en-US"/>
              </w:rPr>
              <w:t xml:space="preserve"> </w:t>
            </w:r>
            <w:r w:rsidRPr="00563C23">
              <w:rPr>
                <w:b/>
                <w:bCs/>
                <w:lang w:val="en-US"/>
              </w:rPr>
              <w:t>672–1</w:t>
            </w:r>
            <w:r>
              <w:rPr>
                <w:b/>
                <w:bCs/>
                <w:lang w:val="en-US"/>
              </w:rPr>
              <w:t xml:space="preserve"> </w:t>
            </w:r>
            <w:r w:rsidRPr="00563C23">
              <w:rPr>
                <w:b/>
                <w:bCs/>
                <w:lang w:val="en-US"/>
              </w:rPr>
              <w:t>755</w:t>
            </w:r>
          </w:p>
        </w:tc>
      </w:tr>
    </w:tbl>
    <w:p w14:paraId="48568D82" w14:textId="2AFA4F45" w:rsidR="00E62558" w:rsidRPr="00D12A53" w:rsidRDefault="00E62558" w:rsidP="00E62558">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ind w:left="1247"/>
        <w:rPr>
          <w:sz w:val="17"/>
          <w:szCs w:val="17"/>
        </w:rPr>
      </w:pPr>
      <w:r w:rsidRPr="00D12A53">
        <w:rPr>
          <w:i/>
          <w:iCs/>
          <w:sz w:val="17"/>
          <w:szCs w:val="17"/>
        </w:rPr>
        <w:tab/>
      </w:r>
      <w:r w:rsidRPr="00D12A53">
        <w:rPr>
          <w:i/>
          <w:sz w:val="17"/>
          <w:szCs w:val="17"/>
        </w:rPr>
        <w:t>Abbreviations</w:t>
      </w:r>
      <w:r w:rsidRPr="00D12A53">
        <w:rPr>
          <w:sz w:val="17"/>
          <w:szCs w:val="17"/>
        </w:rPr>
        <w:t>: HCFC – hydrochlorofluorocarbon; HFC – hydrofluorocarbon.</w:t>
      </w:r>
    </w:p>
    <w:p w14:paraId="1518ADBD" w14:textId="553D317C" w:rsidR="002D1E9F" w:rsidRDefault="00E62558" w:rsidP="00CF5131">
      <w:pPr>
        <w:pStyle w:val="Normal-pool"/>
        <w:tabs>
          <w:tab w:val="left" w:pos="4082"/>
        </w:tabs>
        <w:spacing w:before="40"/>
        <w:ind w:left="1247"/>
        <w:rPr>
          <w:sz w:val="17"/>
          <w:szCs w:val="17"/>
        </w:rPr>
      </w:pPr>
      <w:r w:rsidRPr="00D12A53">
        <w:rPr>
          <w:color w:val="808080" w:themeColor="background1" w:themeShade="80"/>
          <w:sz w:val="17"/>
          <w:szCs w:val="17"/>
          <w:vertAlign w:val="superscript"/>
        </w:rPr>
        <w:tab/>
      </w:r>
      <w:r w:rsidRPr="003B1ABA">
        <w:rPr>
          <w:sz w:val="17"/>
          <w:szCs w:val="17"/>
          <w:vertAlign w:val="superscript"/>
        </w:rPr>
        <w:t>a</w:t>
      </w:r>
      <w:r w:rsidRPr="003B1ABA">
        <w:rPr>
          <w:sz w:val="17"/>
          <w:szCs w:val="17"/>
        </w:rPr>
        <w:t xml:space="preserve"> </w:t>
      </w:r>
      <w:r w:rsidR="00AD5280" w:rsidRPr="003B1ABA">
        <w:rPr>
          <w:sz w:val="17"/>
          <w:szCs w:val="17"/>
        </w:rPr>
        <w:t xml:space="preserve">The low-end range </w:t>
      </w:r>
      <w:r w:rsidR="001744DA" w:rsidRPr="003B1ABA">
        <w:rPr>
          <w:sz w:val="17"/>
          <w:szCs w:val="17"/>
        </w:rPr>
        <w:t xml:space="preserve">is calculated </w:t>
      </w:r>
      <w:r w:rsidR="002338A7" w:rsidRPr="003B1ABA">
        <w:rPr>
          <w:sz w:val="17"/>
          <w:szCs w:val="17"/>
        </w:rPr>
        <w:t>on</w:t>
      </w:r>
      <w:r w:rsidR="006C42C1" w:rsidRPr="003B1ABA">
        <w:rPr>
          <w:sz w:val="17"/>
          <w:szCs w:val="17"/>
        </w:rPr>
        <w:t xml:space="preserve"> </w:t>
      </w:r>
      <w:r w:rsidR="001744DA" w:rsidRPr="003B1ABA">
        <w:rPr>
          <w:sz w:val="17"/>
          <w:szCs w:val="17"/>
        </w:rPr>
        <w:t xml:space="preserve">the </w:t>
      </w:r>
      <w:r w:rsidR="004E3B8F" w:rsidRPr="003B1ABA">
        <w:rPr>
          <w:sz w:val="17"/>
          <w:szCs w:val="17"/>
        </w:rPr>
        <w:t>basis</w:t>
      </w:r>
      <w:r w:rsidR="001744DA" w:rsidRPr="003B1ABA">
        <w:rPr>
          <w:sz w:val="17"/>
          <w:szCs w:val="17"/>
        </w:rPr>
        <w:t xml:space="preserve"> of</w:t>
      </w:r>
      <w:r w:rsidR="007836F4">
        <w:rPr>
          <w:sz w:val="17"/>
          <w:szCs w:val="17"/>
        </w:rPr>
        <w:t xml:space="preserve"> </w:t>
      </w:r>
      <w:r w:rsidR="007836F4" w:rsidRPr="009748B2">
        <w:rPr>
          <w:sz w:val="17"/>
          <w:szCs w:val="17"/>
        </w:rPr>
        <w:t>the following scenarios</w:t>
      </w:r>
      <w:r w:rsidR="002D1E9F">
        <w:rPr>
          <w:sz w:val="17"/>
          <w:szCs w:val="17"/>
        </w:rPr>
        <w:t>:</w:t>
      </w:r>
    </w:p>
    <w:p w14:paraId="5D2E7FD1" w14:textId="6023AEB6" w:rsidR="002D1E9F" w:rsidRPr="002243E9" w:rsidRDefault="00E62558" w:rsidP="00CF5131">
      <w:pPr>
        <w:pStyle w:val="Normal-pool"/>
        <w:numPr>
          <w:ilvl w:val="0"/>
          <w:numId w:val="108"/>
        </w:numPr>
        <w:tabs>
          <w:tab w:val="clear" w:pos="1247"/>
          <w:tab w:val="clear" w:pos="1871"/>
          <w:tab w:val="clear" w:pos="2495"/>
          <w:tab w:val="clear" w:pos="3119"/>
          <w:tab w:val="clear" w:pos="3742"/>
          <w:tab w:val="clear" w:pos="4366"/>
          <w:tab w:val="clear" w:pos="4990"/>
        </w:tabs>
        <w:spacing w:before="40"/>
        <w:ind w:left="1871" w:firstLine="624"/>
        <w:rPr>
          <w:sz w:val="17"/>
          <w:szCs w:val="17"/>
        </w:rPr>
      </w:pPr>
      <w:r w:rsidRPr="002243E9">
        <w:rPr>
          <w:sz w:val="17"/>
          <w:szCs w:val="17"/>
        </w:rPr>
        <w:t xml:space="preserve">HCFC </w:t>
      </w:r>
      <w:r w:rsidR="00AF459F" w:rsidRPr="002243E9">
        <w:rPr>
          <w:sz w:val="17"/>
          <w:szCs w:val="17"/>
        </w:rPr>
        <w:t>s</w:t>
      </w:r>
      <w:r w:rsidRPr="002243E9">
        <w:rPr>
          <w:sz w:val="17"/>
          <w:szCs w:val="17"/>
        </w:rPr>
        <w:t>cenario 1</w:t>
      </w:r>
      <w:r w:rsidR="001744DA" w:rsidRPr="002243E9">
        <w:rPr>
          <w:sz w:val="17"/>
          <w:szCs w:val="17"/>
        </w:rPr>
        <w:t xml:space="preserve"> (</w:t>
      </w:r>
      <w:r w:rsidRPr="002243E9">
        <w:rPr>
          <w:sz w:val="17"/>
          <w:szCs w:val="17"/>
        </w:rPr>
        <w:t xml:space="preserve">historical </w:t>
      </w:r>
      <w:r w:rsidR="00BD19B7" w:rsidRPr="002243E9">
        <w:rPr>
          <w:sz w:val="17"/>
          <w:szCs w:val="17"/>
        </w:rPr>
        <w:t>cost-effectiveness</w:t>
      </w:r>
      <w:r w:rsidR="00455900" w:rsidRPr="002243E9">
        <w:rPr>
          <w:sz w:val="17"/>
          <w:szCs w:val="17"/>
        </w:rPr>
        <w:t xml:space="preserve"> thresholds</w:t>
      </w:r>
      <w:r w:rsidRPr="002243E9">
        <w:rPr>
          <w:sz w:val="17"/>
          <w:szCs w:val="17"/>
        </w:rPr>
        <w:t xml:space="preserve"> in manufacturing </w:t>
      </w:r>
      <w:r w:rsidR="00292174" w:rsidRPr="002243E9">
        <w:rPr>
          <w:sz w:val="17"/>
          <w:szCs w:val="17"/>
        </w:rPr>
        <w:t>sectors</w:t>
      </w:r>
      <w:r w:rsidR="00AA4C7C" w:rsidRPr="002243E9">
        <w:rPr>
          <w:sz w:val="17"/>
          <w:szCs w:val="17"/>
        </w:rPr>
        <w:t>) with</w:t>
      </w:r>
      <w:r w:rsidRPr="002243E9">
        <w:rPr>
          <w:sz w:val="17"/>
          <w:szCs w:val="17"/>
        </w:rPr>
        <w:t xml:space="preserve"> 90</w:t>
      </w:r>
      <w:r w:rsidR="009469F7" w:rsidRPr="002243E9">
        <w:rPr>
          <w:sz w:val="17"/>
          <w:szCs w:val="17"/>
        </w:rPr>
        <w:t xml:space="preserve"> </w:t>
      </w:r>
      <w:r w:rsidRPr="002243E9">
        <w:rPr>
          <w:sz w:val="17"/>
          <w:szCs w:val="17"/>
        </w:rPr>
        <w:t xml:space="preserve">per cent </w:t>
      </w:r>
      <w:r w:rsidR="00412054" w:rsidRPr="002243E9">
        <w:rPr>
          <w:sz w:val="17"/>
          <w:szCs w:val="17"/>
        </w:rPr>
        <w:t xml:space="preserve">of </w:t>
      </w:r>
      <w:r w:rsidR="00C025F1" w:rsidRPr="002243E9">
        <w:rPr>
          <w:sz w:val="17"/>
          <w:szCs w:val="17"/>
        </w:rPr>
        <w:t>funding</w:t>
      </w:r>
      <w:r w:rsidR="009469F7" w:rsidRPr="002243E9">
        <w:rPr>
          <w:sz w:val="17"/>
          <w:szCs w:val="17"/>
        </w:rPr>
        <w:t xml:space="preserve"> </w:t>
      </w:r>
      <w:r w:rsidRPr="002243E9">
        <w:rPr>
          <w:sz w:val="17"/>
          <w:szCs w:val="17"/>
        </w:rPr>
        <w:t>alloc</w:t>
      </w:r>
      <w:r w:rsidR="00412054" w:rsidRPr="002243E9">
        <w:rPr>
          <w:sz w:val="17"/>
          <w:szCs w:val="17"/>
        </w:rPr>
        <w:t>ated</w:t>
      </w:r>
      <w:r w:rsidR="00180635" w:rsidRPr="002243E9">
        <w:rPr>
          <w:sz w:val="17"/>
          <w:szCs w:val="17"/>
        </w:rPr>
        <w:t xml:space="preserve"> during the triennium 2027–2029 and 10 per cent </w:t>
      </w:r>
      <w:r w:rsidR="00412054" w:rsidRPr="002243E9">
        <w:rPr>
          <w:sz w:val="17"/>
          <w:szCs w:val="17"/>
        </w:rPr>
        <w:t>during</w:t>
      </w:r>
      <w:r w:rsidR="00180635" w:rsidRPr="002243E9">
        <w:rPr>
          <w:sz w:val="17"/>
          <w:szCs w:val="17"/>
        </w:rPr>
        <w:t xml:space="preserve"> the triennium </w:t>
      </w:r>
      <w:r w:rsidR="00412054" w:rsidRPr="002243E9">
        <w:rPr>
          <w:sz w:val="17"/>
          <w:szCs w:val="17"/>
        </w:rPr>
        <w:t>20</w:t>
      </w:r>
      <w:r w:rsidR="001A073E" w:rsidRPr="002243E9">
        <w:rPr>
          <w:sz w:val="17"/>
          <w:szCs w:val="17"/>
        </w:rPr>
        <w:t>30</w:t>
      </w:r>
      <w:r w:rsidR="00412054" w:rsidRPr="002243E9">
        <w:rPr>
          <w:sz w:val="17"/>
          <w:szCs w:val="17"/>
        </w:rPr>
        <w:t>–20</w:t>
      </w:r>
      <w:r w:rsidR="001A073E" w:rsidRPr="002243E9">
        <w:rPr>
          <w:sz w:val="17"/>
          <w:szCs w:val="17"/>
        </w:rPr>
        <w:t>32</w:t>
      </w:r>
      <w:r w:rsidR="00E31792" w:rsidRPr="002243E9">
        <w:rPr>
          <w:sz w:val="17"/>
          <w:szCs w:val="17"/>
        </w:rPr>
        <w:t>;</w:t>
      </w:r>
      <w:r w:rsidR="00855878" w:rsidRPr="002243E9">
        <w:rPr>
          <w:sz w:val="17"/>
          <w:szCs w:val="17"/>
        </w:rPr>
        <w:t xml:space="preserve"> </w:t>
      </w:r>
    </w:p>
    <w:p w14:paraId="3B7F7F61" w14:textId="49EDADCF" w:rsidR="00E62558" w:rsidRPr="002243E9" w:rsidRDefault="00E62558" w:rsidP="00CF5131">
      <w:pPr>
        <w:pStyle w:val="Normal-pool"/>
        <w:numPr>
          <w:ilvl w:val="0"/>
          <w:numId w:val="108"/>
        </w:numPr>
        <w:tabs>
          <w:tab w:val="clear" w:pos="1247"/>
          <w:tab w:val="clear" w:pos="1871"/>
          <w:tab w:val="clear" w:pos="2495"/>
          <w:tab w:val="clear" w:pos="3119"/>
          <w:tab w:val="clear" w:pos="3742"/>
          <w:tab w:val="clear" w:pos="4366"/>
          <w:tab w:val="clear" w:pos="4990"/>
        </w:tabs>
        <w:spacing w:before="40"/>
        <w:ind w:left="1871" w:firstLine="624"/>
        <w:rPr>
          <w:sz w:val="17"/>
          <w:szCs w:val="17"/>
        </w:rPr>
      </w:pPr>
      <w:r w:rsidRPr="002243E9">
        <w:rPr>
          <w:sz w:val="17"/>
          <w:szCs w:val="17"/>
        </w:rPr>
        <w:t>HFC scenario 1</w:t>
      </w:r>
      <w:r w:rsidR="00D90C3D" w:rsidRPr="002243E9">
        <w:rPr>
          <w:sz w:val="17"/>
          <w:szCs w:val="17"/>
        </w:rPr>
        <w:t xml:space="preserve"> (</w:t>
      </w:r>
      <w:r w:rsidR="00E31792" w:rsidRPr="002243E9">
        <w:rPr>
          <w:sz w:val="17"/>
          <w:szCs w:val="17"/>
        </w:rPr>
        <w:t>c</w:t>
      </w:r>
      <w:r w:rsidRPr="002243E9">
        <w:rPr>
          <w:sz w:val="17"/>
          <w:szCs w:val="17"/>
        </w:rPr>
        <w:t>ost guideline</w:t>
      </w:r>
      <w:r w:rsidR="00D90C3D" w:rsidRPr="002243E9">
        <w:rPr>
          <w:sz w:val="17"/>
          <w:szCs w:val="17"/>
        </w:rPr>
        <w:t>s</w:t>
      </w:r>
      <w:r w:rsidRPr="002243E9">
        <w:rPr>
          <w:sz w:val="17"/>
          <w:szCs w:val="17"/>
        </w:rPr>
        <w:t xml:space="preserve"> or expert-derived </w:t>
      </w:r>
      <w:r w:rsidR="00E31792" w:rsidRPr="002243E9">
        <w:rPr>
          <w:sz w:val="17"/>
          <w:szCs w:val="17"/>
        </w:rPr>
        <w:t>cost-effectiveness thresholds</w:t>
      </w:r>
      <w:r w:rsidRPr="002243E9">
        <w:rPr>
          <w:sz w:val="17"/>
          <w:szCs w:val="17"/>
        </w:rPr>
        <w:t xml:space="preserve"> without </w:t>
      </w:r>
      <w:r w:rsidR="00E31792" w:rsidRPr="002243E9">
        <w:rPr>
          <w:sz w:val="17"/>
          <w:szCs w:val="17"/>
        </w:rPr>
        <w:t>taking into consi</w:t>
      </w:r>
      <w:r w:rsidR="00F23497" w:rsidRPr="002243E9">
        <w:rPr>
          <w:sz w:val="17"/>
          <w:szCs w:val="17"/>
        </w:rPr>
        <w:t>d</w:t>
      </w:r>
      <w:r w:rsidR="00E31792" w:rsidRPr="002243E9">
        <w:rPr>
          <w:sz w:val="17"/>
          <w:szCs w:val="17"/>
        </w:rPr>
        <w:t>eration small and medium-sized enterprises</w:t>
      </w:r>
      <w:r w:rsidRPr="002243E9">
        <w:rPr>
          <w:sz w:val="17"/>
          <w:szCs w:val="17"/>
        </w:rPr>
        <w:t xml:space="preserve">) </w:t>
      </w:r>
      <w:r w:rsidR="00855878" w:rsidRPr="002243E9">
        <w:rPr>
          <w:sz w:val="17"/>
          <w:szCs w:val="17"/>
        </w:rPr>
        <w:t xml:space="preserve">with </w:t>
      </w:r>
      <w:r w:rsidRPr="002243E9">
        <w:rPr>
          <w:sz w:val="17"/>
          <w:szCs w:val="17"/>
        </w:rPr>
        <w:t xml:space="preserve">resource allocation </w:t>
      </w:r>
      <w:r w:rsidR="00F23497" w:rsidRPr="002243E9">
        <w:rPr>
          <w:sz w:val="17"/>
          <w:szCs w:val="17"/>
        </w:rPr>
        <w:t xml:space="preserve">schedule </w:t>
      </w:r>
      <w:r w:rsidRPr="002243E9">
        <w:rPr>
          <w:sz w:val="17"/>
          <w:szCs w:val="17"/>
        </w:rPr>
        <w:t>B (gradual funding approach)</w:t>
      </w:r>
      <w:r w:rsidR="00817B33" w:rsidRPr="002243E9">
        <w:rPr>
          <w:sz w:val="17"/>
          <w:szCs w:val="17"/>
        </w:rPr>
        <w:t>.</w:t>
      </w:r>
    </w:p>
    <w:p w14:paraId="020F78A1" w14:textId="784BC87F" w:rsidR="00C8099A" w:rsidRPr="002243E9" w:rsidRDefault="00E62558" w:rsidP="00CF5131">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40"/>
        <w:ind w:left="1247"/>
        <w:rPr>
          <w:sz w:val="17"/>
          <w:szCs w:val="17"/>
        </w:rPr>
      </w:pPr>
      <w:r w:rsidRPr="002243E9">
        <w:rPr>
          <w:sz w:val="17"/>
          <w:szCs w:val="17"/>
          <w:vertAlign w:val="superscript"/>
        </w:rPr>
        <w:tab/>
        <w:t>b</w:t>
      </w:r>
      <w:r w:rsidRPr="002243E9">
        <w:rPr>
          <w:sz w:val="17"/>
          <w:szCs w:val="17"/>
        </w:rPr>
        <w:t xml:space="preserve"> </w:t>
      </w:r>
      <w:r w:rsidR="00BE078E" w:rsidRPr="002243E9">
        <w:rPr>
          <w:sz w:val="17"/>
          <w:szCs w:val="17"/>
        </w:rPr>
        <w:t xml:space="preserve">The high-end range is calculated </w:t>
      </w:r>
      <w:r w:rsidR="00235F28" w:rsidRPr="002243E9">
        <w:rPr>
          <w:sz w:val="17"/>
          <w:szCs w:val="17"/>
        </w:rPr>
        <w:t>on</w:t>
      </w:r>
      <w:r w:rsidR="006C42C1" w:rsidRPr="002243E9">
        <w:rPr>
          <w:sz w:val="17"/>
          <w:szCs w:val="17"/>
        </w:rPr>
        <w:t xml:space="preserve"> the </w:t>
      </w:r>
      <w:r w:rsidR="004E3B8F" w:rsidRPr="002243E9">
        <w:rPr>
          <w:sz w:val="17"/>
          <w:szCs w:val="17"/>
        </w:rPr>
        <w:t>basis</w:t>
      </w:r>
      <w:r w:rsidR="006C42C1" w:rsidRPr="002243E9">
        <w:rPr>
          <w:sz w:val="17"/>
          <w:szCs w:val="17"/>
        </w:rPr>
        <w:t xml:space="preserve"> of</w:t>
      </w:r>
      <w:r w:rsidR="007836F4" w:rsidRPr="002243E9">
        <w:rPr>
          <w:sz w:val="17"/>
          <w:szCs w:val="17"/>
        </w:rPr>
        <w:t xml:space="preserve"> the following scenarios</w:t>
      </w:r>
      <w:r w:rsidR="00C8099A" w:rsidRPr="002243E9">
        <w:rPr>
          <w:sz w:val="17"/>
          <w:szCs w:val="17"/>
        </w:rPr>
        <w:t>:</w:t>
      </w:r>
    </w:p>
    <w:p w14:paraId="5755D907" w14:textId="16990873" w:rsidR="007A3666" w:rsidRPr="002243E9" w:rsidRDefault="00E62558" w:rsidP="00CF5131">
      <w:pPr>
        <w:pStyle w:val="Normal-pool"/>
        <w:numPr>
          <w:ilvl w:val="0"/>
          <w:numId w:val="107"/>
        </w:numPr>
        <w:tabs>
          <w:tab w:val="clear" w:pos="1247"/>
          <w:tab w:val="clear" w:pos="1871"/>
          <w:tab w:val="clear" w:pos="2495"/>
          <w:tab w:val="clear" w:pos="3119"/>
          <w:tab w:val="clear" w:pos="3742"/>
          <w:tab w:val="clear" w:pos="4366"/>
          <w:tab w:val="clear" w:pos="4990"/>
        </w:tabs>
        <w:spacing w:before="40"/>
        <w:ind w:left="1871" w:firstLine="624"/>
        <w:rPr>
          <w:sz w:val="17"/>
          <w:szCs w:val="17"/>
        </w:rPr>
      </w:pPr>
      <w:r w:rsidRPr="002243E9">
        <w:rPr>
          <w:sz w:val="17"/>
          <w:szCs w:val="17"/>
        </w:rPr>
        <w:t xml:space="preserve">HCFC </w:t>
      </w:r>
      <w:r w:rsidR="005504FB" w:rsidRPr="002243E9">
        <w:rPr>
          <w:sz w:val="17"/>
          <w:szCs w:val="17"/>
        </w:rPr>
        <w:t>s</w:t>
      </w:r>
      <w:r w:rsidRPr="002243E9">
        <w:rPr>
          <w:sz w:val="17"/>
          <w:szCs w:val="17"/>
        </w:rPr>
        <w:t>cenario 2</w:t>
      </w:r>
      <w:r w:rsidR="006C42C1" w:rsidRPr="002243E9">
        <w:rPr>
          <w:sz w:val="17"/>
          <w:szCs w:val="17"/>
        </w:rPr>
        <w:t xml:space="preserve"> (</w:t>
      </w:r>
      <w:r w:rsidR="000074E0" w:rsidRPr="002243E9">
        <w:rPr>
          <w:sz w:val="17"/>
          <w:szCs w:val="17"/>
        </w:rPr>
        <w:t>cost-effectiveness thresholds</w:t>
      </w:r>
      <w:r w:rsidR="005173B7" w:rsidRPr="002243E9">
        <w:rPr>
          <w:sz w:val="17"/>
          <w:szCs w:val="17"/>
        </w:rPr>
        <w:t xml:space="preserve"> applied</w:t>
      </w:r>
      <w:r w:rsidRPr="002243E9">
        <w:rPr>
          <w:sz w:val="17"/>
          <w:szCs w:val="17"/>
        </w:rPr>
        <w:t xml:space="preserve"> </w:t>
      </w:r>
      <w:r w:rsidR="00B601BE" w:rsidRPr="002243E9">
        <w:rPr>
          <w:sz w:val="17"/>
          <w:szCs w:val="17"/>
        </w:rPr>
        <w:t>in accordance with</w:t>
      </w:r>
      <w:r w:rsidRPr="002243E9">
        <w:rPr>
          <w:sz w:val="17"/>
          <w:szCs w:val="17"/>
        </w:rPr>
        <w:t xml:space="preserve"> cost guidelines in manufacturing</w:t>
      </w:r>
      <w:r w:rsidR="00493485" w:rsidRPr="002243E9">
        <w:rPr>
          <w:sz w:val="17"/>
          <w:szCs w:val="17"/>
        </w:rPr>
        <w:t xml:space="preserve"> sectors</w:t>
      </w:r>
      <w:r w:rsidR="000F1A45" w:rsidRPr="002243E9">
        <w:rPr>
          <w:sz w:val="17"/>
          <w:szCs w:val="17"/>
        </w:rPr>
        <w:t>) with</w:t>
      </w:r>
      <w:r w:rsidR="00DC6BA4" w:rsidRPr="002243E9">
        <w:rPr>
          <w:sz w:val="17"/>
          <w:szCs w:val="17"/>
        </w:rPr>
        <w:t xml:space="preserve"> 90 per cent of </w:t>
      </w:r>
      <w:r w:rsidR="000F1A45" w:rsidRPr="002243E9">
        <w:rPr>
          <w:sz w:val="17"/>
          <w:szCs w:val="17"/>
        </w:rPr>
        <w:t>funding</w:t>
      </w:r>
      <w:r w:rsidR="00DC6BA4" w:rsidRPr="002243E9">
        <w:rPr>
          <w:sz w:val="17"/>
          <w:szCs w:val="17"/>
        </w:rPr>
        <w:t xml:space="preserve"> allocated during the triennium 2027–2029 and 10 per cent during the triennium 20</w:t>
      </w:r>
      <w:r w:rsidR="001A073E" w:rsidRPr="002243E9">
        <w:rPr>
          <w:sz w:val="17"/>
          <w:szCs w:val="17"/>
        </w:rPr>
        <w:t>30</w:t>
      </w:r>
      <w:r w:rsidR="00DC6BA4" w:rsidRPr="002243E9">
        <w:rPr>
          <w:sz w:val="17"/>
          <w:szCs w:val="17"/>
        </w:rPr>
        <w:t>–20</w:t>
      </w:r>
      <w:r w:rsidR="001A073E" w:rsidRPr="002243E9">
        <w:rPr>
          <w:sz w:val="17"/>
          <w:szCs w:val="17"/>
        </w:rPr>
        <w:t>32</w:t>
      </w:r>
      <w:r w:rsidR="00AD5280" w:rsidRPr="002243E9">
        <w:rPr>
          <w:sz w:val="17"/>
          <w:szCs w:val="17"/>
        </w:rPr>
        <w:t>;</w:t>
      </w:r>
    </w:p>
    <w:p w14:paraId="25468D33" w14:textId="3765552A" w:rsidR="00E62558" w:rsidRDefault="00E62558" w:rsidP="00CF5131">
      <w:pPr>
        <w:pStyle w:val="Normal-pool"/>
        <w:numPr>
          <w:ilvl w:val="0"/>
          <w:numId w:val="107"/>
        </w:numPr>
        <w:tabs>
          <w:tab w:val="clear" w:pos="1247"/>
          <w:tab w:val="clear" w:pos="1871"/>
          <w:tab w:val="clear" w:pos="2495"/>
          <w:tab w:val="clear" w:pos="3119"/>
          <w:tab w:val="clear" w:pos="3742"/>
          <w:tab w:val="clear" w:pos="4366"/>
          <w:tab w:val="clear" w:pos="4990"/>
        </w:tabs>
        <w:spacing w:before="40" w:after="160"/>
        <w:ind w:left="1871" w:firstLine="624"/>
        <w:rPr>
          <w:sz w:val="17"/>
          <w:szCs w:val="17"/>
        </w:rPr>
      </w:pPr>
      <w:r w:rsidRPr="002243E9">
        <w:rPr>
          <w:rFonts w:eastAsia="SimSun"/>
          <w:iCs/>
          <w:sz w:val="17"/>
          <w:szCs w:val="17"/>
        </w:rPr>
        <w:t>HFC</w:t>
      </w:r>
      <w:r w:rsidRPr="002243E9">
        <w:rPr>
          <w:sz w:val="17"/>
          <w:szCs w:val="17"/>
        </w:rPr>
        <w:t xml:space="preserve"> scenario</w:t>
      </w:r>
      <w:r w:rsidRPr="003B1ABA">
        <w:rPr>
          <w:sz w:val="17"/>
          <w:szCs w:val="17"/>
        </w:rPr>
        <w:t xml:space="preserve"> 2 (</w:t>
      </w:r>
      <w:r w:rsidR="006C42C1" w:rsidRPr="003B1ABA">
        <w:rPr>
          <w:sz w:val="17"/>
          <w:szCs w:val="17"/>
        </w:rPr>
        <w:t>c</w:t>
      </w:r>
      <w:r w:rsidRPr="003B1ABA">
        <w:rPr>
          <w:sz w:val="17"/>
          <w:szCs w:val="17"/>
        </w:rPr>
        <w:t>ost guideline</w:t>
      </w:r>
      <w:r w:rsidR="006C42C1" w:rsidRPr="003B1ABA">
        <w:rPr>
          <w:sz w:val="17"/>
          <w:szCs w:val="17"/>
        </w:rPr>
        <w:t>s</w:t>
      </w:r>
      <w:r w:rsidRPr="003B1ABA">
        <w:rPr>
          <w:sz w:val="17"/>
          <w:szCs w:val="17"/>
        </w:rPr>
        <w:t xml:space="preserve"> or expert-derived </w:t>
      </w:r>
      <w:r w:rsidR="00A70BAD" w:rsidRPr="003B1ABA">
        <w:rPr>
          <w:sz w:val="17"/>
          <w:szCs w:val="17"/>
        </w:rPr>
        <w:t>cost-effectiveness thresholds taking</w:t>
      </w:r>
      <w:r w:rsidRPr="003B1ABA">
        <w:rPr>
          <w:sz w:val="17"/>
          <w:szCs w:val="17"/>
        </w:rPr>
        <w:t xml:space="preserve"> </w:t>
      </w:r>
      <w:r w:rsidR="00A70BAD" w:rsidRPr="003B1ABA">
        <w:rPr>
          <w:sz w:val="17"/>
          <w:szCs w:val="17"/>
        </w:rPr>
        <w:t>into</w:t>
      </w:r>
      <w:r w:rsidR="00A70BAD">
        <w:rPr>
          <w:sz w:val="17"/>
          <w:szCs w:val="17"/>
        </w:rPr>
        <w:t xml:space="preserve"> consideration s</w:t>
      </w:r>
      <w:r w:rsidR="00A70BAD" w:rsidRPr="00D12A53">
        <w:rPr>
          <w:sz w:val="17"/>
          <w:szCs w:val="17"/>
        </w:rPr>
        <w:t>mall and medium-sized enterprise</w:t>
      </w:r>
      <w:r w:rsidR="00A70BAD">
        <w:rPr>
          <w:sz w:val="17"/>
          <w:szCs w:val="17"/>
        </w:rPr>
        <w:t>s</w:t>
      </w:r>
      <w:r w:rsidRPr="00D12A53">
        <w:rPr>
          <w:sz w:val="17"/>
          <w:szCs w:val="17"/>
        </w:rPr>
        <w:t>)</w:t>
      </w:r>
      <w:r w:rsidR="00A70BAD">
        <w:rPr>
          <w:sz w:val="17"/>
          <w:szCs w:val="17"/>
        </w:rPr>
        <w:t xml:space="preserve"> </w:t>
      </w:r>
      <w:r w:rsidR="00977C49">
        <w:rPr>
          <w:sz w:val="17"/>
          <w:szCs w:val="17"/>
        </w:rPr>
        <w:t>with</w:t>
      </w:r>
      <w:r w:rsidRPr="00D12A53">
        <w:rPr>
          <w:sz w:val="17"/>
          <w:szCs w:val="17"/>
        </w:rPr>
        <w:t xml:space="preserve"> resource allocation </w:t>
      </w:r>
      <w:r w:rsidR="002744C9">
        <w:rPr>
          <w:sz w:val="17"/>
          <w:szCs w:val="17"/>
        </w:rPr>
        <w:t xml:space="preserve">schedule </w:t>
      </w:r>
      <w:r w:rsidRPr="00D12A53">
        <w:rPr>
          <w:sz w:val="17"/>
          <w:szCs w:val="17"/>
        </w:rPr>
        <w:t>A (front-loaded funding approach).</w:t>
      </w:r>
    </w:p>
    <w:p w14:paraId="043DE232" w14:textId="77777777" w:rsidR="00E62558" w:rsidRPr="00EE5312" w:rsidRDefault="00E62558" w:rsidP="002243E9">
      <w:pPr>
        <w:pStyle w:val="Normalnumber"/>
        <w:tabs>
          <w:tab w:val="clear" w:pos="1247"/>
          <w:tab w:val="clear" w:pos="1814"/>
          <w:tab w:val="clear" w:pos="2381"/>
          <w:tab w:val="clear" w:pos="2948"/>
          <w:tab w:val="clear" w:pos="3515"/>
        </w:tabs>
        <w:spacing w:after="160"/>
        <w:ind w:left="1247"/>
      </w:pPr>
      <w:r w:rsidRPr="00EE5312">
        <w:t xml:space="preserve">In accordance with its terms of reference, the task force </w:t>
      </w:r>
      <w:r w:rsidRPr="003B1ABA">
        <w:t>also provides indicative funding requirement ranges for the subsequent two trienniums, 2030–2032 a</w:t>
      </w:r>
      <w:r w:rsidRPr="00EE5312">
        <w:t xml:space="preserve">nd 2033–2035, as is shown in table 2. </w:t>
      </w:r>
    </w:p>
    <w:p w14:paraId="551B3D41" w14:textId="7AAC985D" w:rsidR="00E62558" w:rsidRPr="00835733" w:rsidRDefault="00E62558" w:rsidP="00E62558">
      <w:pPr>
        <w:pStyle w:val="Titletable"/>
        <w:spacing w:before="240"/>
      </w:pPr>
      <w:r w:rsidRPr="00835733">
        <w:rPr>
          <w:b w:val="0"/>
        </w:rPr>
        <w:t xml:space="preserve">Table 2 </w:t>
      </w:r>
      <w:r w:rsidRPr="00835733">
        <w:rPr>
          <w:b w:val="0"/>
        </w:rPr>
        <w:br/>
      </w:r>
      <w:r w:rsidRPr="00835733">
        <w:t>Indicative total funding requirement</w:t>
      </w:r>
      <w:r w:rsidR="003669ED">
        <w:t>s</w:t>
      </w:r>
      <w:r w:rsidRPr="00835733">
        <w:t xml:space="preserve"> for the replenishment of the Multilateral Fund for the trienniums 2030–</w:t>
      </w:r>
      <w:r w:rsidRPr="009602D4">
        <w:t>2032 and 2033</w:t>
      </w:r>
      <w:r w:rsidR="009F6CC1" w:rsidRPr="009602D4">
        <w:t>–</w:t>
      </w:r>
      <w:r w:rsidRPr="009602D4">
        <w:t>2035</w:t>
      </w:r>
      <w:r w:rsidR="00230354" w:rsidRPr="009602D4">
        <w:t>, low-end range and high-end range</w:t>
      </w:r>
    </w:p>
    <w:p w14:paraId="1109BD15" w14:textId="4A5E2CA2" w:rsidR="00E62558" w:rsidRPr="00835733" w:rsidRDefault="00E62558" w:rsidP="00E62558">
      <w:pPr>
        <w:pStyle w:val="Titletable"/>
        <w:rPr>
          <w:b w:val="0"/>
          <w:sz w:val="18"/>
        </w:rPr>
      </w:pPr>
      <w:r w:rsidRPr="00835733">
        <w:rPr>
          <w:b w:val="0"/>
          <w:sz w:val="18"/>
        </w:rPr>
        <w:t>(</w:t>
      </w:r>
      <w:r w:rsidR="00267A5C">
        <w:rPr>
          <w:b w:val="0"/>
          <w:sz w:val="18"/>
        </w:rPr>
        <w:t>M</w:t>
      </w:r>
      <w:r w:rsidRPr="00835733">
        <w:rPr>
          <w:b w:val="0"/>
          <w:sz w:val="18"/>
        </w:rPr>
        <w:t>illion</w:t>
      </w:r>
      <w:r w:rsidR="00182D06">
        <w:rPr>
          <w:b w:val="0"/>
          <w:sz w:val="18"/>
        </w:rPr>
        <w:t>s of</w:t>
      </w:r>
      <w:r w:rsidRPr="00835733">
        <w:rPr>
          <w:b w:val="0"/>
          <w:sz w:val="18"/>
        </w:rPr>
        <w:t xml:space="preserve"> United States dollars)</w:t>
      </w:r>
    </w:p>
    <w:tbl>
      <w:tblPr>
        <w:tblW w:w="8264" w:type="dxa"/>
        <w:tblInd w:w="1250" w:type="dxa"/>
        <w:tblLook w:val="04A0" w:firstRow="1" w:lastRow="0" w:firstColumn="1" w:lastColumn="0" w:noHBand="0" w:noVBand="1"/>
      </w:tblPr>
      <w:tblGrid>
        <w:gridCol w:w="4654"/>
        <w:gridCol w:w="1805"/>
        <w:gridCol w:w="1805"/>
      </w:tblGrid>
      <w:tr w:rsidR="006A5A6F" w:rsidRPr="00FC781B" w14:paraId="04E3580C" w14:textId="77777777" w:rsidTr="00BE1B16">
        <w:trPr>
          <w:trHeight w:val="65"/>
        </w:trPr>
        <w:tc>
          <w:tcPr>
            <w:tcW w:w="2816" w:type="pct"/>
            <w:tcBorders>
              <w:top w:val="single" w:sz="4" w:space="0" w:color="auto"/>
              <w:bottom w:val="single" w:sz="12" w:space="0" w:color="auto"/>
            </w:tcBorders>
            <w:noWrap/>
            <w:vAlign w:val="bottom"/>
          </w:tcPr>
          <w:p w14:paraId="4D281249" w14:textId="7A5282E1" w:rsidR="006A5A6F" w:rsidRPr="00EE5312" w:rsidRDefault="006A5A6F" w:rsidP="00A92EBB">
            <w:pPr>
              <w:pStyle w:val="Normal-pool-Table"/>
              <w:spacing w:before="20" w:after="20"/>
              <w:rPr>
                <w:b/>
                <w:bCs/>
              </w:rPr>
            </w:pPr>
            <w:r w:rsidRPr="00FC781B">
              <w:rPr>
                <w:i/>
                <w:iCs/>
                <w:lang w:eastAsia="zh-CN"/>
              </w:rPr>
              <w:t>Triennium</w:t>
            </w:r>
          </w:p>
        </w:tc>
        <w:tc>
          <w:tcPr>
            <w:tcW w:w="1092" w:type="pct"/>
            <w:tcBorders>
              <w:top w:val="single" w:sz="4" w:space="0" w:color="auto"/>
              <w:bottom w:val="single" w:sz="12" w:space="0" w:color="auto"/>
            </w:tcBorders>
            <w:noWrap/>
            <w:vAlign w:val="bottom"/>
          </w:tcPr>
          <w:p w14:paraId="15524CDE" w14:textId="00C52C43" w:rsidR="006A5A6F" w:rsidRPr="00BE1B16" w:rsidRDefault="006A5A6F" w:rsidP="00A92EBB">
            <w:pPr>
              <w:pStyle w:val="Normal-pool-Table"/>
              <w:spacing w:before="20" w:after="20"/>
              <w:jc w:val="right"/>
              <w:rPr>
                <w:b/>
              </w:rPr>
            </w:pPr>
            <w:r w:rsidRPr="00BE1B16">
              <w:rPr>
                <w:i/>
              </w:rPr>
              <w:t>Low-end range</w:t>
            </w:r>
            <w:r w:rsidRPr="00BE1B16">
              <w:rPr>
                <w:i/>
                <w:vertAlign w:val="superscript"/>
              </w:rPr>
              <w:t>a</w:t>
            </w:r>
          </w:p>
        </w:tc>
        <w:tc>
          <w:tcPr>
            <w:tcW w:w="1092" w:type="pct"/>
            <w:tcBorders>
              <w:top w:val="single" w:sz="4" w:space="0" w:color="auto"/>
              <w:bottom w:val="single" w:sz="12" w:space="0" w:color="auto"/>
            </w:tcBorders>
            <w:noWrap/>
            <w:vAlign w:val="bottom"/>
          </w:tcPr>
          <w:p w14:paraId="115BAC08" w14:textId="291E408D" w:rsidR="006A5A6F" w:rsidRPr="00BE1B16" w:rsidRDefault="00BE1B16" w:rsidP="00A92EBB">
            <w:pPr>
              <w:pStyle w:val="Normal-pool-Table"/>
              <w:spacing w:before="20" w:after="20"/>
              <w:jc w:val="right"/>
              <w:rPr>
                <w:b/>
              </w:rPr>
            </w:pPr>
            <w:r w:rsidRPr="00BE1B16">
              <w:rPr>
                <w:i/>
              </w:rPr>
              <w:t>High-end range</w:t>
            </w:r>
            <w:r w:rsidRPr="00BE1B16">
              <w:rPr>
                <w:i/>
                <w:vertAlign w:val="superscript"/>
              </w:rPr>
              <w:t>b</w:t>
            </w:r>
          </w:p>
        </w:tc>
      </w:tr>
      <w:tr w:rsidR="00E62558" w:rsidRPr="00FC781B" w14:paraId="5E623D40" w14:textId="77777777" w:rsidTr="002243E9">
        <w:trPr>
          <w:trHeight w:val="65"/>
        </w:trPr>
        <w:tc>
          <w:tcPr>
            <w:tcW w:w="2816" w:type="pct"/>
            <w:tcBorders>
              <w:top w:val="single" w:sz="12" w:space="0" w:color="auto"/>
            </w:tcBorders>
            <w:noWrap/>
            <w:hideMark/>
          </w:tcPr>
          <w:p w14:paraId="73F33DCB" w14:textId="77777777" w:rsidR="00E62558" w:rsidRPr="00EE5312" w:rsidRDefault="00E62558" w:rsidP="00A92EBB">
            <w:pPr>
              <w:pStyle w:val="Normal-pool-Table"/>
              <w:spacing w:before="20" w:after="20"/>
              <w:rPr>
                <w:b/>
                <w:bCs/>
              </w:rPr>
            </w:pPr>
            <w:r w:rsidRPr="00EE5312">
              <w:rPr>
                <w:b/>
                <w:bCs/>
              </w:rPr>
              <w:t>2030–2032</w:t>
            </w:r>
          </w:p>
        </w:tc>
        <w:tc>
          <w:tcPr>
            <w:tcW w:w="1092" w:type="pct"/>
            <w:tcBorders>
              <w:top w:val="single" w:sz="12" w:space="0" w:color="auto"/>
            </w:tcBorders>
            <w:noWrap/>
          </w:tcPr>
          <w:p w14:paraId="55968D9B" w14:textId="563FD1CB" w:rsidR="00E62558" w:rsidRPr="00BE1B16" w:rsidRDefault="00E62558" w:rsidP="00A92EBB">
            <w:pPr>
              <w:pStyle w:val="Normal-pool-Table"/>
              <w:spacing w:before="20" w:after="20"/>
              <w:jc w:val="right"/>
              <w:rPr>
                <w:b/>
              </w:rPr>
            </w:pPr>
          </w:p>
        </w:tc>
        <w:tc>
          <w:tcPr>
            <w:tcW w:w="1092" w:type="pct"/>
            <w:tcBorders>
              <w:top w:val="single" w:sz="12" w:space="0" w:color="auto"/>
            </w:tcBorders>
            <w:noWrap/>
          </w:tcPr>
          <w:p w14:paraId="0BC34CB4" w14:textId="6083B6ED" w:rsidR="00E62558" w:rsidRPr="00BE1B16" w:rsidRDefault="00E62558" w:rsidP="00A92EBB">
            <w:pPr>
              <w:pStyle w:val="Normal-pool-Table"/>
              <w:spacing w:before="20" w:after="20"/>
              <w:jc w:val="right"/>
              <w:rPr>
                <w:b/>
              </w:rPr>
            </w:pPr>
          </w:p>
        </w:tc>
      </w:tr>
      <w:tr w:rsidR="00E62558" w:rsidRPr="00FC781B" w14:paraId="11467791" w14:textId="77777777" w:rsidTr="002243E9">
        <w:trPr>
          <w:trHeight w:val="65"/>
        </w:trPr>
        <w:tc>
          <w:tcPr>
            <w:tcW w:w="2816" w:type="pct"/>
            <w:noWrap/>
          </w:tcPr>
          <w:p w14:paraId="79D4B25D" w14:textId="78BA3376" w:rsidR="00E62558" w:rsidRPr="00FC781B" w:rsidRDefault="00E62558" w:rsidP="00A92EBB">
            <w:pPr>
              <w:pStyle w:val="Normal-pool-Table"/>
              <w:spacing w:before="20" w:after="20"/>
              <w:ind w:left="113"/>
            </w:pPr>
            <w:r w:rsidRPr="00FC781B">
              <w:t>HCFC activities</w:t>
            </w:r>
          </w:p>
        </w:tc>
        <w:tc>
          <w:tcPr>
            <w:tcW w:w="1092" w:type="pct"/>
            <w:noWrap/>
            <w:vAlign w:val="center"/>
          </w:tcPr>
          <w:p w14:paraId="6FCB8C20" w14:textId="1A551C99" w:rsidR="00E62558" w:rsidRPr="00BE1B16" w:rsidRDefault="0000235D" w:rsidP="00A92EBB">
            <w:pPr>
              <w:pStyle w:val="Normal-pool-Table"/>
              <w:spacing w:before="20" w:after="20"/>
              <w:jc w:val="right"/>
              <w:rPr>
                <w:bCs/>
              </w:rPr>
            </w:pPr>
            <w:r w:rsidRPr="00BE1B16">
              <w:rPr>
                <w:bCs/>
              </w:rPr>
              <w:t>83</w:t>
            </w:r>
          </w:p>
        </w:tc>
        <w:tc>
          <w:tcPr>
            <w:tcW w:w="1092" w:type="pct"/>
            <w:noWrap/>
            <w:vAlign w:val="center"/>
          </w:tcPr>
          <w:p w14:paraId="6ECB88A8" w14:textId="4E36CE42" w:rsidR="00E62558" w:rsidRPr="00BE1B16" w:rsidRDefault="0000235D" w:rsidP="00A92EBB">
            <w:pPr>
              <w:pStyle w:val="Normal-pool-Table"/>
              <w:spacing w:before="20" w:after="20"/>
              <w:ind w:left="9"/>
              <w:jc w:val="right"/>
              <w:rPr>
                <w:bCs/>
              </w:rPr>
            </w:pPr>
            <w:r w:rsidRPr="00BE1B16">
              <w:rPr>
                <w:bCs/>
              </w:rPr>
              <w:t>96</w:t>
            </w:r>
          </w:p>
        </w:tc>
      </w:tr>
      <w:tr w:rsidR="00E62558" w:rsidRPr="00FC781B" w14:paraId="48FE72D6" w14:textId="77777777" w:rsidTr="002243E9">
        <w:trPr>
          <w:trHeight w:val="65"/>
        </w:trPr>
        <w:tc>
          <w:tcPr>
            <w:tcW w:w="2816" w:type="pct"/>
            <w:noWrap/>
          </w:tcPr>
          <w:p w14:paraId="5765A3C1" w14:textId="61D73EE6" w:rsidR="00E62558" w:rsidRPr="00835733" w:rsidRDefault="00E62558" w:rsidP="00A92EBB">
            <w:pPr>
              <w:pStyle w:val="Normal-pool-Table"/>
              <w:spacing w:before="20" w:after="20"/>
              <w:ind w:left="113"/>
            </w:pPr>
            <w:r w:rsidRPr="00835733">
              <w:t>HFC activities</w:t>
            </w:r>
          </w:p>
        </w:tc>
        <w:tc>
          <w:tcPr>
            <w:tcW w:w="1092" w:type="pct"/>
            <w:noWrap/>
            <w:vAlign w:val="center"/>
          </w:tcPr>
          <w:p w14:paraId="71481826" w14:textId="030036DA" w:rsidR="00E62558" w:rsidRPr="00BE1B16" w:rsidRDefault="00E62558" w:rsidP="00A92EBB">
            <w:pPr>
              <w:pStyle w:val="Normal-pool-Table"/>
              <w:spacing w:before="20" w:after="20"/>
              <w:jc w:val="right"/>
              <w:rPr>
                <w:bCs/>
              </w:rPr>
            </w:pPr>
            <w:r w:rsidRPr="00BE1B16">
              <w:rPr>
                <w:bCs/>
                <w:lang w:val="en-US"/>
              </w:rPr>
              <w:t>877–908</w:t>
            </w:r>
          </w:p>
        </w:tc>
        <w:tc>
          <w:tcPr>
            <w:tcW w:w="1092" w:type="pct"/>
            <w:noWrap/>
            <w:vAlign w:val="center"/>
          </w:tcPr>
          <w:p w14:paraId="75D35F5D" w14:textId="03E04130" w:rsidR="00E62558" w:rsidRPr="00BE1B16" w:rsidRDefault="00E62558" w:rsidP="00A92EBB">
            <w:pPr>
              <w:pStyle w:val="Normal-pool-Table"/>
              <w:spacing w:before="20" w:after="20"/>
              <w:ind w:left="9"/>
              <w:jc w:val="right"/>
              <w:rPr>
                <w:bCs/>
              </w:rPr>
            </w:pPr>
            <w:r w:rsidRPr="00BE1B16">
              <w:rPr>
                <w:bCs/>
                <w:lang w:val="en-US"/>
              </w:rPr>
              <w:t>1</w:t>
            </w:r>
            <w:r w:rsidR="00F22F61" w:rsidRPr="00BE1B16">
              <w:rPr>
                <w:bCs/>
                <w:lang w:val="en-US"/>
              </w:rPr>
              <w:t xml:space="preserve"> </w:t>
            </w:r>
            <w:r w:rsidRPr="00BE1B16">
              <w:rPr>
                <w:bCs/>
                <w:lang w:val="en-US"/>
              </w:rPr>
              <w:t>050–1</w:t>
            </w:r>
            <w:r w:rsidR="00F22F61" w:rsidRPr="00BE1B16">
              <w:rPr>
                <w:bCs/>
                <w:lang w:val="en-US"/>
              </w:rPr>
              <w:t xml:space="preserve"> </w:t>
            </w:r>
            <w:r w:rsidRPr="00BE1B16">
              <w:rPr>
                <w:bCs/>
                <w:lang w:val="en-US"/>
              </w:rPr>
              <w:t>085</w:t>
            </w:r>
          </w:p>
        </w:tc>
      </w:tr>
      <w:tr w:rsidR="00E62558" w:rsidRPr="00FC781B" w14:paraId="247E9BB7" w14:textId="77777777" w:rsidTr="002243E9">
        <w:trPr>
          <w:trHeight w:val="65"/>
        </w:trPr>
        <w:tc>
          <w:tcPr>
            <w:tcW w:w="2816" w:type="pct"/>
            <w:tcBorders>
              <w:bottom w:val="single" w:sz="4" w:space="0" w:color="auto"/>
            </w:tcBorders>
            <w:noWrap/>
            <w:vAlign w:val="center"/>
          </w:tcPr>
          <w:p w14:paraId="648865EA" w14:textId="7FFE37EB" w:rsidR="00E62558" w:rsidRPr="00563C23" w:rsidRDefault="00E62558" w:rsidP="00A92EBB">
            <w:pPr>
              <w:pStyle w:val="Normal-pool-Table"/>
              <w:spacing w:before="20" w:after="20"/>
              <w:ind w:left="113"/>
              <w:rPr>
                <w:b/>
              </w:rPr>
            </w:pPr>
            <w:r w:rsidRPr="00563C23">
              <w:t xml:space="preserve">Institutional strengthening and standard activities </w:t>
            </w:r>
          </w:p>
        </w:tc>
        <w:tc>
          <w:tcPr>
            <w:tcW w:w="1092" w:type="pct"/>
            <w:tcBorders>
              <w:bottom w:val="single" w:sz="4" w:space="0" w:color="auto"/>
            </w:tcBorders>
            <w:noWrap/>
            <w:vAlign w:val="center"/>
          </w:tcPr>
          <w:p w14:paraId="5FBAAA9B" w14:textId="56B4210A" w:rsidR="00E62558" w:rsidRPr="00BE1B16" w:rsidRDefault="00E62558" w:rsidP="00A92EBB">
            <w:pPr>
              <w:pStyle w:val="Normal-pool-Table"/>
              <w:spacing w:before="20" w:after="20"/>
              <w:jc w:val="right"/>
              <w:rPr>
                <w:bCs/>
                <w:lang w:val="en-US"/>
              </w:rPr>
            </w:pPr>
            <w:r w:rsidRPr="00BE1B16">
              <w:rPr>
                <w:bCs/>
                <w:lang w:val="en-US"/>
              </w:rPr>
              <w:t>13</w:t>
            </w:r>
            <w:r w:rsidR="0000235D" w:rsidRPr="00BE1B16">
              <w:rPr>
                <w:bCs/>
                <w:lang w:val="en-US"/>
              </w:rPr>
              <w:t>7</w:t>
            </w:r>
          </w:p>
        </w:tc>
        <w:tc>
          <w:tcPr>
            <w:tcW w:w="1092" w:type="pct"/>
            <w:tcBorders>
              <w:bottom w:val="single" w:sz="4" w:space="0" w:color="auto"/>
            </w:tcBorders>
            <w:noWrap/>
            <w:vAlign w:val="center"/>
          </w:tcPr>
          <w:p w14:paraId="172FEC08" w14:textId="57646169" w:rsidR="00E62558" w:rsidRPr="00BE1B16" w:rsidRDefault="00E62558" w:rsidP="00A92EBB">
            <w:pPr>
              <w:pStyle w:val="Normal-pool-Table"/>
              <w:spacing w:before="20" w:after="20"/>
              <w:ind w:left="9"/>
              <w:jc w:val="right"/>
              <w:rPr>
                <w:bCs/>
                <w:lang w:val="en-US"/>
              </w:rPr>
            </w:pPr>
            <w:r w:rsidRPr="00BE1B16">
              <w:rPr>
                <w:bCs/>
                <w:lang w:val="en-US"/>
              </w:rPr>
              <w:t>13</w:t>
            </w:r>
            <w:r w:rsidR="0000235D" w:rsidRPr="00BE1B16">
              <w:rPr>
                <w:bCs/>
                <w:lang w:val="en-US"/>
              </w:rPr>
              <w:t>7</w:t>
            </w:r>
          </w:p>
        </w:tc>
      </w:tr>
      <w:tr w:rsidR="00E62558" w:rsidRPr="00FC781B" w14:paraId="3E616EDE" w14:textId="77777777" w:rsidTr="002243E9">
        <w:trPr>
          <w:trHeight w:val="65"/>
        </w:trPr>
        <w:tc>
          <w:tcPr>
            <w:tcW w:w="2816" w:type="pct"/>
            <w:tcBorders>
              <w:top w:val="single" w:sz="4" w:space="0" w:color="auto"/>
              <w:bottom w:val="single" w:sz="8" w:space="0" w:color="auto"/>
            </w:tcBorders>
            <w:noWrap/>
          </w:tcPr>
          <w:p w14:paraId="282886C9" w14:textId="4CE32AEA" w:rsidR="00E62558" w:rsidRPr="00835733" w:rsidRDefault="00693356" w:rsidP="00A92EBB">
            <w:pPr>
              <w:pStyle w:val="Normal-pool-Table"/>
              <w:spacing w:before="20" w:after="20"/>
            </w:pPr>
            <w:r>
              <w:rPr>
                <w:b/>
              </w:rPr>
              <w:t>T</w:t>
            </w:r>
            <w:r w:rsidR="00E62558" w:rsidRPr="00563C23">
              <w:rPr>
                <w:b/>
              </w:rPr>
              <w:t>otal</w:t>
            </w:r>
          </w:p>
        </w:tc>
        <w:tc>
          <w:tcPr>
            <w:tcW w:w="1092" w:type="pct"/>
            <w:tcBorders>
              <w:top w:val="single" w:sz="4" w:space="0" w:color="auto"/>
              <w:bottom w:val="single" w:sz="8" w:space="0" w:color="auto"/>
            </w:tcBorders>
            <w:noWrap/>
            <w:vAlign w:val="center"/>
          </w:tcPr>
          <w:p w14:paraId="35C7958D" w14:textId="4594609D" w:rsidR="00E62558" w:rsidRPr="00BE1B16" w:rsidRDefault="00E62558" w:rsidP="00A92EBB">
            <w:pPr>
              <w:pStyle w:val="Normal-pool-Table"/>
              <w:spacing w:before="20" w:after="20"/>
              <w:jc w:val="right"/>
              <w:rPr>
                <w:b/>
                <w:bCs/>
                <w:lang w:val="en-US"/>
              </w:rPr>
            </w:pPr>
            <w:r w:rsidRPr="00BE1B16">
              <w:rPr>
                <w:b/>
                <w:bCs/>
                <w:lang w:val="en-US"/>
              </w:rPr>
              <w:t>1</w:t>
            </w:r>
            <w:r w:rsidR="00F22F61" w:rsidRPr="00BE1B16">
              <w:rPr>
                <w:b/>
                <w:bCs/>
                <w:lang w:val="en-US"/>
              </w:rPr>
              <w:t xml:space="preserve"> </w:t>
            </w:r>
            <w:r w:rsidRPr="00BE1B16">
              <w:rPr>
                <w:b/>
                <w:bCs/>
                <w:lang w:val="en-US"/>
              </w:rPr>
              <w:t>0</w:t>
            </w:r>
            <w:r w:rsidR="0000235D" w:rsidRPr="00BE1B16">
              <w:rPr>
                <w:b/>
                <w:bCs/>
                <w:lang w:val="en-US"/>
              </w:rPr>
              <w:t>97</w:t>
            </w:r>
            <w:r w:rsidRPr="00BE1B16">
              <w:rPr>
                <w:b/>
                <w:bCs/>
                <w:lang w:val="en-US"/>
              </w:rPr>
              <w:t>–1</w:t>
            </w:r>
            <w:r w:rsidR="00F22F61" w:rsidRPr="00BE1B16">
              <w:rPr>
                <w:b/>
                <w:bCs/>
                <w:lang w:val="en-US"/>
              </w:rPr>
              <w:t xml:space="preserve"> </w:t>
            </w:r>
            <w:r w:rsidR="0000235D" w:rsidRPr="00BE1B16">
              <w:rPr>
                <w:b/>
                <w:bCs/>
                <w:lang w:val="en-US"/>
              </w:rPr>
              <w:t>128</w:t>
            </w:r>
          </w:p>
        </w:tc>
        <w:tc>
          <w:tcPr>
            <w:tcW w:w="1092" w:type="pct"/>
            <w:tcBorders>
              <w:top w:val="single" w:sz="4" w:space="0" w:color="auto"/>
              <w:bottom w:val="single" w:sz="8" w:space="0" w:color="auto"/>
            </w:tcBorders>
            <w:noWrap/>
            <w:vAlign w:val="center"/>
          </w:tcPr>
          <w:p w14:paraId="44C11578" w14:textId="2500605D" w:rsidR="00E62558" w:rsidRPr="00BE1B16" w:rsidRDefault="00E62558" w:rsidP="00A92EBB">
            <w:pPr>
              <w:pStyle w:val="Normal-pool-Table"/>
              <w:spacing w:before="20" w:after="20"/>
              <w:ind w:left="9"/>
              <w:jc w:val="right"/>
              <w:rPr>
                <w:b/>
                <w:bCs/>
                <w:lang w:val="en-US"/>
              </w:rPr>
            </w:pPr>
            <w:r w:rsidRPr="00BE1B16">
              <w:rPr>
                <w:b/>
                <w:bCs/>
                <w:lang w:val="en-US"/>
              </w:rPr>
              <w:t>1</w:t>
            </w:r>
            <w:r w:rsidR="00D942A3" w:rsidRPr="00BE1B16">
              <w:rPr>
                <w:b/>
                <w:bCs/>
                <w:lang w:val="en-US"/>
              </w:rPr>
              <w:t xml:space="preserve"> </w:t>
            </w:r>
            <w:r w:rsidRPr="00BE1B16">
              <w:rPr>
                <w:b/>
                <w:bCs/>
                <w:lang w:val="en-US"/>
              </w:rPr>
              <w:t>2</w:t>
            </w:r>
            <w:r w:rsidR="00B93E8B" w:rsidRPr="00BE1B16">
              <w:rPr>
                <w:b/>
                <w:bCs/>
                <w:lang w:val="en-US"/>
              </w:rPr>
              <w:t>83</w:t>
            </w:r>
            <w:r w:rsidRPr="00BE1B16">
              <w:rPr>
                <w:b/>
                <w:bCs/>
                <w:lang w:val="en-US"/>
              </w:rPr>
              <w:t>–1</w:t>
            </w:r>
            <w:r w:rsidR="00F22F61" w:rsidRPr="00BE1B16">
              <w:rPr>
                <w:b/>
                <w:bCs/>
                <w:lang w:val="en-US"/>
              </w:rPr>
              <w:t xml:space="preserve"> </w:t>
            </w:r>
            <w:r w:rsidR="00B93E8B" w:rsidRPr="00BE1B16">
              <w:rPr>
                <w:b/>
                <w:bCs/>
                <w:lang w:val="en-US"/>
              </w:rPr>
              <w:t>318</w:t>
            </w:r>
          </w:p>
        </w:tc>
      </w:tr>
      <w:tr w:rsidR="00E62558" w:rsidRPr="00FC781B" w14:paraId="1477B00E" w14:textId="77777777" w:rsidTr="002243E9">
        <w:trPr>
          <w:trHeight w:val="65"/>
        </w:trPr>
        <w:tc>
          <w:tcPr>
            <w:tcW w:w="2816" w:type="pct"/>
            <w:tcBorders>
              <w:top w:val="single" w:sz="8" w:space="0" w:color="auto"/>
            </w:tcBorders>
            <w:noWrap/>
            <w:hideMark/>
          </w:tcPr>
          <w:p w14:paraId="3AE6FF0F" w14:textId="77777777" w:rsidR="00E62558" w:rsidRPr="00EE5312" w:rsidRDefault="00E62558" w:rsidP="00A92EBB">
            <w:pPr>
              <w:pStyle w:val="Normal-pool-Table"/>
              <w:spacing w:before="20" w:after="20"/>
              <w:rPr>
                <w:b/>
                <w:bCs/>
              </w:rPr>
            </w:pPr>
            <w:r w:rsidRPr="00EE5312">
              <w:rPr>
                <w:b/>
                <w:bCs/>
              </w:rPr>
              <w:t>2033–2035</w:t>
            </w:r>
          </w:p>
        </w:tc>
        <w:tc>
          <w:tcPr>
            <w:tcW w:w="1092" w:type="pct"/>
            <w:tcBorders>
              <w:top w:val="single" w:sz="8" w:space="0" w:color="auto"/>
            </w:tcBorders>
            <w:noWrap/>
            <w:vAlign w:val="center"/>
          </w:tcPr>
          <w:p w14:paraId="4AD3B612" w14:textId="77777777" w:rsidR="00E62558" w:rsidRPr="00BE1B16" w:rsidRDefault="00E62558" w:rsidP="00A92EBB">
            <w:pPr>
              <w:pStyle w:val="Normal-pool-Table"/>
              <w:spacing w:before="20" w:after="20"/>
              <w:jc w:val="right"/>
              <w:rPr>
                <w:b/>
              </w:rPr>
            </w:pPr>
          </w:p>
        </w:tc>
        <w:tc>
          <w:tcPr>
            <w:tcW w:w="1092" w:type="pct"/>
            <w:tcBorders>
              <w:top w:val="single" w:sz="8" w:space="0" w:color="auto"/>
            </w:tcBorders>
            <w:noWrap/>
            <w:vAlign w:val="center"/>
          </w:tcPr>
          <w:p w14:paraId="36FC9F4A" w14:textId="77777777" w:rsidR="00E62558" w:rsidRPr="00BE1B16" w:rsidRDefault="00E62558" w:rsidP="00A92EBB">
            <w:pPr>
              <w:pStyle w:val="Normal-pool-Table"/>
              <w:spacing w:before="20" w:after="20"/>
              <w:jc w:val="right"/>
              <w:rPr>
                <w:b/>
              </w:rPr>
            </w:pPr>
          </w:p>
        </w:tc>
      </w:tr>
      <w:tr w:rsidR="00E62558" w:rsidRPr="00FC781B" w14:paraId="66343EA6" w14:textId="77777777" w:rsidTr="002243E9">
        <w:trPr>
          <w:trHeight w:val="65"/>
        </w:trPr>
        <w:tc>
          <w:tcPr>
            <w:tcW w:w="2816" w:type="pct"/>
            <w:noWrap/>
          </w:tcPr>
          <w:p w14:paraId="4EA9B837" w14:textId="60296495" w:rsidR="00E62558" w:rsidRPr="00835733" w:rsidRDefault="00E62558" w:rsidP="00A92EBB">
            <w:pPr>
              <w:pStyle w:val="Normal-pool-Table"/>
              <w:spacing w:before="20" w:after="20"/>
              <w:ind w:left="113"/>
            </w:pPr>
            <w:r w:rsidRPr="00835733">
              <w:t>HCFC activities</w:t>
            </w:r>
          </w:p>
        </w:tc>
        <w:tc>
          <w:tcPr>
            <w:tcW w:w="1092" w:type="pct"/>
            <w:noWrap/>
            <w:vAlign w:val="center"/>
          </w:tcPr>
          <w:p w14:paraId="600CF97C" w14:textId="23249777" w:rsidR="00E62558" w:rsidRPr="00BE1B16" w:rsidRDefault="00456D8A" w:rsidP="00A92EBB">
            <w:pPr>
              <w:pStyle w:val="Normal-pool-Table"/>
              <w:spacing w:before="20" w:after="20"/>
              <w:jc w:val="right"/>
              <w:rPr>
                <w:bCs/>
              </w:rPr>
            </w:pPr>
            <w:r w:rsidRPr="00BE1B16">
              <w:rPr>
                <w:bCs/>
              </w:rPr>
              <w:sym w:font="Symbol" w:char="F02D"/>
            </w:r>
          </w:p>
        </w:tc>
        <w:tc>
          <w:tcPr>
            <w:tcW w:w="1092" w:type="pct"/>
            <w:noWrap/>
            <w:vAlign w:val="center"/>
          </w:tcPr>
          <w:p w14:paraId="6CCBEC47" w14:textId="6B4CCBE5" w:rsidR="00E62558" w:rsidRPr="00BE1B16" w:rsidRDefault="00456D8A" w:rsidP="00A92EBB">
            <w:pPr>
              <w:pStyle w:val="Normal-pool-Table"/>
              <w:spacing w:before="20" w:after="20"/>
              <w:jc w:val="right"/>
              <w:rPr>
                <w:bCs/>
              </w:rPr>
            </w:pPr>
            <w:r w:rsidRPr="00BE1B16">
              <w:rPr>
                <w:bCs/>
              </w:rPr>
              <w:sym w:font="Symbol" w:char="F02D"/>
            </w:r>
          </w:p>
        </w:tc>
      </w:tr>
      <w:tr w:rsidR="00E62558" w:rsidRPr="00FC781B" w14:paraId="0C1E47D4" w14:textId="77777777" w:rsidTr="002243E9">
        <w:trPr>
          <w:trHeight w:val="65"/>
        </w:trPr>
        <w:tc>
          <w:tcPr>
            <w:tcW w:w="2816" w:type="pct"/>
            <w:noWrap/>
          </w:tcPr>
          <w:p w14:paraId="7D546501" w14:textId="5D6A9CB3" w:rsidR="00E62558" w:rsidRPr="00835733" w:rsidRDefault="00E62558" w:rsidP="00A92EBB">
            <w:pPr>
              <w:pStyle w:val="Normal-pool-Table"/>
              <w:spacing w:before="20" w:after="20"/>
              <w:ind w:left="113"/>
            </w:pPr>
            <w:r w:rsidRPr="00835733">
              <w:t>HFC activities</w:t>
            </w:r>
          </w:p>
        </w:tc>
        <w:tc>
          <w:tcPr>
            <w:tcW w:w="1092" w:type="pct"/>
            <w:noWrap/>
            <w:vAlign w:val="center"/>
          </w:tcPr>
          <w:p w14:paraId="29B3DD7D" w14:textId="51E58172" w:rsidR="00E62558" w:rsidRPr="00BE1B16" w:rsidRDefault="00E62558" w:rsidP="00A92EBB">
            <w:pPr>
              <w:pStyle w:val="Normal-pool-Table"/>
              <w:spacing w:before="20" w:after="20"/>
              <w:jc w:val="right"/>
              <w:rPr>
                <w:bCs/>
              </w:rPr>
            </w:pPr>
            <w:r w:rsidRPr="00BE1B16">
              <w:rPr>
                <w:bCs/>
                <w:lang w:val="en-US"/>
              </w:rPr>
              <w:t>488–503</w:t>
            </w:r>
          </w:p>
        </w:tc>
        <w:tc>
          <w:tcPr>
            <w:tcW w:w="1092" w:type="pct"/>
            <w:noWrap/>
            <w:vAlign w:val="center"/>
          </w:tcPr>
          <w:p w14:paraId="7444BD47" w14:textId="61391E4B" w:rsidR="00E62558" w:rsidRPr="00BE1B16" w:rsidRDefault="00E62558" w:rsidP="00A92EBB">
            <w:pPr>
              <w:pStyle w:val="Normal-pool-Table"/>
              <w:spacing w:before="20" w:after="20"/>
              <w:jc w:val="right"/>
              <w:rPr>
                <w:bCs/>
              </w:rPr>
            </w:pPr>
            <w:r w:rsidRPr="00BE1B16">
              <w:rPr>
                <w:bCs/>
              </w:rPr>
              <w:t>583–600</w:t>
            </w:r>
          </w:p>
        </w:tc>
      </w:tr>
      <w:tr w:rsidR="00E62558" w:rsidRPr="00FC781B" w14:paraId="7AAA6370" w14:textId="77777777" w:rsidTr="002243E9">
        <w:trPr>
          <w:trHeight w:val="65"/>
        </w:trPr>
        <w:tc>
          <w:tcPr>
            <w:tcW w:w="2816" w:type="pct"/>
            <w:tcBorders>
              <w:bottom w:val="single" w:sz="4" w:space="0" w:color="auto"/>
            </w:tcBorders>
            <w:noWrap/>
            <w:vAlign w:val="center"/>
          </w:tcPr>
          <w:p w14:paraId="00B64D63" w14:textId="6DB6D2EE" w:rsidR="00E62558" w:rsidRPr="00835733" w:rsidRDefault="00E62558" w:rsidP="00A92EBB">
            <w:pPr>
              <w:pStyle w:val="Normal-pool-Table"/>
              <w:spacing w:before="20" w:after="20"/>
              <w:ind w:left="113"/>
            </w:pPr>
            <w:r w:rsidRPr="00563C23">
              <w:t xml:space="preserve">Institutional strengthening and standard activities </w:t>
            </w:r>
          </w:p>
        </w:tc>
        <w:tc>
          <w:tcPr>
            <w:tcW w:w="1092" w:type="pct"/>
            <w:tcBorders>
              <w:bottom w:val="single" w:sz="4" w:space="0" w:color="auto"/>
            </w:tcBorders>
            <w:noWrap/>
            <w:vAlign w:val="center"/>
          </w:tcPr>
          <w:p w14:paraId="6CC3795F" w14:textId="19C6F56A" w:rsidR="00E62558" w:rsidRPr="00BE1B16" w:rsidRDefault="00E62558" w:rsidP="00A92EBB">
            <w:pPr>
              <w:pStyle w:val="Normal-pool-Table"/>
              <w:spacing w:before="20" w:after="20"/>
              <w:jc w:val="right"/>
              <w:rPr>
                <w:bCs/>
                <w:lang w:val="en-US"/>
              </w:rPr>
            </w:pPr>
            <w:r w:rsidRPr="00BE1B16">
              <w:rPr>
                <w:bCs/>
                <w:lang w:val="en-US"/>
              </w:rPr>
              <w:t>1</w:t>
            </w:r>
            <w:r w:rsidR="004C33EB" w:rsidRPr="00BE1B16">
              <w:rPr>
                <w:bCs/>
                <w:lang w:val="en-US"/>
              </w:rPr>
              <w:t>45</w:t>
            </w:r>
          </w:p>
        </w:tc>
        <w:tc>
          <w:tcPr>
            <w:tcW w:w="1092" w:type="pct"/>
            <w:tcBorders>
              <w:bottom w:val="single" w:sz="4" w:space="0" w:color="auto"/>
            </w:tcBorders>
            <w:noWrap/>
            <w:vAlign w:val="center"/>
          </w:tcPr>
          <w:p w14:paraId="22142A60" w14:textId="00C1AE37" w:rsidR="00E62558" w:rsidRPr="00BE1B16" w:rsidRDefault="00E62558" w:rsidP="00A92EBB">
            <w:pPr>
              <w:pStyle w:val="Normal-pool-Table"/>
              <w:spacing w:before="20" w:after="20"/>
              <w:jc w:val="right"/>
              <w:rPr>
                <w:bCs/>
              </w:rPr>
            </w:pPr>
            <w:r w:rsidRPr="00BE1B16">
              <w:rPr>
                <w:bCs/>
              </w:rPr>
              <w:t>1</w:t>
            </w:r>
            <w:r w:rsidR="004C33EB" w:rsidRPr="00BE1B16">
              <w:rPr>
                <w:bCs/>
              </w:rPr>
              <w:t>45</w:t>
            </w:r>
          </w:p>
        </w:tc>
      </w:tr>
      <w:tr w:rsidR="00E62558" w:rsidRPr="00FC781B" w14:paraId="28BEDC71" w14:textId="77777777" w:rsidTr="002243E9">
        <w:trPr>
          <w:trHeight w:val="65"/>
        </w:trPr>
        <w:tc>
          <w:tcPr>
            <w:tcW w:w="2816" w:type="pct"/>
            <w:tcBorders>
              <w:top w:val="single" w:sz="4" w:space="0" w:color="auto"/>
              <w:bottom w:val="single" w:sz="12" w:space="0" w:color="auto"/>
            </w:tcBorders>
            <w:noWrap/>
          </w:tcPr>
          <w:p w14:paraId="75B5B339" w14:textId="21452B21" w:rsidR="00E62558" w:rsidRPr="00835733" w:rsidRDefault="005215EB" w:rsidP="00A92EBB">
            <w:pPr>
              <w:pStyle w:val="Normal-pool-Table"/>
              <w:spacing w:before="20" w:after="20"/>
            </w:pPr>
            <w:r>
              <w:rPr>
                <w:b/>
              </w:rPr>
              <w:t>T</w:t>
            </w:r>
            <w:r w:rsidR="00E62558" w:rsidRPr="00563C23">
              <w:rPr>
                <w:b/>
              </w:rPr>
              <w:t>otal</w:t>
            </w:r>
          </w:p>
        </w:tc>
        <w:tc>
          <w:tcPr>
            <w:tcW w:w="1092" w:type="pct"/>
            <w:tcBorders>
              <w:top w:val="single" w:sz="4" w:space="0" w:color="auto"/>
              <w:bottom w:val="single" w:sz="12" w:space="0" w:color="auto"/>
            </w:tcBorders>
            <w:noWrap/>
            <w:vAlign w:val="center"/>
          </w:tcPr>
          <w:p w14:paraId="56A99581" w14:textId="21CCBF74" w:rsidR="00E62558" w:rsidRPr="00BE1B16" w:rsidRDefault="00E62558" w:rsidP="00A92EBB">
            <w:pPr>
              <w:pStyle w:val="Normal-pool-Table"/>
              <w:spacing w:before="20" w:after="20"/>
              <w:jc w:val="right"/>
              <w:rPr>
                <w:b/>
                <w:bCs/>
                <w:lang w:val="en-US"/>
              </w:rPr>
            </w:pPr>
            <w:r w:rsidRPr="00BE1B16">
              <w:rPr>
                <w:b/>
                <w:bCs/>
                <w:lang w:val="en-US"/>
              </w:rPr>
              <w:t>6</w:t>
            </w:r>
            <w:r w:rsidR="004C33EB" w:rsidRPr="00BE1B16">
              <w:rPr>
                <w:b/>
                <w:bCs/>
                <w:lang w:val="en-US"/>
              </w:rPr>
              <w:t>33</w:t>
            </w:r>
            <w:r w:rsidRPr="00BE1B16">
              <w:rPr>
                <w:b/>
                <w:bCs/>
                <w:lang w:val="en-US"/>
              </w:rPr>
              <w:t>–6</w:t>
            </w:r>
            <w:r w:rsidR="004C33EB" w:rsidRPr="00BE1B16">
              <w:rPr>
                <w:b/>
                <w:bCs/>
                <w:lang w:val="en-US"/>
              </w:rPr>
              <w:t>48</w:t>
            </w:r>
          </w:p>
        </w:tc>
        <w:tc>
          <w:tcPr>
            <w:tcW w:w="1092" w:type="pct"/>
            <w:tcBorders>
              <w:top w:val="single" w:sz="4" w:space="0" w:color="auto"/>
              <w:bottom w:val="single" w:sz="12" w:space="0" w:color="auto"/>
            </w:tcBorders>
            <w:noWrap/>
            <w:vAlign w:val="center"/>
          </w:tcPr>
          <w:p w14:paraId="42D9632F" w14:textId="316CA243" w:rsidR="00E62558" w:rsidRPr="00BE1B16" w:rsidRDefault="00E62558" w:rsidP="00A92EBB">
            <w:pPr>
              <w:pStyle w:val="Normal-pool-Table"/>
              <w:spacing w:before="20" w:after="20"/>
              <w:jc w:val="right"/>
              <w:rPr>
                <w:b/>
                <w:bCs/>
              </w:rPr>
            </w:pPr>
            <w:r w:rsidRPr="00BE1B16">
              <w:rPr>
                <w:b/>
                <w:bCs/>
              </w:rPr>
              <w:t>7</w:t>
            </w:r>
            <w:r w:rsidR="004C33EB" w:rsidRPr="00BE1B16">
              <w:rPr>
                <w:b/>
                <w:bCs/>
              </w:rPr>
              <w:t>28</w:t>
            </w:r>
            <w:r w:rsidRPr="00BE1B16">
              <w:rPr>
                <w:b/>
                <w:bCs/>
              </w:rPr>
              <w:t>–7</w:t>
            </w:r>
            <w:r w:rsidR="009046CB" w:rsidRPr="00BE1B16">
              <w:rPr>
                <w:b/>
                <w:bCs/>
              </w:rPr>
              <w:t>45</w:t>
            </w:r>
          </w:p>
        </w:tc>
      </w:tr>
    </w:tbl>
    <w:p w14:paraId="3D1B90C6" w14:textId="3C6B06A0" w:rsidR="00E62558" w:rsidRPr="00D12A53" w:rsidRDefault="00E62558" w:rsidP="00E62558">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ind w:left="1247"/>
        <w:rPr>
          <w:sz w:val="17"/>
          <w:szCs w:val="17"/>
        </w:rPr>
      </w:pPr>
      <w:bookmarkStart w:id="13" w:name="_Hlk42177853"/>
      <w:r w:rsidRPr="00D12A53">
        <w:rPr>
          <w:i/>
          <w:sz w:val="17"/>
          <w:szCs w:val="17"/>
        </w:rPr>
        <w:tab/>
        <w:t>Abbreviations</w:t>
      </w:r>
      <w:r w:rsidRPr="00D12A53">
        <w:rPr>
          <w:sz w:val="17"/>
          <w:szCs w:val="17"/>
        </w:rPr>
        <w:t xml:space="preserve">: HCFC – </w:t>
      </w:r>
      <w:r w:rsidRPr="0037597F">
        <w:rPr>
          <w:sz w:val="17"/>
          <w:szCs w:val="17"/>
        </w:rPr>
        <w:t>hydrochlorofluorocarbon; HFC – hydrofluorocarbon.</w:t>
      </w:r>
    </w:p>
    <w:p w14:paraId="137F18AB" w14:textId="77777777" w:rsidR="009D7818" w:rsidRDefault="00E62558" w:rsidP="00CF5131">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40"/>
        <w:ind w:left="1247"/>
        <w:rPr>
          <w:sz w:val="17"/>
          <w:szCs w:val="17"/>
        </w:rPr>
      </w:pPr>
      <w:r w:rsidRPr="00D12A53">
        <w:rPr>
          <w:color w:val="808080" w:themeColor="background1" w:themeShade="80"/>
          <w:sz w:val="17"/>
          <w:szCs w:val="17"/>
          <w:vertAlign w:val="superscript"/>
        </w:rPr>
        <w:tab/>
      </w:r>
      <w:r w:rsidRPr="00D12A53">
        <w:rPr>
          <w:sz w:val="17"/>
          <w:szCs w:val="17"/>
          <w:vertAlign w:val="superscript"/>
        </w:rPr>
        <w:t>a</w:t>
      </w:r>
      <w:r w:rsidRPr="00D12A53">
        <w:rPr>
          <w:sz w:val="17"/>
          <w:szCs w:val="17"/>
        </w:rPr>
        <w:t xml:space="preserve"> </w:t>
      </w:r>
      <w:r w:rsidR="0049231F">
        <w:rPr>
          <w:sz w:val="17"/>
          <w:szCs w:val="17"/>
        </w:rPr>
        <w:t xml:space="preserve">The low-end range is calculated </w:t>
      </w:r>
      <w:r w:rsidR="00235F28">
        <w:rPr>
          <w:sz w:val="17"/>
          <w:szCs w:val="17"/>
        </w:rPr>
        <w:t>on</w:t>
      </w:r>
      <w:r w:rsidR="0049231F">
        <w:rPr>
          <w:sz w:val="17"/>
          <w:szCs w:val="17"/>
        </w:rPr>
        <w:t xml:space="preserve"> the </w:t>
      </w:r>
      <w:r w:rsidR="008522DF">
        <w:rPr>
          <w:sz w:val="17"/>
          <w:szCs w:val="17"/>
        </w:rPr>
        <w:t>basis</w:t>
      </w:r>
      <w:r w:rsidR="0049231F">
        <w:rPr>
          <w:sz w:val="17"/>
          <w:szCs w:val="17"/>
        </w:rPr>
        <w:t xml:space="preserve"> </w:t>
      </w:r>
      <w:r w:rsidR="0049231F" w:rsidRPr="009748B2">
        <w:rPr>
          <w:sz w:val="17"/>
          <w:szCs w:val="17"/>
        </w:rPr>
        <w:t xml:space="preserve">of </w:t>
      </w:r>
      <w:r w:rsidR="009D7818" w:rsidRPr="009748B2">
        <w:rPr>
          <w:sz w:val="17"/>
          <w:szCs w:val="17"/>
        </w:rPr>
        <w:t>the following scenarios</w:t>
      </w:r>
      <w:r w:rsidR="009D7818">
        <w:rPr>
          <w:sz w:val="17"/>
          <w:szCs w:val="17"/>
        </w:rPr>
        <w:t>:</w:t>
      </w:r>
    </w:p>
    <w:p w14:paraId="32EBC613" w14:textId="765B081D" w:rsidR="000857B8" w:rsidRDefault="00E62558" w:rsidP="00CF5131">
      <w:pPr>
        <w:pStyle w:val="Normal-pool"/>
        <w:numPr>
          <w:ilvl w:val="0"/>
          <w:numId w:val="109"/>
        </w:numPr>
        <w:tabs>
          <w:tab w:val="clear" w:pos="1247"/>
          <w:tab w:val="clear" w:pos="1871"/>
          <w:tab w:val="clear" w:pos="2495"/>
          <w:tab w:val="clear" w:pos="3119"/>
          <w:tab w:val="clear" w:pos="3742"/>
          <w:tab w:val="clear" w:pos="4366"/>
          <w:tab w:val="clear" w:pos="4990"/>
        </w:tabs>
        <w:spacing w:before="40"/>
        <w:ind w:left="1871" w:firstLine="624"/>
        <w:rPr>
          <w:sz w:val="17"/>
          <w:szCs w:val="17"/>
        </w:rPr>
      </w:pPr>
      <w:r w:rsidRPr="00D12A53">
        <w:rPr>
          <w:sz w:val="17"/>
          <w:szCs w:val="17"/>
        </w:rPr>
        <w:t xml:space="preserve">HCFC </w:t>
      </w:r>
      <w:r w:rsidR="000C0EA1">
        <w:rPr>
          <w:sz w:val="17"/>
          <w:szCs w:val="17"/>
        </w:rPr>
        <w:t>s</w:t>
      </w:r>
      <w:r w:rsidRPr="00D12A53">
        <w:rPr>
          <w:sz w:val="17"/>
          <w:szCs w:val="17"/>
        </w:rPr>
        <w:t>cenario 1 (</w:t>
      </w:r>
      <w:r w:rsidR="007F0691" w:rsidRPr="00D12A53">
        <w:rPr>
          <w:sz w:val="17"/>
          <w:szCs w:val="17"/>
        </w:rPr>
        <w:t xml:space="preserve">historical </w:t>
      </w:r>
      <w:r w:rsidR="007F0691">
        <w:rPr>
          <w:sz w:val="17"/>
          <w:szCs w:val="17"/>
        </w:rPr>
        <w:t>cost-effectiveness thresholds</w:t>
      </w:r>
      <w:r w:rsidR="007F0691" w:rsidRPr="00D12A53">
        <w:rPr>
          <w:sz w:val="17"/>
          <w:szCs w:val="17"/>
        </w:rPr>
        <w:t xml:space="preserve"> in manufacturing </w:t>
      </w:r>
      <w:r w:rsidR="007F0691">
        <w:rPr>
          <w:sz w:val="17"/>
          <w:szCs w:val="17"/>
        </w:rPr>
        <w:t>sectors</w:t>
      </w:r>
      <w:r w:rsidR="0094284D">
        <w:rPr>
          <w:sz w:val="17"/>
          <w:szCs w:val="17"/>
        </w:rPr>
        <w:t>)</w:t>
      </w:r>
      <w:r w:rsidR="007F0691" w:rsidRPr="00D12A53">
        <w:rPr>
          <w:sz w:val="17"/>
          <w:szCs w:val="17"/>
        </w:rPr>
        <w:t xml:space="preserve"> </w:t>
      </w:r>
      <w:r w:rsidR="0094284D">
        <w:rPr>
          <w:sz w:val="17"/>
          <w:szCs w:val="17"/>
        </w:rPr>
        <w:t xml:space="preserve">with </w:t>
      </w:r>
      <w:r w:rsidR="007F0691" w:rsidRPr="00D12A53">
        <w:rPr>
          <w:sz w:val="17"/>
          <w:szCs w:val="17"/>
        </w:rPr>
        <w:t>90</w:t>
      </w:r>
      <w:r w:rsidR="007F0691">
        <w:rPr>
          <w:sz w:val="17"/>
          <w:szCs w:val="17"/>
        </w:rPr>
        <w:t xml:space="preserve"> </w:t>
      </w:r>
      <w:r w:rsidR="007F0691" w:rsidRPr="00D12A53">
        <w:rPr>
          <w:sz w:val="17"/>
          <w:szCs w:val="17"/>
        </w:rPr>
        <w:t xml:space="preserve">per cent </w:t>
      </w:r>
      <w:r w:rsidR="007F0691">
        <w:rPr>
          <w:sz w:val="17"/>
          <w:szCs w:val="17"/>
        </w:rPr>
        <w:t xml:space="preserve">of </w:t>
      </w:r>
      <w:r w:rsidR="0094284D">
        <w:rPr>
          <w:sz w:val="17"/>
          <w:szCs w:val="17"/>
        </w:rPr>
        <w:t>funding</w:t>
      </w:r>
      <w:r w:rsidR="007F0691">
        <w:rPr>
          <w:sz w:val="17"/>
          <w:szCs w:val="17"/>
        </w:rPr>
        <w:t xml:space="preserve"> </w:t>
      </w:r>
      <w:r w:rsidR="007F0691" w:rsidRPr="00D12A53">
        <w:rPr>
          <w:sz w:val="17"/>
          <w:szCs w:val="17"/>
        </w:rPr>
        <w:t>alloc</w:t>
      </w:r>
      <w:r w:rsidR="007F0691">
        <w:rPr>
          <w:sz w:val="17"/>
          <w:szCs w:val="17"/>
        </w:rPr>
        <w:t xml:space="preserve">ated during the triennium </w:t>
      </w:r>
      <w:r w:rsidR="007F0691" w:rsidRPr="00180635">
        <w:rPr>
          <w:sz w:val="17"/>
          <w:szCs w:val="17"/>
        </w:rPr>
        <w:t>2027</w:t>
      </w:r>
      <w:r w:rsidR="007F0691">
        <w:rPr>
          <w:sz w:val="17"/>
          <w:szCs w:val="17"/>
        </w:rPr>
        <w:t>–</w:t>
      </w:r>
      <w:r w:rsidR="007F0691" w:rsidRPr="00180635">
        <w:rPr>
          <w:sz w:val="17"/>
          <w:szCs w:val="17"/>
        </w:rPr>
        <w:t>2029</w:t>
      </w:r>
      <w:r w:rsidR="007F0691">
        <w:rPr>
          <w:sz w:val="17"/>
          <w:szCs w:val="17"/>
        </w:rPr>
        <w:t xml:space="preserve"> and 10 per cent during the triennium 20</w:t>
      </w:r>
      <w:r w:rsidR="001A073E">
        <w:rPr>
          <w:sz w:val="17"/>
          <w:szCs w:val="17"/>
        </w:rPr>
        <w:t>30</w:t>
      </w:r>
      <w:r w:rsidR="007F0691">
        <w:rPr>
          <w:sz w:val="17"/>
          <w:szCs w:val="17"/>
        </w:rPr>
        <w:t>–20</w:t>
      </w:r>
      <w:r w:rsidR="001A073E">
        <w:rPr>
          <w:sz w:val="17"/>
          <w:szCs w:val="17"/>
        </w:rPr>
        <w:t>32</w:t>
      </w:r>
      <w:r w:rsidR="0094284D">
        <w:rPr>
          <w:sz w:val="17"/>
          <w:szCs w:val="17"/>
        </w:rPr>
        <w:t>;</w:t>
      </w:r>
      <w:r w:rsidRPr="00D12A53">
        <w:rPr>
          <w:sz w:val="17"/>
          <w:szCs w:val="17"/>
        </w:rPr>
        <w:t xml:space="preserve"> </w:t>
      </w:r>
    </w:p>
    <w:p w14:paraId="658DDED5" w14:textId="711F9507" w:rsidR="00E62558" w:rsidRPr="00D12A53" w:rsidRDefault="00E62558" w:rsidP="00CF5131">
      <w:pPr>
        <w:pStyle w:val="Normal-pool"/>
        <w:numPr>
          <w:ilvl w:val="0"/>
          <w:numId w:val="109"/>
        </w:numPr>
        <w:tabs>
          <w:tab w:val="clear" w:pos="1247"/>
          <w:tab w:val="clear" w:pos="1871"/>
          <w:tab w:val="clear" w:pos="2495"/>
          <w:tab w:val="clear" w:pos="3119"/>
          <w:tab w:val="clear" w:pos="3742"/>
          <w:tab w:val="clear" w:pos="4366"/>
          <w:tab w:val="clear" w:pos="4990"/>
        </w:tabs>
        <w:spacing w:before="40"/>
        <w:ind w:left="1871" w:firstLine="624"/>
        <w:rPr>
          <w:sz w:val="17"/>
          <w:szCs w:val="17"/>
        </w:rPr>
      </w:pPr>
      <w:r w:rsidRPr="00D12A53">
        <w:rPr>
          <w:sz w:val="17"/>
          <w:szCs w:val="17"/>
        </w:rPr>
        <w:t>HFC scenario 1 (</w:t>
      </w:r>
      <w:r w:rsidR="008C30B4">
        <w:rPr>
          <w:sz w:val="17"/>
          <w:szCs w:val="17"/>
        </w:rPr>
        <w:t>c</w:t>
      </w:r>
      <w:r w:rsidRPr="00D12A53">
        <w:rPr>
          <w:sz w:val="17"/>
          <w:szCs w:val="17"/>
        </w:rPr>
        <w:t>ost</w:t>
      </w:r>
      <w:r>
        <w:rPr>
          <w:sz w:val="17"/>
          <w:szCs w:val="17"/>
        </w:rPr>
        <w:t> </w:t>
      </w:r>
      <w:r w:rsidRPr="00D12A53">
        <w:rPr>
          <w:sz w:val="17"/>
          <w:szCs w:val="17"/>
        </w:rPr>
        <w:t>guideline</w:t>
      </w:r>
      <w:r w:rsidR="009848C2">
        <w:rPr>
          <w:sz w:val="17"/>
          <w:szCs w:val="17"/>
        </w:rPr>
        <w:t>s</w:t>
      </w:r>
      <w:r w:rsidRPr="00D12A53">
        <w:rPr>
          <w:sz w:val="17"/>
          <w:szCs w:val="17"/>
        </w:rPr>
        <w:t xml:space="preserve"> or expert-derived </w:t>
      </w:r>
      <w:r w:rsidR="008C30B4">
        <w:rPr>
          <w:sz w:val="17"/>
          <w:szCs w:val="17"/>
        </w:rPr>
        <w:t>cost-effectiveness thresholds</w:t>
      </w:r>
      <w:r w:rsidRPr="00D12A53">
        <w:rPr>
          <w:sz w:val="17"/>
          <w:szCs w:val="17"/>
        </w:rPr>
        <w:t xml:space="preserve"> without </w:t>
      </w:r>
      <w:r w:rsidR="008C30B4">
        <w:rPr>
          <w:sz w:val="17"/>
          <w:szCs w:val="17"/>
        </w:rPr>
        <w:t xml:space="preserve">taking into </w:t>
      </w:r>
      <w:r w:rsidR="005B7493">
        <w:rPr>
          <w:sz w:val="17"/>
          <w:szCs w:val="17"/>
        </w:rPr>
        <w:t>consideration s</w:t>
      </w:r>
      <w:r w:rsidR="005B7493" w:rsidRPr="00D12A53">
        <w:rPr>
          <w:sz w:val="17"/>
          <w:szCs w:val="17"/>
        </w:rPr>
        <w:t>mall and medium-sized enterprise</w:t>
      </w:r>
      <w:r w:rsidR="005B7493">
        <w:rPr>
          <w:sz w:val="17"/>
          <w:szCs w:val="17"/>
        </w:rPr>
        <w:t>s</w:t>
      </w:r>
      <w:r w:rsidRPr="00D12A53">
        <w:rPr>
          <w:sz w:val="17"/>
          <w:szCs w:val="17"/>
        </w:rPr>
        <w:t xml:space="preserve">) </w:t>
      </w:r>
      <w:r w:rsidR="009D7818">
        <w:rPr>
          <w:sz w:val="17"/>
          <w:szCs w:val="17"/>
        </w:rPr>
        <w:t>with</w:t>
      </w:r>
      <w:r w:rsidRPr="00D12A53">
        <w:rPr>
          <w:sz w:val="17"/>
          <w:szCs w:val="17"/>
        </w:rPr>
        <w:t xml:space="preserve"> resource allocation </w:t>
      </w:r>
      <w:r w:rsidR="005B7493">
        <w:rPr>
          <w:sz w:val="17"/>
          <w:szCs w:val="17"/>
        </w:rPr>
        <w:t xml:space="preserve">schedule </w:t>
      </w:r>
      <w:r w:rsidRPr="00D12A53">
        <w:rPr>
          <w:sz w:val="17"/>
          <w:szCs w:val="17"/>
        </w:rPr>
        <w:t>B (gradual funding approach)</w:t>
      </w:r>
      <w:r w:rsidR="005B7493">
        <w:rPr>
          <w:sz w:val="17"/>
          <w:szCs w:val="17"/>
        </w:rPr>
        <w:t>.</w:t>
      </w:r>
    </w:p>
    <w:p w14:paraId="64B0A49F" w14:textId="77777777" w:rsidR="000857B8" w:rsidRDefault="00E62558" w:rsidP="00CF5131">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40" w:after="120"/>
        <w:ind w:left="1247"/>
        <w:rPr>
          <w:sz w:val="17"/>
          <w:szCs w:val="17"/>
        </w:rPr>
      </w:pPr>
      <w:r w:rsidRPr="00D12A53">
        <w:rPr>
          <w:sz w:val="17"/>
          <w:szCs w:val="17"/>
          <w:vertAlign w:val="superscript"/>
        </w:rPr>
        <w:tab/>
        <w:t>b</w:t>
      </w:r>
      <w:r w:rsidRPr="00D12A53">
        <w:rPr>
          <w:sz w:val="17"/>
          <w:szCs w:val="17"/>
        </w:rPr>
        <w:t xml:space="preserve"> </w:t>
      </w:r>
      <w:r w:rsidR="000D4175">
        <w:rPr>
          <w:sz w:val="17"/>
          <w:szCs w:val="17"/>
        </w:rPr>
        <w:t xml:space="preserve">The high-end range is calculated </w:t>
      </w:r>
      <w:r w:rsidR="00235F28">
        <w:rPr>
          <w:sz w:val="17"/>
          <w:szCs w:val="17"/>
        </w:rPr>
        <w:t>on</w:t>
      </w:r>
      <w:r w:rsidR="000D4175">
        <w:rPr>
          <w:sz w:val="17"/>
          <w:szCs w:val="17"/>
        </w:rPr>
        <w:t xml:space="preserve"> the </w:t>
      </w:r>
      <w:r w:rsidR="008522DF">
        <w:rPr>
          <w:sz w:val="17"/>
          <w:szCs w:val="17"/>
        </w:rPr>
        <w:t>basis</w:t>
      </w:r>
      <w:r w:rsidR="000D4175">
        <w:rPr>
          <w:sz w:val="17"/>
          <w:szCs w:val="17"/>
        </w:rPr>
        <w:t xml:space="preserve"> of </w:t>
      </w:r>
      <w:r w:rsidR="000857B8">
        <w:rPr>
          <w:sz w:val="17"/>
          <w:szCs w:val="17"/>
        </w:rPr>
        <w:t>the following scenarios:</w:t>
      </w:r>
    </w:p>
    <w:p w14:paraId="61A0E96F" w14:textId="08CBE3E0" w:rsidR="000857B8" w:rsidRDefault="00E62558" w:rsidP="00CF5131">
      <w:pPr>
        <w:pStyle w:val="Normal-pool"/>
        <w:numPr>
          <w:ilvl w:val="0"/>
          <w:numId w:val="110"/>
        </w:numPr>
        <w:tabs>
          <w:tab w:val="clear" w:pos="1247"/>
          <w:tab w:val="clear" w:pos="1871"/>
          <w:tab w:val="clear" w:pos="2495"/>
          <w:tab w:val="clear" w:pos="3119"/>
          <w:tab w:val="clear" w:pos="3742"/>
          <w:tab w:val="clear" w:pos="4366"/>
          <w:tab w:val="clear" w:pos="4990"/>
        </w:tabs>
        <w:spacing w:before="40" w:after="120"/>
        <w:ind w:left="1871" w:firstLine="624"/>
        <w:rPr>
          <w:sz w:val="17"/>
          <w:szCs w:val="17"/>
        </w:rPr>
      </w:pPr>
      <w:r w:rsidRPr="00D12A53">
        <w:rPr>
          <w:sz w:val="17"/>
          <w:szCs w:val="17"/>
        </w:rPr>
        <w:t xml:space="preserve">HCFC </w:t>
      </w:r>
      <w:r w:rsidR="000C0EA1">
        <w:rPr>
          <w:sz w:val="17"/>
          <w:szCs w:val="17"/>
        </w:rPr>
        <w:t>s</w:t>
      </w:r>
      <w:r w:rsidRPr="00D12A53">
        <w:rPr>
          <w:sz w:val="17"/>
          <w:szCs w:val="17"/>
        </w:rPr>
        <w:t>cenario 2 (</w:t>
      </w:r>
      <w:r w:rsidR="000D4175">
        <w:rPr>
          <w:sz w:val="17"/>
          <w:szCs w:val="17"/>
        </w:rPr>
        <w:t>cost-effectiveness thresholds</w:t>
      </w:r>
      <w:r w:rsidR="000D4175" w:rsidRPr="00D12A53">
        <w:rPr>
          <w:sz w:val="17"/>
          <w:szCs w:val="17"/>
        </w:rPr>
        <w:t xml:space="preserve"> </w:t>
      </w:r>
      <w:r w:rsidR="00F87ECA">
        <w:rPr>
          <w:sz w:val="17"/>
          <w:szCs w:val="17"/>
        </w:rPr>
        <w:t xml:space="preserve">applied </w:t>
      </w:r>
      <w:r w:rsidR="008705E6">
        <w:rPr>
          <w:sz w:val="17"/>
          <w:szCs w:val="17"/>
        </w:rPr>
        <w:t>in accordance with</w:t>
      </w:r>
      <w:r w:rsidRPr="00D12A53">
        <w:rPr>
          <w:sz w:val="17"/>
          <w:szCs w:val="17"/>
        </w:rPr>
        <w:t xml:space="preserve"> cost guidelines in manufacturing</w:t>
      </w:r>
      <w:r w:rsidR="00493485">
        <w:rPr>
          <w:sz w:val="17"/>
          <w:szCs w:val="17"/>
        </w:rPr>
        <w:t xml:space="preserve"> sectors</w:t>
      </w:r>
      <w:r w:rsidR="00AC51AE">
        <w:rPr>
          <w:sz w:val="17"/>
          <w:szCs w:val="17"/>
        </w:rPr>
        <w:t>) with</w:t>
      </w:r>
      <w:r w:rsidR="00D33D55" w:rsidRPr="00D33D55">
        <w:rPr>
          <w:sz w:val="17"/>
          <w:szCs w:val="17"/>
        </w:rPr>
        <w:t xml:space="preserve"> </w:t>
      </w:r>
      <w:r w:rsidR="00D33D55" w:rsidRPr="00D12A53">
        <w:rPr>
          <w:sz w:val="17"/>
          <w:szCs w:val="17"/>
        </w:rPr>
        <w:t>90</w:t>
      </w:r>
      <w:r w:rsidR="00D33D55">
        <w:rPr>
          <w:sz w:val="17"/>
          <w:szCs w:val="17"/>
        </w:rPr>
        <w:t xml:space="preserve"> </w:t>
      </w:r>
      <w:r w:rsidR="00D33D55" w:rsidRPr="00D12A53">
        <w:rPr>
          <w:sz w:val="17"/>
          <w:szCs w:val="17"/>
        </w:rPr>
        <w:t xml:space="preserve">per cent </w:t>
      </w:r>
      <w:r w:rsidR="00D33D55">
        <w:rPr>
          <w:sz w:val="17"/>
          <w:szCs w:val="17"/>
        </w:rPr>
        <w:t xml:space="preserve">of </w:t>
      </w:r>
      <w:r w:rsidR="0094284D">
        <w:rPr>
          <w:sz w:val="17"/>
          <w:szCs w:val="17"/>
        </w:rPr>
        <w:t>funding</w:t>
      </w:r>
      <w:r w:rsidR="00D33D55">
        <w:rPr>
          <w:sz w:val="17"/>
          <w:szCs w:val="17"/>
        </w:rPr>
        <w:t xml:space="preserve"> </w:t>
      </w:r>
      <w:r w:rsidR="00D33D55" w:rsidRPr="00D12A53">
        <w:rPr>
          <w:sz w:val="17"/>
          <w:szCs w:val="17"/>
        </w:rPr>
        <w:t>alloc</w:t>
      </w:r>
      <w:r w:rsidR="00D33D55">
        <w:rPr>
          <w:sz w:val="17"/>
          <w:szCs w:val="17"/>
        </w:rPr>
        <w:t xml:space="preserve">ated during the triennium </w:t>
      </w:r>
      <w:r w:rsidR="00D33D55" w:rsidRPr="00180635">
        <w:rPr>
          <w:sz w:val="17"/>
          <w:szCs w:val="17"/>
        </w:rPr>
        <w:t>2027</w:t>
      </w:r>
      <w:r w:rsidR="00D33D55">
        <w:rPr>
          <w:sz w:val="17"/>
          <w:szCs w:val="17"/>
        </w:rPr>
        <w:t>–</w:t>
      </w:r>
      <w:r w:rsidR="00D33D55" w:rsidRPr="00180635">
        <w:rPr>
          <w:sz w:val="17"/>
          <w:szCs w:val="17"/>
        </w:rPr>
        <w:t>2029</w:t>
      </w:r>
      <w:r w:rsidR="00D33D55">
        <w:rPr>
          <w:sz w:val="17"/>
          <w:szCs w:val="17"/>
        </w:rPr>
        <w:t xml:space="preserve"> and 10 per cent during the triennium 2030–2032</w:t>
      </w:r>
      <w:r w:rsidR="00F96E72">
        <w:rPr>
          <w:sz w:val="17"/>
          <w:szCs w:val="17"/>
        </w:rPr>
        <w:t>;</w:t>
      </w:r>
      <w:r w:rsidRPr="00D12A53">
        <w:rPr>
          <w:sz w:val="17"/>
          <w:szCs w:val="17"/>
        </w:rPr>
        <w:t xml:space="preserve"> </w:t>
      </w:r>
    </w:p>
    <w:p w14:paraId="0EAA8898" w14:textId="0D2DA0D1" w:rsidR="00E62558" w:rsidRPr="00D12A53" w:rsidRDefault="00E62558" w:rsidP="00CF5131">
      <w:pPr>
        <w:pStyle w:val="Normal-pool"/>
        <w:numPr>
          <w:ilvl w:val="0"/>
          <w:numId w:val="110"/>
        </w:numPr>
        <w:tabs>
          <w:tab w:val="clear" w:pos="1247"/>
          <w:tab w:val="clear" w:pos="1871"/>
          <w:tab w:val="clear" w:pos="2495"/>
          <w:tab w:val="clear" w:pos="3119"/>
          <w:tab w:val="clear" w:pos="3742"/>
          <w:tab w:val="clear" w:pos="4366"/>
          <w:tab w:val="clear" w:pos="4990"/>
        </w:tabs>
        <w:spacing w:before="40" w:after="120"/>
        <w:ind w:left="1871" w:firstLine="624"/>
        <w:rPr>
          <w:sz w:val="17"/>
          <w:szCs w:val="17"/>
        </w:rPr>
      </w:pPr>
      <w:r w:rsidRPr="00D12A53">
        <w:rPr>
          <w:sz w:val="17"/>
          <w:szCs w:val="17"/>
        </w:rPr>
        <w:t>HFC scenario 2 (</w:t>
      </w:r>
      <w:r w:rsidR="00493485">
        <w:rPr>
          <w:sz w:val="17"/>
          <w:szCs w:val="17"/>
        </w:rPr>
        <w:t>c</w:t>
      </w:r>
      <w:r w:rsidRPr="00D12A53">
        <w:rPr>
          <w:sz w:val="17"/>
          <w:szCs w:val="17"/>
        </w:rPr>
        <w:t>ost guideline</w:t>
      </w:r>
      <w:r w:rsidR="00E05C4B">
        <w:rPr>
          <w:sz w:val="17"/>
          <w:szCs w:val="17"/>
        </w:rPr>
        <w:t>s</w:t>
      </w:r>
      <w:r w:rsidRPr="00D12A53">
        <w:rPr>
          <w:sz w:val="17"/>
          <w:szCs w:val="17"/>
        </w:rPr>
        <w:t xml:space="preserve"> or expert-derived </w:t>
      </w:r>
      <w:r w:rsidR="00E05C4B">
        <w:rPr>
          <w:sz w:val="17"/>
          <w:szCs w:val="17"/>
        </w:rPr>
        <w:t>cost-effectiveness thresholds taking into</w:t>
      </w:r>
      <w:r w:rsidRPr="00D12A53">
        <w:rPr>
          <w:sz w:val="17"/>
          <w:szCs w:val="17"/>
        </w:rPr>
        <w:t xml:space="preserve"> consideration</w:t>
      </w:r>
      <w:r w:rsidR="00E05C4B">
        <w:rPr>
          <w:sz w:val="17"/>
          <w:szCs w:val="17"/>
        </w:rPr>
        <w:t xml:space="preserve"> small and medium-sized enterprises</w:t>
      </w:r>
      <w:r w:rsidRPr="00D12A53">
        <w:rPr>
          <w:sz w:val="17"/>
          <w:szCs w:val="17"/>
        </w:rPr>
        <w:t>)</w:t>
      </w:r>
      <w:r w:rsidR="00F96E72">
        <w:rPr>
          <w:sz w:val="17"/>
          <w:szCs w:val="17"/>
        </w:rPr>
        <w:t xml:space="preserve"> </w:t>
      </w:r>
      <w:r w:rsidR="009D7818">
        <w:rPr>
          <w:sz w:val="17"/>
          <w:szCs w:val="17"/>
        </w:rPr>
        <w:t>with</w:t>
      </w:r>
      <w:r w:rsidRPr="00D12A53">
        <w:rPr>
          <w:sz w:val="17"/>
          <w:szCs w:val="17"/>
        </w:rPr>
        <w:t xml:space="preserve"> resource allocation </w:t>
      </w:r>
      <w:r w:rsidR="00F96E72">
        <w:rPr>
          <w:sz w:val="17"/>
          <w:szCs w:val="17"/>
        </w:rPr>
        <w:t xml:space="preserve">schedule </w:t>
      </w:r>
      <w:r w:rsidRPr="00D12A53">
        <w:rPr>
          <w:sz w:val="17"/>
          <w:szCs w:val="17"/>
        </w:rPr>
        <w:t>A (front-loaded funding approach).</w:t>
      </w:r>
    </w:p>
    <w:p w14:paraId="3F46E252" w14:textId="77777777" w:rsidR="00E62558" w:rsidRPr="008E6F6F" w:rsidRDefault="00E62558" w:rsidP="00C24552">
      <w:pPr>
        <w:pStyle w:val="Normalnumber"/>
        <w:tabs>
          <w:tab w:val="clear" w:pos="1247"/>
          <w:tab w:val="clear" w:pos="1814"/>
          <w:tab w:val="clear" w:pos="2381"/>
          <w:tab w:val="clear" w:pos="2948"/>
          <w:tab w:val="clear" w:pos="3515"/>
        </w:tabs>
        <w:ind w:left="1247"/>
      </w:pPr>
      <w:r w:rsidRPr="008E6F6F">
        <w:lastRenderedPageBreak/>
        <w:t xml:space="preserve">The Open-ended Working Group may wish to consider the initial work of the task force. As is customary, parties may wish to </w:t>
      </w:r>
      <w:r>
        <w:t xml:space="preserve">discuss and agree on the </w:t>
      </w:r>
      <w:r w:rsidRPr="008E6F6F">
        <w:t xml:space="preserve">additional information to be included in a supplementary report </w:t>
      </w:r>
      <w:r>
        <w:t xml:space="preserve">that may be </w:t>
      </w:r>
      <w:r w:rsidRPr="008E6F6F">
        <w:t>prepared by the task force</w:t>
      </w:r>
      <w:r>
        <w:t xml:space="preserve"> in advance of the Thirty-Eighth Meeting of the Parties</w:t>
      </w:r>
      <w:r w:rsidRPr="008E6F6F">
        <w:t xml:space="preserve">. </w:t>
      </w:r>
    </w:p>
    <w:bookmarkEnd w:id="13"/>
    <w:p w14:paraId="1D6538FC" w14:textId="77777777" w:rsidR="00E62558" w:rsidRPr="00581216" w:rsidRDefault="00E62558" w:rsidP="00E62558">
      <w:pPr>
        <w:pStyle w:val="CH2"/>
      </w:pPr>
      <w:r>
        <w:tab/>
      </w:r>
      <w:r>
        <w:tab/>
      </w:r>
      <w:r w:rsidRPr="00581216">
        <w:t xml:space="preserve">Agenda item </w:t>
      </w:r>
      <w:r>
        <w:t>4</w:t>
      </w:r>
    </w:p>
    <w:p w14:paraId="4F47E32D" w14:textId="458B7493" w:rsidR="00E62558" w:rsidRPr="00702B4F" w:rsidRDefault="00E62558" w:rsidP="00E62558">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120" w:after="120"/>
        <w:ind w:left="1247" w:right="624" w:hanging="1247"/>
        <w:rPr>
          <w:b/>
          <w:sz w:val="24"/>
          <w:szCs w:val="24"/>
        </w:rPr>
      </w:pPr>
      <w:r w:rsidRPr="00581216">
        <w:rPr>
          <w:b/>
          <w:sz w:val="24"/>
          <w:szCs w:val="24"/>
        </w:rPr>
        <w:tab/>
      </w:r>
      <w:r w:rsidRPr="00581216">
        <w:rPr>
          <w:b/>
          <w:sz w:val="24"/>
          <w:szCs w:val="24"/>
        </w:rPr>
        <w:tab/>
      </w:r>
      <w:r w:rsidRPr="002E63B8">
        <w:rPr>
          <w:b/>
          <w:sz w:val="24"/>
          <w:szCs w:val="24"/>
        </w:rPr>
        <w:t>Presentation</w:t>
      </w:r>
      <w:r>
        <w:rPr>
          <w:b/>
          <w:sz w:val="24"/>
          <w:szCs w:val="24"/>
        </w:rPr>
        <w:t>s by</w:t>
      </w:r>
      <w:r w:rsidRPr="002E63B8">
        <w:rPr>
          <w:b/>
          <w:sz w:val="24"/>
          <w:szCs w:val="24"/>
        </w:rPr>
        <w:t xml:space="preserve"> the </w:t>
      </w:r>
      <w:r w:rsidRPr="00702B4F">
        <w:rPr>
          <w:b/>
          <w:sz w:val="24"/>
          <w:szCs w:val="24"/>
        </w:rPr>
        <w:t>Technology and Economic Assessment Panel on its 202</w:t>
      </w:r>
      <w:r>
        <w:rPr>
          <w:b/>
          <w:sz w:val="24"/>
          <w:szCs w:val="24"/>
        </w:rPr>
        <w:t>6</w:t>
      </w:r>
      <w:r w:rsidRPr="00702B4F">
        <w:rPr>
          <w:b/>
          <w:sz w:val="24"/>
          <w:szCs w:val="24"/>
        </w:rPr>
        <w:t xml:space="preserve"> progress report</w:t>
      </w:r>
    </w:p>
    <w:p w14:paraId="13E32811" w14:textId="2A7F1C1D" w:rsidR="00E62558" w:rsidRPr="00E703EF" w:rsidRDefault="00E62558" w:rsidP="00C24552">
      <w:pPr>
        <w:pStyle w:val="Normalnumber"/>
        <w:tabs>
          <w:tab w:val="clear" w:pos="1247"/>
          <w:tab w:val="clear" w:pos="1814"/>
          <w:tab w:val="clear" w:pos="2381"/>
          <w:tab w:val="clear" w:pos="2948"/>
          <w:tab w:val="clear" w:pos="3515"/>
        </w:tabs>
        <w:ind w:left="1247"/>
      </w:pPr>
      <w:r w:rsidRPr="00E40EA2">
        <w:t xml:space="preserve">Under </w:t>
      </w:r>
      <w:r w:rsidRPr="00BB42A7">
        <w:t>item 4 of the provisional agenda, the parties will consider information provided by the Technology and Economic Assessment Panel in its 2026 progress report,</w:t>
      </w:r>
      <w:r w:rsidRPr="00BB42A7">
        <w:rPr>
          <w:rStyle w:val="FootnoteReference"/>
        </w:rPr>
        <w:footnoteReference w:id="7"/>
      </w:r>
      <w:r w:rsidRPr="00BB42A7">
        <w:t xml:space="preserve"> which includes progress reports by its technical options committees</w:t>
      </w:r>
      <w:r>
        <w:t xml:space="preserve">; </w:t>
      </w:r>
      <w:r w:rsidRPr="00C419E6">
        <w:t xml:space="preserve">responses to </w:t>
      </w:r>
      <w:r w:rsidRPr="007C68CE">
        <w:t xml:space="preserve">decisions of the </w:t>
      </w:r>
      <w:r>
        <w:t>M</w:t>
      </w:r>
      <w:r w:rsidRPr="007C68CE">
        <w:t xml:space="preserve">eetings of the </w:t>
      </w:r>
      <w:r>
        <w:t>P</w:t>
      </w:r>
      <w:r w:rsidRPr="007C68CE">
        <w:t>arties</w:t>
      </w:r>
      <w:r>
        <w:t xml:space="preserve"> </w:t>
      </w:r>
      <w:r w:rsidRPr="00C419E6">
        <w:t xml:space="preserve">related to </w:t>
      </w:r>
      <w:r>
        <w:t>h</w:t>
      </w:r>
      <w:r w:rsidRPr="00496648">
        <w:t>alon 1301 and other controlled substances used for fire suppression (</w:t>
      </w:r>
      <w:r w:rsidRPr="00AB54BB">
        <w:t>decision XXXVII/4</w:t>
      </w:r>
      <w:r w:rsidRPr="00496648">
        <w:t>)</w:t>
      </w:r>
      <w:r>
        <w:t>;</w:t>
      </w:r>
      <w:r w:rsidRPr="00C419E6">
        <w:t xml:space="preserve"> </w:t>
      </w:r>
      <w:r w:rsidRPr="007C68CE">
        <w:t>metered-dose inhalers with low</w:t>
      </w:r>
      <w:r w:rsidRPr="007C68CE">
        <w:noBreakHyphen/>
        <w:t>global-warming-potential propellants (</w:t>
      </w:r>
      <w:r w:rsidRPr="00AB54BB">
        <w:t>decision</w:t>
      </w:r>
      <w:r w:rsidRPr="007C68CE">
        <w:t xml:space="preserve"> XXXVI/6</w:t>
      </w:r>
      <w:r>
        <w:t>)</w:t>
      </w:r>
      <w:r w:rsidR="00FE64FA">
        <w:t>;</w:t>
      </w:r>
      <w:r>
        <w:t xml:space="preserve"> </w:t>
      </w:r>
      <w:r w:rsidRPr="007C68CE">
        <w:t>options for the organization of the Panel and its technical options committees (</w:t>
      </w:r>
      <w:r w:rsidRPr="00AB54BB">
        <w:t>d</w:t>
      </w:r>
      <w:r w:rsidRPr="007C68CE">
        <w:t>ecision XXXV/20</w:t>
      </w:r>
      <w:r>
        <w:t>); changes in the membership of the Pane</w:t>
      </w:r>
      <w:r w:rsidRPr="00874756">
        <w:t>l</w:t>
      </w:r>
      <w:r w:rsidR="00874756">
        <w:t>;</w:t>
      </w:r>
      <w:r>
        <w:t xml:space="preserve"> and other issues, including</w:t>
      </w:r>
      <w:r w:rsidRPr="005C1B9E">
        <w:t xml:space="preserve"> </w:t>
      </w:r>
      <w:r>
        <w:t xml:space="preserve">the evaluation of a destruction technology submitted </w:t>
      </w:r>
      <w:r w:rsidRPr="00E703EF">
        <w:t xml:space="preserve">by Canada and updated information on perfluoroalkyl and polyfluoroalkyl substances (PFAS). </w:t>
      </w:r>
    </w:p>
    <w:p w14:paraId="0C84CB2D" w14:textId="259EB505" w:rsidR="00E62558" w:rsidRPr="003A78EB" w:rsidRDefault="00E62558" w:rsidP="00C24552">
      <w:pPr>
        <w:pStyle w:val="Normalnumber"/>
        <w:tabs>
          <w:tab w:val="clear" w:pos="1247"/>
          <w:tab w:val="clear" w:pos="1814"/>
          <w:tab w:val="clear" w:pos="2381"/>
          <w:tab w:val="clear" w:pos="2948"/>
          <w:tab w:val="clear" w:pos="3515"/>
          <w:tab w:val="left" w:pos="624"/>
        </w:tabs>
        <w:ind w:left="1247"/>
      </w:pPr>
      <w:r w:rsidRPr="003A78EB">
        <w:t>The key messages</w:t>
      </w:r>
      <w:r w:rsidR="00755DA9" w:rsidRPr="003A78EB">
        <w:t xml:space="preserve"> </w:t>
      </w:r>
      <w:r w:rsidR="005B7161" w:rsidRPr="003A78EB">
        <w:t>from</w:t>
      </w:r>
      <w:r w:rsidRPr="003A78EB">
        <w:t xml:space="preserve"> the progress reports of the technical options committees</w:t>
      </w:r>
      <w:r w:rsidR="004361B4" w:rsidRPr="003A78EB">
        <w:t>, as set out in the Panel’s progress report</w:t>
      </w:r>
      <w:r w:rsidR="004361B4">
        <w:t>,</w:t>
      </w:r>
      <w:r w:rsidRPr="003A78EB">
        <w:t xml:space="preserve"> are reproduced in annex I to the present addendum, without formal editing. To avoid duplication, the parts of the key messages that </w:t>
      </w:r>
      <w:r w:rsidR="0086649A">
        <w:t>relate</w:t>
      </w:r>
      <w:r w:rsidR="0086649A" w:rsidRPr="003A78EB">
        <w:t xml:space="preserve"> </w:t>
      </w:r>
      <w:r w:rsidRPr="003A78EB">
        <w:t>to decisions XXXVII/4, XXXVI/6 and XXXV/20</w:t>
      </w:r>
      <w:r w:rsidR="004361B4">
        <w:t>,</w:t>
      </w:r>
      <w:r w:rsidRPr="003A78EB">
        <w:t xml:space="preserve"> as well as information about other key issues</w:t>
      </w:r>
      <w:r w:rsidR="004361B4">
        <w:t>,</w:t>
      </w:r>
      <w:r w:rsidRPr="003A78EB">
        <w:t xml:space="preserve"> have been removed from annex</w:t>
      </w:r>
      <w:r w:rsidR="00755DA9" w:rsidRPr="003A78EB">
        <w:t xml:space="preserve"> I</w:t>
      </w:r>
      <w:r w:rsidRPr="003A78EB">
        <w:t xml:space="preserve"> and are addressed only in </w:t>
      </w:r>
      <w:r w:rsidR="000349D7" w:rsidRPr="003A78EB">
        <w:t>sub</w:t>
      </w:r>
      <w:r w:rsidRPr="003A78EB">
        <w:t>sections (a), (b), (c) and (e)</w:t>
      </w:r>
      <w:r w:rsidR="003A78EB">
        <w:t xml:space="preserve"> </w:t>
      </w:r>
      <w:r w:rsidR="003A78EB" w:rsidRPr="009262F1">
        <w:t>below</w:t>
      </w:r>
      <w:r w:rsidRPr="003A78EB">
        <w:t xml:space="preserve">. </w:t>
      </w:r>
    </w:p>
    <w:p w14:paraId="5D733D43" w14:textId="132BBE7F" w:rsidR="00E62558" w:rsidRPr="000D61F0" w:rsidRDefault="00E62558" w:rsidP="00E62558">
      <w:pPr>
        <w:pStyle w:val="CH3"/>
        <w:spacing w:before="120"/>
      </w:pPr>
      <w:r w:rsidRPr="00581216">
        <w:tab/>
        <w:t>(a)</w:t>
      </w:r>
      <w:r w:rsidRPr="00581216">
        <w:tab/>
      </w:r>
      <w:r>
        <w:t xml:space="preserve">Halon 1301 and its continuing use in the aviation industry; management of other controlled substances used for fire suppression </w:t>
      </w:r>
      <w:r w:rsidRPr="000D61F0">
        <w:t>(decision XXXVI</w:t>
      </w:r>
      <w:r>
        <w:t>I</w:t>
      </w:r>
      <w:r w:rsidRPr="000D61F0">
        <w:t>/</w:t>
      </w:r>
      <w:r>
        <w:t>4</w:t>
      </w:r>
      <w:r w:rsidRPr="000D61F0">
        <w:t>)</w:t>
      </w:r>
    </w:p>
    <w:p w14:paraId="29020ADC" w14:textId="655CF4AD" w:rsidR="00E62558" w:rsidRPr="00097A96" w:rsidRDefault="00E62558" w:rsidP="00836849">
      <w:pPr>
        <w:pStyle w:val="Normalnumber"/>
        <w:tabs>
          <w:tab w:val="clear" w:pos="1247"/>
          <w:tab w:val="clear" w:pos="1814"/>
          <w:tab w:val="clear" w:pos="2381"/>
          <w:tab w:val="clear" w:pos="2948"/>
          <w:tab w:val="clear" w:pos="3515"/>
          <w:tab w:val="left" w:pos="624"/>
        </w:tabs>
        <w:ind w:left="1247"/>
      </w:pPr>
      <w:r w:rsidRPr="000132EE">
        <w:rPr>
          <w:color w:val="000000" w:themeColor="text1"/>
        </w:rPr>
        <w:t xml:space="preserve">As is mentioned in the note by the Secretariat (UNEP/OzL.Pro.WG.1/48/2, paras. 10–15), in decision </w:t>
      </w:r>
      <w:r w:rsidRPr="00C24552">
        <w:t>XXXVII</w:t>
      </w:r>
      <w:r w:rsidRPr="000132EE">
        <w:rPr>
          <w:color w:val="000000" w:themeColor="text1"/>
        </w:rPr>
        <w:t>/4, the Thirty-Seventh Meeting of the Parties requested the Secretariat to liaise with the secretariat of the International Civil Aviation Organization (</w:t>
      </w:r>
      <w:r w:rsidRPr="004361B4">
        <w:rPr>
          <w:color w:val="000000" w:themeColor="text1"/>
        </w:rPr>
        <w:t>I</w:t>
      </w:r>
      <w:r w:rsidRPr="000132EE">
        <w:rPr>
          <w:color w:val="000000" w:themeColor="text1"/>
        </w:rPr>
        <w:t xml:space="preserve">CAO) on the matter of fire suppression agents controlled under the Montreal Protocol and </w:t>
      </w:r>
      <w:r w:rsidR="004361B4">
        <w:rPr>
          <w:color w:val="000000" w:themeColor="text1"/>
        </w:rPr>
        <w:t xml:space="preserve">to </w:t>
      </w:r>
      <w:r w:rsidRPr="000132EE">
        <w:rPr>
          <w:color w:val="000000" w:themeColor="text1"/>
        </w:rPr>
        <w:t xml:space="preserve">facilitate the exchange of information between the Technology and Economic Assessment Panel, through its Fire Suppression Technical Options Committee, and the relevant ICAO technical committees and working groups </w:t>
      </w:r>
      <w:r w:rsidR="00B43DFD">
        <w:rPr>
          <w:color w:val="000000" w:themeColor="text1"/>
        </w:rPr>
        <w:t>in order to allow t</w:t>
      </w:r>
      <w:r w:rsidRPr="000132EE">
        <w:rPr>
          <w:color w:val="000000" w:themeColor="text1"/>
        </w:rPr>
        <w:t xml:space="preserve">he Panel to submit a report on halon availability and the global distribution of halon banks to the parties in advance of the forty-eighth meeting of the Open-ended Working Group. The Panel’s response, prepared by the Fire Suppression Technical Options Committee, is set out in section </w:t>
      </w:r>
      <w:r>
        <w:rPr>
          <w:color w:val="000000" w:themeColor="text1"/>
        </w:rPr>
        <w:t>3</w:t>
      </w:r>
      <w:r w:rsidRPr="00585781">
        <w:rPr>
          <w:color w:val="000000" w:themeColor="text1"/>
        </w:rPr>
        <w:t>.</w:t>
      </w:r>
      <w:r>
        <w:rPr>
          <w:color w:val="000000" w:themeColor="text1"/>
        </w:rPr>
        <w:t>8</w:t>
      </w:r>
      <w:r w:rsidRPr="00585781">
        <w:rPr>
          <w:color w:val="000000" w:themeColor="text1"/>
        </w:rPr>
        <w:t xml:space="preserve"> of its </w:t>
      </w:r>
      <w:r w:rsidRPr="00097A96">
        <w:t xml:space="preserve">progress report. A summary is provided in the following paragraphs. </w:t>
      </w:r>
    </w:p>
    <w:p w14:paraId="4E675364" w14:textId="18B56477" w:rsidR="00E62558" w:rsidRDefault="00E62558" w:rsidP="00836849">
      <w:pPr>
        <w:pStyle w:val="Normalnumber"/>
        <w:tabs>
          <w:tab w:val="clear" w:pos="1247"/>
          <w:tab w:val="clear" w:pos="1814"/>
          <w:tab w:val="clear" w:pos="2381"/>
          <w:tab w:val="clear" w:pos="2948"/>
          <w:tab w:val="clear" w:pos="3515"/>
          <w:tab w:val="left" w:pos="624"/>
        </w:tabs>
        <w:ind w:left="1247"/>
      </w:pPr>
      <w:r w:rsidRPr="00097A96">
        <w:t xml:space="preserve">In response to the Secretariat’s letter to ICAO </w:t>
      </w:r>
      <w:r>
        <w:t>dated</w:t>
      </w:r>
      <w:r w:rsidRPr="00097A96">
        <w:t xml:space="preserve"> 4 February 2026, </w:t>
      </w:r>
      <w:r>
        <w:t xml:space="preserve">mentioned in the note by the Secretariat, </w:t>
      </w:r>
      <w:r w:rsidRPr="00097A96">
        <w:t xml:space="preserve">the ICAO </w:t>
      </w:r>
      <w:r w:rsidRPr="00D245AD">
        <w:t xml:space="preserve">secretariat, </w:t>
      </w:r>
      <w:r w:rsidR="002B2F52" w:rsidRPr="00D245AD">
        <w:t xml:space="preserve">in </w:t>
      </w:r>
      <w:r w:rsidR="00B43DFD">
        <w:t>a letter</w:t>
      </w:r>
      <w:r w:rsidR="00B43DFD" w:rsidRPr="00097A96">
        <w:t xml:space="preserve"> </w:t>
      </w:r>
      <w:r w:rsidRPr="00097A96">
        <w:t xml:space="preserve">dated 29 April 2026, </w:t>
      </w:r>
      <w:r w:rsidRPr="00B43DFD">
        <w:t>designated</w:t>
      </w:r>
      <w:r w:rsidRPr="00097A96">
        <w:t xml:space="preserve"> the Chief of the Operational Safety Section of the Air Navigation Bureau as the focal point on matters concerning halon management and alternatives in </w:t>
      </w:r>
      <w:r w:rsidRPr="00BE726F">
        <w:t xml:space="preserve">civil aviation. The </w:t>
      </w:r>
      <w:r w:rsidR="00B43DFD">
        <w:t xml:space="preserve">letter </w:t>
      </w:r>
      <w:r w:rsidRPr="00BE726F">
        <w:t xml:space="preserve">also referred to ICAO </w:t>
      </w:r>
      <w:r w:rsidR="004310D7" w:rsidRPr="00BE726F">
        <w:t>r</w:t>
      </w:r>
      <w:r w:rsidRPr="00BE726F">
        <w:t xml:space="preserve">esolution </w:t>
      </w:r>
      <w:r w:rsidR="006D6AA2">
        <w:t>A42</w:t>
      </w:r>
      <w:r w:rsidR="006D6AA2">
        <w:noBreakHyphen/>
      </w:r>
      <w:r w:rsidRPr="00BE726F">
        <w:t xml:space="preserve">11 </w:t>
      </w:r>
      <w:r w:rsidRPr="00F56A40">
        <w:t>on halon replacement, adopted</w:t>
      </w:r>
      <w:r w:rsidR="00043E48" w:rsidRPr="00BE726F">
        <w:t xml:space="preserve"> by the ICAO Assembly</w:t>
      </w:r>
      <w:r w:rsidRPr="00BE726F">
        <w:t xml:space="preserve"> at </w:t>
      </w:r>
      <w:r w:rsidR="00043E48" w:rsidRPr="00BE726F">
        <w:t>its</w:t>
      </w:r>
      <w:r w:rsidRPr="00BE726F">
        <w:t xml:space="preserve"> forty-second session, held in Montreal, Canada, from 23 September</w:t>
      </w:r>
      <w:r w:rsidRPr="00097A96">
        <w:t xml:space="preserve"> to 3 October 2025. In particular, reference was made to </w:t>
      </w:r>
      <w:r w:rsidR="00844853">
        <w:t>paragraph</w:t>
      </w:r>
      <w:r w:rsidRPr="00097A96">
        <w:t xml:space="preserve"> 6 of the </w:t>
      </w:r>
      <w:r w:rsidR="008F3E3C">
        <w:t>r</w:t>
      </w:r>
      <w:r w:rsidRPr="00097A96">
        <w:t xml:space="preserve">esolution, </w:t>
      </w:r>
      <w:r w:rsidR="00844853">
        <w:t xml:space="preserve">in </w:t>
      </w:r>
      <w:r w:rsidRPr="00097A96">
        <w:t>which States</w:t>
      </w:r>
      <w:r w:rsidR="00FA50F9">
        <w:t xml:space="preserve"> </w:t>
      </w:r>
      <w:r w:rsidR="00B46926">
        <w:t>we</w:t>
      </w:r>
      <w:r w:rsidR="00FA50F9">
        <w:t>re encouraged</w:t>
      </w:r>
      <w:r w:rsidRPr="00097A96">
        <w:t>, with the assistance of ICAO, to liaise with the Ozone Secretariat and the Technology and Economic Assessment Panel and its Fire Suppression Technical Options Committee to assess global halon reserves and support the sustainable management of existing halon banks, including an essential</w:t>
      </w:r>
      <w:r w:rsidR="00485E6D">
        <w:t>-</w:t>
      </w:r>
      <w:r w:rsidRPr="00097A96">
        <w:t>use nomination for halon in aircraft cargo compartment applications under the Montreal Protocol to maintain aviation safety.</w:t>
      </w:r>
    </w:p>
    <w:p w14:paraId="6CF70961" w14:textId="6C4463FE" w:rsidR="00E62558" w:rsidRPr="00097A96" w:rsidRDefault="00E62558" w:rsidP="00836849">
      <w:pPr>
        <w:pStyle w:val="Normalnumber"/>
        <w:tabs>
          <w:tab w:val="clear" w:pos="1247"/>
          <w:tab w:val="clear" w:pos="1814"/>
          <w:tab w:val="clear" w:pos="2381"/>
          <w:tab w:val="clear" w:pos="2948"/>
          <w:tab w:val="clear" w:pos="3515"/>
          <w:tab w:val="left" w:pos="624"/>
        </w:tabs>
        <w:ind w:left="1247"/>
      </w:pPr>
      <w:r>
        <w:t>In this regard, it is also important to note that</w:t>
      </w:r>
      <w:r w:rsidR="008A6223">
        <w:t>, in</w:t>
      </w:r>
      <w:r>
        <w:t xml:space="preserve"> </w:t>
      </w:r>
      <w:r w:rsidR="008A6223">
        <w:t xml:space="preserve">paragraph </w:t>
      </w:r>
      <w:r>
        <w:t xml:space="preserve">7 of </w:t>
      </w:r>
      <w:r w:rsidR="008A6223">
        <w:t>r</w:t>
      </w:r>
      <w:r w:rsidRPr="006E27A7">
        <w:t>esolution A42-11</w:t>
      </w:r>
      <w:r w:rsidR="008A6223">
        <w:t>,</w:t>
      </w:r>
      <w:r w:rsidR="00B46926">
        <w:t xml:space="preserve"> the Assembly directed</w:t>
      </w:r>
      <w:r w:rsidRPr="00D125EB">
        <w:t xml:space="preserve"> </w:t>
      </w:r>
      <w:r w:rsidRPr="004C1AB9">
        <w:t xml:space="preserve">the ICAO Council, in coordination with industry and considering the assessment of availability of the global halon reserves, to develop a proposal for a revised sustainable effective cut-off date for halon replacement for new aircraft type certificate applications. </w:t>
      </w:r>
      <w:r w:rsidR="006F4CE0" w:rsidRPr="004C1AB9">
        <w:t>Pursuant to the resolution, t</w:t>
      </w:r>
      <w:r w:rsidR="001D56CB" w:rsidRPr="004C1AB9">
        <w:t xml:space="preserve">he </w:t>
      </w:r>
      <w:r w:rsidRPr="004C1AB9">
        <w:t xml:space="preserve">proposal </w:t>
      </w:r>
      <w:r w:rsidR="001D56CB" w:rsidRPr="004C1AB9">
        <w:t xml:space="preserve">should </w:t>
      </w:r>
      <w:r w:rsidRPr="004C1AB9">
        <w:t>be based</w:t>
      </w:r>
      <w:r w:rsidRPr="00D125EB">
        <w:t xml:space="preserve"> on comprehensive data</w:t>
      </w:r>
      <w:r w:rsidR="006F4CE0">
        <w:t>,</w:t>
      </w:r>
      <w:r w:rsidRPr="00D125EB">
        <w:t xml:space="preserve"> including </w:t>
      </w:r>
      <w:r w:rsidR="00C24175">
        <w:t xml:space="preserve">on </w:t>
      </w:r>
      <w:r>
        <w:t>h</w:t>
      </w:r>
      <w:r w:rsidRPr="00D125EB">
        <w:t>alon availability,</w:t>
      </w:r>
      <w:r w:rsidR="00C24175">
        <w:t xml:space="preserve"> </w:t>
      </w:r>
      <w:r w:rsidR="006F4CE0">
        <w:t>and</w:t>
      </w:r>
      <w:r w:rsidRPr="00D125EB">
        <w:t xml:space="preserve"> progress in alternative solution development</w:t>
      </w:r>
      <w:r w:rsidR="006F4CE0">
        <w:t>,</w:t>
      </w:r>
      <w:r w:rsidRPr="00D125EB">
        <w:t xml:space="preserve"> and </w:t>
      </w:r>
      <w:r w:rsidR="006F4CE0">
        <w:t xml:space="preserve">should </w:t>
      </w:r>
      <w:r w:rsidRPr="00D125EB">
        <w:t>take account of safety considerations.</w:t>
      </w:r>
    </w:p>
    <w:p w14:paraId="5C2FB736" w14:textId="3A61FA18" w:rsidR="00E62558" w:rsidRPr="006D0210" w:rsidRDefault="00E62558" w:rsidP="00836849">
      <w:pPr>
        <w:pStyle w:val="Normalnumber"/>
        <w:tabs>
          <w:tab w:val="clear" w:pos="1247"/>
          <w:tab w:val="clear" w:pos="1814"/>
          <w:tab w:val="clear" w:pos="2381"/>
          <w:tab w:val="clear" w:pos="2948"/>
          <w:tab w:val="clear" w:pos="3515"/>
          <w:tab w:val="left" w:pos="624"/>
        </w:tabs>
        <w:ind w:left="1247"/>
      </w:pPr>
      <w:r w:rsidRPr="0014436A">
        <w:t xml:space="preserve">In the meantime, the Fire Suppression Technical Options Committee has been liaising with </w:t>
      </w:r>
      <w:r w:rsidR="002C7F6C">
        <w:t>the</w:t>
      </w:r>
      <w:r w:rsidR="002C7F6C" w:rsidRPr="0014436A">
        <w:t xml:space="preserve"> </w:t>
      </w:r>
      <w:r w:rsidRPr="0014436A">
        <w:t>Cargo Compartment Halon Replacement Advisory Group established under the International Coordinating</w:t>
      </w:r>
      <w:r w:rsidRPr="007B1099">
        <w:t xml:space="preserve"> Council of Aerospace Industries Associations</w:t>
      </w:r>
      <w:r>
        <w:t>. The two groups of experts</w:t>
      </w:r>
      <w:r w:rsidRPr="006D0210">
        <w:t xml:space="preserve"> have proposed that the Ozone and ICAO </w:t>
      </w:r>
      <w:r>
        <w:t>s</w:t>
      </w:r>
      <w:r w:rsidRPr="006D0210">
        <w:t>ecretariat</w:t>
      </w:r>
      <w:r>
        <w:t>s</w:t>
      </w:r>
      <w:r w:rsidRPr="006D0210">
        <w:t xml:space="preserve"> consider </w:t>
      </w:r>
      <w:r w:rsidRPr="007C25A2">
        <w:t>developing a</w:t>
      </w:r>
      <w:r w:rsidRPr="006D0210">
        <w:t xml:space="preserve"> </w:t>
      </w:r>
      <w:r>
        <w:t>joint letter request</w:t>
      </w:r>
      <w:r w:rsidR="0093558B">
        <w:t>ing</w:t>
      </w:r>
      <w:r>
        <w:t xml:space="preserve"> data from the </w:t>
      </w:r>
      <w:r>
        <w:lastRenderedPageBreak/>
        <w:t xml:space="preserve">parties </w:t>
      </w:r>
      <w:r w:rsidRPr="006D0210">
        <w:t xml:space="preserve">to the Montreal Protocol </w:t>
      </w:r>
      <w:r w:rsidR="0093558B">
        <w:t xml:space="preserve">with the </w:t>
      </w:r>
      <w:r w:rsidRPr="00E5182B">
        <w:t>aim</w:t>
      </w:r>
      <w:r w:rsidR="0093558B">
        <w:t xml:space="preserve"> of </w:t>
      </w:r>
      <w:r w:rsidRPr="00E5182B">
        <w:t>better assess</w:t>
      </w:r>
      <w:r w:rsidR="0093558B">
        <w:t>ing</w:t>
      </w:r>
      <w:r w:rsidRPr="00E5182B">
        <w:t xml:space="preserve"> the future use of and need for halons in civil aviation</w:t>
      </w:r>
      <w:r w:rsidRPr="006D0210">
        <w:t xml:space="preserve">.  </w:t>
      </w:r>
    </w:p>
    <w:p w14:paraId="2D947EE4" w14:textId="3FA64DD0" w:rsidR="00E62558" w:rsidRPr="004957F2" w:rsidRDefault="00E62558" w:rsidP="00836849">
      <w:pPr>
        <w:pStyle w:val="Normalnumber"/>
        <w:tabs>
          <w:tab w:val="clear" w:pos="1247"/>
          <w:tab w:val="clear" w:pos="1814"/>
          <w:tab w:val="clear" w:pos="2381"/>
          <w:tab w:val="clear" w:pos="2948"/>
          <w:tab w:val="clear" w:pos="3515"/>
          <w:tab w:val="left" w:pos="624"/>
        </w:tabs>
        <w:ind w:left="1247"/>
        <w:rPr>
          <w:sz w:val="22"/>
          <w:szCs w:val="22"/>
        </w:rPr>
      </w:pPr>
      <w:r w:rsidRPr="00871F22">
        <w:t xml:space="preserve">The ICAO </w:t>
      </w:r>
      <w:r>
        <w:t>s</w:t>
      </w:r>
      <w:r w:rsidRPr="00871F22">
        <w:t xml:space="preserve">ecretariat </w:t>
      </w:r>
      <w:r>
        <w:t xml:space="preserve">has </w:t>
      </w:r>
      <w:r w:rsidRPr="00871F22">
        <w:t xml:space="preserve">also requested the formation of a formal expert group </w:t>
      </w:r>
      <w:r w:rsidRPr="007C25A2">
        <w:t>through the</w:t>
      </w:r>
      <w:r w:rsidRPr="00871F22">
        <w:t xml:space="preserve"> Airworthiness Panel, including but not limited to </w:t>
      </w:r>
      <w:r>
        <w:t>o</w:t>
      </w:r>
      <w:r w:rsidRPr="00FF613A">
        <w:t xml:space="preserve">riginal </w:t>
      </w:r>
      <w:r>
        <w:t>e</w:t>
      </w:r>
      <w:r w:rsidRPr="00FF613A">
        <w:t xml:space="preserve">quipment </w:t>
      </w:r>
      <w:r>
        <w:t>m</w:t>
      </w:r>
      <w:r w:rsidRPr="00FF613A">
        <w:t>anufacturers</w:t>
      </w:r>
      <w:r w:rsidRPr="00871F22">
        <w:t xml:space="preserve">, </w:t>
      </w:r>
      <w:r>
        <w:t>m</w:t>
      </w:r>
      <w:r w:rsidRPr="00DD1170">
        <w:t xml:space="preserve">aintenance, </w:t>
      </w:r>
      <w:r>
        <w:t>r</w:t>
      </w:r>
      <w:r w:rsidRPr="00DD1170">
        <w:t xml:space="preserve">epair and </w:t>
      </w:r>
      <w:r>
        <w:t>o</w:t>
      </w:r>
      <w:r w:rsidRPr="00DD1170">
        <w:t>verhaul</w:t>
      </w:r>
      <w:r>
        <w:t xml:space="preserve"> </w:t>
      </w:r>
      <w:r w:rsidRPr="00871F22">
        <w:t xml:space="preserve">entities, suppliers, recyclers, </w:t>
      </w:r>
      <w:r>
        <w:t>non-governmental organizations</w:t>
      </w:r>
      <w:r w:rsidRPr="00871F22">
        <w:t xml:space="preserve">, </w:t>
      </w:r>
      <w:r>
        <w:t>the Technology and Economic Assessment Panel</w:t>
      </w:r>
      <w:r w:rsidR="00BC5CC9">
        <w:t xml:space="preserve"> and its </w:t>
      </w:r>
      <w:r w:rsidRPr="00135F9C">
        <w:t xml:space="preserve">Fire Suppression Technical Options Committee </w:t>
      </w:r>
      <w:r w:rsidRPr="00871F22">
        <w:t xml:space="preserve">and other relevant stakeholders. </w:t>
      </w:r>
      <w:r w:rsidRPr="00CA73E0">
        <w:t xml:space="preserve">This </w:t>
      </w:r>
      <w:r>
        <w:t xml:space="preserve">ongoing initiative </w:t>
      </w:r>
      <w:r w:rsidR="00E62C6F">
        <w:t xml:space="preserve">is intended </w:t>
      </w:r>
      <w:r>
        <w:t>to facilitate the</w:t>
      </w:r>
      <w:r w:rsidRPr="00CA73E0">
        <w:t xml:space="preserve"> exchang</w:t>
      </w:r>
      <w:r>
        <w:t>e</w:t>
      </w:r>
      <w:r w:rsidRPr="00CA73E0">
        <w:t xml:space="preserve"> </w:t>
      </w:r>
      <w:r>
        <w:t xml:space="preserve">of </w:t>
      </w:r>
      <w:r w:rsidRPr="00CA73E0">
        <w:t>information.</w:t>
      </w:r>
    </w:p>
    <w:p w14:paraId="34D4B65D" w14:textId="264482E8" w:rsidR="00E62558" w:rsidRPr="00581116" w:rsidRDefault="00B8583A" w:rsidP="00836849">
      <w:pPr>
        <w:pStyle w:val="Normalnumber"/>
        <w:tabs>
          <w:tab w:val="clear" w:pos="1247"/>
          <w:tab w:val="clear" w:pos="1814"/>
          <w:tab w:val="clear" w:pos="2381"/>
          <w:tab w:val="clear" w:pos="2948"/>
          <w:tab w:val="clear" w:pos="3515"/>
          <w:tab w:val="left" w:pos="624"/>
        </w:tabs>
        <w:ind w:left="1247"/>
        <w:rPr>
          <w:sz w:val="22"/>
          <w:szCs w:val="22"/>
        </w:rPr>
      </w:pPr>
      <w:r>
        <w:t>In response to</w:t>
      </w:r>
      <w:r w:rsidR="00E62558" w:rsidRPr="00004633">
        <w:t xml:space="preserve"> ICAO </w:t>
      </w:r>
      <w:r w:rsidR="00DD5587">
        <w:t xml:space="preserve">Assembly </w:t>
      </w:r>
      <w:r w:rsidR="006329EF">
        <w:t>r</w:t>
      </w:r>
      <w:r w:rsidR="00E62558" w:rsidRPr="00004633">
        <w:t xml:space="preserve">esolution </w:t>
      </w:r>
      <w:r w:rsidR="006705B1">
        <w:t>A</w:t>
      </w:r>
      <w:r w:rsidR="00E62558" w:rsidRPr="00004633">
        <w:t xml:space="preserve">42-11 </w:t>
      </w:r>
      <w:r w:rsidR="00E62558" w:rsidRPr="007C25A2">
        <w:t>and decision XXXVII/4</w:t>
      </w:r>
      <w:r w:rsidRPr="007C25A2">
        <w:t xml:space="preserve"> of the</w:t>
      </w:r>
      <w:r>
        <w:t xml:space="preserve"> </w:t>
      </w:r>
      <w:r w:rsidR="002243E9">
        <w:t>Thirty</w:t>
      </w:r>
      <w:r w:rsidR="002243E9">
        <w:noBreakHyphen/>
      </w:r>
      <w:r w:rsidR="005178A7" w:rsidRPr="005178A7">
        <w:t>Seventh Meeting of the Parties</w:t>
      </w:r>
      <w:r w:rsidR="00E62558" w:rsidRPr="00004633">
        <w:t xml:space="preserve">, </w:t>
      </w:r>
      <w:r w:rsidR="00E62558">
        <w:t xml:space="preserve">the </w:t>
      </w:r>
      <w:r w:rsidR="00107405" w:rsidRPr="0014436A">
        <w:t>Cargo Compartment Halon Replacement Advisory Group</w:t>
      </w:r>
      <w:r w:rsidR="00107405" w:rsidDel="00107405">
        <w:t xml:space="preserve"> </w:t>
      </w:r>
      <w:r w:rsidR="00E62558">
        <w:t xml:space="preserve">formed </w:t>
      </w:r>
      <w:r w:rsidR="00E62558" w:rsidRPr="00004633">
        <w:t>a</w:t>
      </w:r>
      <w:r w:rsidR="00E62558">
        <w:t xml:space="preserve"> small </w:t>
      </w:r>
      <w:r w:rsidR="00E62558" w:rsidRPr="00004633">
        <w:t>working group</w:t>
      </w:r>
      <w:r w:rsidR="00E62558">
        <w:t xml:space="preserve">, including a member of the </w:t>
      </w:r>
      <w:r w:rsidR="00E62558" w:rsidRPr="00F71DBC">
        <w:t>Fire Suppression Technical Options Committee</w:t>
      </w:r>
      <w:r w:rsidR="00E62558">
        <w:t xml:space="preserve"> who is also a member</w:t>
      </w:r>
      <w:r w:rsidR="005178A7">
        <w:t xml:space="preserve"> of the Advisory Group</w:t>
      </w:r>
      <w:r w:rsidR="00E62558">
        <w:t>,</w:t>
      </w:r>
      <w:r w:rsidR="00E62558" w:rsidRPr="00004633">
        <w:t xml:space="preserve"> to coordinate data </w:t>
      </w:r>
      <w:r w:rsidR="00E62558">
        <w:t xml:space="preserve">collection and analysis </w:t>
      </w:r>
      <w:r w:rsidR="00E62558" w:rsidRPr="002B3C45">
        <w:t>aimed at assessing future demand for halon 1301. The group’s work focuses both on the quantities required to sustain the current in-service aircraft fleet and on forecasting the halon 1301 needs associated with future aircraft deliveries and their continued operation.</w:t>
      </w:r>
      <w:r w:rsidR="00E62558" w:rsidRPr="004F7F14">
        <w:t xml:space="preserve"> Th</w:t>
      </w:r>
      <w:r w:rsidR="00E71C64">
        <w:t>o</w:t>
      </w:r>
      <w:r w:rsidR="00E62558" w:rsidRPr="004F7F14">
        <w:t xml:space="preserve">se </w:t>
      </w:r>
      <w:r w:rsidR="00E62558">
        <w:t>efforts</w:t>
      </w:r>
      <w:r w:rsidR="00E62558" w:rsidRPr="004F7F14">
        <w:t xml:space="preserve"> will </w:t>
      </w:r>
      <w:r w:rsidR="00E62558">
        <w:t>assist in</w:t>
      </w:r>
      <w:r w:rsidR="00E62558" w:rsidRPr="004F7F14">
        <w:t xml:space="preserve"> determin</w:t>
      </w:r>
      <w:r w:rsidR="00E62558">
        <w:t>ing</w:t>
      </w:r>
      <w:r w:rsidR="00E62558" w:rsidRPr="004F7F14">
        <w:t xml:space="preserve"> </w:t>
      </w:r>
      <w:r w:rsidR="00E71C64">
        <w:t>the</w:t>
      </w:r>
      <w:r w:rsidR="00E62558">
        <w:t xml:space="preserve"> </w:t>
      </w:r>
      <w:r w:rsidR="00E62558" w:rsidRPr="004F7F14">
        <w:t>need for</w:t>
      </w:r>
      <w:r w:rsidR="00E62558">
        <w:t xml:space="preserve"> </w:t>
      </w:r>
      <w:r w:rsidR="00E62558" w:rsidRPr="004F7F14">
        <w:t xml:space="preserve">future </w:t>
      </w:r>
      <w:r w:rsidR="00E62558">
        <w:t>essential use</w:t>
      </w:r>
      <w:r w:rsidR="00E62558" w:rsidRPr="004F7F14">
        <w:t xml:space="preserve"> request</w:t>
      </w:r>
      <w:r w:rsidR="00E62558">
        <w:t>s</w:t>
      </w:r>
      <w:r w:rsidR="00E62558" w:rsidRPr="004F7F14">
        <w:t xml:space="preserve"> or otherwise.</w:t>
      </w:r>
    </w:p>
    <w:p w14:paraId="5F64D6D7" w14:textId="65D3CE4D" w:rsidR="00E62558" w:rsidRPr="00E83EB0" w:rsidRDefault="00E62558" w:rsidP="00836849">
      <w:pPr>
        <w:pStyle w:val="Normalnumber"/>
        <w:tabs>
          <w:tab w:val="clear" w:pos="1247"/>
          <w:tab w:val="clear" w:pos="1814"/>
          <w:tab w:val="clear" w:pos="2381"/>
          <w:tab w:val="clear" w:pos="2948"/>
          <w:tab w:val="clear" w:pos="3515"/>
          <w:tab w:val="left" w:pos="624"/>
        </w:tabs>
        <w:ind w:left="1247"/>
      </w:pPr>
      <w:r w:rsidRPr="00E83EB0">
        <w:t>Using a variety of relevant data sources and a number of assumptions outlined in the progress report, the group assessed the amount of halon currently installed in the actual in-service fleet (average</w:t>
      </w:r>
      <w:r w:rsidR="00677FD4">
        <w:t>:</w:t>
      </w:r>
      <w:r w:rsidRPr="00E83EB0">
        <w:t xml:space="preserve"> 2,302 </w:t>
      </w:r>
      <w:r w:rsidRPr="00DD5587">
        <w:t>metric tons</w:t>
      </w:r>
      <w:r w:rsidRPr="00E83EB0">
        <w:t xml:space="preserve">). </w:t>
      </w:r>
      <w:r w:rsidR="00677FD4">
        <w:t>On the basis of</w:t>
      </w:r>
      <w:r w:rsidRPr="00E83EB0">
        <w:t xml:space="preserve"> that analysis, it was possible to </w:t>
      </w:r>
      <w:r w:rsidR="00183524">
        <w:t>estimate</w:t>
      </w:r>
      <w:r w:rsidRPr="00E83EB0">
        <w:t xml:space="preserve"> the quantities needed to replenish losses resulting from system discharges during fire events or false alarms, leakage and contamination during maintenance activities, and make projections of future halon 1301 requirements for new aircraft (average</w:t>
      </w:r>
      <w:r w:rsidR="00677FD4">
        <w:t>:</w:t>
      </w:r>
      <w:r w:rsidRPr="00E83EB0">
        <w:t xml:space="preserve"> 175 metric tons per year). </w:t>
      </w:r>
    </w:p>
    <w:p w14:paraId="3A92D3C4" w14:textId="3FB9847D" w:rsidR="00E62558" w:rsidRPr="00DD4805" w:rsidRDefault="00E62558" w:rsidP="00836849">
      <w:pPr>
        <w:pStyle w:val="Normalnumber"/>
        <w:tabs>
          <w:tab w:val="clear" w:pos="1247"/>
          <w:tab w:val="clear" w:pos="1814"/>
          <w:tab w:val="clear" w:pos="2381"/>
          <w:tab w:val="clear" w:pos="2948"/>
          <w:tab w:val="clear" w:pos="3515"/>
          <w:tab w:val="left" w:pos="624"/>
        </w:tabs>
        <w:ind w:left="1247"/>
        <w:rPr>
          <w:lang w:eastAsia="en-GB"/>
        </w:rPr>
      </w:pPr>
      <w:r>
        <w:rPr>
          <w:lang w:eastAsia="en-GB"/>
        </w:rPr>
        <w:t xml:space="preserve">The </w:t>
      </w:r>
      <w:r w:rsidR="00B25F8C" w:rsidRPr="0014436A">
        <w:t xml:space="preserve">Fire </w:t>
      </w:r>
      <w:r w:rsidR="00B25F8C" w:rsidRPr="004A3E46">
        <w:t xml:space="preserve">Suppression Technical Options </w:t>
      </w:r>
      <w:r w:rsidRPr="004A3E46">
        <w:rPr>
          <w:lang w:eastAsia="en-GB"/>
        </w:rPr>
        <w:t>Committee also estimated updated</w:t>
      </w:r>
      <w:r w:rsidRPr="00D8368D">
        <w:rPr>
          <w:lang w:eastAsia="en-GB"/>
        </w:rPr>
        <w:t xml:space="preserve"> halon 1301 </w:t>
      </w:r>
      <w:r w:rsidR="002243E9">
        <w:rPr>
          <w:lang w:eastAsia="en-GB"/>
        </w:rPr>
        <w:t>run</w:t>
      </w:r>
      <w:r w:rsidR="002243E9">
        <w:rPr>
          <w:lang w:eastAsia="en-GB"/>
        </w:rPr>
        <w:noBreakHyphen/>
      </w:r>
      <w:r w:rsidRPr="00D8368D">
        <w:rPr>
          <w:lang w:eastAsia="en-GB"/>
        </w:rPr>
        <w:t xml:space="preserve">out dates using revised sectoral bank data from </w:t>
      </w:r>
      <w:r>
        <w:rPr>
          <w:lang w:eastAsia="en-GB"/>
        </w:rPr>
        <w:t>its</w:t>
      </w:r>
      <w:r w:rsidRPr="00D8368D">
        <w:rPr>
          <w:lang w:eastAsia="en-GB"/>
        </w:rPr>
        <w:t xml:space="preserve"> model, adjusted through expert judgment and </w:t>
      </w:r>
      <w:r>
        <w:rPr>
          <w:lang w:eastAsia="en-GB"/>
        </w:rPr>
        <w:t>assessed</w:t>
      </w:r>
      <w:r w:rsidRPr="00D8368D">
        <w:rPr>
          <w:lang w:eastAsia="en-GB"/>
        </w:rPr>
        <w:t xml:space="preserve"> across 20 scenarios with varying bank sizes and emission rates. Two modelling approaches were used to align projected </w:t>
      </w:r>
      <w:r w:rsidRPr="00DD4805">
        <w:rPr>
          <w:lang w:eastAsia="en-GB"/>
        </w:rPr>
        <w:t>emissions with historical F</w:t>
      </w:r>
      <w:r>
        <w:rPr>
          <w:lang w:eastAsia="en-GB"/>
        </w:rPr>
        <w:t xml:space="preserve">ire </w:t>
      </w:r>
      <w:r w:rsidRPr="00DD4805">
        <w:rPr>
          <w:lang w:eastAsia="en-GB"/>
        </w:rPr>
        <w:t>S</w:t>
      </w:r>
      <w:r>
        <w:rPr>
          <w:lang w:eastAsia="en-GB"/>
        </w:rPr>
        <w:t xml:space="preserve">uppression </w:t>
      </w:r>
      <w:r w:rsidRPr="00DD4805">
        <w:rPr>
          <w:lang w:eastAsia="en-GB"/>
        </w:rPr>
        <w:t>T</w:t>
      </w:r>
      <w:r>
        <w:rPr>
          <w:lang w:eastAsia="en-GB"/>
        </w:rPr>
        <w:t xml:space="preserve">echnical </w:t>
      </w:r>
      <w:r w:rsidRPr="00DD4805">
        <w:rPr>
          <w:lang w:eastAsia="en-GB"/>
        </w:rPr>
        <w:t>O</w:t>
      </w:r>
      <w:r>
        <w:rPr>
          <w:lang w:eastAsia="en-GB"/>
        </w:rPr>
        <w:t xml:space="preserve">ptions </w:t>
      </w:r>
      <w:r w:rsidRPr="00DD4805">
        <w:rPr>
          <w:lang w:eastAsia="en-GB"/>
        </w:rPr>
        <w:t>C</w:t>
      </w:r>
      <w:r>
        <w:rPr>
          <w:lang w:eastAsia="en-GB"/>
        </w:rPr>
        <w:t>ommittee</w:t>
      </w:r>
      <w:r w:rsidRPr="00DD4805">
        <w:rPr>
          <w:lang w:eastAsia="en-GB"/>
        </w:rPr>
        <w:t xml:space="preserve"> emissions data for </w:t>
      </w:r>
      <w:r w:rsidR="008D444B">
        <w:rPr>
          <w:lang w:eastAsia="en-GB"/>
        </w:rPr>
        <w:t xml:space="preserve">the years </w:t>
      </w:r>
      <w:r w:rsidRPr="00DD4805">
        <w:rPr>
          <w:lang w:eastAsia="en-GB"/>
        </w:rPr>
        <w:t>2015–2024. The model first projected depletion of the available bank and subsequently considered the use of reserve stocks supporting enduring uses</w:t>
      </w:r>
      <w:r w:rsidR="00DD3EE1">
        <w:rPr>
          <w:lang w:eastAsia="en-GB"/>
        </w:rPr>
        <w:t>,</w:t>
      </w:r>
      <w:r w:rsidRPr="00DD4805">
        <w:rPr>
          <w:lang w:eastAsia="en-GB"/>
        </w:rPr>
        <w:t xml:space="preserve"> including civil aviation.</w:t>
      </w:r>
    </w:p>
    <w:p w14:paraId="2DD2E1FE" w14:textId="5AAD6B8F" w:rsidR="00E62558" w:rsidRDefault="00E62558" w:rsidP="00836849">
      <w:pPr>
        <w:pStyle w:val="Normalnumber"/>
        <w:tabs>
          <w:tab w:val="clear" w:pos="1247"/>
          <w:tab w:val="clear" w:pos="1814"/>
          <w:tab w:val="clear" w:pos="2381"/>
          <w:tab w:val="clear" w:pos="2948"/>
          <w:tab w:val="clear" w:pos="3515"/>
          <w:tab w:val="left" w:pos="624"/>
        </w:tabs>
        <w:ind w:left="1247"/>
        <w:rPr>
          <w:lang w:eastAsia="en-GB"/>
        </w:rPr>
      </w:pPr>
      <w:r w:rsidRPr="00D8368D">
        <w:rPr>
          <w:lang w:eastAsia="en-GB"/>
        </w:rPr>
        <w:t xml:space="preserve">The </w:t>
      </w:r>
      <w:r>
        <w:rPr>
          <w:lang w:eastAsia="en-GB"/>
        </w:rPr>
        <w:t xml:space="preserve">modelling </w:t>
      </w:r>
      <w:r w:rsidRPr="00D8368D">
        <w:rPr>
          <w:lang w:eastAsia="en-GB"/>
        </w:rPr>
        <w:t xml:space="preserve">scenarios produced </w:t>
      </w:r>
      <w:r w:rsidRPr="00FC72FD">
        <w:rPr>
          <w:lang w:eastAsia="en-GB"/>
        </w:rPr>
        <w:t xml:space="preserve">estimated run-out </w:t>
      </w:r>
      <w:r w:rsidR="0008735D" w:rsidRPr="00FC72FD">
        <w:rPr>
          <w:lang w:eastAsia="en-GB"/>
        </w:rPr>
        <w:t>date</w:t>
      </w:r>
      <w:r w:rsidR="00065921">
        <w:rPr>
          <w:lang w:eastAsia="en-GB"/>
        </w:rPr>
        <w:t>s</w:t>
      </w:r>
      <w:r w:rsidR="0008735D" w:rsidRPr="00FC72FD">
        <w:rPr>
          <w:lang w:eastAsia="en-GB"/>
        </w:rPr>
        <w:t xml:space="preserve"> </w:t>
      </w:r>
      <w:r w:rsidR="00065921">
        <w:rPr>
          <w:lang w:eastAsia="en-GB"/>
        </w:rPr>
        <w:t>ranging from</w:t>
      </w:r>
      <w:r w:rsidR="00CA7986" w:rsidRPr="00FC72FD">
        <w:rPr>
          <w:lang w:eastAsia="en-GB"/>
        </w:rPr>
        <w:t xml:space="preserve"> </w:t>
      </w:r>
      <w:r w:rsidRPr="00FC72FD">
        <w:rPr>
          <w:lang w:eastAsia="en-GB"/>
        </w:rPr>
        <w:t>2030</w:t>
      </w:r>
      <w:r w:rsidR="00CA7986" w:rsidRPr="00F56A40">
        <w:rPr>
          <w:lang w:eastAsia="en-GB"/>
        </w:rPr>
        <w:t xml:space="preserve"> </w:t>
      </w:r>
      <w:r w:rsidR="00065921">
        <w:rPr>
          <w:lang w:eastAsia="en-GB"/>
        </w:rPr>
        <w:t>to</w:t>
      </w:r>
      <w:r w:rsidR="00CA7986" w:rsidRPr="00F56A40">
        <w:rPr>
          <w:lang w:eastAsia="en-GB"/>
        </w:rPr>
        <w:t xml:space="preserve"> </w:t>
      </w:r>
      <w:r w:rsidRPr="00F56A40">
        <w:rPr>
          <w:lang w:eastAsia="en-GB"/>
        </w:rPr>
        <w:t>2042</w:t>
      </w:r>
      <w:r>
        <w:rPr>
          <w:lang w:eastAsia="en-GB"/>
        </w:rPr>
        <w:t xml:space="preserve">. </w:t>
      </w:r>
      <w:r w:rsidRPr="00FC72FD">
        <w:rPr>
          <w:lang w:eastAsia="en-GB"/>
        </w:rPr>
        <w:t>However, scenarios</w:t>
      </w:r>
      <w:r w:rsidRPr="00C04015">
        <w:rPr>
          <w:lang w:eastAsia="en-GB"/>
        </w:rPr>
        <w:t xml:space="preserve"> requiring unrealistically high emission rates were considered implausible and </w:t>
      </w:r>
      <w:r w:rsidR="00A831FC">
        <w:rPr>
          <w:lang w:eastAsia="en-GB"/>
        </w:rPr>
        <w:t xml:space="preserve">were therefore </w:t>
      </w:r>
      <w:r w:rsidRPr="00C04015">
        <w:rPr>
          <w:lang w:eastAsia="en-GB"/>
        </w:rPr>
        <w:t>excluded</w:t>
      </w:r>
      <w:r w:rsidRPr="00D8368D">
        <w:rPr>
          <w:lang w:eastAsia="en-GB"/>
        </w:rPr>
        <w:t xml:space="preserve">. </w:t>
      </w:r>
      <w:r w:rsidRPr="00ED0048">
        <w:rPr>
          <w:lang w:eastAsia="en-GB"/>
        </w:rPr>
        <w:t>On th</w:t>
      </w:r>
      <w:r w:rsidR="00A831FC">
        <w:rPr>
          <w:lang w:eastAsia="en-GB"/>
        </w:rPr>
        <w:t>at</w:t>
      </w:r>
      <w:r w:rsidRPr="00ED0048">
        <w:rPr>
          <w:lang w:eastAsia="en-GB"/>
        </w:rPr>
        <w:t xml:space="preserve"> basis,</w:t>
      </w:r>
      <w:r>
        <w:rPr>
          <w:lang w:eastAsia="en-GB"/>
        </w:rPr>
        <w:t xml:space="preserve"> t</w:t>
      </w:r>
      <w:r w:rsidRPr="00D8368D">
        <w:rPr>
          <w:lang w:eastAsia="en-GB"/>
        </w:rPr>
        <w:t xml:space="preserve">he most </w:t>
      </w:r>
      <w:r w:rsidRPr="00FC72FD">
        <w:rPr>
          <w:lang w:eastAsia="en-GB"/>
        </w:rPr>
        <w:t xml:space="preserve">credible run-out </w:t>
      </w:r>
      <w:r w:rsidR="00FC72FD">
        <w:rPr>
          <w:lang w:eastAsia="en-GB"/>
        </w:rPr>
        <w:t>date</w:t>
      </w:r>
      <w:r w:rsidR="00FC72FD" w:rsidRPr="00FC72FD">
        <w:rPr>
          <w:lang w:eastAsia="en-GB"/>
        </w:rPr>
        <w:t xml:space="preserve"> </w:t>
      </w:r>
      <w:r w:rsidRPr="00FC72FD">
        <w:rPr>
          <w:lang w:eastAsia="en-GB"/>
        </w:rPr>
        <w:t>is</w:t>
      </w:r>
      <w:r w:rsidRPr="00D8368D">
        <w:rPr>
          <w:lang w:eastAsia="en-GB"/>
        </w:rPr>
        <w:t xml:space="preserve"> </w:t>
      </w:r>
      <w:r>
        <w:rPr>
          <w:lang w:eastAsia="en-GB"/>
        </w:rPr>
        <w:t xml:space="preserve">estimated </w:t>
      </w:r>
      <w:r w:rsidR="00065921">
        <w:rPr>
          <w:lang w:eastAsia="en-GB"/>
        </w:rPr>
        <w:t>to be</w:t>
      </w:r>
      <w:r w:rsidR="00065921" w:rsidRPr="00D8368D">
        <w:rPr>
          <w:lang w:eastAsia="en-GB"/>
        </w:rPr>
        <w:t xml:space="preserve"> </w:t>
      </w:r>
      <w:r w:rsidR="0008735D">
        <w:rPr>
          <w:lang w:eastAsia="en-GB"/>
        </w:rPr>
        <w:t xml:space="preserve">between </w:t>
      </w:r>
      <w:r w:rsidRPr="00D8368D">
        <w:rPr>
          <w:lang w:eastAsia="en-GB"/>
        </w:rPr>
        <w:t>2031</w:t>
      </w:r>
      <w:r w:rsidR="0008735D">
        <w:rPr>
          <w:lang w:eastAsia="en-GB"/>
        </w:rPr>
        <w:t xml:space="preserve"> and </w:t>
      </w:r>
      <w:r w:rsidRPr="00D8368D">
        <w:rPr>
          <w:lang w:eastAsia="en-GB"/>
        </w:rPr>
        <w:t xml:space="preserve">2039, </w:t>
      </w:r>
      <w:r w:rsidRPr="00FC72FD">
        <w:rPr>
          <w:lang w:eastAsia="en-GB"/>
        </w:rPr>
        <w:t>centred around 2035</w:t>
      </w:r>
      <w:r w:rsidR="00FC72FD">
        <w:rPr>
          <w:lang w:eastAsia="en-GB"/>
        </w:rPr>
        <w:t xml:space="preserve"> plus or minus</w:t>
      </w:r>
      <w:r w:rsidRPr="00D8368D">
        <w:rPr>
          <w:lang w:eastAsia="en-GB"/>
        </w:rPr>
        <w:t xml:space="preserve"> </w:t>
      </w:r>
      <w:r w:rsidR="00FC72FD">
        <w:rPr>
          <w:lang w:eastAsia="en-GB"/>
        </w:rPr>
        <w:t>four</w:t>
      </w:r>
      <w:r w:rsidR="00FC72FD" w:rsidRPr="00D8368D">
        <w:rPr>
          <w:lang w:eastAsia="en-GB"/>
        </w:rPr>
        <w:t xml:space="preserve"> </w:t>
      </w:r>
      <w:r w:rsidRPr="00D8368D">
        <w:rPr>
          <w:lang w:eastAsia="en-GB"/>
        </w:rPr>
        <w:t>years.</w:t>
      </w:r>
    </w:p>
    <w:p w14:paraId="0E34944F" w14:textId="1F3C436F" w:rsidR="00E62558" w:rsidRDefault="00E62558" w:rsidP="00836849">
      <w:pPr>
        <w:pStyle w:val="Normalnumber"/>
        <w:tabs>
          <w:tab w:val="clear" w:pos="1247"/>
          <w:tab w:val="clear" w:pos="1814"/>
          <w:tab w:val="clear" w:pos="2381"/>
          <w:tab w:val="clear" w:pos="2948"/>
          <w:tab w:val="clear" w:pos="3515"/>
          <w:tab w:val="left" w:pos="624"/>
        </w:tabs>
        <w:ind w:left="1247"/>
      </w:pPr>
      <w:r>
        <w:t xml:space="preserve">In </w:t>
      </w:r>
      <w:r w:rsidR="00EB749F">
        <w:t xml:space="preserve">the </w:t>
      </w:r>
      <w:r>
        <w:t>light of th</w:t>
      </w:r>
      <w:r w:rsidR="00AE0D49">
        <w:t>o</w:t>
      </w:r>
      <w:r>
        <w:t xml:space="preserve">se findings, the Committee suggests that parties may wish to consider whether any changes are needed to the </w:t>
      </w:r>
      <w:r>
        <w:rPr>
          <w:lang w:eastAsia="en-GB"/>
        </w:rPr>
        <w:t>essential</w:t>
      </w:r>
      <w:r w:rsidR="00EB749F">
        <w:t>-</w:t>
      </w:r>
      <w:r>
        <w:t>use nomination and evaluation processes, given that individual parties may no longer be able to determine their annual halon 1301 civil aviation production and consumption needs.</w:t>
      </w:r>
    </w:p>
    <w:p w14:paraId="122A55AC" w14:textId="65C41A21" w:rsidR="00E62558" w:rsidRPr="00851078" w:rsidRDefault="00E62558" w:rsidP="00836849">
      <w:pPr>
        <w:pStyle w:val="Normalnumber"/>
        <w:tabs>
          <w:tab w:val="clear" w:pos="1247"/>
          <w:tab w:val="clear" w:pos="1814"/>
          <w:tab w:val="clear" w:pos="2381"/>
          <w:tab w:val="clear" w:pos="2948"/>
          <w:tab w:val="clear" w:pos="3515"/>
          <w:tab w:val="left" w:pos="624"/>
        </w:tabs>
        <w:ind w:left="1247"/>
      </w:pPr>
      <w:r w:rsidRPr="00AE1A49">
        <w:t>In paragraph 4 of decision</w:t>
      </w:r>
      <w:r>
        <w:t xml:space="preserve"> XXXVII/4, parties were </w:t>
      </w:r>
      <w:r w:rsidR="00DD5690">
        <w:t xml:space="preserve">invited </w:t>
      </w:r>
      <w:r>
        <w:t xml:space="preserve">to submit to the </w:t>
      </w:r>
      <w:r w:rsidRPr="00B77C2A">
        <w:t>O</w:t>
      </w:r>
      <w:r>
        <w:t xml:space="preserve">zone Secretariat, on a voluntary basis, by 31 March 2026, available information regarding the development of alternatives suitable for use as substitutes in fire suppression, and the Secretariat was requested to forward the information received to the Technology and Economic Assessment Panel for its consideration and for inclusion, at the latest, in its 2027 progress report. At the time of the preparation of the present addendum, three parties </w:t>
      </w:r>
      <w:r w:rsidRPr="00DD0391">
        <w:t>– A</w:t>
      </w:r>
      <w:r>
        <w:t>rgentina</w:t>
      </w:r>
      <w:r w:rsidRPr="00DD0391">
        <w:t>,</w:t>
      </w:r>
      <w:r>
        <w:t xml:space="preserve"> Ecuador and Saint Vincent and the Grenadines</w:t>
      </w:r>
      <w:r w:rsidRPr="00DD0391">
        <w:t xml:space="preserve"> – </w:t>
      </w:r>
      <w:r w:rsidR="005F403F">
        <w:t xml:space="preserve">had </w:t>
      </w:r>
      <w:r>
        <w:t xml:space="preserve">responded to the decision, in addition to the 33 parties that had done so by the time of preparation of the note by the Secretariat. All those submissions were forwarded to the Technology and Economic Assessment Panel for consideration in the preparation of its </w:t>
      </w:r>
      <w:r w:rsidR="00000E70">
        <w:t xml:space="preserve">progress report for </w:t>
      </w:r>
      <w:r>
        <w:t xml:space="preserve">2026, and possibly </w:t>
      </w:r>
      <w:r w:rsidR="00AD3476" w:rsidRPr="00B1725E">
        <w:t>t</w:t>
      </w:r>
      <w:r w:rsidR="00AD3476">
        <w:t xml:space="preserve">hat for </w:t>
      </w:r>
      <w:r>
        <w:t xml:space="preserve">2027. </w:t>
      </w:r>
    </w:p>
    <w:p w14:paraId="7D255915" w14:textId="77777777" w:rsidR="00E62558" w:rsidRDefault="00E62558" w:rsidP="00836849">
      <w:pPr>
        <w:pStyle w:val="Normalnumber"/>
        <w:tabs>
          <w:tab w:val="clear" w:pos="1247"/>
          <w:tab w:val="clear" w:pos="1814"/>
          <w:tab w:val="clear" w:pos="2381"/>
          <w:tab w:val="clear" w:pos="2948"/>
          <w:tab w:val="clear" w:pos="3515"/>
          <w:tab w:val="left" w:pos="624"/>
        </w:tabs>
        <w:ind w:left="1247"/>
      </w:pPr>
      <w:r>
        <w:t>The Open-ended Working Group may wish to consider the report and recommend a way forward.</w:t>
      </w:r>
    </w:p>
    <w:p w14:paraId="1CD78446" w14:textId="41DF6E7E" w:rsidR="00E62558" w:rsidRPr="000D61F0" w:rsidRDefault="00E62558" w:rsidP="00E62558">
      <w:pPr>
        <w:pStyle w:val="CH3"/>
      </w:pPr>
      <w:r w:rsidRPr="000D61F0">
        <w:tab/>
        <w:t>(b)</w:t>
      </w:r>
      <w:r w:rsidRPr="000D61F0">
        <w:tab/>
        <w:t>Metered-dose</w:t>
      </w:r>
      <w:r>
        <w:t xml:space="preserve"> </w:t>
      </w:r>
      <w:r w:rsidRPr="000D61F0">
        <w:t>inhalers with low-global-warming-potential propellants (</w:t>
      </w:r>
      <w:bookmarkStart w:id="14" w:name="_Hlk192678240"/>
      <w:r>
        <w:t>decision </w:t>
      </w:r>
      <w:r w:rsidRPr="000D61F0">
        <w:t>XXXVI/6</w:t>
      </w:r>
      <w:bookmarkEnd w:id="14"/>
      <w:r w:rsidRPr="000D61F0">
        <w:t>)</w:t>
      </w:r>
    </w:p>
    <w:p w14:paraId="12FA3ED5" w14:textId="1B1C91FB" w:rsidR="00E62558" w:rsidRDefault="00E62558" w:rsidP="00836849">
      <w:pPr>
        <w:pStyle w:val="Normalnumber"/>
        <w:tabs>
          <w:tab w:val="clear" w:pos="1247"/>
          <w:tab w:val="clear" w:pos="1814"/>
          <w:tab w:val="clear" w:pos="2381"/>
          <w:tab w:val="clear" w:pos="2948"/>
          <w:tab w:val="clear" w:pos="3515"/>
          <w:tab w:val="left" w:pos="624"/>
        </w:tabs>
        <w:ind w:left="1247"/>
        <w:rPr>
          <w:color w:val="000000" w:themeColor="text1"/>
        </w:rPr>
      </w:pPr>
      <w:r w:rsidRPr="00037937">
        <w:rPr>
          <w:color w:val="000000" w:themeColor="text1"/>
        </w:rPr>
        <w:t>As is mentioned in the note by the Secretariat (UNEP/OzL.Pro.WG.1/48/2, paras. 16–19), in decision XXXVI/6, the Thirty-Sixth Meeting of the Parties requested the Technology and Economic Assessment Panel to continue to provide</w:t>
      </w:r>
      <w:r w:rsidRPr="002841AD">
        <w:rPr>
          <w:color w:val="000000" w:themeColor="text1"/>
        </w:rPr>
        <w:t xml:space="preserve"> in its annual progress reports updated information on </w:t>
      </w:r>
      <w:r w:rsidR="006D6AA2">
        <w:rPr>
          <w:color w:val="000000" w:themeColor="text1"/>
        </w:rPr>
        <w:t>low</w:t>
      </w:r>
      <w:r w:rsidR="006D6AA2">
        <w:rPr>
          <w:color w:val="000000" w:themeColor="text1"/>
        </w:rPr>
        <w:noBreakHyphen/>
      </w:r>
      <w:r w:rsidRPr="002841AD">
        <w:rPr>
          <w:color w:val="000000" w:themeColor="text1"/>
        </w:rPr>
        <w:t xml:space="preserve">global-warming-potential metered-dose inhaler propellants and to complement its 2026 quadrennial assessment report with timely information, including on the availability, technical feasibility, economic viability, </w:t>
      </w:r>
      <w:r w:rsidRPr="00B77C2A">
        <w:rPr>
          <w:color w:val="000000" w:themeColor="text1"/>
        </w:rPr>
        <w:t>safety and market penetration of those propellants in all parties. The Panel’s response, prepared by the Medical and Chemicals Technical Options Committee, is set out in section 5.8 of its progress report. A summary</w:t>
      </w:r>
      <w:r w:rsidRPr="002841AD">
        <w:rPr>
          <w:color w:val="000000" w:themeColor="text1"/>
        </w:rPr>
        <w:t xml:space="preserve"> is provided in the following paragraphs. </w:t>
      </w:r>
    </w:p>
    <w:p w14:paraId="25493D35" w14:textId="542CD9ED" w:rsidR="00E62558" w:rsidRPr="00FF0303" w:rsidRDefault="00E62558" w:rsidP="00836849">
      <w:pPr>
        <w:pStyle w:val="Normalnumber"/>
        <w:tabs>
          <w:tab w:val="clear" w:pos="1247"/>
          <w:tab w:val="clear" w:pos="1814"/>
          <w:tab w:val="clear" w:pos="2381"/>
          <w:tab w:val="clear" w:pos="2948"/>
          <w:tab w:val="clear" w:pos="3515"/>
          <w:tab w:val="left" w:pos="624"/>
        </w:tabs>
        <w:ind w:left="1247"/>
        <w:rPr>
          <w:rFonts w:eastAsia="MS Mincho"/>
          <w:snapToGrid w:val="0"/>
        </w:rPr>
      </w:pPr>
      <w:r w:rsidRPr="007B18B3">
        <w:rPr>
          <w:rFonts w:eastAsia="MS Mincho"/>
          <w:snapToGrid w:val="0"/>
        </w:rPr>
        <w:lastRenderedPageBreak/>
        <w:t xml:space="preserve">Recent reports on asthma and chronic obstructive pulmonary </w:t>
      </w:r>
      <w:r w:rsidRPr="008C7813">
        <w:rPr>
          <w:rFonts w:eastAsia="MS Mincho"/>
          <w:snapToGrid w:val="0"/>
        </w:rPr>
        <w:t xml:space="preserve">disease </w:t>
      </w:r>
      <w:r w:rsidRPr="007B18B3">
        <w:rPr>
          <w:rFonts w:eastAsia="MS Mincho"/>
          <w:snapToGrid w:val="0"/>
        </w:rPr>
        <w:t xml:space="preserve">management highlight continued efforts to improve disease control and expand access to medicines. Asthma treatment </w:t>
      </w:r>
      <w:r>
        <w:rPr>
          <w:rFonts w:eastAsia="MS Mincho"/>
          <w:snapToGrid w:val="0"/>
        </w:rPr>
        <w:t>relies</w:t>
      </w:r>
      <w:r w:rsidRPr="007B18B3">
        <w:rPr>
          <w:rFonts w:eastAsia="MS Mincho"/>
          <w:snapToGrid w:val="0"/>
        </w:rPr>
        <w:t xml:space="preserve"> on inhaled corticosteroids to </w:t>
      </w:r>
      <w:r>
        <w:rPr>
          <w:rFonts w:eastAsia="MS Mincho"/>
          <w:snapToGrid w:val="0"/>
        </w:rPr>
        <w:t>reduce</w:t>
      </w:r>
      <w:r w:rsidRPr="007B18B3">
        <w:rPr>
          <w:rFonts w:eastAsia="MS Mincho"/>
          <w:snapToGrid w:val="0"/>
        </w:rPr>
        <w:t xml:space="preserve"> severe attacks, while concerns persist </w:t>
      </w:r>
      <w:r w:rsidR="00AE1A49">
        <w:rPr>
          <w:rFonts w:eastAsia="MS Mincho"/>
          <w:snapToGrid w:val="0"/>
        </w:rPr>
        <w:t xml:space="preserve">about the </w:t>
      </w:r>
      <w:r w:rsidRPr="007B18B3">
        <w:rPr>
          <w:rFonts w:eastAsia="MS Mincho"/>
          <w:snapToGrid w:val="0"/>
        </w:rPr>
        <w:t>excessive use of short-acting inhalers. C</w:t>
      </w:r>
      <w:r w:rsidR="008C7813" w:rsidRPr="007B18B3">
        <w:rPr>
          <w:rFonts w:eastAsia="MS Mincho"/>
          <w:snapToGrid w:val="0"/>
        </w:rPr>
        <w:t xml:space="preserve">hronic obstructive pulmonary </w:t>
      </w:r>
      <w:r w:rsidR="008C7813" w:rsidRPr="008C7813">
        <w:rPr>
          <w:rFonts w:eastAsia="MS Mincho"/>
          <w:snapToGrid w:val="0"/>
        </w:rPr>
        <w:t>disease</w:t>
      </w:r>
      <w:r w:rsidRPr="007B18B3">
        <w:rPr>
          <w:rFonts w:eastAsia="MS Mincho"/>
          <w:snapToGrid w:val="0"/>
        </w:rPr>
        <w:t xml:space="preserve"> management increasingly relies on </w:t>
      </w:r>
      <w:r w:rsidR="002243E9">
        <w:rPr>
          <w:rFonts w:eastAsia="MS Mincho"/>
          <w:snapToGrid w:val="0"/>
        </w:rPr>
        <w:t>long</w:t>
      </w:r>
      <w:r w:rsidR="002243E9">
        <w:rPr>
          <w:rFonts w:eastAsia="MS Mincho"/>
          <w:snapToGrid w:val="0"/>
        </w:rPr>
        <w:noBreakHyphen/>
      </w:r>
      <w:r w:rsidRPr="007B18B3">
        <w:rPr>
          <w:rFonts w:eastAsia="MS Mincho"/>
          <w:snapToGrid w:val="0"/>
        </w:rPr>
        <w:t xml:space="preserve">acting inhalers and </w:t>
      </w:r>
      <w:r w:rsidRPr="00836849">
        <w:rPr>
          <w:color w:val="000000" w:themeColor="text1"/>
        </w:rPr>
        <w:t>newer</w:t>
      </w:r>
      <w:r w:rsidRPr="007B18B3">
        <w:rPr>
          <w:rFonts w:eastAsia="MS Mincho"/>
          <w:snapToGrid w:val="0"/>
        </w:rPr>
        <w:t xml:space="preserve"> biologic therapies for severe cases. However, high medicine costs and limited availability remain significant barriers, particularly in low- and middle-</w:t>
      </w:r>
      <w:r w:rsidRPr="00FF0303">
        <w:rPr>
          <w:rFonts w:eastAsia="MS Mincho"/>
          <w:snapToGrid w:val="0"/>
        </w:rPr>
        <w:t>income countries.</w:t>
      </w:r>
    </w:p>
    <w:p w14:paraId="05BDED34" w14:textId="26A724A3" w:rsidR="00E62558" w:rsidRPr="007B18B3" w:rsidRDefault="00E62558" w:rsidP="00836849">
      <w:pPr>
        <w:pStyle w:val="Normalnumber"/>
        <w:tabs>
          <w:tab w:val="clear" w:pos="1247"/>
          <w:tab w:val="clear" w:pos="1814"/>
          <w:tab w:val="clear" w:pos="2381"/>
          <w:tab w:val="clear" w:pos="2948"/>
          <w:tab w:val="clear" w:pos="3515"/>
          <w:tab w:val="left" w:pos="624"/>
        </w:tabs>
        <w:ind w:left="1247"/>
        <w:rPr>
          <w:rFonts w:eastAsia="MS Mincho"/>
          <w:snapToGrid w:val="0"/>
        </w:rPr>
      </w:pPr>
      <w:r w:rsidRPr="00FF0303">
        <w:rPr>
          <w:rFonts w:eastAsia="MS Mincho"/>
          <w:snapToGrid w:val="0"/>
        </w:rPr>
        <w:t xml:space="preserve">Several inhaler types are used for asthma and </w:t>
      </w:r>
      <w:r w:rsidR="008C7813" w:rsidRPr="00FF0303">
        <w:rPr>
          <w:rFonts w:eastAsia="MS Mincho"/>
          <w:snapToGrid w:val="0"/>
        </w:rPr>
        <w:t>chronic obstructive pulmonary disease</w:t>
      </w:r>
      <w:r w:rsidRPr="00FF0303">
        <w:rPr>
          <w:rFonts w:eastAsia="MS Mincho"/>
          <w:snapToGrid w:val="0"/>
        </w:rPr>
        <w:t xml:space="preserve"> treatment, including pressuri</w:t>
      </w:r>
      <w:r w:rsidR="00D56769" w:rsidRPr="00FF0303">
        <w:rPr>
          <w:rFonts w:eastAsia="MS Mincho"/>
          <w:snapToGrid w:val="0"/>
        </w:rPr>
        <w:t>z</w:t>
      </w:r>
      <w:r w:rsidRPr="00FF0303">
        <w:rPr>
          <w:rFonts w:eastAsia="MS Mincho"/>
          <w:snapToGrid w:val="0"/>
        </w:rPr>
        <w:t>ed</w:t>
      </w:r>
      <w:r w:rsidRPr="007B18B3">
        <w:rPr>
          <w:rFonts w:eastAsia="MS Mincho"/>
          <w:snapToGrid w:val="0"/>
        </w:rPr>
        <w:t xml:space="preserve"> metered-dose </w:t>
      </w:r>
      <w:r w:rsidRPr="00836849">
        <w:rPr>
          <w:color w:val="000000" w:themeColor="text1"/>
        </w:rPr>
        <w:t>inhalers</w:t>
      </w:r>
      <w:r w:rsidRPr="007B18B3">
        <w:rPr>
          <w:rFonts w:eastAsia="MS Mincho"/>
          <w:snapToGrid w:val="0"/>
        </w:rPr>
        <w:t>, dry powder inhalers, soft mist inhalers and nebuli</w:t>
      </w:r>
      <w:r w:rsidR="00CB51C7">
        <w:rPr>
          <w:rFonts w:eastAsia="MS Mincho"/>
          <w:snapToGrid w:val="0"/>
        </w:rPr>
        <w:t>z</w:t>
      </w:r>
      <w:r w:rsidRPr="007B18B3">
        <w:rPr>
          <w:rFonts w:eastAsia="MS Mincho"/>
          <w:snapToGrid w:val="0"/>
        </w:rPr>
        <w:t>ers. Among the</w:t>
      </w:r>
      <w:r w:rsidR="00AE1A49">
        <w:rPr>
          <w:rFonts w:eastAsia="MS Mincho"/>
          <w:snapToGrid w:val="0"/>
        </w:rPr>
        <w:t>m</w:t>
      </w:r>
      <w:r w:rsidRPr="007B18B3">
        <w:rPr>
          <w:rFonts w:eastAsia="MS Mincho"/>
          <w:snapToGrid w:val="0"/>
        </w:rPr>
        <w:t xml:space="preserve">, </w:t>
      </w:r>
      <w:r w:rsidR="00AF7664" w:rsidRPr="007B18B3">
        <w:rPr>
          <w:rFonts w:eastAsia="MS Mincho"/>
          <w:snapToGrid w:val="0"/>
        </w:rPr>
        <w:t>pressuri</w:t>
      </w:r>
      <w:r w:rsidR="00D56769">
        <w:rPr>
          <w:rFonts w:eastAsia="MS Mincho"/>
          <w:snapToGrid w:val="0"/>
        </w:rPr>
        <w:t>z</w:t>
      </w:r>
      <w:r w:rsidR="00AF7664" w:rsidRPr="007B18B3">
        <w:rPr>
          <w:rFonts w:eastAsia="MS Mincho"/>
          <w:snapToGrid w:val="0"/>
        </w:rPr>
        <w:t xml:space="preserve">ed metered-dose </w:t>
      </w:r>
      <w:r w:rsidR="00AF7664" w:rsidRPr="00AF7664">
        <w:rPr>
          <w:color w:val="000000" w:themeColor="text1"/>
        </w:rPr>
        <w:t>inhalers</w:t>
      </w:r>
      <w:r w:rsidRPr="00AF7664">
        <w:rPr>
          <w:rFonts w:eastAsia="MS Mincho"/>
          <w:snapToGrid w:val="0"/>
        </w:rPr>
        <w:t xml:space="preserve"> remain</w:t>
      </w:r>
      <w:r w:rsidRPr="007B18B3">
        <w:rPr>
          <w:rFonts w:eastAsia="MS Mincho"/>
          <w:snapToGrid w:val="0"/>
        </w:rPr>
        <w:t xml:space="preserve"> the most widely used, accounting for about 70</w:t>
      </w:r>
      <w:r w:rsidR="002243E9">
        <w:rPr>
          <w:rFonts w:eastAsia="MS Mincho"/>
          <w:snapToGrid w:val="0"/>
        </w:rPr>
        <w:t> </w:t>
      </w:r>
      <w:r>
        <w:rPr>
          <w:rFonts w:eastAsia="MS Mincho"/>
          <w:snapToGrid w:val="0"/>
        </w:rPr>
        <w:t>per cent</w:t>
      </w:r>
      <w:r w:rsidRPr="007B18B3">
        <w:rPr>
          <w:rFonts w:eastAsia="MS Mincho"/>
          <w:snapToGrid w:val="0"/>
        </w:rPr>
        <w:t xml:space="preserve"> of global inhaler doses, with salbutamol </w:t>
      </w:r>
      <w:r w:rsidR="00E026ED" w:rsidRPr="007B18B3">
        <w:rPr>
          <w:rFonts w:eastAsia="MS Mincho"/>
          <w:snapToGrid w:val="0"/>
        </w:rPr>
        <w:t>pressuri</w:t>
      </w:r>
      <w:r w:rsidR="00D56769">
        <w:rPr>
          <w:rFonts w:eastAsia="MS Mincho"/>
          <w:snapToGrid w:val="0"/>
        </w:rPr>
        <w:t>z</w:t>
      </w:r>
      <w:r w:rsidR="00E026ED" w:rsidRPr="007B18B3">
        <w:rPr>
          <w:rFonts w:eastAsia="MS Mincho"/>
          <w:snapToGrid w:val="0"/>
        </w:rPr>
        <w:t xml:space="preserve">ed metered-dose </w:t>
      </w:r>
      <w:r w:rsidR="00E026ED" w:rsidRPr="00D56769">
        <w:rPr>
          <w:color w:val="000000" w:themeColor="text1"/>
        </w:rPr>
        <w:t>inhalers</w:t>
      </w:r>
      <w:r w:rsidRPr="00D56769">
        <w:rPr>
          <w:rFonts w:eastAsia="MS Mincho"/>
          <w:snapToGrid w:val="0"/>
        </w:rPr>
        <w:t xml:space="preserve"> representing the largest share. Although</w:t>
      </w:r>
      <w:r w:rsidR="00FF0303">
        <w:rPr>
          <w:rFonts w:eastAsia="MS Mincho"/>
          <w:snapToGrid w:val="0"/>
        </w:rPr>
        <w:t xml:space="preserve"> the use of</w:t>
      </w:r>
      <w:r w:rsidRPr="00D56769">
        <w:rPr>
          <w:rFonts w:eastAsia="MS Mincho"/>
          <w:snapToGrid w:val="0"/>
        </w:rPr>
        <w:t xml:space="preserve"> </w:t>
      </w:r>
      <w:r w:rsidR="00D56769" w:rsidRPr="00D56769">
        <w:rPr>
          <w:rFonts w:eastAsia="MS Mincho"/>
          <w:snapToGrid w:val="0"/>
        </w:rPr>
        <w:t>dry powder inhalers</w:t>
      </w:r>
      <w:r w:rsidRPr="00D56769">
        <w:rPr>
          <w:rFonts w:eastAsia="MS Mincho"/>
          <w:snapToGrid w:val="0"/>
        </w:rPr>
        <w:t xml:space="preserve"> and other alternatives </w:t>
      </w:r>
      <w:r w:rsidR="00FF0303">
        <w:rPr>
          <w:rFonts w:eastAsia="MS Mincho"/>
          <w:snapToGrid w:val="0"/>
        </w:rPr>
        <w:t xml:space="preserve">is </w:t>
      </w:r>
      <w:r w:rsidRPr="00D56769">
        <w:rPr>
          <w:rFonts w:eastAsia="MS Mincho"/>
          <w:snapToGrid w:val="0"/>
        </w:rPr>
        <w:t xml:space="preserve">growing, replacing </w:t>
      </w:r>
      <w:r w:rsidR="00D56769" w:rsidRPr="00D56769">
        <w:rPr>
          <w:rFonts w:eastAsia="MS Mincho"/>
          <w:snapToGrid w:val="0"/>
        </w:rPr>
        <w:t xml:space="preserve">pressurized metered-dose </w:t>
      </w:r>
      <w:r w:rsidR="00D56769" w:rsidRPr="00D56769">
        <w:rPr>
          <w:color w:val="000000" w:themeColor="text1"/>
        </w:rPr>
        <w:t>inhalers</w:t>
      </w:r>
      <w:r w:rsidRPr="00D56769">
        <w:rPr>
          <w:rFonts w:eastAsia="MS Mincho"/>
          <w:snapToGrid w:val="0"/>
        </w:rPr>
        <w:t xml:space="preserve"> would require</w:t>
      </w:r>
      <w:r w:rsidRPr="007B18B3">
        <w:rPr>
          <w:rFonts w:eastAsia="MS Mincho"/>
          <w:snapToGrid w:val="0"/>
        </w:rPr>
        <w:t xml:space="preserve"> substantial investment, manufacturing changes, and time.</w:t>
      </w:r>
    </w:p>
    <w:p w14:paraId="62419A49" w14:textId="3C21FBCD" w:rsidR="00E62558" w:rsidRPr="007B18B3" w:rsidRDefault="00E62558" w:rsidP="00836849">
      <w:pPr>
        <w:pStyle w:val="Normalnumber"/>
        <w:tabs>
          <w:tab w:val="clear" w:pos="1247"/>
          <w:tab w:val="clear" w:pos="1814"/>
          <w:tab w:val="clear" w:pos="2381"/>
          <w:tab w:val="clear" w:pos="2948"/>
          <w:tab w:val="clear" w:pos="3515"/>
          <w:tab w:val="left" w:pos="624"/>
        </w:tabs>
        <w:ind w:left="1247"/>
        <w:rPr>
          <w:rFonts w:eastAsia="MS Mincho"/>
          <w:snapToGrid w:val="0"/>
        </w:rPr>
      </w:pPr>
      <w:r w:rsidRPr="007B18B3">
        <w:rPr>
          <w:rFonts w:eastAsia="MS Mincho"/>
          <w:snapToGrid w:val="0"/>
        </w:rPr>
        <w:t xml:space="preserve">As the global use of HFCs declines, the proportion used in </w:t>
      </w:r>
      <w:r w:rsidR="009F50F7" w:rsidRPr="007B18B3">
        <w:rPr>
          <w:rFonts w:eastAsia="MS Mincho"/>
          <w:snapToGrid w:val="0"/>
        </w:rPr>
        <w:t>pressuri</w:t>
      </w:r>
      <w:r w:rsidR="009F50F7">
        <w:rPr>
          <w:rFonts w:eastAsia="MS Mincho"/>
          <w:snapToGrid w:val="0"/>
        </w:rPr>
        <w:t>z</w:t>
      </w:r>
      <w:r w:rsidR="009F50F7" w:rsidRPr="007B18B3">
        <w:rPr>
          <w:rFonts w:eastAsia="MS Mincho"/>
          <w:snapToGrid w:val="0"/>
        </w:rPr>
        <w:t xml:space="preserve">ed metered-dose </w:t>
      </w:r>
      <w:r w:rsidR="009F50F7" w:rsidRPr="00AF7664">
        <w:rPr>
          <w:color w:val="000000" w:themeColor="text1"/>
        </w:rPr>
        <w:t>inhalers</w:t>
      </w:r>
      <w:r w:rsidRPr="007B18B3">
        <w:rPr>
          <w:rFonts w:eastAsia="MS Mincho"/>
          <w:snapToGrid w:val="0"/>
        </w:rPr>
        <w:t xml:space="preserve"> is becoming increasingly important. New European Union regulations aimed at reducing HFC consumption may affect the </w:t>
      </w:r>
      <w:r w:rsidRPr="00836849">
        <w:rPr>
          <w:color w:val="000000" w:themeColor="text1"/>
        </w:rPr>
        <w:t>future</w:t>
      </w:r>
      <w:r w:rsidRPr="007B18B3">
        <w:rPr>
          <w:rFonts w:eastAsia="MS Mincho"/>
          <w:snapToGrid w:val="0"/>
        </w:rPr>
        <w:t xml:space="preserve"> supply of </w:t>
      </w:r>
      <w:r w:rsidR="001A6910">
        <w:rPr>
          <w:rFonts w:eastAsia="MS Mincho"/>
          <w:snapToGrid w:val="0"/>
        </w:rPr>
        <w:t xml:space="preserve">the </w:t>
      </w:r>
      <w:r w:rsidRPr="007B18B3">
        <w:rPr>
          <w:rFonts w:eastAsia="MS Mincho"/>
          <w:snapToGrid w:val="0"/>
        </w:rPr>
        <w:t>pharmaceutical-grade HFCs needed for inhalers. Reviews and policy measures are therefore being planned to prevent shortages and maintain healthcare access.</w:t>
      </w:r>
    </w:p>
    <w:p w14:paraId="09C8DDC8" w14:textId="584C0C1B" w:rsidR="00E62558" w:rsidRDefault="00E62558" w:rsidP="00836849">
      <w:pPr>
        <w:pStyle w:val="Normalnumber"/>
        <w:tabs>
          <w:tab w:val="clear" w:pos="1247"/>
          <w:tab w:val="clear" w:pos="1814"/>
          <w:tab w:val="clear" w:pos="2381"/>
          <w:tab w:val="clear" w:pos="2948"/>
          <w:tab w:val="clear" w:pos="3515"/>
          <w:tab w:val="left" w:pos="624"/>
        </w:tabs>
        <w:ind w:left="1247"/>
        <w:rPr>
          <w:rFonts w:eastAsia="MS Mincho"/>
          <w:snapToGrid w:val="0"/>
        </w:rPr>
      </w:pPr>
      <w:r w:rsidRPr="007B18B3">
        <w:rPr>
          <w:rFonts w:eastAsia="MS Mincho"/>
          <w:snapToGrid w:val="0"/>
        </w:rPr>
        <w:t xml:space="preserve">The United States </w:t>
      </w:r>
      <w:r w:rsidR="00C875A7">
        <w:rPr>
          <w:rFonts w:eastAsia="MS Mincho"/>
          <w:snapToGrid w:val="0"/>
        </w:rPr>
        <w:t xml:space="preserve">of America </w:t>
      </w:r>
      <w:r w:rsidRPr="007B18B3">
        <w:rPr>
          <w:rFonts w:eastAsia="MS Mincho"/>
          <w:snapToGrid w:val="0"/>
        </w:rPr>
        <w:t xml:space="preserve">and major European countries continue to dominate the global inhaler market, with increasing demand for newer combination inhalers for severe asthma and </w:t>
      </w:r>
      <w:r w:rsidR="0034114B" w:rsidRPr="007B18B3">
        <w:rPr>
          <w:rFonts w:eastAsia="MS Mincho"/>
          <w:snapToGrid w:val="0"/>
        </w:rPr>
        <w:t xml:space="preserve">chronic obstructive pulmonary </w:t>
      </w:r>
      <w:r w:rsidR="0034114B" w:rsidRPr="008C7813">
        <w:rPr>
          <w:rFonts w:eastAsia="MS Mincho"/>
          <w:snapToGrid w:val="0"/>
        </w:rPr>
        <w:t>disease</w:t>
      </w:r>
      <w:r w:rsidRPr="007B18B3">
        <w:rPr>
          <w:rFonts w:eastAsia="MS Mincho"/>
          <w:snapToGrid w:val="0"/>
        </w:rPr>
        <w:t xml:space="preserve">. Transitioning either to </w:t>
      </w:r>
      <w:r w:rsidR="0034114B" w:rsidRPr="007B18B3">
        <w:rPr>
          <w:rFonts w:eastAsia="MS Mincho"/>
          <w:snapToGrid w:val="0"/>
        </w:rPr>
        <w:t>dry powder inhalers</w:t>
      </w:r>
      <w:r w:rsidRPr="007B18B3">
        <w:rPr>
          <w:rFonts w:eastAsia="MS Mincho"/>
          <w:snapToGrid w:val="0"/>
        </w:rPr>
        <w:t xml:space="preserve"> or to </w:t>
      </w:r>
      <w:r w:rsidR="0034114B" w:rsidRPr="007B18B3">
        <w:rPr>
          <w:rFonts w:eastAsia="MS Mincho"/>
          <w:snapToGrid w:val="0"/>
        </w:rPr>
        <w:t>pressuri</w:t>
      </w:r>
      <w:r w:rsidR="0034114B">
        <w:rPr>
          <w:rFonts w:eastAsia="MS Mincho"/>
          <w:snapToGrid w:val="0"/>
        </w:rPr>
        <w:t>z</w:t>
      </w:r>
      <w:r w:rsidR="0034114B" w:rsidRPr="007B18B3">
        <w:rPr>
          <w:rFonts w:eastAsia="MS Mincho"/>
          <w:snapToGrid w:val="0"/>
        </w:rPr>
        <w:t xml:space="preserve">ed </w:t>
      </w:r>
      <w:r w:rsidR="002243E9">
        <w:rPr>
          <w:rFonts w:eastAsia="MS Mincho"/>
          <w:snapToGrid w:val="0"/>
        </w:rPr>
        <w:t>metered</w:t>
      </w:r>
      <w:r w:rsidR="002243E9">
        <w:rPr>
          <w:rFonts w:eastAsia="MS Mincho"/>
          <w:snapToGrid w:val="0"/>
        </w:rPr>
        <w:noBreakHyphen/>
      </w:r>
      <w:r w:rsidR="0034114B" w:rsidRPr="007B18B3">
        <w:rPr>
          <w:rFonts w:eastAsia="MS Mincho"/>
          <w:snapToGrid w:val="0"/>
        </w:rPr>
        <w:t xml:space="preserve">dose </w:t>
      </w:r>
      <w:r w:rsidR="0034114B" w:rsidRPr="00D56769">
        <w:rPr>
          <w:color w:val="000000" w:themeColor="text1"/>
        </w:rPr>
        <w:t>inhalers</w:t>
      </w:r>
      <w:r w:rsidRPr="007B18B3">
        <w:rPr>
          <w:rFonts w:eastAsia="MS Mincho"/>
          <w:snapToGrid w:val="0"/>
        </w:rPr>
        <w:t xml:space="preserve"> using </w:t>
      </w:r>
      <w:r w:rsidRPr="006663BB">
        <w:rPr>
          <w:rFonts w:eastAsia="MS Mincho"/>
          <w:snapToGrid w:val="0"/>
        </w:rPr>
        <w:t>lower</w:t>
      </w:r>
      <w:r w:rsidR="00292552" w:rsidRPr="006663BB">
        <w:rPr>
          <w:rFonts w:eastAsia="MS Mincho"/>
          <w:snapToGrid w:val="0"/>
        </w:rPr>
        <w:t>-</w:t>
      </w:r>
      <w:r w:rsidRPr="006663BB">
        <w:rPr>
          <w:rFonts w:eastAsia="MS Mincho"/>
          <w:snapToGrid w:val="0"/>
        </w:rPr>
        <w:t>global</w:t>
      </w:r>
      <w:r w:rsidR="00292552" w:rsidRPr="006663BB">
        <w:rPr>
          <w:rFonts w:eastAsia="MS Mincho"/>
          <w:snapToGrid w:val="0"/>
        </w:rPr>
        <w:t>-</w:t>
      </w:r>
      <w:r w:rsidRPr="006663BB">
        <w:rPr>
          <w:rFonts w:eastAsia="MS Mincho"/>
          <w:snapToGrid w:val="0"/>
        </w:rPr>
        <w:t>warming</w:t>
      </w:r>
      <w:r w:rsidR="00292552" w:rsidRPr="006663BB">
        <w:rPr>
          <w:rFonts w:eastAsia="MS Mincho"/>
          <w:snapToGrid w:val="0"/>
        </w:rPr>
        <w:t>-</w:t>
      </w:r>
      <w:r w:rsidRPr="006663BB">
        <w:rPr>
          <w:rFonts w:eastAsia="MS Mincho"/>
          <w:snapToGrid w:val="0"/>
        </w:rPr>
        <w:t>potential propellants w</w:t>
      </w:r>
      <w:r w:rsidR="00C875A7" w:rsidRPr="006663BB">
        <w:rPr>
          <w:rFonts w:eastAsia="MS Mincho"/>
          <w:snapToGrid w:val="0"/>
        </w:rPr>
        <w:t>ould</w:t>
      </w:r>
      <w:r w:rsidRPr="006663BB">
        <w:rPr>
          <w:rFonts w:eastAsia="MS Mincho"/>
          <w:snapToGrid w:val="0"/>
        </w:rPr>
        <w:t xml:space="preserve"> require</w:t>
      </w:r>
      <w:r w:rsidRPr="007B18B3">
        <w:rPr>
          <w:rFonts w:eastAsia="MS Mincho"/>
          <w:snapToGrid w:val="0"/>
        </w:rPr>
        <w:t xml:space="preserve"> major technological upgrades and infrastructure investment.</w:t>
      </w:r>
    </w:p>
    <w:p w14:paraId="79F0ED69" w14:textId="0683322F" w:rsidR="00E62558" w:rsidRPr="00282BEA" w:rsidRDefault="00E62558" w:rsidP="00836849">
      <w:pPr>
        <w:pStyle w:val="Normalnumber"/>
        <w:tabs>
          <w:tab w:val="clear" w:pos="1247"/>
          <w:tab w:val="clear" w:pos="1814"/>
          <w:tab w:val="clear" w:pos="2381"/>
          <w:tab w:val="clear" w:pos="2948"/>
          <w:tab w:val="clear" w:pos="3515"/>
          <w:tab w:val="left" w:pos="624"/>
        </w:tabs>
        <w:ind w:left="1247"/>
        <w:rPr>
          <w:rFonts w:eastAsia="MS Mincho"/>
          <w:snapToGrid w:val="0"/>
        </w:rPr>
      </w:pPr>
      <w:r w:rsidRPr="00282BEA">
        <w:rPr>
          <w:rFonts w:eastAsia="MS Mincho"/>
          <w:snapToGrid w:val="0"/>
        </w:rPr>
        <w:t>Supply</w:t>
      </w:r>
      <w:r w:rsidR="001A6910">
        <w:rPr>
          <w:rFonts w:eastAsia="MS Mincho"/>
          <w:snapToGrid w:val="0"/>
        </w:rPr>
        <w:t>ing</w:t>
      </w:r>
      <w:r w:rsidRPr="00282BEA">
        <w:rPr>
          <w:rFonts w:eastAsia="MS Mincho"/>
          <w:snapToGrid w:val="0"/>
        </w:rPr>
        <w:t xml:space="preserve"> </w:t>
      </w:r>
      <w:r w:rsidR="001A6910">
        <w:rPr>
          <w:rFonts w:eastAsia="MS Mincho"/>
          <w:snapToGrid w:val="0"/>
        </w:rPr>
        <w:t xml:space="preserve">the </w:t>
      </w:r>
      <w:r w:rsidRPr="00282BEA">
        <w:rPr>
          <w:rFonts w:eastAsia="MS Mincho"/>
          <w:snapToGrid w:val="0"/>
        </w:rPr>
        <w:t>pharmaceutical-grade HFC propellants used in inhalers – mainly HFC-134a and HFC-227ea</w:t>
      </w:r>
      <w:r>
        <w:rPr>
          <w:rFonts w:eastAsia="MS Mincho"/>
          <w:snapToGrid w:val="0"/>
        </w:rPr>
        <w:t xml:space="preserve"> </w:t>
      </w:r>
      <w:r w:rsidRPr="00282BEA">
        <w:rPr>
          <w:rFonts w:eastAsia="MS Mincho"/>
          <w:snapToGrid w:val="0"/>
        </w:rPr>
        <w:t>– is becoming increasingly challenging during the transition to lower-</w:t>
      </w:r>
      <w:r w:rsidR="00AF2049">
        <w:rPr>
          <w:rFonts w:eastAsia="MS Mincho"/>
          <w:snapToGrid w:val="0"/>
        </w:rPr>
        <w:t>global-warming-potential</w:t>
      </w:r>
      <w:r w:rsidRPr="00282BEA">
        <w:rPr>
          <w:rFonts w:eastAsia="MS Mincho"/>
          <w:snapToGrid w:val="0"/>
        </w:rPr>
        <w:t xml:space="preserve"> alternatives. </w:t>
      </w:r>
      <w:r w:rsidR="001A6910">
        <w:rPr>
          <w:rFonts w:eastAsia="MS Mincho"/>
          <w:snapToGrid w:val="0"/>
        </w:rPr>
        <w:t>The p</w:t>
      </w:r>
      <w:r w:rsidRPr="00282BEA">
        <w:rPr>
          <w:rFonts w:eastAsia="MS Mincho"/>
          <w:snapToGrid w:val="0"/>
        </w:rPr>
        <w:t>roduction</w:t>
      </w:r>
      <w:r w:rsidR="00B37035">
        <w:rPr>
          <w:rFonts w:eastAsia="MS Mincho"/>
          <w:snapToGrid w:val="0"/>
        </w:rPr>
        <w:t xml:space="preserve"> of such propellants</w:t>
      </w:r>
      <w:r w:rsidRPr="00282BEA">
        <w:rPr>
          <w:rFonts w:eastAsia="MS Mincho"/>
          <w:snapToGrid w:val="0"/>
        </w:rPr>
        <w:t xml:space="preserve"> is highly concentrated in a few manufacturers</w:t>
      </w:r>
      <w:r w:rsidR="00676916">
        <w:rPr>
          <w:rFonts w:eastAsia="MS Mincho"/>
          <w:snapToGrid w:val="0"/>
        </w:rPr>
        <w:t>,</w:t>
      </w:r>
      <w:r w:rsidRPr="00282BEA">
        <w:rPr>
          <w:rFonts w:eastAsia="MS Mincho"/>
          <w:snapToGrid w:val="0"/>
        </w:rPr>
        <w:t xml:space="preserve"> and changing industrial demand is leading to plant closures or consolidation, which may affect long-term stability. While supply is expected to continue into the early 2030s, costs may rise and regional shortages, particularly in Europe, are possible due to quota systems and stricter regulations. Additional administrative controls on production and export further complicate availability. Emerging production capacity in countries such as India and China may help </w:t>
      </w:r>
      <w:r w:rsidR="00073901">
        <w:rPr>
          <w:rFonts w:eastAsia="MS Mincho"/>
          <w:snapToGrid w:val="0"/>
        </w:rPr>
        <w:t xml:space="preserve">to </w:t>
      </w:r>
      <w:r w:rsidRPr="00282BEA">
        <w:rPr>
          <w:rFonts w:eastAsia="MS Mincho"/>
          <w:snapToGrid w:val="0"/>
        </w:rPr>
        <w:t>diversify future supply of both existing HFCs and newer alternatives.</w:t>
      </w:r>
    </w:p>
    <w:p w14:paraId="2AD0D858" w14:textId="4FD9827D" w:rsidR="00E62558" w:rsidRPr="00DF4A67" w:rsidRDefault="00E62558" w:rsidP="00836849">
      <w:pPr>
        <w:pStyle w:val="Normalnumber"/>
        <w:tabs>
          <w:tab w:val="clear" w:pos="1247"/>
          <w:tab w:val="clear" w:pos="1814"/>
          <w:tab w:val="clear" w:pos="2381"/>
          <w:tab w:val="clear" w:pos="2948"/>
          <w:tab w:val="clear" w:pos="3515"/>
          <w:tab w:val="left" w:pos="624"/>
        </w:tabs>
        <w:ind w:left="1247"/>
        <w:rPr>
          <w:rFonts w:eastAsia="MS Mincho"/>
          <w:snapToGrid w:val="0"/>
        </w:rPr>
      </w:pPr>
      <w:r>
        <w:rPr>
          <w:rFonts w:eastAsia="MS Mincho"/>
          <w:snapToGrid w:val="0"/>
        </w:rPr>
        <w:t>T</w:t>
      </w:r>
      <w:r w:rsidRPr="000A10CA">
        <w:rPr>
          <w:rFonts w:eastAsia="MS Mincho"/>
          <w:snapToGrid w:val="0"/>
        </w:rPr>
        <w:t>he transition to lower-</w:t>
      </w:r>
      <w:r w:rsidR="00705345">
        <w:rPr>
          <w:rFonts w:eastAsia="MS Mincho"/>
          <w:snapToGrid w:val="0"/>
        </w:rPr>
        <w:t>global-warming-potential</w:t>
      </w:r>
      <w:r w:rsidRPr="000A10CA">
        <w:rPr>
          <w:rFonts w:eastAsia="MS Mincho"/>
          <w:snapToGrid w:val="0"/>
        </w:rPr>
        <w:t xml:space="preserve"> propellants in </w:t>
      </w:r>
      <w:r w:rsidR="0034114B" w:rsidRPr="007B18B3">
        <w:rPr>
          <w:rFonts w:eastAsia="MS Mincho"/>
          <w:snapToGrid w:val="0"/>
        </w:rPr>
        <w:t>pressuri</w:t>
      </w:r>
      <w:r w:rsidR="0034114B">
        <w:rPr>
          <w:rFonts w:eastAsia="MS Mincho"/>
          <w:snapToGrid w:val="0"/>
        </w:rPr>
        <w:t>z</w:t>
      </w:r>
      <w:r w:rsidR="0034114B" w:rsidRPr="007B18B3">
        <w:rPr>
          <w:rFonts w:eastAsia="MS Mincho"/>
          <w:snapToGrid w:val="0"/>
        </w:rPr>
        <w:t xml:space="preserve">ed metered-dose </w:t>
      </w:r>
      <w:r w:rsidR="0034114B" w:rsidRPr="00D56769">
        <w:rPr>
          <w:color w:val="000000" w:themeColor="text1"/>
        </w:rPr>
        <w:t>inhalers</w:t>
      </w:r>
      <w:r w:rsidRPr="000A10CA">
        <w:rPr>
          <w:rFonts w:eastAsia="MS Mincho"/>
          <w:snapToGrid w:val="0"/>
        </w:rPr>
        <w:t xml:space="preserve"> is progressing but continues to face many challenges, including evolving environmental regulations, </w:t>
      </w:r>
      <w:r w:rsidR="00162785">
        <w:rPr>
          <w:rFonts w:eastAsia="MS Mincho"/>
          <w:snapToGrid w:val="0"/>
        </w:rPr>
        <w:t xml:space="preserve">the </w:t>
      </w:r>
      <w:r w:rsidRPr="000A10CA">
        <w:rPr>
          <w:rFonts w:eastAsia="MS Mincho"/>
          <w:snapToGrid w:val="0"/>
        </w:rPr>
        <w:t>stab</w:t>
      </w:r>
      <w:r w:rsidR="00162785">
        <w:rPr>
          <w:rFonts w:eastAsia="MS Mincho"/>
          <w:snapToGrid w:val="0"/>
        </w:rPr>
        <w:t>ility</w:t>
      </w:r>
      <w:r w:rsidRPr="000A10CA">
        <w:rPr>
          <w:rFonts w:eastAsia="MS Mincho"/>
          <w:snapToGrid w:val="0"/>
        </w:rPr>
        <w:t xml:space="preserve"> </w:t>
      </w:r>
      <w:r w:rsidR="00162785">
        <w:rPr>
          <w:rFonts w:eastAsia="MS Mincho"/>
          <w:snapToGrid w:val="0"/>
        </w:rPr>
        <w:t xml:space="preserve">of the </w:t>
      </w:r>
      <w:r w:rsidRPr="000A10CA">
        <w:rPr>
          <w:rFonts w:eastAsia="MS Mincho"/>
          <w:snapToGrid w:val="0"/>
        </w:rPr>
        <w:t xml:space="preserve">supply of pharmaceutical-grade HFCs, </w:t>
      </w:r>
      <w:r w:rsidRPr="00836849">
        <w:rPr>
          <w:color w:val="000000" w:themeColor="text1"/>
        </w:rPr>
        <w:t>affordability</w:t>
      </w:r>
      <w:r w:rsidRPr="000A10CA">
        <w:rPr>
          <w:rFonts w:eastAsia="MS Mincho"/>
          <w:snapToGrid w:val="0"/>
        </w:rPr>
        <w:t xml:space="preserve"> and availability of alternative devices, regulatory approval and market launch of new inhalers, and patient acceptance.</w:t>
      </w:r>
      <w:r>
        <w:rPr>
          <w:rFonts w:eastAsia="MS Mincho"/>
          <w:snapToGrid w:val="0"/>
        </w:rPr>
        <w:t xml:space="preserve"> </w:t>
      </w:r>
    </w:p>
    <w:p w14:paraId="290883E8" w14:textId="2CBB21D3" w:rsidR="00E62558" w:rsidRPr="000A10CA" w:rsidRDefault="00E62558" w:rsidP="00836849">
      <w:pPr>
        <w:pStyle w:val="Normalnumber"/>
        <w:tabs>
          <w:tab w:val="clear" w:pos="1247"/>
          <w:tab w:val="clear" w:pos="1814"/>
          <w:tab w:val="clear" w:pos="2381"/>
          <w:tab w:val="clear" w:pos="2948"/>
          <w:tab w:val="clear" w:pos="3515"/>
          <w:tab w:val="left" w:pos="624"/>
        </w:tabs>
        <w:ind w:left="1247"/>
        <w:rPr>
          <w:rFonts w:eastAsia="MS Mincho"/>
          <w:snapToGrid w:val="0"/>
        </w:rPr>
      </w:pPr>
      <w:r w:rsidRPr="000A10CA">
        <w:rPr>
          <w:rFonts w:eastAsia="MS Mincho"/>
          <w:snapToGrid w:val="0"/>
        </w:rPr>
        <w:t xml:space="preserve">Two key alternative propellants are being developed: HFC-152a </w:t>
      </w:r>
      <w:r>
        <w:rPr>
          <w:rFonts w:eastAsia="MS Mincho"/>
          <w:snapToGrid w:val="0"/>
        </w:rPr>
        <w:t xml:space="preserve">(with </w:t>
      </w:r>
      <w:r w:rsidR="00A73AC6">
        <w:rPr>
          <w:rFonts w:eastAsia="MS Mincho"/>
          <w:snapToGrid w:val="0"/>
        </w:rPr>
        <w:t xml:space="preserve">a </w:t>
      </w:r>
      <w:r w:rsidR="000A341C">
        <w:rPr>
          <w:rFonts w:eastAsia="MS Mincho"/>
          <w:snapToGrid w:val="0"/>
        </w:rPr>
        <w:t>global</w:t>
      </w:r>
      <w:r w:rsidR="00973BC1">
        <w:rPr>
          <w:rFonts w:eastAsia="MS Mincho"/>
          <w:snapToGrid w:val="0"/>
        </w:rPr>
        <w:t xml:space="preserve"> </w:t>
      </w:r>
      <w:r w:rsidR="000A341C">
        <w:rPr>
          <w:rFonts w:eastAsia="MS Mincho"/>
          <w:snapToGrid w:val="0"/>
        </w:rPr>
        <w:t>warming</w:t>
      </w:r>
      <w:r w:rsidR="00260385">
        <w:rPr>
          <w:rFonts w:eastAsia="MS Mincho"/>
          <w:snapToGrid w:val="0"/>
        </w:rPr>
        <w:t xml:space="preserve"> </w:t>
      </w:r>
      <w:r w:rsidR="000A341C">
        <w:rPr>
          <w:rFonts w:eastAsia="MS Mincho"/>
          <w:snapToGrid w:val="0"/>
        </w:rPr>
        <w:t>potential</w:t>
      </w:r>
      <w:r w:rsidR="00260385">
        <w:rPr>
          <w:rFonts w:eastAsia="MS Mincho"/>
          <w:snapToGrid w:val="0"/>
        </w:rPr>
        <w:t xml:space="preserve"> </w:t>
      </w:r>
      <w:r>
        <w:rPr>
          <w:rFonts w:eastAsia="MS Mincho"/>
          <w:snapToGrid w:val="0"/>
        </w:rPr>
        <w:t xml:space="preserve">of 124) </w:t>
      </w:r>
      <w:r w:rsidRPr="000A10CA">
        <w:rPr>
          <w:rFonts w:eastAsia="MS Mincho"/>
          <w:snapToGrid w:val="0"/>
        </w:rPr>
        <w:t>and HFO-1234ze(E).</w:t>
      </w:r>
      <w:r>
        <w:rPr>
          <w:rFonts w:eastAsia="MS Mincho"/>
          <w:snapToGrid w:val="0"/>
        </w:rPr>
        <w:t xml:space="preserve"> </w:t>
      </w:r>
      <w:r w:rsidRPr="000A10CA">
        <w:rPr>
          <w:rFonts w:eastAsia="MS Mincho"/>
          <w:snapToGrid w:val="0"/>
        </w:rPr>
        <w:t xml:space="preserve">HFC-152a is already widely used in industry, is more flammable than current propellants and </w:t>
      </w:r>
      <w:r w:rsidRPr="00836849">
        <w:rPr>
          <w:color w:val="000000" w:themeColor="text1"/>
        </w:rPr>
        <w:t>requires</w:t>
      </w:r>
      <w:r w:rsidRPr="000A10CA">
        <w:rPr>
          <w:rFonts w:eastAsia="MS Mincho"/>
          <w:snapToGrid w:val="0"/>
        </w:rPr>
        <w:t xml:space="preserve"> upgraded manufacturing safety systems, but clinical studies show no toxicity</w:t>
      </w:r>
      <w:r w:rsidR="00B843BB">
        <w:rPr>
          <w:rFonts w:eastAsia="MS Mincho"/>
          <w:snapToGrid w:val="0"/>
        </w:rPr>
        <w:t>,</w:t>
      </w:r>
      <w:r w:rsidRPr="000A10CA">
        <w:rPr>
          <w:rFonts w:eastAsia="MS Mincho"/>
          <w:snapToGrid w:val="0"/>
        </w:rPr>
        <w:t xml:space="preserve"> and regulatory submissions are underway in several countries. HFO</w:t>
      </w:r>
      <w:r w:rsidR="00A73AC6">
        <w:rPr>
          <w:rFonts w:eastAsia="MS Mincho"/>
          <w:snapToGrid w:val="0"/>
        </w:rPr>
        <w:noBreakHyphen/>
      </w:r>
      <w:r w:rsidRPr="000A10CA">
        <w:rPr>
          <w:rFonts w:eastAsia="MS Mincho"/>
          <w:snapToGrid w:val="0"/>
        </w:rPr>
        <w:t>1234ze(E) is also widely used in non-medical applications, has shown no toxicity in studies and is already in commercial pharmaceutical-grade production</w:t>
      </w:r>
      <w:r w:rsidR="00E25C47">
        <w:rPr>
          <w:rFonts w:eastAsia="MS Mincho"/>
          <w:snapToGrid w:val="0"/>
        </w:rPr>
        <w:t>,</w:t>
      </w:r>
      <w:r w:rsidRPr="000A10CA">
        <w:rPr>
          <w:rFonts w:eastAsia="MS Mincho"/>
          <w:snapToGrid w:val="0"/>
        </w:rPr>
        <w:t xml:space="preserve"> with regulatory filings completed in major markets.</w:t>
      </w:r>
    </w:p>
    <w:p w14:paraId="46B93040" w14:textId="4EBA0846" w:rsidR="00E62558" w:rsidRDefault="00E62558" w:rsidP="00E62558">
      <w:pPr>
        <w:pStyle w:val="Normalnumber"/>
      </w:pPr>
      <w:r w:rsidRPr="00944249">
        <w:t xml:space="preserve">At least </w:t>
      </w:r>
      <w:r w:rsidR="00A73AC6">
        <w:t>10</w:t>
      </w:r>
      <w:r w:rsidR="00A73AC6" w:rsidRPr="00944249">
        <w:t xml:space="preserve"> </w:t>
      </w:r>
      <w:r w:rsidRPr="00944249">
        <w:t xml:space="preserve">companies </w:t>
      </w:r>
      <w:r w:rsidR="00480409">
        <w:t>worldwide</w:t>
      </w:r>
      <w:r w:rsidR="00480409" w:rsidRPr="00944249">
        <w:t xml:space="preserve"> </w:t>
      </w:r>
      <w:r w:rsidRPr="00944249">
        <w:t xml:space="preserve">appear to be developing </w:t>
      </w:r>
      <w:r w:rsidR="0034114B" w:rsidRPr="007B18B3">
        <w:rPr>
          <w:rFonts w:eastAsia="MS Mincho"/>
          <w:snapToGrid w:val="0"/>
        </w:rPr>
        <w:t>pressuri</w:t>
      </w:r>
      <w:r w:rsidR="0034114B">
        <w:rPr>
          <w:rFonts w:eastAsia="MS Mincho"/>
          <w:snapToGrid w:val="0"/>
        </w:rPr>
        <w:t>z</w:t>
      </w:r>
      <w:r w:rsidR="0034114B" w:rsidRPr="007B18B3">
        <w:rPr>
          <w:rFonts w:eastAsia="MS Mincho"/>
          <w:snapToGrid w:val="0"/>
        </w:rPr>
        <w:t xml:space="preserve">ed metered-dose </w:t>
      </w:r>
      <w:r w:rsidR="0034114B" w:rsidRPr="00D56769">
        <w:rPr>
          <w:color w:val="000000" w:themeColor="text1"/>
        </w:rPr>
        <w:t>inhalers</w:t>
      </w:r>
      <w:r w:rsidRPr="00944249">
        <w:t xml:space="preserve"> containing </w:t>
      </w:r>
      <w:r>
        <w:t xml:space="preserve">these </w:t>
      </w:r>
      <w:r w:rsidRPr="00944249">
        <w:t xml:space="preserve">pharmaceutical-grade lower </w:t>
      </w:r>
      <w:r w:rsidR="00A73AC6">
        <w:rPr>
          <w:rFonts w:eastAsia="MS Mincho"/>
          <w:snapToGrid w:val="0"/>
        </w:rPr>
        <w:t>global-warming-potential</w:t>
      </w:r>
      <w:r w:rsidRPr="00944249">
        <w:t xml:space="preserve"> propellants, including three companies in India and one in Bangladesh. Several generics manufacturers in Latin America are also developing lower </w:t>
      </w:r>
      <w:r w:rsidR="00A73AC6">
        <w:rPr>
          <w:rFonts w:eastAsia="MS Mincho"/>
          <w:snapToGrid w:val="0"/>
        </w:rPr>
        <w:t>global-warming-potential</w:t>
      </w:r>
      <w:r w:rsidRPr="00944249">
        <w:t xml:space="preserve"> </w:t>
      </w:r>
      <w:r w:rsidR="0034114B" w:rsidRPr="007B18B3">
        <w:rPr>
          <w:rFonts w:eastAsia="MS Mincho"/>
          <w:snapToGrid w:val="0"/>
        </w:rPr>
        <w:t>pressuri</w:t>
      </w:r>
      <w:r w:rsidR="0034114B">
        <w:rPr>
          <w:rFonts w:eastAsia="MS Mincho"/>
          <w:snapToGrid w:val="0"/>
        </w:rPr>
        <w:t>z</w:t>
      </w:r>
      <w:r w:rsidR="0034114B" w:rsidRPr="007B18B3">
        <w:rPr>
          <w:rFonts w:eastAsia="MS Mincho"/>
          <w:snapToGrid w:val="0"/>
        </w:rPr>
        <w:t xml:space="preserve">ed metered-dose </w:t>
      </w:r>
      <w:r w:rsidR="0034114B" w:rsidRPr="00D56769">
        <w:rPr>
          <w:color w:val="000000" w:themeColor="text1"/>
        </w:rPr>
        <w:t>inhalers</w:t>
      </w:r>
      <w:r>
        <w:t>, while</w:t>
      </w:r>
      <w:r w:rsidRPr="00944249">
        <w:t xml:space="preserve"> </w:t>
      </w:r>
      <w:r>
        <w:t>t</w:t>
      </w:r>
      <w:r w:rsidRPr="00944249">
        <w:t xml:space="preserve">wo companies in China have initiated </w:t>
      </w:r>
      <w:r w:rsidR="00DF1B3B">
        <w:t xml:space="preserve">the </w:t>
      </w:r>
      <w:r w:rsidRPr="00944249">
        <w:t>development of HFO</w:t>
      </w:r>
      <w:r w:rsidR="00A73AC6">
        <w:noBreakHyphen/>
      </w:r>
      <w:r w:rsidRPr="00944249">
        <w:t>1234ze(E)</w:t>
      </w:r>
      <w:r w:rsidR="00005D80">
        <w:t xml:space="preserve"> as a </w:t>
      </w:r>
      <w:r w:rsidR="00005D80" w:rsidRPr="00944249">
        <w:t>bulk propellant</w:t>
      </w:r>
      <w:r w:rsidRPr="00944249">
        <w:t>.</w:t>
      </w:r>
    </w:p>
    <w:p w14:paraId="497CE057" w14:textId="0C17A45A" w:rsidR="00E62558" w:rsidRDefault="00E62558" w:rsidP="00836849">
      <w:pPr>
        <w:pStyle w:val="Normalnumber"/>
        <w:tabs>
          <w:tab w:val="clear" w:pos="1247"/>
          <w:tab w:val="clear" w:pos="1814"/>
          <w:tab w:val="clear" w:pos="2381"/>
          <w:tab w:val="clear" w:pos="2948"/>
          <w:tab w:val="clear" w:pos="3515"/>
          <w:tab w:val="left" w:pos="624"/>
        </w:tabs>
        <w:ind w:left="1247"/>
      </w:pPr>
      <w:r w:rsidRPr="0082778C">
        <w:t>Small and medium</w:t>
      </w:r>
      <w:r w:rsidR="00A73AC6">
        <w:t>-sized</w:t>
      </w:r>
      <w:r w:rsidRPr="0082778C">
        <w:t xml:space="preserve"> manufacturers in low- and middle-income countries are particularly vulnerable because they often lack the licences, funding and regulatory capacity needed to shift to lower-</w:t>
      </w:r>
      <w:r w:rsidR="00A73AC6">
        <w:rPr>
          <w:rFonts w:eastAsia="MS Mincho"/>
          <w:snapToGrid w:val="0"/>
        </w:rPr>
        <w:t>global-warming-potential</w:t>
      </w:r>
      <w:r w:rsidRPr="0082778C">
        <w:t xml:space="preserve"> products. Without support, many may struggle to make the transition, which could widen global inequalities. Partnerships or consolidation with larger manufacturers may therefore be necessary</w:t>
      </w:r>
      <w:r>
        <w:t xml:space="preserve"> </w:t>
      </w:r>
      <w:r w:rsidRPr="00836849">
        <w:rPr>
          <w:color w:val="000000" w:themeColor="text1"/>
        </w:rPr>
        <w:t>for</w:t>
      </w:r>
      <w:r>
        <w:t xml:space="preserve"> these manufacturers </w:t>
      </w:r>
      <w:r w:rsidRPr="0082778C">
        <w:t>to maintain supply and keep inhalers affordable and accessible</w:t>
      </w:r>
      <w:r>
        <w:t xml:space="preserve"> to their markets</w:t>
      </w:r>
      <w:r w:rsidRPr="0082778C">
        <w:t>.</w:t>
      </w:r>
      <w:r w:rsidRPr="0060142E">
        <w:t xml:space="preserve"> There are also concerns that energy and fuel crises may worsen </w:t>
      </w:r>
      <w:r w:rsidR="0030649F">
        <w:t xml:space="preserve">the </w:t>
      </w:r>
      <w:r w:rsidRPr="0060142E">
        <w:t>respiratory disease burden in these regions.</w:t>
      </w:r>
    </w:p>
    <w:p w14:paraId="56B74252" w14:textId="00CA9E75" w:rsidR="00E62558" w:rsidRDefault="00E62558" w:rsidP="00836849">
      <w:pPr>
        <w:pStyle w:val="Normalnumber"/>
        <w:tabs>
          <w:tab w:val="clear" w:pos="1247"/>
          <w:tab w:val="clear" w:pos="1814"/>
          <w:tab w:val="clear" w:pos="2381"/>
          <w:tab w:val="clear" w:pos="2948"/>
          <w:tab w:val="clear" w:pos="3515"/>
          <w:tab w:val="left" w:pos="624"/>
        </w:tabs>
        <w:ind w:left="1247"/>
      </w:pPr>
      <w:r w:rsidRPr="004E7BE0">
        <w:t xml:space="preserve">After several years of development, the first </w:t>
      </w:r>
      <w:r w:rsidR="0034114B" w:rsidRPr="007B18B3">
        <w:rPr>
          <w:rFonts w:eastAsia="MS Mincho"/>
          <w:snapToGrid w:val="0"/>
        </w:rPr>
        <w:t>pressuri</w:t>
      </w:r>
      <w:r w:rsidR="0034114B">
        <w:rPr>
          <w:rFonts w:eastAsia="MS Mincho"/>
          <w:snapToGrid w:val="0"/>
        </w:rPr>
        <w:t>z</w:t>
      </w:r>
      <w:r w:rsidR="0034114B" w:rsidRPr="007B18B3">
        <w:rPr>
          <w:rFonts w:eastAsia="MS Mincho"/>
          <w:snapToGrid w:val="0"/>
        </w:rPr>
        <w:t xml:space="preserve">ed metered-dose </w:t>
      </w:r>
      <w:r w:rsidR="0034114B" w:rsidRPr="00D56769">
        <w:rPr>
          <w:color w:val="000000" w:themeColor="text1"/>
        </w:rPr>
        <w:t>inhaler</w:t>
      </w:r>
      <w:r w:rsidRPr="004E7BE0">
        <w:t xml:space="preserve"> using a </w:t>
      </w:r>
      <w:r w:rsidR="00065FC1">
        <w:t>lower</w:t>
      </w:r>
      <w:r w:rsidR="00065FC1">
        <w:noBreakHyphen/>
      </w:r>
      <w:r w:rsidR="0037453C">
        <w:rPr>
          <w:rFonts w:eastAsia="MS Mincho"/>
          <w:snapToGrid w:val="0"/>
        </w:rPr>
        <w:t>global-warming-potential</w:t>
      </w:r>
      <w:r w:rsidRPr="004E7BE0">
        <w:t xml:space="preserve"> propellant has been launched in </w:t>
      </w:r>
      <w:r w:rsidRPr="00836849">
        <w:rPr>
          <w:color w:val="000000" w:themeColor="text1"/>
        </w:rPr>
        <w:t>the</w:t>
      </w:r>
      <w:r w:rsidRPr="004E7BE0">
        <w:t xml:space="preserve"> United Kingdom. A second </w:t>
      </w:r>
      <w:r w:rsidRPr="004E7BE0">
        <w:lastRenderedPageBreak/>
        <w:t>company has submitted an application for approval, while two others have completed clinical trials and plan to seek marketing authori</w:t>
      </w:r>
      <w:r w:rsidR="0037453C">
        <w:t>z</w:t>
      </w:r>
      <w:r w:rsidRPr="004E7BE0">
        <w:t>ation.</w:t>
      </w:r>
    </w:p>
    <w:p w14:paraId="4F782006" w14:textId="6E8546F3" w:rsidR="00E62558" w:rsidRDefault="00E62558" w:rsidP="00836849">
      <w:pPr>
        <w:pStyle w:val="Normalnumber"/>
        <w:tabs>
          <w:tab w:val="clear" w:pos="1247"/>
          <w:tab w:val="clear" w:pos="1814"/>
          <w:tab w:val="clear" w:pos="2381"/>
          <w:tab w:val="clear" w:pos="2948"/>
          <w:tab w:val="clear" w:pos="3515"/>
          <w:tab w:val="left" w:pos="624"/>
        </w:tabs>
        <w:ind w:left="1247"/>
      </w:pPr>
      <w:r w:rsidRPr="006D65FD">
        <w:t>The report also highlights the role of intellectual property in shaping the development of lower-</w:t>
      </w:r>
      <w:r w:rsidR="0037453C">
        <w:rPr>
          <w:rFonts w:eastAsia="MS Mincho"/>
          <w:snapToGrid w:val="0"/>
        </w:rPr>
        <w:t>global-warming-potential</w:t>
      </w:r>
      <w:r w:rsidRPr="006D65FD">
        <w:t xml:space="preserve"> </w:t>
      </w:r>
      <w:r w:rsidR="0034114B" w:rsidRPr="007B18B3">
        <w:rPr>
          <w:rFonts w:eastAsia="MS Mincho"/>
          <w:snapToGrid w:val="0"/>
        </w:rPr>
        <w:t>pressuri</w:t>
      </w:r>
      <w:r w:rsidR="0034114B">
        <w:rPr>
          <w:rFonts w:eastAsia="MS Mincho"/>
          <w:snapToGrid w:val="0"/>
        </w:rPr>
        <w:t>z</w:t>
      </w:r>
      <w:r w:rsidR="0034114B" w:rsidRPr="007B18B3">
        <w:rPr>
          <w:rFonts w:eastAsia="MS Mincho"/>
          <w:snapToGrid w:val="0"/>
        </w:rPr>
        <w:t xml:space="preserve">ed metered-dose </w:t>
      </w:r>
      <w:r w:rsidR="0034114B" w:rsidRPr="00D56769">
        <w:rPr>
          <w:color w:val="000000" w:themeColor="text1"/>
        </w:rPr>
        <w:t>inhalers</w:t>
      </w:r>
      <w:r w:rsidRPr="006D65FD">
        <w:t xml:space="preserve"> </w:t>
      </w:r>
      <w:r>
        <w:t xml:space="preserve">and notes </w:t>
      </w:r>
      <w:r w:rsidR="000C0506">
        <w:t xml:space="preserve">the existence of </w:t>
      </w:r>
      <w:r w:rsidRPr="00354A25">
        <w:t>European Union legislation restrict</w:t>
      </w:r>
      <w:r w:rsidR="000C0506">
        <w:t>ing</w:t>
      </w:r>
      <w:r w:rsidRPr="00354A25">
        <w:t xml:space="preserve"> the marketing of single-use plastic products when suitable alternatives </w:t>
      </w:r>
      <w:r>
        <w:t>are available</w:t>
      </w:r>
      <w:r w:rsidRPr="00354A25">
        <w:t>.</w:t>
      </w:r>
      <w:r>
        <w:t xml:space="preserve"> </w:t>
      </w:r>
    </w:p>
    <w:p w14:paraId="4E717705" w14:textId="77777777" w:rsidR="00E62558" w:rsidRPr="00216BCA" w:rsidRDefault="00E62558" w:rsidP="00836849">
      <w:pPr>
        <w:pStyle w:val="Normalnumber"/>
        <w:tabs>
          <w:tab w:val="clear" w:pos="1247"/>
          <w:tab w:val="clear" w:pos="1814"/>
          <w:tab w:val="clear" w:pos="2381"/>
          <w:tab w:val="clear" w:pos="2948"/>
          <w:tab w:val="clear" w:pos="3515"/>
          <w:tab w:val="left" w:pos="624"/>
        </w:tabs>
        <w:ind w:left="1247"/>
        <w:rPr>
          <w:color w:val="000000" w:themeColor="text1"/>
        </w:rPr>
      </w:pPr>
      <w:r w:rsidRPr="00216BCA">
        <w:rPr>
          <w:color w:val="000000" w:themeColor="text1"/>
        </w:rPr>
        <w:t>The Open-ended Working Group may wish to consider the report and recommend a way forward.</w:t>
      </w:r>
    </w:p>
    <w:p w14:paraId="71EFE9C8" w14:textId="47698304" w:rsidR="00E62558" w:rsidRPr="00D127A6" w:rsidRDefault="00E62558" w:rsidP="00E62558">
      <w:pPr>
        <w:pStyle w:val="CH3"/>
      </w:pPr>
      <w:r w:rsidRPr="00D127A6">
        <w:tab/>
        <w:t>(c)</w:t>
      </w:r>
      <w:r w:rsidRPr="00D127A6">
        <w:tab/>
      </w:r>
      <w:r w:rsidRPr="00A54259">
        <w:t xml:space="preserve">Options for </w:t>
      </w:r>
      <w:r>
        <w:t xml:space="preserve">the </w:t>
      </w:r>
      <w:r w:rsidRPr="00A54259">
        <w:t>organization of the Panel and its technical options committees (decision</w:t>
      </w:r>
      <w:r w:rsidR="00065FC1">
        <w:t> </w:t>
      </w:r>
      <w:r w:rsidRPr="00A54259">
        <w:t>XXXV/20)</w:t>
      </w:r>
    </w:p>
    <w:p w14:paraId="1BE89E3C" w14:textId="40E5390E" w:rsidR="00E62558" w:rsidRDefault="00E62558" w:rsidP="00836849">
      <w:pPr>
        <w:pStyle w:val="Normalnumber"/>
        <w:tabs>
          <w:tab w:val="clear" w:pos="1247"/>
          <w:tab w:val="clear" w:pos="1814"/>
          <w:tab w:val="clear" w:pos="2381"/>
          <w:tab w:val="clear" w:pos="2948"/>
          <w:tab w:val="clear" w:pos="3515"/>
          <w:tab w:val="left" w:pos="624"/>
        </w:tabs>
        <w:ind w:left="1247"/>
      </w:pPr>
      <w:r w:rsidRPr="00CF4BB5">
        <w:t xml:space="preserve">As is </w:t>
      </w:r>
      <w:r w:rsidRPr="0092433D">
        <w:t>indicated in the note by the Secretariat (UNEP/OzL.Pro.WG.1/48/2, paras. 20–22), in decision XXXV/20, the Thirty-Fifth</w:t>
      </w:r>
      <w:r w:rsidRPr="00DA0786">
        <w:t xml:space="preserve"> Meeting of the Parties requested the Technology and Economic Assessment Panel to provide, in its progress report prepared ahead of the forty-seventh meeting of the Open-ended Working Group, options </w:t>
      </w:r>
      <w:r w:rsidR="00315EE0">
        <w:t>relating to</w:t>
      </w:r>
      <w:r w:rsidR="00315EE0" w:rsidRPr="00DA0786">
        <w:t xml:space="preserve"> </w:t>
      </w:r>
      <w:r w:rsidRPr="00DA0786">
        <w:t>the organization of the Panel and its technical options committees, considering the Panel’s terms of reference established in decision XXIV/8, and informed by</w:t>
      </w:r>
      <w:r w:rsidRPr="00CF4BB5">
        <w:t xml:space="preserve"> consultation with the technical options committees’ co-chairs and members and by their experiences with operating, on a trial basis, with new ways of organizing their work. </w:t>
      </w:r>
    </w:p>
    <w:p w14:paraId="460B31F2" w14:textId="3EC42B44" w:rsidR="00E62558" w:rsidRPr="00CF4BB5" w:rsidRDefault="00E62558" w:rsidP="00836849">
      <w:pPr>
        <w:pStyle w:val="Normalnumber"/>
        <w:tabs>
          <w:tab w:val="clear" w:pos="1247"/>
          <w:tab w:val="clear" w:pos="1814"/>
          <w:tab w:val="clear" w:pos="2381"/>
          <w:tab w:val="clear" w:pos="2948"/>
          <w:tab w:val="clear" w:pos="3515"/>
          <w:tab w:val="left" w:pos="624"/>
        </w:tabs>
        <w:ind w:left="1247"/>
      </w:pPr>
      <w:r w:rsidRPr="00CF4BB5">
        <w:t xml:space="preserve">The Panel’s </w:t>
      </w:r>
      <w:r>
        <w:t xml:space="preserve">original </w:t>
      </w:r>
      <w:r w:rsidRPr="00CF4BB5">
        <w:t>response</w:t>
      </w:r>
      <w:r>
        <w:t xml:space="preserve"> to decision XXXV/20</w:t>
      </w:r>
      <w:r w:rsidR="0008057F">
        <w:t xml:space="preserve">, which was </w:t>
      </w:r>
      <w:r w:rsidR="0008057F" w:rsidRPr="00CF4BB5">
        <w:t>prepared by an eight-member working group</w:t>
      </w:r>
      <w:r w:rsidR="0008057F">
        <w:t>,</w:t>
      </w:r>
      <w:r>
        <w:t xml:space="preserve"> was presented to the </w:t>
      </w:r>
      <w:r w:rsidRPr="00684035">
        <w:t xml:space="preserve">Open-ended Working </w:t>
      </w:r>
      <w:r w:rsidRPr="00836849">
        <w:rPr>
          <w:color w:val="000000" w:themeColor="text1"/>
        </w:rPr>
        <w:t>Group</w:t>
      </w:r>
      <w:r w:rsidRPr="00684035">
        <w:t xml:space="preserve"> at its forty-seventh meeting</w:t>
      </w:r>
      <w:r w:rsidR="0008057F">
        <w:t>.</w:t>
      </w:r>
      <w:r>
        <w:rPr>
          <w:rStyle w:val="FootnoteReference"/>
        </w:rPr>
        <w:footnoteReference w:id="8"/>
      </w:r>
      <w:r>
        <w:t xml:space="preserve"> In </w:t>
      </w:r>
      <w:r w:rsidRPr="00DD2882">
        <w:t xml:space="preserve">its 2026 progress </w:t>
      </w:r>
      <w:r w:rsidRPr="00DD2882">
        <w:rPr>
          <w:color w:val="000000" w:themeColor="text1"/>
        </w:rPr>
        <w:t>report</w:t>
      </w:r>
      <w:r w:rsidR="00315EE0">
        <w:rPr>
          <w:color w:val="000000" w:themeColor="text1"/>
        </w:rPr>
        <w:t>,</w:t>
      </w:r>
      <w:r w:rsidRPr="00DD2882">
        <w:t xml:space="preserve"> the Panel presents further analysis and highlights preferred options for its reorganization. The analysis</w:t>
      </w:r>
      <w:r>
        <w:t xml:space="preserve">, which was carried out by the reconvened working group, </w:t>
      </w:r>
      <w:r w:rsidRPr="00CF4BB5">
        <w:t xml:space="preserve">is set out in chapter 8 of </w:t>
      </w:r>
      <w:r>
        <w:t xml:space="preserve">the </w:t>
      </w:r>
      <w:r w:rsidRPr="00CF4BB5">
        <w:t xml:space="preserve">report. A summary is provided in the following paragraphs. </w:t>
      </w:r>
    </w:p>
    <w:p w14:paraId="3687FC10" w14:textId="3CE92C88" w:rsidR="00E62558" w:rsidRDefault="00E62558" w:rsidP="00836849">
      <w:pPr>
        <w:pStyle w:val="Normalnumber"/>
        <w:tabs>
          <w:tab w:val="clear" w:pos="1247"/>
          <w:tab w:val="clear" w:pos="1814"/>
          <w:tab w:val="clear" w:pos="2381"/>
          <w:tab w:val="clear" w:pos="2948"/>
          <w:tab w:val="clear" w:pos="3515"/>
          <w:tab w:val="left" w:pos="624"/>
        </w:tabs>
        <w:ind w:left="1247"/>
      </w:pPr>
      <w:r>
        <w:t xml:space="preserve">Currently, the </w:t>
      </w:r>
      <w:r w:rsidRPr="003562DC">
        <w:t xml:space="preserve">Technology and Economic Assessment Panel comprises 21 members: </w:t>
      </w:r>
      <w:r w:rsidR="00730B01">
        <w:t>3</w:t>
      </w:r>
      <w:r w:rsidR="00730B01" w:rsidRPr="003562DC">
        <w:t xml:space="preserve"> </w:t>
      </w:r>
      <w:r w:rsidRPr="003562DC">
        <w:t>Panel co-chairs, 12 technical option</w:t>
      </w:r>
      <w:r w:rsidR="00730B01">
        <w:t>s</w:t>
      </w:r>
      <w:r w:rsidRPr="003562DC">
        <w:t xml:space="preserve"> committee co-chairs and </w:t>
      </w:r>
      <w:r w:rsidR="00730B01">
        <w:t>6</w:t>
      </w:r>
      <w:r w:rsidR="009565B6">
        <w:t xml:space="preserve"> </w:t>
      </w:r>
      <w:r w:rsidRPr="003562DC">
        <w:t>senior experts. Of th</w:t>
      </w:r>
      <w:r w:rsidR="009565B6">
        <w:t>o</w:t>
      </w:r>
      <w:r w:rsidRPr="003562DC">
        <w:t xml:space="preserve">se, 48 per cent are from Article 5 parties, with a gender distribution of </w:t>
      </w:r>
      <w:r w:rsidR="00730B01">
        <w:t>6</w:t>
      </w:r>
      <w:r w:rsidR="00730B01" w:rsidRPr="003562DC">
        <w:t xml:space="preserve"> </w:t>
      </w:r>
      <w:r w:rsidRPr="003562DC">
        <w:t>women and 15 men. Over 150 experts serve on the Panel and its technical</w:t>
      </w:r>
      <w:r w:rsidRPr="00F456A0">
        <w:t xml:space="preserve"> option</w:t>
      </w:r>
      <w:r w:rsidR="00730B01">
        <w:t>s</w:t>
      </w:r>
      <w:r w:rsidRPr="00F456A0">
        <w:t xml:space="preserve"> committee</w:t>
      </w:r>
      <w:r>
        <w:t>s, carrying out unpaid voluntary work.</w:t>
      </w:r>
    </w:p>
    <w:p w14:paraId="19DDC1EA" w14:textId="6B513BB3" w:rsidR="00E62558" w:rsidRDefault="00E62558" w:rsidP="00836849">
      <w:pPr>
        <w:pStyle w:val="Normalnumber"/>
        <w:tabs>
          <w:tab w:val="clear" w:pos="1247"/>
          <w:tab w:val="clear" w:pos="1814"/>
          <w:tab w:val="clear" w:pos="2381"/>
          <w:tab w:val="clear" w:pos="2948"/>
          <w:tab w:val="clear" w:pos="3515"/>
          <w:tab w:val="left" w:pos="624"/>
        </w:tabs>
        <w:ind w:left="1247"/>
      </w:pPr>
      <w:r>
        <w:t xml:space="preserve">According to the Panel, overall, </w:t>
      </w:r>
      <w:r w:rsidRPr="00B4227A">
        <w:t xml:space="preserve">the current composition and structure of the </w:t>
      </w:r>
      <w:r>
        <w:t xml:space="preserve">technical options </w:t>
      </w:r>
      <w:r w:rsidRPr="00836849">
        <w:rPr>
          <w:color w:val="000000" w:themeColor="text1"/>
        </w:rPr>
        <w:t>committees</w:t>
      </w:r>
      <w:r w:rsidRPr="00B4227A">
        <w:t xml:space="preserve"> is functioning effectively and enabling them to carry out their work successfully. T</w:t>
      </w:r>
      <w:r>
        <w:t xml:space="preserve">he </w:t>
      </w:r>
      <w:r w:rsidRPr="00B4227A">
        <w:t xml:space="preserve">additional analysis </w:t>
      </w:r>
      <w:r>
        <w:t>provided for p</w:t>
      </w:r>
      <w:r w:rsidRPr="00B4227A">
        <w:t xml:space="preserve">arties’ consideration </w:t>
      </w:r>
      <w:r>
        <w:t>concerns</w:t>
      </w:r>
      <w:r w:rsidR="00664EBA">
        <w:t>, in</w:t>
      </w:r>
      <w:r>
        <w:t xml:space="preserve"> </w:t>
      </w:r>
      <w:r w:rsidRPr="00B4227A">
        <w:t>particular</w:t>
      </w:r>
      <w:r w:rsidR="00664EBA">
        <w:t>,</w:t>
      </w:r>
      <w:r w:rsidRPr="00B4227A">
        <w:t xml:space="preserve"> each </w:t>
      </w:r>
      <w:r>
        <w:t>committee</w:t>
      </w:r>
      <w:r w:rsidRPr="00B4227A">
        <w:t>’s preferred option to manage anticipated workload changes from 2027 onwards. Th</w:t>
      </w:r>
      <w:r w:rsidR="003174A5">
        <w:t>o</w:t>
      </w:r>
      <w:r w:rsidRPr="00B4227A">
        <w:t xml:space="preserve">se options are grounded in current practical realities, including expected membership attrition, constraints on participation support and ongoing recruitment needs, as well as the gradual development of subcommittee-based working arrangements in the two largest </w:t>
      </w:r>
      <w:r w:rsidR="007903A0">
        <w:t xml:space="preserve">technical options </w:t>
      </w:r>
      <w:r w:rsidR="007903A0" w:rsidRPr="00D245AD">
        <w:t>committees</w:t>
      </w:r>
      <w:r w:rsidRPr="00D245AD">
        <w:t>.</w:t>
      </w:r>
      <w:r w:rsidRPr="00B4227A">
        <w:t xml:space="preserve"> The</w:t>
      </w:r>
      <w:r>
        <w:t xml:space="preserve"> options</w:t>
      </w:r>
      <w:r w:rsidRPr="00B4227A">
        <w:t xml:space="preserve"> are intended to remain adaptable and may be revisited as </w:t>
      </w:r>
      <w:r>
        <w:t>p</w:t>
      </w:r>
      <w:r w:rsidRPr="00B4227A">
        <w:t>arties’ needs evolve.</w:t>
      </w:r>
      <w:r>
        <w:t xml:space="preserve"> </w:t>
      </w:r>
    </w:p>
    <w:p w14:paraId="6B64E826" w14:textId="2024BAFB" w:rsidR="00E62558" w:rsidRDefault="00E62558" w:rsidP="00836849">
      <w:pPr>
        <w:pStyle w:val="Normalnumber"/>
        <w:tabs>
          <w:tab w:val="clear" w:pos="1247"/>
          <w:tab w:val="clear" w:pos="1814"/>
          <w:tab w:val="clear" w:pos="2381"/>
          <w:tab w:val="clear" w:pos="2948"/>
          <w:tab w:val="clear" w:pos="3515"/>
          <w:tab w:val="left" w:pos="624"/>
        </w:tabs>
        <w:ind w:left="1247"/>
      </w:pPr>
      <w:r>
        <w:t xml:space="preserve">In this context, </w:t>
      </w:r>
      <w:r w:rsidR="007903A0">
        <w:t xml:space="preserve">the Panel </w:t>
      </w:r>
      <w:r>
        <w:t>refers to its updated matrix of expertise</w:t>
      </w:r>
      <w:r w:rsidR="00F36C44">
        <w:t>,</w:t>
      </w:r>
      <w:r>
        <w:t xml:space="preserve"> which highlights identified gaps and </w:t>
      </w:r>
      <w:r w:rsidRPr="00836849">
        <w:rPr>
          <w:color w:val="000000" w:themeColor="text1"/>
        </w:rPr>
        <w:t>encourages</w:t>
      </w:r>
      <w:r>
        <w:t xml:space="preserve"> parties to nominate experts to help address th</w:t>
      </w:r>
      <w:r w:rsidR="001C6887">
        <w:t>o</w:t>
      </w:r>
      <w:r>
        <w:t>se needs.</w:t>
      </w:r>
    </w:p>
    <w:p w14:paraId="192AF836" w14:textId="6C735A35" w:rsidR="00E62558" w:rsidRPr="00FD16C5" w:rsidRDefault="00E62558" w:rsidP="00836849">
      <w:pPr>
        <w:pStyle w:val="Normalnumber"/>
        <w:tabs>
          <w:tab w:val="clear" w:pos="1247"/>
          <w:tab w:val="clear" w:pos="1814"/>
          <w:tab w:val="clear" w:pos="2381"/>
          <w:tab w:val="clear" w:pos="2948"/>
          <w:tab w:val="clear" w:pos="3515"/>
          <w:tab w:val="left" w:pos="624"/>
        </w:tabs>
        <w:ind w:left="1247"/>
      </w:pPr>
      <w:r w:rsidRPr="008953F8">
        <w:t xml:space="preserve">For each </w:t>
      </w:r>
      <w:r>
        <w:t>technical options committee</w:t>
      </w:r>
      <w:r w:rsidRPr="008953F8">
        <w:t xml:space="preserve">, the report presents background information on its scope and the issues it addresses, followed by an analysis of its preferred option for future configuration, including, as appropriate, associated advantages and disadvantages. </w:t>
      </w:r>
      <w:r w:rsidR="00FD16C5">
        <w:t>In</w:t>
      </w:r>
      <w:r w:rsidR="00FD16C5" w:rsidRPr="008953F8">
        <w:t xml:space="preserve"> </w:t>
      </w:r>
      <w:r w:rsidRPr="008953F8">
        <w:t>brief</w:t>
      </w:r>
      <w:r w:rsidR="00FD16C5">
        <w:t>,</w:t>
      </w:r>
      <w:r w:rsidRPr="008953F8">
        <w:t xml:space="preserve"> the Panel’s preferred options </w:t>
      </w:r>
      <w:r w:rsidR="00FD16C5">
        <w:t>are as follow</w:t>
      </w:r>
      <w:r w:rsidR="00FD16C5" w:rsidRPr="00FD16C5">
        <w:t>s</w:t>
      </w:r>
      <w:r w:rsidR="00255D55" w:rsidRPr="00FD16C5">
        <w:t>:</w:t>
      </w:r>
    </w:p>
    <w:p w14:paraId="2080F394" w14:textId="2058967F" w:rsidR="00E62558" w:rsidRPr="00FD16C5" w:rsidRDefault="00E62558" w:rsidP="009C3BFE">
      <w:pPr>
        <w:pStyle w:val="Normalnumber"/>
        <w:numPr>
          <w:ilvl w:val="0"/>
          <w:numId w:val="30"/>
        </w:numPr>
        <w:tabs>
          <w:tab w:val="clear" w:pos="1247"/>
          <w:tab w:val="clear" w:pos="1814"/>
          <w:tab w:val="clear" w:pos="2381"/>
          <w:tab w:val="clear" w:pos="2948"/>
          <w:tab w:val="clear" w:pos="3515"/>
          <w:tab w:val="left" w:pos="624"/>
        </w:tabs>
        <w:ind w:left="1247" w:firstLine="624"/>
      </w:pPr>
      <w:r>
        <w:t xml:space="preserve">The </w:t>
      </w:r>
      <w:r w:rsidRPr="0061302D">
        <w:t>Flexible and Rigid Foams Technical Options Committee</w:t>
      </w:r>
      <w:r>
        <w:t xml:space="preserve">, currently comprising </w:t>
      </w:r>
      <w:r w:rsidRPr="00FD16C5">
        <w:t>two co-chairs and 19 members, is considered well-functioning and appropriately sized. It provides critical assessments on foam sector alternatives and technical developments. It may consider minor future adjustments (such as reduced meeting frequency or reduction in size after key transitions are complete</w:t>
      </w:r>
      <w:r w:rsidR="003174A5" w:rsidRPr="00FD16C5">
        <w:t>d</w:t>
      </w:r>
      <w:r w:rsidRPr="00FD16C5">
        <w:t>), but maintaining its current set-up for overall stability is preferred at this stage</w:t>
      </w:r>
      <w:r w:rsidR="00B24C28" w:rsidRPr="00FD16C5">
        <w:t>;</w:t>
      </w:r>
    </w:p>
    <w:p w14:paraId="0E0D44F1" w14:textId="3C5E964A" w:rsidR="00E62558" w:rsidRDefault="00E62558" w:rsidP="009C3BFE">
      <w:pPr>
        <w:pStyle w:val="Normalnumber"/>
        <w:numPr>
          <w:ilvl w:val="0"/>
          <w:numId w:val="30"/>
        </w:numPr>
        <w:tabs>
          <w:tab w:val="clear" w:pos="1247"/>
          <w:tab w:val="clear" w:pos="1814"/>
          <w:tab w:val="clear" w:pos="2381"/>
          <w:tab w:val="clear" w:pos="2948"/>
          <w:tab w:val="clear" w:pos="3515"/>
          <w:tab w:val="left" w:pos="624"/>
        </w:tabs>
        <w:ind w:left="1247" w:firstLine="624"/>
      </w:pPr>
      <w:r w:rsidRPr="00FD16C5">
        <w:t xml:space="preserve">The Fire Suppression Technical Options Committee, currently comprising two </w:t>
      </w:r>
      <w:r w:rsidR="00B50BA6">
        <w:t>co</w:t>
      </w:r>
      <w:r w:rsidR="00B50BA6">
        <w:noBreakHyphen/>
      </w:r>
      <w:r w:rsidRPr="00FD16C5">
        <w:t>chairs and 17 members, is viewed as essential, providing key functions such as emissions modelling, halo</w:t>
      </w:r>
      <w:r>
        <w:t xml:space="preserve">n banking and aviation-related supply assessments. </w:t>
      </w:r>
      <w:r w:rsidRPr="00E549EE">
        <w:t xml:space="preserve">Given </w:t>
      </w:r>
      <w:r>
        <w:t xml:space="preserve">the </w:t>
      </w:r>
      <w:r w:rsidRPr="00E549EE">
        <w:t xml:space="preserve">recent developments in the fire suppression sector and </w:t>
      </w:r>
      <w:r>
        <w:t>the likelihood of future essential-use nominations</w:t>
      </w:r>
      <w:r w:rsidR="001C6887">
        <w:t>,</w:t>
      </w:r>
      <w:r>
        <w:t xml:space="preserve"> </w:t>
      </w:r>
      <w:r w:rsidRPr="00E549EE">
        <w:t>particularly f</w:t>
      </w:r>
      <w:r>
        <w:t>or</w:t>
      </w:r>
      <w:r w:rsidRPr="00E549EE">
        <w:t xml:space="preserve"> civil aviation and other enduring uses, </w:t>
      </w:r>
      <w:r>
        <w:t>the</w:t>
      </w:r>
      <w:r w:rsidRPr="00E549EE">
        <w:t xml:space="preserve"> current structure</w:t>
      </w:r>
      <w:r>
        <w:t xml:space="preserve"> of the </w:t>
      </w:r>
      <w:r w:rsidRPr="001C6887">
        <w:t>Committee</w:t>
      </w:r>
      <w:r w:rsidR="001C6887">
        <w:t>,</w:t>
      </w:r>
      <w:r w:rsidR="00B24C28" w:rsidRPr="001C6887">
        <w:t xml:space="preserve"> </w:t>
      </w:r>
      <w:r w:rsidRPr="001C6887">
        <w:t>with updated or replacement members and</w:t>
      </w:r>
      <w:r w:rsidR="001071DB" w:rsidRPr="001C6887">
        <w:t>,</w:t>
      </w:r>
      <w:r w:rsidRPr="001C6887">
        <w:t xml:space="preserve"> ideally</w:t>
      </w:r>
      <w:r w:rsidR="001071DB" w:rsidRPr="001C6887">
        <w:t>,</w:t>
      </w:r>
      <w:r w:rsidRPr="001C6887">
        <w:t xml:space="preserve"> an additional co-chair from an Article 5 party</w:t>
      </w:r>
      <w:r w:rsidR="001C6887">
        <w:t>,</w:t>
      </w:r>
      <w:r>
        <w:t xml:space="preserve"> is considered </w:t>
      </w:r>
      <w:r w:rsidRPr="00E549EE">
        <w:t xml:space="preserve">to be </w:t>
      </w:r>
      <w:r>
        <w:t xml:space="preserve">appropriate. The Panel therefore recommends maintaining the current structure, noting that reducing membership </w:t>
      </w:r>
      <w:r>
        <w:lastRenderedPageBreak/>
        <w:t>could undermine its ability to meet future demands, especially for essential uses in aviation and legacy systems</w:t>
      </w:r>
      <w:r w:rsidR="001071DB">
        <w:t>;</w:t>
      </w:r>
    </w:p>
    <w:p w14:paraId="2E1A92AA" w14:textId="70952920" w:rsidR="00E62558" w:rsidRDefault="00E62558" w:rsidP="009C3BFE">
      <w:pPr>
        <w:pStyle w:val="Normalnumber"/>
        <w:numPr>
          <w:ilvl w:val="0"/>
          <w:numId w:val="30"/>
        </w:numPr>
        <w:tabs>
          <w:tab w:val="clear" w:pos="1247"/>
          <w:tab w:val="clear" w:pos="1814"/>
          <w:tab w:val="clear" w:pos="2381"/>
          <w:tab w:val="clear" w:pos="2948"/>
          <w:tab w:val="clear" w:pos="3515"/>
          <w:tab w:val="left" w:pos="624"/>
        </w:tabs>
        <w:ind w:left="1247" w:firstLine="624"/>
      </w:pPr>
      <w:r>
        <w:t xml:space="preserve">The Methyl Bromide </w:t>
      </w:r>
      <w:r w:rsidRPr="0061302D">
        <w:t>Technical Options Committee</w:t>
      </w:r>
      <w:r>
        <w:t xml:space="preserve">, currently comprising two </w:t>
      </w:r>
      <w:r w:rsidR="002243E9">
        <w:t>co</w:t>
      </w:r>
      <w:r w:rsidR="002243E9">
        <w:noBreakHyphen/>
      </w:r>
      <w:r>
        <w:t>chairs and 16 members,</w:t>
      </w:r>
      <w:r w:rsidRPr="0061302D">
        <w:t xml:space="preserve"> </w:t>
      </w:r>
      <w:r>
        <w:t xml:space="preserve">reports that controlled uses of methyl bromide </w:t>
      </w:r>
      <w:r w:rsidR="001071DB">
        <w:t xml:space="preserve">have been </w:t>
      </w:r>
      <w:r>
        <w:t>largely phased out, but quarantine and pre-shipment uses remain significant. It recommends maintaining a moderately</w:t>
      </w:r>
      <w:r w:rsidR="0064308A">
        <w:t xml:space="preserve"> </w:t>
      </w:r>
      <w:r>
        <w:t>sized expert group to preserve institutional knowledge and manage remaining controlled and exempt uses, while continuing to support alternatives and emissions reduction strategie</w:t>
      </w:r>
      <w:r w:rsidRPr="00730E74">
        <w:t>s</w:t>
      </w:r>
      <w:r w:rsidR="00FC5DA0" w:rsidRPr="00730E74">
        <w:t>;</w:t>
      </w:r>
    </w:p>
    <w:p w14:paraId="4C7957AD" w14:textId="318CE685" w:rsidR="00E62558" w:rsidRDefault="00E62558" w:rsidP="007B11D9">
      <w:pPr>
        <w:pStyle w:val="Normalnumber"/>
        <w:numPr>
          <w:ilvl w:val="0"/>
          <w:numId w:val="30"/>
        </w:numPr>
        <w:tabs>
          <w:tab w:val="clear" w:pos="1247"/>
          <w:tab w:val="clear" w:pos="1814"/>
          <w:tab w:val="clear" w:pos="2381"/>
          <w:tab w:val="clear" w:pos="2948"/>
          <w:tab w:val="clear" w:pos="3515"/>
          <w:tab w:val="left" w:pos="624"/>
        </w:tabs>
        <w:ind w:left="1247" w:firstLine="624"/>
      </w:pPr>
      <w:r>
        <w:t xml:space="preserve">The Medical and Chemicals </w:t>
      </w:r>
      <w:r w:rsidRPr="008A521A">
        <w:t>Technical Options Committee</w:t>
      </w:r>
      <w:r>
        <w:t xml:space="preserve">, </w:t>
      </w:r>
      <w:r w:rsidRPr="00D57E35">
        <w:t>currently comprising t</w:t>
      </w:r>
      <w:r>
        <w:t>hree</w:t>
      </w:r>
      <w:r w:rsidRPr="00D57E35">
        <w:t xml:space="preserve"> co-chairs and </w:t>
      </w:r>
      <w:r>
        <w:t>39</w:t>
      </w:r>
      <w:r w:rsidRPr="00D57E35">
        <w:t xml:space="preserve"> members</w:t>
      </w:r>
      <w:r>
        <w:t>,</w:t>
      </w:r>
      <w:r w:rsidRPr="00D57E35">
        <w:t xml:space="preserve"> </w:t>
      </w:r>
      <w:r>
        <w:t>covers a broad and expanding scope, including pharmaceuticals, solvents, semiconductor manufacturing and emerging chemical issues like PFAS and HFC emissions. Due to its growing workload and complexity, it proposes a potential future restructuring into two subcommittees,</w:t>
      </w:r>
      <w:r w:rsidR="006D4089">
        <w:t xml:space="preserve"> </w:t>
      </w:r>
      <w:r w:rsidR="00BC354E">
        <w:t>on</w:t>
      </w:r>
      <w:r>
        <w:t xml:space="preserve"> “</w:t>
      </w:r>
      <w:r w:rsidR="00BC354E">
        <w:t>a</w:t>
      </w:r>
      <w:r>
        <w:t>erosols/</w:t>
      </w:r>
      <w:r w:rsidR="00BC354E">
        <w:t>m</w:t>
      </w:r>
      <w:r>
        <w:t>edical” and “</w:t>
      </w:r>
      <w:r w:rsidR="00BC354E">
        <w:t>c</w:t>
      </w:r>
      <w:r>
        <w:t>hemicals”, supported by four co-chairs, to improve efficiency while retaining technical breadth</w:t>
      </w:r>
      <w:r w:rsidR="00D93B61">
        <w:t>;</w:t>
      </w:r>
    </w:p>
    <w:p w14:paraId="66257278" w14:textId="5E62AA10" w:rsidR="00E62558" w:rsidRDefault="00E62558" w:rsidP="007B11D9">
      <w:pPr>
        <w:pStyle w:val="Normalnumber"/>
        <w:numPr>
          <w:ilvl w:val="0"/>
          <w:numId w:val="30"/>
        </w:numPr>
        <w:tabs>
          <w:tab w:val="clear" w:pos="1247"/>
          <w:tab w:val="clear" w:pos="1814"/>
          <w:tab w:val="clear" w:pos="2381"/>
          <w:tab w:val="clear" w:pos="2948"/>
          <w:tab w:val="clear" w:pos="3515"/>
          <w:tab w:val="left" w:pos="624"/>
        </w:tabs>
        <w:ind w:left="1247" w:firstLine="624"/>
      </w:pPr>
      <w:r>
        <w:t xml:space="preserve">The Refrigeration, Air Conditioning and Heat Pumps </w:t>
      </w:r>
      <w:r w:rsidRPr="00C8579F">
        <w:t>Technical Options Committee</w:t>
      </w:r>
      <w:r>
        <w:t>,</w:t>
      </w:r>
      <w:r w:rsidRPr="00D57E35">
        <w:t xml:space="preserve"> currently comprising </w:t>
      </w:r>
      <w:r>
        <w:t>four</w:t>
      </w:r>
      <w:r w:rsidRPr="00D57E35">
        <w:t xml:space="preserve"> co-chairs and</w:t>
      </w:r>
      <w:r>
        <w:t xml:space="preserve"> 42</w:t>
      </w:r>
      <w:r w:rsidRPr="00D57E35">
        <w:t xml:space="preserve"> members</w:t>
      </w:r>
      <w:r>
        <w:t>,</w:t>
      </w:r>
      <w:r w:rsidRPr="00D57E35">
        <w:t xml:space="preserve"> </w:t>
      </w:r>
      <w:r>
        <w:t>faces increasing workload due to global growth in cooling demand, energy efficiency policies and Kigali Amendment implementation. It proposes maintaining a large committee</w:t>
      </w:r>
      <w:r w:rsidR="00BC354E">
        <w:t>,</w:t>
      </w:r>
      <w:r>
        <w:t xml:space="preserve"> with subcommittees </w:t>
      </w:r>
      <w:r w:rsidR="00BC354E">
        <w:t xml:space="preserve">on </w:t>
      </w:r>
      <w:r>
        <w:t>“</w:t>
      </w:r>
      <w:r w:rsidR="00BC354E">
        <w:t>c</w:t>
      </w:r>
      <w:r>
        <w:t xml:space="preserve">omfort </w:t>
      </w:r>
      <w:r w:rsidR="00BC354E">
        <w:t>c</w:t>
      </w:r>
      <w:r>
        <w:t xml:space="preserve">ooling and </w:t>
      </w:r>
      <w:r w:rsidR="00BC354E">
        <w:t>h</w:t>
      </w:r>
      <w:r>
        <w:t>eating” and “</w:t>
      </w:r>
      <w:r w:rsidR="00BC354E">
        <w:t>c</w:t>
      </w:r>
      <w:r>
        <w:t xml:space="preserve">old </w:t>
      </w:r>
      <w:r w:rsidR="00BC354E">
        <w:t>c</w:t>
      </w:r>
      <w:r>
        <w:t xml:space="preserve">hain and </w:t>
      </w:r>
      <w:r w:rsidR="00BC354E">
        <w:t>o</w:t>
      </w:r>
      <w:r>
        <w:t xml:space="preserve">ther </w:t>
      </w:r>
      <w:r w:rsidR="00BC354E">
        <w:t>a</w:t>
      </w:r>
      <w:r>
        <w:t>pplications</w:t>
      </w:r>
      <w:r w:rsidR="00BC354E">
        <w:t>”</w:t>
      </w:r>
      <w:r>
        <w:t>, allowing specialization while preserving coordination on cross-cutting issues.</w:t>
      </w:r>
    </w:p>
    <w:p w14:paraId="45A551A4" w14:textId="0EA80F28" w:rsidR="00E62558" w:rsidRDefault="00E62558" w:rsidP="00836849">
      <w:pPr>
        <w:pStyle w:val="Normalnumber"/>
        <w:tabs>
          <w:tab w:val="clear" w:pos="1247"/>
          <w:tab w:val="clear" w:pos="1814"/>
          <w:tab w:val="clear" w:pos="2381"/>
          <w:tab w:val="clear" w:pos="2948"/>
          <w:tab w:val="clear" w:pos="3515"/>
          <w:tab w:val="left" w:pos="624"/>
        </w:tabs>
        <w:ind w:left="1247"/>
      </w:pPr>
      <w:r>
        <w:t>Across all t</w:t>
      </w:r>
      <w:r w:rsidRPr="00C8579F">
        <w:t xml:space="preserve">echnical </w:t>
      </w:r>
      <w:r>
        <w:t>o</w:t>
      </w:r>
      <w:r w:rsidRPr="00C8579F">
        <w:t xml:space="preserve">ptions </w:t>
      </w:r>
      <w:r>
        <w:t>c</w:t>
      </w:r>
      <w:r w:rsidRPr="00C8579F">
        <w:t>ommittee</w:t>
      </w:r>
      <w:r>
        <w:t xml:space="preserve">s, the Technology and Economic Assessment Panel highlights </w:t>
      </w:r>
      <w:r w:rsidRPr="00836849">
        <w:rPr>
          <w:color w:val="000000" w:themeColor="text1"/>
        </w:rPr>
        <w:t>common</w:t>
      </w:r>
      <w:r>
        <w:t xml:space="preserve"> challenges: expanding workload from overlapping ozone-depleting substance</w:t>
      </w:r>
      <w:r w:rsidRPr="005B1006">
        <w:t xml:space="preserve"> phase-out and HFC phase-down regimes</w:t>
      </w:r>
      <w:r>
        <w:t xml:space="preserve">, loss of experienced members through retirement, difficulty </w:t>
      </w:r>
      <w:r w:rsidR="00730E74">
        <w:t xml:space="preserve">in </w:t>
      </w:r>
      <w:r>
        <w:t>funding participation (especially travel), and the strain of maintaining consensus in increasingly virtual working environments. While remote collaboration helps continuity, the Panel emphasizes that in-person meetings remain essential for trust-building and effective consensus.</w:t>
      </w:r>
    </w:p>
    <w:p w14:paraId="7239D791" w14:textId="77777777" w:rsidR="00E62558" w:rsidRPr="00216BCA" w:rsidRDefault="00E62558" w:rsidP="00836849">
      <w:pPr>
        <w:pStyle w:val="Normalnumber"/>
        <w:tabs>
          <w:tab w:val="clear" w:pos="1247"/>
          <w:tab w:val="clear" w:pos="1814"/>
          <w:tab w:val="clear" w:pos="2381"/>
          <w:tab w:val="clear" w:pos="2948"/>
          <w:tab w:val="clear" w:pos="3515"/>
          <w:tab w:val="left" w:pos="624"/>
        </w:tabs>
        <w:ind w:left="1247"/>
      </w:pPr>
      <w:r w:rsidRPr="00216BCA">
        <w:t xml:space="preserve">The </w:t>
      </w:r>
      <w:r w:rsidRPr="00836849">
        <w:rPr>
          <w:color w:val="000000" w:themeColor="text1"/>
        </w:rPr>
        <w:t>Open</w:t>
      </w:r>
      <w:r w:rsidRPr="00216BCA">
        <w:t>-ended Working Group may wish to consider the report and recommend a way forward.</w:t>
      </w:r>
    </w:p>
    <w:p w14:paraId="300FD175" w14:textId="5E54A158" w:rsidR="00E62558" w:rsidRDefault="00E62558" w:rsidP="00E62558">
      <w:pPr>
        <w:pStyle w:val="CH3"/>
      </w:pPr>
      <w:r w:rsidRPr="000D61F0">
        <w:tab/>
        <w:t>(d)</w:t>
      </w:r>
      <w:r w:rsidRPr="000D61F0">
        <w:tab/>
      </w:r>
      <w:r>
        <w:t>Changes in the membership of the Panel</w:t>
      </w:r>
    </w:p>
    <w:p w14:paraId="69E3520A" w14:textId="54434C12" w:rsidR="00E62558" w:rsidRPr="004403A4" w:rsidRDefault="00E62558" w:rsidP="007B11D9">
      <w:pPr>
        <w:pStyle w:val="Normalnumber"/>
        <w:tabs>
          <w:tab w:val="clear" w:pos="1247"/>
          <w:tab w:val="clear" w:pos="1814"/>
          <w:tab w:val="clear" w:pos="2381"/>
          <w:tab w:val="clear" w:pos="2948"/>
          <w:tab w:val="clear" w:pos="3515"/>
          <w:tab w:val="left" w:pos="624"/>
        </w:tabs>
        <w:ind w:left="1247"/>
      </w:pPr>
      <w:r w:rsidRPr="004403A4">
        <w:t>In annex 2 to its 2026 progress report, the Technology and Economic Assessment Panel provide</w:t>
      </w:r>
      <w:r w:rsidRPr="00B77C2A">
        <w:t>s</w:t>
      </w:r>
      <w:r w:rsidRPr="004403A4">
        <w:t xml:space="preserve"> information on the status of its membership and that of its technical options committees as of May </w:t>
      </w:r>
      <w:r w:rsidRPr="004403A4">
        <w:rPr>
          <w:color w:val="000000" w:themeColor="text1"/>
        </w:rPr>
        <w:t>2026</w:t>
      </w:r>
      <w:r w:rsidRPr="004403A4">
        <w:t xml:space="preserve">. </w:t>
      </w:r>
    </w:p>
    <w:p w14:paraId="50CF2FFC" w14:textId="0A2318F5" w:rsidR="00E62558" w:rsidRPr="00634F8B" w:rsidRDefault="00E62558" w:rsidP="007B11D9">
      <w:pPr>
        <w:pStyle w:val="Normalnumber"/>
        <w:tabs>
          <w:tab w:val="clear" w:pos="1247"/>
          <w:tab w:val="clear" w:pos="1814"/>
          <w:tab w:val="clear" w:pos="2381"/>
          <w:tab w:val="clear" w:pos="2948"/>
          <w:tab w:val="clear" w:pos="3515"/>
          <w:tab w:val="left" w:pos="624"/>
        </w:tabs>
        <w:ind w:left="1247"/>
      </w:pPr>
      <w:r>
        <w:t>A</w:t>
      </w:r>
      <w:r w:rsidRPr="00DC6194">
        <w:t xml:space="preserve"> list</w:t>
      </w:r>
      <w:r>
        <w:t xml:space="preserve"> of </w:t>
      </w:r>
      <w:r w:rsidRPr="00581216">
        <w:t xml:space="preserve">the Panel </w:t>
      </w:r>
      <w:r>
        <w:t xml:space="preserve">members </w:t>
      </w:r>
      <w:r w:rsidRPr="00581216">
        <w:t>whose membership expires at the end of 202</w:t>
      </w:r>
      <w:r>
        <w:t>6</w:t>
      </w:r>
      <w:r w:rsidRPr="00581216">
        <w:t xml:space="preserve"> and whose reappointment requires a decision by the Thirty-</w:t>
      </w:r>
      <w:r>
        <w:t>Eighth</w:t>
      </w:r>
      <w:r w:rsidRPr="00581216">
        <w:t xml:space="preserve"> Meeting of the Parties</w:t>
      </w:r>
      <w:r>
        <w:t xml:space="preserve"> is </w:t>
      </w:r>
      <w:r w:rsidR="00CB6582">
        <w:t xml:space="preserve">set out </w:t>
      </w:r>
      <w:r w:rsidRPr="00EF1532">
        <w:t>in table 3. The members of the technical options committees whose membership expires at the end of 2026 and</w:t>
      </w:r>
      <w:r w:rsidRPr="00581216">
        <w:t xml:space="preserve"> whose </w:t>
      </w:r>
      <w:r w:rsidRPr="00836849">
        <w:rPr>
          <w:color w:val="000000" w:themeColor="text1"/>
        </w:rPr>
        <w:t>reappointment</w:t>
      </w:r>
      <w:r w:rsidRPr="00581216">
        <w:t xml:space="preserve"> does not require a decision by the Thirty-</w:t>
      </w:r>
      <w:r>
        <w:t>Eighth</w:t>
      </w:r>
      <w:r w:rsidRPr="00581216">
        <w:t xml:space="preserve"> Meeting of the Parties are listed in </w:t>
      </w:r>
      <w:r w:rsidRPr="00EF1532">
        <w:t>annex III to the</w:t>
      </w:r>
      <w:r w:rsidRPr="00634F8B">
        <w:t xml:space="preserve"> present addendum.</w:t>
      </w:r>
    </w:p>
    <w:p w14:paraId="3770B508" w14:textId="77777777" w:rsidR="00E62558" w:rsidRPr="00581216" w:rsidRDefault="00E62558" w:rsidP="002243E9">
      <w:pPr>
        <w:pStyle w:val="Titletable"/>
        <w:spacing w:before="120"/>
      </w:pPr>
      <w:r w:rsidRPr="00634F8B">
        <w:rPr>
          <w:b w:val="0"/>
        </w:rPr>
        <w:lastRenderedPageBreak/>
        <w:t xml:space="preserve">Table </w:t>
      </w:r>
      <w:r>
        <w:rPr>
          <w:b w:val="0"/>
        </w:rPr>
        <w:t>3</w:t>
      </w:r>
      <w:r w:rsidRPr="00581216">
        <w:t xml:space="preserve"> </w:t>
      </w:r>
      <w:r w:rsidRPr="00581216">
        <w:br/>
        <w:t>Members of the Technology and Economic Assessment Panel whose membership expires at the end of 202</w:t>
      </w:r>
      <w:r>
        <w:t>6</w:t>
      </w:r>
      <w:r w:rsidRPr="00581216">
        <w:t xml:space="preserve"> and whose reappointment requires a decision by the Thirty-</w:t>
      </w:r>
      <w:r>
        <w:t>Eighth</w:t>
      </w:r>
      <w:r w:rsidRPr="00581216">
        <w:t xml:space="preserve"> Meeting of the Parties</w:t>
      </w:r>
    </w:p>
    <w:tbl>
      <w:tblPr>
        <w:tblW w:w="8307" w:type="dxa"/>
        <w:jc w:val="right"/>
        <w:tblLook w:val="04A0" w:firstRow="1" w:lastRow="0" w:firstColumn="1" w:lastColumn="0" w:noHBand="0" w:noVBand="1"/>
      </w:tblPr>
      <w:tblGrid>
        <w:gridCol w:w="2089"/>
        <w:gridCol w:w="2082"/>
        <w:gridCol w:w="4136"/>
      </w:tblGrid>
      <w:tr w:rsidR="00E62558" w:rsidRPr="00581216" w14:paraId="5B232D45" w14:textId="77777777" w:rsidTr="001940D7">
        <w:trPr>
          <w:trHeight w:val="57"/>
          <w:tblHeader/>
          <w:jc w:val="right"/>
        </w:trPr>
        <w:tc>
          <w:tcPr>
            <w:tcW w:w="2127" w:type="dxa"/>
            <w:tcBorders>
              <w:top w:val="single" w:sz="4" w:space="0" w:color="auto"/>
              <w:bottom w:val="single" w:sz="12" w:space="0" w:color="auto"/>
            </w:tcBorders>
            <w:vAlign w:val="bottom"/>
          </w:tcPr>
          <w:p w14:paraId="79DDCF9E" w14:textId="77777777" w:rsidR="00E62558" w:rsidRPr="00581216" w:rsidRDefault="00E62558" w:rsidP="002243E9">
            <w:pPr>
              <w:pStyle w:val="Normal-pool-Table"/>
              <w:keepNext/>
              <w:keepLines/>
              <w:rPr>
                <w:i/>
              </w:rPr>
            </w:pPr>
            <w:r w:rsidRPr="00581216">
              <w:rPr>
                <w:i/>
              </w:rPr>
              <w:t>Name</w:t>
            </w:r>
          </w:p>
        </w:tc>
        <w:tc>
          <w:tcPr>
            <w:tcW w:w="2126" w:type="dxa"/>
            <w:tcBorders>
              <w:top w:val="single" w:sz="4" w:space="0" w:color="auto"/>
              <w:bottom w:val="single" w:sz="12" w:space="0" w:color="auto"/>
            </w:tcBorders>
            <w:vAlign w:val="bottom"/>
          </w:tcPr>
          <w:p w14:paraId="4D72C6D3" w14:textId="77777777" w:rsidR="00E62558" w:rsidRPr="00581216" w:rsidRDefault="00E62558" w:rsidP="002243E9">
            <w:pPr>
              <w:pStyle w:val="Normal-pool-Table"/>
              <w:keepNext/>
              <w:keepLines/>
              <w:ind w:left="-612" w:firstLine="612"/>
              <w:rPr>
                <w:i/>
              </w:rPr>
            </w:pPr>
            <w:r w:rsidRPr="00581216">
              <w:rPr>
                <w:i/>
              </w:rPr>
              <w:t>Position</w:t>
            </w:r>
          </w:p>
        </w:tc>
        <w:tc>
          <w:tcPr>
            <w:tcW w:w="4252" w:type="dxa"/>
            <w:tcBorders>
              <w:top w:val="single" w:sz="4" w:space="0" w:color="auto"/>
              <w:bottom w:val="single" w:sz="12" w:space="0" w:color="auto"/>
            </w:tcBorders>
            <w:vAlign w:val="bottom"/>
          </w:tcPr>
          <w:p w14:paraId="4742722E" w14:textId="77777777" w:rsidR="00E62558" w:rsidRPr="00581216" w:rsidRDefault="00E62558" w:rsidP="002243E9">
            <w:pPr>
              <w:pStyle w:val="Normal-pool-Table"/>
              <w:keepNext/>
              <w:keepLines/>
              <w:ind w:left="-107"/>
              <w:rPr>
                <w:i/>
              </w:rPr>
            </w:pPr>
            <w:r w:rsidRPr="00581216">
              <w:rPr>
                <w:i/>
              </w:rPr>
              <w:t>Country</w:t>
            </w:r>
          </w:p>
        </w:tc>
      </w:tr>
      <w:tr w:rsidR="00E62558" w:rsidRPr="00581216" w14:paraId="5F0E2522" w14:textId="77777777" w:rsidTr="001940D7">
        <w:trPr>
          <w:trHeight w:val="57"/>
          <w:jc w:val="right"/>
        </w:trPr>
        <w:tc>
          <w:tcPr>
            <w:tcW w:w="2127" w:type="dxa"/>
          </w:tcPr>
          <w:p w14:paraId="6F8C92BF" w14:textId="77777777" w:rsidR="00E62558" w:rsidRPr="00A55F41" w:rsidRDefault="00E62558" w:rsidP="002243E9">
            <w:pPr>
              <w:pStyle w:val="Normal-pool-Table"/>
              <w:keepNext/>
              <w:keepLines/>
              <w:rPr>
                <w:szCs w:val="18"/>
              </w:rPr>
            </w:pPr>
            <w:r w:rsidRPr="00A55F41">
              <w:rPr>
                <w:szCs w:val="18"/>
              </w:rPr>
              <w:t>Marta Pizano</w:t>
            </w:r>
          </w:p>
        </w:tc>
        <w:tc>
          <w:tcPr>
            <w:tcW w:w="2126" w:type="dxa"/>
          </w:tcPr>
          <w:p w14:paraId="7EE68BB0" w14:textId="77777777" w:rsidR="00E62558" w:rsidRPr="00A55F41" w:rsidRDefault="00E62558" w:rsidP="002243E9">
            <w:pPr>
              <w:pStyle w:val="Normal-pool-Table"/>
              <w:keepNext/>
              <w:keepLines/>
              <w:ind w:left="-612" w:firstLine="612"/>
              <w:rPr>
                <w:szCs w:val="18"/>
              </w:rPr>
            </w:pPr>
            <w:r w:rsidRPr="00A55F41">
              <w:rPr>
                <w:szCs w:val="18"/>
              </w:rPr>
              <w:t>TEAP co-chair</w:t>
            </w:r>
          </w:p>
        </w:tc>
        <w:tc>
          <w:tcPr>
            <w:tcW w:w="4252" w:type="dxa"/>
          </w:tcPr>
          <w:p w14:paraId="6D89EB20" w14:textId="77777777" w:rsidR="00E62558" w:rsidRPr="00A55F41" w:rsidRDefault="00E62558" w:rsidP="002243E9">
            <w:pPr>
              <w:pStyle w:val="Normal-pool-Table"/>
              <w:keepNext/>
              <w:keepLines/>
              <w:ind w:left="-107"/>
              <w:rPr>
                <w:szCs w:val="18"/>
              </w:rPr>
            </w:pPr>
            <w:r w:rsidRPr="00A55F41">
              <w:rPr>
                <w:szCs w:val="18"/>
              </w:rPr>
              <w:t>Colombia</w:t>
            </w:r>
          </w:p>
        </w:tc>
      </w:tr>
      <w:tr w:rsidR="00E62558" w:rsidRPr="00581216" w14:paraId="1E2CF1F0" w14:textId="77777777" w:rsidTr="001940D7">
        <w:trPr>
          <w:trHeight w:val="57"/>
          <w:jc w:val="right"/>
        </w:trPr>
        <w:tc>
          <w:tcPr>
            <w:tcW w:w="2127" w:type="dxa"/>
          </w:tcPr>
          <w:p w14:paraId="3CB36297" w14:textId="77777777" w:rsidR="00E62558" w:rsidRPr="00A55F41" w:rsidRDefault="00E62558" w:rsidP="002243E9">
            <w:pPr>
              <w:pStyle w:val="Normal-pool-Table"/>
              <w:keepNext/>
              <w:keepLines/>
              <w:rPr>
                <w:szCs w:val="18"/>
              </w:rPr>
            </w:pPr>
            <w:r w:rsidRPr="00A55F41">
              <w:rPr>
                <w:szCs w:val="18"/>
              </w:rPr>
              <w:t>Ashley Woodcock</w:t>
            </w:r>
          </w:p>
        </w:tc>
        <w:tc>
          <w:tcPr>
            <w:tcW w:w="2126" w:type="dxa"/>
          </w:tcPr>
          <w:p w14:paraId="48DA2182" w14:textId="77777777" w:rsidR="00E62558" w:rsidRPr="00A55F41" w:rsidRDefault="00E62558" w:rsidP="002243E9">
            <w:pPr>
              <w:pStyle w:val="Normal-pool-Table"/>
              <w:keepNext/>
              <w:keepLines/>
              <w:ind w:left="-612" w:firstLine="612"/>
              <w:rPr>
                <w:szCs w:val="18"/>
              </w:rPr>
            </w:pPr>
            <w:r w:rsidRPr="00A55F41">
              <w:rPr>
                <w:szCs w:val="18"/>
              </w:rPr>
              <w:t>TEAP co-chair</w:t>
            </w:r>
          </w:p>
        </w:tc>
        <w:tc>
          <w:tcPr>
            <w:tcW w:w="4252" w:type="dxa"/>
          </w:tcPr>
          <w:p w14:paraId="73444C38" w14:textId="77777777" w:rsidR="00E62558" w:rsidRPr="00A55F41" w:rsidRDefault="00E62558" w:rsidP="002243E9">
            <w:pPr>
              <w:pStyle w:val="Normal-pool-Table"/>
              <w:keepNext/>
              <w:keepLines/>
              <w:ind w:left="-107"/>
              <w:rPr>
                <w:szCs w:val="18"/>
              </w:rPr>
            </w:pPr>
            <w:r w:rsidRPr="00A55F41">
              <w:rPr>
                <w:szCs w:val="18"/>
              </w:rPr>
              <w:t xml:space="preserve">United Kingdom of Great Britain and Northern Ireland </w:t>
            </w:r>
          </w:p>
        </w:tc>
      </w:tr>
      <w:tr w:rsidR="00E62558" w:rsidRPr="00581216" w14:paraId="4946080A" w14:textId="77777777" w:rsidTr="001940D7">
        <w:trPr>
          <w:trHeight w:val="57"/>
          <w:jc w:val="right"/>
        </w:trPr>
        <w:tc>
          <w:tcPr>
            <w:tcW w:w="2127" w:type="dxa"/>
          </w:tcPr>
          <w:p w14:paraId="3D4A45C0" w14:textId="77777777" w:rsidR="00E62558" w:rsidRPr="00A55F41" w:rsidRDefault="00E62558" w:rsidP="002243E9">
            <w:pPr>
              <w:pStyle w:val="Normal-pool-Table"/>
              <w:keepNext/>
              <w:keepLines/>
              <w:rPr>
                <w:szCs w:val="18"/>
              </w:rPr>
            </w:pPr>
            <w:r w:rsidRPr="00A55F41">
              <w:rPr>
                <w:szCs w:val="18"/>
              </w:rPr>
              <w:t>Fabio Polonara</w:t>
            </w:r>
          </w:p>
        </w:tc>
        <w:tc>
          <w:tcPr>
            <w:tcW w:w="2126" w:type="dxa"/>
          </w:tcPr>
          <w:p w14:paraId="6562AE1D" w14:textId="77777777" w:rsidR="00E62558" w:rsidRPr="00A55F41" w:rsidRDefault="00E62558" w:rsidP="002243E9">
            <w:pPr>
              <w:pStyle w:val="Normal-pool-Table"/>
              <w:keepNext/>
              <w:keepLines/>
              <w:ind w:left="-612" w:firstLine="612"/>
              <w:rPr>
                <w:szCs w:val="18"/>
              </w:rPr>
            </w:pPr>
            <w:r w:rsidRPr="00A55F41">
              <w:rPr>
                <w:szCs w:val="18"/>
              </w:rPr>
              <w:t>RTOC co-chair</w:t>
            </w:r>
          </w:p>
        </w:tc>
        <w:tc>
          <w:tcPr>
            <w:tcW w:w="4252" w:type="dxa"/>
          </w:tcPr>
          <w:p w14:paraId="15BE86CC" w14:textId="77777777" w:rsidR="00E62558" w:rsidRPr="00A55F41" w:rsidRDefault="00E62558" w:rsidP="002243E9">
            <w:pPr>
              <w:pStyle w:val="Normal-pool-Table"/>
              <w:keepNext/>
              <w:keepLines/>
              <w:ind w:left="-107"/>
              <w:rPr>
                <w:szCs w:val="18"/>
              </w:rPr>
            </w:pPr>
            <w:r w:rsidRPr="00A55F41">
              <w:rPr>
                <w:szCs w:val="18"/>
              </w:rPr>
              <w:t>Italy</w:t>
            </w:r>
          </w:p>
        </w:tc>
      </w:tr>
      <w:tr w:rsidR="00E62558" w:rsidRPr="00581216" w14:paraId="76B731E4" w14:textId="77777777" w:rsidTr="001940D7">
        <w:trPr>
          <w:trHeight w:val="315"/>
          <w:jc w:val="right"/>
        </w:trPr>
        <w:tc>
          <w:tcPr>
            <w:tcW w:w="2127" w:type="dxa"/>
          </w:tcPr>
          <w:p w14:paraId="1EAF4FDC" w14:textId="77777777" w:rsidR="00E62558" w:rsidRPr="00A55F41" w:rsidRDefault="00E62558" w:rsidP="002243E9">
            <w:pPr>
              <w:pStyle w:val="Normal-pool-Table"/>
              <w:keepNext/>
              <w:keepLines/>
              <w:rPr>
                <w:szCs w:val="18"/>
              </w:rPr>
            </w:pPr>
            <w:r w:rsidRPr="00A55F41">
              <w:rPr>
                <w:szCs w:val="18"/>
              </w:rPr>
              <w:t xml:space="preserve">Suely Machado Carvalho </w:t>
            </w:r>
          </w:p>
        </w:tc>
        <w:tc>
          <w:tcPr>
            <w:tcW w:w="2126" w:type="dxa"/>
          </w:tcPr>
          <w:p w14:paraId="469777CC" w14:textId="77777777" w:rsidR="00E62558" w:rsidRPr="00A55F41" w:rsidRDefault="00E62558" w:rsidP="002243E9">
            <w:pPr>
              <w:pStyle w:val="Normal-pool-Table"/>
              <w:keepNext/>
              <w:keepLines/>
              <w:ind w:left="-612" w:firstLine="612"/>
              <w:rPr>
                <w:szCs w:val="18"/>
              </w:rPr>
            </w:pPr>
            <w:r w:rsidRPr="00A55F41">
              <w:rPr>
                <w:szCs w:val="18"/>
              </w:rPr>
              <w:t>TEAP senior expert</w:t>
            </w:r>
          </w:p>
        </w:tc>
        <w:tc>
          <w:tcPr>
            <w:tcW w:w="4252" w:type="dxa"/>
          </w:tcPr>
          <w:p w14:paraId="3BDBB4E3" w14:textId="77777777" w:rsidR="00E62558" w:rsidRPr="00A55F41" w:rsidRDefault="00E62558" w:rsidP="002243E9">
            <w:pPr>
              <w:pStyle w:val="Normal-pool-Table"/>
              <w:keepNext/>
              <w:keepLines/>
              <w:ind w:left="-107"/>
              <w:rPr>
                <w:szCs w:val="18"/>
              </w:rPr>
            </w:pPr>
            <w:r w:rsidRPr="00A55F41">
              <w:rPr>
                <w:szCs w:val="18"/>
              </w:rPr>
              <w:t>Brazil</w:t>
            </w:r>
          </w:p>
        </w:tc>
      </w:tr>
      <w:tr w:rsidR="00E62558" w:rsidRPr="00581216" w14:paraId="4B0FDE67" w14:textId="77777777" w:rsidTr="001940D7">
        <w:trPr>
          <w:trHeight w:val="344"/>
          <w:jc w:val="right"/>
        </w:trPr>
        <w:tc>
          <w:tcPr>
            <w:tcW w:w="2127" w:type="dxa"/>
          </w:tcPr>
          <w:p w14:paraId="6D01F854" w14:textId="77777777" w:rsidR="00E62558" w:rsidRPr="00A55F41" w:rsidRDefault="00E62558" w:rsidP="002243E9">
            <w:pPr>
              <w:pStyle w:val="Normal-pool-Table"/>
              <w:keepNext/>
              <w:keepLines/>
              <w:rPr>
                <w:szCs w:val="18"/>
              </w:rPr>
            </w:pPr>
            <w:r w:rsidRPr="00A55F41">
              <w:rPr>
                <w:szCs w:val="18"/>
              </w:rPr>
              <w:t>Sukumar Devotta</w:t>
            </w:r>
          </w:p>
        </w:tc>
        <w:tc>
          <w:tcPr>
            <w:tcW w:w="2126" w:type="dxa"/>
          </w:tcPr>
          <w:p w14:paraId="7FA09C22" w14:textId="77777777" w:rsidR="00E62558" w:rsidRPr="00A55F41" w:rsidRDefault="00E62558" w:rsidP="002243E9">
            <w:pPr>
              <w:pStyle w:val="Normal-pool-Table"/>
              <w:keepNext/>
              <w:keepLines/>
              <w:ind w:left="-612" w:firstLine="612"/>
              <w:rPr>
                <w:szCs w:val="18"/>
              </w:rPr>
            </w:pPr>
            <w:r w:rsidRPr="00A55F41">
              <w:rPr>
                <w:szCs w:val="18"/>
              </w:rPr>
              <w:t>TEAP senior expert</w:t>
            </w:r>
          </w:p>
        </w:tc>
        <w:tc>
          <w:tcPr>
            <w:tcW w:w="4252" w:type="dxa"/>
          </w:tcPr>
          <w:p w14:paraId="4F92BAAA" w14:textId="77777777" w:rsidR="00E62558" w:rsidRPr="00A55F41" w:rsidRDefault="00E62558" w:rsidP="002243E9">
            <w:pPr>
              <w:pStyle w:val="Normal-pool-Table"/>
              <w:keepNext/>
              <w:keepLines/>
              <w:ind w:left="-107"/>
              <w:rPr>
                <w:szCs w:val="18"/>
              </w:rPr>
            </w:pPr>
            <w:r w:rsidRPr="00A55F41">
              <w:rPr>
                <w:szCs w:val="18"/>
              </w:rPr>
              <w:t>India</w:t>
            </w:r>
          </w:p>
        </w:tc>
      </w:tr>
      <w:tr w:rsidR="00E62558" w:rsidRPr="00581216" w14:paraId="28FE8C30" w14:textId="77777777" w:rsidTr="001940D7">
        <w:trPr>
          <w:trHeight w:val="344"/>
          <w:jc w:val="right"/>
        </w:trPr>
        <w:tc>
          <w:tcPr>
            <w:tcW w:w="2127" w:type="dxa"/>
          </w:tcPr>
          <w:p w14:paraId="3AD3FCAB" w14:textId="77777777" w:rsidR="00E62558" w:rsidRPr="00A55F41" w:rsidRDefault="00E62558" w:rsidP="002243E9">
            <w:pPr>
              <w:pStyle w:val="Normal-pool-Table"/>
              <w:keepNext/>
              <w:keepLines/>
              <w:rPr>
                <w:szCs w:val="18"/>
              </w:rPr>
            </w:pPr>
            <w:r w:rsidRPr="00A55F41">
              <w:rPr>
                <w:szCs w:val="18"/>
              </w:rPr>
              <w:t>Bassam Elassaad</w:t>
            </w:r>
          </w:p>
        </w:tc>
        <w:tc>
          <w:tcPr>
            <w:tcW w:w="2126" w:type="dxa"/>
          </w:tcPr>
          <w:p w14:paraId="7191117F" w14:textId="77777777" w:rsidR="00E62558" w:rsidRPr="00A55F41" w:rsidRDefault="00E62558" w:rsidP="002243E9">
            <w:pPr>
              <w:pStyle w:val="Normal-pool-Table"/>
              <w:keepNext/>
              <w:keepLines/>
              <w:ind w:left="-612" w:firstLine="612"/>
              <w:rPr>
                <w:szCs w:val="18"/>
              </w:rPr>
            </w:pPr>
            <w:r w:rsidRPr="00A55F41">
              <w:rPr>
                <w:szCs w:val="18"/>
              </w:rPr>
              <w:t>TEAP senior expert</w:t>
            </w:r>
          </w:p>
        </w:tc>
        <w:tc>
          <w:tcPr>
            <w:tcW w:w="4252" w:type="dxa"/>
          </w:tcPr>
          <w:p w14:paraId="65592C1F" w14:textId="77777777" w:rsidR="00E62558" w:rsidRPr="00A55F41" w:rsidRDefault="00E62558" w:rsidP="002243E9">
            <w:pPr>
              <w:pStyle w:val="Normal-pool-Table"/>
              <w:keepNext/>
              <w:keepLines/>
              <w:ind w:left="-107"/>
              <w:rPr>
                <w:szCs w:val="18"/>
              </w:rPr>
            </w:pPr>
            <w:r w:rsidRPr="00A55F41">
              <w:rPr>
                <w:szCs w:val="18"/>
              </w:rPr>
              <w:t>Lebanon</w:t>
            </w:r>
          </w:p>
        </w:tc>
      </w:tr>
      <w:tr w:rsidR="00E62558" w:rsidRPr="00581216" w14:paraId="431E150E" w14:textId="77777777" w:rsidTr="001940D7">
        <w:trPr>
          <w:trHeight w:val="344"/>
          <w:jc w:val="right"/>
        </w:trPr>
        <w:tc>
          <w:tcPr>
            <w:tcW w:w="2127" w:type="dxa"/>
          </w:tcPr>
          <w:p w14:paraId="4854C8A1" w14:textId="77777777" w:rsidR="00E62558" w:rsidRPr="00A55F41" w:rsidRDefault="00E62558" w:rsidP="002243E9">
            <w:pPr>
              <w:pStyle w:val="Normal-pool-Table"/>
              <w:keepNext/>
              <w:keepLines/>
              <w:rPr>
                <w:szCs w:val="18"/>
              </w:rPr>
            </w:pPr>
            <w:r w:rsidRPr="00A55F41">
              <w:rPr>
                <w:szCs w:val="18"/>
              </w:rPr>
              <w:t>Ray Gluckman</w:t>
            </w:r>
          </w:p>
        </w:tc>
        <w:tc>
          <w:tcPr>
            <w:tcW w:w="2126" w:type="dxa"/>
          </w:tcPr>
          <w:p w14:paraId="77A1B55B" w14:textId="77777777" w:rsidR="00E62558" w:rsidRPr="00A55F41" w:rsidRDefault="00E62558" w:rsidP="002243E9">
            <w:pPr>
              <w:pStyle w:val="Normal-pool-Table"/>
              <w:keepNext/>
              <w:keepLines/>
              <w:ind w:left="-612" w:firstLine="612"/>
              <w:rPr>
                <w:szCs w:val="18"/>
              </w:rPr>
            </w:pPr>
            <w:r w:rsidRPr="00A55F41">
              <w:rPr>
                <w:szCs w:val="18"/>
              </w:rPr>
              <w:t>TEAP senior expert</w:t>
            </w:r>
          </w:p>
        </w:tc>
        <w:tc>
          <w:tcPr>
            <w:tcW w:w="4252" w:type="dxa"/>
          </w:tcPr>
          <w:p w14:paraId="11B76158" w14:textId="77777777" w:rsidR="00E62558" w:rsidRPr="00A55F41" w:rsidRDefault="00E62558" w:rsidP="002243E9">
            <w:pPr>
              <w:pStyle w:val="Normal-pool-Table"/>
              <w:keepNext/>
              <w:keepLines/>
              <w:ind w:left="-107"/>
              <w:rPr>
                <w:szCs w:val="18"/>
              </w:rPr>
            </w:pPr>
            <w:r w:rsidRPr="00A55F41">
              <w:rPr>
                <w:szCs w:val="18"/>
              </w:rPr>
              <w:t>United Kingdom of Great Britain and Northern Ireland</w:t>
            </w:r>
          </w:p>
        </w:tc>
      </w:tr>
      <w:tr w:rsidR="00E62558" w:rsidRPr="00581216" w14:paraId="12BDA98E" w14:textId="77777777" w:rsidTr="001940D7">
        <w:trPr>
          <w:trHeight w:val="344"/>
          <w:jc w:val="right"/>
        </w:trPr>
        <w:tc>
          <w:tcPr>
            <w:tcW w:w="2127" w:type="dxa"/>
          </w:tcPr>
          <w:p w14:paraId="741A9ABE" w14:textId="77777777" w:rsidR="00E62558" w:rsidRPr="00A55F41" w:rsidRDefault="00E62558" w:rsidP="002243E9">
            <w:pPr>
              <w:pStyle w:val="Normal-pool-Table"/>
              <w:keepNext/>
              <w:keepLines/>
              <w:rPr>
                <w:szCs w:val="18"/>
              </w:rPr>
            </w:pPr>
            <w:r w:rsidRPr="00A55F41">
              <w:rPr>
                <w:szCs w:val="18"/>
              </w:rPr>
              <w:t>Marco Gonzalez</w:t>
            </w:r>
          </w:p>
        </w:tc>
        <w:tc>
          <w:tcPr>
            <w:tcW w:w="2126" w:type="dxa"/>
          </w:tcPr>
          <w:p w14:paraId="3BAF5100" w14:textId="77777777" w:rsidR="00E62558" w:rsidRPr="00A55F41" w:rsidRDefault="00E62558" w:rsidP="002243E9">
            <w:pPr>
              <w:pStyle w:val="Normal-pool-Table"/>
              <w:keepNext/>
              <w:keepLines/>
              <w:ind w:left="-612" w:firstLine="612"/>
              <w:rPr>
                <w:szCs w:val="18"/>
              </w:rPr>
            </w:pPr>
            <w:r w:rsidRPr="00A55F41">
              <w:rPr>
                <w:szCs w:val="18"/>
              </w:rPr>
              <w:t>TEAP senior expert</w:t>
            </w:r>
          </w:p>
        </w:tc>
        <w:tc>
          <w:tcPr>
            <w:tcW w:w="4252" w:type="dxa"/>
          </w:tcPr>
          <w:p w14:paraId="4FC34F15" w14:textId="77777777" w:rsidR="00E62558" w:rsidRPr="00A55F41" w:rsidRDefault="00E62558" w:rsidP="002243E9">
            <w:pPr>
              <w:pStyle w:val="Normal-pool-Table"/>
              <w:keepNext/>
              <w:keepLines/>
              <w:ind w:left="-107"/>
              <w:rPr>
                <w:szCs w:val="18"/>
              </w:rPr>
            </w:pPr>
            <w:r w:rsidRPr="00A55F41">
              <w:rPr>
                <w:szCs w:val="18"/>
              </w:rPr>
              <w:t>Costa Rica</w:t>
            </w:r>
          </w:p>
        </w:tc>
      </w:tr>
      <w:tr w:rsidR="00E62558" w:rsidRPr="00581216" w14:paraId="763D2DC1" w14:textId="77777777" w:rsidTr="001940D7">
        <w:trPr>
          <w:trHeight w:val="344"/>
          <w:jc w:val="right"/>
        </w:trPr>
        <w:tc>
          <w:tcPr>
            <w:tcW w:w="2127" w:type="dxa"/>
            <w:tcBorders>
              <w:bottom w:val="single" w:sz="12" w:space="0" w:color="auto"/>
            </w:tcBorders>
          </w:tcPr>
          <w:p w14:paraId="111E66A9" w14:textId="77777777" w:rsidR="00E62558" w:rsidRPr="00A55F41" w:rsidRDefault="00E62558" w:rsidP="002243E9">
            <w:pPr>
              <w:pStyle w:val="Normal-pool-Table"/>
              <w:keepNext/>
              <w:keepLines/>
              <w:rPr>
                <w:szCs w:val="18"/>
              </w:rPr>
            </w:pPr>
            <w:r w:rsidRPr="00A55F41">
              <w:rPr>
                <w:szCs w:val="18"/>
              </w:rPr>
              <w:t>Shiqiu Zhang</w:t>
            </w:r>
          </w:p>
        </w:tc>
        <w:tc>
          <w:tcPr>
            <w:tcW w:w="2126" w:type="dxa"/>
            <w:tcBorders>
              <w:bottom w:val="single" w:sz="12" w:space="0" w:color="auto"/>
            </w:tcBorders>
          </w:tcPr>
          <w:p w14:paraId="56550C1A" w14:textId="77777777" w:rsidR="00E62558" w:rsidRPr="00A55F41" w:rsidRDefault="00E62558" w:rsidP="002243E9">
            <w:pPr>
              <w:pStyle w:val="Normal-pool-Table"/>
              <w:keepNext/>
              <w:keepLines/>
              <w:ind w:left="-612" w:firstLine="612"/>
              <w:rPr>
                <w:szCs w:val="18"/>
              </w:rPr>
            </w:pPr>
            <w:r w:rsidRPr="00A55F41">
              <w:rPr>
                <w:szCs w:val="18"/>
              </w:rPr>
              <w:t>TEAP senior expert</w:t>
            </w:r>
          </w:p>
        </w:tc>
        <w:tc>
          <w:tcPr>
            <w:tcW w:w="4252" w:type="dxa"/>
            <w:tcBorders>
              <w:bottom w:val="single" w:sz="12" w:space="0" w:color="auto"/>
            </w:tcBorders>
          </w:tcPr>
          <w:p w14:paraId="17BE2FD1" w14:textId="77777777" w:rsidR="00E62558" w:rsidRPr="00A55F41" w:rsidRDefault="00E62558" w:rsidP="002243E9">
            <w:pPr>
              <w:pStyle w:val="Normal-pool-Table"/>
              <w:keepNext/>
              <w:keepLines/>
              <w:ind w:left="-107"/>
              <w:rPr>
                <w:szCs w:val="18"/>
              </w:rPr>
            </w:pPr>
            <w:r w:rsidRPr="00A55F41">
              <w:rPr>
                <w:szCs w:val="18"/>
              </w:rPr>
              <w:t>China</w:t>
            </w:r>
          </w:p>
        </w:tc>
      </w:tr>
    </w:tbl>
    <w:p w14:paraId="2411343C" w14:textId="108E5198" w:rsidR="00E62558" w:rsidRPr="00581216" w:rsidRDefault="00E62558" w:rsidP="002243E9">
      <w:pPr>
        <w:pStyle w:val="Normal-pool"/>
        <w:keepNext/>
        <w:keepLines/>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after="120"/>
        <w:ind w:left="1247"/>
        <w:rPr>
          <w:sz w:val="18"/>
        </w:rPr>
      </w:pPr>
      <w:r w:rsidRPr="00581216">
        <w:rPr>
          <w:i/>
          <w:sz w:val="18"/>
        </w:rPr>
        <w:tab/>
        <w:t>Abbreviations</w:t>
      </w:r>
      <w:r w:rsidRPr="00581216">
        <w:rPr>
          <w:sz w:val="18"/>
        </w:rPr>
        <w:t xml:space="preserve">: </w:t>
      </w:r>
      <w:r>
        <w:rPr>
          <w:sz w:val="18"/>
        </w:rPr>
        <w:t xml:space="preserve">RTOC </w:t>
      </w:r>
      <w:r w:rsidRPr="00581216">
        <w:rPr>
          <w:sz w:val="18"/>
        </w:rPr>
        <w:t xml:space="preserve">– </w:t>
      </w:r>
      <w:r>
        <w:rPr>
          <w:sz w:val="18"/>
        </w:rPr>
        <w:t xml:space="preserve">Refrigeration, Air Conditioning and </w:t>
      </w:r>
      <w:r w:rsidR="009D580D">
        <w:rPr>
          <w:sz w:val="18"/>
        </w:rPr>
        <w:t>H</w:t>
      </w:r>
      <w:r>
        <w:rPr>
          <w:sz w:val="18"/>
        </w:rPr>
        <w:t xml:space="preserve">eat Pumps Technical </w:t>
      </w:r>
      <w:r w:rsidRPr="00581216">
        <w:rPr>
          <w:sz w:val="18"/>
        </w:rPr>
        <w:t>Options Committee</w:t>
      </w:r>
      <w:r w:rsidR="00C869E3">
        <w:rPr>
          <w:sz w:val="18"/>
        </w:rPr>
        <w:t>; TEAP</w:t>
      </w:r>
      <w:r w:rsidR="00C869E3" w:rsidRPr="00581216">
        <w:rPr>
          <w:sz w:val="18"/>
        </w:rPr>
        <w:t xml:space="preserve"> – </w:t>
      </w:r>
      <w:r w:rsidR="00C869E3">
        <w:rPr>
          <w:sz w:val="18"/>
        </w:rPr>
        <w:t xml:space="preserve">Technology </w:t>
      </w:r>
      <w:r w:rsidR="00C869E3" w:rsidRPr="00CC029E">
        <w:rPr>
          <w:sz w:val="18"/>
        </w:rPr>
        <w:t>and Economic Assessment Panel</w:t>
      </w:r>
      <w:r w:rsidRPr="00581216">
        <w:rPr>
          <w:sz w:val="18"/>
        </w:rPr>
        <w:t>.</w:t>
      </w:r>
    </w:p>
    <w:p w14:paraId="430DA3A9" w14:textId="3EDCEC31" w:rsidR="00E62558" w:rsidRPr="00DB7D54" w:rsidRDefault="00E62558" w:rsidP="007B11D9">
      <w:pPr>
        <w:pStyle w:val="Normalnumber"/>
        <w:tabs>
          <w:tab w:val="clear" w:pos="1247"/>
          <w:tab w:val="clear" w:pos="1814"/>
          <w:tab w:val="clear" w:pos="2381"/>
          <w:tab w:val="clear" w:pos="2948"/>
          <w:tab w:val="clear" w:pos="3515"/>
          <w:tab w:val="left" w:pos="624"/>
        </w:tabs>
        <w:ind w:left="1247"/>
      </w:pPr>
      <w:r w:rsidRPr="00581216">
        <w:t xml:space="preserve">Parties may wish to submit nominations, as necessary, in accordance with </w:t>
      </w:r>
      <w:r w:rsidRPr="00D14D90">
        <w:t>p</w:t>
      </w:r>
      <w:r w:rsidRPr="00581216">
        <w:t xml:space="preserve">aragraph 3 of decision XXXI/8, whereby they are requested, “when nominating experts to the Panel, its technical options committees or its temporary subsidiary bodies, to use the Panel’s nomination form and associated guidelines so as to facilitate the submission of appropriate nominations, taking into account the matrix of needed expertise, and geographical and gender balance, in addition to the expertise needed to address new issues related to the Kigali Amendment, such as energy efficiency, safety standards and climate benefits”. In paragraph 5 of the same decision, parties are urged “to follow the terms of reference of the Panel, consult the </w:t>
      </w:r>
      <w:r w:rsidRPr="00DB7D54">
        <w:t>Panel’s co-chairs and refer to the matrix of needed expertise prior to making nominations for appointments to the Panel”.</w:t>
      </w:r>
    </w:p>
    <w:p w14:paraId="7D4C5744" w14:textId="78A3B311" w:rsidR="00E62558" w:rsidRPr="00DB7D54" w:rsidRDefault="00E62558" w:rsidP="007B11D9">
      <w:pPr>
        <w:pStyle w:val="Normalnumber"/>
        <w:tabs>
          <w:tab w:val="clear" w:pos="1247"/>
          <w:tab w:val="clear" w:pos="1814"/>
          <w:tab w:val="clear" w:pos="2381"/>
          <w:tab w:val="clear" w:pos="2948"/>
          <w:tab w:val="clear" w:pos="3515"/>
          <w:tab w:val="left" w:pos="624"/>
        </w:tabs>
        <w:ind w:left="1247"/>
      </w:pPr>
      <w:r w:rsidRPr="00DB7D54">
        <w:t xml:space="preserve">The matrix of needed expertise, identified by the </w:t>
      </w:r>
      <w:r w:rsidRPr="00267637">
        <w:t>Panel as of May</w:t>
      </w:r>
      <w:r w:rsidRPr="00702B4F">
        <w:t xml:space="preserve"> 202</w:t>
      </w:r>
      <w:r>
        <w:t>6</w:t>
      </w:r>
      <w:r w:rsidRPr="00DB7D54">
        <w:t xml:space="preserve">, is included in </w:t>
      </w:r>
      <w:r w:rsidRPr="00702B4F">
        <w:t xml:space="preserve">annex </w:t>
      </w:r>
      <w:r>
        <w:t>3</w:t>
      </w:r>
      <w:r w:rsidRPr="00702B4F">
        <w:t xml:space="preserve"> to its progress report</w:t>
      </w:r>
      <w:r w:rsidR="00D14D90">
        <w:t xml:space="preserve"> and has been</w:t>
      </w:r>
      <w:r w:rsidRPr="00DB7D54">
        <w:t xml:space="preserve"> reproduced in </w:t>
      </w:r>
      <w:r w:rsidRPr="00EF1532">
        <w:t xml:space="preserve">annex </w:t>
      </w:r>
      <w:r w:rsidRPr="00B56062">
        <w:t>IV</w:t>
      </w:r>
      <w:r w:rsidRPr="00EF1532">
        <w:t xml:space="preserve"> to</w:t>
      </w:r>
      <w:r w:rsidRPr="00DB7D54">
        <w:t xml:space="preserve"> the present addendum and made available on the Secretariat’s website.</w:t>
      </w:r>
      <w:r w:rsidRPr="00DB7D54">
        <w:rPr>
          <w:rStyle w:val="FootnoteReference"/>
          <w:color w:val="000000" w:themeColor="text1"/>
        </w:rPr>
        <w:footnoteReference w:id="9"/>
      </w:r>
      <w:r w:rsidRPr="00DB7D54">
        <w:t xml:space="preserve"> </w:t>
      </w:r>
    </w:p>
    <w:p w14:paraId="74BCD9D7" w14:textId="60D88F28" w:rsidR="00E62558" w:rsidRPr="00581216" w:rsidRDefault="00E62558" w:rsidP="00F94CB3">
      <w:pPr>
        <w:pStyle w:val="Normalnumber"/>
      </w:pPr>
      <w:r w:rsidRPr="00DB7D54">
        <w:t>In accordance with paragraph 4 of decision XXXI/8, the Secretariat will make available, on the meeting portal for the forty-</w:t>
      </w:r>
      <w:r>
        <w:t>eighth</w:t>
      </w:r>
      <w:r w:rsidRPr="00DB7D54">
        <w:t xml:space="preserve"> meeting of the Open-ended</w:t>
      </w:r>
      <w:r w:rsidRPr="00581216">
        <w:t xml:space="preserve"> Working Group and</w:t>
      </w:r>
      <w:r w:rsidR="00D356A1">
        <w:t>, later in 2026,</w:t>
      </w:r>
      <w:r w:rsidRPr="00581216">
        <w:t xml:space="preserve"> on the meeting portal for the Thirty-</w:t>
      </w:r>
      <w:r>
        <w:t>Eighth</w:t>
      </w:r>
      <w:r w:rsidRPr="00581216">
        <w:t xml:space="preserve"> Meeting of the Parties, any forms submitted by parties nominating members to the Panel, with a view to facilitating the review of and consultations on the proposed nominations by parties.</w:t>
      </w:r>
    </w:p>
    <w:p w14:paraId="0BFDFCFA" w14:textId="77777777" w:rsidR="00E62558" w:rsidRPr="00581216" w:rsidRDefault="00E62558" w:rsidP="007B11D9">
      <w:pPr>
        <w:pStyle w:val="Normalnumber"/>
        <w:tabs>
          <w:tab w:val="clear" w:pos="1247"/>
          <w:tab w:val="clear" w:pos="1814"/>
          <w:tab w:val="clear" w:pos="2381"/>
          <w:tab w:val="clear" w:pos="2948"/>
          <w:tab w:val="clear" w:pos="3515"/>
          <w:tab w:val="left" w:pos="624"/>
        </w:tabs>
        <w:ind w:left="1247"/>
      </w:pPr>
      <w:r w:rsidRPr="00581216">
        <w:t>Nominations to the technical options committees other than for co-chair positions, as well as nominations to temporary subsidiary bodies, can be made at any time. Appointments are made by the co-chairs of the relevant committees in consultation with the Panel.</w:t>
      </w:r>
    </w:p>
    <w:p w14:paraId="29DEBDA4" w14:textId="3EB2DF81" w:rsidR="00E62558" w:rsidRDefault="00E62558" w:rsidP="00E62558">
      <w:pPr>
        <w:pStyle w:val="CH3"/>
      </w:pPr>
      <w:r>
        <w:tab/>
        <w:t>(e)</w:t>
      </w:r>
      <w:r>
        <w:tab/>
      </w:r>
      <w:r w:rsidRPr="000D61F0">
        <w:t>Any other issues</w:t>
      </w:r>
    </w:p>
    <w:p w14:paraId="611E069B" w14:textId="5BFD51E5" w:rsidR="00E62558" w:rsidRPr="003636E1" w:rsidRDefault="00E62558" w:rsidP="007B11D9">
      <w:pPr>
        <w:pStyle w:val="Normalnumber"/>
        <w:tabs>
          <w:tab w:val="clear" w:pos="1247"/>
          <w:tab w:val="clear" w:pos="1814"/>
          <w:tab w:val="clear" w:pos="2381"/>
          <w:tab w:val="clear" w:pos="2948"/>
          <w:tab w:val="clear" w:pos="3515"/>
          <w:tab w:val="left" w:pos="624"/>
        </w:tabs>
        <w:ind w:left="1247"/>
      </w:pPr>
      <w:r>
        <w:t xml:space="preserve">Under this agenda </w:t>
      </w:r>
      <w:r w:rsidR="003B5801">
        <w:t>sub-</w:t>
      </w:r>
      <w:r>
        <w:t xml:space="preserve">item, </w:t>
      </w:r>
      <w:r w:rsidRPr="00C17ECB">
        <w:t>the Secretariat provides in the following paragraphs</w:t>
      </w:r>
      <w:r>
        <w:t xml:space="preserve"> </w:t>
      </w:r>
      <w:r w:rsidRPr="00C17ECB">
        <w:t xml:space="preserve">summaries of </w:t>
      </w:r>
      <w:r>
        <w:t xml:space="preserve">the </w:t>
      </w:r>
      <w:r w:rsidRPr="00C17ECB">
        <w:t xml:space="preserve">information provided by the Panel </w:t>
      </w:r>
      <w:r w:rsidR="003B5801">
        <w:t xml:space="preserve">in relation </w:t>
      </w:r>
      <w:r>
        <w:t xml:space="preserve">to </w:t>
      </w:r>
      <w:r w:rsidRPr="003636E1">
        <w:t xml:space="preserve">the evaluation of a destruction technology submitted by Canada and updated information on PFAS. </w:t>
      </w:r>
    </w:p>
    <w:p w14:paraId="57F053D4" w14:textId="7C724C7B" w:rsidR="00E62558" w:rsidRPr="00F91089" w:rsidRDefault="00E62558" w:rsidP="007B11D9">
      <w:pPr>
        <w:pStyle w:val="Normalnumber"/>
        <w:tabs>
          <w:tab w:val="clear" w:pos="1247"/>
          <w:tab w:val="clear" w:pos="1814"/>
          <w:tab w:val="clear" w:pos="2381"/>
          <w:tab w:val="clear" w:pos="2948"/>
          <w:tab w:val="clear" w:pos="3515"/>
          <w:tab w:val="left" w:pos="624"/>
        </w:tabs>
        <w:ind w:left="1247"/>
      </w:pPr>
      <w:r w:rsidRPr="00F91089">
        <w:t xml:space="preserve">Should any party wish to discuss </w:t>
      </w:r>
      <w:r>
        <w:t>th</w:t>
      </w:r>
      <w:r w:rsidR="00142BFF">
        <w:t>e</w:t>
      </w:r>
      <w:r>
        <w:t xml:space="preserve">se </w:t>
      </w:r>
      <w:r w:rsidR="00AB7002">
        <w:t xml:space="preserve">issues, </w:t>
      </w:r>
      <w:r>
        <w:t>or any</w:t>
      </w:r>
      <w:r w:rsidRPr="00F91089">
        <w:t xml:space="preserve"> </w:t>
      </w:r>
      <w:r>
        <w:t xml:space="preserve">other </w:t>
      </w:r>
      <w:r w:rsidRPr="003B5801">
        <w:t xml:space="preserve">issues </w:t>
      </w:r>
      <w:r w:rsidR="003B5801" w:rsidRPr="003B5801">
        <w:t>relat</w:t>
      </w:r>
      <w:r w:rsidR="003B5801">
        <w:t>ing</w:t>
      </w:r>
      <w:r w:rsidR="003B5801" w:rsidRPr="003B5801">
        <w:t xml:space="preserve"> </w:t>
      </w:r>
      <w:r w:rsidRPr="003B5801">
        <w:t>to</w:t>
      </w:r>
      <w:r>
        <w:t xml:space="preserve"> the Panel’s 2026 progress </w:t>
      </w:r>
      <w:r w:rsidRPr="002503F9">
        <w:t xml:space="preserve">report </w:t>
      </w:r>
      <w:r>
        <w:t>at the forty-eighth meeting of the Open-ended Working Group</w:t>
      </w:r>
      <w:r w:rsidRPr="00F91089">
        <w:t xml:space="preserve">, </w:t>
      </w:r>
      <w:r>
        <w:t xml:space="preserve">it may raise them at the time of the adoption of the agenda and request that such issues be included </w:t>
      </w:r>
      <w:r w:rsidR="00447B66">
        <w:t>o</w:t>
      </w:r>
      <w:r>
        <w:t xml:space="preserve">n the agenda, as appropriate. </w:t>
      </w:r>
    </w:p>
    <w:p w14:paraId="39CCDEF5" w14:textId="77777777" w:rsidR="00E62558" w:rsidRPr="00E64428" w:rsidRDefault="00E62558" w:rsidP="00E62558">
      <w:pPr>
        <w:pStyle w:val="CH4"/>
        <w:rPr>
          <w:rFonts w:eastAsia="MS Mincho"/>
          <w:snapToGrid w:val="0"/>
        </w:rPr>
      </w:pPr>
      <w:r w:rsidRPr="00B56062">
        <w:tab/>
        <w:t>(i)</w:t>
      </w:r>
      <w:r w:rsidRPr="00B56062">
        <w:tab/>
      </w:r>
      <w:r w:rsidRPr="00E64428">
        <w:rPr>
          <w:rFonts w:eastAsia="MS Mincho"/>
          <w:snapToGrid w:val="0"/>
        </w:rPr>
        <w:t>Evaluation and recommendation of a destruction technology submitted by Canada</w:t>
      </w:r>
    </w:p>
    <w:p w14:paraId="039228E9" w14:textId="1AD123E6" w:rsidR="00E62558" w:rsidRDefault="00E62558" w:rsidP="0027564E">
      <w:pPr>
        <w:pStyle w:val="Normalnumber"/>
        <w:tabs>
          <w:tab w:val="clear" w:pos="1247"/>
          <w:tab w:val="clear" w:pos="1814"/>
          <w:tab w:val="clear" w:pos="2381"/>
          <w:tab w:val="clear" w:pos="2948"/>
          <w:tab w:val="clear" w:pos="3515"/>
          <w:tab w:val="left" w:pos="624"/>
        </w:tabs>
        <w:ind w:left="1247"/>
        <w:rPr>
          <w:rFonts w:eastAsia="MS Mincho"/>
          <w:snapToGrid w:val="0"/>
        </w:rPr>
      </w:pPr>
      <w:r w:rsidRPr="00EA7D77">
        <w:t>Over</w:t>
      </w:r>
      <w:r w:rsidRPr="00EA7D77">
        <w:rPr>
          <w:rFonts w:eastAsia="MS Mincho"/>
          <w:snapToGrid w:val="0"/>
        </w:rPr>
        <w:t xml:space="preserve"> the years, the parties have</w:t>
      </w:r>
      <w:r w:rsidRPr="00601A15">
        <w:rPr>
          <w:rFonts w:eastAsia="MS Mincho"/>
          <w:snapToGrid w:val="0"/>
        </w:rPr>
        <w:t xml:space="preserve"> adopted a number of decisions </w:t>
      </w:r>
      <w:r>
        <w:rPr>
          <w:rFonts w:eastAsia="MS Mincho"/>
          <w:snapToGrid w:val="0"/>
        </w:rPr>
        <w:t>approv</w:t>
      </w:r>
      <w:r w:rsidR="00BF2651">
        <w:rPr>
          <w:rFonts w:eastAsia="MS Mincho"/>
          <w:snapToGrid w:val="0"/>
        </w:rPr>
        <w:t>ing</w:t>
      </w:r>
      <w:r>
        <w:rPr>
          <w:rFonts w:eastAsia="MS Mincho"/>
          <w:snapToGrid w:val="0"/>
        </w:rPr>
        <w:t xml:space="preserve"> destruction technologies for </w:t>
      </w:r>
      <w:r w:rsidRPr="00601A15">
        <w:rPr>
          <w:rFonts w:eastAsia="MS Mincho"/>
          <w:snapToGrid w:val="0"/>
        </w:rPr>
        <w:t>controlled substances</w:t>
      </w:r>
      <w:r>
        <w:rPr>
          <w:rFonts w:eastAsia="MS Mincho"/>
          <w:snapToGrid w:val="0"/>
        </w:rPr>
        <w:t xml:space="preserve"> for the purposes of the </w:t>
      </w:r>
      <w:r w:rsidRPr="00CA51EB">
        <w:rPr>
          <w:rFonts w:eastAsia="MS Mincho"/>
          <w:snapToGrid w:val="0"/>
        </w:rPr>
        <w:t>Montreal</w:t>
      </w:r>
      <w:r>
        <w:rPr>
          <w:rFonts w:eastAsia="MS Mincho"/>
          <w:snapToGrid w:val="0"/>
        </w:rPr>
        <w:t xml:space="preserve"> Protocol</w:t>
      </w:r>
      <w:r w:rsidRPr="00601A15">
        <w:rPr>
          <w:rFonts w:eastAsia="MS Mincho"/>
          <w:snapToGrid w:val="0"/>
        </w:rPr>
        <w:t xml:space="preserve">. </w:t>
      </w:r>
      <w:r w:rsidRPr="006627B6">
        <w:rPr>
          <w:rFonts w:eastAsia="MS Mincho"/>
          <w:snapToGrid w:val="0"/>
        </w:rPr>
        <w:t xml:space="preserve">The current list of approved destruction technologies is </w:t>
      </w:r>
      <w:r w:rsidRPr="0014144D">
        <w:rPr>
          <w:rFonts w:eastAsia="MS Mincho"/>
          <w:snapToGrid w:val="0"/>
        </w:rPr>
        <w:t xml:space="preserve">contained </w:t>
      </w:r>
      <w:r w:rsidRPr="002B49BA">
        <w:rPr>
          <w:rFonts w:eastAsia="MS Mincho"/>
          <w:snapToGrid w:val="0"/>
        </w:rPr>
        <w:t xml:space="preserve">in </w:t>
      </w:r>
      <w:r w:rsidR="002B49BA" w:rsidRPr="002B49BA">
        <w:rPr>
          <w:rFonts w:eastAsia="MS Mincho"/>
          <w:snapToGrid w:val="0"/>
        </w:rPr>
        <w:t>a</w:t>
      </w:r>
      <w:r w:rsidRPr="002B49BA">
        <w:rPr>
          <w:rFonts w:eastAsia="MS Mincho"/>
          <w:snapToGrid w:val="0"/>
        </w:rPr>
        <w:t xml:space="preserve">nnex II </w:t>
      </w:r>
      <w:r w:rsidR="00C7306B" w:rsidRPr="002B49BA">
        <w:rPr>
          <w:rFonts w:eastAsia="MS Mincho"/>
          <w:snapToGrid w:val="0"/>
        </w:rPr>
        <w:t>to</w:t>
      </w:r>
      <w:r w:rsidRPr="006627B6">
        <w:rPr>
          <w:rFonts w:eastAsia="MS Mincho"/>
          <w:snapToGrid w:val="0"/>
        </w:rPr>
        <w:t xml:space="preserve"> the report of the Thirtieth Meeting of the Parties, as modified by the Thirty-</w:t>
      </w:r>
      <w:r>
        <w:rPr>
          <w:rFonts w:eastAsia="MS Mincho"/>
          <w:snapToGrid w:val="0"/>
        </w:rPr>
        <w:t>F</w:t>
      </w:r>
      <w:r w:rsidRPr="006627B6">
        <w:rPr>
          <w:rFonts w:eastAsia="MS Mincho"/>
          <w:snapToGrid w:val="0"/>
        </w:rPr>
        <w:t xml:space="preserve">ifth Meeting of the Parties in </w:t>
      </w:r>
      <w:r>
        <w:rPr>
          <w:rFonts w:eastAsia="MS Mincho"/>
          <w:snapToGrid w:val="0"/>
        </w:rPr>
        <w:t>d</w:t>
      </w:r>
      <w:r w:rsidRPr="006627B6">
        <w:rPr>
          <w:rFonts w:eastAsia="MS Mincho"/>
          <w:snapToGrid w:val="0"/>
        </w:rPr>
        <w:t>ecision XXXV/5</w:t>
      </w:r>
      <w:r>
        <w:rPr>
          <w:rFonts w:eastAsia="MS Mincho"/>
          <w:snapToGrid w:val="0"/>
        </w:rPr>
        <w:t>.</w:t>
      </w:r>
      <w:r>
        <w:rPr>
          <w:rStyle w:val="FootnoteReference"/>
          <w:rFonts w:eastAsia="MS Mincho"/>
          <w:snapToGrid w:val="0"/>
        </w:rPr>
        <w:footnoteReference w:id="10"/>
      </w:r>
      <w:r>
        <w:rPr>
          <w:rFonts w:eastAsia="MS Mincho"/>
          <w:snapToGrid w:val="0"/>
        </w:rPr>
        <w:t xml:space="preserve"> </w:t>
      </w:r>
    </w:p>
    <w:p w14:paraId="19382633" w14:textId="52190A73" w:rsidR="00E62558" w:rsidRPr="008E5E7F" w:rsidRDefault="00E62558" w:rsidP="0027564E">
      <w:pPr>
        <w:pStyle w:val="Normalnumber"/>
        <w:tabs>
          <w:tab w:val="clear" w:pos="1247"/>
          <w:tab w:val="clear" w:pos="1814"/>
          <w:tab w:val="clear" w:pos="2381"/>
          <w:tab w:val="clear" w:pos="2948"/>
          <w:tab w:val="clear" w:pos="3515"/>
          <w:tab w:val="left" w:pos="624"/>
        </w:tabs>
        <w:spacing w:before="120"/>
        <w:ind w:left="1247"/>
        <w:rPr>
          <w:rFonts w:eastAsia="MS Mincho"/>
          <w:snapToGrid w:val="0"/>
        </w:rPr>
      </w:pPr>
      <w:r w:rsidRPr="00FD5786">
        <w:rPr>
          <w:rFonts w:eastAsia="MS Mincho"/>
          <w:snapToGrid w:val="0"/>
        </w:rPr>
        <w:lastRenderedPageBreak/>
        <w:t>In decision XXXV/5</w:t>
      </w:r>
      <w:r w:rsidR="00C46554">
        <w:rPr>
          <w:rFonts w:eastAsia="MS Mincho"/>
          <w:snapToGrid w:val="0"/>
        </w:rPr>
        <w:t>,</w:t>
      </w:r>
      <w:r w:rsidRPr="00FD5786">
        <w:rPr>
          <w:rFonts w:eastAsia="MS Mincho"/>
          <w:snapToGrid w:val="0"/>
        </w:rPr>
        <w:t xml:space="preserve"> on destruction technologies for controlled substances,</w:t>
      </w:r>
      <w:r w:rsidRPr="005744D8">
        <w:t xml:space="preserve"> </w:t>
      </w:r>
      <w:r w:rsidRPr="00FD5786">
        <w:rPr>
          <w:rFonts w:eastAsia="MS Mincho"/>
          <w:snapToGrid w:val="0"/>
        </w:rPr>
        <w:t xml:space="preserve">parties were invited to submit to the </w:t>
      </w:r>
      <w:r w:rsidRPr="00B363FF">
        <w:rPr>
          <w:rFonts w:eastAsia="MS Mincho"/>
          <w:snapToGrid w:val="0"/>
        </w:rPr>
        <w:t xml:space="preserve">Secretariat information relevant to a review of destruction technologies. In accordance with decision IV/11 of the </w:t>
      </w:r>
      <w:r w:rsidRPr="00C82E61">
        <w:rPr>
          <w:rFonts w:eastAsia="MS Mincho"/>
          <w:snapToGrid w:val="0"/>
        </w:rPr>
        <w:t xml:space="preserve">Fourth Meeting of the Parties, such reviews are </w:t>
      </w:r>
      <w:r w:rsidR="008C3239">
        <w:rPr>
          <w:rFonts w:eastAsia="MS Mincho"/>
          <w:snapToGrid w:val="0"/>
        </w:rPr>
        <w:t>performed</w:t>
      </w:r>
      <w:r w:rsidR="008C3239" w:rsidRPr="00C82E61">
        <w:rPr>
          <w:rFonts w:eastAsia="MS Mincho"/>
          <w:snapToGrid w:val="0"/>
        </w:rPr>
        <w:t xml:space="preserve"> </w:t>
      </w:r>
      <w:r w:rsidRPr="00C82E61">
        <w:rPr>
          <w:rFonts w:eastAsia="MS Mincho"/>
          <w:snapToGrid w:val="0"/>
        </w:rPr>
        <w:t>by the Technology and Economic Assessment Panel</w:t>
      </w:r>
      <w:r w:rsidR="008C3239">
        <w:rPr>
          <w:rFonts w:eastAsia="MS Mincho"/>
          <w:snapToGrid w:val="0"/>
        </w:rPr>
        <w:t xml:space="preserve"> and relevant</w:t>
      </w:r>
      <w:r w:rsidRPr="00C82E61">
        <w:rPr>
          <w:rFonts w:eastAsia="MS Mincho"/>
          <w:snapToGrid w:val="0"/>
        </w:rPr>
        <w:t xml:space="preserve"> recommendations</w:t>
      </w:r>
      <w:r w:rsidR="00E25205">
        <w:rPr>
          <w:rFonts w:eastAsia="MS Mincho"/>
          <w:snapToGrid w:val="0"/>
        </w:rPr>
        <w:t xml:space="preserve"> are prepared</w:t>
      </w:r>
      <w:r w:rsidRPr="00C82E61">
        <w:rPr>
          <w:rFonts w:eastAsia="MS Mincho"/>
          <w:snapToGrid w:val="0"/>
        </w:rPr>
        <w:t xml:space="preserve"> for consideration by the </w:t>
      </w:r>
      <w:r w:rsidR="0072282F">
        <w:rPr>
          <w:rFonts w:eastAsia="MS Mincho"/>
          <w:snapToGrid w:val="0"/>
        </w:rPr>
        <w:t>Meeting of the Parties</w:t>
      </w:r>
      <w:r w:rsidRPr="00C82E61">
        <w:rPr>
          <w:rFonts w:eastAsia="MS Mincho"/>
          <w:snapToGrid w:val="0"/>
        </w:rPr>
        <w:t>. As part of its assessment, the Panel, through its Medical and Chemicals Technical Options Committee, also</w:t>
      </w:r>
      <w:r w:rsidRPr="00FD5786">
        <w:rPr>
          <w:rFonts w:eastAsia="MS Mincho"/>
          <w:snapToGrid w:val="0"/>
        </w:rPr>
        <w:t xml:space="preserve"> </w:t>
      </w:r>
      <w:r w:rsidRPr="008E5E7F">
        <w:rPr>
          <w:rFonts w:eastAsia="MS Mincho"/>
          <w:snapToGrid w:val="0"/>
        </w:rPr>
        <w:t>provides technical advice about emissions of other pollutants and the technical capability of destruction technologies for consideration by parties.</w:t>
      </w:r>
      <w:r>
        <w:rPr>
          <w:rFonts w:eastAsia="MS Mincho"/>
          <w:snapToGrid w:val="0"/>
        </w:rPr>
        <w:t xml:space="preserve"> In this regard</w:t>
      </w:r>
      <w:r w:rsidR="0097792B">
        <w:rPr>
          <w:rFonts w:eastAsia="MS Mincho"/>
          <w:snapToGrid w:val="0"/>
        </w:rPr>
        <w:t>,</w:t>
      </w:r>
      <w:r>
        <w:rPr>
          <w:rFonts w:eastAsia="MS Mincho"/>
          <w:snapToGrid w:val="0"/>
        </w:rPr>
        <w:t xml:space="preserve"> the Secretariat received queries from two parties related to their destruction technologies, which were </w:t>
      </w:r>
      <w:r w:rsidR="002F2DDD">
        <w:rPr>
          <w:rFonts w:eastAsia="MS Mincho"/>
          <w:snapToGrid w:val="0"/>
        </w:rPr>
        <w:t>answered</w:t>
      </w:r>
      <w:r>
        <w:rPr>
          <w:rFonts w:eastAsia="MS Mincho"/>
          <w:snapToGrid w:val="0"/>
        </w:rPr>
        <w:t xml:space="preserve"> by the Committee through the Secretariat.</w:t>
      </w:r>
    </w:p>
    <w:p w14:paraId="1A1E24CF" w14:textId="3FD00A11" w:rsidR="00E62558" w:rsidRPr="00C1069F" w:rsidRDefault="00E62558" w:rsidP="0027564E">
      <w:pPr>
        <w:pStyle w:val="Normalnumber"/>
        <w:tabs>
          <w:tab w:val="clear" w:pos="1247"/>
          <w:tab w:val="clear" w:pos="1814"/>
          <w:tab w:val="clear" w:pos="2381"/>
          <w:tab w:val="clear" w:pos="2948"/>
          <w:tab w:val="clear" w:pos="3515"/>
          <w:tab w:val="left" w:pos="624"/>
        </w:tabs>
        <w:ind w:left="1247"/>
        <w:rPr>
          <w:rFonts w:eastAsia="MS Mincho"/>
          <w:snapToGrid w:val="0"/>
        </w:rPr>
      </w:pPr>
      <w:r>
        <w:rPr>
          <w:rFonts w:eastAsia="MS Mincho"/>
          <w:snapToGrid w:val="0"/>
        </w:rPr>
        <w:t xml:space="preserve">In November 2025, </w:t>
      </w:r>
      <w:r w:rsidRPr="008E5E7F">
        <w:rPr>
          <w:rFonts w:eastAsia="MS Mincho"/>
          <w:snapToGrid w:val="0"/>
        </w:rPr>
        <w:t xml:space="preserve">Canada submitted to the Secretariat confidential and </w:t>
      </w:r>
      <w:r>
        <w:rPr>
          <w:rFonts w:eastAsia="MS Mincho"/>
          <w:snapToGrid w:val="0"/>
        </w:rPr>
        <w:t>non</w:t>
      </w:r>
      <w:r>
        <w:rPr>
          <w:rFonts w:eastAsia="MS Mincho"/>
          <w:snapToGrid w:val="0"/>
        </w:rPr>
        <w:noBreakHyphen/>
      </w:r>
      <w:r w:rsidRPr="008E5E7F">
        <w:rPr>
          <w:rFonts w:eastAsia="MS Mincho"/>
          <w:snapToGrid w:val="0"/>
        </w:rPr>
        <w:t xml:space="preserve">confidential information regarding a patented </w:t>
      </w:r>
      <w:r>
        <w:rPr>
          <w:rFonts w:eastAsia="MS Mincho"/>
          <w:snapToGrid w:val="0"/>
        </w:rPr>
        <w:t>p</w:t>
      </w:r>
      <w:r w:rsidRPr="008E5E7F">
        <w:rPr>
          <w:rFonts w:eastAsia="MS Mincho"/>
          <w:snapToGrid w:val="0"/>
        </w:rPr>
        <w:t xml:space="preserve">lasma </w:t>
      </w:r>
      <w:r>
        <w:rPr>
          <w:rFonts w:eastAsia="MS Mincho"/>
          <w:snapToGrid w:val="0"/>
        </w:rPr>
        <w:t>a</w:t>
      </w:r>
      <w:r w:rsidRPr="008E5E7F">
        <w:rPr>
          <w:rFonts w:eastAsia="MS Mincho"/>
          <w:snapToGrid w:val="0"/>
        </w:rPr>
        <w:t xml:space="preserve">rc technology </w:t>
      </w:r>
      <w:r>
        <w:rPr>
          <w:rFonts w:eastAsia="MS Mincho"/>
          <w:snapToGrid w:val="0"/>
        </w:rPr>
        <w:t>utili</w:t>
      </w:r>
      <w:r w:rsidR="00B4180F">
        <w:rPr>
          <w:rFonts w:eastAsia="MS Mincho"/>
          <w:snapToGrid w:val="0"/>
        </w:rPr>
        <w:t>z</w:t>
      </w:r>
      <w:r>
        <w:rPr>
          <w:rFonts w:eastAsia="MS Mincho"/>
          <w:snapToGrid w:val="0"/>
        </w:rPr>
        <w:t xml:space="preserve">ing steam </w:t>
      </w:r>
      <w:r w:rsidRPr="008E5E7F">
        <w:rPr>
          <w:rFonts w:eastAsia="MS Mincho"/>
          <w:snapToGrid w:val="0"/>
        </w:rPr>
        <w:t xml:space="preserve">for evaluation by </w:t>
      </w:r>
      <w:r>
        <w:rPr>
          <w:rFonts w:eastAsia="MS Mincho"/>
          <w:snapToGrid w:val="0"/>
        </w:rPr>
        <w:t>the Technology and Economic Assessment Panel</w:t>
      </w:r>
      <w:r w:rsidRPr="008E5E7F">
        <w:rPr>
          <w:rFonts w:eastAsia="MS Mincho"/>
          <w:snapToGrid w:val="0"/>
        </w:rPr>
        <w:t xml:space="preserve">. </w:t>
      </w:r>
      <w:r w:rsidRPr="00C1069F">
        <w:rPr>
          <w:rFonts w:eastAsia="MS Mincho"/>
          <w:snapToGrid w:val="0"/>
        </w:rPr>
        <w:t xml:space="preserve">The Panel’s </w:t>
      </w:r>
      <w:r>
        <w:rPr>
          <w:rFonts w:eastAsia="MS Mincho"/>
          <w:snapToGrid w:val="0"/>
        </w:rPr>
        <w:t>Medical and Chemicals Technical Options Committee</w:t>
      </w:r>
      <w:r w:rsidRPr="00C1069F">
        <w:rPr>
          <w:rFonts w:eastAsia="MS Mincho"/>
          <w:snapToGrid w:val="0"/>
        </w:rPr>
        <w:t xml:space="preserve"> reviewed the submission, requested clarifications from Canada and conducted an independent technical assessment, including peer review and discussion</w:t>
      </w:r>
      <w:r>
        <w:rPr>
          <w:rFonts w:eastAsia="MS Mincho"/>
          <w:snapToGrid w:val="0"/>
        </w:rPr>
        <w:t xml:space="preserve"> to reach consensus</w:t>
      </w:r>
      <w:r w:rsidRPr="00C1069F">
        <w:rPr>
          <w:rFonts w:eastAsia="MS Mincho"/>
          <w:snapToGrid w:val="0"/>
        </w:rPr>
        <w:t>.</w:t>
      </w:r>
    </w:p>
    <w:p w14:paraId="1176C81C" w14:textId="3111B398" w:rsidR="00E62558" w:rsidRDefault="00E62558" w:rsidP="0027564E">
      <w:pPr>
        <w:pStyle w:val="Normalnumber"/>
        <w:tabs>
          <w:tab w:val="clear" w:pos="1247"/>
          <w:tab w:val="clear" w:pos="1814"/>
          <w:tab w:val="clear" w:pos="2381"/>
          <w:tab w:val="clear" w:pos="2948"/>
          <w:tab w:val="clear" w:pos="3515"/>
          <w:tab w:val="left" w:pos="624"/>
        </w:tabs>
        <w:ind w:left="1247"/>
        <w:rPr>
          <w:lang w:eastAsia="en-GB"/>
        </w:rPr>
      </w:pPr>
      <w:r w:rsidRPr="00CB0ADF">
        <w:rPr>
          <w:lang w:eastAsia="en-GB"/>
        </w:rPr>
        <w:t xml:space="preserve">The </w:t>
      </w:r>
      <w:r>
        <w:rPr>
          <w:lang w:eastAsia="en-GB"/>
        </w:rPr>
        <w:t xml:space="preserve">Committee’s </w:t>
      </w:r>
      <w:r w:rsidRPr="00CB0ADF">
        <w:rPr>
          <w:lang w:eastAsia="en-GB"/>
        </w:rPr>
        <w:t xml:space="preserve">evaluation </w:t>
      </w:r>
      <w:r w:rsidRPr="00572937">
        <w:rPr>
          <w:lang w:eastAsia="en-GB"/>
        </w:rPr>
        <w:t>followed the established criteria</w:t>
      </w:r>
      <w:r w:rsidRPr="00CB0ADF">
        <w:rPr>
          <w:lang w:eastAsia="en-GB"/>
        </w:rPr>
        <w:t xml:space="preserve"> for destruction technologies, focusing on demonstrated destruction and removal efficiency, emissions limits (including </w:t>
      </w:r>
      <w:r w:rsidR="00484DB3">
        <w:rPr>
          <w:lang w:eastAsia="en-GB"/>
        </w:rPr>
        <w:t xml:space="preserve">for </w:t>
      </w:r>
      <w:r w:rsidRPr="00CB0ADF">
        <w:rPr>
          <w:lang w:eastAsia="en-GB"/>
        </w:rPr>
        <w:t xml:space="preserve">dioxins/furans </w:t>
      </w:r>
      <w:r w:rsidRPr="000E14B0">
        <w:rPr>
          <w:lang w:eastAsia="en-GB"/>
        </w:rPr>
        <w:t xml:space="preserve">and </w:t>
      </w:r>
      <w:r w:rsidRPr="00572937">
        <w:rPr>
          <w:lang w:eastAsia="en-GB"/>
        </w:rPr>
        <w:t>acid gases</w:t>
      </w:r>
      <w:r w:rsidRPr="000E14B0">
        <w:rPr>
          <w:lang w:eastAsia="en-GB"/>
        </w:rPr>
        <w:t>,</w:t>
      </w:r>
      <w:r w:rsidRPr="000E14B0">
        <w:t xml:space="preserve"> </w:t>
      </w:r>
      <w:r w:rsidRPr="000E14B0">
        <w:rPr>
          <w:lang w:eastAsia="en-GB"/>
        </w:rPr>
        <w:t>particulate matter and carbon monoxide</w:t>
      </w:r>
      <w:r w:rsidRPr="00CB0ADF">
        <w:rPr>
          <w:lang w:eastAsia="en-GB"/>
        </w:rPr>
        <w:t>) and minimum processing capacity. Data were assessed for several controlled substances, including CFC-11, CFC-12, HCFC-22 and HFC-134a.</w:t>
      </w:r>
    </w:p>
    <w:p w14:paraId="14E78269" w14:textId="71D0A873" w:rsidR="00E62558" w:rsidRPr="00CF7314" w:rsidRDefault="00E62558" w:rsidP="0027564E">
      <w:pPr>
        <w:pStyle w:val="Normalnumber"/>
        <w:tabs>
          <w:tab w:val="clear" w:pos="1247"/>
          <w:tab w:val="clear" w:pos="1814"/>
          <w:tab w:val="clear" w:pos="2381"/>
          <w:tab w:val="clear" w:pos="2948"/>
          <w:tab w:val="clear" w:pos="3515"/>
          <w:tab w:val="left" w:pos="624"/>
        </w:tabs>
        <w:ind w:left="1247"/>
        <w:rPr>
          <w:rFonts w:eastAsia="MS Mincho"/>
          <w:snapToGrid w:val="0"/>
        </w:rPr>
      </w:pPr>
      <w:r w:rsidRPr="008E5E7F">
        <w:t xml:space="preserve">Based on </w:t>
      </w:r>
      <w:r>
        <w:t>the Committee</w:t>
      </w:r>
      <w:r w:rsidRPr="008E5E7F">
        <w:t xml:space="preserve">’s </w:t>
      </w:r>
      <w:r w:rsidRPr="004A037D">
        <w:rPr>
          <w:rFonts w:eastAsia="MS Mincho"/>
          <w:snapToGrid w:val="0"/>
        </w:rPr>
        <w:t xml:space="preserve">review of performance data </w:t>
      </w:r>
      <w:r w:rsidR="0082201A" w:rsidRPr="004A037D">
        <w:rPr>
          <w:rFonts w:eastAsia="MS Mincho"/>
          <w:snapToGrid w:val="0"/>
        </w:rPr>
        <w:t xml:space="preserve">submitted </w:t>
      </w:r>
      <w:r w:rsidRPr="004A037D">
        <w:rPr>
          <w:rFonts w:eastAsia="MS Mincho"/>
          <w:snapToGrid w:val="0"/>
        </w:rPr>
        <w:t xml:space="preserve">by Canada, the technology demonstrated that the </w:t>
      </w:r>
      <w:r w:rsidR="00B12E53" w:rsidRPr="00CB0ADF">
        <w:rPr>
          <w:lang w:eastAsia="en-GB"/>
        </w:rPr>
        <w:t>destruction and removal efficienc</w:t>
      </w:r>
      <w:r w:rsidR="00B12E53">
        <w:rPr>
          <w:lang w:eastAsia="en-GB"/>
        </w:rPr>
        <w:t>ies</w:t>
      </w:r>
      <w:r w:rsidRPr="004A037D">
        <w:rPr>
          <w:rFonts w:eastAsia="MS Mincho"/>
          <w:snapToGrid w:val="0"/>
        </w:rPr>
        <w:t xml:space="preserve"> achieved for the destruction of CFC-12, CFC-11, HCFC-22 and HFC-134a are greater than 99.99</w:t>
      </w:r>
      <w:r>
        <w:rPr>
          <w:rFonts w:eastAsia="MS Mincho"/>
          <w:snapToGrid w:val="0"/>
        </w:rPr>
        <w:t xml:space="preserve"> per cent</w:t>
      </w:r>
      <w:r w:rsidRPr="004A037D">
        <w:rPr>
          <w:rFonts w:eastAsia="MS Mincho"/>
          <w:snapToGrid w:val="0"/>
        </w:rPr>
        <w:t xml:space="preserve">, meeting the </w:t>
      </w:r>
      <w:r w:rsidR="00180E72" w:rsidRPr="00CB0ADF">
        <w:rPr>
          <w:lang w:eastAsia="en-GB"/>
        </w:rPr>
        <w:t>destruction and removal efficienc</w:t>
      </w:r>
      <w:r w:rsidR="00180E72">
        <w:rPr>
          <w:lang w:eastAsia="en-GB"/>
        </w:rPr>
        <w:t>y</w:t>
      </w:r>
      <w:r w:rsidRPr="004A037D">
        <w:rPr>
          <w:rFonts w:eastAsia="MS Mincho"/>
          <w:snapToGrid w:val="0"/>
        </w:rPr>
        <w:t xml:space="preserve"> performance criteria</w:t>
      </w:r>
      <w:r w:rsidRPr="00303E02">
        <w:rPr>
          <w:rFonts w:eastAsia="MS Mincho"/>
          <w:snapToGrid w:val="0"/>
          <w:vertAlign w:val="superscript"/>
        </w:rPr>
        <w:footnoteReference w:id="11"/>
      </w:r>
      <w:r w:rsidRPr="004A037D">
        <w:rPr>
          <w:rFonts w:eastAsia="MS Mincho"/>
          <w:snapToGrid w:val="0"/>
        </w:rPr>
        <w:t xml:space="preserve"> for th</w:t>
      </w:r>
      <w:r w:rsidR="00180E72">
        <w:rPr>
          <w:rFonts w:eastAsia="MS Mincho"/>
          <w:snapToGrid w:val="0"/>
        </w:rPr>
        <w:t>o</w:t>
      </w:r>
      <w:r w:rsidRPr="004A037D">
        <w:rPr>
          <w:rFonts w:eastAsia="MS Mincho"/>
          <w:snapToGrid w:val="0"/>
        </w:rPr>
        <w:t xml:space="preserve">se controlled substances for the purposes </w:t>
      </w:r>
      <w:r w:rsidRPr="004A037D" w:rsidDel="00BA654D">
        <w:rPr>
          <w:rFonts w:eastAsia="MS Mincho"/>
          <w:snapToGrid w:val="0"/>
        </w:rPr>
        <w:t xml:space="preserve">of </w:t>
      </w:r>
      <w:r w:rsidRPr="004A037D">
        <w:rPr>
          <w:rFonts w:eastAsia="MS Mincho"/>
          <w:snapToGrid w:val="0"/>
        </w:rPr>
        <w:t xml:space="preserve">destruction under the Montreal Protocol. </w:t>
      </w:r>
      <w:r>
        <w:rPr>
          <w:rFonts w:eastAsia="MS Mincho"/>
          <w:snapToGrid w:val="0"/>
        </w:rPr>
        <w:t>P</w:t>
      </w:r>
      <w:r w:rsidRPr="00CF7314">
        <w:rPr>
          <w:rFonts w:eastAsia="MS Mincho"/>
          <w:snapToGrid w:val="0"/>
        </w:rPr>
        <w:t xml:space="preserve">ollutant emissions </w:t>
      </w:r>
      <w:r>
        <w:rPr>
          <w:rFonts w:eastAsia="MS Mincho"/>
          <w:snapToGrid w:val="0"/>
        </w:rPr>
        <w:t xml:space="preserve">were also found to be </w:t>
      </w:r>
      <w:r w:rsidRPr="00CF7314">
        <w:rPr>
          <w:rFonts w:eastAsia="MS Mincho"/>
          <w:snapToGrid w:val="0"/>
        </w:rPr>
        <w:t xml:space="preserve">below recommended </w:t>
      </w:r>
      <w:r w:rsidRPr="00572937">
        <w:rPr>
          <w:rFonts w:eastAsia="MS Mincho"/>
          <w:snapToGrid w:val="0"/>
        </w:rPr>
        <w:t>thresholds</w:t>
      </w:r>
      <w:r w:rsidR="00E918A0">
        <w:rPr>
          <w:rFonts w:eastAsia="MS Mincho"/>
          <w:snapToGrid w:val="0"/>
        </w:rPr>
        <w:t>,</w:t>
      </w:r>
      <w:r w:rsidRPr="00572937">
        <w:rPr>
          <w:rFonts w:eastAsia="MS Mincho"/>
          <w:snapToGrid w:val="0"/>
        </w:rPr>
        <w:t xml:space="preserve"> and processing capacities exceed</w:t>
      </w:r>
      <w:r w:rsidR="00436497">
        <w:rPr>
          <w:rFonts w:eastAsia="MS Mincho"/>
          <w:snapToGrid w:val="0"/>
        </w:rPr>
        <w:t>ed</w:t>
      </w:r>
      <w:r w:rsidRPr="00572937">
        <w:rPr>
          <w:rFonts w:eastAsia="MS Mincho"/>
          <w:snapToGrid w:val="0"/>
        </w:rPr>
        <w:t xml:space="preserve"> minimum criteria.</w:t>
      </w:r>
      <w:r w:rsidRPr="00572937">
        <w:t xml:space="preserve"> </w:t>
      </w:r>
      <w:r w:rsidRPr="00572937">
        <w:rPr>
          <w:rFonts w:eastAsia="MS Mincho"/>
          <w:snapToGrid w:val="0"/>
        </w:rPr>
        <w:t>On th</w:t>
      </w:r>
      <w:r w:rsidR="00226D32">
        <w:rPr>
          <w:rFonts w:eastAsia="MS Mincho"/>
          <w:snapToGrid w:val="0"/>
        </w:rPr>
        <w:t>at</w:t>
      </w:r>
      <w:r w:rsidRPr="00572937">
        <w:rPr>
          <w:rFonts w:eastAsia="MS Mincho"/>
          <w:snapToGrid w:val="0"/>
        </w:rPr>
        <w:t xml:space="preserve"> basis, the Committee concluded that the technology is technically capable of meeting destruction requirements for concentrated sources of</w:t>
      </w:r>
      <w:r w:rsidRPr="00CF7314">
        <w:rPr>
          <w:rFonts w:eastAsia="MS Mincho"/>
          <w:snapToGrid w:val="0"/>
        </w:rPr>
        <w:t xml:space="preserve"> Annex A</w:t>
      </w:r>
      <w:r w:rsidR="00101BB2">
        <w:rPr>
          <w:rFonts w:eastAsia="MS Mincho"/>
          <w:snapToGrid w:val="0"/>
        </w:rPr>
        <w:t>,</w:t>
      </w:r>
      <w:r w:rsidRPr="00CF7314">
        <w:rPr>
          <w:rFonts w:eastAsia="MS Mincho"/>
          <w:snapToGrid w:val="0"/>
        </w:rPr>
        <w:t xml:space="preserve"> </w:t>
      </w:r>
      <w:r w:rsidR="00101BB2">
        <w:rPr>
          <w:rFonts w:eastAsia="MS Mincho"/>
          <w:snapToGrid w:val="0"/>
        </w:rPr>
        <w:t>g</w:t>
      </w:r>
      <w:r w:rsidRPr="00CF7314">
        <w:rPr>
          <w:rFonts w:eastAsia="MS Mincho"/>
          <w:snapToGrid w:val="0"/>
        </w:rPr>
        <w:t>roup I, Annex C</w:t>
      </w:r>
      <w:r w:rsidR="00E64058">
        <w:rPr>
          <w:rFonts w:eastAsia="MS Mincho"/>
          <w:snapToGrid w:val="0"/>
        </w:rPr>
        <w:t>,</w:t>
      </w:r>
      <w:r w:rsidRPr="00CF7314">
        <w:rPr>
          <w:rFonts w:eastAsia="MS Mincho"/>
          <w:snapToGrid w:val="0"/>
        </w:rPr>
        <w:t xml:space="preserve"> </w:t>
      </w:r>
      <w:r w:rsidR="00E64058">
        <w:rPr>
          <w:rFonts w:eastAsia="MS Mincho"/>
          <w:snapToGrid w:val="0"/>
        </w:rPr>
        <w:t>g</w:t>
      </w:r>
      <w:r w:rsidRPr="00CF7314">
        <w:rPr>
          <w:rFonts w:eastAsia="MS Mincho"/>
          <w:snapToGrid w:val="0"/>
        </w:rPr>
        <w:t>roup I, and Annex F</w:t>
      </w:r>
      <w:r w:rsidR="00E64058">
        <w:rPr>
          <w:rFonts w:eastAsia="MS Mincho"/>
          <w:snapToGrid w:val="0"/>
        </w:rPr>
        <w:t>,</w:t>
      </w:r>
      <w:r w:rsidRPr="00CF7314">
        <w:rPr>
          <w:rFonts w:eastAsia="MS Mincho"/>
          <w:snapToGrid w:val="0"/>
        </w:rPr>
        <w:t xml:space="preserve"> </w:t>
      </w:r>
      <w:r w:rsidR="00106E68">
        <w:rPr>
          <w:rFonts w:eastAsia="MS Mincho"/>
          <w:snapToGrid w:val="0"/>
        </w:rPr>
        <w:t>g</w:t>
      </w:r>
      <w:r w:rsidRPr="00CF7314">
        <w:rPr>
          <w:rFonts w:eastAsia="MS Mincho"/>
          <w:snapToGrid w:val="0"/>
        </w:rPr>
        <w:t>roup I</w:t>
      </w:r>
      <w:r w:rsidR="00436497">
        <w:rPr>
          <w:rFonts w:eastAsia="MS Mincho"/>
          <w:snapToGrid w:val="0"/>
        </w:rPr>
        <w:t>,</w:t>
      </w:r>
      <w:r w:rsidRPr="00CF7314">
        <w:rPr>
          <w:rFonts w:eastAsia="MS Mincho"/>
          <w:snapToGrid w:val="0"/>
        </w:rPr>
        <w:t xml:space="preserve"> substances.</w:t>
      </w:r>
    </w:p>
    <w:p w14:paraId="1082BE61" w14:textId="5DF80DF8" w:rsidR="00E62558" w:rsidRPr="00465CEA" w:rsidRDefault="00E62558" w:rsidP="0027564E">
      <w:pPr>
        <w:pStyle w:val="Normalnumber"/>
        <w:tabs>
          <w:tab w:val="clear" w:pos="1247"/>
          <w:tab w:val="clear" w:pos="1814"/>
          <w:tab w:val="clear" w:pos="2381"/>
          <w:tab w:val="clear" w:pos="2948"/>
          <w:tab w:val="clear" w:pos="3515"/>
          <w:tab w:val="left" w:pos="624"/>
        </w:tabs>
        <w:spacing w:before="120"/>
        <w:ind w:left="1247"/>
        <w:rPr>
          <w:rFonts w:eastAsia="MS Mincho"/>
          <w:snapToGrid w:val="0"/>
        </w:rPr>
      </w:pPr>
      <w:r w:rsidRPr="00572937">
        <w:rPr>
          <w:lang w:eastAsia="en-GB"/>
        </w:rPr>
        <w:t xml:space="preserve">The Committee also reviewed how the technology aligns with existing plasma arc categories and concluded that, although it </w:t>
      </w:r>
      <w:r w:rsidR="003E171D">
        <w:rPr>
          <w:lang w:eastAsia="en-GB"/>
        </w:rPr>
        <w:t>has</w:t>
      </w:r>
      <w:r w:rsidR="003E171D" w:rsidRPr="00572937">
        <w:rPr>
          <w:lang w:eastAsia="en-GB"/>
        </w:rPr>
        <w:t xml:space="preserve"> </w:t>
      </w:r>
      <w:r w:rsidRPr="00572937">
        <w:rPr>
          <w:lang w:eastAsia="en-GB"/>
        </w:rPr>
        <w:t>similarities with previously approved plasma arc systems, it is sufficiently distinct</w:t>
      </w:r>
      <w:r w:rsidR="006E3E73">
        <w:rPr>
          <w:lang w:eastAsia="en-GB"/>
        </w:rPr>
        <w:t xml:space="preserve"> from them</w:t>
      </w:r>
      <w:r w:rsidRPr="00572937">
        <w:rPr>
          <w:lang w:eastAsia="en-GB"/>
        </w:rPr>
        <w:t>.</w:t>
      </w:r>
      <w:r>
        <w:rPr>
          <w:lang w:eastAsia="en-GB"/>
        </w:rPr>
        <w:t xml:space="preserve"> </w:t>
      </w:r>
      <w:r w:rsidRPr="00CB0ADF">
        <w:rPr>
          <w:lang w:eastAsia="en-GB"/>
        </w:rPr>
        <w:t xml:space="preserve">Accordingly, </w:t>
      </w:r>
      <w:r w:rsidRPr="00531510">
        <w:rPr>
          <w:rFonts w:eastAsia="MS Mincho"/>
          <w:snapToGrid w:val="0"/>
        </w:rPr>
        <w:t xml:space="preserve">the Technology and Economic Panel recommends that the technology, under a new generic category </w:t>
      </w:r>
      <w:r w:rsidR="000430F9">
        <w:rPr>
          <w:rFonts w:eastAsia="MS Mincho"/>
          <w:snapToGrid w:val="0"/>
        </w:rPr>
        <w:t>“s</w:t>
      </w:r>
      <w:r w:rsidRPr="00531510">
        <w:rPr>
          <w:rFonts w:eastAsia="MS Mincho"/>
          <w:snapToGrid w:val="0"/>
        </w:rPr>
        <w:t xml:space="preserve">team </w:t>
      </w:r>
      <w:r w:rsidR="000430F9">
        <w:rPr>
          <w:rFonts w:eastAsia="MS Mincho"/>
          <w:snapToGrid w:val="0"/>
        </w:rPr>
        <w:t>p</w:t>
      </w:r>
      <w:r w:rsidRPr="00531510">
        <w:rPr>
          <w:rFonts w:eastAsia="MS Mincho"/>
          <w:snapToGrid w:val="0"/>
        </w:rPr>
        <w:t xml:space="preserve">lasma </w:t>
      </w:r>
      <w:r w:rsidR="000430F9">
        <w:rPr>
          <w:rFonts w:eastAsia="MS Mincho"/>
          <w:snapToGrid w:val="0"/>
        </w:rPr>
        <w:t>a</w:t>
      </w:r>
      <w:r w:rsidRPr="00531510">
        <w:rPr>
          <w:rFonts w:eastAsia="MS Mincho"/>
          <w:snapToGrid w:val="0"/>
        </w:rPr>
        <w:t>rc</w:t>
      </w:r>
      <w:r w:rsidR="000430F9">
        <w:rPr>
          <w:rFonts w:eastAsia="MS Mincho"/>
          <w:snapToGrid w:val="0"/>
        </w:rPr>
        <w:t>”</w:t>
      </w:r>
      <w:r w:rsidRPr="00531510">
        <w:rPr>
          <w:rFonts w:eastAsia="MS Mincho"/>
          <w:snapToGrid w:val="0"/>
        </w:rPr>
        <w:t>, be approved for destruction of concentrated</w:t>
      </w:r>
      <w:r w:rsidRPr="00531510">
        <w:rPr>
          <w:rFonts w:eastAsia="MS Mincho"/>
        </w:rPr>
        <w:t xml:space="preserve"> sources of Annex A</w:t>
      </w:r>
      <w:r w:rsidR="008A2B9A">
        <w:rPr>
          <w:rFonts w:eastAsia="MS Mincho"/>
        </w:rPr>
        <w:t>,</w:t>
      </w:r>
      <w:r w:rsidRPr="00531510">
        <w:rPr>
          <w:rFonts w:eastAsia="MS Mincho"/>
        </w:rPr>
        <w:t xml:space="preserve"> </w:t>
      </w:r>
      <w:r w:rsidR="008A2B9A">
        <w:rPr>
          <w:rFonts w:eastAsia="MS Mincho"/>
        </w:rPr>
        <w:t>g</w:t>
      </w:r>
      <w:r w:rsidRPr="00531510">
        <w:rPr>
          <w:rFonts w:eastAsia="MS Mincho"/>
        </w:rPr>
        <w:t xml:space="preserve">roup </w:t>
      </w:r>
      <w:r>
        <w:rPr>
          <w:rFonts w:eastAsia="MS Mincho"/>
        </w:rPr>
        <w:t>I</w:t>
      </w:r>
      <w:r w:rsidRPr="00531510">
        <w:rPr>
          <w:rFonts w:eastAsia="MS Mincho"/>
        </w:rPr>
        <w:t>, Annex C</w:t>
      </w:r>
      <w:r w:rsidR="008A2B9A">
        <w:rPr>
          <w:rFonts w:eastAsia="MS Mincho"/>
        </w:rPr>
        <w:t>,</w:t>
      </w:r>
      <w:r w:rsidRPr="00531510">
        <w:rPr>
          <w:rFonts w:eastAsia="MS Mincho"/>
        </w:rPr>
        <w:t xml:space="preserve"> </w:t>
      </w:r>
      <w:r w:rsidR="008A2B9A">
        <w:rPr>
          <w:rFonts w:eastAsia="MS Mincho"/>
        </w:rPr>
        <w:t>g</w:t>
      </w:r>
      <w:r w:rsidRPr="00531510">
        <w:rPr>
          <w:rFonts w:eastAsia="MS Mincho"/>
        </w:rPr>
        <w:t xml:space="preserve">roup </w:t>
      </w:r>
      <w:r>
        <w:rPr>
          <w:rFonts w:eastAsia="MS Mincho"/>
        </w:rPr>
        <w:t>I</w:t>
      </w:r>
      <w:r w:rsidRPr="00531510">
        <w:rPr>
          <w:rFonts w:eastAsia="MS Mincho"/>
        </w:rPr>
        <w:t xml:space="preserve">, </w:t>
      </w:r>
      <w:r>
        <w:rPr>
          <w:rFonts w:eastAsia="MS Mincho"/>
        </w:rPr>
        <w:t xml:space="preserve">and </w:t>
      </w:r>
      <w:r w:rsidRPr="00531510">
        <w:rPr>
          <w:rFonts w:eastAsia="MS Mincho"/>
        </w:rPr>
        <w:t>Annex F</w:t>
      </w:r>
      <w:r w:rsidR="008A2B9A">
        <w:rPr>
          <w:rFonts w:eastAsia="MS Mincho"/>
        </w:rPr>
        <w:t>,</w:t>
      </w:r>
      <w:r w:rsidRPr="00531510">
        <w:rPr>
          <w:rFonts w:eastAsia="MS Mincho"/>
        </w:rPr>
        <w:t xml:space="preserve"> </w:t>
      </w:r>
      <w:r w:rsidR="008A2B9A">
        <w:rPr>
          <w:rFonts w:eastAsia="MS Mincho"/>
        </w:rPr>
        <w:t>g</w:t>
      </w:r>
      <w:r w:rsidRPr="00531510">
        <w:rPr>
          <w:rFonts w:eastAsia="MS Mincho"/>
        </w:rPr>
        <w:t xml:space="preserve">roup </w:t>
      </w:r>
      <w:r>
        <w:rPr>
          <w:rFonts w:eastAsia="MS Mincho"/>
        </w:rPr>
        <w:t>I</w:t>
      </w:r>
      <w:r w:rsidR="00891438">
        <w:rPr>
          <w:rFonts w:eastAsia="MS Mincho"/>
        </w:rPr>
        <w:t>,</w:t>
      </w:r>
      <w:r w:rsidRPr="00531510">
        <w:rPr>
          <w:rFonts w:eastAsia="MS Mincho"/>
        </w:rPr>
        <w:t xml:space="preserve"> controlled substances for the purposes of the Montreal Protocol.</w:t>
      </w:r>
    </w:p>
    <w:p w14:paraId="02CE469D" w14:textId="103CD748" w:rsidR="00E62558" w:rsidRPr="00196EE1" w:rsidRDefault="00E62558" w:rsidP="0027564E">
      <w:pPr>
        <w:pStyle w:val="Normalnumber"/>
        <w:tabs>
          <w:tab w:val="clear" w:pos="1247"/>
          <w:tab w:val="clear" w:pos="1814"/>
          <w:tab w:val="clear" w:pos="2381"/>
          <w:tab w:val="clear" w:pos="2948"/>
          <w:tab w:val="clear" w:pos="3515"/>
          <w:tab w:val="left" w:pos="624"/>
        </w:tabs>
        <w:ind w:left="1247"/>
        <w:rPr>
          <w:rFonts w:eastAsia="MS Mincho"/>
          <w:snapToGrid w:val="0"/>
        </w:rPr>
      </w:pPr>
      <w:r w:rsidRPr="00196EE1">
        <w:rPr>
          <w:rFonts w:eastAsia="MS Mincho"/>
          <w:snapToGrid w:val="0"/>
        </w:rPr>
        <w:t>The Open-ended Working Group may wish to consider th</w:t>
      </w:r>
      <w:r w:rsidR="008A2B9A" w:rsidRPr="00196EE1">
        <w:rPr>
          <w:rFonts w:eastAsia="MS Mincho"/>
          <w:snapToGrid w:val="0"/>
        </w:rPr>
        <w:t>e</w:t>
      </w:r>
      <w:r w:rsidRPr="00196EE1">
        <w:rPr>
          <w:rFonts w:eastAsia="MS Mincho"/>
          <w:snapToGrid w:val="0"/>
        </w:rPr>
        <w:t xml:space="preserve"> issue and recommend a way forward.</w:t>
      </w:r>
    </w:p>
    <w:p w14:paraId="3E77B16E" w14:textId="77777777" w:rsidR="00E62558" w:rsidRPr="00496EC7" w:rsidRDefault="00E62558" w:rsidP="00E62558">
      <w:pPr>
        <w:pStyle w:val="CH4"/>
      </w:pPr>
      <w:r>
        <w:tab/>
      </w:r>
      <w:r w:rsidRPr="00496EC7">
        <w:t>(ii)</w:t>
      </w:r>
      <w:r w:rsidRPr="00496EC7">
        <w:tab/>
        <w:t xml:space="preserve">Emerging </w:t>
      </w:r>
      <w:r w:rsidRPr="00496EC7">
        <w:rPr>
          <w:rFonts w:eastAsia="MS Mincho"/>
          <w:snapToGrid w:val="0"/>
        </w:rPr>
        <w:t>policies</w:t>
      </w:r>
      <w:r w:rsidRPr="00496EC7">
        <w:t xml:space="preserve"> and sector information related to PFAS</w:t>
      </w:r>
    </w:p>
    <w:p w14:paraId="10DE8BE1" w14:textId="099E534A" w:rsidR="00E62558" w:rsidRDefault="00E62558" w:rsidP="0027564E">
      <w:pPr>
        <w:pStyle w:val="Normalnumber"/>
        <w:tabs>
          <w:tab w:val="clear" w:pos="1247"/>
          <w:tab w:val="clear" w:pos="1814"/>
          <w:tab w:val="clear" w:pos="2381"/>
          <w:tab w:val="clear" w:pos="2948"/>
          <w:tab w:val="clear" w:pos="3515"/>
          <w:tab w:val="left" w:pos="624"/>
        </w:tabs>
        <w:ind w:left="1247"/>
      </w:pPr>
      <w:r>
        <w:t xml:space="preserve">Consistent with previous reports of the </w:t>
      </w:r>
      <w:r w:rsidRPr="00581216">
        <w:t xml:space="preserve">Technology and Economic Assessment </w:t>
      </w:r>
      <w:r>
        <w:t xml:space="preserve">Panel, </w:t>
      </w:r>
      <w:r w:rsidRPr="00BA4A04">
        <w:t>chapter</w:t>
      </w:r>
      <w:r w:rsidR="00BA4A04">
        <w:t> </w:t>
      </w:r>
      <w:r w:rsidRPr="008525D6">
        <w:t>7</w:t>
      </w:r>
      <w:r>
        <w:t xml:space="preserve"> of its 2026 progress report provides </w:t>
      </w:r>
      <w:r w:rsidRPr="007C603B">
        <w:t xml:space="preserve">updated policy-relevant information related to PFAS and </w:t>
      </w:r>
      <w:r>
        <w:t xml:space="preserve">outlines the </w:t>
      </w:r>
      <w:r w:rsidRPr="0027564E">
        <w:rPr>
          <w:rFonts w:eastAsia="MS Mincho"/>
          <w:snapToGrid w:val="0"/>
        </w:rPr>
        <w:t>potential</w:t>
      </w:r>
      <w:r w:rsidRPr="007C603B">
        <w:t xml:space="preserve"> implications </w:t>
      </w:r>
      <w:r>
        <w:t>of</w:t>
      </w:r>
      <w:r w:rsidRPr="007C603B">
        <w:t xml:space="preserve"> transition</w:t>
      </w:r>
      <w:r>
        <w:t>ing</w:t>
      </w:r>
      <w:r w:rsidRPr="007C603B">
        <w:t xml:space="preserve"> to alternatives from substances controlled under the Montreal Protocol</w:t>
      </w:r>
      <w:r>
        <w:t xml:space="preserve"> in </w:t>
      </w:r>
      <w:r w:rsidRPr="00607B84">
        <w:t>the fire suppression</w:t>
      </w:r>
      <w:r>
        <w:t xml:space="preserve">, </w:t>
      </w:r>
      <w:r w:rsidRPr="00607B84">
        <w:t>foams</w:t>
      </w:r>
      <w:r>
        <w:t xml:space="preserve">, medical, and </w:t>
      </w:r>
      <w:r w:rsidRPr="00607B84">
        <w:t>refrigeration, air</w:t>
      </w:r>
      <w:r>
        <w:t>-</w:t>
      </w:r>
      <w:r w:rsidRPr="00607B84">
        <w:t>conditioning and heat pump sectors</w:t>
      </w:r>
      <w:r w:rsidRPr="007C603B">
        <w:t>.</w:t>
      </w:r>
    </w:p>
    <w:p w14:paraId="44A8E2B9" w14:textId="25C199F3" w:rsidR="00E62558" w:rsidRPr="00817634" w:rsidRDefault="00E62558" w:rsidP="0027564E">
      <w:pPr>
        <w:pStyle w:val="Normalnumber"/>
        <w:tabs>
          <w:tab w:val="clear" w:pos="1247"/>
          <w:tab w:val="clear" w:pos="1814"/>
          <w:tab w:val="clear" w:pos="2381"/>
          <w:tab w:val="clear" w:pos="2948"/>
          <w:tab w:val="clear" w:pos="3515"/>
          <w:tab w:val="left" w:pos="624"/>
        </w:tabs>
        <w:ind w:left="1247"/>
      </w:pPr>
      <w:r>
        <w:t xml:space="preserve">The Panel </w:t>
      </w:r>
      <w:r w:rsidRPr="00817634">
        <w:t>emphasizes that</w:t>
      </w:r>
      <w:r w:rsidR="00B653D9">
        <w:t>, while</w:t>
      </w:r>
      <w:r w:rsidRPr="00817634">
        <w:t xml:space="preserve"> PFAS are often incorrectly grouped together as “forever chemicals</w:t>
      </w:r>
      <w:r w:rsidR="005274C1">
        <w:t>”</w:t>
      </w:r>
      <w:r w:rsidRPr="00817634">
        <w:t xml:space="preserve">, </w:t>
      </w:r>
      <w:r w:rsidR="00BD4006">
        <w:t>in fact</w:t>
      </w:r>
      <w:r w:rsidR="00BD4006" w:rsidRPr="00817634">
        <w:t xml:space="preserve"> </w:t>
      </w:r>
      <w:r w:rsidRPr="00817634">
        <w:t xml:space="preserve">not all </w:t>
      </w:r>
      <w:r w:rsidRPr="0027564E">
        <w:rPr>
          <w:rFonts w:eastAsia="MS Mincho"/>
          <w:snapToGrid w:val="0"/>
        </w:rPr>
        <w:t>PFAS</w:t>
      </w:r>
      <w:r w:rsidRPr="00817634">
        <w:t xml:space="preserve"> are persistent, bioaccumulative and toxic. Much of the concern </w:t>
      </w:r>
      <w:r>
        <w:t xml:space="preserve">focuses on </w:t>
      </w:r>
      <w:r w:rsidRPr="00817634">
        <w:t xml:space="preserve">chemicals such as </w:t>
      </w:r>
      <w:r>
        <w:t>p</w:t>
      </w:r>
      <w:r w:rsidRPr="00817634">
        <w:t xml:space="preserve">erfluorooctanoic acid (PFOA) and </w:t>
      </w:r>
      <w:r>
        <w:t>p</w:t>
      </w:r>
      <w:r w:rsidRPr="00817634">
        <w:t xml:space="preserve">erfluorooctane sulfonate (PFOS), which are </w:t>
      </w:r>
      <w:r>
        <w:t xml:space="preserve">very persistent, </w:t>
      </w:r>
      <w:r w:rsidRPr="00817634">
        <w:t>harmful and already heavily restricted in many jurisdictions.</w:t>
      </w:r>
    </w:p>
    <w:p w14:paraId="1E0E9E96" w14:textId="72082C67" w:rsidR="00E62558" w:rsidRPr="00817634" w:rsidRDefault="00E62558" w:rsidP="0027564E">
      <w:pPr>
        <w:pStyle w:val="Normalnumber"/>
        <w:tabs>
          <w:tab w:val="clear" w:pos="1247"/>
          <w:tab w:val="clear" w:pos="1814"/>
          <w:tab w:val="clear" w:pos="2381"/>
          <w:tab w:val="clear" w:pos="2948"/>
          <w:tab w:val="clear" w:pos="3515"/>
          <w:tab w:val="left" w:pos="624"/>
        </w:tabs>
        <w:ind w:left="1247"/>
      </w:pPr>
      <w:r w:rsidRPr="00817634">
        <w:t>A</w:t>
      </w:r>
      <w:r>
        <w:t>s in previous reports, the Panel</w:t>
      </w:r>
      <w:r w:rsidRPr="00817634">
        <w:t xml:space="preserve"> </w:t>
      </w:r>
      <w:r>
        <w:t xml:space="preserve">notes </w:t>
      </w:r>
      <w:r w:rsidRPr="00817634">
        <w:t xml:space="preserve">that </w:t>
      </w:r>
      <w:r>
        <w:t>d</w:t>
      </w:r>
      <w:r w:rsidRPr="00714246">
        <w:t xml:space="preserve">efinitions of “PFAS” vary </w:t>
      </w:r>
      <w:r w:rsidRPr="00B653D9">
        <w:t xml:space="preserve">widely </w:t>
      </w:r>
      <w:r w:rsidR="00B8418C">
        <w:t xml:space="preserve">among </w:t>
      </w:r>
      <w:r w:rsidRPr="00714246">
        <w:t xml:space="preserve">international, national and state regulations, resulting in inconsistent treatment of substances relevant to the Montreal Protocol. </w:t>
      </w:r>
      <w:r w:rsidRPr="00817634">
        <w:t>Different organizations and governments use different criteria</w:t>
      </w:r>
      <w:r w:rsidR="00042A61">
        <w:t>,</w:t>
      </w:r>
      <w:r w:rsidRPr="00817634">
        <w:t xml:space="preserve"> and some definitions are broad enough to include refrigerants, fire suppressants, foam</w:t>
      </w:r>
      <w:r w:rsidR="00262FDB">
        <w:t>-</w:t>
      </w:r>
      <w:r w:rsidRPr="00817634">
        <w:t xml:space="preserve">blowing agents, fluoropolymers and medical aerosol propellants </w:t>
      </w:r>
      <w:r>
        <w:t xml:space="preserve">controlled under the Montreal Protocol as well as substances used as </w:t>
      </w:r>
      <w:r w:rsidRPr="00817634">
        <w:t xml:space="preserve">substitutes </w:t>
      </w:r>
      <w:r w:rsidR="00D555F4">
        <w:t xml:space="preserve">for </w:t>
      </w:r>
      <w:r>
        <w:t>th</w:t>
      </w:r>
      <w:r w:rsidR="00DC37F2">
        <w:t>em</w:t>
      </w:r>
      <w:r w:rsidRPr="00817634">
        <w:t xml:space="preserve">. </w:t>
      </w:r>
      <w:r>
        <w:t>R</w:t>
      </w:r>
      <w:r w:rsidRPr="00817634">
        <w:t xml:space="preserve">egulations based solely on chemical structure rather than </w:t>
      </w:r>
      <w:r w:rsidRPr="00817634">
        <w:lastRenderedPageBreak/>
        <w:t>actual environmental or health risk may unintentionally ban substances that are not highly toxic or persistent.</w:t>
      </w:r>
    </w:p>
    <w:p w14:paraId="31E6AFFE" w14:textId="6237B248" w:rsidR="00E62558" w:rsidRDefault="00E62558" w:rsidP="0027564E">
      <w:pPr>
        <w:pStyle w:val="Normalnumber"/>
        <w:tabs>
          <w:tab w:val="clear" w:pos="1247"/>
          <w:tab w:val="clear" w:pos="1814"/>
          <w:tab w:val="clear" w:pos="2381"/>
          <w:tab w:val="clear" w:pos="2948"/>
          <w:tab w:val="clear" w:pos="3515"/>
          <w:tab w:val="left" w:pos="624"/>
        </w:tabs>
        <w:ind w:left="1247"/>
      </w:pPr>
      <w:r>
        <w:t>Regulatory approaches also differ significantly. The Stockholm Convention on Persistent Organic Pollutants restricts only specific PFAS</w:t>
      </w:r>
      <w:r w:rsidR="00E918A0">
        <w:t>,</w:t>
      </w:r>
      <w:r>
        <w:t xml:space="preserve"> such as PFOS and PFOA, without targeting Montreal Protocol-related substances. In contrast, proposed E</w:t>
      </w:r>
      <w:r w:rsidR="00DC37F2">
        <w:t xml:space="preserve">uropean </w:t>
      </w:r>
      <w:r>
        <w:t>U</w:t>
      </w:r>
      <w:r w:rsidR="00DC37F2">
        <w:t>nion</w:t>
      </w:r>
      <w:r>
        <w:t xml:space="preserve"> PFAS restrictions under the </w:t>
      </w:r>
      <w:r w:rsidRPr="0027564E">
        <w:rPr>
          <w:rFonts w:eastAsia="MS Mincho"/>
          <w:snapToGrid w:val="0"/>
        </w:rPr>
        <w:t>Registration</w:t>
      </w:r>
      <w:r w:rsidRPr="004B356C">
        <w:t>, Evaluation, Authorisation and Restriction of Chemicals</w:t>
      </w:r>
      <w:r w:rsidR="00BB3BB5">
        <w:t xml:space="preserve"> (REACH</w:t>
      </w:r>
      <w:r>
        <w:t>) regulation</w:t>
      </w:r>
      <w:r w:rsidRPr="004B356C">
        <w:t xml:space="preserve"> </w:t>
      </w:r>
      <w:r>
        <w:t>could affect alternatives to ozone-depleting and high-</w:t>
      </w:r>
      <w:r w:rsidR="00BB3BB5">
        <w:t>global-wa</w:t>
      </w:r>
      <w:r w:rsidR="004E2A5A">
        <w:t>rming-potential</w:t>
      </w:r>
      <w:r>
        <w:t xml:space="preserve"> substances. Canada is considering broader PFAS controls, potentially including some Montreal Protocol-related chemicals, while excluding fluoropolymers. In the United States, the Environmental Protection Agency applies a </w:t>
      </w:r>
      <w:r w:rsidR="004763FC">
        <w:t>risk</w:t>
      </w:r>
      <w:r w:rsidR="004763FC">
        <w:noBreakHyphen/>
      </w:r>
      <w:r>
        <w:t xml:space="preserve">based approach focused on toxicity and exposure, </w:t>
      </w:r>
      <w:r w:rsidR="005A2545">
        <w:t xml:space="preserve">and </w:t>
      </w:r>
      <w:r>
        <w:t xml:space="preserve">some </w:t>
      </w:r>
      <w:r w:rsidR="00BD51D0">
        <w:t>s</w:t>
      </w:r>
      <w:r>
        <w:t xml:space="preserve">tates have adopted broader PFAS definitions and restrictions. </w:t>
      </w:r>
    </w:p>
    <w:p w14:paraId="79FA7265" w14:textId="4F8F3B36" w:rsidR="00E62558" w:rsidRPr="00817634" w:rsidRDefault="00E62558" w:rsidP="0027564E">
      <w:pPr>
        <w:pStyle w:val="Normalnumber"/>
        <w:tabs>
          <w:tab w:val="clear" w:pos="1247"/>
          <w:tab w:val="clear" w:pos="1814"/>
          <w:tab w:val="clear" w:pos="2381"/>
          <w:tab w:val="clear" w:pos="2948"/>
          <w:tab w:val="clear" w:pos="3515"/>
          <w:tab w:val="left" w:pos="624"/>
        </w:tabs>
        <w:ind w:left="1247"/>
      </w:pPr>
      <w:r w:rsidRPr="00817634">
        <w:t>Th</w:t>
      </w:r>
      <w:r>
        <w:t xml:space="preserve">e </w:t>
      </w:r>
      <w:r w:rsidRPr="00817634">
        <w:t>uncertainty around future PFAS regulation</w:t>
      </w:r>
      <w:r>
        <w:t>s</w:t>
      </w:r>
      <w:r w:rsidRPr="00817634">
        <w:t xml:space="preserve"> is already slowing investment in replacement technologies. Companies are hesitant to invest </w:t>
      </w:r>
      <w:r w:rsidRPr="00EB23C2">
        <w:t xml:space="preserve">in alternatives </w:t>
      </w:r>
      <w:r w:rsidR="00EE7846" w:rsidRPr="00EB23C2">
        <w:t>that</w:t>
      </w:r>
      <w:r w:rsidRPr="00EB23C2">
        <w:t xml:space="preserve"> may later be banned. This uncertainty could delay progress toward</w:t>
      </w:r>
      <w:r w:rsidR="00EE7846" w:rsidRPr="00EB23C2">
        <w:t>s</w:t>
      </w:r>
      <w:r w:rsidRPr="00EB23C2">
        <w:t xml:space="preserve"> Montreal Protocol and Kigali Amendment</w:t>
      </w:r>
      <w:r w:rsidRPr="00817634">
        <w:t xml:space="preserve"> targets by reducing the availability of low-</w:t>
      </w:r>
      <w:r w:rsidR="00EE7846">
        <w:t>global-warming-potential</w:t>
      </w:r>
      <w:r w:rsidRPr="00817634">
        <w:t xml:space="preserve"> substitutes and discouraging innovation.</w:t>
      </w:r>
    </w:p>
    <w:p w14:paraId="180385B4" w14:textId="2C3535B2" w:rsidR="00E62558" w:rsidRPr="00817634" w:rsidRDefault="00E62558" w:rsidP="0027564E">
      <w:pPr>
        <w:pStyle w:val="Normalnumber"/>
        <w:tabs>
          <w:tab w:val="clear" w:pos="1247"/>
          <w:tab w:val="clear" w:pos="1814"/>
          <w:tab w:val="clear" w:pos="2381"/>
          <w:tab w:val="clear" w:pos="2948"/>
          <w:tab w:val="clear" w:pos="3515"/>
          <w:tab w:val="left" w:pos="624"/>
        </w:tabs>
        <w:ind w:left="1247"/>
      </w:pPr>
      <w:r>
        <w:t>In the</w:t>
      </w:r>
      <w:r w:rsidRPr="00817634">
        <w:t xml:space="preserve"> </w:t>
      </w:r>
      <w:r w:rsidRPr="00B26692">
        <w:t xml:space="preserve">fire suppression </w:t>
      </w:r>
      <w:r w:rsidRPr="00B26692">
        <w:rPr>
          <w:rFonts w:eastAsia="MS Mincho"/>
          <w:snapToGrid w:val="0"/>
        </w:rPr>
        <w:t>sector</w:t>
      </w:r>
      <w:r w:rsidRPr="00B26692">
        <w:t>, aircraft fire protection systems still rely heavily on halons because alternatives for some applications, especially cargo compartments and engine nacelles, remain technically inadequate despite</w:t>
      </w:r>
      <w:r w:rsidRPr="00817634">
        <w:t xml:space="preserve"> decades of research. Potential replacements such as 2-BTP and fluoroketones may themselves be classified as PFAS under broad definitions, creating uncertainty about their long-term viability. Civil aviation stakeholders are therefore reconsidering </w:t>
      </w:r>
      <w:r w:rsidR="00A72BC4">
        <w:t xml:space="preserve">the </w:t>
      </w:r>
      <w:r w:rsidRPr="00817634">
        <w:t xml:space="preserve">continued </w:t>
      </w:r>
      <w:r>
        <w:t>long</w:t>
      </w:r>
      <w:r>
        <w:noBreakHyphen/>
      </w:r>
      <w:r w:rsidRPr="00817634">
        <w:t>term use of halon 1301, which could prolong dependence on ozone-depleting substances for many decades because aircraft systems are designed and certified over extremely long timelines.</w:t>
      </w:r>
    </w:p>
    <w:p w14:paraId="5A2D0B5A" w14:textId="731C117C" w:rsidR="00E62558" w:rsidRPr="00817634" w:rsidRDefault="00E62558" w:rsidP="0027564E">
      <w:pPr>
        <w:pStyle w:val="Normalnumber"/>
        <w:tabs>
          <w:tab w:val="clear" w:pos="1247"/>
          <w:tab w:val="clear" w:pos="1814"/>
          <w:tab w:val="clear" w:pos="2381"/>
          <w:tab w:val="clear" w:pos="2948"/>
          <w:tab w:val="clear" w:pos="3515"/>
          <w:tab w:val="left" w:pos="624"/>
        </w:tabs>
        <w:ind w:left="1247"/>
      </w:pPr>
      <w:r w:rsidRPr="00B92041">
        <w:t>In the foam insulation sector</w:t>
      </w:r>
      <w:r w:rsidRPr="00817634">
        <w:t xml:space="preserve">, which plays an important role in reducing energy use in buildings and refrigeration </w:t>
      </w:r>
      <w:r w:rsidRPr="0027564E">
        <w:rPr>
          <w:rFonts w:eastAsia="MS Mincho"/>
          <w:snapToGrid w:val="0"/>
        </w:rPr>
        <w:t>systems</w:t>
      </w:r>
      <w:r>
        <w:t>, m</w:t>
      </w:r>
      <w:r w:rsidRPr="00817634">
        <w:t xml:space="preserve">anufacturers have already delayed decisions about </w:t>
      </w:r>
      <w:r w:rsidR="008D7F2F">
        <w:t>foam</w:t>
      </w:r>
      <w:r w:rsidR="008D7F2F">
        <w:noBreakHyphen/>
      </w:r>
      <w:r w:rsidRPr="00817634">
        <w:t>blowing agents because of uncertainty surrounding fluorinated alternatives and possible future bans. Since no single blowing agent works optimally for all applications, reducing the number of available options could create technical and economic difficulties.</w:t>
      </w:r>
    </w:p>
    <w:p w14:paraId="0D19680C" w14:textId="073B3D6D" w:rsidR="00E62558" w:rsidRPr="00303E02" w:rsidRDefault="00E62558" w:rsidP="0027564E">
      <w:pPr>
        <w:pStyle w:val="Normalnumber"/>
        <w:tabs>
          <w:tab w:val="clear" w:pos="1247"/>
          <w:tab w:val="clear" w:pos="1814"/>
          <w:tab w:val="clear" w:pos="2381"/>
          <w:tab w:val="clear" w:pos="2948"/>
          <w:tab w:val="clear" w:pos="3515"/>
          <w:tab w:val="left" w:pos="624"/>
        </w:tabs>
        <w:ind w:left="1247"/>
      </w:pPr>
      <w:r w:rsidRPr="00303E02">
        <w:t xml:space="preserve">In the medical sector, pressurized metered-dose inhalers used to treat asthma and </w:t>
      </w:r>
      <w:r w:rsidR="0034114B" w:rsidRPr="007B18B3">
        <w:rPr>
          <w:rFonts w:eastAsia="MS Mincho"/>
          <w:snapToGrid w:val="0"/>
        </w:rPr>
        <w:t xml:space="preserve">chronic obstructive pulmonary </w:t>
      </w:r>
      <w:r w:rsidR="0034114B" w:rsidRPr="008C7813">
        <w:rPr>
          <w:rFonts w:eastAsia="MS Mincho"/>
          <w:snapToGrid w:val="0"/>
        </w:rPr>
        <w:t>disease</w:t>
      </w:r>
      <w:r w:rsidRPr="00303E02">
        <w:t xml:space="preserve"> may also be affected. The industry is transitioning away from </w:t>
      </w:r>
      <w:r w:rsidR="005D46C0">
        <w:t>high</w:t>
      </w:r>
      <w:r w:rsidR="005D46C0">
        <w:noBreakHyphen/>
      </w:r>
      <w:r w:rsidR="00844C7B">
        <w:t>global-warming-potential</w:t>
      </w:r>
      <w:r w:rsidRPr="00303E02">
        <w:t xml:space="preserve"> propellants toward</w:t>
      </w:r>
      <w:r w:rsidR="00A72BC4">
        <w:t>s</w:t>
      </w:r>
      <w:r w:rsidRPr="00303E02">
        <w:t xml:space="preserve"> lower-</w:t>
      </w:r>
      <w:r w:rsidR="00844C7B">
        <w:t>global-warming-potential</w:t>
      </w:r>
      <w:r w:rsidRPr="00303E02">
        <w:t xml:space="preserve"> alternatives such as HFC-152a and HFO-</w:t>
      </w:r>
      <w:r w:rsidRPr="00EA1A7D">
        <w:t>1234ze(E). However, some proposed</w:t>
      </w:r>
      <w:r w:rsidRPr="00303E02">
        <w:t xml:space="preserve"> PFAS regulations could restrict </w:t>
      </w:r>
      <w:r w:rsidR="005D46C0">
        <w:t>HFO</w:t>
      </w:r>
      <w:r w:rsidR="005D46C0">
        <w:noBreakHyphen/>
      </w:r>
      <w:r w:rsidRPr="00303E02">
        <w:t xml:space="preserve">1234ze(E) despite its extremely low </w:t>
      </w:r>
      <w:r w:rsidR="00844C7B">
        <w:t>global warming potential</w:t>
      </w:r>
      <w:r w:rsidRPr="00303E02">
        <w:t>. Because developing new inhalers takes many years and because hundreds of millions of patients rely on th</w:t>
      </w:r>
      <w:r w:rsidR="00A72BC4">
        <w:t>o</w:t>
      </w:r>
      <w:r w:rsidRPr="00303E02">
        <w:t>se medicines, uncertainty about future regulations is creating concern in the healthcare and pharmaceutical sectors.</w:t>
      </w:r>
    </w:p>
    <w:p w14:paraId="22B93A80" w14:textId="2DB9CB59" w:rsidR="00E62558" w:rsidRPr="00303E02" w:rsidRDefault="00E62558" w:rsidP="0027564E">
      <w:pPr>
        <w:pStyle w:val="Normalnumber"/>
        <w:tabs>
          <w:tab w:val="clear" w:pos="1247"/>
          <w:tab w:val="clear" w:pos="1814"/>
          <w:tab w:val="clear" w:pos="2381"/>
          <w:tab w:val="clear" w:pos="2948"/>
          <w:tab w:val="clear" w:pos="3515"/>
          <w:tab w:val="left" w:pos="624"/>
        </w:tabs>
        <w:ind w:left="1247"/>
      </w:pPr>
      <w:r w:rsidRPr="00303E02">
        <w:t xml:space="preserve">The </w:t>
      </w:r>
      <w:r w:rsidRPr="0027564E">
        <w:rPr>
          <w:rFonts w:eastAsia="MS Mincho"/>
          <w:snapToGrid w:val="0"/>
        </w:rPr>
        <w:t>refrigeration</w:t>
      </w:r>
      <w:r w:rsidRPr="00206F51">
        <w:t>, air</w:t>
      </w:r>
      <w:r w:rsidR="004C44B7" w:rsidRPr="00206F51">
        <w:t>-</w:t>
      </w:r>
      <w:r w:rsidRPr="00206F51">
        <w:t>conditioning and heat</w:t>
      </w:r>
      <w:r w:rsidRPr="00303E02">
        <w:t xml:space="preserve"> pump sector is identified as especially important because it accounts for most global HFC consumption under the Kigali Amendment. According to the Panel, nearly all commonly used fluorinated refrigerants except HFC-32 could potentially fall under broad PFAS definitions. While non-fluorinated alternatives such as hydrocarbons, ammonia and </w:t>
      </w:r>
      <w:r>
        <w:t>carbon dioxide</w:t>
      </w:r>
      <w:r w:rsidRPr="00303E02">
        <w:t xml:space="preserve"> are suitable in some applications, they also have limitations related to flammability, toxicity, pressure, efficiency, </w:t>
      </w:r>
      <w:r w:rsidR="00A55C4A">
        <w:t>and</w:t>
      </w:r>
      <w:r w:rsidRPr="00303E02">
        <w:t xml:space="preserve"> suitability for certain climates and building types. Broad PFAS bans could therefore reduce refrigerant choices, slow </w:t>
      </w:r>
      <w:r w:rsidR="00B66540">
        <w:t xml:space="preserve">the </w:t>
      </w:r>
      <w:r w:rsidRPr="00303E02">
        <w:t>adoption of heat pumps, lower energy efficiency and ultimately increase greenhouse gas emissions.</w:t>
      </w:r>
    </w:p>
    <w:p w14:paraId="3706056F" w14:textId="678AC9EA" w:rsidR="00E62558" w:rsidRDefault="00E62558" w:rsidP="0027564E">
      <w:pPr>
        <w:pStyle w:val="Normalnumber"/>
        <w:tabs>
          <w:tab w:val="clear" w:pos="1247"/>
          <w:tab w:val="clear" w:pos="1814"/>
          <w:tab w:val="clear" w:pos="2381"/>
          <w:tab w:val="clear" w:pos="2948"/>
          <w:tab w:val="clear" w:pos="3515"/>
          <w:tab w:val="left" w:pos="624"/>
        </w:tabs>
        <w:ind w:left="1247"/>
      </w:pPr>
      <w:r w:rsidRPr="00303E02">
        <w:t xml:space="preserve">Another major concern </w:t>
      </w:r>
      <w:r>
        <w:t xml:space="preserve">noted in the report </w:t>
      </w:r>
      <w:r w:rsidRPr="00303E02">
        <w:t xml:space="preserve">involves fluoropolymers used in refrigeration, </w:t>
      </w:r>
      <w:r w:rsidR="005D46C0">
        <w:t>air</w:t>
      </w:r>
      <w:r w:rsidR="005D46C0">
        <w:noBreakHyphen/>
      </w:r>
      <w:r w:rsidRPr="00303E02">
        <w:t xml:space="preserve">conditioning </w:t>
      </w:r>
      <w:r w:rsidRPr="0027564E">
        <w:rPr>
          <w:rFonts w:eastAsia="MS Mincho"/>
          <w:snapToGrid w:val="0"/>
        </w:rPr>
        <w:t>and</w:t>
      </w:r>
      <w:r w:rsidRPr="00303E02">
        <w:t xml:space="preserve"> heat pump equipment. These materials are essential for seals, compressors, valves, wiring insulation, </w:t>
      </w:r>
      <w:r>
        <w:t xml:space="preserve">heat exchangers, coatings </w:t>
      </w:r>
      <w:r w:rsidRPr="00303E02">
        <w:t xml:space="preserve">and electronics because of their durability and chemical resistance. </w:t>
      </w:r>
      <w:r>
        <w:t>R</w:t>
      </w:r>
      <w:r w:rsidRPr="00303E02">
        <w:t xml:space="preserve">estrictions on fluoropolymers could </w:t>
      </w:r>
      <w:r>
        <w:t xml:space="preserve">therefore </w:t>
      </w:r>
      <w:r w:rsidRPr="00303E02">
        <w:t>disrupt manufacturing across this sector regardless of refrigerant type, since many systems using</w:t>
      </w:r>
      <w:r>
        <w:t xml:space="preserve"> carbon dioxide</w:t>
      </w:r>
      <w:r w:rsidRPr="00303E02">
        <w:t>, ammonia or hydrocarbons also depend on fluoropolymers.</w:t>
      </w:r>
    </w:p>
    <w:p w14:paraId="7D0B515B" w14:textId="19D282EA" w:rsidR="00E62558" w:rsidRPr="00303E02" w:rsidRDefault="00E62558" w:rsidP="0027564E">
      <w:pPr>
        <w:pStyle w:val="Normalnumber"/>
        <w:tabs>
          <w:tab w:val="clear" w:pos="1247"/>
          <w:tab w:val="clear" w:pos="1814"/>
          <w:tab w:val="clear" w:pos="2381"/>
          <w:tab w:val="clear" w:pos="2948"/>
          <w:tab w:val="clear" w:pos="3515"/>
          <w:tab w:val="left" w:pos="624"/>
        </w:tabs>
        <w:ind w:left="1247"/>
      </w:pPr>
      <w:r w:rsidRPr="00EA029E">
        <w:t xml:space="preserve">Under </w:t>
      </w:r>
      <w:r>
        <w:t>d</w:t>
      </w:r>
      <w:r w:rsidRPr="00EA029E">
        <w:t>ecision XXXV/3</w:t>
      </w:r>
      <w:r w:rsidR="00DF0503">
        <w:t>,</w:t>
      </w:r>
      <w:r>
        <w:t xml:space="preserve"> on p</w:t>
      </w:r>
      <w:r w:rsidRPr="00EA029E">
        <w:t xml:space="preserve">otential areas of focus for the 2026 quadrennial reports of the Environmental Effects Assessment Panel, the Scientific Assessment Panel and the </w:t>
      </w:r>
      <w:r>
        <w:t xml:space="preserve">Technology and Economic Assessment Panel, all panels were </w:t>
      </w:r>
      <w:r w:rsidRPr="00EA029E">
        <w:t xml:space="preserve">requested to include in their </w:t>
      </w:r>
      <w:r>
        <w:t xml:space="preserve">2026 quadrennial </w:t>
      </w:r>
      <w:r w:rsidRPr="0027564E">
        <w:rPr>
          <w:rFonts w:eastAsia="MS Mincho"/>
          <w:snapToGrid w:val="0"/>
        </w:rPr>
        <w:t>assessment</w:t>
      </w:r>
      <w:r>
        <w:t xml:space="preserve"> reports</w:t>
      </w:r>
      <w:r w:rsidRPr="00EA029E">
        <w:t xml:space="preserve"> information on controlled substances and their alternatives and breakdown products, in particular PFAS. </w:t>
      </w:r>
      <w:r>
        <w:t xml:space="preserve">The </w:t>
      </w:r>
      <w:r w:rsidRPr="00A31471">
        <w:t xml:space="preserve">Technology and Economic Assessment Panel </w:t>
      </w:r>
      <w:r w:rsidRPr="00EA029E">
        <w:t xml:space="preserve">is coordinating with </w:t>
      </w:r>
      <w:r>
        <w:t>the two other panels</w:t>
      </w:r>
      <w:r w:rsidRPr="00EA029E">
        <w:t xml:space="preserve"> on the scope of information on this topic to be covered</w:t>
      </w:r>
      <w:r>
        <w:t xml:space="preserve"> in the respective</w:t>
      </w:r>
      <w:r w:rsidRPr="00EA029E">
        <w:t xml:space="preserve"> </w:t>
      </w:r>
      <w:r>
        <w:t xml:space="preserve">quadrennial </w:t>
      </w:r>
      <w:r w:rsidRPr="00EA029E">
        <w:t xml:space="preserve">assessment </w:t>
      </w:r>
      <w:r>
        <w:t>reports.</w:t>
      </w:r>
    </w:p>
    <w:p w14:paraId="363D0EB0" w14:textId="77777777" w:rsidR="00E62558" w:rsidRPr="00D127A6" w:rsidRDefault="00E62558" w:rsidP="00E62558">
      <w:pPr>
        <w:pStyle w:val="CH2"/>
      </w:pPr>
      <w:r>
        <w:rPr>
          <w:b w:val="0"/>
        </w:rPr>
        <w:lastRenderedPageBreak/>
        <w:tab/>
      </w:r>
      <w:r>
        <w:rPr>
          <w:b w:val="0"/>
        </w:rPr>
        <w:tab/>
      </w:r>
      <w:r w:rsidRPr="00D127A6">
        <w:t xml:space="preserve">Agenda item </w:t>
      </w:r>
      <w:r>
        <w:t>5</w:t>
      </w:r>
    </w:p>
    <w:p w14:paraId="5F694EE0" w14:textId="3BF4F950" w:rsidR="00E62558" w:rsidRPr="00D127A6" w:rsidRDefault="00E62558" w:rsidP="00E62558">
      <w:pPr>
        <w:pStyle w:val="CH2"/>
        <w:spacing w:before="120"/>
      </w:pPr>
      <w:r w:rsidRPr="00D127A6">
        <w:tab/>
      </w:r>
      <w:r w:rsidRPr="00D127A6">
        <w:tab/>
      </w:r>
      <w:r w:rsidRPr="00BB34D1">
        <w:t>Enhancing regional atmospheric monitoring of substances controlled by the Montreal Protocol (decision XXXVI</w:t>
      </w:r>
      <w:r>
        <w:t>I</w:t>
      </w:r>
      <w:r w:rsidRPr="00BB34D1">
        <w:t>/1)</w:t>
      </w:r>
    </w:p>
    <w:p w14:paraId="6603D884" w14:textId="0E153D16" w:rsidR="00E62558" w:rsidRDefault="00E62558" w:rsidP="0027564E">
      <w:pPr>
        <w:pStyle w:val="Normalnumber"/>
        <w:tabs>
          <w:tab w:val="clear" w:pos="1247"/>
          <w:tab w:val="clear" w:pos="1814"/>
          <w:tab w:val="clear" w:pos="2381"/>
          <w:tab w:val="clear" w:pos="2948"/>
          <w:tab w:val="clear" w:pos="3515"/>
          <w:tab w:val="left" w:pos="624"/>
        </w:tabs>
        <w:ind w:left="1247"/>
      </w:pPr>
      <w:r w:rsidRPr="00CB33A0">
        <w:t xml:space="preserve">As </w:t>
      </w:r>
      <w:r w:rsidRPr="008D20A1">
        <w:t xml:space="preserve">is mentioned in the note by the Secretariat (UNEP/OzL.Pro.WG.1/48/2, </w:t>
      </w:r>
      <w:r w:rsidRPr="000721F2">
        <w:t xml:space="preserve">paras. </w:t>
      </w:r>
      <w:r w:rsidRPr="008D20A1">
        <w:t>26–30), in decision XXXVII/1</w:t>
      </w:r>
      <w:r w:rsidR="00CE4E94" w:rsidRPr="00AC04F9">
        <w:t>,</w:t>
      </w:r>
      <w:r w:rsidRPr="008D20A1">
        <w:t xml:space="preserve"> the Secretariat</w:t>
      </w:r>
      <w:r w:rsidRPr="00CB33A0">
        <w:t xml:space="preserve"> was requested to report to the Open-ended Working Group at its forty-eighth meeting and to the Thirty-Eighth Meeting of the Parties on progress in and any outcomes of </w:t>
      </w:r>
      <w:r>
        <w:t xml:space="preserve">the following </w:t>
      </w:r>
      <w:r w:rsidRPr="00CB33A0">
        <w:t>activities</w:t>
      </w:r>
      <w:r>
        <w:t xml:space="preserve">: </w:t>
      </w:r>
      <w:r w:rsidRPr="00CB33A0">
        <w:t>evaluation of the suitability of potential sites for monitoring emissions of controlled substances situated within the regions and locations identified in the information provided by the Advisory Committee</w:t>
      </w:r>
      <w:r w:rsidRPr="00363876">
        <w:t xml:space="preserve"> </w:t>
      </w:r>
      <w:r>
        <w:t xml:space="preserve">of the </w:t>
      </w:r>
      <w:r w:rsidRPr="00363876">
        <w:t>General Trust Fund for Financing Activities on Research and Systematic Observations Relevant to the Vienna Convention</w:t>
      </w:r>
      <w:r w:rsidR="00105EB9">
        <w:t xml:space="preserve"> </w:t>
      </w:r>
      <w:r w:rsidR="00105EB9" w:rsidRPr="00105EB9">
        <w:t>for the Protection of the Ozone Layer</w:t>
      </w:r>
      <w:r w:rsidRPr="00CB33A0">
        <w:t>, with the voluntary participation of and in consultation with the concerned parties</w:t>
      </w:r>
      <w:r>
        <w:t xml:space="preserve">; and </w:t>
      </w:r>
      <w:r w:rsidRPr="00CB33A0">
        <w:t>prepar</w:t>
      </w:r>
      <w:r>
        <w:t>ation</w:t>
      </w:r>
      <w:r w:rsidRPr="00CB33A0">
        <w:t xml:space="preserve">, in consultation with the concerned </w:t>
      </w:r>
      <w:r w:rsidRPr="0027564E">
        <w:rPr>
          <w:rFonts w:eastAsia="MS Mincho"/>
          <w:snapToGrid w:val="0"/>
        </w:rPr>
        <w:t>parties</w:t>
      </w:r>
      <w:r w:rsidRPr="00CB33A0">
        <w:t xml:space="preserve"> that had expressed interest, for possible next steps towards establishing monitoring activities at the potential sites, taking into account the prioritization presented by the Advisory Committee at the Thirty-Seventh Meeting of the Parties and the phased sampling approach presented in the addendum to the note by the Secretariat on issues for discussion by and information for the attention of the Thirty-Seventh Meeting of the Partie</w:t>
      </w:r>
      <w:r>
        <w:t xml:space="preserve">s </w:t>
      </w:r>
      <w:r w:rsidRPr="00CB33A0">
        <w:t>(UNEP/OzL.Pro.37/2/Add.1)</w:t>
      </w:r>
      <w:r>
        <w:t xml:space="preserve">. </w:t>
      </w:r>
      <w:r w:rsidRPr="000B29C7">
        <w:t>To support th</w:t>
      </w:r>
      <w:r w:rsidR="00FD0F6E">
        <w:t>o</w:t>
      </w:r>
      <w:r w:rsidRPr="000B29C7">
        <w:t xml:space="preserve">se activities, the Secretariat was authorized to use, on an exceptional basis, </w:t>
      </w:r>
      <w:r w:rsidR="00CE4E94">
        <w:t xml:space="preserve">a </w:t>
      </w:r>
      <w:r w:rsidRPr="000B29C7">
        <w:t xml:space="preserve">2026 budget line item </w:t>
      </w:r>
      <w:r w:rsidR="00CE4E94">
        <w:t xml:space="preserve">of </w:t>
      </w:r>
      <w:r w:rsidR="00CE4E94" w:rsidRPr="000B29C7">
        <w:t>$100,000</w:t>
      </w:r>
      <w:r w:rsidR="00CE4E94">
        <w:t>,</w:t>
      </w:r>
      <w:r w:rsidR="00CE4E94" w:rsidRPr="000B29C7">
        <w:t xml:space="preserve"> </w:t>
      </w:r>
      <w:r w:rsidRPr="000B29C7">
        <w:t xml:space="preserve">funded through the cash balance of the Trust Fund for the Montreal Protocol. The Secretariat’s progress report is summarized </w:t>
      </w:r>
      <w:r>
        <w:t>in the following paragraphs.</w:t>
      </w:r>
    </w:p>
    <w:p w14:paraId="3C96246F" w14:textId="39815AC9" w:rsidR="00E62558" w:rsidRPr="00E238EF" w:rsidRDefault="00E62558" w:rsidP="0027564E">
      <w:pPr>
        <w:pStyle w:val="Normalnumber"/>
        <w:tabs>
          <w:tab w:val="clear" w:pos="1247"/>
          <w:tab w:val="clear" w:pos="1814"/>
          <w:tab w:val="clear" w:pos="2381"/>
          <w:tab w:val="clear" w:pos="2948"/>
          <w:tab w:val="clear" w:pos="3515"/>
          <w:tab w:val="left" w:pos="624"/>
        </w:tabs>
        <w:ind w:left="1247"/>
      </w:pPr>
      <w:r w:rsidRPr="00136811">
        <w:t xml:space="preserve">Pursuant to decision XXXVII/1, and following the Thirty-Seventh Meeting of the Parties, the Secretariat continued </w:t>
      </w:r>
      <w:r w:rsidR="00CE4E94">
        <w:t xml:space="preserve">to </w:t>
      </w:r>
      <w:r w:rsidRPr="00136811">
        <w:t>review existing</w:t>
      </w:r>
      <w:r w:rsidRPr="00E238EF">
        <w:t xml:space="preserve"> monitoring sites and available infrastructure, with a focus on the five regions prioritized by the Advisory Committee. In coordination with the secretariat of the World Meteorological Organization (WMO), a member of the Ozone Secretariat visited </w:t>
      </w:r>
      <w:r>
        <w:t xml:space="preserve">the </w:t>
      </w:r>
      <w:r w:rsidRPr="00E238EF">
        <w:t xml:space="preserve">WMO headquarters in Geneva at the end of 2025 and worked closely with WMO experts to identify suitable existing </w:t>
      </w:r>
      <w:r w:rsidRPr="0027564E">
        <w:rPr>
          <w:rFonts w:eastAsia="MS Mincho"/>
          <w:snapToGrid w:val="0"/>
        </w:rPr>
        <w:t>stations</w:t>
      </w:r>
      <w:r w:rsidRPr="00E238EF">
        <w:t xml:space="preserve"> and related infrastructure within the Global Atmosphere Watc</w:t>
      </w:r>
      <w:r w:rsidRPr="00F54342">
        <w:t>h network</w:t>
      </w:r>
      <w:r w:rsidRPr="00E238EF">
        <w:t xml:space="preserve"> and other WMO-coordinated networks. The assessment also considered the availability of </w:t>
      </w:r>
      <w:r w:rsidR="00136811">
        <w:t xml:space="preserve">the </w:t>
      </w:r>
      <w:r w:rsidRPr="00E238EF">
        <w:t xml:space="preserve">local technical </w:t>
      </w:r>
      <w:r>
        <w:t xml:space="preserve">and scientific </w:t>
      </w:r>
      <w:r w:rsidRPr="00E238EF">
        <w:t xml:space="preserve">expertise necessary to support measurement activities. The results of </w:t>
      </w:r>
      <w:r w:rsidR="003A6B61">
        <w:t>that</w:t>
      </w:r>
      <w:r w:rsidR="003A6B61" w:rsidRPr="00E238EF">
        <w:t xml:space="preserve"> </w:t>
      </w:r>
      <w:r w:rsidRPr="00E238EF">
        <w:t xml:space="preserve">work were presented to the Advisory Committee during its twentieth online meeting, organized by the Secretariat on 9 March 2026. </w:t>
      </w:r>
    </w:p>
    <w:p w14:paraId="6700800D" w14:textId="3A90DD68" w:rsidR="00E62558" w:rsidRPr="00DD121A" w:rsidRDefault="00E62558" w:rsidP="0027564E">
      <w:pPr>
        <w:pStyle w:val="Normalnumber"/>
        <w:tabs>
          <w:tab w:val="clear" w:pos="1247"/>
          <w:tab w:val="clear" w:pos="1814"/>
          <w:tab w:val="clear" w:pos="2381"/>
          <w:tab w:val="clear" w:pos="2948"/>
          <w:tab w:val="clear" w:pos="3515"/>
          <w:tab w:val="left" w:pos="624"/>
        </w:tabs>
        <w:ind w:left="1247"/>
      </w:pPr>
      <w:r w:rsidRPr="00DD121A">
        <w:t xml:space="preserve">Taking note of the Secretariat’s findings and the contribution </w:t>
      </w:r>
      <w:r>
        <w:t xml:space="preserve">of </w:t>
      </w:r>
      <w:r w:rsidRPr="00DD121A">
        <w:t>WMO, the Advisory Committee emphasized</w:t>
      </w:r>
      <w:r>
        <w:t>, among other things,</w:t>
      </w:r>
      <w:r w:rsidRPr="00DD121A">
        <w:t xml:space="preserve"> the importance of ensuring sustained scientific expertise to maintain </w:t>
      </w:r>
      <w:r w:rsidRPr="0027564E">
        <w:rPr>
          <w:rFonts w:eastAsia="MS Mincho"/>
          <w:snapToGrid w:val="0"/>
        </w:rPr>
        <w:t>monitoring</w:t>
      </w:r>
      <w:r w:rsidRPr="00DD121A">
        <w:t xml:space="preserve"> instruments, particularly for long-term measurements conducted at monitoring stations. The Committee also agreed that the next phase of work should focus on exploring the interest of parties in the prioritized regions in hosting such monitoring activities. </w:t>
      </w:r>
    </w:p>
    <w:p w14:paraId="193D68BD" w14:textId="3594B412" w:rsidR="00E62558" w:rsidRPr="004609EC" w:rsidRDefault="00E62558" w:rsidP="0027564E">
      <w:pPr>
        <w:pStyle w:val="Normalnumber"/>
        <w:tabs>
          <w:tab w:val="clear" w:pos="1247"/>
          <w:tab w:val="clear" w:pos="1814"/>
          <w:tab w:val="clear" w:pos="2381"/>
          <w:tab w:val="clear" w:pos="2948"/>
          <w:tab w:val="clear" w:pos="3515"/>
          <w:tab w:val="left" w:pos="624"/>
        </w:tabs>
        <w:ind w:left="1247"/>
      </w:pPr>
      <w:r w:rsidRPr="004609EC">
        <w:t xml:space="preserve">In consultation with the Secretariat, </w:t>
      </w:r>
      <w:r>
        <w:t xml:space="preserve">a Co-Chair of </w:t>
      </w:r>
      <w:r w:rsidRPr="004609EC">
        <w:t xml:space="preserve">the Advisory Committee conducted informal consultations with country representatives and scientists </w:t>
      </w:r>
      <w:r>
        <w:t xml:space="preserve">in five countries in </w:t>
      </w:r>
      <w:r w:rsidRPr="004609EC">
        <w:t>the five priority regions. Th</w:t>
      </w:r>
      <w:r w:rsidR="00AF0CA7">
        <w:t>o</w:t>
      </w:r>
      <w:r w:rsidRPr="004609EC">
        <w:t xml:space="preserve">se discussions aimed to clarify technical </w:t>
      </w:r>
      <w:r>
        <w:t xml:space="preserve">and scientific </w:t>
      </w:r>
      <w:r w:rsidRPr="004609EC">
        <w:t>issues related to the possible establishment of monitoring stations</w:t>
      </w:r>
      <w:r w:rsidR="007A34EC">
        <w:t xml:space="preserve">, on </w:t>
      </w:r>
      <w:r w:rsidR="00093ABD">
        <w:t xml:space="preserve">the basis of </w:t>
      </w:r>
      <w:r w:rsidR="00C668EE">
        <w:t>the documents previously prepared,</w:t>
      </w:r>
      <w:r w:rsidRPr="004609EC">
        <w:t xml:space="preserve"> and to gain a better understanding of relevant national circumstances. As a result of the consultations, </w:t>
      </w:r>
      <w:r w:rsidRPr="00F8787D">
        <w:t>and by the time the</w:t>
      </w:r>
      <w:r w:rsidRPr="004609EC">
        <w:t xml:space="preserve"> present addendum was prepared, the Secretariat had received expressions of interest from two parties </w:t>
      </w:r>
      <w:r w:rsidR="00CC7BD9">
        <w:t xml:space="preserve">in </w:t>
      </w:r>
      <w:r>
        <w:t>continu</w:t>
      </w:r>
      <w:r w:rsidR="00CC7BD9">
        <w:t>ing</w:t>
      </w:r>
      <w:r>
        <w:t xml:space="preserve"> discussions on the possibility of establishing a </w:t>
      </w:r>
      <w:r w:rsidRPr="0027564E">
        <w:rPr>
          <w:rFonts w:eastAsia="MS Mincho"/>
          <w:snapToGrid w:val="0"/>
        </w:rPr>
        <w:t>monitoring</w:t>
      </w:r>
      <w:r>
        <w:t xml:space="preserve"> station in their countries</w:t>
      </w:r>
      <w:r w:rsidRPr="004609EC">
        <w:t xml:space="preserve">. </w:t>
      </w:r>
    </w:p>
    <w:p w14:paraId="63E7D15B" w14:textId="3D9ACCCE" w:rsidR="00E62558" w:rsidRPr="00757284" w:rsidRDefault="00E62558" w:rsidP="0027564E">
      <w:pPr>
        <w:pStyle w:val="Normalnumber"/>
        <w:tabs>
          <w:tab w:val="clear" w:pos="1247"/>
          <w:tab w:val="clear" w:pos="1814"/>
          <w:tab w:val="clear" w:pos="2381"/>
          <w:tab w:val="clear" w:pos="2948"/>
          <w:tab w:val="clear" w:pos="3515"/>
          <w:tab w:val="left" w:pos="624"/>
        </w:tabs>
        <w:ind w:left="1247"/>
      </w:pPr>
      <w:r w:rsidRPr="00757284">
        <w:t xml:space="preserve">In addition, following the Secretariat’s announcement at the Thirty-Seventh Meeting of the Parties regarding its intention to develop an interactive and user-friendly online tool for estimating the costs of establishing and operating a monitoring station, a first version of the tool </w:t>
      </w:r>
      <w:r w:rsidR="00E406EF">
        <w:t xml:space="preserve">will be </w:t>
      </w:r>
      <w:r w:rsidRPr="00757284">
        <w:t xml:space="preserve">made available </w:t>
      </w:r>
      <w:r w:rsidR="00C668EE">
        <w:t xml:space="preserve">at the </w:t>
      </w:r>
      <w:r w:rsidR="001F1854">
        <w:t xml:space="preserve">forty-eighth meeting of the </w:t>
      </w:r>
      <w:r w:rsidR="001F1854" w:rsidRPr="001F1854">
        <w:t xml:space="preserve">Open-ended Working Group </w:t>
      </w:r>
      <w:r w:rsidR="00126DED">
        <w:t xml:space="preserve">with a view to inviting parties </w:t>
      </w:r>
      <w:r w:rsidRPr="00757284">
        <w:t xml:space="preserve">to </w:t>
      </w:r>
      <w:r>
        <w:t>test</w:t>
      </w:r>
      <w:r w:rsidRPr="00757284">
        <w:t xml:space="preserve"> </w:t>
      </w:r>
      <w:r w:rsidR="007347C8">
        <w:t>it</w:t>
      </w:r>
      <w:r>
        <w:t xml:space="preserve"> </w:t>
      </w:r>
      <w:r w:rsidRPr="00757284">
        <w:t xml:space="preserve">and provide comments and suggestions to the Secretariat to support the preparation of a final version </w:t>
      </w:r>
      <w:r w:rsidR="00142BFF">
        <w:t>to be</w:t>
      </w:r>
      <w:r w:rsidR="00142BFF" w:rsidRPr="00757284">
        <w:t xml:space="preserve"> </w:t>
      </w:r>
      <w:r w:rsidRPr="00757284">
        <w:t>launch</w:t>
      </w:r>
      <w:r w:rsidR="00142BFF">
        <w:t>ed</w:t>
      </w:r>
      <w:r w:rsidRPr="00757284">
        <w:t xml:space="preserve"> at the Thirty-Eighth Meeting of the Parties. </w:t>
      </w:r>
    </w:p>
    <w:p w14:paraId="4F5780D3" w14:textId="77777777" w:rsidR="00E62558" w:rsidRPr="007D565E" w:rsidRDefault="00E62558" w:rsidP="0027564E">
      <w:pPr>
        <w:pStyle w:val="Normalnumber"/>
        <w:tabs>
          <w:tab w:val="clear" w:pos="1247"/>
          <w:tab w:val="clear" w:pos="1814"/>
          <w:tab w:val="clear" w:pos="2381"/>
          <w:tab w:val="clear" w:pos="2948"/>
          <w:tab w:val="clear" w:pos="3515"/>
          <w:tab w:val="left" w:pos="624"/>
        </w:tabs>
        <w:ind w:left="1247"/>
        <w:rPr>
          <w:color w:val="000000" w:themeColor="text1"/>
        </w:rPr>
      </w:pPr>
      <w:r w:rsidRPr="007D565E">
        <w:rPr>
          <w:color w:val="000000" w:themeColor="text1"/>
        </w:rPr>
        <w:t xml:space="preserve">The </w:t>
      </w:r>
      <w:r w:rsidRPr="0027564E">
        <w:rPr>
          <w:rFonts w:eastAsia="MS Mincho"/>
          <w:snapToGrid w:val="0"/>
        </w:rPr>
        <w:t>Open</w:t>
      </w:r>
      <w:r w:rsidRPr="007D565E">
        <w:rPr>
          <w:color w:val="000000" w:themeColor="text1"/>
        </w:rPr>
        <w:t>-ended Working Group may wish to consider the report and recommend a way forward.</w:t>
      </w:r>
    </w:p>
    <w:p w14:paraId="6AF606A7" w14:textId="77777777" w:rsidR="00E62558" w:rsidRPr="00830734" w:rsidRDefault="00E62558" w:rsidP="00E62558">
      <w:pPr>
        <w:pStyle w:val="CH1"/>
        <w:tabs>
          <w:tab w:val="clear" w:pos="1871"/>
        </w:tabs>
      </w:pPr>
      <w:r w:rsidRPr="00B25266">
        <w:rPr>
          <w:color w:val="808080" w:themeColor="background1" w:themeShade="80"/>
        </w:rPr>
        <w:lastRenderedPageBreak/>
        <w:tab/>
      </w:r>
      <w:r w:rsidRPr="00D127A6">
        <w:t>III.</w:t>
      </w:r>
      <w:r w:rsidRPr="00D127A6">
        <w:tab/>
      </w:r>
      <w:r w:rsidRPr="00830734">
        <w:t>Issues relevant to the Thirty-Eighth Meeting of the Parties, including updates on the implementation of previous decisions</w:t>
      </w:r>
    </w:p>
    <w:p w14:paraId="7B6A1300" w14:textId="77777777" w:rsidR="00E62558" w:rsidRPr="004D17B1" w:rsidRDefault="00E62558" w:rsidP="00E62558">
      <w:pPr>
        <w:pStyle w:val="CH2"/>
      </w:pPr>
      <w:r w:rsidRPr="004D17B1">
        <w:tab/>
        <w:t>A.</w:t>
      </w:r>
      <w:r w:rsidRPr="004D17B1">
        <w:tab/>
        <w:t>Recycled, used and unwanted controlled substances (decisions XXXVII/3, para. 3, XXXVII/4, para. 3, and XXXVI/7, para. 5)</w:t>
      </w:r>
    </w:p>
    <w:p w14:paraId="2F67DB37" w14:textId="76AFC1A4" w:rsidR="00E62558" w:rsidRPr="00226DBF" w:rsidRDefault="00E62558" w:rsidP="00152721">
      <w:pPr>
        <w:pStyle w:val="Normalnumber"/>
        <w:tabs>
          <w:tab w:val="clear" w:pos="1247"/>
          <w:tab w:val="clear" w:pos="1814"/>
          <w:tab w:val="clear" w:pos="2381"/>
          <w:tab w:val="clear" w:pos="2948"/>
          <w:tab w:val="clear" w:pos="3515"/>
          <w:tab w:val="left" w:pos="624"/>
        </w:tabs>
        <w:ind w:left="1247"/>
      </w:pPr>
      <w:r w:rsidRPr="00226DBF">
        <w:t xml:space="preserve">As is indicated in the note by the Secretariat (UNEP/OzL.Pro.WG.1/48/2, paras. 47–48), in paragraph 3 of decision XXXVII/3, the Thirty-Seventh Meeting of the Parties invited parties to submit to the Ozone Secretariat, on a voluntary basis, by 31 May 2026, information on existing reclamation and destruction facilities in their respective countries and, where available, their respective capacities, including information on the identification of existing destruction and reclamation facilities that could accept used </w:t>
      </w:r>
      <w:r w:rsidRPr="0027564E">
        <w:rPr>
          <w:rFonts w:eastAsia="MS Mincho"/>
          <w:snapToGrid w:val="0"/>
        </w:rPr>
        <w:t>refrigerants</w:t>
      </w:r>
      <w:r w:rsidRPr="00226DBF">
        <w:t xml:space="preserve"> from other countries and the conditions associated with exporting used refrigerants for disposal at such facilities, taking into account any legislative barriers to transboundary movements. In the same paragraph, the Secretariat was requested to make that information available to the parties. </w:t>
      </w:r>
    </w:p>
    <w:p w14:paraId="3E519C54" w14:textId="0C5B91E6" w:rsidR="00E62558" w:rsidRPr="00851078" w:rsidRDefault="00E62558" w:rsidP="00152721">
      <w:pPr>
        <w:pStyle w:val="Normalnumber"/>
        <w:tabs>
          <w:tab w:val="clear" w:pos="1247"/>
          <w:tab w:val="clear" w:pos="1814"/>
          <w:tab w:val="clear" w:pos="2381"/>
          <w:tab w:val="clear" w:pos="2948"/>
          <w:tab w:val="clear" w:pos="3515"/>
          <w:tab w:val="left" w:pos="624"/>
        </w:tabs>
        <w:ind w:left="1247"/>
      </w:pPr>
      <w:r w:rsidRPr="00851078">
        <w:t xml:space="preserve">At the time of preparation of the present report, </w:t>
      </w:r>
      <w:r w:rsidR="00FE457E">
        <w:t>six</w:t>
      </w:r>
      <w:r>
        <w:t xml:space="preserve"> parties –</w:t>
      </w:r>
      <w:r w:rsidR="005B35C7">
        <w:t xml:space="preserve"> </w:t>
      </w:r>
      <w:r>
        <w:t>Argentina</w:t>
      </w:r>
      <w:r w:rsidR="00DB5713">
        <w:t>, Australia</w:t>
      </w:r>
      <w:r w:rsidR="00406C5A">
        <w:t>, Canada</w:t>
      </w:r>
      <w:r w:rsidR="00ED564B">
        <w:t>,</w:t>
      </w:r>
      <w:r>
        <w:t xml:space="preserve"> </w:t>
      </w:r>
      <w:r w:rsidR="00ED564B">
        <w:t xml:space="preserve">the European Union, </w:t>
      </w:r>
      <w:r>
        <w:t xml:space="preserve">Peru </w:t>
      </w:r>
      <w:r w:rsidR="00ED564B">
        <w:t>and the United States of America</w:t>
      </w:r>
      <w:r w:rsidR="003D05AA">
        <w:t xml:space="preserve"> </w:t>
      </w:r>
      <w:r w:rsidRPr="007F4ECE">
        <w:t>–</w:t>
      </w:r>
      <w:r w:rsidR="00ED564B">
        <w:t xml:space="preserve"> </w:t>
      </w:r>
      <w:r w:rsidRPr="00851078">
        <w:t xml:space="preserve">had </w:t>
      </w:r>
      <w:r>
        <w:t xml:space="preserve">responded to </w:t>
      </w:r>
      <w:r w:rsidRPr="0027564E">
        <w:rPr>
          <w:rFonts w:eastAsia="MS Mincho"/>
          <w:snapToGrid w:val="0"/>
        </w:rPr>
        <w:t>paragraph</w:t>
      </w:r>
      <w:r>
        <w:t xml:space="preserve"> 3 of the decision. The feedback provided was </w:t>
      </w:r>
      <w:r w:rsidRPr="00851078">
        <w:t>forwarded to the Technology and Economic Assessment Panel</w:t>
      </w:r>
      <w:r>
        <w:t xml:space="preserve"> for its consideration</w:t>
      </w:r>
      <w:r w:rsidRPr="00851078">
        <w:t xml:space="preserve">. </w:t>
      </w:r>
      <w:r>
        <w:t xml:space="preserve">As </w:t>
      </w:r>
      <w:r w:rsidR="00D7299F">
        <w:t xml:space="preserve">is </w:t>
      </w:r>
      <w:r>
        <w:t xml:space="preserve">also requested in the decision, the information provided will be posted on the Secretariat’s website in due </w:t>
      </w:r>
      <w:r w:rsidRPr="00AA684D">
        <w:t>course.</w:t>
      </w:r>
    </w:p>
    <w:p w14:paraId="5BE72A11" w14:textId="77777777" w:rsidR="00E62558" w:rsidRPr="004D17B1" w:rsidRDefault="00E62558" w:rsidP="00E62558">
      <w:pPr>
        <w:pStyle w:val="CH2"/>
      </w:pPr>
      <w:r>
        <w:tab/>
        <w:t>B.</w:t>
      </w:r>
      <w:r>
        <w:tab/>
      </w:r>
      <w:r w:rsidRPr="004D17B1">
        <w:t>National and regional initiatives to support the implementation of the Kigali Amendment to the Montreal Protocol (decision XXXVII/5)</w:t>
      </w:r>
    </w:p>
    <w:p w14:paraId="4E45A910" w14:textId="54FCDB5C" w:rsidR="00E62558" w:rsidRPr="00503FAB" w:rsidRDefault="00E62558" w:rsidP="00152721">
      <w:pPr>
        <w:pStyle w:val="Normalnumber"/>
        <w:tabs>
          <w:tab w:val="clear" w:pos="1247"/>
          <w:tab w:val="clear" w:pos="1814"/>
          <w:tab w:val="clear" w:pos="2381"/>
          <w:tab w:val="clear" w:pos="2948"/>
          <w:tab w:val="clear" w:pos="3515"/>
          <w:tab w:val="left" w:pos="624"/>
        </w:tabs>
        <w:ind w:left="1247"/>
      </w:pPr>
      <w:r w:rsidRPr="00503FAB">
        <w:t>As is indicated in the note by the Secretariat (UNEP/OzL.Pro.WG.1/48/2, paras. 45</w:t>
      </w:r>
      <w:r w:rsidR="004A4FCA">
        <w:t xml:space="preserve"> and </w:t>
      </w:r>
      <w:r w:rsidRPr="00503FAB">
        <w:t xml:space="preserve">46), in paragraph 1 of decision XXXVII/5, the Thirty-Seventh Meeting of the Parties invited parties to submit to the Ozone Secretariat, by 1 June 2026, information, including on policies, activities and key lessons learned, in relation to centres of excellence for sustainable cooling and testing centres for energy efficiency related to the implementation of the Kigali Amendment. </w:t>
      </w:r>
    </w:p>
    <w:p w14:paraId="6173B150" w14:textId="2F268A49" w:rsidR="00E62558" w:rsidRPr="00503FAB" w:rsidRDefault="00E62558" w:rsidP="00152721">
      <w:pPr>
        <w:pStyle w:val="Normalnumber"/>
        <w:tabs>
          <w:tab w:val="clear" w:pos="1247"/>
          <w:tab w:val="clear" w:pos="1814"/>
          <w:tab w:val="clear" w:pos="2381"/>
          <w:tab w:val="clear" w:pos="2948"/>
          <w:tab w:val="clear" w:pos="3515"/>
          <w:tab w:val="left" w:pos="624"/>
        </w:tabs>
        <w:ind w:left="1247"/>
      </w:pPr>
      <w:r w:rsidRPr="00503FAB">
        <w:t xml:space="preserve">At the time of the preparation of the present addendum, </w:t>
      </w:r>
      <w:r w:rsidR="007E4996">
        <w:t>21</w:t>
      </w:r>
      <w:r w:rsidRPr="00503FAB">
        <w:t xml:space="preserve"> parties, namely </w:t>
      </w:r>
      <w:r w:rsidR="007E7479">
        <w:t xml:space="preserve">Armenia, </w:t>
      </w:r>
      <w:r w:rsidR="005E3DAD">
        <w:t xml:space="preserve">Burkina Faso, </w:t>
      </w:r>
      <w:r w:rsidR="001B1B5E">
        <w:t xml:space="preserve">China, </w:t>
      </w:r>
      <w:r w:rsidR="005E3DAD">
        <w:t xml:space="preserve">Colombia, Ecuador, Georgia, </w:t>
      </w:r>
      <w:r w:rsidRPr="00503FAB">
        <w:t xml:space="preserve">Haiti, </w:t>
      </w:r>
      <w:r w:rsidR="005E3DAD">
        <w:t xml:space="preserve">Jordan, Kenya, </w:t>
      </w:r>
      <w:r w:rsidRPr="00503FAB">
        <w:t xml:space="preserve">Liberia, </w:t>
      </w:r>
      <w:r w:rsidR="009D541F">
        <w:t xml:space="preserve">Mali, </w:t>
      </w:r>
      <w:r w:rsidRPr="00503FAB">
        <w:t>Nigeria, Oman,</w:t>
      </w:r>
      <w:r w:rsidR="009D541F">
        <w:t xml:space="preserve"> Peru, Qatar, </w:t>
      </w:r>
      <w:r w:rsidR="00CB09F8">
        <w:t>Slovak</w:t>
      </w:r>
      <w:r w:rsidR="00D22769">
        <w:t>ia</w:t>
      </w:r>
      <w:r w:rsidR="00CB09F8">
        <w:t xml:space="preserve">, </w:t>
      </w:r>
      <w:r w:rsidRPr="00503FAB">
        <w:t>Somalia, Tuvalu</w:t>
      </w:r>
      <w:r w:rsidR="00C61C47">
        <w:t>,</w:t>
      </w:r>
      <w:r w:rsidRPr="00503FAB">
        <w:t xml:space="preserve"> </w:t>
      </w:r>
      <w:r w:rsidR="00D22769">
        <w:t xml:space="preserve">the </w:t>
      </w:r>
      <w:r w:rsidR="00CB09F8">
        <w:t xml:space="preserve">United Kingdom </w:t>
      </w:r>
      <w:r w:rsidR="00131A7A" w:rsidRPr="00131A7A">
        <w:t>of Great Britain and Northern Ireland</w:t>
      </w:r>
      <w:r w:rsidR="00131A7A">
        <w:t>,</w:t>
      </w:r>
      <w:r w:rsidR="001B1B5E">
        <w:t xml:space="preserve"> Vanuatu and</w:t>
      </w:r>
      <w:r w:rsidR="00131A7A" w:rsidRPr="00131A7A">
        <w:t xml:space="preserve"> </w:t>
      </w:r>
      <w:r w:rsidRPr="00503FAB">
        <w:t>Zimbabwe</w:t>
      </w:r>
      <w:r w:rsidR="007C303E">
        <w:t>,</w:t>
      </w:r>
      <w:r w:rsidRPr="00503FAB">
        <w:t xml:space="preserve"> had provided such information. The Secretariat will collate and summarize the submitted information and make it available to the Thirty-Eighth Meeting of the Parties for its consideration.</w:t>
      </w:r>
    </w:p>
    <w:p w14:paraId="2E66367C" w14:textId="77777777" w:rsidR="00E62558" w:rsidRPr="004D17B1" w:rsidRDefault="00E62558" w:rsidP="00E62558">
      <w:pPr>
        <w:pStyle w:val="Normalpool"/>
      </w:pPr>
    </w:p>
    <w:p w14:paraId="22450685" w14:textId="77777777" w:rsidR="00E62558" w:rsidRPr="004D17B1" w:rsidRDefault="00E62558" w:rsidP="00E62558">
      <w:pPr>
        <w:pStyle w:val="Normalpool"/>
        <w:sectPr w:rsidR="00E62558" w:rsidRPr="004D17B1" w:rsidSect="00415BB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39"/>
          <w:pgMar w:top="907" w:right="992" w:bottom="1418" w:left="1418" w:header="539" w:footer="975" w:gutter="0"/>
          <w:cols w:space="708"/>
          <w:titlePg/>
          <w:docGrid w:linePitch="360"/>
        </w:sectPr>
      </w:pPr>
    </w:p>
    <w:p w14:paraId="4D17DD21" w14:textId="77777777" w:rsidR="00E62558" w:rsidRPr="00581216" w:rsidRDefault="00E62558" w:rsidP="00E62558">
      <w:pPr>
        <w:pStyle w:val="ZZAnxheader"/>
      </w:pPr>
      <w:r w:rsidRPr="00581216">
        <w:lastRenderedPageBreak/>
        <w:t>Annex I</w:t>
      </w:r>
      <w:r w:rsidRPr="00581216">
        <w:rPr>
          <w:b w:val="0"/>
          <w:bCs w:val="0"/>
        </w:rPr>
        <w:footnoteReference w:customMarkFollows="1" w:id="12"/>
        <w:t>*</w:t>
      </w:r>
    </w:p>
    <w:p w14:paraId="278B1966" w14:textId="77777777" w:rsidR="00E62558" w:rsidRPr="00D245AD" w:rsidRDefault="00E62558" w:rsidP="00E62558">
      <w:pPr>
        <w:pStyle w:val="ZZAnxtitle"/>
      </w:pPr>
      <w:r w:rsidRPr="00D245AD">
        <w:t xml:space="preserve">2026 Report of the Technology and Economic Assessment Panel (Volume 2) </w:t>
      </w:r>
    </w:p>
    <w:p w14:paraId="1E5A32CD" w14:textId="77777777" w:rsidR="00E62558" w:rsidRPr="00D245AD" w:rsidRDefault="00E62558" w:rsidP="00E62558">
      <w:pPr>
        <w:pStyle w:val="CH2"/>
      </w:pPr>
      <w:r w:rsidRPr="00D245AD">
        <w:tab/>
      </w:r>
      <w:r w:rsidRPr="00D245AD">
        <w:tab/>
      </w:r>
      <w:bookmarkStart w:id="16" w:name="_Toc40696034"/>
      <w:bookmarkStart w:id="17" w:name="_Toc41335671"/>
      <w:r w:rsidRPr="00D245AD">
        <w:t xml:space="preserve">Assessment of the funding requirement for the replenishment of the Multilateral Fund for the period 2027-2029 </w:t>
      </w:r>
      <w:bookmarkEnd w:id="16"/>
      <w:bookmarkEnd w:id="17"/>
    </w:p>
    <w:p w14:paraId="055BA6A9" w14:textId="77777777" w:rsidR="00E62558" w:rsidRPr="00D245AD" w:rsidRDefault="00E62558" w:rsidP="00E62558">
      <w:pPr>
        <w:pStyle w:val="CH1"/>
      </w:pPr>
      <w:r w:rsidRPr="00D245AD">
        <w:tab/>
      </w:r>
      <w:r w:rsidRPr="00D245AD">
        <w:tab/>
        <w:t>Executive summary</w:t>
      </w:r>
    </w:p>
    <w:p w14:paraId="2815601C" w14:textId="77777777" w:rsidR="00E62558" w:rsidRPr="00D245AD" w:rsidRDefault="00E62558" w:rsidP="00E62558">
      <w:pPr>
        <w:pStyle w:val="NormalNonumber"/>
        <w:rPr>
          <w:rFonts w:eastAsia="SimSun"/>
        </w:rPr>
      </w:pPr>
      <w:r w:rsidRPr="00D245AD">
        <w:rPr>
          <w:rFonts w:eastAsia="SimSun"/>
          <w:lang w:eastAsia="zh-CN"/>
        </w:rPr>
        <w:t xml:space="preserve">The Montreal Protocol Multilateral Fund (MLF) has been replenished eleven times since its initial capitalisation of US$ 240 million for the period 1991-1993. </w:t>
      </w:r>
      <w:r w:rsidRPr="00D245AD">
        <w:rPr>
          <w:rFonts w:eastAsia="SimSun"/>
        </w:rPr>
        <w:t>The replenishments of the MLF are indicated in Table ES.1, which include anticipated contributions from the MLF and other sources from the previous triennium, known as “carry-over”, and from interest accruing to the Fund during that triennium.</w:t>
      </w:r>
    </w:p>
    <w:p w14:paraId="5714ED49" w14:textId="77777777" w:rsidR="00E62558" w:rsidRPr="00D245AD" w:rsidRDefault="00E62558" w:rsidP="00E62558">
      <w:pPr>
        <w:pStyle w:val="Titletable"/>
        <w:rPr>
          <w:rFonts w:eastAsiaTheme="minorEastAsia"/>
          <w:b w:val="0"/>
          <w:bCs w:val="0"/>
        </w:rPr>
      </w:pPr>
      <w:r w:rsidRPr="00D245AD">
        <w:rPr>
          <w:rFonts w:eastAsiaTheme="minorEastAsia"/>
        </w:rPr>
        <w:t>Table ES.1</w:t>
      </w:r>
      <w:r w:rsidRPr="00D245AD">
        <w:rPr>
          <w:rFonts w:eastAsiaTheme="minorEastAsia"/>
        </w:rPr>
        <w:br/>
      </w:r>
      <w:r w:rsidRPr="00D245AD">
        <w:rPr>
          <w:rFonts w:eastAsia="SimSun"/>
          <w:b w:val="0"/>
          <w:bCs w:val="0"/>
        </w:rPr>
        <w:t>Replenishments of the MLF (US$) *</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1"/>
        <w:gridCol w:w="1661"/>
        <w:gridCol w:w="1661"/>
        <w:gridCol w:w="1662"/>
        <w:gridCol w:w="1662"/>
      </w:tblGrid>
      <w:tr w:rsidR="00E62558" w:rsidRPr="00D245AD" w14:paraId="5A90472A" w14:textId="77777777" w:rsidTr="0071460D">
        <w:trPr>
          <w:jc w:val="right"/>
        </w:trPr>
        <w:tc>
          <w:tcPr>
            <w:tcW w:w="1661" w:type="dxa"/>
            <w:tcBorders>
              <w:top w:val="single" w:sz="4" w:space="0" w:color="auto"/>
              <w:bottom w:val="single" w:sz="12" w:space="0" w:color="auto"/>
            </w:tcBorders>
            <w:vAlign w:val="center"/>
          </w:tcPr>
          <w:p w14:paraId="58DFDE90" w14:textId="77777777" w:rsidR="00E62558" w:rsidRPr="00D245AD" w:rsidRDefault="00E62558" w:rsidP="001940D7">
            <w:pPr>
              <w:pStyle w:val="Normal-pool-Table"/>
              <w:rPr>
                <w:rFonts w:eastAsiaTheme="minorEastAsia"/>
                <w:i/>
                <w:iCs/>
              </w:rPr>
            </w:pPr>
            <w:r w:rsidRPr="00D245AD">
              <w:rPr>
                <w:i/>
                <w:iCs/>
              </w:rPr>
              <w:t>Triennium</w:t>
            </w:r>
          </w:p>
        </w:tc>
        <w:tc>
          <w:tcPr>
            <w:tcW w:w="1661" w:type="dxa"/>
            <w:tcBorders>
              <w:top w:val="single" w:sz="4" w:space="0" w:color="auto"/>
              <w:bottom w:val="single" w:sz="12" w:space="0" w:color="auto"/>
            </w:tcBorders>
            <w:vAlign w:val="center"/>
          </w:tcPr>
          <w:p w14:paraId="1F6A1A5F" w14:textId="77777777" w:rsidR="00E62558" w:rsidRPr="00D245AD" w:rsidRDefault="00E62558" w:rsidP="001940D7">
            <w:pPr>
              <w:pStyle w:val="Normal-pool-Table"/>
              <w:jc w:val="right"/>
              <w:rPr>
                <w:rFonts w:eastAsiaTheme="minorEastAsia"/>
                <w:i/>
                <w:iCs/>
              </w:rPr>
            </w:pPr>
            <w:r w:rsidRPr="00D245AD">
              <w:rPr>
                <w:i/>
                <w:iCs/>
              </w:rPr>
              <w:t xml:space="preserve">Approved </w:t>
            </w:r>
          </w:p>
        </w:tc>
        <w:tc>
          <w:tcPr>
            <w:tcW w:w="1661" w:type="dxa"/>
            <w:tcBorders>
              <w:top w:val="single" w:sz="4" w:space="0" w:color="auto"/>
              <w:bottom w:val="single" w:sz="12" w:space="0" w:color="auto"/>
            </w:tcBorders>
            <w:vAlign w:val="center"/>
          </w:tcPr>
          <w:p w14:paraId="4482831B" w14:textId="77777777" w:rsidR="00E62558" w:rsidRPr="00D245AD" w:rsidRDefault="00E62558" w:rsidP="001940D7">
            <w:pPr>
              <w:pStyle w:val="Normal-pool-Table"/>
              <w:jc w:val="right"/>
              <w:rPr>
                <w:rFonts w:eastAsiaTheme="minorEastAsia"/>
                <w:i/>
                <w:iCs/>
              </w:rPr>
            </w:pPr>
            <w:r w:rsidRPr="00D245AD">
              <w:rPr>
                <w:i/>
                <w:iCs/>
              </w:rPr>
              <w:t>Carry-over</w:t>
            </w:r>
          </w:p>
        </w:tc>
        <w:tc>
          <w:tcPr>
            <w:tcW w:w="1662" w:type="dxa"/>
            <w:tcBorders>
              <w:top w:val="single" w:sz="4" w:space="0" w:color="auto"/>
              <w:bottom w:val="single" w:sz="12" w:space="0" w:color="auto"/>
            </w:tcBorders>
            <w:vAlign w:val="center"/>
          </w:tcPr>
          <w:p w14:paraId="5DEC7F6B" w14:textId="77777777" w:rsidR="00E62558" w:rsidRPr="00D245AD" w:rsidRDefault="00E62558" w:rsidP="001940D7">
            <w:pPr>
              <w:pStyle w:val="Normal-pool-Table"/>
              <w:jc w:val="right"/>
              <w:rPr>
                <w:rFonts w:eastAsiaTheme="minorEastAsia"/>
                <w:i/>
                <w:iCs/>
              </w:rPr>
            </w:pPr>
            <w:r w:rsidRPr="00D245AD">
              <w:rPr>
                <w:i/>
                <w:iCs/>
              </w:rPr>
              <w:t>Interest accrued</w:t>
            </w:r>
          </w:p>
        </w:tc>
        <w:tc>
          <w:tcPr>
            <w:tcW w:w="1662" w:type="dxa"/>
            <w:tcBorders>
              <w:top w:val="single" w:sz="4" w:space="0" w:color="auto"/>
              <w:bottom w:val="single" w:sz="12" w:space="0" w:color="auto"/>
            </w:tcBorders>
            <w:vAlign w:val="center"/>
          </w:tcPr>
          <w:p w14:paraId="54E11931" w14:textId="77777777" w:rsidR="00E62558" w:rsidRPr="00D245AD" w:rsidRDefault="00E62558" w:rsidP="001940D7">
            <w:pPr>
              <w:pStyle w:val="Normal-pool-Table"/>
              <w:jc w:val="right"/>
              <w:rPr>
                <w:rFonts w:eastAsiaTheme="minorEastAsia"/>
                <w:i/>
                <w:iCs/>
              </w:rPr>
            </w:pPr>
            <w:r w:rsidRPr="00D245AD">
              <w:rPr>
                <w:i/>
                <w:iCs/>
              </w:rPr>
              <w:t>Total MLF Budget</w:t>
            </w:r>
          </w:p>
        </w:tc>
      </w:tr>
      <w:tr w:rsidR="00E62558" w:rsidRPr="00D245AD" w14:paraId="7E146F57" w14:textId="77777777" w:rsidTr="0071460D">
        <w:trPr>
          <w:jc w:val="right"/>
        </w:trPr>
        <w:tc>
          <w:tcPr>
            <w:tcW w:w="1661" w:type="dxa"/>
            <w:tcBorders>
              <w:top w:val="single" w:sz="12" w:space="0" w:color="auto"/>
            </w:tcBorders>
            <w:vAlign w:val="center"/>
          </w:tcPr>
          <w:p w14:paraId="6C06F258" w14:textId="77777777" w:rsidR="00E62558" w:rsidRPr="00D245AD" w:rsidRDefault="00E62558" w:rsidP="001940D7">
            <w:pPr>
              <w:pStyle w:val="Normal-pool-Table"/>
              <w:rPr>
                <w:rFonts w:eastAsiaTheme="minorEastAsia"/>
              </w:rPr>
            </w:pPr>
            <w:r w:rsidRPr="00D245AD">
              <w:rPr>
                <w:bCs/>
              </w:rPr>
              <w:t>1994-1996</w:t>
            </w:r>
          </w:p>
        </w:tc>
        <w:tc>
          <w:tcPr>
            <w:tcW w:w="1661" w:type="dxa"/>
            <w:tcBorders>
              <w:top w:val="single" w:sz="12" w:space="0" w:color="auto"/>
            </w:tcBorders>
            <w:vAlign w:val="center"/>
          </w:tcPr>
          <w:p w14:paraId="618BFCDF" w14:textId="77777777" w:rsidR="00E62558" w:rsidRPr="00D245AD" w:rsidRDefault="00E62558" w:rsidP="001940D7">
            <w:pPr>
              <w:pStyle w:val="Normal-pool-Table"/>
              <w:jc w:val="right"/>
              <w:rPr>
                <w:rFonts w:eastAsiaTheme="minorEastAsia"/>
              </w:rPr>
            </w:pPr>
            <w:r w:rsidRPr="00D245AD">
              <w:t>$ 455 000 000</w:t>
            </w:r>
          </w:p>
        </w:tc>
        <w:tc>
          <w:tcPr>
            <w:tcW w:w="1661" w:type="dxa"/>
            <w:tcBorders>
              <w:top w:val="single" w:sz="12" w:space="0" w:color="auto"/>
            </w:tcBorders>
            <w:vAlign w:val="center"/>
          </w:tcPr>
          <w:p w14:paraId="5270EE39" w14:textId="77777777" w:rsidR="00E62558" w:rsidRPr="00D245AD" w:rsidRDefault="00E62558" w:rsidP="001940D7">
            <w:pPr>
              <w:pStyle w:val="Normal-pool-Table"/>
              <w:jc w:val="right"/>
              <w:rPr>
                <w:rFonts w:eastAsiaTheme="minorEastAsia"/>
              </w:rPr>
            </w:pPr>
            <w:r w:rsidRPr="00D245AD">
              <w:t>$ 55 000 000</w:t>
            </w:r>
          </w:p>
        </w:tc>
        <w:tc>
          <w:tcPr>
            <w:tcW w:w="1662" w:type="dxa"/>
            <w:tcBorders>
              <w:top w:val="single" w:sz="12" w:space="0" w:color="auto"/>
            </w:tcBorders>
            <w:vAlign w:val="center"/>
          </w:tcPr>
          <w:p w14:paraId="516FDA2C" w14:textId="77777777" w:rsidR="00E62558" w:rsidRPr="00D245AD" w:rsidRDefault="00E62558" w:rsidP="001940D7">
            <w:pPr>
              <w:pStyle w:val="Normal-pool-Table"/>
              <w:jc w:val="right"/>
              <w:rPr>
                <w:rFonts w:eastAsiaTheme="minorEastAsia"/>
              </w:rPr>
            </w:pPr>
            <w:r w:rsidRPr="00D245AD">
              <w:t>N/A</w:t>
            </w:r>
          </w:p>
        </w:tc>
        <w:tc>
          <w:tcPr>
            <w:tcW w:w="1662" w:type="dxa"/>
            <w:tcBorders>
              <w:top w:val="single" w:sz="12" w:space="0" w:color="auto"/>
            </w:tcBorders>
            <w:vAlign w:val="center"/>
          </w:tcPr>
          <w:p w14:paraId="4B119F2D" w14:textId="77777777" w:rsidR="00E62558" w:rsidRPr="00D245AD" w:rsidRDefault="00E62558" w:rsidP="001940D7">
            <w:pPr>
              <w:pStyle w:val="Normal-pool-Table"/>
              <w:jc w:val="right"/>
              <w:rPr>
                <w:rFonts w:eastAsiaTheme="minorEastAsia"/>
              </w:rPr>
            </w:pPr>
            <w:r w:rsidRPr="00D245AD">
              <w:t>$ 510 000 000</w:t>
            </w:r>
          </w:p>
        </w:tc>
      </w:tr>
      <w:tr w:rsidR="00E62558" w:rsidRPr="00D245AD" w14:paraId="0492010F" w14:textId="77777777" w:rsidTr="0071460D">
        <w:trPr>
          <w:jc w:val="right"/>
        </w:trPr>
        <w:tc>
          <w:tcPr>
            <w:tcW w:w="1661" w:type="dxa"/>
            <w:vAlign w:val="center"/>
          </w:tcPr>
          <w:p w14:paraId="71004F51" w14:textId="77777777" w:rsidR="00E62558" w:rsidRPr="00D245AD" w:rsidRDefault="00E62558" w:rsidP="001940D7">
            <w:pPr>
              <w:pStyle w:val="Normal-pool-Table"/>
              <w:rPr>
                <w:rFonts w:eastAsiaTheme="minorEastAsia"/>
              </w:rPr>
            </w:pPr>
            <w:r w:rsidRPr="00D245AD">
              <w:rPr>
                <w:bCs/>
              </w:rPr>
              <w:t>1997-1999</w:t>
            </w:r>
          </w:p>
        </w:tc>
        <w:tc>
          <w:tcPr>
            <w:tcW w:w="1661" w:type="dxa"/>
            <w:vAlign w:val="center"/>
          </w:tcPr>
          <w:p w14:paraId="33EFDA3A" w14:textId="77777777" w:rsidR="00E62558" w:rsidRPr="00D245AD" w:rsidRDefault="00E62558" w:rsidP="001940D7">
            <w:pPr>
              <w:pStyle w:val="Normal-pool-Table"/>
              <w:jc w:val="right"/>
              <w:rPr>
                <w:rFonts w:eastAsiaTheme="minorEastAsia"/>
              </w:rPr>
            </w:pPr>
            <w:r w:rsidRPr="00D245AD">
              <w:t>$ 466 000 000</w:t>
            </w:r>
          </w:p>
        </w:tc>
        <w:tc>
          <w:tcPr>
            <w:tcW w:w="1661" w:type="dxa"/>
            <w:vAlign w:val="center"/>
          </w:tcPr>
          <w:p w14:paraId="1393AA08" w14:textId="77777777" w:rsidR="00E62558" w:rsidRPr="00D245AD" w:rsidRDefault="00E62558" w:rsidP="001940D7">
            <w:pPr>
              <w:pStyle w:val="Normal-pool-Table"/>
              <w:jc w:val="right"/>
              <w:rPr>
                <w:rFonts w:eastAsiaTheme="minorEastAsia"/>
              </w:rPr>
            </w:pPr>
            <w:r w:rsidRPr="00D245AD">
              <w:t>$ 74 000 000</w:t>
            </w:r>
          </w:p>
        </w:tc>
        <w:tc>
          <w:tcPr>
            <w:tcW w:w="1662" w:type="dxa"/>
            <w:vAlign w:val="center"/>
          </w:tcPr>
          <w:p w14:paraId="22EEA8E9" w14:textId="77777777" w:rsidR="00E62558" w:rsidRPr="00D245AD" w:rsidRDefault="00E62558" w:rsidP="001940D7">
            <w:pPr>
              <w:pStyle w:val="Normal-pool-Table"/>
              <w:jc w:val="right"/>
              <w:rPr>
                <w:rFonts w:eastAsiaTheme="minorEastAsia"/>
              </w:rPr>
            </w:pPr>
            <w:r w:rsidRPr="00D245AD">
              <w:t>N/A</w:t>
            </w:r>
          </w:p>
        </w:tc>
        <w:tc>
          <w:tcPr>
            <w:tcW w:w="1662" w:type="dxa"/>
            <w:vAlign w:val="center"/>
          </w:tcPr>
          <w:p w14:paraId="38D2A85E" w14:textId="77777777" w:rsidR="00E62558" w:rsidRPr="00D245AD" w:rsidRDefault="00E62558" w:rsidP="001940D7">
            <w:pPr>
              <w:pStyle w:val="Normal-pool-Table"/>
              <w:jc w:val="right"/>
              <w:rPr>
                <w:rFonts w:eastAsiaTheme="minorEastAsia"/>
              </w:rPr>
            </w:pPr>
            <w:r w:rsidRPr="00D245AD">
              <w:t>$ 540 000 000</w:t>
            </w:r>
          </w:p>
        </w:tc>
      </w:tr>
      <w:tr w:rsidR="00E62558" w:rsidRPr="00D245AD" w14:paraId="5D6A431F" w14:textId="77777777" w:rsidTr="0071460D">
        <w:trPr>
          <w:jc w:val="right"/>
        </w:trPr>
        <w:tc>
          <w:tcPr>
            <w:tcW w:w="1661" w:type="dxa"/>
            <w:vAlign w:val="center"/>
          </w:tcPr>
          <w:p w14:paraId="703F46EE" w14:textId="77777777" w:rsidR="00E62558" w:rsidRPr="00D245AD" w:rsidRDefault="00E62558" w:rsidP="001940D7">
            <w:pPr>
              <w:pStyle w:val="Normal-pool-Table"/>
              <w:rPr>
                <w:rFonts w:eastAsiaTheme="minorEastAsia"/>
              </w:rPr>
            </w:pPr>
            <w:r w:rsidRPr="00D245AD">
              <w:rPr>
                <w:bCs/>
              </w:rPr>
              <w:t>2000-2002</w:t>
            </w:r>
          </w:p>
        </w:tc>
        <w:tc>
          <w:tcPr>
            <w:tcW w:w="1661" w:type="dxa"/>
            <w:vAlign w:val="center"/>
          </w:tcPr>
          <w:p w14:paraId="4691184A" w14:textId="77777777" w:rsidR="00E62558" w:rsidRPr="00D245AD" w:rsidRDefault="00E62558" w:rsidP="001940D7">
            <w:pPr>
              <w:pStyle w:val="Normal-pool-Table"/>
              <w:jc w:val="right"/>
              <w:rPr>
                <w:rFonts w:eastAsiaTheme="minorEastAsia"/>
              </w:rPr>
            </w:pPr>
            <w:r w:rsidRPr="00D245AD">
              <w:t>$ 440 000 000</w:t>
            </w:r>
          </w:p>
        </w:tc>
        <w:tc>
          <w:tcPr>
            <w:tcW w:w="1661" w:type="dxa"/>
            <w:vAlign w:val="center"/>
          </w:tcPr>
          <w:p w14:paraId="475DA43A" w14:textId="77777777" w:rsidR="00E62558" w:rsidRPr="00D245AD" w:rsidRDefault="00E62558" w:rsidP="001940D7">
            <w:pPr>
              <w:pStyle w:val="Normal-pool-Table"/>
              <w:jc w:val="right"/>
              <w:rPr>
                <w:rFonts w:eastAsiaTheme="minorEastAsia"/>
              </w:rPr>
            </w:pPr>
            <w:r w:rsidRPr="00D245AD">
              <w:t>$ 35 700 000</w:t>
            </w:r>
          </w:p>
        </w:tc>
        <w:tc>
          <w:tcPr>
            <w:tcW w:w="1662" w:type="dxa"/>
            <w:vAlign w:val="center"/>
          </w:tcPr>
          <w:p w14:paraId="6E721AA3" w14:textId="77777777" w:rsidR="00E62558" w:rsidRPr="00D245AD" w:rsidRDefault="00E62558" w:rsidP="001940D7">
            <w:pPr>
              <w:pStyle w:val="Normal-pool-Table"/>
              <w:jc w:val="right"/>
              <w:rPr>
                <w:rFonts w:eastAsiaTheme="minorEastAsia"/>
              </w:rPr>
            </w:pPr>
            <w:r w:rsidRPr="00D245AD">
              <w:t>N/A</w:t>
            </w:r>
          </w:p>
        </w:tc>
        <w:tc>
          <w:tcPr>
            <w:tcW w:w="1662" w:type="dxa"/>
            <w:vAlign w:val="center"/>
          </w:tcPr>
          <w:p w14:paraId="2A74C9B1" w14:textId="77777777" w:rsidR="00E62558" w:rsidRPr="00D245AD" w:rsidRDefault="00E62558" w:rsidP="001940D7">
            <w:pPr>
              <w:pStyle w:val="Normal-pool-Table"/>
              <w:jc w:val="right"/>
              <w:rPr>
                <w:rFonts w:eastAsiaTheme="minorEastAsia"/>
              </w:rPr>
            </w:pPr>
            <w:r w:rsidRPr="00D245AD">
              <w:t>$ 475 700 000</w:t>
            </w:r>
          </w:p>
        </w:tc>
      </w:tr>
      <w:tr w:rsidR="00E62558" w:rsidRPr="00D245AD" w14:paraId="324E4282" w14:textId="77777777" w:rsidTr="0071460D">
        <w:trPr>
          <w:jc w:val="right"/>
        </w:trPr>
        <w:tc>
          <w:tcPr>
            <w:tcW w:w="1661" w:type="dxa"/>
            <w:vAlign w:val="center"/>
          </w:tcPr>
          <w:p w14:paraId="509DE277" w14:textId="77777777" w:rsidR="00E62558" w:rsidRPr="00D245AD" w:rsidRDefault="00E62558" w:rsidP="001940D7">
            <w:pPr>
              <w:pStyle w:val="Normal-pool-Table"/>
              <w:rPr>
                <w:rFonts w:eastAsiaTheme="minorEastAsia"/>
              </w:rPr>
            </w:pPr>
            <w:r w:rsidRPr="00D245AD">
              <w:rPr>
                <w:bCs/>
              </w:rPr>
              <w:t>2003-2005</w:t>
            </w:r>
          </w:p>
        </w:tc>
        <w:tc>
          <w:tcPr>
            <w:tcW w:w="1661" w:type="dxa"/>
            <w:vAlign w:val="center"/>
          </w:tcPr>
          <w:p w14:paraId="5405BFC7" w14:textId="77777777" w:rsidR="00E62558" w:rsidRPr="00D245AD" w:rsidRDefault="00E62558" w:rsidP="001940D7">
            <w:pPr>
              <w:pStyle w:val="Normal-pool-Table"/>
              <w:jc w:val="right"/>
              <w:rPr>
                <w:rFonts w:eastAsiaTheme="minorEastAsia"/>
              </w:rPr>
            </w:pPr>
            <w:r w:rsidRPr="00D245AD">
              <w:t>$ 474 000 000</w:t>
            </w:r>
          </w:p>
        </w:tc>
        <w:tc>
          <w:tcPr>
            <w:tcW w:w="1661" w:type="dxa"/>
            <w:vAlign w:val="center"/>
          </w:tcPr>
          <w:p w14:paraId="7B9B193E" w14:textId="77777777" w:rsidR="00E62558" w:rsidRPr="00D245AD" w:rsidRDefault="00E62558" w:rsidP="001940D7">
            <w:pPr>
              <w:pStyle w:val="Normal-pool-Table"/>
              <w:jc w:val="right"/>
              <w:rPr>
                <w:rFonts w:eastAsiaTheme="minorEastAsia"/>
              </w:rPr>
            </w:pPr>
            <w:r w:rsidRPr="00D245AD">
              <w:t>$ 76 000 000</w:t>
            </w:r>
          </w:p>
        </w:tc>
        <w:tc>
          <w:tcPr>
            <w:tcW w:w="1662" w:type="dxa"/>
            <w:vAlign w:val="center"/>
          </w:tcPr>
          <w:p w14:paraId="08246B91" w14:textId="77777777" w:rsidR="00E62558" w:rsidRPr="00D245AD" w:rsidRDefault="00E62558" w:rsidP="001940D7">
            <w:pPr>
              <w:pStyle w:val="Normal-pool-Table"/>
              <w:jc w:val="right"/>
              <w:rPr>
                <w:rFonts w:eastAsiaTheme="minorEastAsia"/>
              </w:rPr>
            </w:pPr>
            <w:r w:rsidRPr="00D245AD">
              <w:t>$ 23 000 000</w:t>
            </w:r>
          </w:p>
        </w:tc>
        <w:tc>
          <w:tcPr>
            <w:tcW w:w="1662" w:type="dxa"/>
            <w:vAlign w:val="center"/>
          </w:tcPr>
          <w:p w14:paraId="783F5FE1" w14:textId="77777777" w:rsidR="00E62558" w:rsidRPr="00D245AD" w:rsidRDefault="00E62558" w:rsidP="001940D7">
            <w:pPr>
              <w:pStyle w:val="Normal-pool-Table"/>
              <w:jc w:val="right"/>
              <w:rPr>
                <w:rFonts w:eastAsiaTheme="minorEastAsia"/>
              </w:rPr>
            </w:pPr>
            <w:r w:rsidRPr="00D245AD">
              <w:t>$ 573 000 000</w:t>
            </w:r>
          </w:p>
        </w:tc>
      </w:tr>
      <w:tr w:rsidR="00E62558" w:rsidRPr="00D245AD" w14:paraId="665809C9" w14:textId="77777777" w:rsidTr="0071460D">
        <w:trPr>
          <w:jc w:val="right"/>
        </w:trPr>
        <w:tc>
          <w:tcPr>
            <w:tcW w:w="1661" w:type="dxa"/>
            <w:vAlign w:val="center"/>
          </w:tcPr>
          <w:p w14:paraId="7F5A5428" w14:textId="77777777" w:rsidR="00E62558" w:rsidRPr="00D245AD" w:rsidRDefault="00E62558" w:rsidP="001940D7">
            <w:pPr>
              <w:pStyle w:val="Normal-pool-Table"/>
              <w:rPr>
                <w:rFonts w:eastAsiaTheme="minorEastAsia"/>
              </w:rPr>
            </w:pPr>
            <w:r w:rsidRPr="00D245AD">
              <w:rPr>
                <w:bCs/>
              </w:rPr>
              <w:t>2006-2008</w:t>
            </w:r>
          </w:p>
        </w:tc>
        <w:tc>
          <w:tcPr>
            <w:tcW w:w="1661" w:type="dxa"/>
            <w:vAlign w:val="center"/>
          </w:tcPr>
          <w:p w14:paraId="475B880E" w14:textId="77777777" w:rsidR="00E62558" w:rsidRPr="00D245AD" w:rsidRDefault="00E62558" w:rsidP="001940D7">
            <w:pPr>
              <w:pStyle w:val="Normal-pool-Table"/>
              <w:jc w:val="right"/>
              <w:rPr>
                <w:rFonts w:eastAsiaTheme="minorEastAsia"/>
              </w:rPr>
            </w:pPr>
            <w:r w:rsidRPr="00D245AD">
              <w:t>$ 400 400 000</w:t>
            </w:r>
          </w:p>
        </w:tc>
        <w:tc>
          <w:tcPr>
            <w:tcW w:w="1661" w:type="dxa"/>
            <w:vAlign w:val="center"/>
          </w:tcPr>
          <w:p w14:paraId="1D7F4EF0" w14:textId="77777777" w:rsidR="00E62558" w:rsidRPr="00D245AD" w:rsidRDefault="00E62558" w:rsidP="001940D7">
            <w:pPr>
              <w:pStyle w:val="Normal-pool-Table"/>
              <w:jc w:val="right"/>
              <w:rPr>
                <w:rFonts w:eastAsiaTheme="minorEastAsia"/>
              </w:rPr>
            </w:pPr>
            <w:r w:rsidRPr="00D245AD">
              <w:t>$ 59 600 000</w:t>
            </w:r>
          </w:p>
        </w:tc>
        <w:tc>
          <w:tcPr>
            <w:tcW w:w="1662" w:type="dxa"/>
            <w:vAlign w:val="center"/>
          </w:tcPr>
          <w:p w14:paraId="38041C76" w14:textId="77777777" w:rsidR="00E62558" w:rsidRPr="00D245AD" w:rsidRDefault="00E62558" w:rsidP="001940D7">
            <w:pPr>
              <w:pStyle w:val="Normal-pool-Table"/>
              <w:jc w:val="right"/>
              <w:rPr>
                <w:rFonts w:eastAsiaTheme="minorEastAsia"/>
              </w:rPr>
            </w:pPr>
            <w:r w:rsidRPr="00D245AD">
              <w:t>$ 10 000 000</w:t>
            </w:r>
          </w:p>
        </w:tc>
        <w:tc>
          <w:tcPr>
            <w:tcW w:w="1662" w:type="dxa"/>
            <w:vAlign w:val="center"/>
          </w:tcPr>
          <w:p w14:paraId="10C4BB74" w14:textId="77777777" w:rsidR="00E62558" w:rsidRPr="00D245AD" w:rsidRDefault="00E62558" w:rsidP="001940D7">
            <w:pPr>
              <w:pStyle w:val="Normal-pool-Table"/>
              <w:jc w:val="right"/>
              <w:rPr>
                <w:rFonts w:eastAsiaTheme="minorEastAsia"/>
              </w:rPr>
            </w:pPr>
            <w:r w:rsidRPr="00D245AD">
              <w:t>$ 470 000 000</w:t>
            </w:r>
          </w:p>
        </w:tc>
      </w:tr>
      <w:tr w:rsidR="00E62558" w:rsidRPr="00D245AD" w14:paraId="1720103A" w14:textId="77777777" w:rsidTr="0071460D">
        <w:trPr>
          <w:jc w:val="right"/>
        </w:trPr>
        <w:tc>
          <w:tcPr>
            <w:tcW w:w="1661" w:type="dxa"/>
            <w:vAlign w:val="center"/>
          </w:tcPr>
          <w:p w14:paraId="5A7C4A25" w14:textId="77777777" w:rsidR="00E62558" w:rsidRPr="00D245AD" w:rsidRDefault="00E62558" w:rsidP="001940D7">
            <w:pPr>
              <w:pStyle w:val="Normal-pool-Table"/>
              <w:rPr>
                <w:rFonts w:eastAsiaTheme="minorEastAsia"/>
              </w:rPr>
            </w:pPr>
            <w:r w:rsidRPr="00D245AD">
              <w:rPr>
                <w:bCs/>
              </w:rPr>
              <w:t>2009-2011</w:t>
            </w:r>
          </w:p>
        </w:tc>
        <w:tc>
          <w:tcPr>
            <w:tcW w:w="1661" w:type="dxa"/>
            <w:vAlign w:val="center"/>
          </w:tcPr>
          <w:p w14:paraId="6D355D62" w14:textId="77777777" w:rsidR="00E62558" w:rsidRPr="00D245AD" w:rsidRDefault="00E62558" w:rsidP="001940D7">
            <w:pPr>
              <w:pStyle w:val="Normal-pool-Table"/>
              <w:jc w:val="right"/>
              <w:rPr>
                <w:rFonts w:eastAsiaTheme="minorEastAsia"/>
              </w:rPr>
            </w:pPr>
            <w:r w:rsidRPr="00D245AD">
              <w:t>$ 400 000 000</w:t>
            </w:r>
          </w:p>
        </w:tc>
        <w:tc>
          <w:tcPr>
            <w:tcW w:w="1661" w:type="dxa"/>
            <w:vAlign w:val="center"/>
          </w:tcPr>
          <w:p w14:paraId="334C60AE" w14:textId="77777777" w:rsidR="00E62558" w:rsidRPr="00D245AD" w:rsidRDefault="00E62558" w:rsidP="001940D7">
            <w:pPr>
              <w:pStyle w:val="Normal-pool-Table"/>
              <w:jc w:val="right"/>
              <w:rPr>
                <w:rFonts w:eastAsiaTheme="minorEastAsia"/>
              </w:rPr>
            </w:pPr>
            <w:r w:rsidRPr="00D245AD">
              <w:t>$ 73 900 000</w:t>
            </w:r>
          </w:p>
        </w:tc>
        <w:tc>
          <w:tcPr>
            <w:tcW w:w="1662" w:type="dxa"/>
            <w:vAlign w:val="center"/>
          </w:tcPr>
          <w:p w14:paraId="1425B23B" w14:textId="77777777" w:rsidR="00E62558" w:rsidRPr="00D245AD" w:rsidRDefault="00E62558" w:rsidP="001940D7">
            <w:pPr>
              <w:pStyle w:val="Normal-pool-Table"/>
              <w:jc w:val="right"/>
              <w:rPr>
                <w:rFonts w:eastAsiaTheme="minorEastAsia"/>
              </w:rPr>
            </w:pPr>
            <w:r w:rsidRPr="00D245AD">
              <w:t>$ 16 100 000</w:t>
            </w:r>
          </w:p>
        </w:tc>
        <w:tc>
          <w:tcPr>
            <w:tcW w:w="1662" w:type="dxa"/>
            <w:vAlign w:val="center"/>
          </w:tcPr>
          <w:p w14:paraId="05332BB2" w14:textId="77777777" w:rsidR="00E62558" w:rsidRPr="00D245AD" w:rsidRDefault="00E62558" w:rsidP="001940D7">
            <w:pPr>
              <w:pStyle w:val="Normal-pool-Table"/>
              <w:jc w:val="right"/>
              <w:rPr>
                <w:rFonts w:eastAsiaTheme="minorEastAsia"/>
              </w:rPr>
            </w:pPr>
            <w:r w:rsidRPr="00D245AD">
              <w:t>$ 490 000 000</w:t>
            </w:r>
          </w:p>
        </w:tc>
      </w:tr>
      <w:tr w:rsidR="00E62558" w:rsidRPr="00D245AD" w14:paraId="496F55FA" w14:textId="77777777" w:rsidTr="0071460D">
        <w:trPr>
          <w:jc w:val="right"/>
        </w:trPr>
        <w:tc>
          <w:tcPr>
            <w:tcW w:w="1661" w:type="dxa"/>
            <w:vAlign w:val="center"/>
          </w:tcPr>
          <w:p w14:paraId="441B3C44" w14:textId="77777777" w:rsidR="00E62558" w:rsidRPr="00D245AD" w:rsidRDefault="00E62558" w:rsidP="001940D7">
            <w:pPr>
              <w:pStyle w:val="Normal-pool-Table"/>
              <w:rPr>
                <w:rFonts w:eastAsiaTheme="minorEastAsia"/>
              </w:rPr>
            </w:pPr>
            <w:r w:rsidRPr="00D245AD">
              <w:rPr>
                <w:bCs/>
              </w:rPr>
              <w:t>2012-2014</w:t>
            </w:r>
          </w:p>
        </w:tc>
        <w:tc>
          <w:tcPr>
            <w:tcW w:w="1661" w:type="dxa"/>
            <w:vAlign w:val="center"/>
          </w:tcPr>
          <w:p w14:paraId="63E3C335" w14:textId="77777777" w:rsidR="00E62558" w:rsidRPr="00D245AD" w:rsidRDefault="00E62558" w:rsidP="001940D7">
            <w:pPr>
              <w:pStyle w:val="Normal-pool-Table"/>
              <w:jc w:val="right"/>
              <w:rPr>
                <w:rFonts w:eastAsiaTheme="minorEastAsia"/>
              </w:rPr>
            </w:pPr>
            <w:r w:rsidRPr="00D245AD">
              <w:t>$ 400 000 000</w:t>
            </w:r>
          </w:p>
        </w:tc>
        <w:tc>
          <w:tcPr>
            <w:tcW w:w="1661" w:type="dxa"/>
            <w:vAlign w:val="center"/>
          </w:tcPr>
          <w:p w14:paraId="33C4C589" w14:textId="77777777" w:rsidR="00E62558" w:rsidRPr="00D245AD" w:rsidRDefault="00E62558" w:rsidP="001940D7">
            <w:pPr>
              <w:pStyle w:val="Normal-pool-Table"/>
              <w:jc w:val="right"/>
              <w:rPr>
                <w:rFonts w:eastAsiaTheme="minorEastAsia"/>
              </w:rPr>
            </w:pPr>
            <w:r w:rsidRPr="00D245AD">
              <w:t>$ 34 900 000</w:t>
            </w:r>
          </w:p>
        </w:tc>
        <w:tc>
          <w:tcPr>
            <w:tcW w:w="1662" w:type="dxa"/>
            <w:vAlign w:val="center"/>
          </w:tcPr>
          <w:p w14:paraId="1EDAE739" w14:textId="77777777" w:rsidR="00E62558" w:rsidRPr="00D245AD" w:rsidRDefault="00E62558" w:rsidP="001940D7">
            <w:pPr>
              <w:pStyle w:val="Normal-pool-Table"/>
              <w:jc w:val="right"/>
              <w:rPr>
                <w:rFonts w:eastAsiaTheme="minorEastAsia"/>
              </w:rPr>
            </w:pPr>
            <w:r w:rsidRPr="00D245AD">
              <w:t>$ 15 100 000</w:t>
            </w:r>
          </w:p>
        </w:tc>
        <w:tc>
          <w:tcPr>
            <w:tcW w:w="1662" w:type="dxa"/>
            <w:vAlign w:val="center"/>
          </w:tcPr>
          <w:p w14:paraId="4EE53000" w14:textId="77777777" w:rsidR="00E62558" w:rsidRPr="00D245AD" w:rsidRDefault="00E62558" w:rsidP="001940D7">
            <w:pPr>
              <w:pStyle w:val="Normal-pool-Table"/>
              <w:jc w:val="right"/>
              <w:rPr>
                <w:rFonts w:eastAsiaTheme="minorEastAsia"/>
              </w:rPr>
            </w:pPr>
            <w:r w:rsidRPr="00D245AD">
              <w:t>$ 450 000 000</w:t>
            </w:r>
          </w:p>
        </w:tc>
      </w:tr>
      <w:tr w:rsidR="00E62558" w:rsidRPr="00D245AD" w14:paraId="57848743" w14:textId="77777777" w:rsidTr="0071460D">
        <w:trPr>
          <w:jc w:val="right"/>
        </w:trPr>
        <w:tc>
          <w:tcPr>
            <w:tcW w:w="1661" w:type="dxa"/>
            <w:vAlign w:val="center"/>
          </w:tcPr>
          <w:p w14:paraId="4F4239D3" w14:textId="77777777" w:rsidR="00E62558" w:rsidRPr="00D245AD" w:rsidRDefault="00E62558" w:rsidP="001940D7">
            <w:pPr>
              <w:pStyle w:val="Normal-pool-Table"/>
              <w:rPr>
                <w:rFonts w:eastAsiaTheme="minorEastAsia"/>
              </w:rPr>
            </w:pPr>
            <w:r w:rsidRPr="00D245AD">
              <w:rPr>
                <w:bCs/>
              </w:rPr>
              <w:t>2015-2017</w:t>
            </w:r>
          </w:p>
        </w:tc>
        <w:tc>
          <w:tcPr>
            <w:tcW w:w="1661" w:type="dxa"/>
            <w:vAlign w:val="center"/>
          </w:tcPr>
          <w:p w14:paraId="3AB143F8" w14:textId="77777777" w:rsidR="00E62558" w:rsidRPr="00D245AD" w:rsidRDefault="00E62558" w:rsidP="001940D7">
            <w:pPr>
              <w:pStyle w:val="Normal-pool-Table"/>
              <w:jc w:val="right"/>
              <w:rPr>
                <w:rFonts w:eastAsiaTheme="minorEastAsia"/>
              </w:rPr>
            </w:pPr>
            <w:r w:rsidRPr="00D245AD">
              <w:t>$ 437 500 000</w:t>
            </w:r>
          </w:p>
        </w:tc>
        <w:tc>
          <w:tcPr>
            <w:tcW w:w="1661" w:type="dxa"/>
            <w:vAlign w:val="center"/>
          </w:tcPr>
          <w:p w14:paraId="3D8965A6" w14:textId="77777777" w:rsidR="00E62558" w:rsidRPr="00D245AD" w:rsidRDefault="00E62558" w:rsidP="001940D7">
            <w:pPr>
              <w:pStyle w:val="Normal-pool-Table"/>
              <w:jc w:val="right"/>
              <w:rPr>
                <w:rFonts w:eastAsiaTheme="minorEastAsia"/>
              </w:rPr>
            </w:pPr>
            <w:r w:rsidRPr="00D245AD">
              <w:t>$ 64 000 000</w:t>
            </w:r>
          </w:p>
        </w:tc>
        <w:tc>
          <w:tcPr>
            <w:tcW w:w="1662" w:type="dxa"/>
            <w:vAlign w:val="center"/>
          </w:tcPr>
          <w:p w14:paraId="5B0D6200" w14:textId="77777777" w:rsidR="00E62558" w:rsidRPr="00D245AD" w:rsidRDefault="00E62558" w:rsidP="001940D7">
            <w:pPr>
              <w:pStyle w:val="Normal-pool-Table"/>
              <w:jc w:val="right"/>
              <w:rPr>
                <w:rFonts w:eastAsiaTheme="minorEastAsia"/>
              </w:rPr>
            </w:pPr>
            <w:r w:rsidRPr="00D245AD">
              <w:t>$   6 000 000</w:t>
            </w:r>
          </w:p>
        </w:tc>
        <w:tc>
          <w:tcPr>
            <w:tcW w:w="1662" w:type="dxa"/>
            <w:vAlign w:val="center"/>
          </w:tcPr>
          <w:p w14:paraId="2B758BE5" w14:textId="77777777" w:rsidR="00E62558" w:rsidRPr="00D245AD" w:rsidRDefault="00E62558" w:rsidP="001940D7">
            <w:pPr>
              <w:pStyle w:val="Normal-pool-Table"/>
              <w:jc w:val="right"/>
              <w:rPr>
                <w:rFonts w:eastAsiaTheme="minorEastAsia"/>
              </w:rPr>
            </w:pPr>
            <w:r w:rsidRPr="00D245AD">
              <w:t>$ 507 500 000</w:t>
            </w:r>
          </w:p>
        </w:tc>
      </w:tr>
      <w:tr w:rsidR="00E62558" w:rsidRPr="00D245AD" w14:paraId="2279DB83" w14:textId="77777777" w:rsidTr="0071460D">
        <w:trPr>
          <w:jc w:val="right"/>
        </w:trPr>
        <w:tc>
          <w:tcPr>
            <w:tcW w:w="1661" w:type="dxa"/>
            <w:vAlign w:val="center"/>
          </w:tcPr>
          <w:p w14:paraId="12460297" w14:textId="78568B90" w:rsidR="00E62558" w:rsidRPr="00D245AD" w:rsidRDefault="00E62558" w:rsidP="001940D7">
            <w:pPr>
              <w:pStyle w:val="Normal-pool-Table"/>
              <w:rPr>
                <w:rFonts w:eastAsiaTheme="minorEastAsia"/>
              </w:rPr>
            </w:pPr>
            <w:r w:rsidRPr="00D245AD">
              <w:rPr>
                <w:bCs/>
              </w:rPr>
              <w:t>2018-2020</w:t>
            </w:r>
            <w:r w:rsidR="002308E6">
              <w:rPr>
                <w:bCs/>
              </w:rPr>
              <w:t>**</w:t>
            </w:r>
          </w:p>
        </w:tc>
        <w:tc>
          <w:tcPr>
            <w:tcW w:w="1661" w:type="dxa"/>
            <w:vAlign w:val="center"/>
          </w:tcPr>
          <w:p w14:paraId="22DE07E4" w14:textId="77777777" w:rsidR="00E62558" w:rsidRPr="00D245AD" w:rsidRDefault="00E62558" w:rsidP="001940D7">
            <w:pPr>
              <w:pStyle w:val="Normal-pool-Table"/>
              <w:jc w:val="right"/>
              <w:rPr>
                <w:rFonts w:eastAsiaTheme="minorEastAsia"/>
              </w:rPr>
            </w:pPr>
            <w:r w:rsidRPr="00D245AD">
              <w:t>$ 500 000 000</w:t>
            </w:r>
          </w:p>
        </w:tc>
        <w:tc>
          <w:tcPr>
            <w:tcW w:w="1661" w:type="dxa"/>
            <w:vAlign w:val="center"/>
          </w:tcPr>
          <w:p w14:paraId="3AE16FAC" w14:textId="77777777" w:rsidR="00E62558" w:rsidRPr="00D245AD" w:rsidRDefault="00E62558" w:rsidP="001940D7">
            <w:pPr>
              <w:pStyle w:val="Normal-pool-Table"/>
              <w:jc w:val="right"/>
              <w:rPr>
                <w:rFonts w:eastAsiaTheme="minorEastAsia"/>
              </w:rPr>
            </w:pPr>
            <w:r w:rsidRPr="00D245AD">
              <w:t>$ 34 000 000</w:t>
            </w:r>
          </w:p>
        </w:tc>
        <w:tc>
          <w:tcPr>
            <w:tcW w:w="1662" w:type="dxa"/>
            <w:vAlign w:val="center"/>
          </w:tcPr>
          <w:p w14:paraId="7585FC03" w14:textId="77777777" w:rsidR="00E62558" w:rsidRPr="00D245AD" w:rsidRDefault="00E62558" w:rsidP="001940D7">
            <w:pPr>
              <w:pStyle w:val="Normal-pool-Table"/>
              <w:jc w:val="right"/>
              <w:rPr>
                <w:rFonts w:eastAsiaTheme="minorEastAsia"/>
              </w:rPr>
            </w:pPr>
            <w:r w:rsidRPr="00D245AD">
              <w:t>$   6 000 000</w:t>
            </w:r>
          </w:p>
        </w:tc>
        <w:tc>
          <w:tcPr>
            <w:tcW w:w="1662" w:type="dxa"/>
            <w:vAlign w:val="center"/>
          </w:tcPr>
          <w:p w14:paraId="3021F9D3" w14:textId="77777777" w:rsidR="00E62558" w:rsidRPr="00D245AD" w:rsidRDefault="00E62558" w:rsidP="001940D7">
            <w:pPr>
              <w:pStyle w:val="Normal-pool-Table"/>
              <w:jc w:val="right"/>
              <w:rPr>
                <w:rFonts w:eastAsiaTheme="minorEastAsia"/>
              </w:rPr>
            </w:pPr>
            <w:r w:rsidRPr="00D245AD">
              <w:t>$ 540 000 000</w:t>
            </w:r>
          </w:p>
        </w:tc>
      </w:tr>
      <w:tr w:rsidR="00E62558" w:rsidRPr="00D245AD" w14:paraId="01B3747C" w14:textId="77777777" w:rsidTr="0071460D">
        <w:trPr>
          <w:jc w:val="right"/>
        </w:trPr>
        <w:tc>
          <w:tcPr>
            <w:tcW w:w="1661" w:type="dxa"/>
            <w:vAlign w:val="center"/>
          </w:tcPr>
          <w:p w14:paraId="37E6EB7C" w14:textId="77777777" w:rsidR="00E62558" w:rsidRPr="00D245AD" w:rsidRDefault="00E62558" w:rsidP="001940D7">
            <w:pPr>
              <w:pStyle w:val="Normal-pool-Table"/>
              <w:rPr>
                <w:rFonts w:eastAsiaTheme="minorEastAsia"/>
              </w:rPr>
            </w:pPr>
            <w:r w:rsidRPr="00D245AD">
              <w:rPr>
                <w:bCs/>
              </w:rPr>
              <w:t>2021-2023</w:t>
            </w:r>
          </w:p>
        </w:tc>
        <w:tc>
          <w:tcPr>
            <w:tcW w:w="1661" w:type="dxa"/>
            <w:vAlign w:val="center"/>
          </w:tcPr>
          <w:p w14:paraId="30E4C50C" w14:textId="77777777" w:rsidR="00E62558" w:rsidRPr="00D245AD" w:rsidRDefault="00E62558" w:rsidP="001940D7">
            <w:pPr>
              <w:pStyle w:val="Normal-pool-Table"/>
              <w:jc w:val="right"/>
              <w:rPr>
                <w:rFonts w:eastAsiaTheme="minorEastAsia"/>
              </w:rPr>
            </w:pPr>
            <w:r w:rsidRPr="00D245AD">
              <w:t>$ 475 000 000</w:t>
            </w:r>
          </w:p>
        </w:tc>
        <w:tc>
          <w:tcPr>
            <w:tcW w:w="1661" w:type="dxa"/>
            <w:vAlign w:val="center"/>
          </w:tcPr>
          <w:p w14:paraId="53681E65" w14:textId="77777777" w:rsidR="00E62558" w:rsidRPr="00D245AD" w:rsidRDefault="00E62558" w:rsidP="001940D7">
            <w:pPr>
              <w:pStyle w:val="Normal-pool-Table"/>
              <w:jc w:val="right"/>
              <w:rPr>
                <w:rFonts w:eastAsiaTheme="minorEastAsia"/>
              </w:rPr>
            </w:pPr>
            <w:r w:rsidRPr="00D245AD">
              <w:t>$ 65 000 000</w:t>
            </w:r>
          </w:p>
        </w:tc>
        <w:tc>
          <w:tcPr>
            <w:tcW w:w="1662" w:type="dxa"/>
            <w:vAlign w:val="center"/>
          </w:tcPr>
          <w:p w14:paraId="5C62FC01" w14:textId="77777777" w:rsidR="00E62558" w:rsidRPr="00D245AD" w:rsidRDefault="00E62558" w:rsidP="001940D7">
            <w:pPr>
              <w:pStyle w:val="Normal-pool-Table"/>
              <w:jc w:val="right"/>
              <w:rPr>
                <w:rFonts w:eastAsiaTheme="minorEastAsia"/>
              </w:rPr>
            </w:pPr>
            <w:r w:rsidRPr="00D245AD">
              <w:t>N/A</w:t>
            </w:r>
          </w:p>
        </w:tc>
        <w:tc>
          <w:tcPr>
            <w:tcW w:w="1662" w:type="dxa"/>
            <w:vAlign w:val="center"/>
          </w:tcPr>
          <w:p w14:paraId="5C6AA11B" w14:textId="77777777" w:rsidR="00E62558" w:rsidRPr="00D245AD" w:rsidRDefault="00E62558" w:rsidP="001940D7">
            <w:pPr>
              <w:pStyle w:val="Normal-pool-Table"/>
              <w:jc w:val="right"/>
              <w:rPr>
                <w:rFonts w:eastAsiaTheme="minorEastAsia"/>
              </w:rPr>
            </w:pPr>
            <w:r w:rsidRPr="00D245AD">
              <w:t>$ 540 000 000</w:t>
            </w:r>
          </w:p>
        </w:tc>
      </w:tr>
      <w:tr w:rsidR="00E62558" w:rsidRPr="00D245AD" w14:paraId="6ED1C75B" w14:textId="77777777" w:rsidTr="0071460D">
        <w:trPr>
          <w:jc w:val="right"/>
        </w:trPr>
        <w:tc>
          <w:tcPr>
            <w:tcW w:w="1661" w:type="dxa"/>
            <w:tcBorders>
              <w:bottom w:val="single" w:sz="12" w:space="0" w:color="auto"/>
            </w:tcBorders>
            <w:vAlign w:val="center"/>
          </w:tcPr>
          <w:p w14:paraId="5C886D32" w14:textId="77777777" w:rsidR="00E62558" w:rsidRPr="00D245AD" w:rsidRDefault="00E62558" w:rsidP="001940D7">
            <w:pPr>
              <w:pStyle w:val="Normal-pool-Table"/>
              <w:rPr>
                <w:rFonts w:eastAsiaTheme="minorEastAsia"/>
              </w:rPr>
            </w:pPr>
            <w:r w:rsidRPr="00D245AD">
              <w:rPr>
                <w:bCs/>
              </w:rPr>
              <w:t>2024-2026</w:t>
            </w:r>
          </w:p>
        </w:tc>
        <w:tc>
          <w:tcPr>
            <w:tcW w:w="1661" w:type="dxa"/>
            <w:tcBorders>
              <w:bottom w:val="single" w:sz="12" w:space="0" w:color="auto"/>
            </w:tcBorders>
            <w:vAlign w:val="center"/>
          </w:tcPr>
          <w:p w14:paraId="78D20130" w14:textId="77777777" w:rsidR="00E62558" w:rsidRPr="00D245AD" w:rsidRDefault="00E62558" w:rsidP="001940D7">
            <w:pPr>
              <w:pStyle w:val="Normal-pool-Table"/>
              <w:jc w:val="right"/>
              <w:rPr>
                <w:rFonts w:eastAsiaTheme="minorEastAsia"/>
              </w:rPr>
            </w:pPr>
            <w:r w:rsidRPr="00D245AD">
              <w:t>$ 525 600 000</w:t>
            </w:r>
          </w:p>
        </w:tc>
        <w:tc>
          <w:tcPr>
            <w:tcW w:w="1661" w:type="dxa"/>
            <w:tcBorders>
              <w:bottom w:val="single" w:sz="12" w:space="0" w:color="auto"/>
            </w:tcBorders>
            <w:vAlign w:val="center"/>
          </w:tcPr>
          <w:p w14:paraId="2B84801B" w14:textId="77777777" w:rsidR="00E62558" w:rsidRPr="00D245AD" w:rsidRDefault="00E62558" w:rsidP="001940D7">
            <w:pPr>
              <w:pStyle w:val="Normal-pool-Table"/>
              <w:jc w:val="right"/>
              <w:rPr>
                <w:rFonts w:eastAsiaTheme="minorEastAsia"/>
              </w:rPr>
            </w:pPr>
            <w:r w:rsidRPr="00D245AD">
              <w:t>$ 428 699 680</w:t>
            </w:r>
          </w:p>
        </w:tc>
        <w:tc>
          <w:tcPr>
            <w:tcW w:w="1662" w:type="dxa"/>
            <w:tcBorders>
              <w:bottom w:val="single" w:sz="12" w:space="0" w:color="auto"/>
            </w:tcBorders>
            <w:vAlign w:val="center"/>
          </w:tcPr>
          <w:p w14:paraId="1533546B" w14:textId="77777777" w:rsidR="00E62558" w:rsidRPr="00D245AD" w:rsidRDefault="00E62558" w:rsidP="001940D7">
            <w:pPr>
              <w:pStyle w:val="Normal-pool-Table"/>
              <w:jc w:val="right"/>
              <w:rPr>
                <w:rFonts w:eastAsiaTheme="minorEastAsia"/>
              </w:rPr>
            </w:pPr>
            <w:r w:rsidRPr="00D245AD">
              <w:t>$ 10 700 320</w:t>
            </w:r>
          </w:p>
        </w:tc>
        <w:tc>
          <w:tcPr>
            <w:tcW w:w="1662" w:type="dxa"/>
            <w:tcBorders>
              <w:bottom w:val="single" w:sz="12" w:space="0" w:color="auto"/>
            </w:tcBorders>
            <w:vAlign w:val="center"/>
          </w:tcPr>
          <w:p w14:paraId="6D3A40B8" w14:textId="77777777" w:rsidR="00E62558" w:rsidRPr="00D245AD" w:rsidRDefault="00E62558" w:rsidP="001940D7">
            <w:pPr>
              <w:pStyle w:val="Normal-pool-Table"/>
              <w:jc w:val="right"/>
              <w:rPr>
                <w:rFonts w:eastAsiaTheme="minorEastAsia"/>
              </w:rPr>
            </w:pPr>
            <w:r w:rsidRPr="00D245AD">
              <w:t>$ 965 000 000</w:t>
            </w:r>
          </w:p>
        </w:tc>
      </w:tr>
    </w:tbl>
    <w:p w14:paraId="00D9D949" w14:textId="77777777" w:rsidR="00E62558" w:rsidRDefault="00E62558" w:rsidP="004604EE">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ind w:left="1247"/>
        <w:rPr>
          <w:rFonts w:eastAsiaTheme="minorEastAsia"/>
          <w:i/>
        </w:rPr>
      </w:pPr>
      <w:r w:rsidRPr="00D245AD">
        <w:rPr>
          <w:rFonts w:eastAsiaTheme="minorEastAsia"/>
          <w:b/>
          <w:i/>
        </w:rPr>
        <w:tab/>
        <w:t>*</w:t>
      </w:r>
      <w:r w:rsidRPr="00D245AD">
        <w:t xml:space="preserve"> Does not include the initial capitalisation of US$ 240 million for 1991-1993</w:t>
      </w:r>
      <w:r w:rsidRPr="00D245AD">
        <w:rPr>
          <w:rFonts w:eastAsiaTheme="minorEastAsia"/>
          <w:i/>
        </w:rPr>
        <w:t>.</w:t>
      </w:r>
    </w:p>
    <w:p w14:paraId="25C84A3C" w14:textId="48FB79C0" w:rsidR="00C61AAC" w:rsidRPr="00D245AD" w:rsidRDefault="005D46C0" w:rsidP="004604EE">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after="120"/>
        <w:ind w:left="1247"/>
        <w:rPr>
          <w:rFonts w:eastAsiaTheme="minorEastAsia"/>
          <w:i/>
        </w:rPr>
      </w:pPr>
      <w:r>
        <w:rPr>
          <w:rFonts w:eastAsiaTheme="minorEastAsia"/>
          <w:i/>
        </w:rPr>
        <w:tab/>
      </w:r>
      <w:r w:rsidR="00971C09">
        <w:rPr>
          <w:rFonts w:eastAsiaTheme="minorEastAsia"/>
          <w:i/>
        </w:rPr>
        <w:t xml:space="preserve">** </w:t>
      </w:r>
      <w:r w:rsidR="00971C09">
        <w:rPr>
          <w:rFonts w:eastAsiaTheme="minorEastAsia"/>
          <w:iCs/>
        </w:rPr>
        <w:t>In addition, the Fifth Extraordinary Meeting of the Parties also noted that US $246 million in remaining funds that were due to the Multilateral Fund during the triennium 2018 – 2020 will be used after 2023 to support the implementation of the Montreal Protocol (decision Ex.V/1).</w:t>
      </w:r>
    </w:p>
    <w:p w14:paraId="4071764C" w14:textId="7B723586" w:rsidR="00E62558" w:rsidRPr="00D245AD" w:rsidRDefault="00E62558" w:rsidP="00E62558">
      <w:pPr>
        <w:pStyle w:val="NormalNonumber"/>
      </w:pPr>
      <w:r w:rsidRPr="00D245AD">
        <w:t>Since its inception and as of the 97</w:t>
      </w:r>
      <w:r w:rsidRPr="00D245AD">
        <w:rPr>
          <w:vertAlign w:val="superscript"/>
        </w:rPr>
        <w:t>th</w:t>
      </w:r>
      <w:r w:rsidRPr="00D245AD">
        <w:t xml:space="preserve"> of the Executive Committee (ExCom-97), the MLF has supported 144 Article 5 (A5) parties by approving US$ 4.38 billion (including support costs) for a total of 10,363 projects, 87% of which have been completed.</w:t>
      </w:r>
      <w:r w:rsidRPr="00D245AD">
        <w:rPr>
          <w:rStyle w:val="FootnoteReference"/>
        </w:rPr>
        <w:footnoteReference w:id="13"/>
      </w:r>
      <w:r w:rsidRPr="00D245AD">
        <w:t xml:space="preserve"> </w:t>
      </w:r>
    </w:p>
    <w:p w14:paraId="5BD424F7" w14:textId="77777777" w:rsidR="00E62558" w:rsidRPr="00D245AD" w:rsidRDefault="00E62558" w:rsidP="00E62558">
      <w:pPr>
        <w:pStyle w:val="NormalNonumber"/>
      </w:pPr>
      <w:r w:rsidRPr="00D245AD">
        <w:t>The replenishment of the MLF for the 2027-2029 triennium will provide financing to A5 parties for the incremental costs to complete the phase-out of ODS and to continue implementing the phase-down of hydrofluorocarbons (HFCs). Annex C Group I (hydrochlorofluorocarbons (HCFCs)) and Annex F (HFCs) substances are the only substances under the Montreal Protocol where consumption and production are still allowed.</w:t>
      </w:r>
    </w:p>
    <w:p w14:paraId="749AF77C" w14:textId="77777777" w:rsidR="00E62558" w:rsidRPr="00D245AD" w:rsidRDefault="00E62558" w:rsidP="00E62558">
      <w:pPr>
        <w:pStyle w:val="NormalNonumber"/>
        <w:numPr>
          <w:ilvl w:val="0"/>
          <w:numId w:val="31"/>
        </w:numPr>
        <w:tabs>
          <w:tab w:val="clear" w:pos="1247"/>
          <w:tab w:val="clear" w:pos="1871"/>
          <w:tab w:val="clear" w:pos="2495"/>
          <w:tab w:val="clear" w:pos="3119"/>
          <w:tab w:val="clear" w:pos="3742"/>
          <w:tab w:val="clear" w:pos="4366"/>
          <w:tab w:val="clear" w:pos="4990"/>
        </w:tabs>
        <w:ind w:left="1871" w:hanging="624"/>
      </w:pPr>
      <w:r w:rsidRPr="00D245AD">
        <w:t xml:space="preserve">For Annex C, Group 1, controlled substances (HCFCs), the compliance target for the </w:t>
      </w:r>
      <w:r w:rsidRPr="00D245AD">
        <w:br/>
        <w:t>2027-2029 triennium is a 97.5% reduction from baseline by 1 January 2030.</w:t>
      </w:r>
    </w:p>
    <w:p w14:paraId="7815557E" w14:textId="70F796A8" w:rsidR="00E62558" w:rsidRPr="00D245AD" w:rsidRDefault="00E62558" w:rsidP="00E0168F">
      <w:pPr>
        <w:pStyle w:val="NormalNonumber"/>
        <w:tabs>
          <w:tab w:val="clear" w:pos="1247"/>
          <w:tab w:val="clear" w:pos="1871"/>
          <w:tab w:val="clear" w:pos="2495"/>
          <w:tab w:val="clear" w:pos="3119"/>
          <w:tab w:val="clear" w:pos="3742"/>
          <w:tab w:val="clear" w:pos="4366"/>
          <w:tab w:val="clear" w:pos="4990"/>
        </w:tabs>
        <w:ind w:left="2496"/>
      </w:pPr>
      <w:r w:rsidRPr="00D245AD">
        <w:t>An annual average of 2.5% is restricted to the servicing of refrigeration and air-conditioning equipment existing during 2030-2040. Decision XXX/2 referring to Annex I of the MOP-30 report</w:t>
      </w:r>
      <w:r w:rsidRPr="009748B2">
        <w:rPr>
          <w:rStyle w:val="FootnoteReference"/>
        </w:rPr>
        <w:footnoteReference w:id="14"/>
      </w:r>
      <w:r w:rsidRPr="00D245AD">
        <w:t xml:space="preserve">, adjusted this part of A5 (as well as 2F) to include other uses, i.e., the servicing of fire suppression and fire protection equipment existing </w:t>
      </w:r>
      <w:r w:rsidRPr="00D245AD">
        <w:lastRenderedPageBreak/>
        <w:t>on 1 January 2030; solvent applications in rocket engine manufacturing; and topical medical aerosol for applications for the specialised treatment of burns.</w:t>
      </w:r>
    </w:p>
    <w:p w14:paraId="657DAFF1" w14:textId="77777777" w:rsidR="00E62558" w:rsidRPr="00D245AD" w:rsidRDefault="00E62558" w:rsidP="00E62558">
      <w:pPr>
        <w:pStyle w:val="NormalNonumber"/>
        <w:numPr>
          <w:ilvl w:val="0"/>
          <w:numId w:val="31"/>
        </w:numPr>
        <w:tabs>
          <w:tab w:val="clear" w:pos="1247"/>
          <w:tab w:val="clear" w:pos="1871"/>
          <w:tab w:val="clear" w:pos="2495"/>
          <w:tab w:val="clear" w:pos="3119"/>
          <w:tab w:val="clear" w:pos="3742"/>
          <w:tab w:val="clear" w:pos="4366"/>
          <w:tab w:val="clear" w:pos="4990"/>
        </w:tabs>
        <w:ind w:left="1871" w:hanging="624"/>
      </w:pPr>
      <w:r w:rsidRPr="00D245AD">
        <w:t>For Annex F controlled substances (HFCs), the compliance targets for the 2027-2029 and the subsequent two triennia are as follows:</w:t>
      </w:r>
    </w:p>
    <w:p w14:paraId="21D3A36B" w14:textId="77777777" w:rsidR="00E62558" w:rsidRPr="00E0168F" w:rsidRDefault="00E62558" w:rsidP="00E62558">
      <w:pPr>
        <w:pStyle w:val="NormalNonumber"/>
        <w:ind w:left="2495"/>
        <w:rPr>
          <w:strike/>
        </w:rPr>
      </w:pPr>
      <w:bookmarkStart w:id="18" w:name="_Hlk135754197"/>
      <w:r w:rsidRPr="00D245AD">
        <w:t>Group 1 parties: A 10% reduction from baseline by 1 January 2029, and for future triennia 2030-2032 and 2033-2035, a 30% reduction from baseline by 1 January 2035.</w:t>
      </w:r>
    </w:p>
    <w:p w14:paraId="4F3104CE" w14:textId="77777777" w:rsidR="00E62558" w:rsidRPr="00E0168F" w:rsidRDefault="00E62558" w:rsidP="00E62558">
      <w:pPr>
        <w:pStyle w:val="NormalNonumber"/>
        <w:ind w:left="2495"/>
        <w:rPr>
          <w:strike/>
        </w:rPr>
      </w:pPr>
      <w:r w:rsidRPr="00D245AD">
        <w:t>Group 2 parties</w:t>
      </w:r>
      <w:r w:rsidRPr="00D245AD">
        <w:rPr>
          <w:rStyle w:val="FootnoteReference"/>
        </w:rPr>
        <w:footnoteReference w:id="15"/>
      </w:r>
      <w:r w:rsidRPr="00D245AD">
        <w:t xml:space="preserve">: A freeze of production and consumption by 1 January 2028, and for future triennia 2030-2032 and 2033-2035, a 10% reduction from baseline by 1 January 2032, and a 20% reduction by January 1, 2037. </w:t>
      </w:r>
    </w:p>
    <w:bookmarkEnd w:id="18"/>
    <w:p w14:paraId="269230DF" w14:textId="77777777" w:rsidR="00E62558" w:rsidRPr="00D245AD" w:rsidRDefault="00E62558" w:rsidP="00E62558">
      <w:pPr>
        <w:pStyle w:val="CH2"/>
        <w:rPr>
          <w:lang w:eastAsia="zh-CN"/>
        </w:rPr>
      </w:pPr>
      <w:r w:rsidRPr="00D245AD">
        <w:rPr>
          <w:lang w:eastAsia="zh-CN"/>
        </w:rPr>
        <w:tab/>
      </w:r>
      <w:r w:rsidRPr="00D245AD">
        <w:rPr>
          <w:lang w:eastAsia="zh-CN"/>
        </w:rPr>
        <w:tab/>
        <w:t>Decision XXXVII/6 and TEAP approach</w:t>
      </w:r>
    </w:p>
    <w:p w14:paraId="5169B347" w14:textId="277BBBC9" w:rsidR="00E62558" w:rsidRPr="00D245AD" w:rsidRDefault="00E62558" w:rsidP="00E62558">
      <w:pPr>
        <w:pStyle w:val="NormalNonumber"/>
      </w:pPr>
      <w:r w:rsidRPr="00D245AD">
        <w:rPr>
          <w:rFonts w:eastAsia="DengXian"/>
          <w:lang w:eastAsia="zh-CN"/>
        </w:rPr>
        <w:t xml:space="preserve">At the Thirty-Seventh Meeting of the Parties (MOP-37), parties adopted decision XXXVII/6 which provided the terms of reference </w:t>
      </w:r>
      <w:r w:rsidR="008C1C63">
        <w:rPr>
          <w:rFonts w:eastAsia="DengXian"/>
          <w:lang w:eastAsia="zh-CN"/>
        </w:rPr>
        <w:t xml:space="preserve">(TOR) </w:t>
      </w:r>
      <w:r w:rsidRPr="00D245AD">
        <w:rPr>
          <w:rFonts w:eastAsia="DengXian"/>
          <w:lang w:eastAsia="zh-CN"/>
        </w:rPr>
        <w:t xml:space="preserve">for </w:t>
      </w:r>
      <w:r w:rsidRPr="00D245AD">
        <w:t>the</w:t>
      </w:r>
      <w:r w:rsidRPr="00D245AD">
        <w:rPr>
          <w:rFonts w:eastAsia="DengXian"/>
          <w:lang w:eastAsia="zh-CN"/>
        </w:rPr>
        <w:t xml:space="preserve"> work of the </w:t>
      </w:r>
      <w:r w:rsidRPr="00D245AD">
        <w:t xml:space="preserve">Technology and Economic Assessment Panel (TEAP) to prepare a report on the appropriate level of the replenishment of the MLF for the triennium 2027-2029. The parties requested the TEAP to prepare a report for submission to MOP-38, and presentation to the Open-ended Working Group at its forty-eighth Meeting (OEWG-48), to enable parties at MOP-38 to take a decision. </w:t>
      </w:r>
    </w:p>
    <w:p w14:paraId="5F0F8395" w14:textId="77777777" w:rsidR="00E62558" w:rsidRPr="00D245AD" w:rsidRDefault="00E62558" w:rsidP="00E62558">
      <w:pPr>
        <w:pStyle w:val="NormalNonumber"/>
      </w:pPr>
      <w:r w:rsidRPr="00D245AD">
        <w:t xml:space="preserve">The TEAP established a Decision XXXVII/6 Replenishment Task Force (RTF), with members from TEAP, its Technical Options Committees, and other outside experts. In December 2025, one TEAP Senior Expert attended the ExCom-97 to conduct informal discussions with ExCom members and bilateral and IAs present at that meeting. </w:t>
      </w:r>
    </w:p>
    <w:p w14:paraId="7137CE55" w14:textId="77777777" w:rsidR="00E62558" w:rsidRPr="00D245AD" w:rsidRDefault="00E62558" w:rsidP="00E62558">
      <w:pPr>
        <w:pStyle w:val="NormalNonumber"/>
      </w:pPr>
      <w:r w:rsidRPr="00D245AD">
        <w:t>In this report, the RTF estimated the funding requirements for the 2027-2029 triennium and future triennia based on official Article 7 (A7) data and informed by the “Consolidated Business Plan of the Multilateral Fund for 2026-2028,”</w:t>
      </w:r>
      <w:r w:rsidRPr="00D245AD">
        <w:rPr>
          <w:vertAlign w:val="superscript"/>
        </w:rPr>
        <w:footnoteReference w:id="16"/>
      </w:r>
      <w:r w:rsidRPr="00D245AD">
        <w:t xml:space="preserve"> relevant decisions of the ExCom up to its 97</w:t>
      </w:r>
      <w:r w:rsidRPr="00D245AD">
        <w:rPr>
          <w:vertAlign w:val="superscript"/>
        </w:rPr>
        <w:t>th</w:t>
      </w:r>
      <w:r w:rsidRPr="00D245AD">
        <w:t xml:space="preserve"> meeting, and information available through the Multilateral Fund Secretariat (MLFS) and Ozone Secretariat (OS). The RTF worked primarily online and held a meeting in Montreal in February 2026, during which the RTF also held discussions with the MLFS. The RTF prepared its draft report which was reviewed at the TEAP’s meeting held in April 2026 in Brussels. After addressing all comments, the TEAP submitted the RTF’s report to the Ozone Secretariat in May 2026 for posting and review by parties.</w:t>
      </w:r>
    </w:p>
    <w:p w14:paraId="04F37F9B" w14:textId="77777777" w:rsidR="00E62558" w:rsidRPr="00D245AD" w:rsidRDefault="00E62558" w:rsidP="00E62558">
      <w:pPr>
        <w:pStyle w:val="CH2"/>
      </w:pPr>
      <w:r w:rsidRPr="00D245AD">
        <w:rPr>
          <w:lang w:eastAsia="zh-CN"/>
        </w:rPr>
        <w:tab/>
      </w:r>
      <w:r w:rsidRPr="00D245AD">
        <w:rPr>
          <w:lang w:eastAsia="zh-CN"/>
        </w:rPr>
        <w:tab/>
        <w:t>HCFC phase-out in the consumption and production sectors</w:t>
      </w:r>
    </w:p>
    <w:p w14:paraId="0C730001" w14:textId="77777777" w:rsidR="00E62558" w:rsidRPr="00D245AD" w:rsidRDefault="00E62558" w:rsidP="00E62558">
      <w:pPr>
        <w:pStyle w:val="CH3"/>
        <w:rPr>
          <w:i/>
          <w:iCs/>
        </w:rPr>
      </w:pPr>
      <w:r w:rsidRPr="00D245AD">
        <w:rPr>
          <w:i/>
          <w:iCs/>
        </w:rPr>
        <w:tab/>
      </w:r>
      <w:r w:rsidRPr="00D245AD">
        <w:rPr>
          <w:i/>
          <w:iCs/>
        </w:rPr>
        <w:tab/>
        <w:t>Consumption sector</w:t>
      </w:r>
    </w:p>
    <w:p w14:paraId="32D3DDA9" w14:textId="77777777" w:rsidR="00E62558" w:rsidRPr="00D245AD" w:rsidRDefault="00E62558" w:rsidP="00E62558">
      <w:pPr>
        <w:pStyle w:val="NormalNonumber"/>
      </w:pPr>
      <w:r w:rsidRPr="00D245AD">
        <w:t>Most A5 parties have submitted last stage/tranches for the complete phaseout of HCFCs by 2030. Therefore, at the end of 2027-2029 triennium the MLF will be celebrating the fact that the Fund will be addressing the last remaining consumption of HCFCs for the few parties that will be submitting their last HPMPs stages and tranche requests.</w:t>
      </w:r>
    </w:p>
    <w:p w14:paraId="04EB7830" w14:textId="77777777" w:rsidR="00E62558" w:rsidRPr="00D245AD" w:rsidRDefault="00E62558" w:rsidP="00E62558">
      <w:pPr>
        <w:pStyle w:val="NormalNonumber"/>
      </w:pPr>
      <w:r w:rsidRPr="00D245AD">
        <w:t>That said, the HCFC phase-out funding requirement for this triennium was calculated considering that the large majority of HPMPs are addressing complete phaseout by 2030. Parties that wish to phase out HCFCs completely by 1 January 2030 may do so but must ensure through regulatory and policy measures that HCFCs would not be imported after that date, except for those allowed for a servicing tail between 2030 and 2040, where required, consistent with the provisions of the Montreal Protocol.</w:t>
      </w:r>
    </w:p>
    <w:p w14:paraId="586E6A1B" w14:textId="77777777" w:rsidR="00E62558" w:rsidRPr="00D245AD" w:rsidRDefault="00E62558" w:rsidP="00E62558">
      <w:pPr>
        <w:pStyle w:val="NormalNonumber"/>
      </w:pPr>
      <w:r w:rsidRPr="00D245AD">
        <w:t xml:space="preserve">The ExCom decided (Decision 86/51) that, to allow for consideration of the final tranches of the HCFC phase-out management plans (HPMPs) for any consuming country requesting funding for the complete phase-out of HCFCs, the relevant Government should submit a detailed description of the regulatory and policy framework in place to implement measures to ensure that HCFC consumption was in compliance with paragraph 8 ter(e)(i) of Article 5 of the Montreal Protocol for the period </w:t>
      </w:r>
      <w:r w:rsidRPr="00D245AD">
        <w:br/>
        <w:t>2030-2040. If the country is intending to have consumption during the period 2030–2040, modifications need to be made to its Agreement with the ExCom covering the period beyond 2030.</w:t>
      </w:r>
      <w:r w:rsidRPr="00D245AD">
        <w:rPr>
          <w:lang w:val="en-US"/>
        </w:rPr>
        <w:t xml:space="preserve"> It is important to emphasize that parties with HPMPs for total phase-out have no more remaining HCFC consumption eligible for funding. Accordingly, changes to the Agreement might affect targets but not funding levels.</w:t>
      </w:r>
    </w:p>
    <w:p w14:paraId="1EE96F25" w14:textId="35298B46" w:rsidR="00E62558" w:rsidRPr="00E0168F" w:rsidRDefault="00E62558" w:rsidP="00E62558">
      <w:pPr>
        <w:pStyle w:val="NormalNonumber"/>
        <w:rPr>
          <w:lang w:val="en-US"/>
        </w:rPr>
      </w:pPr>
      <w:r w:rsidRPr="00D245AD">
        <w:lastRenderedPageBreak/>
        <w:t>The TOR, approved by parties in decision XXXVII/6, instructed the RTF to use "</w:t>
      </w:r>
      <w:r w:rsidRPr="00D245AD">
        <w:rPr>
          <w:lang w:val="en-US"/>
        </w:rPr>
        <w:t xml:space="preserve">a clearly explained compliance-based methodology that is informed by, but independent of, the business plan of the Multilateral Fund, and that applies a range of cost-effectiveness figures for the manufacturing sectors based on historical experience rather than only on cost-effectiveness thresholds approved by the Executive Committee". Responding to that, the </w:t>
      </w:r>
      <w:r w:rsidRPr="00D245AD">
        <w:t xml:space="preserve">RTF considered a range for the estimated funding requirements, for the HCFC consumption sector, based on two cost-effectiveness </w:t>
      </w:r>
      <w:r w:rsidR="007E3DFC">
        <w:t xml:space="preserve">(CE) </w:t>
      </w:r>
      <w:r w:rsidRPr="00D245AD">
        <w:t>scenarios, and applied to 15 non-LVC parties (including the largest consuming party-China) with remaining eligible consumption in manufacturing sectors, as follows:</w:t>
      </w:r>
    </w:p>
    <w:p w14:paraId="7C59900A" w14:textId="504594AE" w:rsidR="00E62558" w:rsidRPr="00D245AD" w:rsidRDefault="00E62558" w:rsidP="00E62558">
      <w:pPr>
        <w:pStyle w:val="NormalNonumber"/>
        <w:numPr>
          <w:ilvl w:val="0"/>
          <w:numId w:val="31"/>
        </w:numPr>
        <w:tabs>
          <w:tab w:val="clear" w:pos="1247"/>
          <w:tab w:val="clear" w:pos="1871"/>
          <w:tab w:val="clear" w:pos="2495"/>
          <w:tab w:val="clear" w:pos="3119"/>
          <w:tab w:val="clear" w:pos="3742"/>
          <w:tab w:val="clear" w:pos="4366"/>
          <w:tab w:val="clear" w:pos="4990"/>
        </w:tabs>
        <w:ind w:left="1871" w:hanging="624"/>
        <w:rPr>
          <w:color w:val="000000" w:themeColor="text1"/>
        </w:rPr>
      </w:pPr>
      <w:r w:rsidRPr="00D245AD">
        <w:rPr>
          <w:b/>
          <w:bCs/>
          <w:color w:val="000000" w:themeColor="text1"/>
        </w:rPr>
        <w:t>HCFC scenario 1</w:t>
      </w:r>
      <w:r w:rsidRPr="00D245AD">
        <w:rPr>
          <w:color w:val="000000" w:themeColor="text1"/>
        </w:rPr>
        <w:t xml:space="preserve">: </w:t>
      </w:r>
      <w:r w:rsidRPr="00D245AD">
        <w:t>Applying</w:t>
      </w:r>
      <w:r w:rsidRPr="00D245AD">
        <w:rPr>
          <w:color w:val="000000" w:themeColor="text1"/>
        </w:rPr>
        <w:t xml:space="preserve"> average </w:t>
      </w:r>
      <w:r w:rsidRPr="00D245AD">
        <w:rPr>
          <w:color w:val="000000" w:themeColor="text1"/>
          <w:u w:val="single"/>
        </w:rPr>
        <w:t>historical</w:t>
      </w:r>
      <w:r w:rsidR="007E3DFC" w:rsidRPr="007E3DFC">
        <w:rPr>
          <w:color w:val="000000" w:themeColor="text1"/>
        </w:rPr>
        <w:t xml:space="preserve"> </w:t>
      </w:r>
      <w:r w:rsidRPr="00D245AD">
        <w:rPr>
          <w:color w:val="000000" w:themeColor="text1"/>
        </w:rPr>
        <w:t xml:space="preserve">CE thresholds in manufacturing sectors for those non-LVCs with remaining eligible consumption; </w:t>
      </w:r>
    </w:p>
    <w:p w14:paraId="12F7D947" w14:textId="1865A883" w:rsidR="00E62558" w:rsidRPr="00D245AD" w:rsidRDefault="00E62558" w:rsidP="00E62558">
      <w:pPr>
        <w:pStyle w:val="NormalNonumber"/>
        <w:numPr>
          <w:ilvl w:val="0"/>
          <w:numId w:val="31"/>
        </w:numPr>
        <w:tabs>
          <w:tab w:val="clear" w:pos="1247"/>
          <w:tab w:val="clear" w:pos="1871"/>
          <w:tab w:val="clear" w:pos="2495"/>
          <w:tab w:val="clear" w:pos="3119"/>
          <w:tab w:val="clear" w:pos="3742"/>
          <w:tab w:val="clear" w:pos="4366"/>
          <w:tab w:val="clear" w:pos="4990"/>
        </w:tabs>
        <w:ind w:left="1871" w:hanging="624"/>
        <w:rPr>
          <w:color w:val="000000" w:themeColor="text1"/>
        </w:rPr>
      </w:pPr>
      <w:r w:rsidRPr="00D245AD">
        <w:rPr>
          <w:b/>
          <w:bCs/>
          <w:color w:val="000000" w:themeColor="text1"/>
        </w:rPr>
        <w:t>HCFC scenario 2:</w:t>
      </w:r>
      <w:r w:rsidRPr="00D245AD">
        <w:rPr>
          <w:color w:val="000000" w:themeColor="text1"/>
        </w:rPr>
        <w:t xml:space="preserve"> </w:t>
      </w:r>
      <w:r w:rsidRPr="00D245AD">
        <w:t>Applying</w:t>
      </w:r>
      <w:r w:rsidRPr="00D245AD">
        <w:rPr>
          <w:color w:val="000000" w:themeColor="text1"/>
        </w:rPr>
        <w:t xml:space="preserve"> </w:t>
      </w:r>
      <w:r w:rsidRPr="00D245AD">
        <w:rPr>
          <w:color w:val="000000" w:themeColor="text1"/>
          <w:u w:val="single"/>
        </w:rPr>
        <w:t>CEs in cost guidelines</w:t>
      </w:r>
      <w:r w:rsidRPr="00D245AD">
        <w:rPr>
          <w:color w:val="000000" w:themeColor="text1"/>
        </w:rPr>
        <w:t>, in manufacturing sectors, for those non</w:t>
      </w:r>
      <w:r w:rsidRPr="00D245AD">
        <w:rPr>
          <w:color w:val="000000" w:themeColor="text1"/>
        </w:rPr>
        <w:noBreakHyphen/>
        <w:t>LVCs with remaining eligible consumption.</w:t>
      </w:r>
    </w:p>
    <w:p w14:paraId="49574632" w14:textId="77777777" w:rsidR="00E62558" w:rsidRPr="00D245AD" w:rsidRDefault="00E62558" w:rsidP="00E62558">
      <w:pPr>
        <w:pStyle w:val="NormalNonumber"/>
      </w:pPr>
      <w:r w:rsidRPr="00D245AD">
        <w:t xml:space="preserve">In calculating funding, RTF applied a deduction of 15% to manufacturing sectors to account for potential ineligible foreign ownership of enterprises. </w:t>
      </w:r>
    </w:p>
    <w:p w14:paraId="35ECC7CF" w14:textId="14DBC3B6" w:rsidR="004F2FD9" w:rsidRDefault="004F2FD9" w:rsidP="004F2FD9">
      <w:pPr>
        <w:pStyle w:val="NormalNonumber"/>
      </w:pPr>
      <w:r w:rsidRPr="004F2FD9">
        <w:t>The RTF considered options for scenarios for a funding range within the scope of its TOR, including whether to apply the latest CEs approved for the party with the highest HCFC consumption, but would need guidance from parties on applying this or other approaches that could considerably change the funding range.</w:t>
      </w:r>
    </w:p>
    <w:p w14:paraId="342CB7FE" w14:textId="0EFE6024" w:rsidR="00E62558" w:rsidRPr="00D245AD" w:rsidRDefault="00E62558" w:rsidP="00E62558">
      <w:pPr>
        <w:pStyle w:val="NormalNonumber"/>
      </w:pPr>
      <w:r w:rsidRPr="00D245AD">
        <w:t>RTF considered the total phaseout to happen by 2030 with the special allowances under the Montreal Protocol, as described previously, regarding the servicing tail. ExCom Decision 62/17 “requested the bilateral and IAs, when preparing multi-year HPMPs, to ensure that the last tranche comprised 10% of the total funding for the refrigeration servicing sector in the agreement and was scheduled for the last year of the plan.” RTF considered that the last tranche of the HPMPs would occur in 2030; consequently, 90% of the total phase-out resource allocation would be within the 2027-2029 triennium and the 10% for the last tranche would be allocated to the next triennium 2030-2032, following the intention of decision ExCom 62/17.</w:t>
      </w:r>
    </w:p>
    <w:p w14:paraId="329B5E38" w14:textId="77777777" w:rsidR="00E62558" w:rsidRPr="00D245AD" w:rsidRDefault="00E62558" w:rsidP="00E62558">
      <w:pPr>
        <w:pStyle w:val="CH3"/>
        <w:rPr>
          <w:b w:val="0"/>
          <w:bCs/>
          <w:i/>
          <w:iCs/>
        </w:rPr>
      </w:pPr>
      <w:r w:rsidRPr="00D245AD">
        <w:rPr>
          <w:bCs/>
          <w:i/>
          <w:iCs/>
        </w:rPr>
        <w:tab/>
      </w:r>
      <w:r w:rsidRPr="00D245AD">
        <w:rPr>
          <w:bCs/>
          <w:i/>
          <w:iCs/>
        </w:rPr>
        <w:tab/>
        <w:t>Production sector</w:t>
      </w:r>
    </w:p>
    <w:p w14:paraId="0D7A671C" w14:textId="77777777" w:rsidR="00E62558" w:rsidRPr="00D245AD" w:rsidRDefault="00E62558" w:rsidP="00E62558">
      <w:pPr>
        <w:pStyle w:val="NormalNonumber"/>
      </w:pPr>
      <w:r w:rsidRPr="00D245AD">
        <w:t>The total production of HCFC is well below the aggregated production baseline. Only one production sector project (China Stage III HCFC Production Phaseout Management Plan (HPPMP)) had been included in the “Consolidated Business Plan of the Multilateral Fund for 2026-2028” and would require funding in the 2027-2029 triennium.</w:t>
      </w:r>
    </w:p>
    <w:p w14:paraId="2BD24BB4" w14:textId="77777777" w:rsidR="00E62558" w:rsidRPr="00D245AD" w:rsidRDefault="00E62558" w:rsidP="00E62558">
      <w:pPr>
        <w:pStyle w:val="CH2"/>
      </w:pPr>
      <w:r w:rsidRPr="00D245AD">
        <w:tab/>
      </w:r>
      <w:r w:rsidRPr="00D245AD">
        <w:tab/>
        <w:t>Summary of Funding Estimates for HCFC Phaseout in the Consumption and Production Sectors</w:t>
      </w:r>
    </w:p>
    <w:p w14:paraId="3DAF0A83" w14:textId="77777777" w:rsidR="00E62558" w:rsidRPr="00D245AD" w:rsidRDefault="00E62558" w:rsidP="00E62558">
      <w:pPr>
        <w:pStyle w:val="NormalNonumber"/>
      </w:pPr>
      <w:r w:rsidRPr="00D245AD">
        <w:t>The estimated total funding requirement range for 2027-2029 triennium and 2030-2032 triennium for the HCFC consumption and production sectors are summarised below and in Table ES.2:</w:t>
      </w:r>
    </w:p>
    <w:p w14:paraId="7F33206C" w14:textId="77777777" w:rsidR="00E62558" w:rsidRPr="00D245AD" w:rsidRDefault="00E62558" w:rsidP="00E62558">
      <w:pPr>
        <w:pStyle w:val="NormalNonumber"/>
        <w:numPr>
          <w:ilvl w:val="0"/>
          <w:numId w:val="31"/>
        </w:numPr>
        <w:tabs>
          <w:tab w:val="clear" w:pos="1247"/>
          <w:tab w:val="clear" w:pos="1871"/>
          <w:tab w:val="clear" w:pos="2495"/>
          <w:tab w:val="clear" w:pos="3119"/>
          <w:tab w:val="clear" w:pos="3742"/>
          <w:tab w:val="clear" w:pos="4366"/>
          <w:tab w:val="clear" w:pos="4990"/>
        </w:tabs>
        <w:ind w:left="1871" w:hanging="624"/>
        <w:rPr>
          <w:b/>
          <w:bCs/>
        </w:rPr>
      </w:pPr>
      <w:r w:rsidRPr="00D245AD">
        <w:rPr>
          <w:b/>
          <w:bCs/>
        </w:rPr>
        <w:t>2027-2029: US$ 451 million to US$ 573 million</w:t>
      </w:r>
    </w:p>
    <w:p w14:paraId="676FD175" w14:textId="77777777" w:rsidR="00E62558" w:rsidRPr="00D245AD" w:rsidRDefault="00E62558" w:rsidP="00E62558">
      <w:pPr>
        <w:pStyle w:val="NormalNonumber"/>
        <w:numPr>
          <w:ilvl w:val="0"/>
          <w:numId w:val="31"/>
        </w:numPr>
        <w:tabs>
          <w:tab w:val="clear" w:pos="1247"/>
          <w:tab w:val="clear" w:pos="1871"/>
          <w:tab w:val="clear" w:pos="2495"/>
          <w:tab w:val="clear" w:pos="3119"/>
          <w:tab w:val="clear" w:pos="3742"/>
          <w:tab w:val="clear" w:pos="4366"/>
          <w:tab w:val="clear" w:pos="4990"/>
        </w:tabs>
        <w:ind w:left="1871" w:hanging="624"/>
        <w:rPr>
          <w:b/>
          <w:bCs/>
        </w:rPr>
      </w:pPr>
      <w:r w:rsidRPr="00D245AD">
        <w:rPr>
          <w:b/>
          <w:bCs/>
        </w:rPr>
        <w:t>2030-2032: US$ 83 million to US$ 96 million</w:t>
      </w:r>
    </w:p>
    <w:p w14:paraId="47C36A04" w14:textId="77777777" w:rsidR="00E62558" w:rsidRPr="00E0168F" w:rsidRDefault="00E62558" w:rsidP="00E62558">
      <w:pPr>
        <w:pStyle w:val="Titletable"/>
      </w:pPr>
      <w:r w:rsidRPr="00D245AD">
        <w:rPr>
          <w:b w:val="0"/>
          <w:bCs w:val="0"/>
        </w:rPr>
        <w:t>Table ES.2</w:t>
      </w:r>
      <w:r w:rsidRPr="00D245AD">
        <w:br/>
        <w:t>Estimated funding requirement for HCFC total phase-out for 2027-2029 and 2030-2032 (US$ million)</w:t>
      </w:r>
    </w:p>
    <w:tbl>
      <w:tblPr>
        <w:tblW w:w="8307" w:type="dxa"/>
        <w:jc w:val="right"/>
        <w:tblCellMar>
          <w:left w:w="0" w:type="dxa"/>
          <w:right w:w="0" w:type="dxa"/>
        </w:tblCellMar>
        <w:tblLook w:val="04A0" w:firstRow="1" w:lastRow="0" w:firstColumn="1" w:lastColumn="0" w:noHBand="0" w:noVBand="1"/>
      </w:tblPr>
      <w:tblGrid>
        <w:gridCol w:w="1982"/>
        <w:gridCol w:w="2407"/>
        <w:gridCol w:w="1959"/>
        <w:gridCol w:w="1959"/>
      </w:tblGrid>
      <w:tr w:rsidR="00E62558" w:rsidRPr="00D245AD" w14:paraId="5A5FFCE7" w14:textId="77777777" w:rsidTr="00460DF6">
        <w:trPr>
          <w:trHeight w:val="307"/>
          <w:jc w:val="right"/>
        </w:trPr>
        <w:tc>
          <w:tcPr>
            <w:tcW w:w="1193" w:type="pct"/>
            <w:vMerge w:val="restart"/>
            <w:tcBorders>
              <w:top w:val="single" w:sz="4" w:space="0" w:color="auto"/>
              <w:bottom w:val="single" w:sz="12" w:space="0" w:color="auto"/>
            </w:tcBorders>
            <w:vAlign w:val="bottom"/>
          </w:tcPr>
          <w:p w14:paraId="2EC7069A" w14:textId="77777777" w:rsidR="00E62558" w:rsidRPr="00D245AD" w:rsidRDefault="00E62558" w:rsidP="001940D7">
            <w:pPr>
              <w:pStyle w:val="Normal-pool-Table"/>
              <w:rPr>
                <w:i/>
                <w:iCs/>
                <w:lang w:val="en-US"/>
              </w:rPr>
            </w:pPr>
            <w:r w:rsidRPr="00D245AD">
              <w:rPr>
                <w:i/>
                <w:iCs/>
                <w:lang w:val="en-US"/>
              </w:rPr>
              <w:t>Triennium</w:t>
            </w:r>
          </w:p>
        </w:tc>
        <w:tc>
          <w:tcPr>
            <w:tcW w:w="1449" w:type="pct"/>
            <w:vMerge w:val="restart"/>
            <w:tcBorders>
              <w:top w:val="single" w:sz="4" w:space="0" w:color="auto"/>
              <w:bottom w:val="single" w:sz="12" w:space="0" w:color="auto"/>
            </w:tcBorders>
            <w:vAlign w:val="bottom"/>
            <w:hideMark/>
          </w:tcPr>
          <w:p w14:paraId="2455120C" w14:textId="77777777" w:rsidR="00E62558" w:rsidRPr="00D245AD" w:rsidRDefault="00E62558" w:rsidP="001940D7">
            <w:pPr>
              <w:pStyle w:val="Normal-pool-Table"/>
              <w:rPr>
                <w:rFonts w:ascii="Segoe UI" w:hAnsi="Segoe UI" w:cs="Segoe UI"/>
                <w:i/>
                <w:iCs/>
                <w:szCs w:val="18"/>
                <w:lang w:val="en-US"/>
              </w:rPr>
            </w:pPr>
            <w:r w:rsidRPr="00D245AD">
              <w:rPr>
                <w:i/>
                <w:iCs/>
                <w:lang w:val="en-US"/>
              </w:rPr>
              <w:t>Sector</w:t>
            </w:r>
          </w:p>
        </w:tc>
        <w:tc>
          <w:tcPr>
            <w:tcW w:w="2358" w:type="pct"/>
            <w:gridSpan w:val="2"/>
            <w:tcBorders>
              <w:top w:val="single" w:sz="4" w:space="0" w:color="auto"/>
              <w:bottom w:val="single" w:sz="4" w:space="0" w:color="auto"/>
            </w:tcBorders>
            <w:vAlign w:val="bottom"/>
            <w:hideMark/>
          </w:tcPr>
          <w:p w14:paraId="6EA21080" w14:textId="77777777" w:rsidR="00E62558" w:rsidRPr="00D245AD" w:rsidRDefault="00E62558" w:rsidP="001940D7">
            <w:pPr>
              <w:pStyle w:val="Normal-pool-Table"/>
              <w:jc w:val="center"/>
              <w:rPr>
                <w:rFonts w:ascii="Segoe UI" w:hAnsi="Segoe UI" w:cs="Segoe UI"/>
                <w:i/>
                <w:iCs/>
                <w:szCs w:val="18"/>
                <w:lang w:val="en-US"/>
              </w:rPr>
            </w:pPr>
            <w:r w:rsidRPr="00D245AD">
              <w:rPr>
                <w:i/>
                <w:iCs/>
                <w:lang w:val="en-US"/>
              </w:rPr>
              <w:t>HCFC ESTIMATED FUNDING RANGE</w:t>
            </w:r>
          </w:p>
        </w:tc>
      </w:tr>
      <w:tr w:rsidR="00E62558" w:rsidRPr="00D245AD" w14:paraId="16A98343" w14:textId="77777777" w:rsidTr="00460DF6">
        <w:trPr>
          <w:trHeight w:val="61"/>
          <w:jc w:val="right"/>
        </w:trPr>
        <w:tc>
          <w:tcPr>
            <w:tcW w:w="1193" w:type="pct"/>
            <w:vMerge/>
            <w:tcBorders>
              <w:bottom w:val="single" w:sz="12" w:space="0" w:color="auto"/>
            </w:tcBorders>
            <w:vAlign w:val="bottom"/>
          </w:tcPr>
          <w:p w14:paraId="2F76143E" w14:textId="77777777" w:rsidR="00E62558" w:rsidRPr="00D245AD" w:rsidRDefault="00E62558" w:rsidP="001940D7">
            <w:pPr>
              <w:pStyle w:val="Normal-pool-Table"/>
              <w:rPr>
                <w:rFonts w:ascii="Segoe UI" w:hAnsi="Segoe UI" w:cs="Segoe UI"/>
                <w:i/>
                <w:iCs/>
                <w:szCs w:val="18"/>
                <w:lang w:val="en-US"/>
              </w:rPr>
            </w:pPr>
          </w:p>
        </w:tc>
        <w:tc>
          <w:tcPr>
            <w:tcW w:w="1449" w:type="pct"/>
            <w:vMerge/>
            <w:tcBorders>
              <w:bottom w:val="single" w:sz="12" w:space="0" w:color="auto"/>
            </w:tcBorders>
            <w:vAlign w:val="bottom"/>
            <w:hideMark/>
          </w:tcPr>
          <w:p w14:paraId="5FF35EB2" w14:textId="77777777" w:rsidR="00E62558" w:rsidRPr="00D245AD" w:rsidRDefault="00E62558" w:rsidP="001940D7">
            <w:pPr>
              <w:pStyle w:val="Normal-pool-Table"/>
              <w:rPr>
                <w:rFonts w:ascii="Segoe UI" w:hAnsi="Segoe UI" w:cs="Segoe UI"/>
                <w:i/>
                <w:iCs/>
                <w:szCs w:val="18"/>
                <w:lang w:val="en-US"/>
              </w:rPr>
            </w:pPr>
          </w:p>
        </w:tc>
        <w:tc>
          <w:tcPr>
            <w:tcW w:w="1179" w:type="pct"/>
            <w:tcBorders>
              <w:top w:val="single" w:sz="4" w:space="0" w:color="auto"/>
              <w:bottom w:val="single" w:sz="12" w:space="0" w:color="auto"/>
            </w:tcBorders>
            <w:vAlign w:val="bottom"/>
            <w:hideMark/>
          </w:tcPr>
          <w:p w14:paraId="1684BA25" w14:textId="77777777" w:rsidR="00E62558" w:rsidRPr="00D245AD" w:rsidRDefault="00E62558" w:rsidP="001940D7">
            <w:pPr>
              <w:pStyle w:val="Normal-pool-Table"/>
              <w:jc w:val="right"/>
              <w:rPr>
                <w:rFonts w:ascii="Segoe UI" w:hAnsi="Segoe UI" w:cs="Segoe UI"/>
                <w:i/>
                <w:iCs/>
                <w:szCs w:val="18"/>
                <w:lang w:val="en-US"/>
              </w:rPr>
            </w:pPr>
            <w:r w:rsidRPr="00D245AD">
              <w:rPr>
                <w:i/>
                <w:iCs/>
                <w:lang w:val="en-US"/>
              </w:rPr>
              <w:t>HCFC Scenario 1 with 90%/10% Allocation</w:t>
            </w:r>
          </w:p>
        </w:tc>
        <w:tc>
          <w:tcPr>
            <w:tcW w:w="1179" w:type="pct"/>
            <w:tcBorders>
              <w:top w:val="single" w:sz="4" w:space="0" w:color="auto"/>
              <w:bottom w:val="single" w:sz="12" w:space="0" w:color="auto"/>
            </w:tcBorders>
            <w:vAlign w:val="bottom"/>
            <w:hideMark/>
          </w:tcPr>
          <w:p w14:paraId="7CE5CAFF" w14:textId="77777777" w:rsidR="00E62558" w:rsidRPr="00D245AD" w:rsidRDefault="00E62558" w:rsidP="001940D7">
            <w:pPr>
              <w:pStyle w:val="Normal-pool-Table"/>
              <w:jc w:val="right"/>
              <w:rPr>
                <w:rFonts w:ascii="Segoe UI" w:hAnsi="Segoe UI" w:cs="Segoe UI"/>
                <w:i/>
                <w:iCs/>
                <w:szCs w:val="18"/>
                <w:lang w:val="en-US"/>
              </w:rPr>
            </w:pPr>
            <w:r w:rsidRPr="00D245AD">
              <w:rPr>
                <w:i/>
                <w:iCs/>
                <w:lang w:val="en-US"/>
              </w:rPr>
              <w:t>HCFC Scenario 2 with 90%/10% Allocation</w:t>
            </w:r>
          </w:p>
        </w:tc>
      </w:tr>
      <w:tr w:rsidR="00E62558" w:rsidRPr="00D245AD" w14:paraId="737B5E8D" w14:textId="77777777" w:rsidTr="00460DF6">
        <w:trPr>
          <w:trHeight w:val="291"/>
          <w:jc w:val="right"/>
        </w:trPr>
        <w:tc>
          <w:tcPr>
            <w:tcW w:w="1193" w:type="pct"/>
            <w:vMerge w:val="restart"/>
            <w:tcBorders>
              <w:top w:val="single" w:sz="12" w:space="0" w:color="auto"/>
            </w:tcBorders>
            <w:vAlign w:val="center"/>
          </w:tcPr>
          <w:p w14:paraId="001D671A" w14:textId="77777777" w:rsidR="00E62558" w:rsidRPr="00D245AD" w:rsidRDefault="00E62558" w:rsidP="001940D7">
            <w:pPr>
              <w:pStyle w:val="Normal-pool-Table"/>
              <w:rPr>
                <w:lang w:val="en-US"/>
              </w:rPr>
            </w:pPr>
            <w:r w:rsidRPr="00D245AD">
              <w:rPr>
                <w:lang w:val="en-US"/>
              </w:rPr>
              <w:t>2027-2029</w:t>
            </w:r>
          </w:p>
        </w:tc>
        <w:tc>
          <w:tcPr>
            <w:tcW w:w="1449" w:type="pct"/>
            <w:tcBorders>
              <w:top w:val="single" w:sz="12" w:space="0" w:color="auto"/>
            </w:tcBorders>
            <w:vAlign w:val="bottom"/>
            <w:hideMark/>
          </w:tcPr>
          <w:p w14:paraId="0309080C" w14:textId="77777777" w:rsidR="00E62558" w:rsidRPr="00D245AD" w:rsidRDefault="00E62558" w:rsidP="001940D7">
            <w:pPr>
              <w:pStyle w:val="Normal-pool-Table"/>
              <w:rPr>
                <w:rFonts w:ascii="Segoe UI" w:hAnsi="Segoe UI" w:cs="Segoe UI"/>
                <w:szCs w:val="18"/>
                <w:lang w:val="en-US"/>
              </w:rPr>
            </w:pPr>
            <w:r w:rsidRPr="00D245AD">
              <w:rPr>
                <w:lang w:val="en-US"/>
              </w:rPr>
              <w:t xml:space="preserve">HCFC Consumption sector </w:t>
            </w:r>
          </w:p>
        </w:tc>
        <w:tc>
          <w:tcPr>
            <w:tcW w:w="1179" w:type="pct"/>
            <w:tcBorders>
              <w:top w:val="single" w:sz="12" w:space="0" w:color="auto"/>
            </w:tcBorders>
            <w:vAlign w:val="center"/>
            <w:hideMark/>
          </w:tcPr>
          <w:p w14:paraId="0C865F4C" w14:textId="77777777" w:rsidR="00E62558" w:rsidRPr="00D245AD" w:rsidRDefault="00E62558" w:rsidP="001940D7">
            <w:pPr>
              <w:pStyle w:val="Normal-pool-Table"/>
              <w:jc w:val="right"/>
              <w:rPr>
                <w:rFonts w:ascii="Segoe UI" w:hAnsi="Segoe UI" w:cs="Segoe UI"/>
                <w:szCs w:val="18"/>
                <w:lang w:val="en-US"/>
              </w:rPr>
            </w:pPr>
            <w:r w:rsidRPr="00D245AD">
              <w:rPr>
                <w:lang w:val="en-US"/>
              </w:rPr>
              <w:t>427.56</w:t>
            </w:r>
          </w:p>
        </w:tc>
        <w:tc>
          <w:tcPr>
            <w:tcW w:w="1179" w:type="pct"/>
            <w:tcBorders>
              <w:top w:val="single" w:sz="12" w:space="0" w:color="auto"/>
            </w:tcBorders>
            <w:vAlign w:val="center"/>
            <w:hideMark/>
          </w:tcPr>
          <w:p w14:paraId="1A02AB89" w14:textId="77777777" w:rsidR="00E62558" w:rsidRPr="00D245AD" w:rsidRDefault="00E62558" w:rsidP="001940D7">
            <w:pPr>
              <w:pStyle w:val="Normal-pool-Table"/>
              <w:jc w:val="right"/>
              <w:rPr>
                <w:rFonts w:ascii="Segoe UI" w:hAnsi="Segoe UI" w:cs="Segoe UI"/>
                <w:szCs w:val="18"/>
                <w:lang w:val="en-US"/>
              </w:rPr>
            </w:pPr>
            <w:r w:rsidRPr="00D245AD">
              <w:rPr>
                <w:lang w:val="en-US"/>
              </w:rPr>
              <w:t>549.44</w:t>
            </w:r>
          </w:p>
        </w:tc>
      </w:tr>
      <w:tr w:rsidR="00E62558" w:rsidRPr="00D245AD" w14:paraId="3744F48D" w14:textId="77777777" w:rsidTr="00460DF6">
        <w:trPr>
          <w:trHeight w:val="291"/>
          <w:jc w:val="right"/>
        </w:trPr>
        <w:tc>
          <w:tcPr>
            <w:tcW w:w="1193" w:type="pct"/>
            <w:vMerge/>
          </w:tcPr>
          <w:p w14:paraId="5EE73D1F" w14:textId="77777777" w:rsidR="00E62558" w:rsidRPr="00D245AD" w:rsidRDefault="00E62558" w:rsidP="001940D7">
            <w:pPr>
              <w:pStyle w:val="Normal-pool-Table"/>
              <w:rPr>
                <w:lang w:val="en-US"/>
              </w:rPr>
            </w:pPr>
          </w:p>
        </w:tc>
        <w:tc>
          <w:tcPr>
            <w:tcW w:w="1449" w:type="pct"/>
            <w:tcBorders>
              <w:bottom w:val="single" w:sz="4" w:space="0" w:color="auto"/>
            </w:tcBorders>
            <w:vAlign w:val="bottom"/>
          </w:tcPr>
          <w:p w14:paraId="6820B416" w14:textId="77777777" w:rsidR="00E62558" w:rsidRPr="00D245AD" w:rsidRDefault="00E62558" w:rsidP="001940D7">
            <w:pPr>
              <w:pStyle w:val="Normal-pool-Table"/>
              <w:rPr>
                <w:lang w:val="en-US"/>
              </w:rPr>
            </w:pPr>
            <w:r w:rsidRPr="00D245AD">
              <w:rPr>
                <w:lang w:val="en-US"/>
              </w:rPr>
              <w:t>HCFC Production sector</w:t>
            </w:r>
          </w:p>
        </w:tc>
        <w:tc>
          <w:tcPr>
            <w:tcW w:w="1179" w:type="pct"/>
            <w:tcBorders>
              <w:bottom w:val="single" w:sz="4" w:space="0" w:color="auto"/>
            </w:tcBorders>
            <w:vAlign w:val="center"/>
          </w:tcPr>
          <w:p w14:paraId="49A9AA6D" w14:textId="77777777" w:rsidR="00E62558" w:rsidRPr="00D245AD" w:rsidRDefault="00E62558" w:rsidP="001940D7">
            <w:pPr>
              <w:pStyle w:val="Normal-pool-Table"/>
              <w:jc w:val="right"/>
              <w:rPr>
                <w:lang w:val="en-US"/>
              </w:rPr>
            </w:pPr>
            <w:r w:rsidRPr="00D245AD">
              <w:rPr>
                <w:lang w:val="en-US"/>
              </w:rPr>
              <w:t>23.54</w:t>
            </w:r>
          </w:p>
        </w:tc>
        <w:tc>
          <w:tcPr>
            <w:tcW w:w="1179" w:type="pct"/>
            <w:tcBorders>
              <w:bottom w:val="single" w:sz="4" w:space="0" w:color="auto"/>
            </w:tcBorders>
            <w:vAlign w:val="center"/>
          </w:tcPr>
          <w:p w14:paraId="0CFBE9CC" w14:textId="77777777" w:rsidR="00E62558" w:rsidRPr="00D245AD" w:rsidRDefault="00E62558" w:rsidP="001940D7">
            <w:pPr>
              <w:pStyle w:val="Normal-pool-Table"/>
              <w:jc w:val="right"/>
              <w:rPr>
                <w:lang w:val="en-US"/>
              </w:rPr>
            </w:pPr>
            <w:r w:rsidRPr="00D245AD">
              <w:rPr>
                <w:lang w:val="en-US"/>
              </w:rPr>
              <w:t>23.54</w:t>
            </w:r>
          </w:p>
        </w:tc>
      </w:tr>
      <w:tr w:rsidR="00E62558" w:rsidRPr="00D245AD" w14:paraId="2610E036" w14:textId="77777777" w:rsidTr="00460DF6">
        <w:trPr>
          <w:trHeight w:val="291"/>
          <w:jc w:val="right"/>
        </w:trPr>
        <w:tc>
          <w:tcPr>
            <w:tcW w:w="1193" w:type="pct"/>
            <w:vMerge/>
          </w:tcPr>
          <w:p w14:paraId="6B669CF6" w14:textId="77777777" w:rsidR="00E62558" w:rsidRPr="00D245AD" w:rsidRDefault="00E62558" w:rsidP="001940D7">
            <w:pPr>
              <w:pStyle w:val="Normal-pool-Table"/>
              <w:rPr>
                <w:lang w:val="en-US"/>
              </w:rPr>
            </w:pPr>
          </w:p>
        </w:tc>
        <w:tc>
          <w:tcPr>
            <w:tcW w:w="1449" w:type="pct"/>
            <w:tcBorders>
              <w:top w:val="single" w:sz="4" w:space="0" w:color="auto"/>
              <w:bottom w:val="single" w:sz="4" w:space="0" w:color="auto"/>
            </w:tcBorders>
            <w:vAlign w:val="bottom"/>
          </w:tcPr>
          <w:p w14:paraId="5AA07E1B" w14:textId="77777777" w:rsidR="00E62558" w:rsidRPr="00D245AD" w:rsidRDefault="00E62558" w:rsidP="001940D7">
            <w:pPr>
              <w:pStyle w:val="Normal-pool-Table"/>
              <w:rPr>
                <w:b/>
                <w:bCs/>
                <w:lang w:val="en-US"/>
              </w:rPr>
            </w:pPr>
            <w:r w:rsidRPr="00D245AD">
              <w:rPr>
                <w:b/>
                <w:bCs/>
                <w:lang w:val="en-US"/>
              </w:rPr>
              <w:t>TOTAL RANGE</w:t>
            </w:r>
          </w:p>
        </w:tc>
        <w:tc>
          <w:tcPr>
            <w:tcW w:w="1179" w:type="pct"/>
            <w:tcBorders>
              <w:top w:val="single" w:sz="4" w:space="0" w:color="auto"/>
              <w:bottom w:val="single" w:sz="4" w:space="0" w:color="auto"/>
            </w:tcBorders>
            <w:vAlign w:val="center"/>
          </w:tcPr>
          <w:p w14:paraId="5A12ABA5" w14:textId="77777777" w:rsidR="00E62558" w:rsidRPr="00D245AD" w:rsidRDefault="00E62558" w:rsidP="001940D7">
            <w:pPr>
              <w:pStyle w:val="Normal-pool-Table"/>
              <w:jc w:val="right"/>
              <w:rPr>
                <w:b/>
                <w:bCs/>
                <w:lang w:val="en-US"/>
              </w:rPr>
            </w:pPr>
            <w:r w:rsidRPr="00D245AD">
              <w:rPr>
                <w:b/>
                <w:bCs/>
                <w:lang w:val="en-US"/>
              </w:rPr>
              <w:t>451.10</w:t>
            </w:r>
          </w:p>
        </w:tc>
        <w:tc>
          <w:tcPr>
            <w:tcW w:w="1179" w:type="pct"/>
            <w:tcBorders>
              <w:top w:val="single" w:sz="4" w:space="0" w:color="auto"/>
              <w:bottom w:val="single" w:sz="4" w:space="0" w:color="auto"/>
            </w:tcBorders>
            <w:vAlign w:val="center"/>
          </w:tcPr>
          <w:p w14:paraId="194FD0FB" w14:textId="77777777" w:rsidR="00E62558" w:rsidRPr="00D245AD" w:rsidRDefault="00E62558" w:rsidP="001940D7">
            <w:pPr>
              <w:pStyle w:val="Normal-pool-Table"/>
              <w:jc w:val="right"/>
              <w:rPr>
                <w:b/>
                <w:bCs/>
                <w:lang w:val="en-US"/>
              </w:rPr>
            </w:pPr>
            <w:r w:rsidRPr="00D245AD">
              <w:rPr>
                <w:b/>
                <w:bCs/>
                <w:lang w:val="en-US"/>
              </w:rPr>
              <w:t>572.98</w:t>
            </w:r>
          </w:p>
        </w:tc>
      </w:tr>
      <w:tr w:rsidR="00E62558" w:rsidRPr="00D245AD" w14:paraId="57B6E5EA" w14:textId="77777777" w:rsidTr="00460DF6">
        <w:trPr>
          <w:trHeight w:val="291"/>
          <w:jc w:val="right"/>
        </w:trPr>
        <w:tc>
          <w:tcPr>
            <w:tcW w:w="1193" w:type="pct"/>
            <w:vMerge w:val="restart"/>
            <w:tcBorders>
              <w:bottom w:val="single" w:sz="12" w:space="0" w:color="auto"/>
            </w:tcBorders>
            <w:vAlign w:val="center"/>
          </w:tcPr>
          <w:p w14:paraId="707645D7" w14:textId="77777777" w:rsidR="00E62558" w:rsidRPr="00D245AD" w:rsidRDefault="00E62558" w:rsidP="001940D7">
            <w:pPr>
              <w:pStyle w:val="Normal-pool-Table"/>
              <w:rPr>
                <w:lang w:val="en-US"/>
              </w:rPr>
            </w:pPr>
            <w:r w:rsidRPr="00D245AD">
              <w:rPr>
                <w:lang w:val="en-US"/>
              </w:rPr>
              <w:t>2030-2032</w:t>
            </w:r>
          </w:p>
        </w:tc>
        <w:tc>
          <w:tcPr>
            <w:tcW w:w="1449" w:type="pct"/>
            <w:tcBorders>
              <w:top w:val="single" w:sz="4" w:space="0" w:color="auto"/>
            </w:tcBorders>
            <w:vAlign w:val="bottom"/>
          </w:tcPr>
          <w:p w14:paraId="04623B3A" w14:textId="77777777" w:rsidR="00E62558" w:rsidRPr="00D245AD" w:rsidRDefault="00E62558" w:rsidP="001940D7">
            <w:pPr>
              <w:pStyle w:val="Normal-pool-Table"/>
              <w:rPr>
                <w:lang w:val="en-US"/>
              </w:rPr>
            </w:pPr>
            <w:r w:rsidRPr="00D245AD">
              <w:rPr>
                <w:lang w:val="en-US"/>
              </w:rPr>
              <w:t xml:space="preserve">HCFC Consumption sector </w:t>
            </w:r>
          </w:p>
        </w:tc>
        <w:tc>
          <w:tcPr>
            <w:tcW w:w="1179" w:type="pct"/>
            <w:tcBorders>
              <w:top w:val="single" w:sz="4" w:space="0" w:color="auto"/>
            </w:tcBorders>
            <w:vAlign w:val="center"/>
          </w:tcPr>
          <w:p w14:paraId="4786C5C2" w14:textId="77777777" w:rsidR="00E62558" w:rsidRPr="00D245AD" w:rsidRDefault="00E62558" w:rsidP="001940D7">
            <w:pPr>
              <w:pStyle w:val="Normal-pool-Table"/>
              <w:jc w:val="right"/>
              <w:rPr>
                <w:lang w:val="en-US"/>
              </w:rPr>
            </w:pPr>
            <w:r w:rsidRPr="00D245AD">
              <w:rPr>
                <w:lang w:val="en-US"/>
              </w:rPr>
              <w:t>58.96</w:t>
            </w:r>
          </w:p>
        </w:tc>
        <w:tc>
          <w:tcPr>
            <w:tcW w:w="1179" w:type="pct"/>
            <w:tcBorders>
              <w:top w:val="single" w:sz="4" w:space="0" w:color="auto"/>
            </w:tcBorders>
            <w:vAlign w:val="center"/>
          </w:tcPr>
          <w:p w14:paraId="185D8B54" w14:textId="77777777" w:rsidR="00E62558" w:rsidRPr="00D245AD" w:rsidRDefault="00E62558" w:rsidP="001940D7">
            <w:pPr>
              <w:pStyle w:val="Normal-pool-Table"/>
              <w:jc w:val="right"/>
              <w:rPr>
                <w:lang w:val="en-US"/>
              </w:rPr>
            </w:pPr>
            <w:r w:rsidRPr="00D245AD">
              <w:rPr>
                <w:lang w:val="en-US"/>
              </w:rPr>
              <w:t>72.50</w:t>
            </w:r>
          </w:p>
        </w:tc>
      </w:tr>
      <w:tr w:rsidR="00E62558" w:rsidRPr="00D245AD" w14:paraId="1203720B" w14:textId="77777777" w:rsidTr="00460DF6">
        <w:trPr>
          <w:trHeight w:val="291"/>
          <w:jc w:val="right"/>
        </w:trPr>
        <w:tc>
          <w:tcPr>
            <w:tcW w:w="1193" w:type="pct"/>
            <w:vMerge/>
            <w:tcBorders>
              <w:bottom w:val="single" w:sz="12" w:space="0" w:color="auto"/>
            </w:tcBorders>
          </w:tcPr>
          <w:p w14:paraId="1E9F1807" w14:textId="77777777" w:rsidR="00E62558" w:rsidRPr="00D245AD" w:rsidRDefault="00E62558" w:rsidP="001940D7">
            <w:pPr>
              <w:pStyle w:val="Normal-pool-Table"/>
              <w:rPr>
                <w:lang w:val="en-US"/>
              </w:rPr>
            </w:pPr>
          </w:p>
        </w:tc>
        <w:tc>
          <w:tcPr>
            <w:tcW w:w="1449" w:type="pct"/>
            <w:tcBorders>
              <w:bottom w:val="single" w:sz="4" w:space="0" w:color="auto"/>
            </w:tcBorders>
            <w:vAlign w:val="bottom"/>
          </w:tcPr>
          <w:p w14:paraId="58698C19" w14:textId="77777777" w:rsidR="00E62558" w:rsidRPr="00D245AD" w:rsidRDefault="00E62558" w:rsidP="001940D7">
            <w:pPr>
              <w:pStyle w:val="Normal-pool-Table"/>
              <w:rPr>
                <w:lang w:val="en-US"/>
              </w:rPr>
            </w:pPr>
            <w:r w:rsidRPr="00D245AD">
              <w:rPr>
                <w:lang w:val="en-US"/>
              </w:rPr>
              <w:t>HCFC Production sector</w:t>
            </w:r>
          </w:p>
        </w:tc>
        <w:tc>
          <w:tcPr>
            <w:tcW w:w="1179" w:type="pct"/>
            <w:tcBorders>
              <w:bottom w:val="single" w:sz="4" w:space="0" w:color="auto"/>
            </w:tcBorders>
            <w:vAlign w:val="center"/>
          </w:tcPr>
          <w:p w14:paraId="643086D4" w14:textId="77777777" w:rsidR="00E62558" w:rsidRPr="00D245AD" w:rsidRDefault="00E62558" w:rsidP="001940D7">
            <w:pPr>
              <w:pStyle w:val="Normal-pool-Table"/>
              <w:jc w:val="right"/>
              <w:rPr>
                <w:lang w:val="en-US"/>
              </w:rPr>
            </w:pPr>
            <w:r w:rsidRPr="00D245AD">
              <w:rPr>
                <w:lang w:val="en-US"/>
              </w:rPr>
              <w:t>23.54</w:t>
            </w:r>
          </w:p>
        </w:tc>
        <w:tc>
          <w:tcPr>
            <w:tcW w:w="1179" w:type="pct"/>
            <w:tcBorders>
              <w:bottom w:val="single" w:sz="4" w:space="0" w:color="auto"/>
            </w:tcBorders>
            <w:vAlign w:val="center"/>
          </w:tcPr>
          <w:p w14:paraId="34B15480" w14:textId="77777777" w:rsidR="00E62558" w:rsidRPr="00D245AD" w:rsidRDefault="00E62558" w:rsidP="001940D7">
            <w:pPr>
              <w:pStyle w:val="Normal-pool-Table"/>
              <w:jc w:val="right"/>
              <w:rPr>
                <w:lang w:val="en-US"/>
              </w:rPr>
            </w:pPr>
            <w:r w:rsidRPr="00D245AD">
              <w:rPr>
                <w:lang w:val="en-US"/>
              </w:rPr>
              <w:t>23.54</w:t>
            </w:r>
          </w:p>
        </w:tc>
      </w:tr>
      <w:tr w:rsidR="00E62558" w:rsidRPr="00D245AD" w14:paraId="5BA10963" w14:textId="77777777" w:rsidTr="00460DF6">
        <w:trPr>
          <w:trHeight w:val="291"/>
          <w:jc w:val="right"/>
        </w:trPr>
        <w:tc>
          <w:tcPr>
            <w:tcW w:w="1193" w:type="pct"/>
            <w:vMerge/>
            <w:tcBorders>
              <w:bottom w:val="single" w:sz="12" w:space="0" w:color="auto"/>
            </w:tcBorders>
          </w:tcPr>
          <w:p w14:paraId="293AC4AC" w14:textId="77777777" w:rsidR="00E62558" w:rsidRPr="00D245AD" w:rsidRDefault="00E62558" w:rsidP="001940D7">
            <w:pPr>
              <w:pStyle w:val="Normal-pool-Table"/>
              <w:rPr>
                <w:lang w:val="en-US"/>
              </w:rPr>
            </w:pPr>
          </w:p>
        </w:tc>
        <w:tc>
          <w:tcPr>
            <w:tcW w:w="1449" w:type="pct"/>
            <w:tcBorders>
              <w:top w:val="single" w:sz="4" w:space="0" w:color="auto"/>
              <w:bottom w:val="single" w:sz="12" w:space="0" w:color="auto"/>
            </w:tcBorders>
            <w:vAlign w:val="bottom"/>
          </w:tcPr>
          <w:p w14:paraId="4E97C88F" w14:textId="77777777" w:rsidR="00E62558" w:rsidRPr="00D245AD" w:rsidRDefault="00E62558" w:rsidP="001940D7">
            <w:pPr>
              <w:pStyle w:val="Normal-pool-Table"/>
              <w:rPr>
                <w:b/>
                <w:bCs/>
                <w:lang w:val="en-US"/>
              </w:rPr>
            </w:pPr>
            <w:r w:rsidRPr="00D245AD">
              <w:rPr>
                <w:b/>
                <w:bCs/>
                <w:lang w:val="en-US"/>
              </w:rPr>
              <w:t>TOTAL RANGE</w:t>
            </w:r>
          </w:p>
        </w:tc>
        <w:tc>
          <w:tcPr>
            <w:tcW w:w="1179" w:type="pct"/>
            <w:tcBorders>
              <w:top w:val="single" w:sz="4" w:space="0" w:color="auto"/>
              <w:bottom w:val="single" w:sz="12" w:space="0" w:color="auto"/>
            </w:tcBorders>
            <w:vAlign w:val="center"/>
          </w:tcPr>
          <w:p w14:paraId="2FF5FA21" w14:textId="77777777" w:rsidR="00E62558" w:rsidRPr="00D245AD" w:rsidRDefault="00E62558" w:rsidP="00306EDE">
            <w:pPr>
              <w:pStyle w:val="Normal-pool-Table"/>
              <w:ind w:right="85"/>
              <w:jc w:val="right"/>
              <w:rPr>
                <w:b/>
                <w:bCs/>
                <w:lang w:val="en-US"/>
              </w:rPr>
            </w:pPr>
            <w:r w:rsidRPr="00D245AD">
              <w:rPr>
                <w:b/>
                <w:bCs/>
                <w:lang w:val="en-US"/>
              </w:rPr>
              <w:t>82.5</w:t>
            </w:r>
          </w:p>
        </w:tc>
        <w:tc>
          <w:tcPr>
            <w:tcW w:w="1179" w:type="pct"/>
            <w:tcBorders>
              <w:top w:val="single" w:sz="4" w:space="0" w:color="auto"/>
              <w:bottom w:val="single" w:sz="12" w:space="0" w:color="auto"/>
            </w:tcBorders>
            <w:vAlign w:val="center"/>
          </w:tcPr>
          <w:p w14:paraId="0A899836" w14:textId="77777777" w:rsidR="00E62558" w:rsidRPr="00D245AD" w:rsidRDefault="00E62558" w:rsidP="001940D7">
            <w:pPr>
              <w:pStyle w:val="Normal-pool-Table"/>
              <w:jc w:val="right"/>
              <w:rPr>
                <w:b/>
                <w:bCs/>
                <w:lang w:val="en-US"/>
              </w:rPr>
            </w:pPr>
            <w:r w:rsidRPr="00D245AD">
              <w:rPr>
                <w:b/>
                <w:bCs/>
                <w:lang w:val="en-US"/>
              </w:rPr>
              <w:t>96.04</w:t>
            </w:r>
          </w:p>
        </w:tc>
      </w:tr>
    </w:tbl>
    <w:p w14:paraId="1C8B7189" w14:textId="6151B43A" w:rsidR="00E62558" w:rsidRPr="00D245AD" w:rsidRDefault="00E62558" w:rsidP="00E62558">
      <w:pPr>
        <w:pStyle w:val="Normalpool"/>
      </w:pPr>
    </w:p>
    <w:p w14:paraId="2C8F5C1A" w14:textId="77777777" w:rsidR="00E62558" w:rsidRPr="00D245AD" w:rsidRDefault="00E62558" w:rsidP="00E62558">
      <w:pPr>
        <w:pStyle w:val="CH2"/>
      </w:pPr>
      <w:r w:rsidRPr="00D245AD">
        <w:lastRenderedPageBreak/>
        <w:tab/>
      </w:r>
      <w:r w:rsidRPr="00D245AD">
        <w:tab/>
        <w:t>HFC phase-down in the consumption and production sectors</w:t>
      </w:r>
    </w:p>
    <w:p w14:paraId="12CD284A" w14:textId="77777777" w:rsidR="00E62558" w:rsidRPr="00D245AD" w:rsidRDefault="00E62558" w:rsidP="00E62558">
      <w:pPr>
        <w:pStyle w:val="CH3"/>
        <w:rPr>
          <w:i/>
          <w:iCs/>
        </w:rPr>
      </w:pPr>
      <w:r w:rsidRPr="00D245AD">
        <w:rPr>
          <w:i/>
          <w:iCs/>
        </w:rPr>
        <w:tab/>
      </w:r>
      <w:r w:rsidRPr="00D245AD">
        <w:rPr>
          <w:i/>
          <w:iCs/>
        </w:rPr>
        <w:tab/>
        <w:t>HFC consumption sector</w:t>
      </w:r>
    </w:p>
    <w:p w14:paraId="638F665D" w14:textId="77777777" w:rsidR="00E62558" w:rsidRPr="00D245AD" w:rsidRDefault="00E62558" w:rsidP="00E62558">
      <w:pPr>
        <w:pStyle w:val="NormalNonumber"/>
      </w:pPr>
      <w:r w:rsidRPr="00D245AD">
        <w:t xml:space="preserve">The estimates for the HFC phase-down funding requirement for the 2027-2029 triennium and future triennia, 2030-2032 and 2033-2035, are based on A5 parties meeting the relevant Group 1 (G1) or Group 2 (G2) reduction targets. </w:t>
      </w:r>
    </w:p>
    <w:p w14:paraId="0F56E291" w14:textId="77777777" w:rsidR="00E62558" w:rsidRPr="00D245AD" w:rsidRDefault="00E62558" w:rsidP="00E62558">
      <w:pPr>
        <w:pStyle w:val="NormalNonumber"/>
        <w:rPr>
          <w:b/>
        </w:rPr>
      </w:pPr>
      <w:r w:rsidRPr="00D245AD">
        <w:t>Estimated funding requirements for the HFC consumption sector include the following:</w:t>
      </w:r>
    </w:p>
    <w:p w14:paraId="133E93EB" w14:textId="77777777" w:rsidR="00E62558" w:rsidRPr="00D245AD" w:rsidRDefault="00E62558" w:rsidP="00E62558">
      <w:pPr>
        <w:pStyle w:val="NormalNonumber"/>
        <w:numPr>
          <w:ilvl w:val="0"/>
          <w:numId w:val="31"/>
        </w:numPr>
        <w:tabs>
          <w:tab w:val="clear" w:pos="1247"/>
          <w:tab w:val="clear" w:pos="1871"/>
          <w:tab w:val="clear" w:pos="2495"/>
          <w:tab w:val="clear" w:pos="3119"/>
          <w:tab w:val="clear" w:pos="3742"/>
          <w:tab w:val="clear" w:pos="4366"/>
          <w:tab w:val="clear" w:pos="4990"/>
        </w:tabs>
        <w:ind w:left="1871" w:hanging="624"/>
      </w:pPr>
      <w:r w:rsidRPr="00D245AD">
        <w:t>Committed Funding for approved Kigali HFC Implementation Plans (KIPs);</w:t>
      </w:r>
    </w:p>
    <w:p w14:paraId="62BD5D89" w14:textId="77777777" w:rsidR="00E62558" w:rsidRPr="00D245AD" w:rsidRDefault="00E62558" w:rsidP="00E62558">
      <w:pPr>
        <w:pStyle w:val="NormalNonumber"/>
        <w:numPr>
          <w:ilvl w:val="0"/>
          <w:numId w:val="31"/>
        </w:numPr>
        <w:tabs>
          <w:tab w:val="clear" w:pos="1247"/>
          <w:tab w:val="clear" w:pos="1871"/>
          <w:tab w:val="clear" w:pos="2495"/>
          <w:tab w:val="clear" w:pos="3119"/>
          <w:tab w:val="clear" w:pos="3742"/>
          <w:tab w:val="clear" w:pos="4366"/>
          <w:tab w:val="clear" w:pos="4990"/>
        </w:tabs>
        <w:ind w:left="1871" w:hanging="624"/>
      </w:pPr>
      <w:r w:rsidRPr="00D245AD">
        <w:t>Estimated Funding for new KIPs;</w:t>
      </w:r>
    </w:p>
    <w:p w14:paraId="15BA2F55" w14:textId="77777777" w:rsidR="00E62558" w:rsidRPr="00D245AD" w:rsidRDefault="00E62558" w:rsidP="00E62558">
      <w:pPr>
        <w:pStyle w:val="NormalNonumber"/>
        <w:numPr>
          <w:ilvl w:val="0"/>
          <w:numId w:val="31"/>
        </w:numPr>
        <w:tabs>
          <w:tab w:val="clear" w:pos="1247"/>
          <w:tab w:val="clear" w:pos="1871"/>
          <w:tab w:val="clear" w:pos="2495"/>
          <w:tab w:val="clear" w:pos="3119"/>
          <w:tab w:val="clear" w:pos="3742"/>
          <w:tab w:val="clear" w:pos="4366"/>
          <w:tab w:val="clear" w:pos="4990"/>
        </w:tabs>
        <w:ind w:left="1871" w:hanging="624"/>
      </w:pPr>
      <w:r w:rsidRPr="00D245AD">
        <w:t>Estimated Funding for project preparation costs;</w:t>
      </w:r>
    </w:p>
    <w:p w14:paraId="22B68C33" w14:textId="77777777" w:rsidR="00E62558" w:rsidRPr="00D245AD" w:rsidRDefault="00E62558" w:rsidP="00E62558">
      <w:pPr>
        <w:pStyle w:val="NormalNonumber"/>
        <w:numPr>
          <w:ilvl w:val="0"/>
          <w:numId w:val="31"/>
        </w:numPr>
        <w:tabs>
          <w:tab w:val="clear" w:pos="1247"/>
          <w:tab w:val="clear" w:pos="1871"/>
          <w:tab w:val="clear" w:pos="2495"/>
          <w:tab w:val="clear" w:pos="3119"/>
          <w:tab w:val="clear" w:pos="3742"/>
          <w:tab w:val="clear" w:pos="4366"/>
          <w:tab w:val="clear" w:pos="4990"/>
        </w:tabs>
        <w:ind w:left="1871" w:hanging="624"/>
      </w:pPr>
      <w:r w:rsidRPr="00D245AD">
        <w:t>Estimated Funding for HFC consumption verification;</w:t>
      </w:r>
    </w:p>
    <w:p w14:paraId="502D3C78" w14:textId="77777777" w:rsidR="00E62558" w:rsidRPr="00D245AD" w:rsidRDefault="00E62558" w:rsidP="00E62558">
      <w:pPr>
        <w:pStyle w:val="NormalNonumber"/>
        <w:numPr>
          <w:ilvl w:val="0"/>
          <w:numId w:val="31"/>
        </w:numPr>
        <w:tabs>
          <w:tab w:val="clear" w:pos="1247"/>
          <w:tab w:val="clear" w:pos="1871"/>
          <w:tab w:val="clear" w:pos="2495"/>
          <w:tab w:val="clear" w:pos="3119"/>
          <w:tab w:val="clear" w:pos="3742"/>
          <w:tab w:val="clear" w:pos="4366"/>
          <w:tab w:val="clear" w:pos="4990"/>
        </w:tabs>
        <w:ind w:left="1871" w:hanging="624"/>
      </w:pPr>
      <w:r w:rsidRPr="00D245AD">
        <w:t>Estimated Funding associated with energy efficiency activities (ExCom Decision 91/65 for the servicing sector, ExCom Decision 94/60 for the manufacturing sectors, and ExCom Decision 95/87 for a revolving fund); and</w:t>
      </w:r>
    </w:p>
    <w:p w14:paraId="7275AD6B" w14:textId="77777777" w:rsidR="00E62558" w:rsidRPr="00D245AD" w:rsidRDefault="00E62558" w:rsidP="00E62558">
      <w:pPr>
        <w:pStyle w:val="NormalNonumber"/>
        <w:numPr>
          <w:ilvl w:val="0"/>
          <w:numId w:val="31"/>
        </w:numPr>
        <w:tabs>
          <w:tab w:val="clear" w:pos="1247"/>
          <w:tab w:val="clear" w:pos="1871"/>
          <w:tab w:val="clear" w:pos="2495"/>
          <w:tab w:val="clear" w:pos="3119"/>
          <w:tab w:val="clear" w:pos="3742"/>
          <w:tab w:val="clear" w:pos="4366"/>
          <w:tab w:val="clear" w:pos="4990"/>
        </w:tabs>
        <w:ind w:left="1871" w:hanging="624"/>
      </w:pPr>
      <w:r w:rsidRPr="00D245AD">
        <w:t xml:space="preserve">Funding for enhancing regional atmospheric monitoring capacity. </w:t>
      </w:r>
    </w:p>
    <w:p w14:paraId="278ADC4E" w14:textId="77777777" w:rsidR="00E62558" w:rsidRPr="00D245AD" w:rsidRDefault="00E62558" w:rsidP="00E62558">
      <w:pPr>
        <w:pStyle w:val="NormalNonumber"/>
      </w:pPr>
      <w:r w:rsidRPr="00D245AD">
        <w:t xml:space="preserve">As of 8 April 2026, 125 A5 parties, out of 144, had ratified the Kigali Amendment. For the analysis of estimated funding in the 2027-2029 triennium for HFC phase-down, the RTF assumed ratification by the remaining 19 parties will happen by 2029. </w:t>
      </w:r>
    </w:p>
    <w:p w14:paraId="15326EAF" w14:textId="77777777" w:rsidR="00E62558" w:rsidRPr="00D245AD" w:rsidRDefault="00E62558" w:rsidP="00E62558">
      <w:pPr>
        <w:pStyle w:val="NormalNonumber"/>
      </w:pPr>
      <w:r w:rsidRPr="00D245AD">
        <w:t>Given that KIPs are only in the early stages of implementation, RTF did not identify sufficient historical analysis of CEs for the manufacturing sectors from approved KIPs, and available data did not provide sufficient information to consider historical values beyond the CE cost guidelines. RTF estimated the funding based on HFC KIP Stage I Cost Guidelines for the agreed manufacturing sectors. When these were absent for some individual sectors treated on a case-by-case basis, the RTF used CEs based on TEAP, the TOCs, and the RTF sector experts' advice. Funding was also estimated for Stage II KIPs, using Stage I CEs, without considering any potential impact of the guidelines review expected in 2028. Important to note that t</w:t>
      </w:r>
      <w:r w:rsidRPr="00D245AD">
        <w:rPr>
          <w:color w:val="242424"/>
        </w:rPr>
        <w:t xml:space="preserve">he CE for servicing under Stage I </w:t>
      </w:r>
      <w:r w:rsidRPr="00D245AD">
        <w:t>was considered for the period when a country’s KIP and HPMP would be implemented simultaneously. Stage II would be predominantly implemented when such simultaneous implementation did not take place.</w:t>
      </w:r>
    </w:p>
    <w:p w14:paraId="4ACCFAF4" w14:textId="77777777" w:rsidR="00E62558" w:rsidRPr="00D245AD" w:rsidRDefault="00E62558" w:rsidP="00E62558">
      <w:pPr>
        <w:pStyle w:val="NormalNonumber"/>
      </w:pPr>
      <w:r w:rsidRPr="00D245AD">
        <w:t xml:space="preserve">RTF is using the Kigali Amendment schedules for its compliance model and using reductions from the established baseline definition. For funding estimates, the 65% HCFC component of the baseline is considered as consumption under the servicing sector, and funding calculated following cost guidelines CE thresholds approved for the sector. </w:t>
      </w:r>
    </w:p>
    <w:p w14:paraId="34C43224" w14:textId="77777777" w:rsidR="00E62558" w:rsidRPr="00E0168F" w:rsidRDefault="00E62558" w:rsidP="00E62558">
      <w:pPr>
        <w:pStyle w:val="NormalNonumber"/>
      </w:pPr>
      <w:r w:rsidRPr="00D245AD">
        <w:t>As detailed in Chapter 3 and Annexes 3 and 4 of this report, the RTF compliance model methodology for the consumption sector calculates funding to address the needs of parties to comply with the Kigali Amendment phase-down schedules, as follows:</w:t>
      </w:r>
    </w:p>
    <w:p w14:paraId="65C45E33" w14:textId="77777777" w:rsidR="00E62558" w:rsidRPr="00D245AD" w:rsidRDefault="00E62558" w:rsidP="00533BC7">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pPr>
      <w:r w:rsidRPr="00D245AD">
        <w:t xml:space="preserve">G1 parties: 10% reduction from the baseline by 2029 (Stage I KIP), 30% reduction by 2035 (Stage II KIP), </w:t>
      </w:r>
    </w:p>
    <w:p w14:paraId="395EC38A" w14:textId="77777777" w:rsidR="00E62558" w:rsidRPr="00D245AD" w:rsidRDefault="00E62558" w:rsidP="00533BC7">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pPr>
      <w:r w:rsidRPr="00D245AD">
        <w:t>G2 parties: freeze by 2028; a 10% reduction from the baseline by 2032 (Stage I KIP).</w:t>
      </w:r>
    </w:p>
    <w:p w14:paraId="03804606" w14:textId="4FBB018B" w:rsidR="00E62558" w:rsidRPr="00D245AD" w:rsidRDefault="00E62558" w:rsidP="00E62558">
      <w:pPr>
        <w:pStyle w:val="NormalNonumber"/>
      </w:pPr>
      <w:r w:rsidRPr="00D245AD">
        <w:t xml:space="preserve">The RTF compliance model to estimate required funding reflects the MLF project cycle to account for different progress by different parties, as well as reductions that exceed control targets for some parties. The model takes into consideration each individual country reduction addressed under a KIP. The model estimates </w:t>
      </w:r>
      <w:r w:rsidR="00EE00B3">
        <w:t xml:space="preserve">the </w:t>
      </w:r>
      <w:r w:rsidRPr="00D245AD">
        <w:t xml:space="preserve">funding </w:t>
      </w:r>
      <w:r w:rsidR="00EE00B3">
        <w:t xml:space="preserve">needs </w:t>
      </w:r>
      <w:r w:rsidRPr="00D245AD">
        <w:t xml:space="preserve">for the HFC consumption sector by starting with the calculation of the total funding required to address both Stage I and Stage II </w:t>
      </w:r>
      <w:r w:rsidR="00DB43A8" w:rsidRPr="00DB43A8">
        <w:t xml:space="preserve">(10% and 30%) </w:t>
      </w:r>
      <w:r w:rsidRPr="00D245AD">
        <w:t xml:space="preserve">reduction targets for G1 parties, and for G2 parties </w:t>
      </w:r>
      <w:r w:rsidR="00DB43A8">
        <w:t xml:space="preserve">the freeze and </w:t>
      </w:r>
      <w:r w:rsidRPr="00D245AD">
        <w:t xml:space="preserve">Stage I </w:t>
      </w:r>
      <w:r w:rsidR="005D2EA4">
        <w:t xml:space="preserve">(10%) </w:t>
      </w:r>
      <w:r w:rsidRPr="00D245AD">
        <w:t>reduction target. These totals cover funding needs for a 9-year period (2027</w:t>
      </w:r>
      <w:r w:rsidR="005D2EA4">
        <w:t xml:space="preserve"> to </w:t>
      </w:r>
      <w:r w:rsidRPr="00D245AD">
        <w:t xml:space="preserve">2035). </w:t>
      </w:r>
    </w:p>
    <w:p w14:paraId="6B0B1331" w14:textId="62162D3E" w:rsidR="00E62558" w:rsidRPr="00D245AD" w:rsidRDefault="00E62558" w:rsidP="00E62558">
      <w:pPr>
        <w:pStyle w:val="NormalNonumber"/>
      </w:pPr>
      <w:r w:rsidRPr="00D245AD">
        <w:t xml:space="preserve">Then, RTF distributed the estimated total </w:t>
      </w:r>
      <w:r w:rsidR="0021411C" w:rsidRPr="0021411C">
        <w:t xml:space="preserve">funding required (Stages I and II) </w:t>
      </w:r>
      <w:r w:rsidRPr="00D245AD">
        <w:t>to each of the three triennia in the 2027</w:t>
      </w:r>
      <w:r w:rsidR="0021411C">
        <w:t xml:space="preserve"> to </w:t>
      </w:r>
      <w:r w:rsidRPr="00D245AD">
        <w:t>2035</w:t>
      </w:r>
      <w:r w:rsidRPr="00D245AD">
        <w:rPr>
          <w:i/>
          <w:iCs/>
        </w:rPr>
        <w:t xml:space="preserve"> </w:t>
      </w:r>
      <w:r w:rsidRPr="00D245AD">
        <w:t xml:space="preserve">period, using two Resource Allocation Proposals (A and B), suggested for parties' consideration, and/or any further instructions for the RTF supplementary report. This methodology allows consideration of different compliance targets for G1 and G2 parties while addressing national circumstances and different control targets in the </w:t>
      </w:r>
      <w:r w:rsidR="009C1B41">
        <w:t xml:space="preserve">two </w:t>
      </w:r>
      <w:r w:rsidRPr="00D245AD">
        <w:t>groups</w:t>
      </w:r>
      <w:r w:rsidR="009C1B41">
        <w:t xml:space="preserve"> of parties</w:t>
      </w:r>
      <w:r w:rsidRPr="00D245AD">
        <w:t>.</w:t>
      </w:r>
    </w:p>
    <w:p w14:paraId="22EC35CA" w14:textId="77777777" w:rsidR="00E62558" w:rsidRPr="00D245AD" w:rsidRDefault="00E62558" w:rsidP="00E62558">
      <w:pPr>
        <w:pStyle w:val="NormalNonumber"/>
        <w:rPr>
          <w:lang w:val="en-US"/>
        </w:rPr>
      </w:pPr>
      <w:r w:rsidRPr="00D245AD">
        <w:t>The TOR, approved by parties in decision XXXVII/6, instructed the RTF to use "</w:t>
      </w:r>
      <w:r w:rsidRPr="00D245AD">
        <w:rPr>
          <w:lang w:val="en-US"/>
        </w:rPr>
        <w:t xml:space="preserve">a clearly explained compliance-based methodology that is informed by, but independent of, the business plan of the Multilateral Fund, and that applies a range of cost-effectiveness figures for the manufacturing sectors </w:t>
      </w:r>
      <w:r w:rsidRPr="00D245AD">
        <w:rPr>
          <w:lang w:val="en-US"/>
        </w:rPr>
        <w:lastRenderedPageBreak/>
        <w:t>based on historical experience rather than only on cost-effectiveness thresholds approved by the Executive Committee".</w:t>
      </w:r>
      <w:r w:rsidRPr="00D245AD">
        <w:rPr>
          <w:i/>
          <w:iCs/>
          <w:lang w:val="en-US"/>
        </w:rPr>
        <w:t xml:space="preserve"> </w:t>
      </w:r>
      <w:r w:rsidRPr="00D245AD">
        <w:rPr>
          <w:lang w:val="en-US"/>
        </w:rPr>
        <w:t xml:space="preserve">In response to this request and in the absence of historical CE values due to limited experience with KIP implementation, and in order to present an estimated funding range, RTF based its calculations on two scenarios, </w:t>
      </w:r>
      <w:r w:rsidRPr="00D245AD">
        <w:t>as follows:</w:t>
      </w:r>
    </w:p>
    <w:p w14:paraId="5AD84AF1" w14:textId="07D29EB6" w:rsidR="00E62558" w:rsidRPr="00D245AD" w:rsidRDefault="00E62558" w:rsidP="00986368">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pPr>
      <w:r w:rsidRPr="00D245AD">
        <w:t>HFC Scenario 1: applying the approved CEs for the different sectors as per cost guidelines, and without small</w:t>
      </w:r>
      <w:r w:rsidR="0059176A">
        <w:t>-</w:t>
      </w:r>
      <w:r w:rsidRPr="00D245AD">
        <w:t xml:space="preserve"> and medium-sized enterprises (SMEs) consideration; </w:t>
      </w:r>
    </w:p>
    <w:p w14:paraId="36BFE11C" w14:textId="77777777" w:rsidR="00E62558" w:rsidRPr="00D245AD" w:rsidRDefault="00E62558" w:rsidP="00986368">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pPr>
      <w:r w:rsidRPr="00D245AD">
        <w:t>HFC Scenario 2: applying CEs according to the percentage (SMEs) participation in some manufacturing sectors and applies their (larger) CE thresholds;</w:t>
      </w:r>
    </w:p>
    <w:p w14:paraId="7A2BB5AD" w14:textId="77777777" w:rsidR="00E62558" w:rsidRPr="00D245AD" w:rsidRDefault="00E62558" w:rsidP="00E62558">
      <w:pPr>
        <w:pStyle w:val="NormalNonumber"/>
      </w:pPr>
      <w:r w:rsidRPr="00D245AD">
        <w:rPr>
          <w:lang w:val="en-US"/>
        </w:rPr>
        <w:t>For</w:t>
      </w:r>
      <w:r w:rsidRPr="00D245AD">
        <w:t xml:space="preserve"> both scenarios:</w:t>
      </w:r>
    </w:p>
    <w:p w14:paraId="65A29CC9" w14:textId="77777777" w:rsidR="002632C1" w:rsidRPr="009B4812" w:rsidRDefault="002632C1" w:rsidP="00E0168F">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pPr>
      <w:r>
        <w:t>RTF proposes two r</w:t>
      </w:r>
      <w:r w:rsidDel="00256163">
        <w:t>esource</w:t>
      </w:r>
      <w:r>
        <w:t xml:space="preserve"> allocation schedules (A and B) per triennium as shown in Table 1.4 of the RTF report. </w:t>
      </w:r>
      <w:r w:rsidRPr="004229E2">
        <w:rPr>
          <w:u w:val="single"/>
          <w:lang w:val="en-US"/>
        </w:rPr>
        <w:t>For both proposals, RTF assumed full ratification for G1 and G2 parties by 2029.</w:t>
      </w:r>
      <w:r>
        <w:rPr>
          <w:u w:val="single"/>
          <w:lang w:val="en-US"/>
        </w:rPr>
        <w:t xml:space="preserve"> </w:t>
      </w:r>
      <w:r>
        <w:t>The two resource allocation schedules differ in the percentage of the KIP funding to be allocated to each different triennium;</w:t>
      </w:r>
    </w:p>
    <w:p w14:paraId="2A65B9FD" w14:textId="77777777" w:rsidR="002632C1" w:rsidRDefault="002632C1" w:rsidP="002632C1">
      <w:pPr>
        <w:pStyle w:val="ListParagraph"/>
        <w:numPr>
          <w:ilvl w:val="1"/>
          <w:numId w:val="31"/>
        </w:numPr>
        <w:tabs>
          <w:tab w:val="clear" w:pos="1247"/>
          <w:tab w:val="clear" w:pos="1814"/>
          <w:tab w:val="clear" w:pos="2381"/>
          <w:tab w:val="clear" w:pos="2948"/>
          <w:tab w:val="clear" w:pos="3515"/>
        </w:tabs>
        <w:spacing w:after="240"/>
        <w:ind w:left="3261"/>
        <w:contextualSpacing w:val="0"/>
      </w:pPr>
      <w:r>
        <w:t xml:space="preserve">For G1 and G2 parties </w:t>
      </w:r>
      <w:r w:rsidRPr="274D2446">
        <w:rPr>
          <w:u w:val="single"/>
        </w:rPr>
        <w:t>without KIPs,</w:t>
      </w:r>
      <w:r>
        <w:t xml:space="preserve"> schedule A for funding Stage I is faster while schedules A and B are the same for funding Stage II for G1 parties without KIPs.</w:t>
      </w:r>
    </w:p>
    <w:p w14:paraId="1B9CF920" w14:textId="77777777" w:rsidR="002632C1" w:rsidRPr="001B7005" w:rsidRDefault="002632C1" w:rsidP="002632C1">
      <w:pPr>
        <w:pStyle w:val="ListParagraph"/>
        <w:numPr>
          <w:ilvl w:val="1"/>
          <w:numId w:val="31"/>
        </w:numPr>
        <w:tabs>
          <w:tab w:val="clear" w:pos="1247"/>
          <w:tab w:val="clear" w:pos="1814"/>
          <w:tab w:val="clear" w:pos="2381"/>
          <w:tab w:val="clear" w:pos="2948"/>
          <w:tab w:val="clear" w:pos="3515"/>
        </w:tabs>
        <w:spacing w:after="240"/>
        <w:ind w:left="3261"/>
        <w:contextualSpacing w:val="0"/>
      </w:pPr>
      <w:r>
        <w:t xml:space="preserve">For G1 parties </w:t>
      </w:r>
      <w:r w:rsidRPr="004229E2">
        <w:rPr>
          <w:u w:val="single"/>
        </w:rPr>
        <w:t xml:space="preserve">with </w:t>
      </w:r>
      <w:r>
        <w:t>KIPs Stage I, schedule A proposes faster funding for Stage II.</w:t>
      </w:r>
    </w:p>
    <w:p w14:paraId="79E5AB20" w14:textId="14F38763" w:rsidR="00E62558" w:rsidRPr="00D245AD" w:rsidRDefault="00E62558" w:rsidP="00986368">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pPr>
      <w:r w:rsidRPr="00D245AD">
        <w:t xml:space="preserve">a 15% deduction was applied to account for ineligible foreign ownership in the manufacturing sectors (please refer to note below); </w:t>
      </w:r>
    </w:p>
    <w:p w14:paraId="7AE2DF6F" w14:textId="77777777" w:rsidR="00E62558" w:rsidRPr="00D245AD" w:rsidRDefault="00E62558" w:rsidP="00986368">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pPr>
      <w:r w:rsidRPr="00D245AD">
        <w:t>Stage I cost guidelines CEs were applied to Stage II funding calculations. The potential impact of any guidelines review in 2028 was not considered.</w:t>
      </w:r>
    </w:p>
    <w:p w14:paraId="26ABB3C1" w14:textId="361F50E8" w:rsidR="00FB0F78" w:rsidRPr="00D245AD" w:rsidRDefault="004D4A7B" w:rsidP="00E0168F">
      <w:pPr>
        <w:pStyle w:val="NormalNonumber"/>
        <w:spacing w:after="240"/>
      </w:pPr>
      <w:r w:rsidRPr="004D4A7B">
        <w:t xml:space="preserve">Under caveats in section 1.6.10, </w:t>
      </w:r>
      <w:r>
        <w:t>t</w:t>
      </w:r>
      <w:r w:rsidR="00E62558" w:rsidRPr="00D245AD">
        <w:t xml:space="preserve">here are two considerations mentioned under caveats in section 1.6.10 regarding the additional costs of project management units </w:t>
      </w:r>
      <w:r>
        <w:t xml:space="preserve">that </w:t>
      </w:r>
      <w:r w:rsidR="00E62558" w:rsidRPr="00D245AD">
        <w:t>were not included in the modelling, and the 15% foreign ownership deduction for the manufacturing sectors which was included. The combined effect of these two considerations is to potentially increase the total estimated funding requirement by around 15%. RTF made these deviations for reasons explained in section 1.6.10 and appreciates the parties’ guidance on the need to adjust its estimates accordingly for the RTF supplementary report.</w:t>
      </w:r>
    </w:p>
    <w:p w14:paraId="37BD71E5" w14:textId="77777777" w:rsidR="00E62558" w:rsidRPr="00D245AD" w:rsidRDefault="00E62558" w:rsidP="00E62558">
      <w:pPr>
        <w:keepNext/>
        <w:keepLines/>
        <w:spacing w:after="120"/>
        <w:contextualSpacing/>
        <w:rPr>
          <w:b/>
          <w:bCs/>
          <w:i/>
          <w:iCs/>
        </w:rPr>
      </w:pPr>
      <w:r w:rsidRPr="00D245AD">
        <w:rPr>
          <w:b/>
          <w:bCs/>
          <w:i/>
          <w:iCs/>
        </w:rPr>
        <w:tab/>
        <w:t>HFC production sector</w:t>
      </w:r>
    </w:p>
    <w:p w14:paraId="79C71CC1" w14:textId="77777777" w:rsidR="00E62558" w:rsidRPr="00D245AD" w:rsidRDefault="00E62558" w:rsidP="00E62558">
      <w:pPr>
        <w:pStyle w:val="NormalNonumber"/>
      </w:pPr>
      <w:r w:rsidRPr="00D245AD">
        <w:t>HFC production sector and HFC-23 mitigation funding estimates include:</w:t>
      </w:r>
    </w:p>
    <w:p w14:paraId="66A70BA7" w14:textId="77777777" w:rsidR="00E62558" w:rsidRPr="00D245AD" w:rsidRDefault="00E62558" w:rsidP="00E62558">
      <w:pPr>
        <w:pStyle w:val="NormalNonumber"/>
        <w:numPr>
          <w:ilvl w:val="0"/>
          <w:numId w:val="31"/>
        </w:numPr>
        <w:tabs>
          <w:tab w:val="clear" w:pos="1247"/>
          <w:tab w:val="clear" w:pos="1871"/>
          <w:tab w:val="clear" w:pos="2495"/>
          <w:tab w:val="clear" w:pos="3119"/>
          <w:tab w:val="clear" w:pos="3742"/>
          <w:tab w:val="clear" w:pos="4366"/>
          <w:tab w:val="clear" w:pos="4990"/>
        </w:tabs>
        <w:ind w:left="1871" w:hanging="624"/>
      </w:pPr>
      <w:r w:rsidRPr="00D245AD">
        <w:t>Estimated Funding for HFC Production project preparation;</w:t>
      </w:r>
    </w:p>
    <w:p w14:paraId="3176E31B" w14:textId="77777777" w:rsidR="00E62558" w:rsidRPr="00D245AD" w:rsidRDefault="00E62558" w:rsidP="00E62558">
      <w:pPr>
        <w:pStyle w:val="NormalNonumber"/>
        <w:numPr>
          <w:ilvl w:val="0"/>
          <w:numId w:val="31"/>
        </w:numPr>
        <w:tabs>
          <w:tab w:val="clear" w:pos="1247"/>
          <w:tab w:val="clear" w:pos="1871"/>
          <w:tab w:val="clear" w:pos="2495"/>
          <w:tab w:val="clear" w:pos="3119"/>
          <w:tab w:val="clear" w:pos="3742"/>
          <w:tab w:val="clear" w:pos="4366"/>
          <w:tab w:val="clear" w:pos="4990"/>
        </w:tabs>
        <w:ind w:left="1871" w:hanging="624"/>
      </w:pPr>
      <w:r w:rsidRPr="00D245AD">
        <w:t>Estimated Funding for Kigali HFC Production Phase-down Management Plan (KPPMPs), if any;</w:t>
      </w:r>
    </w:p>
    <w:p w14:paraId="38F349B1" w14:textId="77777777" w:rsidR="00E62558" w:rsidRPr="00D245AD" w:rsidRDefault="00E62558" w:rsidP="00E62558">
      <w:pPr>
        <w:pStyle w:val="NormalNonumber"/>
        <w:numPr>
          <w:ilvl w:val="0"/>
          <w:numId w:val="31"/>
        </w:numPr>
        <w:tabs>
          <w:tab w:val="clear" w:pos="1247"/>
          <w:tab w:val="clear" w:pos="1871"/>
          <w:tab w:val="clear" w:pos="2495"/>
          <w:tab w:val="clear" w:pos="3119"/>
          <w:tab w:val="clear" w:pos="3742"/>
          <w:tab w:val="clear" w:pos="4366"/>
          <w:tab w:val="clear" w:pos="4990"/>
        </w:tabs>
        <w:ind w:left="1871" w:hanging="624"/>
      </w:pPr>
      <w:r w:rsidRPr="00D245AD">
        <w:t>Estimated Funding for HFC-23 mitigation investment project;</w:t>
      </w:r>
    </w:p>
    <w:p w14:paraId="685EDEB2" w14:textId="77777777" w:rsidR="00E62558" w:rsidRPr="00D245AD" w:rsidRDefault="00E62558" w:rsidP="00E62558">
      <w:pPr>
        <w:pStyle w:val="NormalNonumber"/>
        <w:numPr>
          <w:ilvl w:val="0"/>
          <w:numId w:val="31"/>
        </w:numPr>
        <w:tabs>
          <w:tab w:val="clear" w:pos="1247"/>
          <w:tab w:val="clear" w:pos="1871"/>
          <w:tab w:val="clear" w:pos="2495"/>
          <w:tab w:val="clear" w:pos="3119"/>
          <w:tab w:val="clear" w:pos="3742"/>
          <w:tab w:val="clear" w:pos="4366"/>
          <w:tab w:val="clear" w:pos="4990"/>
        </w:tabs>
        <w:ind w:left="1871" w:hanging="624"/>
      </w:pPr>
      <w:r w:rsidRPr="00D245AD">
        <w:t>Estimated Funding for HFC-23 mitigation project preparation; and</w:t>
      </w:r>
    </w:p>
    <w:p w14:paraId="1A9232E0" w14:textId="77777777" w:rsidR="00E62558" w:rsidRPr="00D245AD" w:rsidRDefault="00E62558" w:rsidP="00E62558">
      <w:pPr>
        <w:pStyle w:val="NormalNonumber"/>
        <w:numPr>
          <w:ilvl w:val="0"/>
          <w:numId w:val="31"/>
        </w:numPr>
        <w:tabs>
          <w:tab w:val="clear" w:pos="1247"/>
          <w:tab w:val="clear" w:pos="1871"/>
          <w:tab w:val="clear" w:pos="2495"/>
          <w:tab w:val="clear" w:pos="3119"/>
          <w:tab w:val="clear" w:pos="3742"/>
          <w:tab w:val="clear" w:pos="4366"/>
          <w:tab w:val="clear" w:pos="4990"/>
        </w:tabs>
        <w:ind w:left="1871" w:hanging="624"/>
      </w:pPr>
      <w:r w:rsidRPr="00D245AD">
        <w:t xml:space="preserve">Committed Funding for approved HFC-23 mitigation project. </w:t>
      </w:r>
    </w:p>
    <w:p w14:paraId="75B6778A" w14:textId="6A6FB53C" w:rsidR="00E62558" w:rsidRPr="00D245AD" w:rsidRDefault="00E62558" w:rsidP="00E62558">
      <w:pPr>
        <w:pStyle w:val="NormalNonumber"/>
      </w:pPr>
      <w:r w:rsidRPr="00D245AD">
        <w:t xml:space="preserve">RTF considered two A5 HFC producing countries for estimated funding requirement for the production sector 2027-2029. Both China (G1) and India (G2) reported production of HFC are significantly below the 10% reduction target from baseline for G1 parties and the 2028 freeze and 10% reduction target for G2 parties. RTF estimated that for the 2027-2029 triennium, only project preparation funding may be needed for HFC production sector plans preparation for the two parties, with no investment funding required in this triennium. </w:t>
      </w:r>
    </w:p>
    <w:p w14:paraId="7414E3DD" w14:textId="69D6BCC2" w:rsidR="00E62558" w:rsidRPr="00D245AD" w:rsidRDefault="00E62558" w:rsidP="00E62558">
      <w:pPr>
        <w:pStyle w:val="NormalNonumber"/>
      </w:pPr>
      <w:r w:rsidRPr="00D245AD">
        <w:t xml:space="preserve">To support A5 parties in meeting their obligations under the Kigali Amendment, the MLF funds the costs for A5 parties to reduce emissions of HFC-23, a by-product of the production process of </w:t>
      </w:r>
      <w:r w:rsidR="00306EDE" w:rsidRPr="00D245AD">
        <w:br/>
      </w:r>
      <w:r w:rsidRPr="00D245AD">
        <w:t>HCFC-22, by reducing emission rate in the process, destroying it from the off-gas, or by collecting and converting it to other environmentally safe chemicals. For the 2027-2029 triennium, the RTF estimated funding requirements for two parties with approved HFC-23 phase-out plans and project preparation and implementation funding for two additional parties.</w:t>
      </w:r>
    </w:p>
    <w:p w14:paraId="60768381" w14:textId="37DD2B43" w:rsidR="00E62558" w:rsidRPr="00D245AD" w:rsidRDefault="00E62558" w:rsidP="00E62558">
      <w:pPr>
        <w:pStyle w:val="Normalpool"/>
      </w:pPr>
    </w:p>
    <w:p w14:paraId="3D9FCD32" w14:textId="77777777" w:rsidR="00E62558" w:rsidRPr="00D245AD" w:rsidRDefault="00E62558" w:rsidP="00E62558">
      <w:pPr>
        <w:pStyle w:val="CH2"/>
      </w:pPr>
      <w:r w:rsidRPr="00D245AD">
        <w:lastRenderedPageBreak/>
        <w:tab/>
      </w:r>
      <w:r w:rsidRPr="00D245AD">
        <w:tab/>
        <w:t xml:space="preserve">Summary of funding estimates for HFC phase-down in the consumption and production sectors </w:t>
      </w:r>
    </w:p>
    <w:p w14:paraId="3FA4438D" w14:textId="259FDB10" w:rsidR="00E62558" w:rsidRPr="00D245AD" w:rsidRDefault="00E62558" w:rsidP="00E0168F">
      <w:pPr>
        <w:pStyle w:val="NormalNonumber"/>
        <w:rPr>
          <w:rFonts w:eastAsiaTheme="minorEastAsia"/>
        </w:rPr>
      </w:pPr>
      <w:r w:rsidRPr="00D245AD">
        <w:t>The range of estimated total funding requirement for the HFC consumption and production sectors for the 2027-2029 and future triennia are summarised below and in Table ES.3.</w:t>
      </w:r>
    </w:p>
    <w:p w14:paraId="1BC04F4B" w14:textId="77777777" w:rsidR="00E62558" w:rsidRPr="00E0168F" w:rsidRDefault="00E62558" w:rsidP="00E62558">
      <w:pPr>
        <w:pStyle w:val="Titletable"/>
      </w:pPr>
      <w:r w:rsidRPr="00D245AD">
        <w:rPr>
          <w:b w:val="0"/>
          <w:bCs w:val="0"/>
        </w:rPr>
        <w:t>Table ES.3</w:t>
      </w:r>
      <w:r w:rsidRPr="00D245AD">
        <w:br/>
        <w:t xml:space="preserve">Estimated total funding requirement for HFC phase-down for 2027-2029 and future triennia (US$ million) </w:t>
      </w:r>
    </w:p>
    <w:tbl>
      <w:tblPr>
        <w:tblW w:w="8307" w:type="dxa"/>
        <w:jc w:val="right"/>
        <w:tblCellMar>
          <w:left w:w="0" w:type="dxa"/>
          <w:right w:w="0" w:type="dxa"/>
        </w:tblCellMar>
        <w:tblLook w:val="04A0" w:firstRow="1" w:lastRow="0" w:firstColumn="1" w:lastColumn="0" w:noHBand="0" w:noVBand="1"/>
      </w:tblPr>
      <w:tblGrid>
        <w:gridCol w:w="1281"/>
        <w:gridCol w:w="2350"/>
        <w:gridCol w:w="2272"/>
        <w:gridCol w:w="2404"/>
      </w:tblGrid>
      <w:tr w:rsidR="00E62558" w:rsidRPr="00D245AD" w14:paraId="7E1C9D1B" w14:textId="77777777" w:rsidTr="00460DF6">
        <w:trPr>
          <w:trHeight w:val="302"/>
          <w:tblHeader/>
          <w:jc w:val="right"/>
        </w:trPr>
        <w:tc>
          <w:tcPr>
            <w:tcW w:w="1314" w:type="dxa"/>
            <w:vMerge w:val="restart"/>
            <w:tcBorders>
              <w:top w:val="single" w:sz="4" w:space="0" w:color="auto"/>
              <w:bottom w:val="single" w:sz="12" w:space="0" w:color="auto"/>
            </w:tcBorders>
            <w:vAlign w:val="bottom"/>
          </w:tcPr>
          <w:p w14:paraId="3BAEA645" w14:textId="77777777" w:rsidR="00E62558" w:rsidRPr="00D245AD" w:rsidRDefault="00E62558" w:rsidP="001940D7">
            <w:pPr>
              <w:pStyle w:val="Normal-pool-Table"/>
              <w:rPr>
                <w:i/>
                <w:iCs/>
                <w:szCs w:val="18"/>
                <w:lang w:val="en-US"/>
              </w:rPr>
            </w:pPr>
            <w:r w:rsidRPr="00D245AD">
              <w:rPr>
                <w:i/>
                <w:iCs/>
                <w:szCs w:val="18"/>
                <w:lang w:val="en-US"/>
              </w:rPr>
              <w:t>Triennium</w:t>
            </w:r>
          </w:p>
        </w:tc>
        <w:tc>
          <w:tcPr>
            <w:tcW w:w="2437" w:type="dxa"/>
            <w:vMerge w:val="restart"/>
            <w:tcBorders>
              <w:top w:val="single" w:sz="4" w:space="0" w:color="auto"/>
              <w:bottom w:val="single" w:sz="12" w:space="0" w:color="auto"/>
            </w:tcBorders>
            <w:vAlign w:val="bottom"/>
            <w:hideMark/>
          </w:tcPr>
          <w:p w14:paraId="362D7D7C" w14:textId="77777777" w:rsidR="00E62558" w:rsidRPr="00D245AD" w:rsidRDefault="00E62558" w:rsidP="001940D7">
            <w:pPr>
              <w:pStyle w:val="Normal-pool-Table"/>
              <w:rPr>
                <w:i/>
                <w:iCs/>
                <w:szCs w:val="18"/>
                <w:lang w:val="en-US"/>
              </w:rPr>
            </w:pPr>
            <w:r w:rsidRPr="00D245AD">
              <w:rPr>
                <w:i/>
                <w:iCs/>
                <w:szCs w:val="18"/>
                <w:lang w:val="en-US"/>
              </w:rPr>
              <w:t>Sector </w:t>
            </w:r>
          </w:p>
        </w:tc>
        <w:tc>
          <w:tcPr>
            <w:tcW w:w="4875" w:type="dxa"/>
            <w:gridSpan w:val="2"/>
            <w:tcBorders>
              <w:top w:val="single" w:sz="4" w:space="0" w:color="auto"/>
              <w:bottom w:val="single" w:sz="4" w:space="0" w:color="auto"/>
            </w:tcBorders>
            <w:vAlign w:val="bottom"/>
            <w:hideMark/>
          </w:tcPr>
          <w:p w14:paraId="0A33BE6A" w14:textId="77777777" w:rsidR="00E62558" w:rsidRPr="00D245AD" w:rsidRDefault="00E62558" w:rsidP="001940D7">
            <w:pPr>
              <w:pStyle w:val="Normal-pool-Table"/>
              <w:jc w:val="center"/>
              <w:rPr>
                <w:i/>
                <w:iCs/>
                <w:szCs w:val="18"/>
                <w:lang w:val="en-US"/>
              </w:rPr>
            </w:pPr>
            <w:r w:rsidRPr="00D245AD">
              <w:rPr>
                <w:i/>
                <w:iCs/>
                <w:szCs w:val="18"/>
                <w:lang w:val="en-US"/>
              </w:rPr>
              <w:t xml:space="preserve">HFC ESTIMATED </w:t>
            </w:r>
            <w:r w:rsidRPr="00D245AD">
              <w:rPr>
                <w:i/>
                <w:iCs/>
                <w:szCs w:val="18"/>
                <w:lang w:val="en-US"/>
              </w:rPr>
              <w:br/>
              <w:t>FUNDING RANGE (US$ million)</w:t>
            </w:r>
          </w:p>
        </w:tc>
      </w:tr>
      <w:tr w:rsidR="00E62558" w:rsidRPr="00D245AD" w14:paraId="62F7A919" w14:textId="77777777" w:rsidTr="00460DF6">
        <w:trPr>
          <w:trHeight w:val="60"/>
          <w:tblHeader/>
          <w:jc w:val="right"/>
        </w:trPr>
        <w:tc>
          <w:tcPr>
            <w:tcW w:w="1314" w:type="dxa"/>
            <w:vMerge/>
            <w:tcBorders>
              <w:bottom w:val="single" w:sz="12" w:space="0" w:color="auto"/>
            </w:tcBorders>
            <w:vAlign w:val="bottom"/>
          </w:tcPr>
          <w:p w14:paraId="2AC40248" w14:textId="77777777" w:rsidR="00E62558" w:rsidRPr="00D245AD" w:rsidRDefault="00E62558" w:rsidP="001940D7">
            <w:pPr>
              <w:pStyle w:val="Normal-pool-Table"/>
              <w:rPr>
                <w:i/>
                <w:iCs/>
                <w:szCs w:val="18"/>
                <w:lang w:val="en-US"/>
              </w:rPr>
            </w:pPr>
          </w:p>
        </w:tc>
        <w:tc>
          <w:tcPr>
            <w:tcW w:w="2437" w:type="dxa"/>
            <w:vMerge/>
            <w:tcBorders>
              <w:bottom w:val="single" w:sz="12" w:space="0" w:color="auto"/>
            </w:tcBorders>
            <w:vAlign w:val="bottom"/>
            <w:hideMark/>
          </w:tcPr>
          <w:p w14:paraId="3C98462B" w14:textId="77777777" w:rsidR="00E62558" w:rsidRPr="00D245AD" w:rsidRDefault="00E62558" w:rsidP="001940D7">
            <w:pPr>
              <w:pStyle w:val="Normal-pool-Table"/>
              <w:rPr>
                <w:i/>
                <w:iCs/>
                <w:szCs w:val="18"/>
                <w:lang w:val="en-US"/>
              </w:rPr>
            </w:pPr>
          </w:p>
        </w:tc>
        <w:tc>
          <w:tcPr>
            <w:tcW w:w="2367" w:type="dxa"/>
            <w:tcBorders>
              <w:top w:val="single" w:sz="4" w:space="0" w:color="auto"/>
              <w:bottom w:val="single" w:sz="12" w:space="0" w:color="auto"/>
            </w:tcBorders>
            <w:vAlign w:val="bottom"/>
            <w:hideMark/>
          </w:tcPr>
          <w:p w14:paraId="38C8BA6F" w14:textId="77777777" w:rsidR="00E62558" w:rsidRPr="00D245AD" w:rsidRDefault="00E62558" w:rsidP="001940D7">
            <w:pPr>
              <w:pStyle w:val="Normal-pool-Table"/>
              <w:jc w:val="right"/>
              <w:rPr>
                <w:i/>
                <w:iCs/>
                <w:szCs w:val="18"/>
                <w:lang w:val="en-US"/>
              </w:rPr>
            </w:pPr>
            <w:r w:rsidRPr="00D245AD">
              <w:rPr>
                <w:i/>
                <w:iCs/>
                <w:szCs w:val="18"/>
                <w:lang w:val="en-US"/>
              </w:rPr>
              <w:t xml:space="preserve">HFC Scenario 1 </w:t>
            </w:r>
            <w:r w:rsidRPr="00D245AD">
              <w:rPr>
                <w:i/>
                <w:iCs/>
                <w:szCs w:val="18"/>
                <w:lang w:val="en-US"/>
              </w:rPr>
              <w:br/>
              <w:t>with Resource Allocation A</w:t>
            </w:r>
          </w:p>
        </w:tc>
        <w:tc>
          <w:tcPr>
            <w:tcW w:w="2508" w:type="dxa"/>
            <w:tcBorders>
              <w:top w:val="single" w:sz="4" w:space="0" w:color="auto"/>
              <w:bottom w:val="single" w:sz="12" w:space="0" w:color="auto"/>
            </w:tcBorders>
            <w:vAlign w:val="bottom"/>
            <w:hideMark/>
          </w:tcPr>
          <w:p w14:paraId="07A513DD" w14:textId="77777777" w:rsidR="00E62558" w:rsidRPr="00D245AD" w:rsidRDefault="00E62558" w:rsidP="001940D7">
            <w:pPr>
              <w:pStyle w:val="Normal-pool-Table"/>
              <w:jc w:val="right"/>
              <w:rPr>
                <w:i/>
                <w:iCs/>
                <w:szCs w:val="18"/>
                <w:lang w:val="en-US"/>
              </w:rPr>
            </w:pPr>
            <w:r w:rsidRPr="00D245AD">
              <w:rPr>
                <w:i/>
                <w:iCs/>
                <w:szCs w:val="18"/>
                <w:lang w:val="en-US"/>
              </w:rPr>
              <w:t xml:space="preserve">HFC Scenario 2 </w:t>
            </w:r>
            <w:r w:rsidRPr="00D245AD">
              <w:rPr>
                <w:i/>
                <w:iCs/>
                <w:szCs w:val="18"/>
                <w:lang w:val="en-US"/>
              </w:rPr>
              <w:br/>
              <w:t>with Resource Allocation B</w:t>
            </w:r>
          </w:p>
        </w:tc>
      </w:tr>
      <w:tr w:rsidR="00E62558" w:rsidRPr="00D245AD" w14:paraId="646E9615" w14:textId="77777777" w:rsidTr="00460DF6">
        <w:trPr>
          <w:trHeight w:val="287"/>
          <w:jc w:val="right"/>
        </w:trPr>
        <w:tc>
          <w:tcPr>
            <w:tcW w:w="1314" w:type="dxa"/>
            <w:vMerge w:val="restart"/>
            <w:tcBorders>
              <w:top w:val="single" w:sz="12" w:space="0" w:color="auto"/>
            </w:tcBorders>
            <w:vAlign w:val="center"/>
          </w:tcPr>
          <w:p w14:paraId="521F1D8A" w14:textId="77777777" w:rsidR="00E62558" w:rsidRPr="00D245AD" w:rsidRDefault="00E62558" w:rsidP="001940D7">
            <w:pPr>
              <w:pStyle w:val="Normal-pool-Table"/>
              <w:rPr>
                <w:szCs w:val="18"/>
                <w:lang w:val="en-US"/>
              </w:rPr>
            </w:pPr>
            <w:r w:rsidRPr="00D245AD">
              <w:rPr>
                <w:szCs w:val="18"/>
                <w:lang w:val="en-US"/>
              </w:rPr>
              <w:t>2027-2029</w:t>
            </w:r>
          </w:p>
        </w:tc>
        <w:tc>
          <w:tcPr>
            <w:tcW w:w="2437" w:type="dxa"/>
            <w:tcBorders>
              <w:top w:val="single" w:sz="12" w:space="0" w:color="auto"/>
            </w:tcBorders>
            <w:vAlign w:val="bottom"/>
            <w:hideMark/>
          </w:tcPr>
          <w:p w14:paraId="0EBD21D6" w14:textId="77777777" w:rsidR="00E62558" w:rsidRPr="00D245AD" w:rsidRDefault="00E62558" w:rsidP="001940D7">
            <w:pPr>
              <w:pStyle w:val="Normal-pool-Table"/>
              <w:rPr>
                <w:szCs w:val="18"/>
                <w:lang w:val="en-US"/>
              </w:rPr>
            </w:pPr>
            <w:r w:rsidRPr="00D245AD">
              <w:rPr>
                <w:szCs w:val="18"/>
                <w:lang w:val="en-US"/>
              </w:rPr>
              <w:t xml:space="preserve">HFC Consumption sector </w:t>
            </w:r>
          </w:p>
        </w:tc>
        <w:tc>
          <w:tcPr>
            <w:tcW w:w="2367" w:type="dxa"/>
            <w:tcBorders>
              <w:top w:val="single" w:sz="12" w:space="0" w:color="auto"/>
            </w:tcBorders>
            <w:vAlign w:val="center"/>
            <w:hideMark/>
          </w:tcPr>
          <w:p w14:paraId="08C7B509" w14:textId="77777777" w:rsidR="00E62558" w:rsidRPr="00D245AD" w:rsidRDefault="00E62558" w:rsidP="001940D7">
            <w:pPr>
              <w:pStyle w:val="Normal-pool-Table"/>
              <w:jc w:val="right"/>
              <w:rPr>
                <w:szCs w:val="18"/>
                <w:lang w:val="en-US"/>
              </w:rPr>
            </w:pPr>
            <w:r w:rsidRPr="00D245AD">
              <w:rPr>
                <w:szCs w:val="18"/>
              </w:rPr>
              <w:t>958 – 1 042</w:t>
            </w:r>
          </w:p>
        </w:tc>
        <w:tc>
          <w:tcPr>
            <w:tcW w:w="2508" w:type="dxa"/>
            <w:tcBorders>
              <w:top w:val="single" w:sz="12" w:space="0" w:color="auto"/>
            </w:tcBorders>
            <w:vAlign w:val="center"/>
            <w:hideMark/>
          </w:tcPr>
          <w:p w14:paraId="7078C6C6" w14:textId="77777777" w:rsidR="00E62558" w:rsidRPr="00D245AD" w:rsidRDefault="00E62558" w:rsidP="001940D7">
            <w:pPr>
              <w:pStyle w:val="Normal-pool-Table"/>
              <w:jc w:val="right"/>
              <w:rPr>
                <w:szCs w:val="18"/>
                <w:lang w:val="en-US"/>
              </w:rPr>
            </w:pPr>
            <w:r w:rsidRPr="00D245AD">
              <w:rPr>
                <w:szCs w:val="18"/>
              </w:rPr>
              <w:t>690 – 769</w:t>
            </w:r>
          </w:p>
        </w:tc>
      </w:tr>
      <w:tr w:rsidR="00E62558" w:rsidRPr="00D245AD" w14:paraId="38D4251E" w14:textId="77777777" w:rsidTr="00460DF6">
        <w:trPr>
          <w:trHeight w:val="287"/>
          <w:jc w:val="right"/>
        </w:trPr>
        <w:tc>
          <w:tcPr>
            <w:tcW w:w="1314" w:type="dxa"/>
            <w:vMerge/>
            <w:vAlign w:val="center"/>
          </w:tcPr>
          <w:p w14:paraId="0180A316" w14:textId="77777777" w:rsidR="00E62558" w:rsidRPr="00D245AD" w:rsidRDefault="00E62558" w:rsidP="001940D7">
            <w:pPr>
              <w:pStyle w:val="Normal-pool-Table"/>
              <w:rPr>
                <w:szCs w:val="18"/>
                <w:lang w:val="en-US"/>
              </w:rPr>
            </w:pPr>
          </w:p>
        </w:tc>
        <w:tc>
          <w:tcPr>
            <w:tcW w:w="2437" w:type="dxa"/>
            <w:vAlign w:val="bottom"/>
          </w:tcPr>
          <w:p w14:paraId="3EFD3558" w14:textId="77777777" w:rsidR="00E62558" w:rsidRPr="00D245AD" w:rsidRDefault="00E62558" w:rsidP="001940D7">
            <w:pPr>
              <w:pStyle w:val="Normal-pool-Table"/>
              <w:rPr>
                <w:szCs w:val="18"/>
                <w:lang w:val="en-US"/>
              </w:rPr>
            </w:pPr>
            <w:r w:rsidRPr="00D245AD">
              <w:rPr>
                <w:szCs w:val="18"/>
                <w:lang w:val="en-US"/>
              </w:rPr>
              <w:t>HFC Production sector and HFC-23 mitigation</w:t>
            </w:r>
          </w:p>
        </w:tc>
        <w:tc>
          <w:tcPr>
            <w:tcW w:w="2367" w:type="dxa"/>
            <w:vAlign w:val="center"/>
          </w:tcPr>
          <w:p w14:paraId="12F44D36" w14:textId="77777777" w:rsidR="00E62558" w:rsidRPr="00D245AD" w:rsidRDefault="00E62558" w:rsidP="001940D7">
            <w:pPr>
              <w:pStyle w:val="Normal-pool-Table"/>
              <w:jc w:val="right"/>
              <w:rPr>
                <w:szCs w:val="18"/>
                <w:lang w:val="en-US"/>
              </w:rPr>
            </w:pPr>
            <w:r w:rsidRPr="00D245AD">
              <w:rPr>
                <w:szCs w:val="18"/>
                <w:lang w:val="en-US"/>
              </w:rPr>
              <w:t>11.76</w:t>
            </w:r>
          </w:p>
        </w:tc>
        <w:tc>
          <w:tcPr>
            <w:tcW w:w="2508" w:type="dxa"/>
            <w:vAlign w:val="center"/>
          </w:tcPr>
          <w:p w14:paraId="4142C032" w14:textId="77777777" w:rsidR="00E62558" w:rsidRPr="00D245AD" w:rsidRDefault="00E62558" w:rsidP="001940D7">
            <w:pPr>
              <w:pStyle w:val="Normal-pool-Table"/>
              <w:jc w:val="right"/>
              <w:rPr>
                <w:szCs w:val="18"/>
                <w:lang w:val="en-US"/>
              </w:rPr>
            </w:pPr>
            <w:r w:rsidRPr="00D245AD">
              <w:rPr>
                <w:szCs w:val="18"/>
                <w:lang w:val="en-US"/>
              </w:rPr>
              <w:t>11.76</w:t>
            </w:r>
          </w:p>
        </w:tc>
      </w:tr>
      <w:tr w:rsidR="00E62558" w:rsidRPr="00D245AD" w14:paraId="4AECA68F" w14:textId="77777777" w:rsidTr="00460DF6">
        <w:trPr>
          <w:trHeight w:val="287"/>
          <w:jc w:val="right"/>
        </w:trPr>
        <w:tc>
          <w:tcPr>
            <w:tcW w:w="1314" w:type="dxa"/>
            <w:vMerge/>
            <w:vAlign w:val="center"/>
          </w:tcPr>
          <w:p w14:paraId="3DA0B967" w14:textId="77777777" w:rsidR="00E62558" w:rsidRPr="00D245AD" w:rsidRDefault="00E62558" w:rsidP="001940D7">
            <w:pPr>
              <w:pStyle w:val="Normal-pool-Table"/>
              <w:rPr>
                <w:szCs w:val="18"/>
                <w:lang w:val="en-US"/>
              </w:rPr>
            </w:pPr>
          </w:p>
        </w:tc>
        <w:tc>
          <w:tcPr>
            <w:tcW w:w="2437" w:type="dxa"/>
            <w:vAlign w:val="bottom"/>
          </w:tcPr>
          <w:p w14:paraId="59F58586" w14:textId="77777777" w:rsidR="00E62558" w:rsidRPr="00D245AD" w:rsidRDefault="00E62558" w:rsidP="001940D7">
            <w:pPr>
              <w:pStyle w:val="Normal-pool-Table"/>
              <w:rPr>
                <w:b/>
                <w:bCs/>
                <w:szCs w:val="18"/>
                <w:lang w:val="en-US"/>
              </w:rPr>
            </w:pPr>
            <w:r w:rsidRPr="00D245AD">
              <w:rPr>
                <w:b/>
                <w:bCs/>
                <w:szCs w:val="18"/>
                <w:lang w:val="en-US"/>
              </w:rPr>
              <w:t>TOTAL RANGE</w:t>
            </w:r>
          </w:p>
        </w:tc>
        <w:tc>
          <w:tcPr>
            <w:tcW w:w="2367" w:type="dxa"/>
            <w:vAlign w:val="center"/>
          </w:tcPr>
          <w:p w14:paraId="3B104F1B" w14:textId="7435FA68" w:rsidR="00E62558" w:rsidRPr="00D245AD" w:rsidRDefault="00E62558" w:rsidP="001940D7">
            <w:pPr>
              <w:pStyle w:val="Normal-pool-Table"/>
              <w:jc w:val="right"/>
              <w:rPr>
                <w:b/>
                <w:bCs/>
                <w:szCs w:val="18"/>
                <w:lang w:val="en-US"/>
              </w:rPr>
            </w:pPr>
            <w:r w:rsidRPr="00D245AD">
              <w:rPr>
                <w:b/>
                <w:bCs/>
                <w:szCs w:val="18"/>
                <w:lang w:val="en-US"/>
              </w:rPr>
              <w:t>970 – 1</w:t>
            </w:r>
            <w:r w:rsidR="00D66037" w:rsidRPr="00D245AD">
              <w:rPr>
                <w:b/>
                <w:bCs/>
                <w:szCs w:val="18"/>
                <w:lang w:val="en-US"/>
              </w:rPr>
              <w:t xml:space="preserve"> </w:t>
            </w:r>
            <w:r w:rsidRPr="00D245AD">
              <w:rPr>
                <w:b/>
                <w:bCs/>
                <w:szCs w:val="18"/>
                <w:lang w:val="en-US"/>
              </w:rPr>
              <w:t>053</w:t>
            </w:r>
          </w:p>
        </w:tc>
        <w:tc>
          <w:tcPr>
            <w:tcW w:w="2508" w:type="dxa"/>
            <w:vAlign w:val="center"/>
          </w:tcPr>
          <w:p w14:paraId="7BB78816" w14:textId="77777777" w:rsidR="00E62558" w:rsidRPr="00D245AD" w:rsidRDefault="00E62558" w:rsidP="001940D7">
            <w:pPr>
              <w:pStyle w:val="Normal-pool-Table"/>
              <w:jc w:val="right"/>
              <w:rPr>
                <w:b/>
                <w:bCs/>
                <w:szCs w:val="18"/>
                <w:lang w:val="en-US"/>
              </w:rPr>
            </w:pPr>
            <w:r w:rsidRPr="00D245AD">
              <w:rPr>
                <w:b/>
                <w:bCs/>
                <w:szCs w:val="18"/>
                <w:lang w:val="en-US"/>
              </w:rPr>
              <w:t>702 – 781</w:t>
            </w:r>
          </w:p>
        </w:tc>
      </w:tr>
      <w:tr w:rsidR="00E62558" w:rsidRPr="00D245AD" w14:paraId="48BFA590" w14:textId="77777777" w:rsidTr="00460DF6">
        <w:trPr>
          <w:trHeight w:val="287"/>
          <w:jc w:val="right"/>
        </w:trPr>
        <w:tc>
          <w:tcPr>
            <w:tcW w:w="1314" w:type="dxa"/>
            <w:vMerge w:val="restart"/>
            <w:vAlign w:val="center"/>
          </w:tcPr>
          <w:p w14:paraId="73BE8B72" w14:textId="77777777" w:rsidR="00E62558" w:rsidRPr="00D245AD" w:rsidRDefault="00E62558" w:rsidP="001940D7">
            <w:pPr>
              <w:pStyle w:val="Normal-pool-Table"/>
              <w:rPr>
                <w:szCs w:val="18"/>
                <w:lang w:val="en-US"/>
              </w:rPr>
            </w:pPr>
            <w:r w:rsidRPr="00D245AD">
              <w:rPr>
                <w:szCs w:val="18"/>
                <w:lang w:val="en-US"/>
              </w:rPr>
              <w:t>2030-2032</w:t>
            </w:r>
          </w:p>
        </w:tc>
        <w:tc>
          <w:tcPr>
            <w:tcW w:w="2437" w:type="dxa"/>
            <w:vAlign w:val="bottom"/>
          </w:tcPr>
          <w:p w14:paraId="6FF889E6" w14:textId="77777777" w:rsidR="00E62558" w:rsidRPr="00D245AD" w:rsidRDefault="00E62558" w:rsidP="001940D7">
            <w:pPr>
              <w:pStyle w:val="Normal-pool-Table"/>
              <w:rPr>
                <w:szCs w:val="18"/>
                <w:lang w:val="en-US"/>
              </w:rPr>
            </w:pPr>
            <w:r w:rsidRPr="00D245AD">
              <w:rPr>
                <w:szCs w:val="18"/>
                <w:lang w:val="en-US"/>
              </w:rPr>
              <w:t xml:space="preserve">HFC Consumption sector </w:t>
            </w:r>
          </w:p>
        </w:tc>
        <w:tc>
          <w:tcPr>
            <w:tcW w:w="2367" w:type="dxa"/>
          </w:tcPr>
          <w:p w14:paraId="2CCF3591" w14:textId="77777777" w:rsidR="00E62558" w:rsidRPr="00D245AD" w:rsidRDefault="00E62558" w:rsidP="001940D7">
            <w:pPr>
              <w:pStyle w:val="Normal-pool-Table"/>
              <w:jc w:val="right"/>
              <w:rPr>
                <w:szCs w:val="18"/>
                <w:lang w:val="en-US"/>
              </w:rPr>
            </w:pPr>
            <w:r w:rsidRPr="00D245AD">
              <w:rPr>
                <w:szCs w:val="18"/>
              </w:rPr>
              <w:t>876 – 907</w:t>
            </w:r>
          </w:p>
        </w:tc>
        <w:tc>
          <w:tcPr>
            <w:tcW w:w="2508" w:type="dxa"/>
          </w:tcPr>
          <w:p w14:paraId="2446BCA4" w14:textId="77777777" w:rsidR="00E62558" w:rsidRPr="00D245AD" w:rsidRDefault="00E62558" w:rsidP="001940D7">
            <w:pPr>
              <w:pStyle w:val="Normal-pool-Table"/>
              <w:jc w:val="right"/>
              <w:rPr>
                <w:szCs w:val="18"/>
                <w:lang w:val="en-US"/>
              </w:rPr>
            </w:pPr>
            <w:r w:rsidRPr="00D245AD">
              <w:rPr>
                <w:szCs w:val="18"/>
              </w:rPr>
              <w:t>1 049 – 1 084</w:t>
            </w:r>
          </w:p>
        </w:tc>
      </w:tr>
      <w:tr w:rsidR="00E62558" w:rsidRPr="00D245AD" w14:paraId="42E3EF02" w14:textId="77777777" w:rsidTr="00460DF6">
        <w:trPr>
          <w:trHeight w:val="287"/>
          <w:jc w:val="right"/>
        </w:trPr>
        <w:tc>
          <w:tcPr>
            <w:tcW w:w="1314" w:type="dxa"/>
            <w:vMerge/>
            <w:vAlign w:val="center"/>
          </w:tcPr>
          <w:p w14:paraId="7B3F51D0" w14:textId="77777777" w:rsidR="00E62558" w:rsidRPr="00D245AD" w:rsidRDefault="00E62558" w:rsidP="001940D7">
            <w:pPr>
              <w:pStyle w:val="Normal-pool-Table"/>
              <w:rPr>
                <w:szCs w:val="18"/>
                <w:lang w:val="en-US"/>
              </w:rPr>
            </w:pPr>
          </w:p>
        </w:tc>
        <w:tc>
          <w:tcPr>
            <w:tcW w:w="2437" w:type="dxa"/>
            <w:vAlign w:val="bottom"/>
          </w:tcPr>
          <w:p w14:paraId="473283DC" w14:textId="77777777" w:rsidR="00E62558" w:rsidRPr="00D245AD" w:rsidRDefault="00E62558" w:rsidP="001940D7">
            <w:pPr>
              <w:pStyle w:val="Normal-pool-Table"/>
              <w:rPr>
                <w:szCs w:val="18"/>
                <w:lang w:val="en-US"/>
              </w:rPr>
            </w:pPr>
            <w:r w:rsidRPr="00D245AD">
              <w:rPr>
                <w:szCs w:val="18"/>
                <w:lang w:val="en-US"/>
              </w:rPr>
              <w:t>HFC Production sector and HFC-23 mitigation</w:t>
            </w:r>
          </w:p>
        </w:tc>
        <w:tc>
          <w:tcPr>
            <w:tcW w:w="2367" w:type="dxa"/>
            <w:vAlign w:val="center"/>
          </w:tcPr>
          <w:p w14:paraId="77F96CF4" w14:textId="77777777" w:rsidR="00E62558" w:rsidRPr="00D245AD" w:rsidRDefault="00E62558" w:rsidP="001940D7">
            <w:pPr>
              <w:pStyle w:val="Normal-pool-Table"/>
              <w:jc w:val="right"/>
              <w:rPr>
                <w:szCs w:val="18"/>
                <w:lang w:val="en-US"/>
              </w:rPr>
            </w:pPr>
            <w:r w:rsidRPr="00D245AD">
              <w:rPr>
                <w:szCs w:val="18"/>
                <w:lang w:val="en-US"/>
              </w:rPr>
              <w:t>0.51</w:t>
            </w:r>
          </w:p>
        </w:tc>
        <w:tc>
          <w:tcPr>
            <w:tcW w:w="2508" w:type="dxa"/>
            <w:vAlign w:val="center"/>
          </w:tcPr>
          <w:p w14:paraId="36D5CB45" w14:textId="77777777" w:rsidR="00E62558" w:rsidRPr="00D245AD" w:rsidRDefault="00E62558" w:rsidP="001940D7">
            <w:pPr>
              <w:pStyle w:val="Normal-pool-Table"/>
              <w:jc w:val="right"/>
              <w:rPr>
                <w:szCs w:val="18"/>
                <w:lang w:val="en-US"/>
              </w:rPr>
            </w:pPr>
            <w:r w:rsidRPr="00D245AD">
              <w:rPr>
                <w:szCs w:val="18"/>
                <w:lang w:val="en-US"/>
              </w:rPr>
              <w:t>0.51</w:t>
            </w:r>
          </w:p>
        </w:tc>
      </w:tr>
      <w:tr w:rsidR="00E62558" w:rsidRPr="00D245AD" w14:paraId="41744BE9" w14:textId="77777777" w:rsidTr="00460DF6">
        <w:trPr>
          <w:trHeight w:val="287"/>
          <w:jc w:val="right"/>
        </w:trPr>
        <w:tc>
          <w:tcPr>
            <w:tcW w:w="1314" w:type="dxa"/>
            <w:vMerge/>
            <w:vAlign w:val="center"/>
          </w:tcPr>
          <w:p w14:paraId="3D54EA81" w14:textId="77777777" w:rsidR="00E62558" w:rsidRPr="00D245AD" w:rsidRDefault="00E62558" w:rsidP="001940D7">
            <w:pPr>
              <w:pStyle w:val="Normal-pool-Table"/>
              <w:rPr>
                <w:szCs w:val="18"/>
                <w:lang w:val="en-US"/>
              </w:rPr>
            </w:pPr>
          </w:p>
        </w:tc>
        <w:tc>
          <w:tcPr>
            <w:tcW w:w="2437" w:type="dxa"/>
            <w:vAlign w:val="bottom"/>
          </w:tcPr>
          <w:p w14:paraId="7DB53B57" w14:textId="77777777" w:rsidR="00E62558" w:rsidRPr="00D245AD" w:rsidRDefault="00E62558" w:rsidP="001940D7">
            <w:pPr>
              <w:pStyle w:val="Normal-pool-Table"/>
              <w:rPr>
                <w:b/>
                <w:bCs/>
                <w:szCs w:val="18"/>
                <w:lang w:val="en-US"/>
              </w:rPr>
            </w:pPr>
            <w:r w:rsidRPr="00D245AD">
              <w:rPr>
                <w:b/>
                <w:bCs/>
                <w:szCs w:val="18"/>
                <w:lang w:val="en-US"/>
              </w:rPr>
              <w:t>TOTAL RANGE</w:t>
            </w:r>
          </w:p>
        </w:tc>
        <w:tc>
          <w:tcPr>
            <w:tcW w:w="2367" w:type="dxa"/>
            <w:vAlign w:val="center"/>
          </w:tcPr>
          <w:p w14:paraId="2CB268B3" w14:textId="77777777" w:rsidR="00E62558" w:rsidRPr="00D245AD" w:rsidRDefault="00E62558" w:rsidP="001940D7">
            <w:pPr>
              <w:pStyle w:val="Normal-pool-Table"/>
              <w:jc w:val="right"/>
              <w:rPr>
                <w:b/>
                <w:bCs/>
                <w:szCs w:val="18"/>
                <w:lang w:val="en-US"/>
              </w:rPr>
            </w:pPr>
            <w:r w:rsidRPr="00D245AD">
              <w:rPr>
                <w:b/>
                <w:bCs/>
                <w:szCs w:val="18"/>
                <w:lang w:val="en-US"/>
              </w:rPr>
              <w:t>877 – 908</w:t>
            </w:r>
          </w:p>
        </w:tc>
        <w:tc>
          <w:tcPr>
            <w:tcW w:w="2508" w:type="dxa"/>
            <w:vAlign w:val="center"/>
          </w:tcPr>
          <w:p w14:paraId="53676AAD" w14:textId="77777777" w:rsidR="00E62558" w:rsidRPr="00D245AD" w:rsidRDefault="00E62558" w:rsidP="001940D7">
            <w:pPr>
              <w:pStyle w:val="Normal-pool-Table"/>
              <w:jc w:val="right"/>
              <w:rPr>
                <w:b/>
                <w:bCs/>
                <w:szCs w:val="18"/>
                <w:lang w:val="en-US"/>
              </w:rPr>
            </w:pPr>
            <w:r w:rsidRPr="00D245AD">
              <w:rPr>
                <w:b/>
                <w:bCs/>
                <w:szCs w:val="18"/>
                <w:lang w:val="en-US"/>
              </w:rPr>
              <w:t>1 050 – 1 085</w:t>
            </w:r>
          </w:p>
        </w:tc>
      </w:tr>
      <w:tr w:rsidR="00E62558" w:rsidRPr="00D245AD" w14:paraId="1C31BCEC" w14:textId="77777777" w:rsidTr="00460DF6">
        <w:trPr>
          <w:trHeight w:val="287"/>
          <w:jc w:val="right"/>
        </w:trPr>
        <w:tc>
          <w:tcPr>
            <w:tcW w:w="1314" w:type="dxa"/>
            <w:vMerge w:val="restart"/>
            <w:tcBorders>
              <w:bottom w:val="single" w:sz="12" w:space="0" w:color="auto"/>
            </w:tcBorders>
            <w:vAlign w:val="center"/>
          </w:tcPr>
          <w:p w14:paraId="2590F40D" w14:textId="77777777" w:rsidR="00E62558" w:rsidRPr="00D245AD" w:rsidRDefault="00E62558" w:rsidP="001940D7">
            <w:pPr>
              <w:pStyle w:val="Normal-pool-Table"/>
              <w:rPr>
                <w:szCs w:val="18"/>
                <w:lang w:val="en-US"/>
              </w:rPr>
            </w:pPr>
            <w:r w:rsidRPr="00D245AD">
              <w:rPr>
                <w:szCs w:val="18"/>
                <w:lang w:val="en-US"/>
              </w:rPr>
              <w:t>2033-2035</w:t>
            </w:r>
          </w:p>
        </w:tc>
        <w:tc>
          <w:tcPr>
            <w:tcW w:w="2437" w:type="dxa"/>
            <w:vAlign w:val="bottom"/>
          </w:tcPr>
          <w:p w14:paraId="44EF585C" w14:textId="77777777" w:rsidR="00E62558" w:rsidRPr="00D245AD" w:rsidRDefault="00E62558" w:rsidP="001940D7">
            <w:pPr>
              <w:pStyle w:val="Normal-pool-Table"/>
              <w:rPr>
                <w:szCs w:val="18"/>
                <w:lang w:val="en-US"/>
              </w:rPr>
            </w:pPr>
            <w:r w:rsidRPr="00D245AD">
              <w:rPr>
                <w:szCs w:val="18"/>
                <w:lang w:val="en-US"/>
              </w:rPr>
              <w:t xml:space="preserve">HFC Consumption sector </w:t>
            </w:r>
          </w:p>
        </w:tc>
        <w:tc>
          <w:tcPr>
            <w:tcW w:w="2367" w:type="dxa"/>
            <w:vAlign w:val="center"/>
          </w:tcPr>
          <w:p w14:paraId="2D1D9FC2" w14:textId="77777777" w:rsidR="00E62558" w:rsidRPr="00D245AD" w:rsidRDefault="00E62558" w:rsidP="001940D7">
            <w:pPr>
              <w:pStyle w:val="Normal-pool-Table"/>
              <w:jc w:val="right"/>
              <w:rPr>
                <w:szCs w:val="18"/>
                <w:lang w:val="en-US"/>
              </w:rPr>
            </w:pPr>
            <w:r w:rsidRPr="00D245AD">
              <w:rPr>
                <w:szCs w:val="18"/>
              </w:rPr>
              <w:t>487 – 503</w:t>
            </w:r>
          </w:p>
        </w:tc>
        <w:tc>
          <w:tcPr>
            <w:tcW w:w="2508" w:type="dxa"/>
            <w:vAlign w:val="center"/>
          </w:tcPr>
          <w:p w14:paraId="6486A340" w14:textId="77777777" w:rsidR="00E62558" w:rsidRPr="00D245AD" w:rsidRDefault="00E62558" w:rsidP="001940D7">
            <w:pPr>
              <w:pStyle w:val="Normal-pool-Table"/>
              <w:jc w:val="right"/>
              <w:rPr>
                <w:szCs w:val="18"/>
                <w:lang w:val="en-US"/>
              </w:rPr>
            </w:pPr>
            <w:r w:rsidRPr="00D245AD">
              <w:rPr>
                <w:szCs w:val="18"/>
              </w:rPr>
              <w:t>583 – 600</w:t>
            </w:r>
          </w:p>
        </w:tc>
      </w:tr>
      <w:tr w:rsidR="00E62558" w:rsidRPr="00D245AD" w14:paraId="24741E4A" w14:textId="77777777" w:rsidTr="00460DF6">
        <w:trPr>
          <w:trHeight w:val="287"/>
          <w:jc w:val="right"/>
        </w:trPr>
        <w:tc>
          <w:tcPr>
            <w:tcW w:w="1314" w:type="dxa"/>
            <w:vMerge/>
            <w:tcBorders>
              <w:bottom w:val="single" w:sz="12" w:space="0" w:color="auto"/>
            </w:tcBorders>
          </w:tcPr>
          <w:p w14:paraId="3B296813" w14:textId="77777777" w:rsidR="00E62558" w:rsidRPr="00D245AD" w:rsidRDefault="00E62558" w:rsidP="001940D7">
            <w:pPr>
              <w:pStyle w:val="Normal-pool-Table"/>
              <w:rPr>
                <w:szCs w:val="18"/>
                <w:lang w:val="en-US"/>
              </w:rPr>
            </w:pPr>
          </w:p>
        </w:tc>
        <w:tc>
          <w:tcPr>
            <w:tcW w:w="2437" w:type="dxa"/>
            <w:vAlign w:val="bottom"/>
          </w:tcPr>
          <w:p w14:paraId="3E8A7F8A" w14:textId="77777777" w:rsidR="00E62558" w:rsidRPr="00D245AD" w:rsidRDefault="00E62558" w:rsidP="001940D7">
            <w:pPr>
              <w:pStyle w:val="Normal-pool-Table"/>
              <w:rPr>
                <w:szCs w:val="18"/>
                <w:lang w:val="en-US"/>
              </w:rPr>
            </w:pPr>
            <w:r w:rsidRPr="00D245AD">
              <w:rPr>
                <w:szCs w:val="18"/>
                <w:lang w:val="en-US"/>
              </w:rPr>
              <w:t>HFC Production sector and HFC-23 mitigation</w:t>
            </w:r>
          </w:p>
        </w:tc>
        <w:tc>
          <w:tcPr>
            <w:tcW w:w="2367" w:type="dxa"/>
            <w:vAlign w:val="center"/>
          </w:tcPr>
          <w:p w14:paraId="624B946B" w14:textId="77777777" w:rsidR="00E62558" w:rsidRPr="00D245AD" w:rsidRDefault="00E62558" w:rsidP="001940D7">
            <w:pPr>
              <w:pStyle w:val="Normal-pool-Table"/>
              <w:jc w:val="right"/>
              <w:rPr>
                <w:szCs w:val="18"/>
                <w:lang w:val="en-US"/>
              </w:rPr>
            </w:pPr>
            <w:r w:rsidRPr="00D245AD">
              <w:rPr>
                <w:szCs w:val="18"/>
                <w:lang w:val="en-US"/>
              </w:rPr>
              <w:t>0</w:t>
            </w:r>
          </w:p>
        </w:tc>
        <w:tc>
          <w:tcPr>
            <w:tcW w:w="2508" w:type="dxa"/>
            <w:vAlign w:val="center"/>
          </w:tcPr>
          <w:p w14:paraId="0889AB0F" w14:textId="77777777" w:rsidR="00E62558" w:rsidRPr="00D245AD" w:rsidRDefault="00E62558" w:rsidP="001940D7">
            <w:pPr>
              <w:pStyle w:val="Normal-pool-Table"/>
              <w:jc w:val="right"/>
              <w:rPr>
                <w:szCs w:val="18"/>
                <w:lang w:val="en-US"/>
              </w:rPr>
            </w:pPr>
            <w:r w:rsidRPr="00D245AD">
              <w:rPr>
                <w:szCs w:val="18"/>
                <w:lang w:val="en-US"/>
              </w:rPr>
              <w:t>0</w:t>
            </w:r>
          </w:p>
        </w:tc>
      </w:tr>
      <w:tr w:rsidR="00E62558" w:rsidRPr="00D245AD" w14:paraId="5FF9B8FA" w14:textId="77777777" w:rsidTr="00460DF6">
        <w:trPr>
          <w:trHeight w:val="287"/>
          <w:jc w:val="right"/>
        </w:trPr>
        <w:tc>
          <w:tcPr>
            <w:tcW w:w="1314" w:type="dxa"/>
            <w:vMerge/>
            <w:tcBorders>
              <w:bottom w:val="single" w:sz="12" w:space="0" w:color="auto"/>
            </w:tcBorders>
          </w:tcPr>
          <w:p w14:paraId="15BACD6F" w14:textId="77777777" w:rsidR="00E62558" w:rsidRPr="00D245AD" w:rsidRDefault="00E62558" w:rsidP="001940D7">
            <w:pPr>
              <w:pStyle w:val="Normal-pool-Table"/>
              <w:rPr>
                <w:szCs w:val="18"/>
                <w:lang w:val="en-US"/>
              </w:rPr>
            </w:pPr>
          </w:p>
        </w:tc>
        <w:tc>
          <w:tcPr>
            <w:tcW w:w="2437" w:type="dxa"/>
            <w:tcBorders>
              <w:bottom w:val="single" w:sz="12" w:space="0" w:color="auto"/>
            </w:tcBorders>
            <w:vAlign w:val="bottom"/>
          </w:tcPr>
          <w:p w14:paraId="3A67D8EA" w14:textId="77777777" w:rsidR="00E62558" w:rsidRPr="00D245AD" w:rsidRDefault="00E62558" w:rsidP="001940D7">
            <w:pPr>
              <w:pStyle w:val="Normal-pool-Table"/>
              <w:rPr>
                <w:b/>
                <w:bCs/>
                <w:szCs w:val="18"/>
                <w:lang w:val="en-US"/>
              </w:rPr>
            </w:pPr>
            <w:r w:rsidRPr="00D245AD">
              <w:rPr>
                <w:b/>
                <w:bCs/>
                <w:szCs w:val="18"/>
                <w:lang w:val="en-US"/>
              </w:rPr>
              <w:t>TOTAL RANGE</w:t>
            </w:r>
          </w:p>
        </w:tc>
        <w:tc>
          <w:tcPr>
            <w:tcW w:w="2367" w:type="dxa"/>
            <w:tcBorders>
              <w:bottom w:val="single" w:sz="12" w:space="0" w:color="auto"/>
            </w:tcBorders>
            <w:vAlign w:val="center"/>
          </w:tcPr>
          <w:p w14:paraId="3CF96EB0" w14:textId="77777777" w:rsidR="00E62558" w:rsidRPr="00D245AD" w:rsidRDefault="00E62558" w:rsidP="001940D7">
            <w:pPr>
              <w:pStyle w:val="Normal-pool-Table"/>
              <w:jc w:val="right"/>
              <w:rPr>
                <w:b/>
                <w:bCs/>
                <w:szCs w:val="18"/>
                <w:lang w:val="en-US"/>
              </w:rPr>
            </w:pPr>
            <w:r w:rsidRPr="00D245AD">
              <w:rPr>
                <w:b/>
                <w:bCs/>
                <w:szCs w:val="18"/>
                <w:lang w:val="en-US"/>
              </w:rPr>
              <w:t>487 – 503</w:t>
            </w:r>
          </w:p>
        </w:tc>
        <w:tc>
          <w:tcPr>
            <w:tcW w:w="2508" w:type="dxa"/>
            <w:tcBorders>
              <w:bottom w:val="single" w:sz="12" w:space="0" w:color="auto"/>
            </w:tcBorders>
            <w:vAlign w:val="center"/>
          </w:tcPr>
          <w:p w14:paraId="48181C12" w14:textId="77777777" w:rsidR="00E62558" w:rsidRPr="00D245AD" w:rsidRDefault="00E62558" w:rsidP="001940D7">
            <w:pPr>
              <w:pStyle w:val="Normal-pool-Table"/>
              <w:jc w:val="right"/>
              <w:rPr>
                <w:b/>
                <w:bCs/>
                <w:szCs w:val="18"/>
                <w:lang w:val="en-US"/>
              </w:rPr>
            </w:pPr>
            <w:r w:rsidRPr="00D245AD">
              <w:rPr>
                <w:b/>
                <w:bCs/>
                <w:szCs w:val="18"/>
              </w:rPr>
              <w:t>583 – 600</w:t>
            </w:r>
          </w:p>
        </w:tc>
      </w:tr>
    </w:tbl>
    <w:p w14:paraId="752E0F36" w14:textId="00A3BFD2" w:rsidR="00D73EC2" w:rsidRPr="00D245AD" w:rsidRDefault="00E62558" w:rsidP="00D73EC2">
      <w:pPr>
        <w:pStyle w:val="CH3"/>
      </w:pPr>
      <w:r w:rsidRPr="00D245AD">
        <w:rPr>
          <w:rFonts w:eastAsia="SimSun"/>
        </w:rPr>
        <w:tab/>
      </w:r>
      <w:r w:rsidR="00083D1F" w:rsidRPr="00D245AD">
        <w:rPr>
          <w:rFonts w:eastAsia="SimSun"/>
        </w:rPr>
        <w:tab/>
      </w:r>
      <w:r w:rsidR="00CD1297" w:rsidRPr="00CD1297">
        <w:rPr>
          <w:rFonts w:eastAsia="SimSun"/>
        </w:rPr>
        <w:t xml:space="preserve">HFC Phase-down funding range </w:t>
      </w:r>
      <w:r w:rsidR="00CD1297">
        <w:t>f</w:t>
      </w:r>
      <w:r w:rsidR="00D73EC2" w:rsidRPr="00D245AD">
        <w:t xml:space="preserve">or the 2027-2029 triennium: </w:t>
      </w:r>
    </w:p>
    <w:p w14:paraId="030A868D" w14:textId="77777777" w:rsidR="00D73EC2" w:rsidRPr="00D245AD" w:rsidRDefault="00D73EC2" w:rsidP="00D73EC2">
      <w:pPr>
        <w:pStyle w:val="ListParagraph"/>
        <w:keepNext/>
        <w:keepLines/>
        <w:numPr>
          <w:ilvl w:val="0"/>
          <w:numId w:val="24"/>
        </w:numPr>
        <w:tabs>
          <w:tab w:val="clear" w:pos="1247"/>
          <w:tab w:val="clear" w:pos="1814"/>
          <w:tab w:val="clear" w:pos="2381"/>
          <w:tab w:val="clear" w:pos="2948"/>
          <w:tab w:val="clear" w:pos="3515"/>
          <w:tab w:val="left" w:pos="624"/>
        </w:tabs>
        <w:spacing w:after="120"/>
        <w:ind w:left="2495" w:hanging="624"/>
        <w:contextualSpacing w:val="0"/>
        <w:rPr>
          <w:b/>
          <w:bCs/>
        </w:rPr>
      </w:pPr>
      <w:r w:rsidRPr="00D245AD">
        <w:rPr>
          <w:b/>
          <w:bCs/>
        </w:rPr>
        <w:t>US$ 970-1,053 million under a resource allocation schedule A</w:t>
      </w:r>
    </w:p>
    <w:p w14:paraId="58555CC2" w14:textId="250287F3" w:rsidR="00D73EC2" w:rsidRPr="00CD1297" w:rsidRDefault="00D73EC2" w:rsidP="00E0168F">
      <w:pPr>
        <w:pStyle w:val="ListParagraph"/>
        <w:keepNext/>
        <w:keepLines/>
        <w:numPr>
          <w:ilvl w:val="0"/>
          <w:numId w:val="24"/>
        </w:numPr>
        <w:tabs>
          <w:tab w:val="clear" w:pos="1247"/>
          <w:tab w:val="clear" w:pos="1814"/>
          <w:tab w:val="clear" w:pos="2381"/>
          <w:tab w:val="clear" w:pos="2948"/>
          <w:tab w:val="clear" w:pos="3515"/>
          <w:tab w:val="left" w:pos="624"/>
        </w:tabs>
        <w:spacing w:after="120"/>
        <w:ind w:left="2495" w:hanging="624"/>
        <w:contextualSpacing w:val="0"/>
        <w:rPr>
          <w:rFonts w:eastAsia="SimSun"/>
        </w:rPr>
      </w:pPr>
      <w:r w:rsidRPr="00D245AD">
        <w:rPr>
          <w:b/>
          <w:bCs/>
        </w:rPr>
        <w:t>US$ 702-781 million under a resource allocation schedule B</w:t>
      </w:r>
    </w:p>
    <w:p w14:paraId="75983D28" w14:textId="0A4720D7" w:rsidR="00E62558" w:rsidRPr="00D245AD" w:rsidRDefault="00D73EC2" w:rsidP="00E62558">
      <w:pPr>
        <w:pStyle w:val="CH3"/>
        <w:rPr>
          <w:rFonts w:eastAsia="SimSun"/>
        </w:rPr>
      </w:pPr>
      <w:r>
        <w:rPr>
          <w:rFonts w:eastAsia="SimSun"/>
        </w:rPr>
        <w:tab/>
      </w:r>
      <w:r>
        <w:rPr>
          <w:rFonts w:eastAsia="SimSun"/>
        </w:rPr>
        <w:tab/>
      </w:r>
      <w:r w:rsidR="00E62558" w:rsidRPr="00D245AD">
        <w:rPr>
          <w:rFonts w:eastAsia="SimSun"/>
        </w:rPr>
        <w:t>Other funding considerations and information for parties</w:t>
      </w:r>
    </w:p>
    <w:p w14:paraId="6C6F1F1D" w14:textId="6D2632A4" w:rsidR="00E62558" w:rsidRPr="00D245AD" w:rsidRDefault="00E62558" w:rsidP="00E62558">
      <w:pPr>
        <w:pStyle w:val="NormalNonumber"/>
        <w:rPr>
          <w:rFonts w:eastAsia="SimSun"/>
        </w:rPr>
      </w:pPr>
      <w:r w:rsidRPr="00D245AD">
        <w:rPr>
          <w:rFonts w:eastAsia="SimSun"/>
        </w:rPr>
        <w:t xml:space="preserve">In accordance with the decision XXXVII/6 </w:t>
      </w:r>
      <w:r w:rsidR="00646564">
        <w:rPr>
          <w:rFonts w:eastAsia="SimSun"/>
        </w:rPr>
        <w:t xml:space="preserve">TOR </w:t>
      </w:r>
      <w:r w:rsidRPr="00D245AD">
        <w:rPr>
          <w:rFonts w:eastAsia="SimSun"/>
        </w:rPr>
        <w:t xml:space="preserve">for the RTF's assessment, funding requirements were estimated for institutional strengthening and standard activities, funding for energy efficiency, and a funding modality for pilot projects </w:t>
      </w:r>
      <w:r w:rsidRPr="00D245AD">
        <w:t>aimed</w:t>
      </w:r>
      <w:r w:rsidRPr="00D245AD">
        <w:rPr>
          <w:rFonts w:eastAsia="SimSun"/>
        </w:rPr>
        <w:t xml:space="preserve"> at enhancing regional atmospheric monitoring.</w:t>
      </w:r>
      <w:r w:rsidRPr="00D245AD">
        <w:t xml:space="preserve"> </w:t>
      </w:r>
      <w:r w:rsidRPr="00D245AD">
        <w:rPr>
          <w:rFonts w:eastAsia="SimSun"/>
        </w:rPr>
        <w:t>RTF also provided updated information on “the special needs of low-volume-consuming and very-low-volume consuming countries”, and on “digital technologies and tools within the servicing sector”</w:t>
      </w:r>
      <w:r w:rsidR="00FC6D9B" w:rsidRPr="00FC6D9B">
        <w:rPr>
          <w:rFonts w:eastAsia="SimSun"/>
        </w:rPr>
        <w:t>, and on lifecycle refrigerant management (LRM) given ongoing discussions under ExCom Decision 97/89. While detailed information is provided on these topics for parties’ consideration, these did not factor into the estimated funding requirements for the three triennia</w:t>
      </w:r>
      <w:r w:rsidRPr="00D245AD">
        <w:rPr>
          <w:rFonts w:eastAsia="SimSun"/>
        </w:rPr>
        <w:t>.</w:t>
      </w:r>
    </w:p>
    <w:p w14:paraId="7E0997D6" w14:textId="0E2554D1" w:rsidR="00E62558" w:rsidRPr="00D245AD" w:rsidRDefault="00E62558" w:rsidP="00E62558">
      <w:pPr>
        <w:pStyle w:val="CH3"/>
      </w:pPr>
      <w:bookmarkStart w:id="19" w:name="_Hlk78119192"/>
      <w:r w:rsidRPr="00D245AD">
        <w:tab/>
      </w:r>
      <w:r w:rsidR="00083D1F" w:rsidRPr="00D245AD">
        <w:tab/>
      </w:r>
      <w:r w:rsidRPr="00D245AD">
        <w:t xml:space="preserve">Range </w:t>
      </w:r>
      <w:r w:rsidRPr="00D245AD">
        <w:rPr>
          <w:rFonts w:eastAsia="SimSun"/>
        </w:rPr>
        <w:t>of</w:t>
      </w:r>
      <w:r w:rsidRPr="00D245AD">
        <w:t xml:space="preserve"> </w:t>
      </w:r>
      <w:r w:rsidR="00FC6D9B">
        <w:t xml:space="preserve">total </w:t>
      </w:r>
      <w:r w:rsidRPr="00D245AD">
        <w:t>estimated total funding requirements for the 2027-2029 triennium</w:t>
      </w:r>
    </w:p>
    <w:p w14:paraId="5112FA22" w14:textId="6D71C037" w:rsidR="00E62558" w:rsidRPr="00D245AD" w:rsidRDefault="00E62558" w:rsidP="00E62558">
      <w:pPr>
        <w:pStyle w:val="NormalNonumber"/>
      </w:pPr>
      <w:r w:rsidRPr="00D245AD">
        <w:t xml:space="preserve">The range of total </w:t>
      </w:r>
      <w:r w:rsidRPr="00D245AD">
        <w:rPr>
          <w:rFonts w:eastAsia="SimSun"/>
        </w:rPr>
        <w:t>estimated</w:t>
      </w:r>
      <w:r w:rsidRPr="00D245AD">
        <w:t xml:space="preserve"> funding requirement </w:t>
      </w:r>
      <w:r w:rsidR="00A22A7A" w:rsidRPr="00A22A7A">
        <w:t xml:space="preserve">(including support costs) </w:t>
      </w:r>
      <w:r w:rsidRPr="00D245AD">
        <w:t>for the replenishment of the MLF in the 2027-2029 triennium</w:t>
      </w:r>
      <w:r w:rsidR="003429C4" w:rsidRPr="003429C4">
        <w:t xml:space="preserve"> includes HCFC and HFC consumption and production sectors, and IS and Standard Activities, and is </w:t>
      </w:r>
      <w:r w:rsidRPr="00D245AD">
        <w:t>presented in Tables ES.4</w:t>
      </w:r>
      <w:bookmarkStart w:id="20" w:name="_Hlk81676469"/>
      <w:r w:rsidRPr="00D245AD">
        <w:t xml:space="preserve">. </w:t>
      </w:r>
      <w:bookmarkEnd w:id="20"/>
    </w:p>
    <w:p w14:paraId="4998ED82" w14:textId="5CAE2F4A" w:rsidR="00E62558" w:rsidRPr="00E0168F" w:rsidRDefault="00E62558" w:rsidP="00083D1F">
      <w:pPr>
        <w:pStyle w:val="Titletable"/>
        <w:rPr>
          <w:rFonts w:eastAsiaTheme="minorEastAsia"/>
          <w:b w:val="0"/>
          <w:bCs w:val="0"/>
        </w:rPr>
      </w:pPr>
      <w:r w:rsidRPr="00D245AD">
        <w:rPr>
          <w:rFonts w:eastAsiaTheme="minorEastAsia"/>
          <w:b w:val="0"/>
          <w:bCs w:val="0"/>
        </w:rPr>
        <w:t>Table ES.4</w:t>
      </w:r>
      <w:r w:rsidRPr="00D245AD">
        <w:rPr>
          <w:rFonts w:eastAsiaTheme="minorEastAsia"/>
          <w:b w:val="0"/>
          <w:bCs w:val="0"/>
        </w:rPr>
        <w:br/>
      </w:r>
      <w:r w:rsidRPr="00D245AD">
        <w:t>Range of total funding requirement for the replenishment of the MLF 2027-2029 based on different scenarios and resource allocation schedules, and IS and SA (US$ million)</w:t>
      </w:r>
      <w:bookmarkEnd w:id="19"/>
      <w:r w:rsidRPr="00D245AD">
        <w:rPr>
          <w:rFonts w:eastAsiaTheme="minorEastAsia"/>
        </w:rPr>
        <w:t xml:space="preserve"> </w:t>
      </w:r>
    </w:p>
    <w:tbl>
      <w:tblPr>
        <w:tblW w:w="8307" w:type="dxa"/>
        <w:jc w:val="right"/>
        <w:tblCellMar>
          <w:left w:w="0" w:type="dxa"/>
          <w:right w:w="0" w:type="dxa"/>
        </w:tblCellMar>
        <w:tblLook w:val="04A0" w:firstRow="1" w:lastRow="0" w:firstColumn="1" w:lastColumn="0" w:noHBand="0" w:noVBand="1"/>
      </w:tblPr>
      <w:tblGrid>
        <w:gridCol w:w="3261"/>
        <w:gridCol w:w="2524"/>
        <w:gridCol w:w="2522"/>
      </w:tblGrid>
      <w:tr w:rsidR="00E62558" w:rsidRPr="00D245AD" w14:paraId="4F9529F8" w14:textId="77777777" w:rsidTr="00A4058A">
        <w:trPr>
          <w:trHeight w:val="67"/>
          <w:jc w:val="right"/>
        </w:trPr>
        <w:tc>
          <w:tcPr>
            <w:tcW w:w="1963" w:type="pct"/>
            <w:tcBorders>
              <w:top w:val="single" w:sz="4" w:space="0" w:color="auto"/>
              <w:bottom w:val="single" w:sz="12" w:space="0" w:color="auto"/>
            </w:tcBorders>
            <w:vAlign w:val="center"/>
            <w:hideMark/>
          </w:tcPr>
          <w:p w14:paraId="0ADC79E8" w14:textId="77777777" w:rsidR="00E62558" w:rsidRPr="00D245AD" w:rsidRDefault="00E62558" w:rsidP="001940D7">
            <w:pPr>
              <w:pStyle w:val="Normal-pool-Table"/>
              <w:rPr>
                <w:i/>
                <w:iCs/>
                <w:lang w:val="en-US"/>
              </w:rPr>
            </w:pPr>
            <w:r w:rsidRPr="00D245AD">
              <w:rPr>
                <w:i/>
                <w:iCs/>
                <w:lang w:val="en-US"/>
              </w:rPr>
              <w:t>2027-2029 Triennium</w:t>
            </w:r>
          </w:p>
        </w:tc>
        <w:tc>
          <w:tcPr>
            <w:tcW w:w="1519" w:type="pct"/>
            <w:tcBorders>
              <w:top w:val="single" w:sz="4" w:space="0" w:color="auto"/>
              <w:bottom w:val="single" w:sz="12" w:space="0" w:color="auto"/>
            </w:tcBorders>
            <w:vAlign w:val="center"/>
            <w:hideMark/>
          </w:tcPr>
          <w:p w14:paraId="473D7F6A" w14:textId="3FE7DF2A" w:rsidR="00E62558" w:rsidRPr="00D245AD" w:rsidRDefault="00E62558" w:rsidP="001940D7">
            <w:pPr>
              <w:pStyle w:val="Normal-pool-Table"/>
              <w:jc w:val="right"/>
              <w:rPr>
                <w:i/>
                <w:iCs/>
                <w:lang w:val="en-US"/>
              </w:rPr>
            </w:pPr>
            <w:r w:rsidRPr="00D245AD">
              <w:rPr>
                <w:i/>
                <w:iCs/>
                <w:lang w:val="en-US"/>
              </w:rPr>
              <w:t xml:space="preserve">Low-end Range </w:t>
            </w:r>
          </w:p>
        </w:tc>
        <w:tc>
          <w:tcPr>
            <w:tcW w:w="1519" w:type="pct"/>
            <w:tcBorders>
              <w:top w:val="single" w:sz="4" w:space="0" w:color="auto"/>
              <w:bottom w:val="single" w:sz="12" w:space="0" w:color="auto"/>
            </w:tcBorders>
            <w:vAlign w:val="center"/>
            <w:hideMark/>
          </w:tcPr>
          <w:p w14:paraId="1D4DDFF3" w14:textId="3D69185D" w:rsidR="00E62558" w:rsidRPr="00D245AD" w:rsidRDefault="00E62558" w:rsidP="001940D7">
            <w:pPr>
              <w:pStyle w:val="Normal-pool-Table"/>
              <w:jc w:val="right"/>
              <w:rPr>
                <w:i/>
                <w:iCs/>
                <w:lang w:val="en-US"/>
              </w:rPr>
            </w:pPr>
            <w:r w:rsidRPr="00D245AD">
              <w:rPr>
                <w:i/>
                <w:iCs/>
                <w:lang w:val="en-US"/>
              </w:rPr>
              <w:t xml:space="preserve">High-end Range </w:t>
            </w:r>
          </w:p>
        </w:tc>
      </w:tr>
      <w:tr w:rsidR="00E62558" w:rsidRPr="00D245AD" w14:paraId="59292DA6" w14:textId="77777777" w:rsidTr="00A4058A">
        <w:trPr>
          <w:trHeight w:val="318"/>
          <w:jc w:val="right"/>
        </w:trPr>
        <w:tc>
          <w:tcPr>
            <w:tcW w:w="1963" w:type="pct"/>
            <w:tcBorders>
              <w:top w:val="single" w:sz="12" w:space="0" w:color="auto"/>
            </w:tcBorders>
            <w:vAlign w:val="bottom"/>
          </w:tcPr>
          <w:p w14:paraId="2877EDE1" w14:textId="77777777" w:rsidR="00E62558" w:rsidRPr="00D245AD" w:rsidRDefault="00E62558" w:rsidP="001940D7">
            <w:pPr>
              <w:pStyle w:val="Normal-pool-Table"/>
              <w:rPr>
                <w:lang w:val="en-US"/>
              </w:rPr>
            </w:pPr>
            <w:r w:rsidRPr="00D245AD">
              <w:rPr>
                <w:lang w:val="en-US"/>
              </w:rPr>
              <w:t>SUBTOTAL – HCFC ACTIVITIES</w:t>
            </w:r>
          </w:p>
        </w:tc>
        <w:tc>
          <w:tcPr>
            <w:tcW w:w="1519" w:type="pct"/>
            <w:tcBorders>
              <w:top w:val="single" w:sz="12" w:space="0" w:color="auto"/>
            </w:tcBorders>
            <w:vAlign w:val="center"/>
          </w:tcPr>
          <w:p w14:paraId="1BEDA1F7" w14:textId="77777777" w:rsidR="00E62558" w:rsidRPr="00D245AD" w:rsidRDefault="00E62558" w:rsidP="001940D7">
            <w:pPr>
              <w:pStyle w:val="Normal-pool-Table"/>
              <w:jc w:val="right"/>
              <w:rPr>
                <w:lang w:val="en-US"/>
              </w:rPr>
            </w:pPr>
            <w:r w:rsidRPr="00D245AD">
              <w:rPr>
                <w:lang w:val="en-US"/>
              </w:rPr>
              <w:t>451</w:t>
            </w:r>
          </w:p>
        </w:tc>
        <w:tc>
          <w:tcPr>
            <w:tcW w:w="1519" w:type="pct"/>
            <w:tcBorders>
              <w:top w:val="single" w:sz="12" w:space="0" w:color="auto"/>
            </w:tcBorders>
            <w:vAlign w:val="center"/>
          </w:tcPr>
          <w:p w14:paraId="066B3050" w14:textId="77777777" w:rsidR="00E62558" w:rsidRPr="00D245AD" w:rsidRDefault="00E62558" w:rsidP="001940D7">
            <w:pPr>
              <w:pStyle w:val="Normal-pool-Table"/>
              <w:jc w:val="right"/>
              <w:rPr>
                <w:lang w:val="en-US"/>
              </w:rPr>
            </w:pPr>
            <w:r w:rsidRPr="00D245AD">
              <w:rPr>
                <w:lang w:val="en-US"/>
              </w:rPr>
              <w:t>573</w:t>
            </w:r>
          </w:p>
        </w:tc>
      </w:tr>
      <w:tr w:rsidR="00E62558" w:rsidRPr="00D245AD" w14:paraId="45329EF0" w14:textId="77777777" w:rsidTr="00A4058A">
        <w:trPr>
          <w:trHeight w:val="318"/>
          <w:jc w:val="right"/>
        </w:trPr>
        <w:tc>
          <w:tcPr>
            <w:tcW w:w="1963" w:type="pct"/>
            <w:vAlign w:val="bottom"/>
          </w:tcPr>
          <w:p w14:paraId="1BC9292D" w14:textId="77777777" w:rsidR="00E62558" w:rsidRPr="00D245AD" w:rsidRDefault="00E62558" w:rsidP="001940D7">
            <w:pPr>
              <w:pStyle w:val="Normal-pool-Table"/>
              <w:rPr>
                <w:lang w:val="en-US"/>
              </w:rPr>
            </w:pPr>
            <w:r w:rsidRPr="00D245AD">
              <w:rPr>
                <w:lang w:val="en-US"/>
              </w:rPr>
              <w:t>SUBTOTAL – HFC ACTIVITES</w:t>
            </w:r>
          </w:p>
        </w:tc>
        <w:tc>
          <w:tcPr>
            <w:tcW w:w="1519" w:type="pct"/>
            <w:vAlign w:val="center"/>
          </w:tcPr>
          <w:p w14:paraId="0F3D5E18" w14:textId="77777777" w:rsidR="00E62558" w:rsidRPr="00D245AD" w:rsidRDefault="00E62558" w:rsidP="001940D7">
            <w:pPr>
              <w:pStyle w:val="Normal-pool-Table"/>
              <w:jc w:val="right"/>
              <w:rPr>
                <w:lang w:val="en-US"/>
              </w:rPr>
            </w:pPr>
            <w:r w:rsidRPr="00D245AD">
              <w:rPr>
                <w:lang w:val="en-US"/>
              </w:rPr>
              <w:t>702 – 781</w:t>
            </w:r>
          </w:p>
        </w:tc>
        <w:tc>
          <w:tcPr>
            <w:tcW w:w="1519" w:type="pct"/>
            <w:vAlign w:val="center"/>
          </w:tcPr>
          <w:p w14:paraId="404F81C8" w14:textId="05524802" w:rsidR="00E62558" w:rsidRPr="00D245AD" w:rsidRDefault="00E62558" w:rsidP="001940D7">
            <w:pPr>
              <w:pStyle w:val="Normal-pool-Table"/>
              <w:jc w:val="right"/>
              <w:rPr>
                <w:lang w:val="en-US"/>
              </w:rPr>
            </w:pPr>
            <w:r w:rsidRPr="00D245AD">
              <w:rPr>
                <w:lang w:val="en-US"/>
              </w:rPr>
              <w:t>970 – 1</w:t>
            </w:r>
            <w:r w:rsidR="000B00E7">
              <w:rPr>
                <w:lang w:val="en-US"/>
              </w:rPr>
              <w:t xml:space="preserve"> </w:t>
            </w:r>
            <w:r w:rsidRPr="00D245AD">
              <w:rPr>
                <w:lang w:val="en-US"/>
              </w:rPr>
              <w:t>053</w:t>
            </w:r>
          </w:p>
        </w:tc>
      </w:tr>
      <w:tr w:rsidR="00E62558" w:rsidRPr="00D245AD" w14:paraId="61D7C1D5" w14:textId="77777777" w:rsidTr="00A4058A">
        <w:trPr>
          <w:trHeight w:val="318"/>
          <w:jc w:val="right"/>
        </w:trPr>
        <w:tc>
          <w:tcPr>
            <w:tcW w:w="1963" w:type="pct"/>
            <w:tcBorders>
              <w:bottom w:val="single" w:sz="4" w:space="0" w:color="auto"/>
            </w:tcBorders>
            <w:vAlign w:val="bottom"/>
          </w:tcPr>
          <w:p w14:paraId="42082964" w14:textId="77777777" w:rsidR="00E62558" w:rsidRPr="00D245AD" w:rsidRDefault="00E62558" w:rsidP="001940D7">
            <w:pPr>
              <w:pStyle w:val="Normal-pool-Table"/>
              <w:rPr>
                <w:lang w:val="en-US"/>
              </w:rPr>
            </w:pPr>
            <w:r w:rsidRPr="00D245AD">
              <w:rPr>
                <w:lang w:val="en-US"/>
              </w:rPr>
              <w:t>SUBTOTAL – IS &amp; SA</w:t>
            </w:r>
          </w:p>
        </w:tc>
        <w:tc>
          <w:tcPr>
            <w:tcW w:w="1519" w:type="pct"/>
            <w:tcBorders>
              <w:bottom w:val="single" w:sz="4" w:space="0" w:color="auto"/>
            </w:tcBorders>
            <w:vAlign w:val="center"/>
          </w:tcPr>
          <w:p w14:paraId="4E28B0C0" w14:textId="77777777" w:rsidR="00E62558" w:rsidRPr="00D245AD" w:rsidRDefault="00E62558" w:rsidP="001940D7">
            <w:pPr>
              <w:pStyle w:val="Normal-pool-Table"/>
              <w:jc w:val="right"/>
              <w:rPr>
                <w:lang w:val="en-US"/>
              </w:rPr>
            </w:pPr>
            <w:r w:rsidRPr="00D245AD">
              <w:rPr>
                <w:lang w:val="en-US"/>
              </w:rPr>
              <w:t>129</w:t>
            </w:r>
          </w:p>
        </w:tc>
        <w:tc>
          <w:tcPr>
            <w:tcW w:w="1519" w:type="pct"/>
            <w:tcBorders>
              <w:bottom w:val="single" w:sz="4" w:space="0" w:color="auto"/>
            </w:tcBorders>
            <w:vAlign w:val="center"/>
          </w:tcPr>
          <w:p w14:paraId="0A11A446" w14:textId="77777777" w:rsidR="00E62558" w:rsidRPr="00D245AD" w:rsidRDefault="00E62558" w:rsidP="001940D7">
            <w:pPr>
              <w:pStyle w:val="Normal-pool-Table"/>
              <w:jc w:val="right"/>
              <w:rPr>
                <w:lang w:val="en-US"/>
              </w:rPr>
            </w:pPr>
            <w:r w:rsidRPr="00D245AD">
              <w:rPr>
                <w:lang w:val="en-US"/>
              </w:rPr>
              <w:t>129</w:t>
            </w:r>
          </w:p>
        </w:tc>
      </w:tr>
      <w:tr w:rsidR="00E62558" w:rsidRPr="00D245AD" w14:paraId="12F2E9FA" w14:textId="77777777" w:rsidTr="00A4058A">
        <w:trPr>
          <w:trHeight w:val="318"/>
          <w:jc w:val="right"/>
        </w:trPr>
        <w:tc>
          <w:tcPr>
            <w:tcW w:w="1963" w:type="pct"/>
            <w:tcBorders>
              <w:top w:val="single" w:sz="4" w:space="0" w:color="auto"/>
              <w:bottom w:val="single" w:sz="12" w:space="0" w:color="auto"/>
            </w:tcBorders>
            <w:vAlign w:val="bottom"/>
          </w:tcPr>
          <w:p w14:paraId="2D33EF42" w14:textId="060866EF" w:rsidR="00E62558" w:rsidRPr="00D245AD" w:rsidRDefault="00E62558" w:rsidP="001940D7">
            <w:pPr>
              <w:pStyle w:val="Normal-pool-Table"/>
              <w:rPr>
                <w:b/>
                <w:bCs/>
                <w:lang w:val="en-US"/>
              </w:rPr>
            </w:pPr>
            <w:r w:rsidRPr="00D245AD">
              <w:rPr>
                <w:b/>
                <w:bCs/>
                <w:lang w:val="en-US"/>
              </w:rPr>
              <w:t>GRAND TOTAL</w:t>
            </w:r>
          </w:p>
        </w:tc>
        <w:tc>
          <w:tcPr>
            <w:tcW w:w="1519" w:type="pct"/>
            <w:tcBorders>
              <w:top w:val="single" w:sz="4" w:space="0" w:color="auto"/>
              <w:bottom w:val="single" w:sz="12" w:space="0" w:color="auto"/>
            </w:tcBorders>
            <w:vAlign w:val="center"/>
          </w:tcPr>
          <w:p w14:paraId="3C6E7983" w14:textId="77777777" w:rsidR="00E62558" w:rsidRPr="00D245AD" w:rsidRDefault="00E62558" w:rsidP="001940D7">
            <w:pPr>
              <w:pStyle w:val="Normal-pool-Table"/>
              <w:jc w:val="right"/>
              <w:rPr>
                <w:b/>
                <w:bCs/>
                <w:lang w:val="en-US"/>
              </w:rPr>
            </w:pPr>
            <w:r w:rsidRPr="00D245AD">
              <w:rPr>
                <w:b/>
                <w:bCs/>
                <w:lang w:val="en-US"/>
              </w:rPr>
              <w:t>1 282 – 1 361</w:t>
            </w:r>
          </w:p>
        </w:tc>
        <w:tc>
          <w:tcPr>
            <w:tcW w:w="1519" w:type="pct"/>
            <w:tcBorders>
              <w:top w:val="single" w:sz="4" w:space="0" w:color="auto"/>
              <w:bottom w:val="single" w:sz="12" w:space="0" w:color="auto"/>
            </w:tcBorders>
            <w:vAlign w:val="center"/>
          </w:tcPr>
          <w:p w14:paraId="75387BD1" w14:textId="77777777" w:rsidR="00E62558" w:rsidRPr="00D245AD" w:rsidRDefault="00E62558" w:rsidP="001940D7">
            <w:pPr>
              <w:pStyle w:val="Normal-pool-Table"/>
              <w:jc w:val="right"/>
              <w:rPr>
                <w:b/>
                <w:bCs/>
                <w:lang w:val="en-US"/>
              </w:rPr>
            </w:pPr>
            <w:r w:rsidRPr="00D245AD">
              <w:rPr>
                <w:b/>
                <w:bCs/>
                <w:lang w:val="en-US"/>
              </w:rPr>
              <w:t>1 672 – 1 755</w:t>
            </w:r>
          </w:p>
        </w:tc>
      </w:tr>
    </w:tbl>
    <w:p w14:paraId="3593B1A4" w14:textId="77777777" w:rsidR="005D23A3" w:rsidRDefault="005D23A3" w:rsidP="00E62558">
      <w:pPr>
        <w:pStyle w:val="Normalpool"/>
        <w:sectPr w:rsidR="005D23A3" w:rsidSect="00415BBE">
          <w:footnotePr>
            <w:numRestart w:val="eachSect"/>
          </w:footnotePr>
          <w:pgSz w:w="11907" w:h="16839"/>
          <w:pgMar w:top="907" w:right="992" w:bottom="1418" w:left="1418" w:header="539" w:footer="975" w:gutter="0"/>
          <w:cols w:space="708"/>
          <w:docGrid w:linePitch="360"/>
        </w:sectPr>
      </w:pPr>
    </w:p>
    <w:p w14:paraId="001CBC51" w14:textId="77777777" w:rsidR="00E62558" w:rsidRPr="00D245AD" w:rsidRDefault="00E62558" w:rsidP="00E62558">
      <w:pPr>
        <w:pStyle w:val="Normalpool"/>
      </w:pPr>
      <w:r w:rsidRPr="00D245AD">
        <w:rPr>
          <w:b/>
          <w:bCs/>
        </w:rPr>
        <w:br w:type="page"/>
      </w:r>
    </w:p>
    <w:p w14:paraId="69710E5E" w14:textId="77777777" w:rsidR="00E62558" w:rsidRPr="00D245AD" w:rsidRDefault="00E62558" w:rsidP="00E62558">
      <w:pPr>
        <w:pStyle w:val="ZZAnxheader"/>
      </w:pPr>
      <w:r w:rsidRPr="00D245AD">
        <w:lastRenderedPageBreak/>
        <w:t>Annex II</w:t>
      </w:r>
      <w:r w:rsidRPr="00D245AD">
        <w:rPr>
          <w:b w:val="0"/>
          <w:bCs w:val="0"/>
        </w:rPr>
        <w:footnoteReference w:customMarkFollows="1" w:id="17"/>
        <w:t>*</w:t>
      </w:r>
    </w:p>
    <w:p w14:paraId="31412D07" w14:textId="77777777" w:rsidR="00E62558" w:rsidRPr="00D245AD" w:rsidRDefault="00E62558" w:rsidP="00E62558">
      <w:pPr>
        <w:pStyle w:val="ZZAnxtitle"/>
      </w:pPr>
      <w:r w:rsidRPr="00D245AD">
        <w:t>Technology and Economic Assessment Panel 2026 progress report (volume 1)</w:t>
      </w:r>
    </w:p>
    <w:p w14:paraId="2C693797" w14:textId="77777777" w:rsidR="00E62558" w:rsidRPr="00D245AD" w:rsidRDefault="00E62558" w:rsidP="00E62558">
      <w:pPr>
        <w:pStyle w:val="CH2"/>
      </w:pPr>
      <w:bookmarkStart w:id="21" w:name="_Toc166157403"/>
      <w:bookmarkStart w:id="22" w:name="_Toc166577102"/>
      <w:r w:rsidRPr="00D245AD">
        <w:tab/>
      </w:r>
      <w:r w:rsidRPr="00D245AD">
        <w:tab/>
        <w:t>Key messages from Technical Options Committees</w:t>
      </w:r>
      <w:bookmarkEnd w:id="21"/>
      <w:bookmarkEnd w:id="22"/>
    </w:p>
    <w:p w14:paraId="5B8671B9" w14:textId="77777777" w:rsidR="00E62558" w:rsidRPr="00D245AD" w:rsidRDefault="00E62558" w:rsidP="00E62558">
      <w:pPr>
        <w:pStyle w:val="NormalNonumber"/>
        <w:rPr>
          <w:color w:val="000000" w:themeColor="text1"/>
        </w:rPr>
      </w:pPr>
      <w:r w:rsidRPr="00D245AD">
        <w:rPr>
          <w:color w:val="000000" w:themeColor="text1"/>
        </w:rPr>
        <w:t>Key messages arising from TOC progress reports are presented in this section.</w:t>
      </w:r>
    </w:p>
    <w:p w14:paraId="4FC5A631" w14:textId="77777777" w:rsidR="00E62558" w:rsidRPr="00D245AD" w:rsidRDefault="00E62558" w:rsidP="00E62558">
      <w:pPr>
        <w:pStyle w:val="CH3"/>
        <w:rPr>
          <w:i/>
          <w:iCs/>
          <w:color w:val="000000" w:themeColor="text1"/>
        </w:rPr>
      </w:pPr>
      <w:r w:rsidRPr="00D245AD">
        <w:rPr>
          <w:i/>
          <w:iCs/>
          <w:color w:val="808080" w:themeColor="background1" w:themeShade="80"/>
        </w:rPr>
        <w:tab/>
      </w:r>
      <w:r w:rsidRPr="00D245AD">
        <w:rPr>
          <w:i/>
          <w:iCs/>
          <w:color w:val="808080" w:themeColor="background1" w:themeShade="80"/>
        </w:rPr>
        <w:tab/>
      </w:r>
      <w:r w:rsidRPr="00D245AD">
        <w:rPr>
          <w:i/>
          <w:iCs/>
          <w:color w:val="000000" w:themeColor="text1"/>
        </w:rPr>
        <w:t>Fire Suppression Technical Options Committee (FSTOC)</w:t>
      </w:r>
    </w:p>
    <w:p w14:paraId="6C85736D" w14:textId="77777777" w:rsidR="00E62558" w:rsidRPr="00D245AD" w:rsidRDefault="00E62558" w:rsidP="00E62558">
      <w:pPr>
        <w:pStyle w:val="NormalNonumber"/>
        <w:rPr>
          <w:color w:val="000000" w:themeColor="text1"/>
        </w:rPr>
      </w:pPr>
      <w:r w:rsidRPr="00D245AD">
        <w:rPr>
          <w:color w:val="000000" w:themeColor="text1"/>
        </w:rPr>
        <w:t>The FSTOC progress report is contained in Chapter 3 of this report and includes the following updates:</w:t>
      </w:r>
    </w:p>
    <w:p w14:paraId="56A9FD54"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 xml:space="preserve">In response to “Decision XXXVII/4: Halon availability and global distribution of halon banks”, the FSTOC has worked with the International Civil Aviation Organization (ICAO) and has refined the halon 1301 run-out date. This is now estimated to be in the 2035 +/- 4 years timeframe, based on the latest available data from civil aviation, oil and gas, and nuclear power plants, together with the amounts being recovered from shipbreaking activities. </w:t>
      </w:r>
    </w:p>
    <w:p w14:paraId="52686C89" w14:textId="27438DCC"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 xml:space="preserve">Parties may wish to consider determining what, if any, changes may be needed to the </w:t>
      </w:r>
      <w:r w:rsidR="00881E7C">
        <w:rPr>
          <w:color w:val="000000" w:themeColor="text1"/>
        </w:rPr>
        <w:t>E</w:t>
      </w:r>
      <w:r w:rsidRPr="00D245AD">
        <w:rPr>
          <w:color w:val="000000" w:themeColor="text1"/>
        </w:rPr>
        <w:t xml:space="preserve">ssential </w:t>
      </w:r>
      <w:r w:rsidR="00881E7C">
        <w:rPr>
          <w:color w:val="000000" w:themeColor="text1"/>
        </w:rPr>
        <w:t>U</w:t>
      </w:r>
      <w:r w:rsidRPr="00D245AD">
        <w:rPr>
          <w:color w:val="000000" w:themeColor="text1"/>
        </w:rPr>
        <w:t xml:space="preserve">se </w:t>
      </w:r>
      <w:r w:rsidR="00881E7C">
        <w:rPr>
          <w:color w:val="000000" w:themeColor="text1"/>
        </w:rPr>
        <w:t>N</w:t>
      </w:r>
      <w:r w:rsidRPr="00D245AD">
        <w:rPr>
          <w:color w:val="000000" w:themeColor="text1"/>
        </w:rPr>
        <w:t xml:space="preserve">omination </w:t>
      </w:r>
      <w:r w:rsidR="00AE2638">
        <w:rPr>
          <w:color w:val="000000" w:themeColor="text1"/>
        </w:rPr>
        <w:t xml:space="preserve">(EUN) </w:t>
      </w:r>
      <w:r w:rsidRPr="00D245AD">
        <w:rPr>
          <w:color w:val="000000" w:themeColor="text1"/>
        </w:rPr>
        <w:t xml:space="preserve">and </w:t>
      </w:r>
      <w:r w:rsidR="00AE2638">
        <w:rPr>
          <w:color w:val="000000" w:themeColor="text1"/>
        </w:rPr>
        <w:t>E</w:t>
      </w:r>
      <w:r w:rsidRPr="00D245AD">
        <w:rPr>
          <w:color w:val="000000" w:themeColor="text1"/>
        </w:rPr>
        <w:t xml:space="preserve">valuation </w:t>
      </w:r>
      <w:r w:rsidR="00AE2638">
        <w:rPr>
          <w:color w:val="000000" w:themeColor="text1"/>
        </w:rPr>
        <w:t>P</w:t>
      </w:r>
      <w:r w:rsidRPr="00D245AD">
        <w:rPr>
          <w:color w:val="000000" w:themeColor="text1"/>
        </w:rPr>
        <w:t>rocesses, given that every individual party will be unable to determine their civil aviation needs, i.e., production and consumption, on an annual basis.</w:t>
      </w:r>
    </w:p>
    <w:p w14:paraId="0B18A8A0"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The FSTOC model continues to compare well with emissions derived from atmospheric measurements of halon 1301, now through 2024.</w:t>
      </w:r>
    </w:p>
    <w:p w14:paraId="4C09C855"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The FSTOC is not aware of any new fire protection/extinguishant agents under development.</w:t>
      </w:r>
    </w:p>
    <w:p w14:paraId="2E574649" w14:textId="43F9DBEA"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The European Chemicals Agency (ECHA) Socio-Economic Analysis Committee (SEAC) draft opinion, released on March 26, 2026, on the European Union (EU) per- and polyfluoroalkvl substances (PFAS) restriction proposal would lead to bans on the use of critical halon alternatives following the entry into force of any regulation, unless a derogation allows a grace period. The SEAC draft opinion on the EU PFAS restriction proposal recommends a 12-year derogation for 2-bromo-3,3,3-trifluoropropene (2-BTP) in hand-held extinguishers on aircraft. No derogation is being proposed for the potential future use of the 2-BTP/</w:t>
      </w:r>
      <w:r w:rsidR="00AE2638">
        <w:rPr>
          <w:color w:val="000000" w:themeColor="text1"/>
        </w:rPr>
        <w:t>carbon dioxide (</w:t>
      </w:r>
      <w:r w:rsidRPr="00D245AD">
        <w:rPr>
          <w:color w:val="000000" w:themeColor="text1"/>
        </w:rPr>
        <w:t>CO</w:t>
      </w:r>
      <w:r w:rsidRPr="00E0168F">
        <w:rPr>
          <w:color w:val="000000" w:themeColor="text1"/>
          <w:vertAlign w:val="subscript"/>
        </w:rPr>
        <w:t>2</w:t>
      </w:r>
      <w:r w:rsidR="00AE2638">
        <w:rPr>
          <w:color w:val="000000" w:themeColor="text1"/>
        </w:rPr>
        <w:t>)</w:t>
      </w:r>
      <w:r w:rsidRPr="00D245AD">
        <w:rPr>
          <w:color w:val="000000" w:themeColor="text1"/>
        </w:rPr>
        <w:t xml:space="preserve"> blend to replace halon 1301 in cargo compartments. </w:t>
      </w:r>
    </w:p>
    <w:p w14:paraId="65303D74" w14:textId="77777777" w:rsidR="00E62558" w:rsidRPr="00D245AD" w:rsidRDefault="00E62558" w:rsidP="00E62558">
      <w:pPr>
        <w:pStyle w:val="CH3"/>
        <w:rPr>
          <w:i/>
          <w:iCs/>
          <w:color w:val="000000" w:themeColor="text1"/>
        </w:rPr>
      </w:pPr>
      <w:r w:rsidRPr="00D245AD">
        <w:rPr>
          <w:i/>
          <w:iCs/>
          <w:color w:val="000000" w:themeColor="text1"/>
        </w:rPr>
        <w:tab/>
      </w:r>
      <w:r w:rsidRPr="00D245AD">
        <w:rPr>
          <w:i/>
          <w:iCs/>
          <w:color w:val="000000" w:themeColor="text1"/>
        </w:rPr>
        <w:tab/>
        <w:t>Flexible and Rigid Foams Technical Options Committee (FTOC)</w:t>
      </w:r>
    </w:p>
    <w:p w14:paraId="06B26A4E" w14:textId="77777777" w:rsidR="00E62558" w:rsidRPr="00D245AD" w:rsidRDefault="00E62558" w:rsidP="00E62558">
      <w:pPr>
        <w:pStyle w:val="NormalNonumber"/>
        <w:rPr>
          <w:color w:val="000000" w:themeColor="text1"/>
        </w:rPr>
      </w:pPr>
      <w:r w:rsidRPr="00D245AD">
        <w:rPr>
          <w:color w:val="000000" w:themeColor="text1"/>
        </w:rPr>
        <w:t>The FTOC progress report is contained in Chapter 2 of this report and includes the following updates:</w:t>
      </w:r>
    </w:p>
    <w:p w14:paraId="05A4D9AD"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 xml:space="preserve">Parties are successfully transitioning the foam industry from hydrochlorofluorocarbons (HCFCs) in Article 5 (A5) parties and high global warming potential (high-GWP) hydrofluorocarbons (HFCs) in non-Article 5 (non-A5) parties and some A5 parties, with emphasis on avoiding adoption of high-GWP HFCs where possible. Regulation and supply phase-down are driving transitions. </w:t>
      </w:r>
    </w:p>
    <w:p w14:paraId="203F8330" w14:textId="1BBB2C71"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As available global HCFC-141b inventories are diminished, parties may wish to consider completing transitions from HCFC-141b. In 2026, the China Ministry of Ecology and Environment (MEE)</w:t>
      </w:r>
      <w:r w:rsidR="007D6FB1">
        <w:rPr>
          <w:rStyle w:val="FootnoteReference"/>
        </w:rPr>
        <w:footnoteReference w:id="18"/>
      </w:r>
      <w:r w:rsidRPr="00D245AD">
        <w:rPr>
          <w:color w:val="000000" w:themeColor="text1"/>
        </w:rPr>
        <w:t xml:space="preserve"> did not allocate quota for HCFC-141b production</w:t>
      </w:r>
      <w:r w:rsidR="00FB116F">
        <w:rPr>
          <w:color w:val="000000" w:themeColor="text1"/>
        </w:rPr>
        <w:t>,</w:t>
      </w:r>
      <w:r w:rsidRPr="00D245AD">
        <w:rPr>
          <w:color w:val="000000" w:themeColor="text1"/>
        </w:rPr>
        <w:t xml:space="preserve"> and supply of HCFC</w:t>
      </w:r>
      <w:r w:rsidRPr="00D245AD">
        <w:rPr>
          <w:color w:val="000000" w:themeColor="text1"/>
        </w:rPr>
        <w:noBreakHyphen/>
        <w:t xml:space="preserve">141b will cease.  Manufacturers of hydrofluoro-olefins/hydrochlorofluoro-olefins (HFO/HCFOs) have increased capacity to meet the demand for lower GWP blowing agents that is expected to result from the implementation of lower GWP regulations. There have been significant improvements in the development and availability of additives, co-blowing agents, equipment and formulations enabling the successful commercialisation of foams containing lower GWP blowing agents. </w:t>
      </w:r>
    </w:p>
    <w:p w14:paraId="3F988AE6"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 xml:space="preserve">Foam manufacturers continue to work to reduce costs and optimise the characteristics of foams with new foam blowing agents (FBAs), co-blowing agents and additives in both A5 and non-A5 parties. New FBA co-blowing agents and additives have different toxicity and thermal </w:t>
      </w:r>
      <w:r w:rsidRPr="00D245AD">
        <w:rPr>
          <w:color w:val="000000" w:themeColor="text1"/>
        </w:rPr>
        <w:lastRenderedPageBreak/>
        <w:t xml:space="preserve">properties that can result in safety challenges in handling, and lower thermal performance of insulation. </w:t>
      </w:r>
    </w:p>
    <w:p w14:paraId="5A1577D0"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Generally, costs have increased in 2025-26 due to additional taxes, anti-dumping duties, and geopolitical impacts to energy cost and availability. Some parties may be more impacted by these issues. These economic impacts may affect construction and demand for equipment and foams.</w:t>
      </w:r>
    </w:p>
    <w:p w14:paraId="04A253BD" w14:textId="77777777" w:rsidR="00E62558" w:rsidRPr="00D245AD" w:rsidRDefault="00E62558" w:rsidP="00E62558">
      <w:pPr>
        <w:pStyle w:val="CH3"/>
        <w:rPr>
          <w:i/>
          <w:iCs/>
          <w:color w:val="000000" w:themeColor="text1"/>
          <w:sz w:val="24"/>
          <w:szCs w:val="24"/>
        </w:rPr>
      </w:pPr>
      <w:r w:rsidRPr="00D245AD">
        <w:rPr>
          <w:i/>
          <w:iCs/>
          <w:color w:val="808080" w:themeColor="background1" w:themeShade="80"/>
          <w:sz w:val="24"/>
          <w:szCs w:val="24"/>
        </w:rPr>
        <w:tab/>
      </w:r>
      <w:r w:rsidRPr="00D245AD">
        <w:rPr>
          <w:i/>
          <w:iCs/>
          <w:color w:val="808080" w:themeColor="background1" w:themeShade="80"/>
          <w:sz w:val="24"/>
          <w:szCs w:val="24"/>
        </w:rPr>
        <w:tab/>
      </w:r>
      <w:r w:rsidRPr="00D245AD">
        <w:rPr>
          <w:i/>
          <w:iCs/>
          <w:color w:val="000000" w:themeColor="text1"/>
          <w:sz w:val="24"/>
          <w:szCs w:val="24"/>
        </w:rPr>
        <w:t>Methyl Bromide Technical Options Committee (MBTOC)</w:t>
      </w:r>
    </w:p>
    <w:p w14:paraId="62731FB9" w14:textId="77777777" w:rsidR="00E62558" w:rsidRPr="00D245AD" w:rsidRDefault="00E62558" w:rsidP="00E62558">
      <w:pPr>
        <w:pStyle w:val="NormalNonumber"/>
        <w:rPr>
          <w:color w:val="000000" w:themeColor="text1"/>
        </w:rPr>
      </w:pPr>
      <w:r w:rsidRPr="00D245AD">
        <w:rPr>
          <w:color w:val="000000" w:themeColor="text1"/>
        </w:rPr>
        <w:t>The MBTOC progress report is contained in Chapter 4 of this report and includes the following updates:</w:t>
      </w:r>
    </w:p>
    <w:p w14:paraId="7594E088" w14:textId="427E929A"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 xml:space="preserve">Phase out of methyl bromide (MB) for controlled non-quarantine and pre-shipment (non-QPS) uses was completed with the last </w:t>
      </w:r>
      <w:r w:rsidR="00182C27" w:rsidRPr="00182C27">
        <w:rPr>
          <w:color w:val="000000" w:themeColor="text1"/>
        </w:rPr>
        <w:t>critical use nomination (CUN)</w:t>
      </w:r>
      <w:r w:rsidRPr="00D245AD">
        <w:rPr>
          <w:color w:val="000000" w:themeColor="text1"/>
        </w:rPr>
        <w:t xml:space="preserve"> received in 2025. Together with the MB phase out achieved prior to the CUN process, this has led to about 62,000 tonnes of MB being phased out globally over 30 years. No new CUNs were received in 2026. </w:t>
      </w:r>
    </w:p>
    <w:p w14:paraId="6B76C9EC"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Reported global production of MB for QPS in 2024 was 8,935 tonnes. Reported QPS consumption in 2024 was approximately 8,000 tonnes of MB (about 900 tonnes less than the reported production). There is evidence of widespread uptake of alternatives to MB for QPS uses in some parties over the past several years. Still, some clear areas of concern remain, i.e., atmospheric concentrations of MB have stopped declining as QPS uses continue. Over recent years, MB reporting by some parties has been difficult to understand and has required follow up by MBTOC and the Ozone Secretariat to review potential errors. The accuracy of reported data is essential for TEAP to be able to compare bottom-up and top-down estimates of MB emissions.</w:t>
      </w:r>
    </w:p>
    <w:p w14:paraId="472D6123"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 xml:space="preserve">Recent surveys have shown unreported uses of MB in sectors where MB has neither been approved as a controlled use nor exempted as a QPS use. Publications from China have raised concerns about unexplained MB emissions and there is no further clarification on the source (~4,000-9,000 tonnes per year) (Hu et al., 2024). </w:t>
      </w:r>
    </w:p>
    <w:p w14:paraId="32F4660A"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MB is highly toxic to humans, and increasingly subject to control during occupational exposure. Several parties which use MB for QPS applications already have or are planning to introduce stringent reductions in permitted workspace concentrations for MB. This will have a major impact on MB use with the requirement for large buffer zones.</w:t>
      </w:r>
    </w:p>
    <w:p w14:paraId="64FB5DCE"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MB use for QPS uses is exempted from controls under the MP. The use of MB for specific quarantine pests (“Q”) may likely be required in the long-term in many jurisdictions. However, for pre-shipment uses (“PS”), several alternatives (e.g., hot and cold temperatures, irradiation, phosphine, ethyl formate, hydrogen cyanide, ethane dinitrile) are at least as effective as MB, and safer both for humans, the environment and the products being treated. Confusion over classification between Q and PS is still problematic for many parties.</w:t>
      </w:r>
    </w:p>
    <w:p w14:paraId="1A4A8F51"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Parties may wish to consider how to more strongly focus on how to prevent emissions from QPS uses, limit MB exemptions for PS uses, and prevent the misuse of non-QPS MB by clarifying and focusing solely on quarantine (Q) uses. This could prevent the emissions which are of a similar magnitude to those that were reduced due to the phase-out of MB under the CUN process.</w:t>
      </w:r>
    </w:p>
    <w:p w14:paraId="3968C3FC" w14:textId="77777777" w:rsidR="00E62558" w:rsidRPr="00D245AD" w:rsidRDefault="00E62558" w:rsidP="00E62558">
      <w:pPr>
        <w:pStyle w:val="CH2"/>
        <w:rPr>
          <w:i/>
          <w:iCs/>
          <w:color w:val="000000" w:themeColor="text1"/>
        </w:rPr>
      </w:pPr>
      <w:r w:rsidRPr="00D245AD">
        <w:rPr>
          <w:i/>
          <w:iCs/>
          <w:color w:val="808080" w:themeColor="background1" w:themeShade="80"/>
        </w:rPr>
        <w:tab/>
      </w:r>
      <w:r w:rsidRPr="00D245AD">
        <w:rPr>
          <w:i/>
          <w:iCs/>
          <w:color w:val="808080" w:themeColor="background1" w:themeShade="80"/>
        </w:rPr>
        <w:tab/>
      </w:r>
      <w:r w:rsidRPr="00D245AD">
        <w:rPr>
          <w:i/>
          <w:iCs/>
          <w:color w:val="000000" w:themeColor="text1"/>
        </w:rPr>
        <w:t>Medical and Chemical Technical Options Committee (MCTOC)</w:t>
      </w:r>
    </w:p>
    <w:p w14:paraId="03335ED0" w14:textId="77777777" w:rsidR="00E62558" w:rsidRPr="00D245AD" w:rsidRDefault="00E62558" w:rsidP="00E62558">
      <w:pPr>
        <w:pStyle w:val="NormalNonumber"/>
        <w:rPr>
          <w:color w:val="000000" w:themeColor="text1"/>
        </w:rPr>
      </w:pPr>
      <w:r w:rsidRPr="00D245AD">
        <w:rPr>
          <w:color w:val="000000" w:themeColor="text1"/>
        </w:rPr>
        <w:t>The MCTOC progress report is contained in Chapter 5 of this report and includes:</w:t>
      </w:r>
    </w:p>
    <w:p w14:paraId="64C8F0E1"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 xml:space="preserve">Updated information on the production and use of controlled substances for chemical feedstock; </w:t>
      </w:r>
    </w:p>
    <w:p w14:paraId="0BCDE519"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 xml:space="preserve">An evaluation of and recommendation for a destruction technology submitted by Canada for TEAP review and consideration by parties to be recognised as an approved destruction technology under the Montreal Protocol; and </w:t>
      </w:r>
    </w:p>
    <w:p w14:paraId="74DAB623"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Developments regarding metered-dose inhalers (MDIs) with low-GWP propellants in response to Decision XXXVI/6.</w:t>
      </w:r>
    </w:p>
    <w:p w14:paraId="058A568D" w14:textId="77777777" w:rsidR="00E62558" w:rsidRPr="00D245AD" w:rsidRDefault="00E62558" w:rsidP="00E62558">
      <w:pPr>
        <w:pStyle w:val="NormalNonumber"/>
        <w:rPr>
          <w:color w:val="000000" w:themeColor="text1"/>
        </w:rPr>
      </w:pPr>
      <w:r w:rsidRPr="00D245AD">
        <w:rPr>
          <w:color w:val="000000" w:themeColor="text1"/>
        </w:rPr>
        <w:t>MCTOC has not identified compelling new information to report to parties in this progress report on developments in process agent uses, n-propyl bromide, and laboratory and analytical uses.</w:t>
      </w:r>
    </w:p>
    <w:p w14:paraId="230A976C" w14:textId="77777777" w:rsidR="00E62558" w:rsidRPr="00D245AD" w:rsidRDefault="00E62558" w:rsidP="005D23A3">
      <w:pPr>
        <w:pStyle w:val="NormalNonumber"/>
        <w:keepNext/>
        <w:keepLines/>
        <w:rPr>
          <w:b/>
          <w:bCs/>
          <w:color w:val="000000" w:themeColor="text1"/>
        </w:rPr>
      </w:pPr>
      <w:r w:rsidRPr="00D245AD">
        <w:rPr>
          <w:b/>
          <w:bCs/>
          <w:color w:val="000000" w:themeColor="text1"/>
        </w:rPr>
        <w:lastRenderedPageBreak/>
        <w:t>Feedstocks</w:t>
      </w:r>
    </w:p>
    <w:p w14:paraId="685FD6BC" w14:textId="77777777" w:rsidR="00E62558" w:rsidRPr="00D245AD" w:rsidRDefault="00E62558" w:rsidP="005D23A3">
      <w:pPr>
        <w:pStyle w:val="NormalNonumber"/>
        <w:keepNext/>
        <w:keepLines/>
        <w:tabs>
          <w:tab w:val="clear" w:pos="1247"/>
        </w:tabs>
        <w:ind w:left="1843" w:hanging="283"/>
        <w:rPr>
          <w:color w:val="000000" w:themeColor="text1"/>
        </w:rPr>
      </w:pPr>
      <w:r w:rsidRPr="00D245AD">
        <w:rPr>
          <w:color w:val="000000" w:themeColor="text1"/>
        </w:rPr>
        <w:t>•</w:t>
      </w:r>
      <w:r w:rsidRPr="00D245AD">
        <w:rPr>
          <w:color w:val="000000" w:themeColor="text1"/>
        </w:rPr>
        <w:tab/>
        <w:t xml:space="preserve">Data reported by parties to the Ozone Secretariat on production and import of controlled substances used as feedstock for the years up to and including 2024 was provided to the MCTOC. </w:t>
      </w:r>
    </w:p>
    <w:p w14:paraId="3FBDD598" w14:textId="2541FF9C"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 xml:space="preserve">In 2024, total production and import reported for feedstock uses of </w:t>
      </w:r>
      <w:r w:rsidR="00972BC4" w:rsidRPr="00972BC4">
        <w:rPr>
          <w:color w:val="000000" w:themeColor="text1"/>
        </w:rPr>
        <w:t xml:space="preserve">ozone-depleting substances </w:t>
      </w:r>
      <w:r w:rsidR="00972BC4">
        <w:rPr>
          <w:color w:val="000000" w:themeColor="text1"/>
        </w:rPr>
        <w:t>(</w:t>
      </w:r>
      <w:r w:rsidRPr="00D245AD">
        <w:rPr>
          <w:color w:val="000000" w:themeColor="text1"/>
        </w:rPr>
        <w:t>ODS</w:t>
      </w:r>
      <w:r w:rsidR="00972BC4">
        <w:rPr>
          <w:color w:val="000000" w:themeColor="text1"/>
        </w:rPr>
        <w:t>)</w:t>
      </w:r>
      <w:r w:rsidRPr="00D245AD">
        <w:rPr>
          <w:color w:val="000000" w:themeColor="text1"/>
        </w:rPr>
        <w:t xml:space="preserve"> (including process agents) was 1,947,949 tonnes, a slight decrease to the quantity in 2023 (1,965,768 tonnes). HCFC-22 is, by a considerable margin, the largest feedstock used, with 990,395 tonnes reported in 2024, an increase from the revised quantity reported for 2023 (978,084 tonnes). </w:t>
      </w:r>
    </w:p>
    <w:p w14:paraId="70B80640"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The reported amounts of HFCs produced for feedstock use was 183,539 tonnes in 2023 and 211,326 tonnes in 2024. The increase in production of HFC for feedstock use in 2024 is mainly due to HFC-152a, with reported HFC-236ea also increasing into the 1,000–10,000 tonnes band in 2024.</w:t>
      </w:r>
    </w:p>
    <w:p w14:paraId="5ED4C3E1" w14:textId="77777777" w:rsidR="00E62558" w:rsidRPr="00D245AD" w:rsidRDefault="00E62558" w:rsidP="00E62558">
      <w:pPr>
        <w:pStyle w:val="CH2"/>
        <w:rPr>
          <w:i/>
          <w:iCs/>
          <w:color w:val="000000" w:themeColor="text1"/>
        </w:rPr>
      </w:pPr>
      <w:r w:rsidRPr="00D245AD">
        <w:rPr>
          <w:i/>
          <w:iCs/>
          <w:color w:val="808080" w:themeColor="background1" w:themeShade="80"/>
        </w:rPr>
        <w:tab/>
      </w:r>
      <w:r w:rsidRPr="00D245AD">
        <w:rPr>
          <w:i/>
          <w:iCs/>
          <w:color w:val="808080" w:themeColor="background1" w:themeShade="80"/>
        </w:rPr>
        <w:tab/>
      </w:r>
      <w:r w:rsidRPr="00D245AD">
        <w:rPr>
          <w:i/>
          <w:iCs/>
          <w:color w:val="000000" w:themeColor="text1"/>
        </w:rPr>
        <w:t>Refrigeration, Air Conditioning and Heat Pumps Technical Options Committee (RTOC)</w:t>
      </w:r>
    </w:p>
    <w:p w14:paraId="236B67AE" w14:textId="77777777" w:rsidR="00E62558" w:rsidRPr="00D245AD" w:rsidRDefault="00E62558" w:rsidP="00E62558">
      <w:pPr>
        <w:pStyle w:val="NormalNonumber"/>
        <w:rPr>
          <w:color w:val="000000" w:themeColor="text1"/>
        </w:rPr>
      </w:pPr>
      <w:r w:rsidRPr="00D245AD">
        <w:rPr>
          <w:color w:val="000000" w:themeColor="text1"/>
        </w:rPr>
        <w:t>The RTOC progress report is contained in Chapter 6 of this report and includes the following updates:</w:t>
      </w:r>
    </w:p>
    <w:p w14:paraId="6A7548FD"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The growing global demand for refrigeration, air conditioning, and heat pump (RACHP) systems creates a dual climate challenge from both direct refrigerant leakage and indirect electricity consumption, requiring comprehensive lifecycle assessments.</w:t>
      </w:r>
    </w:p>
    <w:p w14:paraId="307DF664"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Reducing cooling and heating loads through passive measures such as insulation and shading is the most critical first step, capable of cutting cooling demand and energy consumption by approximately 30%.</w:t>
      </w:r>
    </w:p>
    <w:p w14:paraId="6B62240E"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There is no single "ideal" refrigerant; selection requires balancing legal, safety, environmental, suitability, cost, efficiency, and usability factors, with increasing attention on lifetime risk assessment.</w:t>
      </w:r>
    </w:p>
    <w:p w14:paraId="2F0E2319"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Implementing Lifecycle Refrigerant Management could halve the projected 2050 emissions but face a growing skills gap and urgent need for capacity building and trained technicians capable of handling lower GWP and flammable refrigerants.</w:t>
      </w:r>
    </w:p>
    <w:p w14:paraId="4C655338"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Strengthening national systems for collecting RACHP-related data is essential to improve modelling accuracy on RACHP banks, consumption and emissions and enable evidence-based mitigation strategies.</w:t>
      </w:r>
    </w:p>
    <w:p w14:paraId="66365CB7"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In commercial refrigeration, there is a significant shift away from R-404A toward R-744 (CO₂) as the leading sustainable solution, particularly in lower ambient temperature countries like those in Europe. In other regions, lower GWP A2L refrigerants are being adopted along with R-744 and R-290 in small charge systems.</w:t>
      </w:r>
    </w:p>
    <w:p w14:paraId="4E8FBC5C"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In industrial refrigeration, R-717 (ammonia) and R-744 (CO₂) are the preferred lower GWP refrigerants and are expected to increase in use, while transport refrigeration faces slower transition due to safety, infrastructure, and long equipment lifecycles.</w:t>
      </w:r>
    </w:p>
    <w:p w14:paraId="7B39F421"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Reducing energy consumption remains key in comfort cooling, with a global trend toward inverter-type compressors (to achieve variable capacity), though this technology remains under-represented in many A5 parties and some non-A5 parties.</w:t>
      </w:r>
    </w:p>
    <w:p w14:paraId="7957869A"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Integrated systems for combined heating and cooling can improve overall energy efficiency by 30-50% and significantly reduce CO2e emissions by replacing fossil fuel heating.</w:t>
      </w:r>
    </w:p>
    <w:p w14:paraId="2DD3C273" w14:textId="77777777" w:rsidR="00E62558" w:rsidRPr="00D245AD" w:rsidRDefault="00E62558" w:rsidP="00E62558">
      <w:pPr>
        <w:pStyle w:val="NormalNonumber"/>
        <w:tabs>
          <w:tab w:val="clear" w:pos="1247"/>
        </w:tabs>
        <w:ind w:left="1843" w:hanging="283"/>
        <w:rPr>
          <w:color w:val="000000" w:themeColor="text1"/>
        </w:rPr>
      </w:pPr>
      <w:r w:rsidRPr="00D245AD">
        <w:rPr>
          <w:color w:val="000000" w:themeColor="text1"/>
        </w:rPr>
        <w:t>•</w:t>
      </w:r>
      <w:r w:rsidRPr="00D245AD">
        <w:rPr>
          <w:color w:val="000000" w:themeColor="text1"/>
        </w:rPr>
        <w:tab/>
        <w:t>Except for absorption and adsorption, non-vapour compression (not-in-kind) technologies are currently not capable of replacing mechanical vapour compression for comfort cooling, with most remaining at emerging or research and development stages. Key messages arising from TOC progress reports are presented in this section.</w:t>
      </w:r>
    </w:p>
    <w:p w14:paraId="2FD77D09" w14:textId="77777777" w:rsidR="00E62558" w:rsidRPr="00D245AD" w:rsidRDefault="00E62558" w:rsidP="00E62558">
      <w:pPr>
        <w:pStyle w:val="Normalpool"/>
      </w:pPr>
      <w:r w:rsidRPr="00D245AD">
        <w:br w:type="page"/>
      </w:r>
    </w:p>
    <w:p w14:paraId="78E49224" w14:textId="77777777" w:rsidR="00E62558" w:rsidRPr="00D245AD" w:rsidRDefault="00E62558" w:rsidP="00E62558">
      <w:pPr>
        <w:pStyle w:val="ZZAnxheader"/>
      </w:pPr>
      <w:r w:rsidRPr="00D245AD">
        <w:lastRenderedPageBreak/>
        <w:t>Annex III</w:t>
      </w:r>
      <w:r w:rsidRPr="00D245AD">
        <w:rPr>
          <w:b w:val="0"/>
          <w:bCs w:val="0"/>
        </w:rPr>
        <w:footnoteReference w:customMarkFollows="1" w:id="19"/>
        <w:t>*</w:t>
      </w:r>
    </w:p>
    <w:p w14:paraId="73C7610B" w14:textId="77777777" w:rsidR="00E62558" w:rsidRPr="00D245AD" w:rsidRDefault="00E62558" w:rsidP="00E62558">
      <w:pPr>
        <w:pStyle w:val="ZZAnxtitle"/>
        <w:tabs>
          <w:tab w:val="clear" w:pos="1247"/>
        </w:tabs>
        <w:ind w:left="990"/>
      </w:pPr>
      <w:r w:rsidRPr="00D245AD">
        <w:t>Members of the Technology and Economic Assessment Panel technical options committees</w:t>
      </w:r>
      <w:r w:rsidRPr="00D245AD">
        <w:rPr>
          <w:vertAlign w:val="superscript"/>
        </w:rPr>
        <w:t xml:space="preserve"> </w:t>
      </w:r>
      <w:r w:rsidRPr="00D245AD">
        <w:t>whose membership expires at the end of 2026 and whose reappointment does not require a decision by the Meeting of the Parties</w:t>
      </w:r>
    </w:p>
    <w:tbl>
      <w:tblPr>
        <w:tblW w:w="8307" w:type="dxa"/>
        <w:jc w:val="right"/>
        <w:tblLook w:val="04A0" w:firstRow="1" w:lastRow="0" w:firstColumn="1" w:lastColumn="0" w:noHBand="0" w:noVBand="1"/>
      </w:tblPr>
      <w:tblGrid>
        <w:gridCol w:w="3024"/>
        <w:gridCol w:w="2488"/>
        <w:gridCol w:w="2795"/>
      </w:tblGrid>
      <w:tr w:rsidR="00E62558" w:rsidRPr="00D245AD" w14:paraId="371F0277" w14:textId="77777777" w:rsidTr="001940D7">
        <w:trPr>
          <w:trHeight w:val="57"/>
          <w:tblHeader/>
          <w:jc w:val="right"/>
        </w:trPr>
        <w:tc>
          <w:tcPr>
            <w:tcW w:w="3024" w:type="dxa"/>
            <w:tcBorders>
              <w:top w:val="single" w:sz="4" w:space="0" w:color="auto"/>
              <w:left w:val="nil"/>
              <w:bottom w:val="single" w:sz="12" w:space="0" w:color="auto"/>
              <w:right w:val="nil"/>
            </w:tcBorders>
            <w:vAlign w:val="bottom"/>
            <w:hideMark/>
          </w:tcPr>
          <w:p w14:paraId="42E2C77A" w14:textId="77777777" w:rsidR="00E62558" w:rsidRPr="00D245AD" w:rsidRDefault="00E62558" w:rsidP="001940D7">
            <w:pPr>
              <w:pStyle w:val="Normal-pool-Table"/>
              <w:rPr>
                <w:i/>
                <w:szCs w:val="18"/>
              </w:rPr>
            </w:pPr>
            <w:r w:rsidRPr="00D245AD">
              <w:rPr>
                <w:i/>
                <w:szCs w:val="18"/>
              </w:rPr>
              <w:t>Name</w:t>
            </w:r>
          </w:p>
        </w:tc>
        <w:tc>
          <w:tcPr>
            <w:tcW w:w="2488" w:type="dxa"/>
            <w:tcBorders>
              <w:top w:val="single" w:sz="4" w:space="0" w:color="auto"/>
              <w:left w:val="nil"/>
              <w:bottom w:val="single" w:sz="12" w:space="0" w:color="auto"/>
              <w:right w:val="nil"/>
            </w:tcBorders>
            <w:vAlign w:val="bottom"/>
            <w:hideMark/>
          </w:tcPr>
          <w:p w14:paraId="110B5D21" w14:textId="77777777" w:rsidR="00E62558" w:rsidRPr="00D245AD" w:rsidRDefault="00E62558" w:rsidP="001940D7">
            <w:pPr>
              <w:pStyle w:val="Normal-pool-Table"/>
              <w:rPr>
                <w:i/>
                <w:szCs w:val="18"/>
              </w:rPr>
            </w:pPr>
            <w:r w:rsidRPr="00D245AD">
              <w:rPr>
                <w:i/>
                <w:szCs w:val="18"/>
              </w:rPr>
              <w:t>Position</w:t>
            </w:r>
          </w:p>
        </w:tc>
        <w:tc>
          <w:tcPr>
            <w:tcW w:w="2795" w:type="dxa"/>
            <w:tcBorders>
              <w:top w:val="single" w:sz="4" w:space="0" w:color="auto"/>
              <w:left w:val="nil"/>
              <w:bottom w:val="single" w:sz="12" w:space="0" w:color="auto"/>
              <w:right w:val="nil"/>
            </w:tcBorders>
            <w:vAlign w:val="bottom"/>
            <w:hideMark/>
          </w:tcPr>
          <w:p w14:paraId="7C006B3D" w14:textId="77777777" w:rsidR="00E62558" w:rsidRPr="00D245AD" w:rsidRDefault="00E62558" w:rsidP="001940D7">
            <w:pPr>
              <w:pStyle w:val="Normal-pool-Table"/>
              <w:rPr>
                <w:i/>
                <w:szCs w:val="18"/>
              </w:rPr>
            </w:pPr>
            <w:r w:rsidRPr="00D245AD">
              <w:rPr>
                <w:i/>
                <w:szCs w:val="18"/>
              </w:rPr>
              <w:t>Country</w:t>
            </w:r>
          </w:p>
        </w:tc>
      </w:tr>
      <w:tr w:rsidR="00E62558" w:rsidRPr="00D245AD" w14:paraId="2AC2C314" w14:textId="77777777" w:rsidTr="001940D7">
        <w:trPr>
          <w:trHeight w:val="57"/>
          <w:jc w:val="right"/>
        </w:trPr>
        <w:tc>
          <w:tcPr>
            <w:tcW w:w="8307" w:type="dxa"/>
            <w:gridSpan w:val="3"/>
            <w:tcBorders>
              <w:top w:val="single" w:sz="12" w:space="0" w:color="auto"/>
              <w:left w:val="nil"/>
              <w:bottom w:val="single" w:sz="4" w:space="0" w:color="auto"/>
              <w:right w:val="nil"/>
            </w:tcBorders>
            <w:hideMark/>
          </w:tcPr>
          <w:p w14:paraId="3BAE5A16" w14:textId="77777777" w:rsidR="00E62558" w:rsidRPr="00D245AD" w:rsidRDefault="00E62558" w:rsidP="001940D7">
            <w:pPr>
              <w:pStyle w:val="Normal-pool-Table"/>
              <w:rPr>
                <w:b/>
                <w:szCs w:val="18"/>
              </w:rPr>
            </w:pPr>
            <w:r w:rsidRPr="00D245AD">
              <w:rPr>
                <w:b/>
                <w:szCs w:val="18"/>
              </w:rPr>
              <w:t xml:space="preserve">Members of technical options committees </w:t>
            </w:r>
          </w:p>
        </w:tc>
      </w:tr>
      <w:tr w:rsidR="00E62558" w:rsidRPr="00D245AD" w14:paraId="1F542D62" w14:textId="77777777" w:rsidTr="001940D7">
        <w:trPr>
          <w:trHeight w:val="57"/>
          <w:jc w:val="right"/>
        </w:trPr>
        <w:tc>
          <w:tcPr>
            <w:tcW w:w="3024" w:type="dxa"/>
          </w:tcPr>
          <w:p w14:paraId="0CC29BE1" w14:textId="77777777" w:rsidR="00E62558" w:rsidRPr="00D245AD" w:rsidRDefault="00E62558" w:rsidP="001940D7">
            <w:pPr>
              <w:pStyle w:val="Normal-pool-Table"/>
              <w:rPr>
                <w:szCs w:val="18"/>
              </w:rPr>
            </w:pPr>
            <w:r w:rsidRPr="00D245AD">
              <w:rPr>
                <w:szCs w:val="18"/>
              </w:rPr>
              <w:t>Cecilia Girotti</w:t>
            </w:r>
          </w:p>
        </w:tc>
        <w:tc>
          <w:tcPr>
            <w:tcW w:w="2488" w:type="dxa"/>
          </w:tcPr>
          <w:p w14:paraId="20E2B067" w14:textId="77777777" w:rsidR="00E62558" w:rsidRPr="00D245AD" w:rsidRDefault="00E62558" w:rsidP="001940D7">
            <w:pPr>
              <w:pStyle w:val="Normal-pool-Table"/>
              <w:rPr>
                <w:color w:val="000000" w:themeColor="text1"/>
                <w:szCs w:val="18"/>
              </w:rPr>
            </w:pPr>
            <w:r w:rsidRPr="00D245AD">
              <w:rPr>
                <w:color w:val="000000" w:themeColor="text1"/>
                <w:szCs w:val="18"/>
              </w:rPr>
              <w:t>FTOC member</w:t>
            </w:r>
          </w:p>
        </w:tc>
        <w:tc>
          <w:tcPr>
            <w:tcW w:w="2795" w:type="dxa"/>
          </w:tcPr>
          <w:p w14:paraId="33961298" w14:textId="77777777" w:rsidR="00E62558" w:rsidRPr="00D245AD" w:rsidRDefault="00E62558" w:rsidP="001940D7">
            <w:pPr>
              <w:pStyle w:val="Normal-pool-Table"/>
              <w:rPr>
                <w:rFonts w:eastAsia="MS Mincho"/>
                <w:color w:val="000000" w:themeColor="text1"/>
                <w:szCs w:val="18"/>
              </w:rPr>
            </w:pPr>
            <w:r w:rsidRPr="00D245AD">
              <w:rPr>
                <w:rFonts w:eastAsia="MS Mincho"/>
                <w:color w:val="000000" w:themeColor="text1"/>
                <w:szCs w:val="18"/>
              </w:rPr>
              <w:t>Italy</w:t>
            </w:r>
          </w:p>
        </w:tc>
      </w:tr>
      <w:tr w:rsidR="00E62558" w:rsidRPr="00D245AD" w14:paraId="30389362" w14:textId="77777777" w:rsidTr="001940D7">
        <w:trPr>
          <w:trHeight w:val="331"/>
          <w:jc w:val="right"/>
        </w:trPr>
        <w:tc>
          <w:tcPr>
            <w:tcW w:w="3024" w:type="dxa"/>
          </w:tcPr>
          <w:p w14:paraId="7B5DCC1C" w14:textId="77777777" w:rsidR="00E62558" w:rsidRPr="00D245AD" w:rsidRDefault="00E62558" w:rsidP="001940D7">
            <w:pPr>
              <w:pStyle w:val="Normal-pool-Table"/>
              <w:rPr>
                <w:color w:val="808080" w:themeColor="background1" w:themeShade="80"/>
                <w:szCs w:val="18"/>
              </w:rPr>
            </w:pPr>
            <w:r w:rsidRPr="00D245AD">
              <w:rPr>
                <w:szCs w:val="18"/>
              </w:rPr>
              <w:t>Sascha Rulhoff</w:t>
            </w:r>
          </w:p>
        </w:tc>
        <w:tc>
          <w:tcPr>
            <w:tcW w:w="2488" w:type="dxa"/>
          </w:tcPr>
          <w:p w14:paraId="586C4143" w14:textId="77777777" w:rsidR="00E62558" w:rsidRPr="00D245AD" w:rsidRDefault="00E62558" w:rsidP="001940D7">
            <w:pPr>
              <w:pStyle w:val="Normal-pool-Table"/>
              <w:rPr>
                <w:color w:val="000000" w:themeColor="text1"/>
                <w:szCs w:val="18"/>
              </w:rPr>
            </w:pPr>
            <w:r w:rsidRPr="00D245AD">
              <w:rPr>
                <w:color w:val="000000" w:themeColor="text1"/>
                <w:szCs w:val="18"/>
              </w:rPr>
              <w:t>FTOC member</w:t>
            </w:r>
          </w:p>
        </w:tc>
        <w:tc>
          <w:tcPr>
            <w:tcW w:w="2795" w:type="dxa"/>
          </w:tcPr>
          <w:p w14:paraId="4C10812E" w14:textId="77777777" w:rsidR="00E62558" w:rsidRPr="00D245AD" w:rsidRDefault="00E62558" w:rsidP="001940D7">
            <w:pPr>
              <w:pStyle w:val="Normal-pool-Table"/>
              <w:rPr>
                <w:rFonts w:eastAsia="MS Mincho"/>
                <w:color w:val="000000" w:themeColor="text1"/>
                <w:szCs w:val="18"/>
              </w:rPr>
            </w:pPr>
            <w:r w:rsidRPr="00D245AD">
              <w:rPr>
                <w:rFonts w:eastAsia="MS Mincho"/>
                <w:color w:val="000000" w:themeColor="text1"/>
                <w:szCs w:val="18"/>
              </w:rPr>
              <w:t>Germany</w:t>
            </w:r>
          </w:p>
        </w:tc>
      </w:tr>
      <w:tr w:rsidR="00E62558" w:rsidRPr="00D245AD" w14:paraId="62C55497" w14:textId="77777777" w:rsidTr="001940D7">
        <w:trPr>
          <w:trHeight w:val="331"/>
          <w:jc w:val="right"/>
        </w:trPr>
        <w:tc>
          <w:tcPr>
            <w:tcW w:w="3024" w:type="dxa"/>
          </w:tcPr>
          <w:p w14:paraId="057AEFFF" w14:textId="77777777" w:rsidR="00E62558" w:rsidRPr="00D245AD" w:rsidRDefault="00E62558" w:rsidP="001940D7">
            <w:pPr>
              <w:pStyle w:val="Normal-pool-Table"/>
              <w:rPr>
                <w:color w:val="808080" w:themeColor="background1" w:themeShade="80"/>
                <w:szCs w:val="18"/>
              </w:rPr>
            </w:pPr>
            <w:r w:rsidRPr="00D245AD">
              <w:rPr>
                <w:szCs w:val="18"/>
              </w:rPr>
              <w:t>Enshan Sheng</w:t>
            </w:r>
          </w:p>
        </w:tc>
        <w:tc>
          <w:tcPr>
            <w:tcW w:w="2488" w:type="dxa"/>
          </w:tcPr>
          <w:p w14:paraId="5855B17F" w14:textId="77777777" w:rsidR="00E62558" w:rsidRPr="00D245AD" w:rsidRDefault="00E62558" w:rsidP="001940D7">
            <w:pPr>
              <w:pStyle w:val="Normal-pool-Table"/>
              <w:rPr>
                <w:color w:val="000000" w:themeColor="text1"/>
                <w:szCs w:val="18"/>
              </w:rPr>
            </w:pPr>
            <w:r w:rsidRPr="00D245AD">
              <w:rPr>
                <w:color w:val="000000" w:themeColor="text1"/>
                <w:szCs w:val="18"/>
              </w:rPr>
              <w:t>FTOC member</w:t>
            </w:r>
          </w:p>
        </w:tc>
        <w:tc>
          <w:tcPr>
            <w:tcW w:w="2795" w:type="dxa"/>
          </w:tcPr>
          <w:p w14:paraId="6A874740" w14:textId="77777777" w:rsidR="00E62558" w:rsidRPr="00D245AD" w:rsidRDefault="00E62558" w:rsidP="001940D7">
            <w:pPr>
              <w:pStyle w:val="Normal-pool-Table"/>
              <w:rPr>
                <w:rFonts w:eastAsia="MS Mincho"/>
                <w:color w:val="000000" w:themeColor="text1"/>
                <w:szCs w:val="18"/>
              </w:rPr>
            </w:pPr>
            <w:r w:rsidRPr="00D245AD">
              <w:rPr>
                <w:rFonts w:eastAsia="MS Mincho"/>
                <w:color w:val="000000" w:themeColor="text1"/>
                <w:szCs w:val="18"/>
              </w:rPr>
              <w:t>Singapore</w:t>
            </w:r>
          </w:p>
        </w:tc>
      </w:tr>
      <w:tr w:rsidR="00E62558" w:rsidRPr="00D245AD" w14:paraId="4C5AB823" w14:textId="77777777" w:rsidTr="001940D7">
        <w:trPr>
          <w:trHeight w:val="57"/>
          <w:jc w:val="right"/>
        </w:trPr>
        <w:tc>
          <w:tcPr>
            <w:tcW w:w="3024" w:type="dxa"/>
          </w:tcPr>
          <w:p w14:paraId="474B05BD" w14:textId="77777777" w:rsidR="00E62558" w:rsidRPr="00D245AD" w:rsidRDefault="00E62558" w:rsidP="001940D7">
            <w:pPr>
              <w:pStyle w:val="Normal-pool-Table"/>
              <w:rPr>
                <w:rFonts w:eastAsia="Cambria"/>
                <w:color w:val="808080" w:themeColor="background1" w:themeShade="80"/>
                <w:szCs w:val="18"/>
              </w:rPr>
            </w:pPr>
          </w:p>
        </w:tc>
        <w:tc>
          <w:tcPr>
            <w:tcW w:w="2488" w:type="dxa"/>
          </w:tcPr>
          <w:p w14:paraId="2427F82E" w14:textId="77777777" w:rsidR="00E62558" w:rsidRPr="00D245AD" w:rsidRDefault="00E62558" w:rsidP="001940D7">
            <w:pPr>
              <w:pStyle w:val="Normal-pool-Table"/>
              <w:rPr>
                <w:color w:val="808080" w:themeColor="background1" w:themeShade="80"/>
                <w:szCs w:val="18"/>
              </w:rPr>
            </w:pPr>
          </w:p>
        </w:tc>
        <w:tc>
          <w:tcPr>
            <w:tcW w:w="2795" w:type="dxa"/>
          </w:tcPr>
          <w:p w14:paraId="2C68D25B" w14:textId="77777777" w:rsidR="00E62558" w:rsidRPr="00D245AD" w:rsidRDefault="00E62558" w:rsidP="001940D7">
            <w:pPr>
              <w:pStyle w:val="Normal-pool-Table"/>
              <w:rPr>
                <w:color w:val="808080" w:themeColor="background1" w:themeShade="80"/>
                <w:szCs w:val="18"/>
              </w:rPr>
            </w:pPr>
          </w:p>
        </w:tc>
      </w:tr>
      <w:tr w:rsidR="00E62558" w:rsidRPr="00D245AD" w14:paraId="42717EC8" w14:textId="77777777" w:rsidTr="001940D7">
        <w:trPr>
          <w:trHeight w:val="57"/>
          <w:jc w:val="right"/>
        </w:trPr>
        <w:tc>
          <w:tcPr>
            <w:tcW w:w="3024" w:type="dxa"/>
          </w:tcPr>
          <w:p w14:paraId="4F56F0B4" w14:textId="77777777" w:rsidR="00E62558" w:rsidRPr="00D245AD" w:rsidRDefault="00E62558" w:rsidP="001940D7">
            <w:pPr>
              <w:pStyle w:val="Normal-pool-Table"/>
              <w:rPr>
                <w:rFonts w:eastAsia="Cambria"/>
                <w:color w:val="808080" w:themeColor="background1" w:themeShade="80"/>
                <w:szCs w:val="18"/>
              </w:rPr>
            </w:pPr>
            <w:r w:rsidRPr="00D245AD">
              <w:rPr>
                <w:szCs w:val="18"/>
              </w:rPr>
              <w:t>Jamal Alfuzaie</w:t>
            </w:r>
          </w:p>
        </w:tc>
        <w:tc>
          <w:tcPr>
            <w:tcW w:w="2488" w:type="dxa"/>
          </w:tcPr>
          <w:p w14:paraId="555D0900" w14:textId="77777777" w:rsidR="00E62558" w:rsidRPr="00D245AD" w:rsidRDefault="00E62558" w:rsidP="001940D7">
            <w:pPr>
              <w:pStyle w:val="Normal-pool-Table"/>
              <w:rPr>
                <w:color w:val="000000" w:themeColor="text1"/>
                <w:szCs w:val="18"/>
              </w:rPr>
            </w:pPr>
            <w:r w:rsidRPr="00D245AD">
              <w:rPr>
                <w:color w:val="000000" w:themeColor="text1"/>
                <w:szCs w:val="18"/>
              </w:rPr>
              <w:t>FSTOC member</w:t>
            </w:r>
          </w:p>
        </w:tc>
        <w:tc>
          <w:tcPr>
            <w:tcW w:w="2795" w:type="dxa"/>
          </w:tcPr>
          <w:p w14:paraId="6D2F1625" w14:textId="77777777" w:rsidR="00E62558" w:rsidRPr="00D245AD" w:rsidRDefault="00E62558" w:rsidP="001940D7">
            <w:pPr>
              <w:pStyle w:val="Normal-pool-Table"/>
              <w:rPr>
                <w:color w:val="000000" w:themeColor="text1"/>
                <w:szCs w:val="18"/>
              </w:rPr>
            </w:pPr>
            <w:r w:rsidRPr="00D245AD">
              <w:rPr>
                <w:color w:val="000000" w:themeColor="text1"/>
                <w:szCs w:val="18"/>
              </w:rPr>
              <w:t>Kuwait</w:t>
            </w:r>
          </w:p>
        </w:tc>
      </w:tr>
      <w:tr w:rsidR="00E62558" w:rsidRPr="00D245AD" w14:paraId="5205B54E" w14:textId="77777777" w:rsidTr="001940D7">
        <w:trPr>
          <w:trHeight w:val="57"/>
          <w:jc w:val="right"/>
        </w:trPr>
        <w:tc>
          <w:tcPr>
            <w:tcW w:w="3024" w:type="dxa"/>
          </w:tcPr>
          <w:p w14:paraId="17198385" w14:textId="77777777" w:rsidR="00E62558" w:rsidRPr="00D245AD" w:rsidRDefault="00E62558" w:rsidP="001940D7">
            <w:pPr>
              <w:pStyle w:val="Normal-pool-Table"/>
              <w:rPr>
                <w:rFonts w:eastAsia="Cambria"/>
                <w:color w:val="808080" w:themeColor="background1" w:themeShade="80"/>
                <w:szCs w:val="18"/>
              </w:rPr>
            </w:pPr>
            <w:r w:rsidRPr="00D245AD">
              <w:rPr>
                <w:szCs w:val="18"/>
              </w:rPr>
              <w:t>Michelle M. Collins</w:t>
            </w:r>
          </w:p>
        </w:tc>
        <w:tc>
          <w:tcPr>
            <w:tcW w:w="2488" w:type="dxa"/>
          </w:tcPr>
          <w:p w14:paraId="48D73605" w14:textId="77777777" w:rsidR="00E62558" w:rsidRPr="00D245AD" w:rsidRDefault="00E62558" w:rsidP="001940D7">
            <w:pPr>
              <w:pStyle w:val="Normal-pool-Table"/>
              <w:rPr>
                <w:color w:val="000000" w:themeColor="text1"/>
                <w:szCs w:val="18"/>
              </w:rPr>
            </w:pPr>
            <w:r w:rsidRPr="00D245AD">
              <w:rPr>
                <w:color w:val="000000" w:themeColor="text1"/>
                <w:szCs w:val="18"/>
              </w:rPr>
              <w:t>FSTOC member</w:t>
            </w:r>
          </w:p>
        </w:tc>
        <w:tc>
          <w:tcPr>
            <w:tcW w:w="2795" w:type="dxa"/>
          </w:tcPr>
          <w:p w14:paraId="03403A35" w14:textId="77777777" w:rsidR="00E62558" w:rsidRPr="00D245AD" w:rsidRDefault="00E62558" w:rsidP="001940D7">
            <w:pPr>
              <w:pStyle w:val="Normal-pool-Table"/>
              <w:rPr>
                <w:color w:val="000000" w:themeColor="text1"/>
                <w:szCs w:val="18"/>
              </w:rPr>
            </w:pPr>
            <w:r w:rsidRPr="00D245AD">
              <w:rPr>
                <w:color w:val="000000" w:themeColor="text1"/>
                <w:szCs w:val="18"/>
              </w:rPr>
              <w:t>United States of America</w:t>
            </w:r>
          </w:p>
        </w:tc>
      </w:tr>
      <w:tr w:rsidR="00E62558" w:rsidRPr="00D245AD" w14:paraId="60E4BAC9" w14:textId="77777777" w:rsidTr="001940D7">
        <w:trPr>
          <w:trHeight w:val="57"/>
          <w:jc w:val="right"/>
        </w:trPr>
        <w:tc>
          <w:tcPr>
            <w:tcW w:w="3024" w:type="dxa"/>
          </w:tcPr>
          <w:p w14:paraId="40095811" w14:textId="77777777" w:rsidR="00E62558" w:rsidRPr="00D245AD" w:rsidRDefault="00E62558" w:rsidP="001940D7">
            <w:pPr>
              <w:pStyle w:val="Normal-pool-Table"/>
              <w:rPr>
                <w:rFonts w:eastAsia="Cambria"/>
                <w:color w:val="808080" w:themeColor="background1" w:themeShade="80"/>
                <w:szCs w:val="18"/>
              </w:rPr>
            </w:pPr>
            <w:r w:rsidRPr="00D245AD">
              <w:rPr>
                <w:szCs w:val="18"/>
              </w:rPr>
              <w:t>Emma Palumbo</w:t>
            </w:r>
          </w:p>
        </w:tc>
        <w:tc>
          <w:tcPr>
            <w:tcW w:w="2488" w:type="dxa"/>
          </w:tcPr>
          <w:p w14:paraId="41844FC7" w14:textId="77777777" w:rsidR="00E62558" w:rsidRPr="00D245AD" w:rsidRDefault="00E62558" w:rsidP="001940D7">
            <w:pPr>
              <w:pStyle w:val="Normal-pool-Table"/>
              <w:rPr>
                <w:color w:val="808080" w:themeColor="background1" w:themeShade="80"/>
                <w:szCs w:val="18"/>
              </w:rPr>
            </w:pPr>
            <w:r w:rsidRPr="00D245AD">
              <w:rPr>
                <w:color w:val="000000" w:themeColor="text1"/>
                <w:szCs w:val="18"/>
              </w:rPr>
              <w:t>FSTOC member</w:t>
            </w:r>
          </w:p>
        </w:tc>
        <w:tc>
          <w:tcPr>
            <w:tcW w:w="2795" w:type="dxa"/>
          </w:tcPr>
          <w:p w14:paraId="0BF569B3" w14:textId="77777777" w:rsidR="00E62558" w:rsidRPr="00D245AD" w:rsidRDefault="00E62558" w:rsidP="001940D7">
            <w:pPr>
              <w:pStyle w:val="Normal-pool-Table"/>
              <w:rPr>
                <w:color w:val="000000" w:themeColor="text1"/>
                <w:szCs w:val="18"/>
              </w:rPr>
            </w:pPr>
            <w:r w:rsidRPr="00D245AD">
              <w:rPr>
                <w:color w:val="000000" w:themeColor="text1"/>
                <w:szCs w:val="18"/>
              </w:rPr>
              <w:t>Italy</w:t>
            </w:r>
          </w:p>
        </w:tc>
      </w:tr>
      <w:tr w:rsidR="00E62558" w:rsidRPr="00D245AD" w14:paraId="4CD0D94A" w14:textId="77777777" w:rsidTr="001940D7">
        <w:trPr>
          <w:trHeight w:val="57"/>
          <w:jc w:val="right"/>
        </w:trPr>
        <w:tc>
          <w:tcPr>
            <w:tcW w:w="3024" w:type="dxa"/>
          </w:tcPr>
          <w:p w14:paraId="41DEAB27" w14:textId="77777777" w:rsidR="00E62558" w:rsidRPr="00D245AD" w:rsidRDefault="00E62558" w:rsidP="001940D7">
            <w:pPr>
              <w:pStyle w:val="Normal-pool-Table"/>
              <w:rPr>
                <w:szCs w:val="18"/>
              </w:rPr>
            </w:pPr>
            <w:r w:rsidRPr="00D245AD">
              <w:rPr>
                <w:szCs w:val="18"/>
              </w:rPr>
              <w:t>Xiaomeng Zhou</w:t>
            </w:r>
          </w:p>
        </w:tc>
        <w:tc>
          <w:tcPr>
            <w:tcW w:w="2488" w:type="dxa"/>
          </w:tcPr>
          <w:p w14:paraId="1658D3DB" w14:textId="77777777" w:rsidR="00E62558" w:rsidRPr="00D245AD" w:rsidRDefault="00E62558" w:rsidP="001940D7">
            <w:pPr>
              <w:pStyle w:val="Normal-pool-Table"/>
              <w:rPr>
                <w:color w:val="808080" w:themeColor="background1" w:themeShade="80"/>
                <w:szCs w:val="18"/>
              </w:rPr>
            </w:pPr>
            <w:r w:rsidRPr="00D245AD">
              <w:rPr>
                <w:color w:val="000000" w:themeColor="text1"/>
                <w:szCs w:val="18"/>
              </w:rPr>
              <w:t>FSTOC member</w:t>
            </w:r>
          </w:p>
        </w:tc>
        <w:tc>
          <w:tcPr>
            <w:tcW w:w="2795" w:type="dxa"/>
          </w:tcPr>
          <w:p w14:paraId="68C4467B" w14:textId="77777777" w:rsidR="00E62558" w:rsidRPr="00D245AD" w:rsidRDefault="00E62558" w:rsidP="001940D7">
            <w:pPr>
              <w:pStyle w:val="Normal-pool-Table"/>
              <w:rPr>
                <w:color w:val="000000" w:themeColor="text1"/>
                <w:szCs w:val="18"/>
              </w:rPr>
            </w:pPr>
            <w:r w:rsidRPr="00D245AD">
              <w:rPr>
                <w:color w:val="000000" w:themeColor="text1"/>
                <w:szCs w:val="18"/>
              </w:rPr>
              <w:t>China</w:t>
            </w:r>
          </w:p>
        </w:tc>
      </w:tr>
      <w:tr w:rsidR="00E62558" w:rsidRPr="00D245AD" w14:paraId="776FAE4F" w14:textId="77777777" w:rsidTr="001940D7">
        <w:trPr>
          <w:trHeight w:val="57"/>
          <w:jc w:val="right"/>
        </w:trPr>
        <w:tc>
          <w:tcPr>
            <w:tcW w:w="3024" w:type="dxa"/>
          </w:tcPr>
          <w:p w14:paraId="032CC859" w14:textId="77777777" w:rsidR="00E62558" w:rsidRPr="00D245AD" w:rsidRDefault="00E62558" w:rsidP="001940D7">
            <w:pPr>
              <w:pStyle w:val="Normal-pool-Table"/>
              <w:rPr>
                <w:szCs w:val="18"/>
              </w:rPr>
            </w:pPr>
          </w:p>
        </w:tc>
        <w:tc>
          <w:tcPr>
            <w:tcW w:w="2488" w:type="dxa"/>
          </w:tcPr>
          <w:p w14:paraId="680EB75A" w14:textId="77777777" w:rsidR="00E62558" w:rsidRPr="00D245AD" w:rsidRDefault="00E62558" w:rsidP="001940D7">
            <w:pPr>
              <w:pStyle w:val="Normal-pool-Table"/>
              <w:rPr>
                <w:color w:val="808080" w:themeColor="background1" w:themeShade="80"/>
                <w:szCs w:val="18"/>
              </w:rPr>
            </w:pPr>
          </w:p>
        </w:tc>
        <w:tc>
          <w:tcPr>
            <w:tcW w:w="2795" w:type="dxa"/>
          </w:tcPr>
          <w:p w14:paraId="179CDA4E" w14:textId="77777777" w:rsidR="00E62558" w:rsidRPr="00D245AD" w:rsidRDefault="00E62558" w:rsidP="001940D7">
            <w:pPr>
              <w:pStyle w:val="Normal-pool-Table"/>
              <w:rPr>
                <w:color w:val="808080" w:themeColor="background1" w:themeShade="80"/>
                <w:szCs w:val="18"/>
              </w:rPr>
            </w:pPr>
          </w:p>
        </w:tc>
      </w:tr>
      <w:tr w:rsidR="00E62558" w:rsidRPr="00D245AD" w14:paraId="0F6DD111" w14:textId="77777777" w:rsidTr="001940D7">
        <w:trPr>
          <w:trHeight w:val="57"/>
          <w:jc w:val="right"/>
        </w:trPr>
        <w:tc>
          <w:tcPr>
            <w:tcW w:w="3024" w:type="dxa"/>
            <w:hideMark/>
          </w:tcPr>
          <w:p w14:paraId="127F13F3" w14:textId="77777777" w:rsidR="00E62558" w:rsidRPr="00D245AD" w:rsidRDefault="00E62558" w:rsidP="001940D7">
            <w:pPr>
              <w:pStyle w:val="Normal-pool-Table"/>
              <w:rPr>
                <w:rFonts w:eastAsia="Cambria"/>
                <w:color w:val="808080" w:themeColor="background1" w:themeShade="80"/>
                <w:szCs w:val="18"/>
              </w:rPr>
            </w:pPr>
            <w:r w:rsidRPr="00D245AD">
              <w:rPr>
                <w:szCs w:val="18"/>
              </w:rPr>
              <w:t>Jonathan Banks</w:t>
            </w:r>
          </w:p>
        </w:tc>
        <w:tc>
          <w:tcPr>
            <w:tcW w:w="2488" w:type="dxa"/>
            <w:hideMark/>
          </w:tcPr>
          <w:p w14:paraId="302CFF82" w14:textId="77777777" w:rsidR="00E62558" w:rsidRPr="00D245AD" w:rsidRDefault="00E62558" w:rsidP="001940D7">
            <w:pPr>
              <w:pStyle w:val="Normal-pool-Table"/>
              <w:rPr>
                <w:color w:val="000000" w:themeColor="text1"/>
                <w:szCs w:val="18"/>
              </w:rPr>
            </w:pPr>
            <w:r w:rsidRPr="00D245AD">
              <w:rPr>
                <w:color w:val="000000" w:themeColor="text1"/>
                <w:szCs w:val="18"/>
              </w:rPr>
              <w:t>MBTOC member</w:t>
            </w:r>
          </w:p>
        </w:tc>
        <w:tc>
          <w:tcPr>
            <w:tcW w:w="2795" w:type="dxa"/>
            <w:hideMark/>
          </w:tcPr>
          <w:p w14:paraId="4952FAD6" w14:textId="77777777" w:rsidR="00E62558" w:rsidRPr="00D245AD" w:rsidRDefault="00E62558" w:rsidP="001940D7">
            <w:pPr>
              <w:pStyle w:val="Normal-pool-Table"/>
              <w:rPr>
                <w:color w:val="000000" w:themeColor="text1"/>
                <w:szCs w:val="18"/>
              </w:rPr>
            </w:pPr>
            <w:r w:rsidRPr="00D245AD">
              <w:rPr>
                <w:color w:val="000000" w:themeColor="text1"/>
                <w:szCs w:val="18"/>
              </w:rPr>
              <w:t>Australia</w:t>
            </w:r>
          </w:p>
        </w:tc>
      </w:tr>
      <w:tr w:rsidR="00E62558" w:rsidRPr="00D245AD" w14:paraId="10ADDB4A" w14:textId="77777777" w:rsidTr="001940D7">
        <w:trPr>
          <w:trHeight w:val="57"/>
          <w:jc w:val="right"/>
        </w:trPr>
        <w:tc>
          <w:tcPr>
            <w:tcW w:w="3024" w:type="dxa"/>
          </w:tcPr>
          <w:p w14:paraId="02FA2D2E" w14:textId="77777777" w:rsidR="00E62558" w:rsidRPr="00D245AD" w:rsidRDefault="00E62558" w:rsidP="001940D7">
            <w:pPr>
              <w:pStyle w:val="Normal-pool-Table"/>
              <w:rPr>
                <w:rFonts w:eastAsia="Cambria"/>
                <w:color w:val="808080" w:themeColor="background1" w:themeShade="80"/>
                <w:szCs w:val="18"/>
              </w:rPr>
            </w:pPr>
            <w:r w:rsidRPr="00D245AD">
              <w:rPr>
                <w:color w:val="000000"/>
                <w:szCs w:val="18"/>
                <w:lang w:eastAsia="zh-CN"/>
              </w:rPr>
              <w:t>Aocheng Cao</w:t>
            </w:r>
          </w:p>
        </w:tc>
        <w:tc>
          <w:tcPr>
            <w:tcW w:w="2488" w:type="dxa"/>
          </w:tcPr>
          <w:p w14:paraId="52A3F36F" w14:textId="77777777" w:rsidR="00E62558" w:rsidRPr="00D245AD" w:rsidRDefault="00E62558" w:rsidP="001940D7">
            <w:pPr>
              <w:pStyle w:val="Normal-pool-Table"/>
              <w:rPr>
                <w:color w:val="000000" w:themeColor="text1"/>
                <w:szCs w:val="18"/>
              </w:rPr>
            </w:pPr>
            <w:r w:rsidRPr="00D245AD">
              <w:rPr>
                <w:color w:val="000000" w:themeColor="text1"/>
                <w:szCs w:val="18"/>
              </w:rPr>
              <w:t>MBTOC member</w:t>
            </w:r>
          </w:p>
        </w:tc>
        <w:tc>
          <w:tcPr>
            <w:tcW w:w="2795" w:type="dxa"/>
          </w:tcPr>
          <w:p w14:paraId="76BECC3B" w14:textId="77777777" w:rsidR="00E62558" w:rsidRPr="00D245AD" w:rsidRDefault="00E62558" w:rsidP="001940D7">
            <w:pPr>
              <w:pStyle w:val="Normal-pool-Table"/>
              <w:rPr>
                <w:color w:val="000000" w:themeColor="text1"/>
                <w:szCs w:val="18"/>
              </w:rPr>
            </w:pPr>
            <w:r w:rsidRPr="00D245AD">
              <w:rPr>
                <w:color w:val="000000" w:themeColor="text1"/>
                <w:szCs w:val="18"/>
              </w:rPr>
              <w:t>China</w:t>
            </w:r>
          </w:p>
        </w:tc>
      </w:tr>
      <w:tr w:rsidR="00E62558" w:rsidRPr="00D245AD" w14:paraId="65ABC0FE" w14:textId="77777777" w:rsidTr="001940D7">
        <w:trPr>
          <w:trHeight w:val="57"/>
          <w:jc w:val="right"/>
        </w:trPr>
        <w:tc>
          <w:tcPr>
            <w:tcW w:w="3024" w:type="dxa"/>
          </w:tcPr>
          <w:p w14:paraId="78C25010" w14:textId="77777777" w:rsidR="00E62558" w:rsidRPr="00D245AD" w:rsidRDefault="00E62558" w:rsidP="001940D7">
            <w:pPr>
              <w:pStyle w:val="Normal-pool-Table"/>
              <w:rPr>
                <w:color w:val="808080" w:themeColor="background1" w:themeShade="80"/>
                <w:szCs w:val="18"/>
              </w:rPr>
            </w:pPr>
            <w:r w:rsidRPr="00D245AD">
              <w:rPr>
                <w:szCs w:val="18"/>
              </w:rPr>
              <w:t>Guillermo Castellá</w:t>
            </w:r>
          </w:p>
        </w:tc>
        <w:tc>
          <w:tcPr>
            <w:tcW w:w="2488" w:type="dxa"/>
          </w:tcPr>
          <w:p w14:paraId="51868021" w14:textId="77777777" w:rsidR="00E62558" w:rsidRPr="00D245AD" w:rsidRDefault="00E62558" w:rsidP="001940D7">
            <w:pPr>
              <w:pStyle w:val="Normal-pool-Table"/>
              <w:rPr>
                <w:color w:val="000000" w:themeColor="text1"/>
                <w:szCs w:val="18"/>
              </w:rPr>
            </w:pPr>
            <w:r w:rsidRPr="00D245AD">
              <w:rPr>
                <w:color w:val="000000" w:themeColor="text1"/>
                <w:szCs w:val="18"/>
              </w:rPr>
              <w:t>MBTOC member</w:t>
            </w:r>
          </w:p>
        </w:tc>
        <w:tc>
          <w:tcPr>
            <w:tcW w:w="2795" w:type="dxa"/>
          </w:tcPr>
          <w:p w14:paraId="2FEE57D1" w14:textId="77777777" w:rsidR="00E62558" w:rsidRPr="00D245AD" w:rsidRDefault="00E62558" w:rsidP="001940D7">
            <w:pPr>
              <w:pStyle w:val="Normal-pool-Table"/>
              <w:rPr>
                <w:color w:val="808080" w:themeColor="background1" w:themeShade="80"/>
                <w:szCs w:val="18"/>
              </w:rPr>
            </w:pPr>
            <w:r w:rsidRPr="00D245AD">
              <w:rPr>
                <w:szCs w:val="18"/>
              </w:rPr>
              <w:t>Uruguay</w:t>
            </w:r>
          </w:p>
        </w:tc>
      </w:tr>
      <w:tr w:rsidR="00E62558" w:rsidRPr="00D245AD" w14:paraId="5AA9A960" w14:textId="77777777" w:rsidTr="001940D7">
        <w:trPr>
          <w:trHeight w:val="57"/>
          <w:jc w:val="right"/>
        </w:trPr>
        <w:tc>
          <w:tcPr>
            <w:tcW w:w="3024" w:type="dxa"/>
          </w:tcPr>
          <w:p w14:paraId="0917C8D6" w14:textId="77777777" w:rsidR="00E62558" w:rsidRPr="00D245AD" w:rsidRDefault="00E62558" w:rsidP="001940D7">
            <w:pPr>
              <w:pStyle w:val="Normal-pool-Table"/>
              <w:rPr>
                <w:szCs w:val="18"/>
              </w:rPr>
            </w:pPr>
            <w:r w:rsidRPr="00D245AD">
              <w:rPr>
                <w:szCs w:val="18"/>
              </w:rPr>
              <w:t>Kang Fenfen</w:t>
            </w:r>
          </w:p>
        </w:tc>
        <w:tc>
          <w:tcPr>
            <w:tcW w:w="2488" w:type="dxa"/>
          </w:tcPr>
          <w:p w14:paraId="7080772E" w14:textId="77777777" w:rsidR="00E62558" w:rsidRPr="00D245AD" w:rsidRDefault="00E62558" w:rsidP="001940D7">
            <w:pPr>
              <w:pStyle w:val="Normal-pool-Table"/>
              <w:rPr>
                <w:color w:val="000000" w:themeColor="text1"/>
                <w:szCs w:val="18"/>
              </w:rPr>
            </w:pPr>
            <w:r w:rsidRPr="00D245AD">
              <w:rPr>
                <w:color w:val="000000" w:themeColor="text1"/>
                <w:szCs w:val="18"/>
              </w:rPr>
              <w:t>MBTOC member</w:t>
            </w:r>
          </w:p>
        </w:tc>
        <w:tc>
          <w:tcPr>
            <w:tcW w:w="2795" w:type="dxa"/>
          </w:tcPr>
          <w:p w14:paraId="0B691DD2" w14:textId="77777777" w:rsidR="00E62558" w:rsidRPr="00D245AD" w:rsidRDefault="00E62558" w:rsidP="001940D7">
            <w:pPr>
              <w:pStyle w:val="Normal-pool-Table"/>
              <w:rPr>
                <w:color w:val="808080" w:themeColor="background1" w:themeShade="80"/>
                <w:szCs w:val="18"/>
              </w:rPr>
            </w:pPr>
            <w:r w:rsidRPr="00D245AD">
              <w:rPr>
                <w:szCs w:val="18"/>
              </w:rPr>
              <w:t>China</w:t>
            </w:r>
          </w:p>
        </w:tc>
      </w:tr>
      <w:tr w:rsidR="00E62558" w:rsidRPr="00D245AD" w14:paraId="579BDEA0" w14:textId="77777777" w:rsidTr="001940D7">
        <w:trPr>
          <w:trHeight w:val="57"/>
          <w:jc w:val="right"/>
        </w:trPr>
        <w:tc>
          <w:tcPr>
            <w:tcW w:w="3024" w:type="dxa"/>
          </w:tcPr>
          <w:p w14:paraId="39D3A888" w14:textId="77777777" w:rsidR="00E62558" w:rsidRPr="00D245AD" w:rsidRDefault="00E62558" w:rsidP="001940D7">
            <w:pPr>
              <w:pStyle w:val="Normal-pool-Table"/>
              <w:rPr>
                <w:szCs w:val="18"/>
              </w:rPr>
            </w:pPr>
            <w:r w:rsidRPr="00D245AD">
              <w:rPr>
                <w:szCs w:val="18"/>
              </w:rPr>
              <w:t>Ayze Ozdem</w:t>
            </w:r>
          </w:p>
        </w:tc>
        <w:tc>
          <w:tcPr>
            <w:tcW w:w="2488" w:type="dxa"/>
          </w:tcPr>
          <w:p w14:paraId="07F54F63" w14:textId="77777777" w:rsidR="00E62558" w:rsidRPr="00D245AD" w:rsidRDefault="00E62558" w:rsidP="001940D7">
            <w:pPr>
              <w:pStyle w:val="Normal-pool-Table"/>
              <w:rPr>
                <w:color w:val="000000" w:themeColor="text1"/>
                <w:szCs w:val="18"/>
              </w:rPr>
            </w:pPr>
            <w:r w:rsidRPr="00D245AD">
              <w:rPr>
                <w:color w:val="000000" w:themeColor="text1"/>
                <w:szCs w:val="18"/>
              </w:rPr>
              <w:t>MBTOC member</w:t>
            </w:r>
          </w:p>
        </w:tc>
        <w:tc>
          <w:tcPr>
            <w:tcW w:w="2795" w:type="dxa"/>
          </w:tcPr>
          <w:p w14:paraId="68F3449B" w14:textId="77777777" w:rsidR="00E62558" w:rsidRPr="00D245AD" w:rsidRDefault="00E62558" w:rsidP="001940D7">
            <w:pPr>
              <w:pStyle w:val="Normal-pool-Table"/>
              <w:rPr>
                <w:color w:val="808080" w:themeColor="background1" w:themeShade="80"/>
                <w:szCs w:val="18"/>
              </w:rPr>
            </w:pPr>
            <w:r w:rsidRPr="00D245AD">
              <w:rPr>
                <w:szCs w:val="18"/>
              </w:rPr>
              <w:t>Turkey</w:t>
            </w:r>
          </w:p>
        </w:tc>
      </w:tr>
      <w:tr w:rsidR="00E62558" w:rsidRPr="00D245AD" w14:paraId="4046626C" w14:textId="77777777" w:rsidTr="001940D7">
        <w:trPr>
          <w:trHeight w:val="57"/>
          <w:jc w:val="right"/>
        </w:trPr>
        <w:tc>
          <w:tcPr>
            <w:tcW w:w="3024" w:type="dxa"/>
          </w:tcPr>
          <w:p w14:paraId="11B884AF" w14:textId="77777777" w:rsidR="00E62558" w:rsidRPr="00D245AD" w:rsidRDefault="00E62558" w:rsidP="001940D7">
            <w:pPr>
              <w:pStyle w:val="Normal-pool-Table"/>
              <w:rPr>
                <w:szCs w:val="18"/>
              </w:rPr>
            </w:pPr>
            <w:r w:rsidRPr="00D245AD">
              <w:rPr>
                <w:szCs w:val="18"/>
              </w:rPr>
              <w:t>Ken Glassey</w:t>
            </w:r>
          </w:p>
        </w:tc>
        <w:tc>
          <w:tcPr>
            <w:tcW w:w="2488" w:type="dxa"/>
          </w:tcPr>
          <w:p w14:paraId="6EC6D7E8" w14:textId="77777777" w:rsidR="00E62558" w:rsidRPr="00D245AD" w:rsidRDefault="00E62558" w:rsidP="001940D7">
            <w:pPr>
              <w:pStyle w:val="Normal-pool-Table"/>
              <w:rPr>
                <w:color w:val="000000" w:themeColor="text1"/>
                <w:szCs w:val="18"/>
              </w:rPr>
            </w:pPr>
            <w:r w:rsidRPr="00D245AD">
              <w:rPr>
                <w:color w:val="000000" w:themeColor="text1"/>
                <w:szCs w:val="18"/>
              </w:rPr>
              <w:t>MBTOC member</w:t>
            </w:r>
          </w:p>
        </w:tc>
        <w:tc>
          <w:tcPr>
            <w:tcW w:w="2795" w:type="dxa"/>
          </w:tcPr>
          <w:p w14:paraId="5D55D12C" w14:textId="77777777" w:rsidR="00E62558" w:rsidRPr="00D245AD" w:rsidRDefault="00E62558" w:rsidP="001940D7">
            <w:pPr>
              <w:pStyle w:val="Normal-pool-Table"/>
              <w:rPr>
                <w:color w:val="808080" w:themeColor="background1" w:themeShade="80"/>
                <w:szCs w:val="18"/>
              </w:rPr>
            </w:pPr>
            <w:r w:rsidRPr="00D245AD">
              <w:rPr>
                <w:szCs w:val="18"/>
              </w:rPr>
              <w:t>New Zealand</w:t>
            </w:r>
          </w:p>
        </w:tc>
      </w:tr>
      <w:tr w:rsidR="00E62558" w:rsidRPr="00D245AD" w14:paraId="33F6FFAC" w14:textId="77777777" w:rsidTr="001940D7">
        <w:trPr>
          <w:trHeight w:val="57"/>
          <w:jc w:val="right"/>
        </w:trPr>
        <w:tc>
          <w:tcPr>
            <w:tcW w:w="3024" w:type="dxa"/>
          </w:tcPr>
          <w:p w14:paraId="673A901D" w14:textId="77777777" w:rsidR="00E62558" w:rsidRPr="00D245AD" w:rsidRDefault="00E62558" w:rsidP="001940D7">
            <w:pPr>
              <w:pStyle w:val="Normal-pool-Table"/>
              <w:rPr>
                <w:szCs w:val="18"/>
              </w:rPr>
            </w:pPr>
            <w:r w:rsidRPr="00D245AD">
              <w:rPr>
                <w:szCs w:val="18"/>
              </w:rPr>
              <w:t>Eduardo Gonzalez</w:t>
            </w:r>
          </w:p>
        </w:tc>
        <w:tc>
          <w:tcPr>
            <w:tcW w:w="2488" w:type="dxa"/>
          </w:tcPr>
          <w:p w14:paraId="4CB7A24B" w14:textId="77777777" w:rsidR="00E62558" w:rsidRPr="00D245AD" w:rsidRDefault="00E62558" w:rsidP="001940D7">
            <w:pPr>
              <w:pStyle w:val="Normal-pool-Table"/>
              <w:rPr>
                <w:color w:val="000000" w:themeColor="text1"/>
                <w:szCs w:val="18"/>
              </w:rPr>
            </w:pPr>
            <w:r w:rsidRPr="00D245AD">
              <w:rPr>
                <w:color w:val="000000" w:themeColor="text1"/>
                <w:szCs w:val="18"/>
              </w:rPr>
              <w:t>MBTOC member</w:t>
            </w:r>
          </w:p>
        </w:tc>
        <w:tc>
          <w:tcPr>
            <w:tcW w:w="2795" w:type="dxa"/>
          </w:tcPr>
          <w:p w14:paraId="3BD9F774" w14:textId="77777777" w:rsidR="00E62558" w:rsidRPr="00D245AD" w:rsidRDefault="00E62558" w:rsidP="001940D7">
            <w:pPr>
              <w:pStyle w:val="Normal-pool-Table"/>
              <w:rPr>
                <w:color w:val="808080" w:themeColor="background1" w:themeShade="80"/>
                <w:szCs w:val="18"/>
              </w:rPr>
            </w:pPr>
            <w:r w:rsidRPr="00D245AD">
              <w:rPr>
                <w:szCs w:val="18"/>
              </w:rPr>
              <w:t>Philippines</w:t>
            </w:r>
          </w:p>
        </w:tc>
      </w:tr>
      <w:tr w:rsidR="00E62558" w:rsidRPr="00D245AD" w14:paraId="5014856B" w14:textId="77777777" w:rsidTr="001940D7">
        <w:trPr>
          <w:trHeight w:val="57"/>
          <w:jc w:val="right"/>
        </w:trPr>
        <w:tc>
          <w:tcPr>
            <w:tcW w:w="3024" w:type="dxa"/>
          </w:tcPr>
          <w:p w14:paraId="25BB3DDB" w14:textId="77777777" w:rsidR="00E62558" w:rsidRPr="00D245AD" w:rsidRDefault="00E62558" w:rsidP="001940D7">
            <w:pPr>
              <w:pStyle w:val="Normal-pool-Table"/>
              <w:rPr>
                <w:szCs w:val="18"/>
              </w:rPr>
            </w:pPr>
            <w:r w:rsidRPr="00D245AD">
              <w:rPr>
                <w:szCs w:val="18"/>
              </w:rPr>
              <w:t>Takashi Misumi</w:t>
            </w:r>
          </w:p>
        </w:tc>
        <w:tc>
          <w:tcPr>
            <w:tcW w:w="2488" w:type="dxa"/>
          </w:tcPr>
          <w:p w14:paraId="1B40C244" w14:textId="77777777" w:rsidR="00E62558" w:rsidRPr="00D245AD" w:rsidRDefault="00E62558" w:rsidP="001940D7">
            <w:pPr>
              <w:pStyle w:val="Normal-pool-Table"/>
              <w:rPr>
                <w:color w:val="000000" w:themeColor="text1"/>
                <w:szCs w:val="18"/>
              </w:rPr>
            </w:pPr>
            <w:r w:rsidRPr="00D245AD">
              <w:rPr>
                <w:color w:val="000000" w:themeColor="text1"/>
                <w:szCs w:val="18"/>
              </w:rPr>
              <w:t>MBTOC member</w:t>
            </w:r>
          </w:p>
        </w:tc>
        <w:tc>
          <w:tcPr>
            <w:tcW w:w="2795" w:type="dxa"/>
          </w:tcPr>
          <w:p w14:paraId="1E697E07" w14:textId="77777777" w:rsidR="00E62558" w:rsidRPr="00D245AD" w:rsidRDefault="00E62558" w:rsidP="001940D7">
            <w:pPr>
              <w:pStyle w:val="Normal-pool-Table"/>
              <w:rPr>
                <w:color w:val="808080" w:themeColor="background1" w:themeShade="80"/>
                <w:szCs w:val="18"/>
              </w:rPr>
            </w:pPr>
            <w:r w:rsidRPr="00D245AD">
              <w:rPr>
                <w:szCs w:val="18"/>
              </w:rPr>
              <w:t>Japan</w:t>
            </w:r>
          </w:p>
        </w:tc>
      </w:tr>
      <w:tr w:rsidR="00E62558" w:rsidRPr="00D245AD" w14:paraId="491B00D4" w14:textId="77777777" w:rsidTr="001940D7">
        <w:trPr>
          <w:trHeight w:val="57"/>
          <w:jc w:val="right"/>
        </w:trPr>
        <w:tc>
          <w:tcPr>
            <w:tcW w:w="3024" w:type="dxa"/>
          </w:tcPr>
          <w:p w14:paraId="3E4F4086" w14:textId="77777777" w:rsidR="00E62558" w:rsidRPr="00D245AD" w:rsidRDefault="00E62558" w:rsidP="001940D7">
            <w:pPr>
              <w:pStyle w:val="Normal-pool-Table"/>
              <w:rPr>
                <w:szCs w:val="18"/>
              </w:rPr>
            </w:pPr>
            <w:r w:rsidRPr="00D245AD">
              <w:rPr>
                <w:szCs w:val="18"/>
              </w:rPr>
              <w:t>Christoph Reichmuth</w:t>
            </w:r>
          </w:p>
        </w:tc>
        <w:tc>
          <w:tcPr>
            <w:tcW w:w="2488" w:type="dxa"/>
          </w:tcPr>
          <w:p w14:paraId="016B28AE" w14:textId="77777777" w:rsidR="00E62558" w:rsidRPr="00D245AD" w:rsidRDefault="00E62558" w:rsidP="001940D7">
            <w:pPr>
              <w:pStyle w:val="Normal-pool-Table"/>
              <w:rPr>
                <w:color w:val="000000" w:themeColor="text1"/>
                <w:szCs w:val="18"/>
              </w:rPr>
            </w:pPr>
            <w:r w:rsidRPr="00D245AD">
              <w:rPr>
                <w:color w:val="000000" w:themeColor="text1"/>
                <w:szCs w:val="18"/>
              </w:rPr>
              <w:t>MBTOC member</w:t>
            </w:r>
          </w:p>
        </w:tc>
        <w:tc>
          <w:tcPr>
            <w:tcW w:w="2795" w:type="dxa"/>
          </w:tcPr>
          <w:p w14:paraId="07044014" w14:textId="77777777" w:rsidR="00E62558" w:rsidRPr="00D245AD" w:rsidRDefault="00E62558" w:rsidP="001940D7">
            <w:pPr>
              <w:pStyle w:val="Normal-pool-Table"/>
              <w:rPr>
                <w:color w:val="808080" w:themeColor="background1" w:themeShade="80"/>
                <w:szCs w:val="18"/>
              </w:rPr>
            </w:pPr>
            <w:r w:rsidRPr="00D245AD">
              <w:rPr>
                <w:szCs w:val="18"/>
              </w:rPr>
              <w:t>Germany</w:t>
            </w:r>
          </w:p>
        </w:tc>
      </w:tr>
      <w:tr w:rsidR="00E62558" w:rsidRPr="00D245AD" w14:paraId="0EFBF972" w14:textId="77777777" w:rsidTr="001940D7">
        <w:trPr>
          <w:trHeight w:val="57"/>
          <w:jc w:val="right"/>
        </w:trPr>
        <w:tc>
          <w:tcPr>
            <w:tcW w:w="3024" w:type="dxa"/>
          </w:tcPr>
          <w:p w14:paraId="2BFBA7E3" w14:textId="77777777" w:rsidR="00E62558" w:rsidRPr="00D245AD" w:rsidRDefault="00E62558" w:rsidP="001940D7">
            <w:pPr>
              <w:pStyle w:val="Normal-pool-Table"/>
              <w:rPr>
                <w:szCs w:val="18"/>
              </w:rPr>
            </w:pPr>
            <w:r w:rsidRPr="00D245AD">
              <w:rPr>
                <w:szCs w:val="18"/>
              </w:rPr>
              <w:t>Alejandro Valeiro</w:t>
            </w:r>
          </w:p>
        </w:tc>
        <w:tc>
          <w:tcPr>
            <w:tcW w:w="2488" w:type="dxa"/>
          </w:tcPr>
          <w:p w14:paraId="7064699B" w14:textId="77777777" w:rsidR="00E62558" w:rsidRPr="00D245AD" w:rsidRDefault="00E62558" w:rsidP="001940D7">
            <w:pPr>
              <w:pStyle w:val="Normal-pool-Table"/>
              <w:rPr>
                <w:color w:val="000000" w:themeColor="text1"/>
                <w:szCs w:val="18"/>
              </w:rPr>
            </w:pPr>
            <w:r w:rsidRPr="00D245AD">
              <w:rPr>
                <w:color w:val="000000" w:themeColor="text1"/>
                <w:szCs w:val="18"/>
              </w:rPr>
              <w:t>MBTOC member</w:t>
            </w:r>
          </w:p>
        </w:tc>
        <w:tc>
          <w:tcPr>
            <w:tcW w:w="2795" w:type="dxa"/>
          </w:tcPr>
          <w:p w14:paraId="57345DB6" w14:textId="77777777" w:rsidR="00E62558" w:rsidRPr="00D245AD" w:rsidRDefault="00E62558" w:rsidP="001940D7">
            <w:pPr>
              <w:pStyle w:val="Normal-pool-Table"/>
              <w:rPr>
                <w:color w:val="808080" w:themeColor="background1" w:themeShade="80"/>
                <w:szCs w:val="18"/>
              </w:rPr>
            </w:pPr>
            <w:r w:rsidRPr="00D245AD">
              <w:rPr>
                <w:szCs w:val="18"/>
              </w:rPr>
              <w:t>Argentina</w:t>
            </w:r>
          </w:p>
        </w:tc>
      </w:tr>
      <w:tr w:rsidR="00E62558" w:rsidRPr="00D245AD" w14:paraId="7A1406D7" w14:textId="77777777" w:rsidTr="001940D7">
        <w:trPr>
          <w:trHeight w:val="57"/>
          <w:jc w:val="right"/>
        </w:trPr>
        <w:tc>
          <w:tcPr>
            <w:tcW w:w="3024" w:type="dxa"/>
          </w:tcPr>
          <w:p w14:paraId="739D3439" w14:textId="77777777" w:rsidR="00E62558" w:rsidRPr="00D245AD" w:rsidRDefault="00E62558" w:rsidP="001940D7">
            <w:pPr>
              <w:pStyle w:val="Normal-pool-Table"/>
              <w:rPr>
                <w:color w:val="808080" w:themeColor="background1" w:themeShade="80"/>
                <w:szCs w:val="18"/>
              </w:rPr>
            </w:pPr>
          </w:p>
        </w:tc>
        <w:tc>
          <w:tcPr>
            <w:tcW w:w="2488" w:type="dxa"/>
          </w:tcPr>
          <w:p w14:paraId="70E9562E" w14:textId="77777777" w:rsidR="00E62558" w:rsidRPr="00D245AD" w:rsidRDefault="00E62558" w:rsidP="001940D7">
            <w:pPr>
              <w:pStyle w:val="Normal-pool-Table"/>
              <w:rPr>
                <w:color w:val="808080" w:themeColor="background1" w:themeShade="80"/>
                <w:szCs w:val="18"/>
              </w:rPr>
            </w:pPr>
          </w:p>
        </w:tc>
        <w:tc>
          <w:tcPr>
            <w:tcW w:w="2795" w:type="dxa"/>
          </w:tcPr>
          <w:p w14:paraId="429C1D12" w14:textId="77777777" w:rsidR="00E62558" w:rsidRPr="00D245AD" w:rsidRDefault="00E62558" w:rsidP="001940D7">
            <w:pPr>
              <w:pStyle w:val="Normal-pool-Table"/>
              <w:rPr>
                <w:color w:val="808080" w:themeColor="background1" w:themeShade="80"/>
                <w:szCs w:val="18"/>
              </w:rPr>
            </w:pPr>
          </w:p>
        </w:tc>
      </w:tr>
      <w:tr w:rsidR="00E62558" w:rsidRPr="00D245AD" w14:paraId="4E13742D" w14:textId="77777777" w:rsidTr="001940D7">
        <w:trPr>
          <w:trHeight w:val="57"/>
          <w:jc w:val="right"/>
        </w:trPr>
        <w:tc>
          <w:tcPr>
            <w:tcW w:w="3024" w:type="dxa"/>
            <w:hideMark/>
          </w:tcPr>
          <w:p w14:paraId="6D5754FF" w14:textId="77777777" w:rsidR="00E62558" w:rsidRPr="00D245AD" w:rsidRDefault="00E62558" w:rsidP="001940D7">
            <w:pPr>
              <w:pStyle w:val="Normal-pool-Table"/>
              <w:rPr>
                <w:color w:val="808080" w:themeColor="background1" w:themeShade="80"/>
                <w:szCs w:val="18"/>
              </w:rPr>
            </w:pPr>
            <w:r w:rsidRPr="00D245AD">
              <w:rPr>
                <w:szCs w:val="18"/>
              </w:rPr>
              <w:t>Emmanuel Addo-Yobo</w:t>
            </w:r>
          </w:p>
        </w:tc>
        <w:tc>
          <w:tcPr>
            <w:tcW w:w="2488" w:type="dxa"/>
            <w:hideMark/>
          </w:tcPr>
          <w:p w14:paraId="4A64B43F" w14:textId="77777777" w:rsidR="00E62558" w:rsidRPr="00D245AD" w:rsidRDefault="00E62558" w:rsidP="001940D7">
            <w:pPr>
              <w:pStyle w:val="Normal-pool-Table"/>
              <w:rPr>
                <w:color w:val="000000" w:themeColor="text1"/>
                <w:szCs w:val="18"/>
              </w:rPr>
            </w:pPr>
            <w:r w:rsidRPr="00D245AD">
              <w:rPr>
                <w:color w:val="000000" w:themeColor="text1"/>
                <w:szCs w:val="18"/>
              </w:rPr>
              <w:t>MCTOC member</w:t>
            </w:r>
          </w:p>
        </w:tc>
        <w:tc>
          <w:tcPr>
            <w:tcW w:w="2795" w:type="dxa"/>
            <w:hideMark/>
          </w:tcPr>
          <w:p w14:paraId="1463A73C" w14:textId="77777777" w:rsidR="00E62558" w:rsidRPr="00D245AD" w:rsidRDefault="00E62558" w:rsidP="001940D7">
            <w:pPr>
              <w:pStyle w:val="Normal-pool-Table"/>
              <w:rPr>
                <w:szCs w:val="18"/>
              </w:rPr>
            </w:pPr>
            <w:r w:rsidRPr="00D245AD">
              <w:rPr>
                <w:szCs w:val="18"/>
              </w:rPr>
              <w:t>Ghana</w:t>
            </w:r>
          </w:p>
        </w:tc>
      </w:tr>
      <w:tr w:rsidR="00E62558" w:rsidRPr="00D245AD" w14:paraId="266F2C8F" w14:textId="77777777" w:rsidTr="001940D7">
        <w:trPr>
          <w:trHeight w:val="57"/>
          <w:jc w:val="right"/>
        </w:trPr>
        <w:tc>
          <w:tcPr>
            <w:tcW w:w="3024" w:type="dxa"/>
            <w:hideMark/>
          </w:tcPr>
          <w:p w14:paraId="5B5CB1D8" w14:textId="77777777" w:rsidR="00E62558" w:rsidRPr="00D245AD" w:rsidRDefault="00E62558" w:rsidP="001940D7">
            <w:pPr>
              <w:pStyle w:val="Normal-pool-Table"/>
              <w:rPr>
                <w:color w:val="808080" w:themeColor="background1" w:themeShade="80"/>
                <w:szCs w:val="18"/>
              </w:rPr>
            </w:pPr>
            <w:r w:rsidRPr="00D245AD">
              <w:rPr>
                <w:szCs w:val="18"/>
              </w:rPr>
              <w:t>Fatima Al-Shatti</w:t>
            </w:r>
          </w:p>
        </w:tc>
        <w:tc>
          <w:tcPr>
            <w:tcW w:w="2488" w:type="dxa"/>
            <w:hideMark/>
          </w:tcPr>
          <w:p w14:paraId="0E1FA0F6" w14:textId="77777777" w:rsidR="00E62558" w:rsidRPr="00D245AD" w:rsidRDefault="00E62558" w:rsidP="001940D7">
            <w:pPr>
              <w:pStyle w:val="Normal-pool-Table"/>
              <w:rPr>
                <w:color w:val="000000" w:themeColor="text1"/>
                <w:szCs w:val="18"/>
              </w:rPr>
            </w:pPr>
            <w:r w:rsidRPr="00D245AD">
              <w:rPr>
                <w:color w:val="000000" w:themeColor="text1"/>
                <w:szCs w:val="18"/>
              </w:rPr>
              <w:t>MCTOC member</w:t>
            </w:r>
          </w:p>
        </w:tc>
        <w:tc>
          <w:tcPr>
            <w:tcW w:w="2795" w:type="dxa"/>
          </w:tcPr>
          <w:p w14:paraId="6E6EA9A6" w14:textId="77777777" w:rsidR="00E62558" w:rsidRPr="00D245AD" w:rsidRDefault="00E62558" w:rsidP="001940D7">
            <w:pPr>
              <w:pStyle w:val="Normal-pool-Table"/>
              <w:rPr>
                <w:szCs w:val="18"/>
              </w:rPr>
            </w:pPr>
            <w:r w:rsidRPr="00D245AD">
              <w:rPr>
                <w:szCs w:val="18"/>
              </w:rPr>
              <w:t>Kuwait</w:t>
            </w:r>
          </w:p>
        </w:tc>
      </w:tr>
      <w:tr w:rsidR="00E62558" w:rsidRPr="00D245AD" w14:paraId="4EC3D65C" w14:textId="77777777" w:rsidTr="001940D7">
        <w:trPr>
          <w:trHeight w:val="251"/>
          <w:jc w:val="right"/>
        </w:trPr>
        <w:tc>
          <w:tcPr>
            <w:tcW w:w="3024" w:type="dxa"/>
            <w:hideMark/>
          </w:tcPr>
          <w:p w14:paraId="120D291E" w14:textId="77777777" w:rsidR="00E62558" w:rsidRPr="00D245AD" w:rsidRDefault="00E62558" w:rsidP="001940D7">
            <w:pPr>
              <w:pStyle w:val="Normal-pool-Table"/>
              <w:rPr>
                <w:color w:val="808080" w:themeColor="background1" w:themeShade="80"/>
                <w:szCs w:val="18"/>
              </w:rPr>
            </w:pPr>
            <w:r w:rsidRPr="00D245AD">
              <w:rPr>
                <w:szCs w:val="18"/>
              </w:rPr>
              <w:t>Paul Atkins</w:t>
            </w:r>
          </w:p>
        </w:tc>
        <w:tc>
          <w:tcPr>
            <w:tcW w:w="2488" w:type="dxa"/>
            <w:hideMark/>
          </w:tcPr>
          <w:p w14:paraId="1DEF1C19" w14:textId="77777777" w:rsidR="00E62558" w:rsidRPr="00D245AD" w:rsidRDefault="00E62558" w:rsidP="001940D7">
            <w:pPr>
              <w:pStyle w:val="Normal-pool-Table"/>
              <w:rPr>
                <w:color w:val="000000" w:themeColor="text1"/>
                <w:szCs w:val="18"/>
              </w:rPr>
            </w:pPr>
            <w:r w:rsidRPr="00D245AD">
              <w:rPr>
                <w:color w:val="000000" w:themeColor="text1"/>
                <w:szCs w:val="18"/>
              </w:rPr>
              <w:t>MCTOC member</w:t>
            </w:r>
          </w:p>
        </w:tc>
        <w:tc>
          <w:tcPr>
            <w:tcW w:w="2795" w:type="dxa"/>
            <w:hideMark/>
          </w:tcPr>
          <w:p w14:paraId="7915A765" w14:textId="77777777" w:rsidR="00E62558" w:rsidRPr="00D245AD" w:rsidRDefault="00E62558" w:rsidP="001940D7">
            <w:pPr>
              <w:pStyle w:val="Normal-pool-Table"/>
              <w:rPr>
                <w:color w:val="808080" w:themeColor="background1" w:themeShade="80"/>
                <w:szCs w:val="18"/>
              </w:rPr>
            </w:pPr>
            <w:r w:rsidRPr="00D245AD">
              <w:rPr>
                <w:color w:val="000000" w:themeColor="text1"/>
                <w:szCs w:val="18"/>
              </w:rPr>
              <w:t>United States of America</w:t>
            </w:r>
          </w:p>
        </w:tc>
      </w:tr>
      <w:tr w:rsidR="00E62558" w:rsidRPr="00D245AD" w14:paraId="4A259A5A" w14:textId="77777777" w:rsidTr="001940D7">
        <w:trPr>
          <w:trHeight w:val="251"/>
          <w:jc w:val="right"/>
        </w:trPr>
        <w:tc>
          <w:tcPr>
            <w:tcW w:w="3024" w:type="dxa"/>
          </w:tcPr>
          <w:p w14:paraId="4A036D40" w14:textId="77777777" w:rsidR="00E62558" w:rsidRPr="00D245AD" w:rsidRDefault="00E62558" w:rsidP="001940D7">
            <w:pPr>
              <w:pStyle w:val="Normal-pool-Table"/>
              <w:rPr>
                <w:szCs w:val="18"/>
              </w:rPr>
            </w:pPr>
            <w:r w:rsidRPr="00D245AD">
              <w:rPr>
                <w:szCs w:val="18"/>
              </w:rPr>
              <w:t>Nick Campbell</w:t>
            </w:r>
          </w:p>
        </w:tc>
        <w:tc>
          <w:tcPr>
            <w:tcW w:w="2488" w:type="dxa"/>
          </w:tcPr>
          <w:p w14:paraId="00830453" w14:textId="77777777" w:rsidR="00E62558" w:rsidRPr="00D245AD" w:rsidRDefault="00E62558" w:rsidP="001940D7">
            <w:pPr>
              <w:pStyle w:val="Normal-pool-Table"/>
              <w:rPr>
                <w:color w:val="808080" w:themeColor="background1" w:themeShade="80"/>
                <w:szCs w:val="18"/>
              </w:rPr>
            </w:pPr>
            <w:r w:rsidRPr="00D245AD">
              <w:rPr>
                <w:color w:val="000000" w:themeColor="text1"/>
                <w:szCs w:val="18"/>
              </w:rPr>
              <w:t>MCTOC member</w:t>
            </w:r>
          </w:p>
        </w:tc>
        <w:tc>
          <w:tcPr>
            <w:tcW w:w="2795" w:type="dxa"/>
          </w:tcPr>
          <w:p w14:paraId="3D498FFC" w14:textId="77777777" w:rsidR="00E62558" w:rsidRPr="00D245AD" w:rsidRDefault="00E62558" w:rsidP="001940D7">
            <w:pPr>
              <w:pStyle w:val="Normal-pool-Table"/>
              <w:rPr>
                <w:szCs w:val="18"/>
              </w:rPr>
            </w:pPr>
            <w:r w:rsidRPr="00D245AD">
              <w:rPr>
                <w:szCs w:val="18"/>
              </w:rPr>
              <w:t>United Kingdom of Great Britain and Northern Ireland</w:t>
            </w:r>
          </w:p>
        </w:tc>
      </w:tr>
      <w:tr w:rsidR="00E62558" w:rsidRPr="00D245AD" w14:paraId="3622D79F" w14:textId="77777777" w:rsidTr="001940D7">
        <w:trPr>
          <w:trHeight w:val="251"/>
          <w:jc w:val="right"/>
        </w:trPr>
        <w:tc>
          <w:tcPr>
            <w:tcW w:w="3024" w:type="dxa"/>
          </w:tcPr>
          <w:p w14:paraId="1F9F51E7" w14:textId="77777777" w:rsidR="00E62558" w:rsidRPr="00D245AD" w:rsidRDefault="00E62558" w:rsidP="001940D7">
            <w:pPr>
              <w:pStyle w:val="Normal-pool-Table"/>
              <w:rPr>
                <w:szCs w:val="18"/>
              </w:rPr>
            </w:pPr>
            <w:r w:rsidRPr="00D245AD">
              <w:rPr>
                <w:szCs w:val="18"/>
              </w:rPr>
              <w:t>Nee Sun (Robert) Choong Kwet Yive</w:t>
            </w:r>
          </w:p>
        </w:tc>
        <w:tc>
          <w:tcPr>
            <w:tcW w:w="2488" w:type="dxa"/>
          </w:tcPr>
          <w:p w14:paraId="3E15D147" w14:textId="77777777" w:rsidR="00E62558" w:rsidRPr="00D245AD" w:rsidRDefault="00E62558" w:rsidP="001940D7">
            <w:pPr>
              <w:pStyle w:val="Normal-pool-Table"/>
              <w:rPr>
                <w:color w:val="808080" w:themeColor="background1" w:themeShade="80"/>
                <w:szCs w:val="18"/>
              </w:rPr>
            </w:pPr>
            <w:r w:rsidRPr="00D245AD">
              <w:rPr>
                <w:color w:val="000000" w:themeColor="text1"/>
                <w:szCs w:val="18"/>
              </w:rPr>
              <w:t>MCTOC member</w:t>
            </w:r>
          </w:p>
        </w:tc>
        <w:tc>
          <w:tcPr>
            <w:tcW w:w="2795" w:type="dxa"/>
          </w:tcPr>
          <w:p w14:paraId="660A59C5" w14:textId="77777777" w:rsidR="00E62558" w:rsidRPr="00D245AD" w:rsidRDefault="00E62558" w:rsidP="001940D7">
            <w:pPr>
              <w:pStyle w:val="Normal-pool-Table"/>
              <w:rPr>
                <w:szCs w:val="18"/>
              </w:rPr>
            </w:pPr>
            <w:r w:rsidRPr="00D245AD">
              <w:rPr>
                <w:szCs w:val="18"/>
              </w:rPr>
              <w:t>Mauritius</w:t>
            </w:r>
          </w:p>
        </w:tc>
      </w:tr>
      <w:tr w:rsidR="00E62558" w:rsidRPr="00D245AD" w14:paraId="758DB6E6" w14:textId="77777777" w:rsidTr="001940D7">
        <w:trPr>
          <w:trHeight w:val="251"/>
          <w:jc w:val="right"/>
        </w:trPr>
        <w:tc>
          <w:tcPr>
            <w:tcW w:w="3024" w:type="dxa"/>
          </w:tcPr>
          <w:p w14:paraId="71B6CEAB" w14:textId="77777777" w:rsidR="00E62558" w:rsidRPr="00D245AD" w:rsidRDefault="00E62558" w:rsidP="001940D7">
            <w:pPr>
              <w:pStyle w:val="Normal-pool-Table"/>
              <w:rPr>
                <w:szCs w:val="18"/>
              </w:rPr>
            </w:pPr>
            <w:r w:rsidRPr="00D245AD">
              <w:rPr>
                <w:szCs w:val="18"/>
              </w:rPr>
              <w:t>Jianxin Hu</w:t>
            </w:r>
          </w:p>
        </w:tc>
        <w:tc>
          <w:tcPr>
            <w:tcW w:w="2488" w:type="dxa"/>
          </w:tcPr>
          <w:p w14:paraId="0D236325" w14:textId="77777777" w:rsidR="00E62558" w:rsidRPr="00D245AD" w:rsidRDefault="00E62558" w:rsidP="001940D7">
            <w:pPr>
              <w:pStyle w:val="Normal-pool-Table"/>
              <w:rPr>
                <w:color w:val="808080" w:themeColor="background1" w:themeShade="80"/>
                <w:szCs w:val="18"/>
              </w:rPr>
            </w:pPr>
            <w:r w:rsidRPr="00D245AD">
              <w:rPr>
                <w:color w:val="000000" w:themeColor="text1"/>
                <w:szCs w:val="18"/>
              </w:rPr>
              <w:t>MCTOC member</w:t>
            </w:r>
          </w:p>
        </w:tc>
        <w:tc>
          <w:tcPr>
            <w:tcW w:w="2795" w:type="dxa"/>
          </w:tcPr>
          <w:p w14:paraId="219F4102" w14:textId="77777777" w:rsidR="00E62558" w:rsidRPr="00D245AD" w:rsidRDefault="00E62558" w:rsidP="001940D7">
            <w:pPr>
              <w:pStyle w:val="Normal-pool-Table"/>
              <w:rPr>
                <w:szCs w:val="18"/>
              </w:rPr>
            </w:pPr>
            <w:r w:rsidRPr="00D245AD">
              <w:rPr>
                <w:szCs w:val="18"/>
              </w:rPr>
              <w:t>China</w:t>
            </w:r>
          </w:p>
        </w:tc>
      </w:tr>
      <w:tr w:rsidR="00E62558" w:rsidRPr="00D245AD" w14:paraId="03788B9C" w14:textId="77777777" w:rsidTr="001940D7">
        <w:trPr>
          <w:trHeight w:val="251"/>
          <w:jc w:val="right"/>
        </w:trPr>
        <w:tc>
          <w:tcPr>
            <w:tcW w:w="3024" w:type="dxa"/>
          </w:tcPr>
          <w:p w14:paraId="58AE9934" w14:textId="77777777" w:rsidR="00E62558" w:rsidRPr="00D245AD" w:rsidRDefault="00E62558" w:rsidP="001940D7">
            <w:pPr>
              <w:pStyle w:val="Normal-pool-Table"/>
              <w:rPr>
                <w:szCs w:val="18"/>
              </w:rPr>
            </w:pPr>
            <w:r w:rsidRPr="00D245AD">
              <w:rPr>
                <w:szCs w:val="18"/>
              </w:rPr>
              <w:t>Javaid Khan</w:t>
            </w:r>
          </w:p>
        </w:tc>
        <w:tc>
          <w:tcPr>
            <w:tcW w:w="2488" w:type="dxa"/>
          </w:tcPr>
          <w:p w14:paraId="3D383F46" w14:textId="77777777" w:rsidR="00E62558" w:rsidRPr="00D245AD" w:rsidRDefault="00E62558" w:rsidP="001940D7">
            <w:pPr>
              <w:pStyle w:val="Normal-pool-Table"/>
              <w:rPr>
                <w:color w:val="808080" w:themeColor="background1" w:themeShade="80"/>
                <w:szCs w:val="18"/>
              </w:rPr>
            </w:pPr>
            <w:r w:rsidRPr="00D245AD">
              <w:rPr>
                <w:color w:val="000000" w:themeColor="text1"/>
                <w:szCs w:val="18"/>
              </w:rPr>
              <w:t>MCTOC member</w:t>
            </w:r>
          </w:p>
        </w:tc>
        <w:tc>
          <w:tcPr>
            <w:tcW w:w="2795" w:type="dxa"/>
          </w:tcPr>
          <w:p w14:paraId="31E04309" w14:textId="77777777" w:rsidR="00E62558" w:rsidRPr="00D245AD" w:rsidRDefault="00E62558" w:rsidP="001940D7">
            <w:pPr>
              <w:pStyle w:val="Normal-pool-Table"/>
              <w:rPr>
                <w:szCs w:val="18"/>
              </w:rPr>
            </w:pPr>
            <w:r w:rsidRPr="00D245AD">
              <w:rPr>
                <w:szCs w:val="18"/>
              </w:rPr>
              <w:t>Pakistan</w:t>
            </w:r>
          </w:p>
        </w:tc>
      </w:tr>
      <w:tr w:rsidR="003A60F9" w:rsidRPr="00D245AD" w14:paraId="6DB31557" w14:textId="77777777" w:rsidTr="001940D7">
        <w:trPr>
          <w:trHeight w:val="251"/>
          <w:jc w:val="right"/>
        </w:trPr>
        <w:tc>
          <w:tcPr>
            <w:tcW w:w="3024" w:type="dxa"/>
          </w:tcPr>
          <w:p w14:paraId="2B261CE1" w14:textId="442A70B2" w:rsidR="003A60F9" w:rsidRPr="00D245AD" w:rsidRDefault="00EA42F2" w:rsidP="001940D7">
            <w:pPr>
              <w:pStyle w:val="Normal-pool-Table"/>
              <w:rPr>
                <w:szCs w:val="18"/>
              </w:rPr>
            </w:pPr>
            <w:r>
              <w:rPr>
                <w:szCs w:val="18"/>
              </w:rPr>
              <w:t>Tim Noakes</w:t>
            </w:r>
          </w:p>
        </w:tc>
        <w:tc>
          <w:tcPr>
            <w:tcW w:w="2488" w:type="dxa"/>
          </w:tcPr>
          <w:p w14:paraId="702EAAFE" w14:textId="45254CBB" w:rsidR="003A60F9" w:rsidRPr="00D245AD" w:rsidRDefault="00EA42F2" w:rsidP="001940D7">
            <w:pPr>
              <w:pStyle w:val="Normal-pool-Table"/>
              <w:rPr>
                <w:color w:val="000000" w:themeColor="text1"/>
                <w:szCs w:val="18"/>
              </w:rPr>
            </w:pPr>
            <w:r>
              <w:rPr>
                <w:color w:val="000000" w:themeColor="text1"/>
                <w:szCs w:val="18"/>
              </w:rPr>
              <w:t>MCTOC member</w:t>
            </w:r>
          </w:p>
        </w:tc>
        <w:tc>
          <w:tcPr>
            <w:tcW w:w="2795" w:type="dxa"/>
          </w:tcPr>
          <w:p w14:paraId="4962C883" w14:textId="15D7CA97" w:rsidR="003A60F9" w:rsidRPr="00D245AD" w:rsidRDefault="00EA42F2" w:rsidP="001940D7">
            <w:pPr>
              <w:pStyle w:val="Normal-pool-Table"/>
              <w:rPr>
                <w:szCs w:val="18"/>
              </w:rPr>
            </w:pPr>
            <w:r w:rsidRPr="00EA42F2">
              <w:rPr>
                <w:szCs w:val="18"/>
              </w:rPr>
              <w:t>United Kingdom of Great Britain and Northern Ireland</w:t>
            </w:r>
          </w:p>
        </w:tc>
      </w:tr>
      <w:tr w:rsidR="00E62558" w:rsidRPr="00D245AD" w14:paraId="6B5F26EF" w14:textId="77777777" w:rsidTr="001940D7">
        <w:trPr>
          <w:trHeight w:val="251"/>
          <w:jc w:val="right"/>
        </w:trPr>
        <w:tc>
          <w:tcPr>
            <w:tcW w:w="3024" w:type="dxa"/>
          </w:tcPr>
          <w:p w14:paraId="4290A342" w14:textId="77777777" w:rsidR="00E62558" w:rsidRPr="00D245AD" w:rsidRDefault="00E62558" w:rsidP="001940D7">
            <w:pPr>
              <w:pStyle w:val="Normal-pool-Table"/>
              <w:rPr>
                <w:szCs w:val="18"/>
              </w:rPr>
            </w:pPr>
            <w:r w:rsidRPr="00D245AD">
              <w:rPr>
                <w:szCs w:val="18"/>
              </w:rPr>
              <w:t>John Pritchard</w:t>
            </w:r>
          </w:p>
        </w:tc>
        <w:tc>
          <w:tcPr>
            <w:tcW w:w="2488" w:type="dxa"/>
          </w:tcPr>
          <w:p w14:paraId="41D3EEAC" w14:textId="77777777" w:rsidR="00E62558" w:rsidRPr="00D245AD" w:rsidRDefault="00E62558" w:rsidP="001940D7">
            <w:pPr>
              <w:pStyle w:val="Normal-pool-Table"/>
              <w:rPr>
                <w:color w:val="808080" w:themeColor="background1" w:themeShade="80"/>
                <w:szCs w:val="18"/>
              </w:rPr>
            </w:pPr>
            <w:r w:rsidRPr="00D245AD">
              <w:rPr>
                <w:color w:val="000000" w:themeColor="text1"/>
                <w:szCs w:val="18"/>
              </w:rPr>
              <w:t>MCTOC member</w:t>
            </w:r>
          </w:p>
        </w:tc>
        <w:tc>
          <w:tcPr>
            <w:tcW w:w="2795" w:type="dxa"/>
          </w:tcPr>
          <w:p w14:paraId="7A781233" w14:textId="77777777" w:rsidR="00E62558" w:rsidRPr="00D245AD" w:rsidRDefault="00E62558" w:rsidP="001940D7">
            <w:pPr>
              <w:pStyle w:val="Normal-pool-Table"/>
              <w:rPr>
                <w:szCs w:val="18"/>
              </w:rPr>
            </w:pPr>
            <w:r w:rsidRPr="00D245AD">
              <w:rPr>
                <w:szCs w:val="18"/>
              </w:rPr>
              <w:t>United Kingdom of Great Britain and Northern Ireland</w:t>
            </w:r>
          </w:p>
        </w:tc>
      </w:tr>
      <w:tr w:rsidR="00E62558" w:rsidRPr="00D245AD" w14:paraId="11F1EE16" w14:textId="77777777" w:rsidTr="001940D7">
        <w:trPr>
          <w:trHeight w:val="251"/>
          <w:jc w:val="right"/>
        </w:trPr>
        <w:tc>
          <w:tcPr>
            <w:tcW w:w="3024" w:type="dxa"/>
          </w:tcPr>
          <w:p w14:paraId="3C659B21" w14:textId="77777777" w:rsidR="00E62558" w:rsidRPr="00D245AD" w:rsidRDefault="00E62558" w:rsidP="001940D7">
            <w:pPr>
              <w:pStyle w:val="Normal-pool-Table"/>
              <w:rPr>
                <w:szCs w:val="18"/>
              </w:rPr>
            </w:pPr>
            <w:r w:rsidRPr="00D245AD">
              <w:rPr>
                <w:szCs w:val="18"/>
              </w:rPr>
              <w:t>Rabbur Reza</w:t>
            </w:r>
          </w:p>
        </w:tc>
        <w:tc>
          <w:tcPr>
            <w:tcW w:w="2488" w:type="dxa"/>
          </w:tcPr>
          <w:p w14:paraId="20FD2804" w14:textId="77777777" w:rsidR="00E62558" w:rsidRPr="00D245AD" w:rsidRDefault="00E62558" w:rsidP="001940D7">
            <w:pPr>
              <w:pStyle w:val="Normal-pool-Table"/>
              <w:rPr>
                <w:color w:val="808080" w:themeColor="background1" w:themeShade="80"/>
                <w:szCs w:val="18"/>
              </w:rPr>
            </w:pPr>
            <w:r w:rsidRPr="00D245AD">
              <w:rPr>
                <w:color w:val="000000" w:themeColor="text1"/>
                <w:szCs w:val="18"/>
              </w:rPr>
              <w:t>MCTOC member</w:t>
            </w:r>
          </w:p>
        </w:tc>
        <w:tc>
          <w:tcPr>
            <w:tcW w:w="2795" w:type="dxa"/>
          </w:tcPr>
          <w:p w14:paraId="2AF4F1ED" w14:textId="77777777" w:rsidR="00E62558" w:rsidRPr="00D245AD" w:rsidRDefault="00E62558" w:rsidP="001940D7">
            <w:pPr>
              <w:pStyle w:val="Normal-pool-Table"/>
              <w:rPr>
                <w:szCs w:val="18"/>
              </w:rPr>
            </w:pPr>
            <w:r w:rsidRPr="00D245AD">
              <w:rPr>
                <w:szCs w:val="18"/>
              </w:rPr>
              <w:t>Bangladesh</w:t>
            </w:r>
          </w:p>
        </w:tc>
      </w:tr>
      <w:tr w:rsidR="00E62558" w:rsidRPr="00D245AD" w14:paraId="08BF0223" w14:textId="77777777" w:rsidTr="001940D7">
        <w:trPr>
          <w:trHeight w:val="251"/>
          <w:jc w:val="right"/>
        </w:trPr>
        <w:tc>
          <w:tcPr>
            <w:tcW w:w="3024" w:type="dxa"/>
          </w:tcPr>
          <w:p w14:paraId="0947856E" w14:textId="77777777" w:rsidR="00E62558" w:rsidRPr="00D245AD" w:rsidRDefault="00E62558" w:rsidP="001940D7">
            <w:pPr>
              <w:pStyle w:val="Normal-pool-Table"/>
              <w:rPr>
                <w:szCs w:val="18"/>
              </w:rPr>
            </w:pPr>
            <w:r w:rsidRPr="00D245AD">
              <w:rPr>
                <w:szCs w:val="18"/>
              </w:rPr>
              <w:t>Kristine Whorlow</w:t>
            </w:r>
          </w:p>
        </w:tc>
        <w:tc>
          <w:tcPr>
            <w:tcW w:w="2488" w:type="dxa"/>
          </w:tcPr>
          <w:p w14:paraId="17D692B9" w14:textId="77777777" w:rsidR="00E62558" w:rsidRPr="00D245AD" w:rsidRDefault="00E62558" w:rsidP="001940D7">
            <w:pPr>
              <w:pStyle w:val="Normal-pool-Table"/>
              <w:rPr>
                <w:color w:val="808080" w:themeColor="background1" w:themeShade="80"/>
                <w:szCs w:val="18"/>
              </w:rPr>
            </w:pPr>
            <w:r w:rsidRPr="00D245AD">
              <w:rPr>
                <w:color w:val="000000" w:themeColor="text1"/>
                <w:szCs w:val="18"/>
              </w:rPr>
              <w:t>MCTOC member</w:t>
            </w:r>
          </w:p>
        </w:tc>
        <w:tc>
          <w:tcPr>
            <w:tcW w:w="2795" w:type="dxa"/>
          </w:tcPr>
          <w:p w14:paraId="1DC77ACE" w14:textId="77777777" w:rsidR="00E62558" w:rsidRPr="00D245AD" w:rsidRDefault="00E62558" w:rsidP="001940D7">
            <w:pPr>
              <w:pStyle w:val="Normal-pool-Table"/>
              <w:rPr>
                <w:szCs w:val="18"/>
              </w:rPr>
            </w:pPr>
            <w:r w:rsidRPr="00D245AD">
              <w:rPr>
                <w:szCs w:val="18"/>
              </w:rPr>
              <w:t>Australia</w:t>
            </w:r>
          </w:p>
        </w:tc>
      </w:tr>
      <w:tr w:rsidR="00E62558" w:rsidRPr="00D245AD" w14:paraId="1217B906" w14:textId="77777777" w:rsidTr="001940D7">
        <w:trPr>
          <w:trHeight w:val="251"/>
          <w:jc w:val="right"/>
        </w:trPr>
        <w:tc>
          <w:tcPr>
            <w:tcW w:w="3024" w:type="dxa"/>
          </w:tcPr>
          <w:p w14:paraId="22C1AF44" w14:textId="77777777" w:rsidR="00E62558" w:rsidRPr="00D245AD" w:rsidRDefault="00E62558" w:rsidP="001940D7">
            <w:pPr>
              <w:pStyle w:val="Normal-pool-Table"/>
              <w:rPr>
                <w:szCs w:val="18"/>
              </w:rPr>
            </w:pPr>
            <w:r w:rsidRPr="00D245AD">
              <w:rPr>
                <w:szCs w:val="18"/>
              </w:rPr>
              <w:t>Lifei Zhang</w:t>
            </w:r>
          </w:p>
        </w:tc>
        <w:tc>
          <w:tcPr>
            <w:tcW w:w="2488" w:type="dxa"/>
          </w:tcPr>
          <w:p w14:paraId="7B6D802B" w14:textId="77777777" w:rsidR="00E62558" w:rsidRPr="00D245AD" w:rsidRDefault="00E62558" w:rsidP="001940D7">
            <w:pPr>
              <w:pStyle w:val="Normal-pool-Table"/>
              <w:rPr>
                <w:color w:val="808080" w:themeColor="background1" w:themeShade="80"/>
                <w:szCs w:val="18"/>
              </w:rPr>
            </w:pPr>
            <w:r w:rsidRPr="00D245AD">
              <w:rPr>
                <w:color w:val="000000" w:themeColor="text1"/>
                <w:szCs w:val="18"/>
              </w:rPr>
              <w:t>MCTOC member</w:t>
            </w:r>
          </w:p>
        </w:tc>
        <w:tc>
          <w:tcPr>
            <w:tcW w:w="2795" w:type="dxa"/>
          </w:tcPr>
          <w:p w14:paraId="32DAE1DD" w14:textId="77777777" w:rsidR="00E62558" w:rsidRPr="00D245AD" w:rsidRDefault="00E62558" w:rsidP="001940D7">
            <w:pPr>
              <w:pStyle w:val="Normal-pool-Table"/>
              <w:rPr>
                <w:szCs w:val="18"/>
              </w:rPr>
            </w:pPr>
            <w:r w:rsidRPr="00D245AD">
              <w:rPr>
                <w:szCs w:val="18"/>
              </w:rPr>
              <w:t>China</w:t>
            </w:r>
          </w:p>
        </w:tc>
      </w:tr>
      <w:tr w:rsidR="00E62558" w:rsidRPr="00D245AD" w14:paraId="7C3ACD02" w14:textId="77777777" w:rsidTr="001940D7">
        <w:trPr>
          <w:trHeight w:val="197"/>
          <w:jc w:val="right"/>
        </w:trPr>
        <w:tc>
          <w:tcPr>
            <w:tcW w:w="3024" w:type="dxa"/>
            <w:tcBorders>
              <w:top w:val="nil"/>
              <w:left w:val="nil"/>
              <w:right w:val="nil"/>
            </w:tcBorders>
          </w:tcPr>
          <w:p w14:paraId="3321D793" w14:textId="77777777" w:rsidR="00E62558" w:rsidRPr="00D245AD" w:rsidRDefault="00E62558" w:rsidP="001940D7">
            <w:pPr>
              <w:pStyle w:val="Normal-pool-Table"/>
              <w:rPr>
                <w:color w:val="808080" w:themeColor="background1" w:themeShade="80"/>
                <w:szCs w:val="18"/>
              </w:rPr>
            </w:pPr>
          </w:p>
        </w:tc>
        <w:tc>
          <w:tcPr>
            <w:tcW w:w="2488" w:type="dxa"/>
            <w:tcBorders>
              <w:top w:val="nil"/>
              <w:left w:val="nil"/>
              <w:right w:val="nil"/>
            </w:tcBorders>
          </w:tcPr>
          <w:p w14:paraId="3457E550" w14:textId="77777777" w:rsidR="00E62558" w:rsidRPr="00D245AD" w:rsidRDefault="00E62558" w:rsidP="001940D7">
            <w:pPr>
              <w:pStyle w:val="Normal-pool-Table"/>
              <w:rPr>
                <w:color w:val="808080" w:themeColor="background1" w:themeShade="80"/>
                <w:szCs w:val="18"/>
              </w:rPr>
            </w:pPr>
          </w:p>
        </w:tc>
        <w:tc>
          <w:tcPr>
            <w:tcW w:w="2795" w:type="dxa"/>
            <w:tcBorders>
              <w:top w:val="nil"/>
              <w:left w:val="nil"/>
              <w:right w:val="nil"/>
            </w:tcBorders>
          </w:tcPr>
          <w:p w14:paraId="2B050FC5" w14:textId="77777777" w:rsidR="00E62558" w:rsidRPr="00D245AD" w:rsidRDefault="00E62558" w:rsidP="001940D7">
            <w:pPr>
              <w:pStyle w:val="Normal-pool-Table"/>
              <w:rPr>
                <w:color w:val="808080" w:themeColor="background1" w:themeShade="80"/>
                <w:szCs w:val="18"/>
              </w:rPr>
            </w:pPr>
          </w:p>
        </w:tc>
      </w:tr>
      <w:tr w:rsidR="00E62558" w:rsidRPr="00D245AD" w14:paraId="77550EAF" w14:textId="77777777" w:rsidTr="001940D7">
        <w:trPr>
          <w:trHeight w:val="256"/>
          <w:jc w:val="right"/>
        </w:trPr>
        <w:tc>
          <w:tcPr>
            <w:tcW w:w="3024" w:type="dxa"/>
            <w:vAlign w:val="center"/>
          </w:tcPr>
          <w:p w14:paraId="76D7BAC3" w14:textId="77777777" w:rsidR="00E62558" w:rsidRPr="00D245AD" w:rsidRDefault="00E62558" w:rsidP="001940D7">
            <w:pPr>
              <w:pStyle w:val="Normal-pool-Table"/>
              <w:rPr>
                <w:szCs w:val="18"/>
              </w:rPr>
            </w:pPr>
            <w:r w:rsidRPr="00D245AD">
              <w:rPr>
                <w:szCs w:val="18"/>
              </w:rPr>
              <w:t>Yosr Allouche</w:t>
            </w:r>
          </w:p>
        </w:tc>
        <w:tc>
          <w:tcPr>
            <w:tcW w:w="2488" w:type="dxa"/>
            <w:tcBorders>
              <w:top w:val="nil"/>
              <w:left w:val="nil"/>
              <w:right w:val="nil"/>
            </w:tcBorders>
          </w:tcPr>
          <w:p w14:paraId="4D24C08D" w14:textId="77777777" w:rsidR="00E62558" w:rsidRPr="00D245AD" w:rsidRDefault="00E62558" w:rsidP="001940D7">
            <w:pPr>
              <w:pStyle w:val="Normal-pool-Table"/>
              <w:rPr>
                <w:szCs w:val="18"/>
              </w:rPr>
            </w:pPr>
            <w:r w:rsidRPr="00D245AD">
              <w:rPr>
                <w:szCs w:val="18"/>
              </w:rPr>
              <w:t>RTOC member</w:t>
            </w:r>
          </w:p>
        </w:tc>
        <w:tc>
          <w:tcPr>
            <w:tcW w:w="2795" w:type="dxa"/>
            <w:vAlign w:val="center"/>
          </w:tcPr>
          <w:p w14:paraId="15FBC8DA" w14:textId="77777777" w:rsidR="00E62558" w:rsidRPr="00D245AD" w:rsidRDefault="00E62558" w:rsidP="001940D7">
            <w:pPr>
              <w:pStyle w:val="Normal-pool-Table"/>
              <w:rPr>
                <w:szCs w:val="18"/>
              </w:rPr>
            </w:pPr>
            <w:r w:rsidRPr="00D245AD">
              <w:rPr>
                <w:szCs w:val="18"/>
              </w:rPr>
              <w:t>Tunisia</w:t>
            </w:r>
          </w:p>
        </w:tc>
      </w:tr>
      <w:tr w:rsidR="00E62558" w:rsidRPr="00D245AD" w14:paraId="416E637E" w14:textId="77777777" w:rsidTr="001940D7">
        <w:trPr>
          <w:trHeight w:val="256"/>
          <w:jc w:val="right"/>
        </w:trPr>
        <w:tc>
          <w:tcPr>
            <w:tcW w:w="3024" w:type="dxa"/>
            <w:vAlign w:val="center"/>
          </w:tcPr>
          <w:p w14:paraId="15215852" w14:textId="77777777" w:rsidR="00E62558" w:rsidRPr="00D245AD" w:rsidRDefault="00E62558" w:rsidP="001940D7">
            <w:pPr>
              <w:pStyle w:val="Normal-pool-Table"/>
              <w:rPr>
                <w:color w:val="808080" w:themeColor="background1" w:themeShade="80"/>
                <w:szCs w:val="18"/>
              </w:rPr>
            </w:pPr>
            <w:r w:rsidRPr="00D245AD">
              <w:rPr>
                <w:szCs w:val="18"/>
              </w:rPr>
              <w:t>Jitendra Bhambure</w:t>
            </w:r>
          </w:p>
        </w:tc>
        <w:tc>
          <w:tcPr>
            <w:tcW w:w="2488" w:type="dxa"/>
            <w:tcBorders>
              <w:top w:val="nil"/>
              <w:left w:val="nil"/>
              <w:right w:val="nil"/>
            </w:tcBorders>
          </w:tcPr>
          <w:p w14:paraId="3B46084C"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08B92288" w14:textId="77777777" w:rsidR="00E62558" w:rsidRPr="00D245AD" w:rsidRDefault="00E62558" w:rsidP="001940D7">
            <w:pPr>
              <w:pStyle w:val="Normal-pool-Table"/>
              <w:rPr>
                <w:color w:val="808080" w:themeColor="background1" w:themeShade="80"/>
                <w:szCs w:val="18"/>
              </w:rPr>
            </w:pPr>
            <w:r w:rsidRPr="00D245AD">
              <w:rPr>
                <w:szCs w:val="18"/>
              </w:rPr>
              <w:t>India</w:t>
            </w:r>
          </w:p>
        </w:tc>
      </w:tr>
      <w:tr w:rsidR="00E62558" w:rsidRPr="00D245AD" w14:paraId="07D9E31F" w14:textId="77777777" w:rsidTr="001940D7">
        <w:trPr>
          <w:trHeight w:val="197"/>
          <w:jc w:val="right"/>
        </w:trPr>
        <w:tc>
          <w:tcPr>
            <w:tcW w:w="3024" w:type="dxa"/>
            <w:vAlign w:val="center"/>
          </w:tcPr>
          <w:p w14:paraId="42EBB96E" w14:textId="77777777" w:rsidR="00E62558" w:rsidRPr="00D245AD" w:rsidRDefault="00E62558" w:rsidP="001940D7">
            <w:pPr>
              <w:pStyle w:val="Normal-pool-Table"/>
              <w:rPr>
                <w:color w:val="808080" w:themeColor="background1" w:themeShade="80"/>
                <w:szCs w:val="18"/>
              </w:rPr>
            </w:pPr>
            <w:r w:rsidRPr="00D245AD">
              <w:rPr>
                <w:szCs w:val="18"/>
              </w:rPr>
              <w:t>Maria C. Britto Bacellar</w:t>
            </w:r>
          </w:p>
        </w:tc>
        <w:tc>
          <w:tcPr>
            <w:tcW w:w="2488" w:type="dxa"/>
            <w:tcBorders>
              <w:top w:val="nil"/>
              <w:left w:val="nil"/>
              <w:right w:val="nil"/>
            </w:tcBorders>
          </w:tcPr>
          <w:p w14:paraId="683596F0"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6AEC5731" w14:textId="77777777" w:rsidR="00E62558" w:rsidRPr="00D245AD" w:rsidRDefault="00E62558" w:rsidP="001940D7">
            <w:pPr>
              <w:pStyle w:val="Normal-pool-Table"/>
              <w:rPr>
                <w:color w:val="808080" w:themeColor="background1" w:themeShade="80"/>
                <w:szCs w:val="18"/>
              </w:rPr>
            </w:pPr>
            <w:r w:rsidRPr="00D245AD">
              <w:rPr>
                <w:szCs w:val="18"/>
              </w:rPr>
              <w:t>Brazil</w:t>
            </w:r>
          </w:p>
        </w:tc>
      </w:tr>
      <w:tr w:rsidR="00E62558" w:rsidRPr="00D245AD" w14:paraId="38C30F7E" w14:textId="77777777" w:rsidTr="001940D7">
        <w:trPr>
          <w:trHeight w:val="197"/>
          <w:jc w:val="right"/>
        </w:trPr>
        <w:tc>
          <w:tcPr>
            <w:tcW w:w="3024" w:type="dxa"/>
            <w:vAlign w:val="center"/>
          </w:tcPr>
          <w:p w14:paraId="4CEADA87" w14:textId="77777777" w:rsidR="00E62558" w:rsidRPr="00D245AD" w:rsidRDefault="00E62558" w:rsidP="001940D7">
            <w:pPr>
              <w:pStyle w:val="Normal-pool-Table"/>
              <w:rPr>
                <w:color w:val="808080" w:themeColor="background1" w:themeShade="80"/>
                <w:szCs w:val="18"/>
              </w:rPr>
            </w:pPr>
            <w:r w:rsidRPr="00D245AD">
              <w:rPr>
                <w:szCs w:val="18"/>
              </w:rPr>
              <w:lastRenderedPageBreak/>
              <w:t>Feng Cao</w:t>
            </w:r>
          </w:p>
        </w:tc>
        <w:tc>
          <w:tcPr>
            <w:tcW w:w="2488" w:type="dxa"/>
            <w:tcBorders>
              <w:top w:val="nil"/>
              <w:left w:val="nil"/>
              <w:right w:val="nil"/>
            </w:tcBorders>
          </w:tcPr>
          <w:p w14:paraId="68CE44B5"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4C2EC186" w14:textId="77777777" w:rsidR="00E62558" w:rsidRPr="00D245AD" w:rsidRDefault="00E62558" w:rsidP="001940D7">
            <w:pPr>
              <w:pStyle w:val="Normal-pool-Table"/>
              <w:rPr>
                <w:color w:val="808080" w:themeColor="background1" w:themeShade="80"/>
                <w:szCs w:val="18"/>
              </w:rPr>
            </w:pPr>
            <w:r w:rsidRPr="00D245AD">
              <w:rPr>
                <w:szCs w:val="18"/>
              </w:rPr>
              <w:t>China</w:t>
            </w:r>
          </w:p>
        </w:tc>
      </w:tr>
      <w:tr w:rsidR="00E62558" w:rsidRPr="00D245AD" w14:paraId="7B9FCFE9" w14:textId="77777777" w:rsidTr="001940D7">
        <w:trPr>
          <w:trHeight w:val="197"/>
          <w:jc w:val="right"/>
        </w:trPr>
        <w:tc>
          <w:tcPr>
            <w:tcW w:w="3024" w:type="dxa"/>
            <w:vAlign w:val="center"/>
          </w:tcPr>
          <w:p w14:paraId="2E361823" w14:textId="77777777" w:rsidR="00E62558" w:rsidRPr="00D245AD" w:rsidRDefault="00E62558" w:rsidP="001940D7">
            <w:pPr>
              <w:pStyle w:val="Normal-pool-Table"/>
              <w:rPr>
                <w:color w:val="808080" w:themeColor="background1" w:themeShade="80"/>
                <w:szCs w:val="18"/>
              </w:rPr>
            </w:pPr>
            <w:r w:rsidRPr="00D245AD">
              <w:rPr>
                <w:szCs w:val="18"/>
              </w:rPr>
              <w:t>Ana Maria Carreño</w:t>
            </w:r>
          </w:p>
        </w:tc>
        <w:tc>
          <w:tcPr>
            <w:tcW w:w="2488" w:type="dxa"/>
            <w:tcBorders>
              <w:top w:val="nil"/>
              <w:left w:val="nil"/>
              <w:right w:val="nil"/>
            </w:tcBorders>
          </w:tcPr>
          <w:p w14:paraId="6C48B581"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3C67F7F2" w14:textId="77777777" w:rsidR="00E62558" w:rsidRPr="00D245AD" w:rsidRDefault="00E62558" w:rsidP="001940D7">
            <w:pPr>
              <w:pStyle w:val="Normal-pool-Table"/>
              <w:rPr>
                <w:color w:val="808080" w:themeColor="background1" w:themeShade="80"/>
                <w:szCs w:val="18"/>
              </w:rPr>
            </w:pPr>
            <w:r w:rsidRPr="00D245AD">
              <w:rPr>
                <w:szCs w:val="18"/>
              </w:rPr>
              <w:t>Colombia</w:t>
            </w:r>
          </w:p>
        </w:tc>
      </w:tr>
      <w:tr w:rsidR="00E62558" w:rsidRPr="00D245AD" w14:paraId="6086A5B9" w14:textId="77777777" w:rsidTr="001940D7">
        <w:trPr>
          <w:trHeight w:val="197"/>
          <w:jc w:val="right"/>
        </w:trPr>
        <w:tc>
          <w:tcPr>
            <w:tcW w:w="3024" w:type="dxa"/>
            <w:vAlign w:val="center"/>
          </w:tcPr>
          <w:p w14:paraId="3CF8050C" w14:textId="77777777" w:rsidR="00E62558" w:rsidRPr="00D245AD" w:rsidRDefault="00E62558" w:rsidP="001940D7">
            <w:pPr>
              <w:pStyle w:val="Normal-pool-Table"/>
              <w:rPr>
                <w:color w:val="808080" w:themeColor="background1" w:themeShade="80"/>
                <w:szCs w:val="18"/>
              </w:rPr>
            </w:pPr>
            <w:r w:rsidRPr="00D245AD">
              <w:rPr>
                <w:szCs w:val="18"/>
              </w:rPr>
              <w:t>Radim Čermák</w:t>
            </w:r>
          </w:p>
        </w:tc>
        <w:tc>
          <w:tcPr>
            <w:tcW w:w="2488" w:type="dxa"/>
            <w:tcBorders>
              <w:top w:val="nil"/>
              <w:left w:val="nil"/>
              <w:right w:val="nil"/>
            </w:tcBorders>
          </w:tcPr>
          <w:p w14:paraId="11E66A50"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4F894771" w14:textId="77777777" w:rsidR="00E62558" w:rsidRPr="00D245AD" w:rsidRDefault="00E62558" w:rsidP="001940D7">
            <w:pPr>
              <w:pStyle w:val="Normal-pool-Table"/>
              <w:rPr>
                <w:color w:val="808080" w:themeColor="background1" w:themeShade="80"/>
                <w:szCs w:val="18"/>
              </w:rPr>
            </w:pPr>
            <w:r w:rsidRPr="00D245AD">
              <w:rPr>
                <w:szCs w:val="18"/>
              </w:rPr>
              <w:t>Czechia</w:t>
            </w:r>
          </w:p>
        </w:tc>
      </w:tr>
      <w:tr w:rsidR="00E62558" w:rsidRPr="00D245AD" w14:paraId="0BBC01AA" w14:textId="77777777" w:rsidTr="001940D7">
        <w:trPr>
          <w:trHeight w:val="197"/>
          <w:jc w:val="right"/>
        </w:trPr>
        <w:tc>
          <w:tcPr>
            <w:tcW w:w="3024" w:type="dxa"/>
            <w:vAlign w:val="center"/>
          </w:tcPr>
          <w:p w14:paraId="289084B9" w14:textId="77777777" w:rsidR="00E62558" w:rsidRPr="00D245AD" w:rsidRDefault="00E62558" w:rsidP="001940D7">
            <w:pPr>
              <w:pStyle w:val="Normal-pool-Table"/>
              <w:rPr>
                <w:color w:val="808080" w:themeColor="background1" w:themeShade="80"/>
                <w:szCs w:val="18"/>
              </w:rPr>
            </w:pPr>
            <w:r w:rsidRPr="00D245AD">
              <w:rPr>
                <w:szCs w:val="18"/>
              </w:rPr>
              <w:t>Yu Chen</w:t>
            </w:r>
          </w:p>
        </w:tc>
        <w:tc>
          <w:tcPr>
            <w:tcW w:w="2488" w:type="dxa"/>
            <w:tcBorders>
              <w:top w:val="nil"/>
              <w:left w:val="nil"/>
              <w:right w:val="nil"/>
            </w:tcBorders>
          </w:tcPr>
          <w:p w14:paraId="4B4070DE"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0236CF51" w14:textId="77777777" w:rsidR="00E62558" w:rsidRPr="00D245AD" w:rsidRDefault="00E62558" w:rsidP="001940D7">
            <w:pPr>
              <w:pStyle w:val="Normal-pool-Table"/>
              <w:rPr>
                <w:color w:val="808080" w:themeColor="background1" w:themeShade="80"/>
                <w:szCs w:val="18"/>
              </w:rPr>
            </w:pPr>
            <w:r w:rsidRPr="00D245AD">
              <w:rPr>
                <w:color w:val="000000" w:themeColor="text1"/>
                <w:szCs w:val="18"/>
              </w:rPr>
              <w:t>United States of America</w:t>
            </w:r>
          </w:p>
        </w:tc>
      </w:tr>
      <w:tr w:rsidR="00E62558" w:rsidRPr="00D245AD" w14:paraId="0CBEE5F3" w14:textId="77777777" w:rsidTr="001940D7">
        <w:trPr>
          <w:trHeight w:val="197"/>
          <w:jc w:val="right"/>
        </w:trPr>
        <w:tc>
          <w:tcPr>
            <w:tcW w:w="3024" w:type="dxa"/>
            <w:vAlign w:val="center"/>
          </w:tcPr>
          <w:p w14:paraId="469882D1" w14:textId="77777777" w:rsidR="00E62558" w:rsidRPr="00D245AD" w:rsidRDefault="00E62558" w:rsidP="001940D7">
            <w:pPr>
              <w:pStyle w:val="Normal-pool-Table"/>
              <w:rPr>
                <w:color w:val="808080" w:themeColor="background1" w:themeShade="80"/>
                <w:szCs w:val="18"/>
              </w:rPr>
            </w:pPr>
            <w:r w:rsidRPr="00D245AD">
              <w:rPr>
                <w:szCs w:val="18"/>
              </w:rPr>
              <w:t>Daniel Colbourne</w:t>
            </w:r>
          </w:p>
        </w:tc>
        <w:tc>
          <w:tcPr>
            <w:tcW w:w="2488" w:type="dxa"/>
            <w:tcBorders>
              <w:top w:val="nil"/>
              <w:left w:val="nil"/>
              <w:right w:val="nil"/>
            </w:tcBorders>
          </w:tcPr>
          <w:p w14:paraId="63DF7544"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0EA28B19" w14:textId="77777777" w:rsidR="00E62558" w:rsidRPr="00D245AD" w:rsidRDefault="00E62558" w:rsidP="001940D7">
            <w:pPr>
              <w:pStyle w:val="Normal-pool-Table"/>
              <w:rPr>
                <w:color w:val="808080" w:themeColor="background1" w:themeShade="80"/>
                <w:szCs w:val="18"/>
              </w:rPr>
            </w:pPr>
            <w:r w:rsidRPr="00D245AD">
              <w:rPr>
                <w:szCs w:val="18"/>
              </w:rPr>
              <w:t>United Kingdom of Great Britain and Northern Ireland</w:t>
            </w:r>
          </w:p>
        </w:tc>
      </w:tr>
      <w:tr w:rsidR="00E62558" w:rsidRPr="00D245AD" w14:paraId="3965A740" w14:textId="77777777" w:rsidTr="001940D7">
        <w:trPr>
          <w:trHeight w:val="197"/>
          <w:jc w:val="right"/>
        </w:trPr>
        <w:tc>
          <w:tcPr>
            <w:tcW w:w="3024" w:type="dxa"/>
            <w:vAlign w:val="center"/>
          </w:tcPr>
          <w:p w14:paraId="128840AB" w14:textId="77777777" w:rsidR="00E62558" w:rsidRPr="00D245AD" w:rsidRDefault="00E62558" w:rsidP="001940D7">
            <w:pPr>
              <w:pStyle w:val="Normal-pool-Table"/>
              <w:rPr>
                <w:color w:val="808080" w:themeColor="background1" w:themeShade="80"/>
                <w:szCs w:val="18"/>
              </w:rPr>
            </w:pPr>
            <w:r w:rsidRPr="00D245AD">
              <w:rPr>
                <w:szCs w:val="18"/>
              </w:rPr>
              <w:t>Sukumar Devotta</w:t>
            </w:r>
          </w:p>
        </w:tc>
        <w:tc>
          <w:tcPr>
            <w:tcW w:w="2488" w:type="dxa"/>
            <w:tcBorders>
              <w:top w:val="nil"/>
              <w:left w:val="nil"/>
              <w:right w:val="nil"/>
            </w:tcBorders>
          </w:tcPr>
          <w:p w14:paraId="1025AC1A"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10481BF8" w14:textId="77777777" w:rsidR="00E62558" w:rsidRPr="00D245AD" w:rsidRDefault="00E62558" w:rsidP="001940D7">
            <w:pPr>
              <w:pStyle w:val="Normal-pool-Table"/>
              <w:rPr>
                <w:color w:val="808080" w:themeColor="background1" w:themeShade="80"/>
                <w:szCs w:val="18"/>
              </w:rPr>
            </w:pPr>
            <w:r w:rsidRPr="00D245AD">
              <w:rPr>
                <w:szCs w:val="18"/>
              </w:rPr>
              <w:t>India</w:t>
            </w:r>
          </w:p>
        </w:tc>
      </w:tr>
      <w:tr w:rsidR="00E62558" w:rsidRPr="00D245AD" w14:paraId="196934C6" w14:textId="77777777" w:rsidTr="001940D7">
        <w:trPr>
          <w:trHeight w:val="197"/>
          <w:jc w:val="right"/>
        </w:trPr>
        <w:tc>
          <w:tcPr>
            <w:tcW w:w="3024" w:type="dxa"/>
            <w:vAlign w:val="center"/>
          </w:tcPr>
          <w:p w14:paraId="0BCE17E6" w14:textId="77777777" w:rsidR="00E62558" w:rsidRPr="00D245AD" w:rsidRDefault="00E62558" w:rsidP="001940D7">
            <w:pPr>
              <w:pStyle w:val="Normal-pool-Table"/>
              <w:rPr>
                <w:color w:val="808080" w:themeColor="background1" w:themeShade="80"/>
                <w:szCs w:val="18"/>
              </w:rPr>
            </w:pPr>
            <w:r w:rsidRPr="00D245AD">
              <w:rPr>
                <w:szCs w:val="18"/>
              </w:rPr>
              <w:t>Hilde Dhont</w:t>
            </w:r>
          </w:p>
        </w:tc>
        <w:tc>
          <w:tcPr>
            <w:tcW w:w="2488" w:type="dxa"/>
            <w:tcBorders>
              <w:top w:val="nil"/>
              <w:left w:val="nil"/>
              <w:right w:val="nil"/>
            </w:tcBorders>
          </w:tcPr>
          <w:p w14:paraId="7C777744"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0E276C0F" w14:textId="77777777" w:rsidR="00E62558" w:rsidRPr="00D245AD" w:rsidRDefault="00E62558" w:rsidP="001940D7">
            <w:pPr>
              <w:pStyle w:val="Normal-pool-Table"/>
              <w:rPr>
                <w:color w:val="808080" w:themeColor="background1" w:themeShade="80"/>
                <w:szCs w:val="18"/>
              </w:rPr>
            </w:pPr>
            <w:r w:rsidRPr="00D245AD">
              <w:rPr>
                <w:szCs w:val="18"/>
              </w:rPr>
              <w:t>Belgium</w:t>
            </w:r>
          </w:p>
        </w:tc>
      </w:tr>
      <w:tr w:rsidR="00E62558" w:rsidRPr="00D245AD" w14:paraId="423977D7" w14:textId="77777777" w:rsidTr="001940D7">
        <w:trPr>
          <w:trHeight w:val="197"/>
          <w:jc w:val="right"/>
        </w:trPr>
        <w:tc>
          <w:tcPr>
            <w:tcW w:w="3024" w:type="dxa"/>
            <w:vAlign w:val="center"/>
          </w:tcPr>
          <w:p w14:paraId="741A41AE" w14:textId="77777777" w:rsidR="00E62558" w:rsidRPr="00D245AD" w:rsidRDefault="00E62558" w:rsidP="001940D7">
            <w:pPr>
              <w:pStyle w:val="Normal-pool-Table"/>
              <w:rPr>
                <w:color w:val="808080" w:themeColor="background1" w:themeShade="80"/>
                <w:szCs w:val="18"/>
              </w:rPr>
            </w:pPr>
            <w:r w:rsidRPr="00D245AD">
              <w:rPr>
                <w:szCs w:val="18"/>
              </w:rPr>
              <w:t>Gabrielle Dreyfus</w:t>
            </w:r>
          </w:p>
        </w:tc>
        <w:tc>
          <w:tcPr>
            <w:tcW w:w="2488" w:type="dxa"/>
            <w:tcBorders>
              <w:top w:val="nil"/>
              <w:left w:val="nil"/>
              <w:right w:val="nil"/>
            </w:tcBorders>
          </w:tcPr>
          <w:p w14:paraId="2E56A16E"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4C7BBE1F" w14:textId="77777777" w:rsidR="00E62558" w:rsidRPr="00D245AD" w:rsidRDefault="00E62558" w:rsidP="001940D7">
            <w:pPr>
              <w:pStyle w:val="Normal-pool-Table"/>
              <w:rPr>
                <w:color w:val="808080" w:themeColor="background1" w:themeShade="80"/>
                <w:szCs w:val="18"/>
              </w:rPr>
            </w:pPr>
            <w:r w:rsidRPr="00D245AD">
              <w:rPr>
                <w:color w:val="000000" w:themeColor="text1"/>
                <w:szCs w:val="18"/>
              </w:rPr>
              <w:t>United States of America</w:t>
            </w:r>
          </w:p>
        </w:tc>
      </w:tr>
      <w:tr w:rsidR="00E62558" w:rsidRPr="00D245AD" w14:paraId="60E2869C" w14:textId="77777777" w:rsidTr="001940D7">
        <w:trPr>
          <w:trHeight w:val="197"/>
          <w:jc w:val="right"/>
        </w:trPr>
        <w:tc>
          <w:tcPr>
            <w:tcW w:w="3024" w:type="dxa"/>
            <w:vAlign w:val="center"/>
          </w:tcPr>
          <w:p w14:paraId="31B73F02" w14:textId="77777777" w:rsidR="00E62558" w:rsidRPr="00D245AD" w:rsidRDefault="00E62558" w:rsidP="001940D7">
            <w:pPr>
              <w:pStyle w:val="Normal-pool-Table"/>
              <w:rPr>
                <w:color w:val="808080" w:themeColor="background1" w:themeShade="80"/>
                <w:szCs w:val="18"/>
              </w:rPr>
            </w:pPr>
            <w:r w:rsidRPr="00D245AD">
              <w:rPr>
                <w:szCs w:val="18"/>
              </w:rPr>
              <w:t>Bassam Elassaad</w:t>
            </w:r>
          </w:p>
        </w:tc>
        <w:tc>
          <w:tcPr>
            <w:tcW w:w="2488" w:type="dxa"/>
            <w:tcBorders>
              <w:top w:val="nil"/>
              <w:left w:val="nil"/>
              <w:right w:val="nil"/>
            </w:tcBorders>
          </w:tcPr>
          <w:p w14:paraId="5DF909A4"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35F3B138" w14:textId="77777777" w:rsidR="00E62558" w:rsidRPr="00D245AD" w:rsidRDefault="00E62558" w:rsidP="001940D7">
            <w:pPr>
              <w:pStyle w:val="Normal-pool-Table"/>
              <w:rPr>
                <w:color w:val="808080" w:themeColor="background1" w:themeShade="80"/>
                <w:szCs w:val="18"/>
              </w:rPr>
            </w:pPr>
            <w:r w:rsidRPr="00D245AD">
              <w:rPr>
                <w:szCs w:val="18"/>
              </w:rPr>
              <w:t>Lebanon</w:t>
            </w:r>
          </w:p>
        </w:tc>
      </w:tr>
      <w:tr w:rsidR="00E62558" w:rsidRPr="00D245AD" w14:paraId="30548790" w14:textId="77777777" w:rsidTr="001940D7">
        <w:trPr>
          <w:trHeight w:val="197"/>
          <w:jc w:val="right"/>
        </w:trPr>
        <w:tc>
          <w:tcPr>
            <w:tcW w:w="3024" w:type="dxa"/>
            <w:vAlign w:val="center"/>
          </w:tcPr>
          <w:p w14:paraId="6D5303A2" w14:textId="77777777" w:rsidR="00E62558" w:rsidRPr="00D245AD" w:rsidRDefault="00E62558" w:rsidP="001940D7">
            <w:pPr>
              <w:pStyle w:val="Normal-pool-Table"/>
              <w:rPr>
                <w:color w:val="808080" w:themeColor="background1" w:themeShade="80"/>
                <w:szCs w:val="18"/>
              </w:rPr>
            </w:pPr>
            <w:r w:rsidRPr="00D245AD">
              <w:rPr>
                <w:szCs w:val="18"/>
              </w:rPr>
              <w:t>Kylie Farrelley</w:t>
            </w:r>
          </w:p>
        </w:tc>
        <w:tc>
          <w:tcPr>
            <w:tcW w:w="2488" w:type="dxa"/>
            <w:tcBorders>
              <w:top w:val="nil"/>
              <w:left w:val="nil"/>
              <w:right w:val="nil"/>
            </w:tcBorders>
          </w:tcPr>
          <w:p w14:paraId="24BF4C73"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59E48F26" w14:textId="77777777" w:rsidR="00E62558" w:rsidRPr="00D245AD" w:rsidRDefault="00E62558" w:rsidP="001940D7">
            <w:pPr>
              <w:pStyle w:val="Normal-pool-Table"/>
              <w:rPr>
                <w:color w:val="808080" w:themeColor="background1" w:themeShade="80"/>
                <w:szCs w:val="18"/>
              </w:rPr>
            </w:pPr>
            <w:r w:rsidRPr="00D245AD">
              <w:rPr>
                <w:szCs w:val="18"/>
              </w:rPr>
              <w:t>Australia</w:t>
            </w:r>
          </w:p>
        </w:tc>
      </w:tr>
      <w:tr w:rsidR="00E62558" w:rsidRPr="00D245AD" w14:paraId="48283351" w14:textId="77777777" w:rsidTr="001940D7">
        <w:trPr>
          <w:trHeight w:val="197"/>
          <w:jc w:val="right"/>
        </w:trPr>
        <w:tc>
          <w:tcPr>
            <w:tcW w:w="3024" w:type="dxa"/>
            <w:vAlign w:val="center"/>
          </w:tcPr>
          <w:p w14:paraId="35E16239" w14:textId="77777777" w:rsidR="00E62558" w:rsidRPr="00D245AD" w:rsidRDefault="00E62558" w:rsidP="001940D7">
            <w:pPr>
              <w:pStyle w:val="Normal-pool-Table"/>
              <w:rPr>
                <w:color w:val="808080" w:themeColor="background1" w:themeShade="80"/>
                <w:szCs w:val="18"/>
              </w:rPr>
            </w:pPr>
            <w:r w:rsidRPr="00D245AD">
              <w:rPr>
                <w:szCs w:val="18"/>
              </w:rPr>
              <w:t>Qiang Gao</w:t>
            </w:r>
          </w:p>
        </w:tc>
        <w:tc>
          <w:tcPr>
            <w:tcW w:w="2488" w:type="dxa"/>
            <w:tcBorders>
              <w:top w:val="nil"/>
              <w:left w:val="nil"/>
              <w:right w:val="nil"/>
            </w:tcBorders>
          </w:tcPr>
          <w:p w14:paraId="2282066A"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713CE4F3" w14:textId="77777777" w:rsidR="00E62558" w:rsidRPr="00D245AD" w:rsidRDefault="00E62558" w:rsidP="001940D7">
            <w:pPr>
              <w:pStyle w:val="Normal-pool-Table"/>
              <w:rPr>
                <w:color w:val="808080" w:themeColor="background1" w:themeShade="80"/>
                <w:szCs w:val="18"/>
              </w:rPr>
            </w:pPr>
            <w:r w:rsidRPr="00D245AD">
              <w:rPr>
                <w:szCs w:val="18"/>
              </w:rPr>
              <w:t>China</w:t>
            </w:r>
          </w:p>
        </w:tc>
      </w:tr>
      <w:tr w:rsidR="00E62558" w:rsidRPr="00D245AD" w14:paraId="7A2E148A" w14:textId="77777777" w:rsidTr="001940D7">
        <w:trPr>
          <w:trHeight w:val="197"/>
          <w:jc w:val="right"/>
        </w:trPr>
        <w:tc>
          <w:tcPr>
            <w:tcW w:w="3024" w:type="dxa"/>
            <w:vAlign w:val="center"/>
          </w:tcPr>
          <w:p w14:paraId="494579C6" w14:textId="77777777" w:rsidR="00E62558" w:rsidRPr="00D245AD" w:rsidRDefault="00E62558" w:rsidP="001940D7">
            <w:pPr>
              <w:pStyle w:val="Normal-pool-Table"/>
              <w:rPr>
                <w:color w:val="808080" w:themeColor="background1" w:themeShade="80"/>
                <w:szCs w:val="18"/>
              </w:rPr>
            </w:pPr>
            <w:r w:rsidRPr="00D245AD">
              <w:rPr>
                <w:szCs w:val="18"/>
              </w:rPr>
              <w:t xml:space="preserve">Ray Gluckman </w:t>
            </w:r>
          </w:p>
        </w:tc>
        <w:tc>
          <w:tcPr>
            <w:tcW w:w="2488" w:type="dxa"/>
            <w:tcBorders>
              <w:top w:val="nil"/>
              <w:left w:val="nil"/>
              <w:right w:val="nil"/>
            </w:tcBorders>
          </w:tcPr>
          <w:p w14:paraId="095D887C"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6449B192" w14:textId="77777777" w:rsidR="00E62558" w:rsidRPr="00D245AD" w:rsidRDefault="00E62558" w:rsidP="001940D7">
            <w:pPr>
              <w:pStyle w:val="Normal-pool-Table"/>
              <w:rPr>
                <w:color w:val="808080" w:themeColor="background1" w:themeShade="80"/>
                <w:szCs w:val="18"/>
              </w:rPr>
            </w:pPr>
            <w:r w:rsidRPr="00D245AD">
              <w:rPr>
                <w:szCs w:val="18"/>
              </w:rPr>
              <w:t>United Kingdom of Great Britain and Northern Ireland</w:t>
            </w:r>
          </w:p>
        </w:tc>
      </w:tr>
      <w:tr w:rsidR="00E62558" w:rsidRPr="00D245AD" w14:paraId="3828DBA4" w14:textId="77777777" w:rsidTr="001940D7">
        <w:trPr>
          <w:trHeight w:val="197"/>
          <w:jc w:val="right"/>
        </w:trPr>
        <w:tc>
          <w:tcPr>
            <w:tcW w:w="3024" w:type="dxa"/>
            <w:vAlign w:val="center"/>
          </w:tcPr>
          <w:p w14:paraId="54D6DE8E" w14:textId="77777777" w:rsidR="00E62558" w:rsidRPr="00D245AD" w:rsidRDefault="00E62558" w:rsidP="001940D7">
            <w:pPr>
              <w:pStyle w:val="Normal-pool-Table"/>
              <w:rPr>
                <w:color w:val="808080" w:themeColor="background1" w:themeShade="80"/>
                <w:szCs w:val="18"/>
              </w:rPr>
            </w:pPr>
            <w:r w:rsidRPr="00D245AD">
              <w:rPr>
                <w:szCs w:val="18"/>
              </w:rPr>
              <w:t>Samir Hamed</w:t>
            </w:r>
          </w:p>
        </w:tc>
        <w:tc>
          <w:tcPr>
            <w:tcW w:w="2488" w:type="dxa"/>
            <w:tcBorders>
              <w:top w:val="nil"/>
              <w:left w:val="nil"/>
              <w:right w:val="nil"/>
            </w:tcBorders>
          </w:tcPr>
          <w:p w14:paraId="5224C121"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6711FD21" w14:textId="77777777" w:rsidR="00E62558" w:rsidRPr="00D245AD" w:rsidRDefault="00E62558" w:rsidP="001940D7">
            <w:pPr>
              <w:pStyle w:val="Normal-pool-Table"/>
              <w:rPr>
                <w:color w:val="808080" w:themeColor="background1" w:themeShade="80"/>
                <w:szCs w:val="18"/>
              </w:rPr>
            </w:pPr>
            <w:r w:rsidRPr="00D245AD">
              <w:rPr>
                <w:szCs w:val="18"/>
              </w:rPr>
              <w:t>Jordan</w:t>
            </w:r>
          </w:p>
        </w:tc>
      </w:tr>
      <w:tr w:rsidR="00E62558" w:rsidRPr="00D245AD" w14:paraId="284504EB" w14:textId="77777777" w:rsidTr="001940D7">
        <w:trPr>
          <w:trHeight w:val="197"/>
          <w:jc w:val="right"/>
        </w:trPr>
        <w:tc>
          <w:tcPr>
            <w:tcW w:w="3024" w:type="dxa"/>
            <w:vAlign w:val="center"/>
          </w:tcPr>
          <w:p w14:paraId="127EF7B3" w14:textId="77777777" w:rsidR="00E62558" w:rsidRPr="00D245AD" w:rsidRDefault="00E62558" w:rsidP="001940D7">
            <w:pPr>
              <w:pStyle w:val="Normal-pool-Table"/>
              <w:rPr>
                <w:color w:val="808080" w:themeColor="background1" w:themeShade="80"/>
                <w:szCs w:val="18"/>
              </w:rPr>
            </w:pPr>
            <w:r w:rsidRPr="00D245AD">
              <w:rPr>
                <w:szCs w:val="18"/>
              </w:rPr>
              <w:t>Herlin Herlianika</w:t>
            </w:r>
          </w:p>
        </w:tc>
        <w:tc>
          <w:tcPr>
            <w:tcW w:w="2488" w:type="dxa"/>
            <w:tcBorders>
              <w:top w:val="nil"/>
              <w:left w:val="nil"/>
              <w:right w:val="nil"/>
            </w:tcBorders>
          </w:tcPr>
          <w:p w14:paraId="2BF14EB1"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6364ACC6" w14:textId="77777777" w:rsidR="00E62558" w:rsidRPr="00D245AD" w:rsidRDefault="00E62558" w:rsidP="001940D7">
            <w:pPr>
              <w:pStyle w:val="Normal-pool-Table"/>
              <w:rPr>
                <w:color w:val="808080" w:themeColor="background1" w:themeShade="80"/>
                <w:szCs w:val="18"/>
              </w:rPr>
            </w:pPr>
            <w:r w:rsidRPr="00D245AD">
              <w:rPr>
                <w:szCs w:val="18"/>
              </w:rPr>
              <w:t>Indonesia</w:t>
            </w:r>
          </w:p>
        </w:tc>
      </w:tr>
      <w:tr w:rsidR="00E62558" w:rsidRPr="00D245AD" w14:paraId="6DE738E5" w14:textId="77777777" w:rsidTr="001940D7">
        <w:trPr>
          <w:trHeight w:val="197"/>
          <w:jc w:val="right"/>
        </w:trPr>
        <w:tc>
          <w:tcPr>
            <w:tcW w:w="3024" w:type="dxa"/>
            <w:vAlign w:val="center"/>
          </w:tcPr>
          <w:p w14:paraId="7ADA6ECE" w14:textId="77777777" w:rsidR="00E62558" w:rsidRPr="00D245AD" w:rsidRDefault="00E62558" w:rsidP="001940D7">
            <w:pPr>
              <w:pStyle w:val="Normal-pool-Table"/>
              <w:rPr>
                <w:color w:val="808080" w:themeColor="background1" w:themeShade="80"/>
                <w:szCs w:val="18"/>
              </w:rPr>
            </w:pPr>
            <w:r w:rsidRPr="00D245AD">
              <w:rPr>
                <w:szCs w:val="18"/>
              </w:rPr>
              <w:t>Yuky Kamioka</w:t>
            </w:r>
          </w:p>
        </w:tc>
        <w:tc>
          <w:tcPr>
            <w:tcW w:w="2488" w:type="dxa"/>
            <w:tcBorders>
              <w:top w:val="nil"/>
              <w:left w:val="nil"/>
              <w:right w:val="nil"/>
            </w:tcBorders>
          </w:tcPr>
          <w:p w14:paraId="28D9C0F6"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44CC550A" w14:textId="77777777" w:rsidR="00E62558" w:rsidRPr="00D245AD" w:rsidRDefault="00E62558" w:rsidP="001940D7">
            <w:pPr>
              <w:pStyle w:val="Normal-pool-Table"/>
              <w:rPr>
                <w:color w:val="808080" w:themeColor="background1" w:themeShade="80"/>
                <w:szCs w:val="18"/>
              </w:rPr>
            </w:pPr>
            <w:r w:rsidRPr="00D245AD">
              <w:rPr>
                <w:szCs w:val="18"/>
              </w:rPr>
              <w:t>Japan</w:t>
            </w:r>
          </w:p>
        </w:tc>
      </w:tr>
      <w:tr w:rsidR="00E62558" w:rsidRPr="00D245AD" w14:paraId="295679A0" w14:textId="77777777" w:rsidTr="001940D7">
        <w:trPr>
          <w:trHeight w:val="197"/>
          <w:jc w:val="right"/>
        </w:trPr>
        <w:tc>
          <w:tcPr>
            <w:tcW w:w="3024" w:type="dxa"/>
            <w:vAlign w:val="center"/>
          </w:tcPr>
          <w:p w14:paraId="5A7EA858" w14:textId="77777777" w:rsidR="00E62558" w:rsidRPr="00D245AD" w:rsidRDefault="00E62558" w:rsidP="001940D7">
            <w:pPr>
              <w:pStyle w:val="Normal-pool-Table"/>
              <w:rPr>
                <w:color w:val="808080" w:themeColor="background1" w:themeShade="80"/>
                <w:szCs w:val="18"/>
              </w:rPr>
            </w:pPr>
            <w:r w:rsidRPr="00D245AD">
              <w:rPr>
                <w:szCs w:val="18"/>
              </w:rPr>
              <w:t>Michael Kauffeld</w:t>
            </w:r>
          </w:p>
        </w:tc>
        <w:tc>
          <w:tcPr>
            <w:tcW w:w="2488" w:type="dxa"/>
            <w:tcBorders>
              <w:top w:val="nil"/>
              <w:left w:val="nil"/>
              <w:right w:val="nil"/>
            </w:tcBorders>
          </w:tcPr>
          <w:p w14:paraId="480D1B40"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39DB3394" w14:textId="77777777" w:rsidR="00E62558" w:rsidRPr="00D245AD" w:rsidRDefault="00E62558" w:rsidP="001940D7">
            <w:pPr>
              <w:pStyle w:val="Normal-pool-Table"/>
              <w:rPr>
                <w:color w:val="808080" w:themeColor="background1" w:themeShade="80"/>
                <w:szCs w:val="18"/>
              </w:rPr>
            </w:pPr>
            <w:r w:rsidRPr="00D245AD">
              <w:rPr>
                <w:szCs w:val="18"/>
              </w:rPr>
              <w:t>Germany</w:t>
            </w:r>
          </w:p>
        </w:tc>
      </w:tr>
      <w:tr w:rsidR="00E62558" w:rsidRPr="00D245AD" w14:paraId="1C5668CC" w14:textId="77777777" w:rsidTr="001940D7">
        <w:trPr>
          <w:trHeight w:val="197"/>
          <w:jc w:val="right"/>
        </w:trPr>
        <w:tc>
          <w:tcPr>
            <w:tcW w:w="3024" w:type="dxa"/>
            <w:vAlign w:val="center"/>
          </w:tcPr>
          <w:p w14:paraId="7584C630" w14:textId="77777777" w:rsidR="00E62558" w:rsidRPr="00D245AD" w:rsidRDefault="00E62558" w:rsidP="001940D7">
            <w:pPr>
              <w:pStyle w:val="Normal-pool-Table"/>
              <w:rPr>
                <w:color w:val="808080" w:themeColor="background1" w:themeShade="80"/>
                <w:szCs w:val="18"/>
              </w:rPr>
            </w:pPr>
            <w:r w:rsidRPr="00D245AD">
              <w:rPr>
                <w:szCs w:val="18"/>
              </w:rPr>
              <w:t>Mary Koban</w:t>
            </w:r>
          </w:p>
        </w:tc>
        <w:tc>
          <w:tcPr>
            <w:tcW w:w="2488" w:type="dxa"/>
            <w:tcBorders>
              <w:top w:val="nil"/>
              <w:left w:val="nil"/>
              <w:right w:val="nil"/>
            </w:tcBorders>
          </w:tcPr>
          <w:p w14:paraId="01B42231"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769063ED" w14:textId="77777777" w:rsidR="00E62558" w:rsidRPr="00D245AD" w:rsidRDefault="00E62558" w:rsidP="001940D7">
            <w:pPr>
              <w:pStyle w:val="Normal-pool-Table"/>
              <w:rPr>
                <w:color w:val="808080" w:themeColor="background1" w:themeShade="80"/>
                <w:szCs w:val="18"/>
              </w:rPr>
            </w:pPr>
            <w:r w:rsidRPr="00D245AD">
              <w:rPr>
                <w:color w:val="000000" w:themeColor="text1"/>
                <w:szCs w:val="18"/>
              </w:rPr>
              <w:t>United States of America</w:t>
            </w:r>
          </w:p>
        </w:tc>
      </w:tr>
      <w:tr w:rsidR="00E62558" w:rsidRPr="00D245AD" w14:paraId="694BA5DE" w14:textId="77777777" w:rsidTr="001940D7">
        <w:trPr>
          <w:trHeight w:val="197"/>
          <w:jc w:val="right"/>
        </w:trPr>
        <w:tc>
          <w:tcPr>
            <w:tcW w:w="3024" w:type="dxa"/>
            <w:vAlign w:val="center"/>
          </w:tcPr>
          <w:p w14:paraId="39FF21AB" w14:textId="77777777" w:rsidR="00E62558" w:rsidRPr="00D245AD" w:rsidRDefault="00E62558" w:rsidP="001940D7">
            <w:pPr>
              <w:pStyle w:val="Normal-pool-Table"/>
              <w:rPr>
                <w:color w:val="808080" w:themeColor="background1" w:themeShade="80"/>
                <w:szCs w:val="18"/>
              </w:rPr>
            </w:pPr>
            <w:r w:rsidRPr="00D245AD">
              <w:rPr>
                <w:szCs w:val="18"/>
              </w:rPr>
              <w:t>Juergen Kohler</w:t>
            </w:r>
          </w:p>
        </w:tc>
        <w:tc>
          <w:tcPr>
            <w:tcW w:w="2488" w:type="dxa"/>
            <w:tcBorders>
              <w:top w:val="nil"/>
              <w:left w:val="nil"/>
              <w:right w:val="nil"/>
            </w:tcBorders>
          </w:tcPr>
          <w:p w14:paraId="0BBB6282"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2EBED059" w14:textId="77777777" w:rsidR="00E62558" w:rsidRPr="00D245AD" w:rsidRDefault="00E62558" w:rsidP="001940D7">
            <w:pPr>
              <w:pStyle w:val="Normal-pool-Table"/>
              <w:rPr>
                <w:color w:val="808080" w:themeColor="background1" w:themeShade="80"/>
                <w:szCs w:val="18"/>
              </w:rPr>
            </w:pPr>
            <w:r w:rsidRPr="00D245AD">
              <w:rPr>
                <w:szCs w:val="18"/>
              </w:rPr>
              <w:t>Germany</w:t>
            </w:r>
          </w:p>
        </w:tc>
      </w:tr>
      <w:tr w:rsidR="00E62558" w:rsidRPr="00D245AD" w14:paraId="36769C2E" w14:textId="77777777" w:rsidTr="001940D7">
        <w:trPr>
          <w:trHeight w:val="197"/>
          <w:jc w:val="right"/>
        </w:trPr>
        <w:tc>
          <w:tcPr>
            <w:tcW w:w="3024" w:type="dxa"/>
            <w:vAlign w:val="center"/>
          </w:tcPr>
          <w:p w14:paraId="1627370D" w14:textId="77777777" w:rsidR="00E62558" w:rsidRPr="00D245AD" w:rsidRDefault="00E62558" w:rsidP="001940D7">
            <w:pPr>
              <w:pStyle w:val="Normal-pool-Table"/>
              <w:rPr>
                <w:color w:val="808080" w:themeColor="background1" w:themeShade="80"/>
                <w:szCs w:val="18"/>
              </w:rPr>
            </w:pPr>
            <w:r w:rsidRPr="00D245AD">
              <w:rPr>
                <w:szCs w:val="18"/>
              </w:rPr>
              <w:t>Lambert Kuijpers</w:t>
            </w:r>
          </w:p>
        </w:tc>
        <w:tc>
          <w:tcPr>
            <w:tcW w:w="2488" w:type="dxa"/>
            <w:tcBorders>
              <w:top w:val="nil"/>
              <w:left w:val="nil"/>
              <w:right w:val="nil"/>
            </w:tcBorders>
          </w:tcPr>
          <w:p w14:paraId="7977BBCB"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016C654B" w14:textId="77777777" w:rsidR="00E62558" w:rsidRPr="00D245AD" w:rsidRDefault="00E62558" w:rsidP="001940D7">
            <w:pPr>
              <w:pStyle w:val="Normal-pool-Table"/>
              <w:rPr>
                <w:color w:val="808080" w:themeColor="background1" w:themeShade="80"/>
                <w:szCs w:val="18"/>
              </w:rPr>
            </w:pPr>
            <w:r w:rsidRPr="00D245AD">
              <w:rPr>
                <w:szCs w:val="18"/>
              </w:rPr>
              <w:t>Netherlands (Kingdom of the)</w:t>
            </w:r>
          </w:p>
        </w:tc>
      </w:tr>
      <w:tr w:rsidR="00E62558" w:rsidRPr="00D245AD" w14:paraId="3B76CDB3" w14:textId="77777777" w:rsidTr="001940D7">
        <w:trPr>
          <w:trHeight w:val="197"/>
          <w:jc w:val="right"/>
        </w:trPr>
        <w:tc>
          <w:tcPr>
            <w:tcW w:w="3024" w:type="dxa"/>
            <w:vAlign w:val="center"/>
          </w:tcPr>
          <w:p w14:paraId="7F525172" w14:textId="77777777" w:rsidR="00E62558" w:rsidRPr="00D245AD" w:rsidRDefault="00E62558" w:rsidP="001940D7">
            <w:pPr>
              <w:pStyle w:val="Normal-pool-Table"/>
              <w:rPr>
                <w:color w:val="808080" w:themeColor="background1" w:themeShade="80"/>
                <w:szCs w:val="18"/>
              </w:rPr>
            </w:pPr>
            <w:r w:rsidRPr="00D245AD">
              <w:rPr>
                <w:szCs w:val="18"/>
              </w:rPr>
              <w:t xml:space="preserve">Steve Kujak </w:t>
            </w:r>
          </w:p>
        </w:tc>
        <w:tc>
          <w:tcPr>
            <w:tcW w:w="2488" w:type="dxa"/>
            <w:tcBorders>
              <w:top w:val="nil"/>
              <w:left w:val="nil"/>
              <w:right w:val="nil"/>
            </w:tcBorders>
          </w:tcPr>
          <w:p w14:paraId="140B8BB0"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19FA896D" w14:textId="77777777" w:rsidR="00E62558" w:rsidRPr="00D245AD" w:rsidRDefault="00E62558" w:rsidP="001940D7">
            <w:pPr>
              <w:pStyle w:val="Normal-pool-Table"/>
              <w:rPr>
                <w:color w:val="808080" w:themeColor="background1" w:themeShade="80"/>
                <w:szCs w:val="18"/>
              </w:rPr>
            </w:pPr>
            <w:r w:rsidRPr="00D245AD">
              <w:rPr>
                <w:color w:val="000000" w:themeColor="text1"/>
                <w:szCs w:val="18"/>
              </w:rPr>
              <w:t>United States of America</w:t>
            </w:r>
          </w:p>
        </w:tc>
      </w:tr>
      <w:tr w:rsidR="00E62558" w:rsidRPr="00D245AD" w14:paraId="6BF7FC5D" w14:textId="77777777" w:rsidTr="001940D7">
        <w:trPr>
          <w:trHeight w:val="197"/>
          <w:jc w:val="right"/>
        </w:trPr>
        <w:tc>
          <w:tcPr>
            <w:tcW w:w="3024" w:type="dxa"/>
            <w:vAlign w:val="center"/>
          </w:tcPr>
          <w:p w14:paraId="57BE2138" w14:textId="77777777" w:rsidR="00E62558" w:rsidRPr="00D245AD" w:rsidRDefault="00E62558" w:rsidP="001940D7">
            <w:pPr>
              <w:pStyle w:val="Normal-pool-Table"/>
              <w:rPr>
                <w:color w:val="808080" w:themeColor="background1" w:themeShade="80"/>
                <w:szCs w:val="18"/>
              </w:rPr>
            </w:pPr>
            <w:r w:rsidRPr="00D245AD">
              <w:rPr>
                <w:szCs w:val="18"/>
              </w:rPr>
              <w:t>Richard Lawton</w:t>
            </w:r>
          </w:p>
        </w:tc>
        <w:tc>
          <w:tcPr>
            <w:tcW w:w="2488" w:type="dxa"/>
            <w:tcBorders>
              <w:top w:val="nil"/>
              <w:left w:val="nil"/>
              <w:right w:val="nil"/>
            </w:tcBorders>
          </w:tcPr>
          <w:p w14:paraId="340D4F57"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7DA988F4" w14:textId="77777777" w:rsidR="00E62558" w:rsidRPr="00D245AD" w:rsidRDefault="00E62558" w:rsidP="001940D7">
            <w:pPr>
              <w:pStyle w:val="Normal-pool-Table"/>
              <w:rPr>
                <w:color w:val="808080" w:themeColor="background1" w:themeShade="80"/>
                <w:szCs w:val="18"/>
              </w:rPr>
            </w:pPr>
            <w:r w:rsidRPr="00D245AD">
              <w:rPr>
                <w:szCs w:val="18"/>
              </w:rPr>
              <w:t>United Kingdom of Great Britain and Northern Ireland</w:t>
            </w:r>
          </w:p>
        </w:tc>
      </w:tr>
      <w:tr w:rsidR="00E62558" w:rsidRPr="00D245AD" w14:paraId="7E4BF3AD" w14:textId="77777777" w:rsidTr="001940D7">
        <w:trPr>
          <w:trHeight w:val="197"/>
          <w:jc w:val="right"/>
        </w:trPr>
        <w:tc>
          <w:tcPr>
            <w:tcW w:w="3024" w:type="dxa"/>
            <w:vAlign w:val="center"/>
          </w:tcPr>
          <w:p w14:paraId="23996237" w14:textId="77777777" w:rsidR="00E62558" w:rsidRPr="00D245AD" w:rsidRDefault="00E62558" w:rsidP="001940D7">
            <w:pPr>
              <w:pStyle w:val="Normal-pool-Table"/>
              <w:rPr>
                <w:color w:val="808080" w:themeColor="background1" w:themeShade="80"/>
                <w:szCs w:val="18"/>
              </w:rPr>
            </w:pPr>
            <w:r w:rsidRPr="00D245AD">
              <w:rPr>
                <w:szCs w:val="18"/>
              </w:rPr>
              <w:t>Tingxun Li</w:t>
            </w:r>
          </w:p>
        </w:tc>
        <w:tc>
          <w:tcPr>
            <w:tcW w:w="2488" w:type="dxa"/>
            <w:tcBorders>
              <w:top w:val="nil"/>
              <w:left w:val="nil"/>
              <w:right w:val="nil"/>
            </w:tcBorders>
          </w:tcPr>
          <w:p w14:paraId="4E599725"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5E084500" w14:textId="77777777" w:rsidR="00E62558" w:rsidRPr="00D245AD" w:rsidRDefault="00E62558" w:rsidP="001940D7">
            <w:pPr>
              <w:pStyle w:val="Normal-pool-Table"/>
              <w:rPr>
                <w:color w:val="808080" w:themeColor="background1" w:themeShade="80"/>
                <w:szCs w:val="18"/>
              </w:rPr>
            </w:pPr>
            <w:r w:rsidRPr="00D245AD">
              <w:rPr>
                <w:szCs w:val="18"/>
              </w:rPr>
              <w:t>China</w:t>
            </w:r>
          </w:p>
        </w:tc>
      </w:tr>
      <w:tr w:rsidR="00E62558" w:rsidRPr="00D245AD" w14:paraId="444ECEC4" w14:textId="77777777" w:rsidTr="001940D7">
        <w:trPr>
          <w:trHeight w:val="197"/>
          <w:jc w:val="right"/>
        </w:trPr>
        <w:tc>
          <w:tcPr>
            <w:tcW w:w="3024" w:type="dxa"/>
            <w:vAlign w:val="center"/>
          </w:tcPr>
          <w:p w14:paraId="42D03C84" w14:textId="77777777" w:rsidR="00E62558" w:rsidRPr="00D245AD" w:rsidRDefault="00E62558" w:rsidP="001940D7">
            <w:pPr>
              <w:pStyle w:val="Normal-pool-Table"/>
              <w:rPr>
                <w:color w:val="808080" w:themeColor="background1" w:themeShade="80"/>
                <w:szCs w:val="18"/>
              </w:rPr>
            </w:pPr>
            <w:r w:rsidRPr="00D245AD">
              <w:rPr>
                <w:szCs w:val="18"/>
              </w:rPr>
              <w:t>Carloandrea Malvicino</w:t>
            </w:r>
          </w:p>
        </w:tc>
        <w:tc>
          <w:tcPr>
            <w:tcW w:w="2488" w:type="dxa"/>
            <w:tcBorders>
              <w:top w:val="nil"/>
              <w:left w:val="nil"/>
              <w:right w:val="nil"/>
            </w:tcBorders>
          </w:tcPr>
          <w:p w14:paraId="49AE79C8"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4582C1BA" w14:textId="77777777" w:rsidR="00E62558" w:rsidRPr="00D245AD" w:rsidRDefault="00E62558" w:rsidP="001940D7">
            <w:pPr>
              <w:pStyle w:val="Normal-pool-Table"/>
              <w:rPr>
                <w:color w:val="808080" w:themeColor="background1" w:themeShade="80"/>
                <w:szCs w:val="18"/>
              </w:rPr>
            </w:pPr>
            <w:r w:rsidRPr="00D245AD">
              <w:rPr>
                <w:szCs w:val="18"/>
              </w:rPr>
              <w:t>Italy</w:t>
            </w:r>
          </w:p>
        </w:tc>
      </w:tr>
      <w:tr w:rsidR="00E62558" w:rsidRPr="00D245AD" w14:paraId="527FC9C8" w14:textId="77777777" w:rsidTr="001940D7">
        <w:trPr>
          <w:trHeight w:val="197"/>
          <w:jc w:val="right"/>
        </w:trPr>
        <w:tc>
          <w:tcPr>
            <w:tcW w:w="3024" w:type="dxa"/>
            <w:vAlign w:val="center"/>
          </w:tcPr>
          <w:p w14:paraId="1E5F1903" w14:textId="77777777" w:rsidR="00E62558" w:rsidRPr="00D245AD" w:rsidRDefault="00E62558" w:rsidP="001940D7">
            <w:pPr>
              <w:pStyle w:val="Normal-pool-Table"/>
              <w:rPr>
                <w:color w:val="808080" w:themeColor="background1" w:themeShade="80"/>
                <w:szCs w:val="18"/>
              </w:rPr>
            </w:pPr>
            <w:r w:rsidRPr="00D245AD">
              <w:rPr>
                <w:szCs w:val="18"/>
              </w:rPr>
              <w:t>Akio Miyara</w:t>
            </w:r>
          </w:p>
        </w:tc>
        <w:tc>
          <w:tcPr>
            <w:tcW w:w="2488" w:type="dxa"/>
            <w:tcBorders>
              <w:top w:val="nil"/>
              <w:left w:val="nil"/>
              <w:right w:val="nil"/>
            </w:tcBorders>
          </w:tcPr>
          <w:p w14:paraId="414F3978"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175C7EF9" w14:textId="77777777" w:rsidR="00E62558" w:rsidRPr="00D245AD" w:rsidRDefault="00E62558" w:rsidP="001940D7">
            <w:pPr>
              <w:pStyle w:val="Normal-pool-Table"/>
              <w:rPr>
                <w:color w:val="808080" w:themeColor="background1" w:themeShade="80"/>
                <w:szCs w:val="18"/>
              </w:rPr>
            </w:pPr>
            <w:r w:rsidRPr="00D245AD">
              <w:rPr>
                <w:szCs w:val="18"/>
              </w:rPr>
              <w:t>Japan</w:t>
            </w:r>
          </w:p>
        </w:tc>
      </w:tr>
      <w:tr w:rsidR="00E62558" w:rsidRPr="00D245AD" w14:paraId="7505A53A" w14:textId="77777777" w:rsidTr="001940D7">
        <w:trPr>
          <w:trHeight w:val="197"/>
          <w:jc w:val="right"/>
        </w:trPr>
        <w:tc>
          <w:tcPr>
            <w:tcW w:w="3024" w:type="dxa"/>
            <w:vAlign w:val="center"/>
          </w:tcPr>
          <w:p w14:paraId="0B6CE7C2" w14:textId="77777777" w:rsidR="00E62558" w:rsidRPr="00D245AD" w:rsidRDefault="00E62558" w:rsidP="001940D7">
            <w:pPr>
              <w:pStyle w:val="Normal-pool-Table"/>
              <w:rPr>
                <w:color w:val="808080" w:themeColor="background1" w:themeShade="80"/>
                <w:szCs w:val="18"/>
              </w:rPr>
            </w:pPr>
            <w:r w:rsidRPr="00D245AD">
              <w:rPr>
                <w:szCs w:val="18"/>
              </w:rPr>
              <w:t>Petter Nekså</w:t>
            </w:r>
          </w:p>
        </w:tc>
        <w:tc>
          <w:tcPr>
            <w:tcW w:w="2488" w:type="dxa"/>
            <w:tcBorders>
              <w:top w:val="nil"/>
              <w:left w:val="nil"/>
              <w:right w:val="nil"/>
            </w:tcBorders>
          </w:tcPr>
          <w:p w14:paraId="6C03B8BE"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65D344DC" w14:textId="77777777" w:rsidR="00E62558" w:rsidRPr="00D245AD" w:rsidRDefault="00E62558" w:rsidP="001940D7">
            <w:pPr>
              <w:pStyle w:val="Normal-pool-Table"/>
              <w:rPr>
                <w:color w:val="808080" w:themeColor="background1" w:themeShade="80"/>
                <w:szCs w:val="18"/>
              </w:rPr>
            </w:pPr>
            <w:r w:rsidRPr="00D245AD">
              <w:rPr>
                <w:szCs w:val="18"/>
              </w:rPr>
              <w:t>Norway</w:t>
            </w:r>
          </w:p>
        </w:tc>
      </w:tr>
      <w:tr w:rsidR="00E62558" w:rsidRPr="00D245AD" w14:paraId="00F90288" w14:textId="77777777" w:rsidTr="001940D7">
        <w:trPr>
          <w:trHeight w:val="197"/>
          <w:jc w:val="right"/>
        </w:trPr>
        <w:tc>
          <w:tcPr>
            <w:tcW w:w="3024" w:type="dxa"/>
            <w:vAlign w:val="center"/>
          </w:tcPr>
          <w:p w14:paraId="74A0A531" w14:textId="77777777" w:rsidR="00E62558" w:rsidRPr="00D245AD" w:rsidRDefault="00E62558" w:rsidP="001940D7">
            <w:pPr>
              <w:pStyle w:val="Normal-pool-Table"/>
              <w:rPr>
                <w:color w:val="808080" w:themeColor="background1" w:themeShade="80"/>
                <w:szCs w:val="18"/>
              </w:rPr>
            </w:pPr>
            <w:r w:rsidRPr="00D245AD">
              <w:rPr>
                <w:szCs w:val="18"/>
              </w:rPr>
              <w:t>Mr.Tetsuji Okada</w:t>
            </w:r>
          </w:p>
        </w:tc>
        <w:tc>
          <w:tcPr>
            <w:tcW w:w="2488" w:type="dxa"/>
            <w:tcBorders>
              <w:top w:val="nil"/>
              <w:left w:val="nil"/>
              <w:right w:val="nil"/>
            </w:tcBorders>
          </w:tcPr>
          <w:p w14:paraId="51EE4435"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3CBB8563" w14:textId="77777777" w:rsidR="00E62558" w:rsidRPr="00D245AD" w:rsidRDefault="00E62558" w:rsidP="001940D7">
            <w:pPr>
              <w:pStyle w:val="Normal-pool-Table"/>
              <w:rPr>
                <w:color w:val="808080" w:themeColor="background1" w:themeShade="80"/>
                <w:szCs w:val="18"/>
              </w:rPr>
            </w:pPr>
            <w:r w:rsidRPr="00D245AD">
              <w:rPr>
                <w:szCs w:val="18"/>
              </w:rPr>
              <w:t>Japan</w:t>
            </w:r>
          </w:p>
        </w:tc>
      </w:tr>
      <w:tr w:rsidR="00E62558" w:rsidRPr="00D245AD" w14:paraId="05DEDE87" w14:textId="77777777" w:rsidTr="001940D7">
        <w:trPr>
          <w:trHeight w:val="197"/>
          <w:jc w:val="right"/>
        </w:trPr>
        <w:tc>
          <w:tcPr>
            <w:tcW w:w="3024" w:type="dxa"/>
            <w:vAlign w:val="center"/>
          </w:tcPr>
          <w:p w14:paraId="6BE2CD88" w14:textId="77777777" w:rsidR="00E62558" w:rsidRPr="00D245AD" w:rsidRDefault="00E62558" w:rsidP="001940D7">
            <w:pPr>
              <w:pStyle w:val="Normal-pool-Table"/>
              <w:rPr>
                <w:color w:val="808080" w:themeColor="background1" w:themeShade="80"/>
                <w:szCs w:val="18"/>
              </w:rPr>
            </w:pPr>
            <w:r w:rsidRPr="00D245AD">
              <w:rPr>
                <w:szCs w:val="18"/>
              </w:rPr>
              <w:t>Pallav Purohit</w:t>
            </w:r>
          </w:p>
        </w:tc>
        <w:tc>
          <w:tcPr>
            <w:tcW w:w="2488" w:type="dxa"/>
            <w:tcBorders>
              <w:top w:val="nil"/>
              <w:left w:val="nil"/>
              <w:right w:val="nil"/>
            </w:tcBorders>
          </w:tcPr>
          <w:p w14:paraId="76F3C819"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01506FD5" w14:textId="77777777" w:rsidR="00E62558" w:rsidRPr="00D245AD" w:rsidRDefault="00E62558" w:rsidP="001940D7">
            <w:pPr>
              <w:pStyle w:val="Normal-pool-Table"/>
              <w:rPr>
                <w:color w:val="808080" w:themeColor="background1" w:themeShade="80"/>
                <w:szCs w:val="18"/>
              </w:rPr>
            </w:pPr>
            <w:r w:rsidRPr="00D245AD">
              <w:rPr>
                <w:szCs w:val="18"/>
              </w:rPr>
              <w:t>India</w:t>
            </w:r>
          </w:p>
        </w:tc>
      </w:tr>
      <w:tr w:rsidR="00E62558" w:rsidRPr="00D245AD" w14:paraId="39C2CFD9" w14:textId="77777777" w:rsidTr="001940D7">
        <w:trPr>
          <w:trHeight w:val="197"/>
          <w:jc w:val="right"/>
        </w:trPr>
        <w:tc>
          <w:tcPr>
            <w:tcW w:w="3024" w:type="dxa"/>
            <w:vAlign w:val="center"/>
          </w:tcPr>
          <w:p w14:paraId="520B9199" w14:textId="77777777" w:rsidR="00E62558" w:rsidRPr="00D245AD" w:rsidRDefault="00E62558" w:rsidP="001940D7">
            <w:pPr>
              <w:pStyle w:val="Normal-pool-Table"/>
              <w:rPr>
                <w:color w:val="808080" w:themeColor="background1" w:themeShade="80"/>
                <w:szCs w:val="18"/>
              </w:rPr>
            </w:pPr>
            <w:r w:rsidRPr="00D245AD">
              <w:rPr>
                <w:szCs w:val="18"/>
              </w:rPr>
              <w:t>Tao Ren</w:t>
            </w:r>
          </w:p>
        </w:tc>
        <w:tc>
          <w:tcPr>
            <w:tcW w:w="2488" w:type="dxa"/>
            <w:tcBorders>
              <w:top w:val="nil"/>
              <w:left w:val="nil"/>
              <w:right w:val="nil"/>
            </w:tcBorders>
          </w:tcPr>
          <w:p w14:paraId="20DD7488"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6ACC46BE" w14:textId="77777777" w:rsidR="00E62558" w:rsidRPr="00D245AD" w:rsidRDefault="00E62558" w:rsidP="001940D7">
            <w:pPr>
              <w:pStyle w:val="Normal-pool-Table"/>
              <w:rPr>
                <w:color w:val="808080" w:themeColor="background1" w:themeShade="80"/>
                <w:szCs w:val="18"/>
              </w:rPr>
            </w:pPr>
            <w:r w:rsidRPr="00D245AD">
              <w:rPr>
                <w:szCs w:val="18"/>
              </w:rPr>
              <w:t>China</w:t>
            </w:r>
          </w:p>
        </w:tc>
      </w:tr>
      <w:tr w:rsidR="00E62558" w:rsidRPr="00D245AD" w14:paraId="17015722" w14:textId="77777777" w:rsidTr="001940D7">
        <w:trPr>
          <w:trHeight w:val="197"/>
          <w:jc w:val="right"/>
        </w:trPr>
        <w:tc>
          <w:tcPr>
            <w:tcW w:w="3024" w:type="dxa"/>
            <w:vAlign w:val="center"/>
          </w:tcPr>
          <w:p w14:paraId="01AC962C" w14:textId="77777777" w:rsidR="00E62558" w:rsidRPr="00D245AD" w:rsidRDefault="00E62558" w:rsidP="001940D7">
            <w:pPr>
              <w:pStyle w:val="Normal-pool-Table"/>
              <w:rPr>
                <w:color w:val="808080" w:themeColor="background1" w:themeShade="80"/>
                <w:szCs w:val="18"/>
              </w:rPr>
            </w:pPr>
            <w:r w:rsidRPr="00D245AD">
              <w:rPr>
                <w:szCs w:val="18"/>
              </w:rPr>
              <w:t>Giorgio Rusignuolo</w:t>
            </w:r>
          </w:p>
        </w:tc>
        <w:tc>
          <w:tcPr>
            <w:tcW w:w="2488" w:type="dxa"/>
            <w:tcBorders>
              <w:top w:val="nil"/>
              <w:left w:val="nil"/>
              <w:right w:val="nil"/>
            </w:tcBorders>
          </w:tcPr>
          <w:p w14:paraId="5509BD65"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71B3BA5C" w14:textId="77777777" w:rsidR="00E62558" w:rsidRPr="00D245AD" w:rsidRDefault="00E62558" w:rsidP="001940D7">
            <w:pPr>
              <w:pStyle w:val="Normal-pool-Table"/>
              <w:rPr>
                <w:color w:val="808080" w:themeColor="background1" w:themeShade="80"/>
                <w:szCs w:val="18"/>
              </w:rPr>
            </w:pPr>
            <w:r w:rsidRPr="00D245AD">
              <w:rPr>
                <w:szCs w:val="18"/>
              </w:rPr>
              <w:t>United States of America</w:t>
            </w:r>
          </w:p>
        </w:tc>
      </w:tr>
      <w:tr w:rsidR="00E62558" w:rsidRPr="00D245AD" w14:paraId="2DE75263" w14:textId="77777777" w:rsidTr="001940D7">
        <w:trPr>
          <w:trHeight w:val="197"/>
          <w:jc w:val="right"/>
        </w:trPr>
        <w:tc>
          <w:tcPr>
            <w:tcW w:w="3024" w:type="dxa"/>
            <w:vAlign w:val="center"/>
          </w:tcPr>
          <w:p w14:paraId="297862A2" w14:textId="77777777" w:rsidR="00E62558" w:rsidRPr="00D245AD" w:rsidRDefault="00E62558" w:rsidP="001940D7">
            <w:pPr>
              <w:pStyle w:val="Normal-pool-Table"/>
              <w:rPr>
                <w:color w:val="808080" w:themeColor="background1" w:themeShade="80"/>
                <w:szCs w:val="18"/>
              </w:rPr>
            </w:pPr>
            <w:r w:rsidRPr="00D245AD">
              <w:rPr>
                <w:szCs w:val="18"/>
              </w:rPr>
              <w:t>Madi Sakande</w:t>
            </w:r>
          </w:p>
        </w:tc>
        <w:tc>
          <w:tcPr>
            <w:tcW w:w="2488" w:type="dxa"/>
            <w:tcBorders>
              <w:top w:val="nil"/>
              <w:left w:val="nil"/>
              <w:right w:val="nil"/>
            </w:tcBorders>
          </w:tcPr>
          <w:p w14:paraId="0A6CABEF"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060CA374" w14:textId="77777777" w:rsidR="00E62558" w:rsidRPr="00D245AD" w:rsidRDefault="00E62558" w:rsidP="001940D7">
            <w:pPr>
              <w:pStyle w:val="Normal-pool-Table"/>
              <w:rPr>
                <w:color w:val="808080" w:themeColor="background1" w:themeShade="80"/>
                <w:szCs w:val="18"/>
              </w:rPr>
            </w:pPr>
            <w:r w:rsidRPr="00D245AD">
              <w:rPr>
                <w:szCs w:val="18"/>
              </w:rPr>
              <w:t>Burkina Faso</w:t>
            </w:r>
          </w:p>
        </w:tc>
      </w:tr>
      <w:tr w:rsidR="00E62558" w:rsidRPr="00D245AD" w14:paraId="5B1E351A" w14:textId="77777777" w:rsidTr="001940D7">
        <w:trPr>
          <w:trHeight w:val="197"/>
          <w:jc w:val="right"/>
        </w:trPr>
        <w:tc>
          <w:tcPr>
            <w:tcW w:w="3024" w:type="dxa"/>
            <w:vAlign w:val="center"/>
          </w:tcPr>
          <w:p w14:paraId="1E50711D" w14:textId="77777777" w:rsidR="00E62558" w:rsidRPr="005D23A3" w:rsidRDefault="00E62558" w:rsidP="001940D7">
            <w:pPr>
              <w:pStyle w:val="Normal-pool-Table"/>
              <w:rPr>
                <w:color w:val="808080" w:themeColor="background1" w:themeShade="80"/>
                <w:szCs w:val="18"/>
              </w:rPr>
            </w:pPr>
            <w:r w:rsidRPr="005D23A3">
              <w:rPr>
                <w:szCs w:val="18"/>
              </w:rPr>
              <w:t>Leyla Sayin</w:t>
            </w:r>
          </w:p>
        </w:tc>
        <w:tc>
          <w:tcPr>
            <w:tcW w:w="2488" w:type="dxa"/>
            <w:tcBorders>
              <w:top w:val="nil"/>
              <w:left w:val="nil"/>
              <w:right w:val="nil"/>
            </w:tcBorders>
          </w:tcPr>
          <w:p w14:paraId="0F103483" w14:textId="77777777" w:rsidR="00E62558" w:rsidRPr="005D23A3" w:rsidRDefault="00E62558" w:rsidP="001940D7">
            <w:pPr>
              <w:pStyle w:val="Normal-pool-Table"/>
              <w:rPr>
                <w:color w:val="808080" w:themeColor="background1" w:themeShade="80"/>
                <w:szCs w:val="18"/>
              </w:rPr>
            </w:pPr>
            <w:r w:rsidRPr="005D23A3">
              <w:rPr>
                <w:szCs w:val="18"/>
              </w:rPr>
              <w:t>RTOC member</w:t>
            </w:r>
          </w:p>
        </w:tc>
        <w:tc>
          <w:tcPr>
            <w:tcW w:w="2795" w:type="dxa"/>
            <w:vAlign w:val="center"/>
          </w:tcPr>
          <w:p w14:paraId="7BBB4A4C" w14:textId="0CCB050D" w:rsidR="00E62558" w:rsidRPr="005D23A3" w:rsidRDefault="00820CBD" w:rsidP="001940D7">
            <w:pPr>
              <w:pStyle w:val="Normal-pool-Table"/>
              <w:rPr>
                <w:color w:val="808080" w:themeColor="background1" w:themeShade="80"/>
                <w:szCs w:val="18"/>
              </w:rPr>
            </w:pPr>
            <w:r w:rsidRPr="005D23A3">
              <w:rPr>
                <w:szCs w:val="18"/>
              </w:rPr>
              <w:t>Türkiye</w:t>
            </w:r>
          </w:p>
        </w:tc>
      </w:tr>
      <w:tr w:rsidR="00E62558" w:rsidRPr="00D245AD" w14:paraId="0E06623A" w14:textId="77777777" w:rsidTr="001940D7">
        <w:trPr>
          <w:trHeight w:val="197"/>
          <w:jc w:val="right"/>
        </w:trPr>
        <w:tc>
          <w:tcPr>
            <w:tcW w:w="3024" w:type="dxa"/>
            <w:vAlign w:val="center"/>
          </w:tcPr>
          <w:p w14:paraId="30E80B13" w14:textId="77777777" w:rsidR="00E62558" w:rsidRPr="00D245AD" w:rsidRDefault="00E62558" w:rsidP="001940D7">
            <w:pPr>
              <w:pStyle w:val="Normal-pool-Table"/>
              <w:rPr>
                <w:color w:val="808080" w:themeColor="background1" w:themeShade="80"/>
                <w:szCs w:val="18"/>
              </w:rPr>
            </w:pPr>
            <w:r w:rsidRPr="00D245AD">
              <w:rPr>
                <w:szCs w:val="18"/>
              </w:rPr>
              <w:t>Andrea Voigt</w:t>
            </w:r>
          </w:p>
        </w:tc>
        <w:tc>
          <w:tcPr>
            <w:tcW w:w="2488" w:type="dxa"/>
            <w:tcBorders>
              <w:top w:val="nil"/>
              <w:left w:val="nil"/>
              <w:right w:val="nil"/>
            </w:tcBorders>
          </w:tcPr>
          <w:p w14:paraId="50FDAF91"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2F453B72" w14:textId="77777777" w:rsidR="00E62558" w:rsidRPr="00D245AD" w:rsidRDefault="00E62558" w:rsidP="001940D7">
            <w:pPr>
              <w:pStyle w:val="Normal-pool-Table"/>
              <w:rPr>
                <w:color w:val="808080" w:themeColor="background1" w:themeShade="80"/>
                <w:szCs w:val="18"/>
              </w:rPr>
            </w:pPr>
            <w:r w:rsidRPr="00D245AD">
              <w:rPr>
                <w:szCs w:val="18"/>
              </w:rPr>
              <w:t>Germany</w:t>
            </w:r>
          </w:p>
        </w:tc>
      </w:tr>
      <w:tr w:rsidR="00E62558" w:rsidRPr="00D245AD" w14:paraId="035FFF66" w14:textId="77777777" w:rsidTr="001940D7">
        <w:trPr>
          <w:trHeight w:val="197"/>
          <w:jc w:val="right"/>
        </w:trPr>
        <w:tc>
          <w:tcPr>
            <w:tcW w:w="3024" w:type="dxa"/>
            <w:vAlign w:val="center"/>
          </w:tcPr>
          <w:p w14:paraId="25F30E6F" w14:textId="77777777" w:rsidR="00E62558" w:rsidRPr="00D245AD" w:rsidRDefault="00E62558" w:rsidP="001940D7">
            <w:pPr>
              <w:pStyle w:val="Normal-pool-Table"/>
              <w:rPr>
                <w:color w:val="808080" w:themeColor="background1" w:themeShade="80"/>
                <w:szCs w:val="18"/>
              </w:rPr>
            </w:pPr>
            <w:r w:rsidRPr="00D245AD">
              <w:rPr>
                <w:szCs w:val="18"/>
              </w:rPr>
              <w:t>Asbjørn L. Vonsild</w:t>
            </w:r>
          </w:p>
        </w:tc>
        <w:tc>
          <w:tcPr>
            <w:tcW w:w="2488" w:type="dxa"/>
            <w:tcBorders>
              <w:top w:val="nil"/>
              <w:left w:val="nil"/>
              <w:right w:val="nil"/>
            </w:tcBorders>
          </w:tcPr>
          <w:p w14:paraId="787D771C"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004F759F" w14:textId="77777777" w:rsidR="00E62558" w:rsidRPr="00D245AD" w:rsidRDefault="00E62558" w:rsidP="001940D7">
            <w:pPr>
              <w:pStyle w:val="Normal-pool-Table"/>
              <w:rPr>
                <w:color w:val="808080" w:themeColor="background1" w:themeShade="80"/>
                <w:szCs w:val="18"/>
              </w:rPr>
            </w:pPr>
            <w:r w:rsidRPr="00D245AD">
              <w:rPr>
                <w:szCs w:val="18"/>
              </w:rPr>
              <w:t>Denmark</w:t>
            </w:r>
          </w:p>
        </w:tc>
      </w:tr>
      <w:tr w:rsidR="00E62558" w:rsidRPr="00D245AD" w14:paraId="752A5727" w14:textId="77777777" w:rsidTr="001940D7">
        <w:trPr>
          <w:trHeight w:val="197"/>
          <w:jc w:val="right"/>
        </w:trPr>
        <w:tc>
          <w:tcPr>
            <w:tcW w:w="3024" w:type="dxa"/>
            <w:vAlign w:val="center"/>
          </w:tcPr>
          <w:p w14:paraId="14D5AD19" w14:textId="77777777" w:rsidR="00E62558" w:rsidRPr="00D245AD" w:rsidRDefault="00E62558" w:rsidP="001940D7">
            <w:pPr>
              <w:pStyle w:val="Normal-pool-Table"/>
              <w:rPr>
                <w:color w:val="808080" w:themeColor="background1" w:themeShade="80"/>
                <w:szCs w:val="18"/>
              </w:rPr>
            </w:pPr>
            <w:r w:rsidRPr="00D245AD">
              <w:rPr>
                <w:szCs w:val="18"/>
              </w:rPr>
              <w:t>Christian M. Wisniewski </w:t>
            </w:r>
          </w:p>
        </w:tc>
        <w:tc>
          <w:tcPr>
            <w:tcW w:w="2488" w:type="dxa"/>
            <w:tcBorders>
              <w:top w:val="nil"/>
              <w:left w:val="nil"/>
              <w:right w:val="nil"/>
            </w:tcBorders>
          </w:tcPr>
          <w:p w14:paraId="645E4D0A"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vAlign w:val="center"/>
          </w:tcPr>
          <w:p w14:paraId="10BE720F" w14:textId="77777777" w:rsidR="00E62558" w:rsidRPr="00D245AD" w:rsidRDefault="00E62558" w:rsidP="001940D7">
            <w:pPr>
              <w:pStyle w:val="Normal-pool-Table"/>
              <w:rPr>
                <w:color w:val="808080" w:themeColor="background1" w:themeShade="80"/>
                <w:szCs w:val="18"/>
              </w:rPr>
            </w:pPr>
            <w:r w:rsidRPr="00D245AD">
              <w:rPr>
                <w:szCs w:val="18"/>
              </w:rPr>
              <w:t>United States of America</w:t>
            </w:r>
          </w:p>
        </w:tc>
      </w:tr>
      <w:tr w:rsidR="00E62558" w:rsidRPr="00D245AD" w14:paraId="0F56098A" w14:textId="77777777" w:rsidTr="001940D7">
        <w:trPr>
          <w:trHeight w:val="57"/>
          <w:jc w:val="right"/>
        </w:trPr>
        <w:tc>
          <w:tcPr>
            <w:tcW w:w="3024" w:type="dxa"/>
            <w:tcBorders>
              <w:top w:val="nil"/>
              <w:left w:val="nil"/>
              <w:bottom w:val="single" w:sz="12" w:space="0" w:color="auto"/>
              <w:right w:val="nil"/>
            </w:tcBorders>
          </w:tcPr>
          <w:p w14:paraId="745E6BBA" w14:textId="77777777" w:rsidR="00E62558" w:rsidRPr="00D245AD" w:rsidRDefault="00E62558" w:rsidP="001940D7">
            <w:pPr>
              <w:pStyle w:val="Normal-pool-Table"/>
              <w:rPr>
                <w:color w:val="808080" w:themeColor="background1" w:themeShade="80"/>
                <w:szCs w:val="18"/>
              </w:rPr>
            </w:pPr>
            <w:r w:rsidRPr="00D245AD">
              <w:rPr>
                <w:szCs w:val="18"/>
              </w:rPr>
              <w:t>Samuel Yana Motta</w:t>
            </w:r>
          </w:p>
        </w:tc>
        <w:tc>
          <w:tcPr>
            <w:tcW w:w="2488" w:type="dxa"/>
            <w:tcBorders>
              <w:top w:val="nil"/>
              <w:left w:val="nil"/>
              <w:bottom w:val="single" w:sz="12" w:space="0" w:color="auto"/>
              <w:right w:val="nil"/>
            </w:tcBorders>
          </w:tcPr>
          <w:p w14:paraId="6557A273" w14:textId="77777777" w:rsidR="00E62558" w:rsidRPr="00D245AD" w:rsidRDefault="00E62558" w:rsidP="001940D7">
            <w:pPr>
              <w:pStyle w:val="Normal-pool-Table"/>
              <w:rPr>
                <w:color w:val="808080" w:themeColor="background1" w:themeShade="80"/>
                <w:szCs w:val="18"/>
              </w:rPr>
            </w:pPr>
            <w:r w:rsidRPr="00D245AD">
              <w:rPr>
                <w:szCs w:val="18"/>
              </w:rPr>
              <w:t>RTOC member</w:t>
            </w:r>
          </w:p>
        </w:tc>
        <w:tc>
          <w:tcPr>
            <w:tcW w:w="2795" w:type="dxa"/>
            <w:tcBorders>
              <w:top w:val="nil"/>
              <w:left w:val="nil"/>
              <w:bottom w:val="single" w:sz="12" w:space="0" w:color="auto"/>
              <w:right w:val="nil"/>
            </w:tcBorders>
          </w:tcPr>
          <w:p w14:paraId="6DFFF48F" w14:textId="77777777" w:rsidR="00E62558" w:rsidRPr="00D245AD" w:rsidRDefault="00E62558" w:rsidP="001940D7">
            <w:pPr>
              <w:pStyle w:val="Normal-pool-Table"/>
              <w:rPr>
                <w:color w:val="808080" w:themeColor="background1" w:themeShade="80"/>
                <w:szCs w:val="18"/>
              </w:rPr>
            </w:pPr>
            <w:r w:rsidRPr="00D245AD">
              <w:rPr>
                <w:szCs w:val="18"/>
              </w:rPr>
              <w:t>Peru</w:t>
            </w:r>
          </w:p>
        </w:tc>
      </w:tr>
    </w:tbl>
    <w:p w14:paraId="72B8A2B6" w14:textId="77777777" w:rsidR="00E62558" w:rsidRPr="00D245AD" w:rsidRDefault="00E62558" w:rsidP="00E62558">
      <w:pPr>
        <w:pStyle w:val="Normal-pool"/>
        <w:spacing w:before="60" w:after="120"/>
        <w:ind w:left="1247"/>
        <w:rPr>
          <w:iCs/>
          <w:color w:val="000000" w:themeColor="text1"/>
          <w:sz w:val="17"/>
          <w:szCs w:val="17"/>
        </w:rPr>
      </w:pPr>
      <w:r w:rsidRPr="00D245AD">
        <w:rPr>
          <w:b/>
          <w:bCs/>
          <w:i/>
          <w:color w:val="808080" w:themeColor="background1" w:themeShade="80"/>
          <w:sz w:val="17"/>
          <w:szCs w:val="17"/>
        </w:rPr>
        <w:tab/>
      </w:r>
      <w:r w:rsidRPr="00D245AD">
        <w:rPr>
          <w:i/>
          <w:color w:val="000000" w:themeColor="text1"/>
          <w:sz w:val="17"/>
          <w:szCs w:val="17"/>
        </w:rPr>
        <w:t>Abbreviations</w:t>
      </w:r>
      <w:r w:rsidRPr="00D245AD">
        <w:rPr>
          <w:color w:val="000000" w:themeColor="text1"/>
          <w:sz w:val="17"/>
          <w:szCs w:val="17"/>
        </w:rPr>
        <w:t xml:space="preserve">: </w:t>
      </w:r>
      <w:r w:rsidRPr="00D245AD">
        <w:rPr>
          <w:iCs/>
          <w:color w:val="000000" w:themeColor="text1"/>
          <w:sz w:val="17"/>
          <w:szCs w:val="17"/>
        </w:rPr>
        <w:t xml:space="preserve">FTOC – Flexible and Rigid Foams Technical Options Committee; FSTOC – Fire Suppression Technical Options Committee; MBTOC – Methyl Bromide Technical Options Committee; MCTOC – Medical and Chemicals Technical Options Committee. </w:t>
      </w:r>
    </w:p>
    <w:p w14:paraId="30470712" w14:textId="77777777" w:rsidR="00E62558" w:rsidRPr="00D245AD" w:rsidRDefault="00E62558" w:rsidP="00E62558">
      <w:pPr>
        <w:pStyle w:val="Normalpool"/>
      </w:pPr>
    </w:p>
    <w:p w14:paraId="2FE70732" w14:textId="77777777" w:rsidR="00E62558" w:rsidRPr="00D245AD" w:rsidRDefault="00E62558" w:rsidP="00E62558">
      <w:pPr>
        <w:pStyle w:val="Normal-pool"/>
        <w:spacing w:before="60" w:after="120"/>
        <w:ind w:left="1247"/>
        <w:rPr>
          <w:iCs/>
          <w:color w:val="808080" w:themeColor="background1" w:themeShade="80"/>
          <w:sz w:val="17"/>
          <w:szCs w:val="17"/>
        </w:rPr>
        <w:sectPr w:rsidR="00E62558" w:rsidRPr="00D245AD" w:rsidSect="005D23A3">
          <w:footnotePr>
            <w:numRestart w:val="eachSect"/>
          </w:footnotePr>
          <w:type w:val="continuous"/>
          <w:pgSz w:w="11907" w:h="16839"/>
          <w:pgMar w:top="907" w:right="992" w:bottom="1418" w:left="1418" w:header="539" w:footer="975" w:gutter="0"/>
          <w:cols w:space="708"/>
          <w:docGrid w:linePitch="360"/>
        </w:sectPr>
      </w:pPr>
    </w:p>
    <w:p w14:paraId="4D0BD1D8" w14:textId="77777777" w:rsidR="00E62558" w:rsidRPr="00D245AD" w:rsidRDefault="00E62558" w:rsidP="00E62558">
      <w:pPr>
        <w:pStyle w:val="ZZAnxheader"/>
      </w:pPr>
      <w:r w:rsidRPr="00D245AD">
        <w:lastRenderedPageBreak/>
        <w:t>Annex IV</w:t>
      </w:r>
      <w:r w:rsidRPr="00D245AD">
        <w:rPr>
          <w:b w:val="0"/>
          <w:bCs w:val="0"/>
        </w:rPr>
        <w:footnoteReference w:customMarkFollows="1" w:id="20"/>
        <w:t>*</w:t>
      </w:r>
    </w:p>
    <w:p w14:paraId="597E2CA6" w14:textId="77777777" w:rsidR="00E62558" w:rsidRPr="00D245AD" w:rsidRDefault="00E62558" w:rsidP="00E62558">
      <w:pPr>
        <w:pStyle w:val="ZZAnxtitle"/>
        <w:tabs>
          <w:tab w:val="clear" w:pos="1247"/>
        </w:tabs>
        <w:ind w:left="1170"/>
      </w:pPr>
      <w:r w:rsidRPr="00D245AD">
        <w:t>Matrix of expertise needed by the Technology and Economic Assessment Panel as of May 2026</w:t>
      </w:r>
    </w:p>
    <w:tbl>
      <w:tblPr>
        <w:tblStyle w:val="ListTable3-Accent5"/>
        <w:tblW w:w="8307" w:type="dxa"/>
        <w:jc w:val="right"/>
        <w:tblBorders>
          <w:top w:val="none" w:sz="0" w:space="0" w:color="auto"/>
          <w:left w:val="none" w:sz="0" w:space="0" w:color="auto"/>
          <w:bottom w:val="none" w:sz="0" w:space="0" w:color="auto"/>
          <w:right w:val="none" w:sz="0" w:space="0" w:color="auto"/>
        </w:tblBorders>
        <w:tblLayout w:type="fixed"/>
        <w:tblLook w:val="06A0" w:firstRow="1" w:lastRow="0" w:firstColumn="1" w:lastColumn="0" w:noHBand="1" w:noVBand="1"/>
      </w:tblPr>
      <w:tblGrid>
        <w:gridCol w:w="1975"/>
        <w:gridCol w:w="3827"/>
        <w:gridCol w:w="2505"/>
      </w:tblGrid>
      <w:tr w:rsidR="00E62558" w:rsidRPr="00D245AD" w14:paraId="3445FF5B" w14:textId="77777777" w:rsidTr="00A4058A">
        <w:trPr>
          <w:cnfStyle w:val="100000000000" w:firstRow="1" w:lastRow="0" w:firstColumn="0" w:lastColumn="0" w:oddVBand="0" w:evenVBand="0" w:oddHBand="0" w:evenHBand="0" w:firstRowFirstColumn="0" w:firstRowLastColumn="0" w:lastRowFirstColumn="0" w:lastRowLastColumn="0"/>
          <w:trHeight w:val="56"/>
          <w:jc w:val="right"/>
        </w:trPr>
        <w:tc>
          <w:tcPr>
            <w:cnfStyle w:val="001000000100" w:firstRow="0" w:lastRow="0" w:firstColumn="1" w:lastColumn="0" w:oddVBand="0" w:evenVBand="0" w:oddHBand="0" w:evenHBand="0" w:firstRowFirstColumn="1" w:firstRowLastColumn="0" w:lastRowFirstColumn="0" w:lastRowLastColumn="0"/>
            <w:tcW w:w="1975" w:type="dxa"/>
            <w:tcBorders>
              <w:top w:val="single" w:sz="4" w:space="0" w:color="auto"/>
              <w:bottom w:val="single" w:sz="12" w:space="0" w:color="auto"/>
              <w:right w:val="none" w:sz="0" w:space="0" w:color="auto"/>
            </w:tcBorders>
            <w:shd w:val="clear" w:color="auto" w:fill="auto"/>
            <w:tcMar>
              <w:left w:w="108" w:type="dxa"/>
              <w:right w:w="108" w:type="dxa"/>
            </w:tcMar>
            <w:vAlign w:val="center"/>
          </w:tcPr>
          <w:p w14:paraId="5883CCB2" w14:textId="77777777" w:rsidR="00E62558" w:rsidRPr="00930140" w:rsidRDefault="00E62558" w:rsidP="001940D7">
            <w:pPr>
              <w:pStyle w:val="Normal-pool-Table"/>
              <w:rPr>
                <w:color w:val="auto"/>
                <w:szCs w:val="18"/>
              </w:rPr>
            </w:pPr>
            <w:r w:rsidRPr="00930140">
              <w:rPr>
                <w:color w:val="auto"/>
                <w:szCs w:val="18"/>
              </w:rPr>
              <w:t>Body</w:t>
            </w:r>
          </w:p>
        </w:tc>
        <w:tc>
          <w:tcPr>
            <w:tcW w:w="3827" w:type="dxa"/>
            <w:tcBorders>
              <w:top w:val="single" w:sz="4" w:space="0" w:color="auto"/>
              <w:bottom w:val="single" w:sz="12" w:space="0" w:color="auto"/>
            </w:tcBorders>
            <w:shd w:val="clear" w:color="auto" w:fill="auto"/>
            <w:tcMar>
              <w:left w:w="108" w:type="dxa"/>
              <w:right w:w="108" w:type="dxa"/>
            </w:tcMar>
            <w:vAlign w:val="center"/>
          </w:tcPr>
          <w:p w14:paraId="5350B42F" w14:textId="77777777" w:rsidR="00E62558" w:rsidRPr="00930140" w:rsidRDefault="00E62558" w:rsidP="001940D7">
            <w:pPr>
              <w:pStyle w:val="Normal-pool-Table"/>
              <w:cnfStyle w:val="100000000000" w:firstRow="1" w:lastRow="0" w:firstColumn="0" w:lastColumn="0" w:oddVBand="0" w:evenVBand="0" w:oddHBand="0" w:evenHBand="0" w:firstRowFirstColumn="0" w:firstRowLastColumn="0" w:lastRowFirstColumn="0" w:lastRowLastColumn="0"/>
              <w:rPr>
                <w:color w:val="auto"/>
                <w:szCs w:val="18"/>
              </w:rPr>
            </w:pPr>
            <w:r w:rsidRPr="00930140">
              <w:rPr>
                <w:color w:val="auto"/>
                <w:szCs w:val="18"/>
              </w:rPr>
              <w:t>Required Expertise</w:t>
            </w:r>
          </w:p>
        </w:tc>
        <w:tc>
          <w:tcPr>
            <w:tcW w:w="2505" w:type="dxa"/>
            <w:tcBorders>
              <w:top w:val="single" w:sz="4" w:space="0" w:color="auto"/>
              <w:bottom w:val="single" w:sz="12" w:space="0" w:color="auto"/>
            </w:tcBorders>
            <w:shd w:val="clear" w:color="auto" w:fill="auto"/>
            <w:tcMar>
              <w:left w:w="108" w:type="dxa"/>
              <w:right w:w="108" w:type="dxa"/>
            </w:tcMar>
            <w:vAlign w:val="center"/>
          </w:tcPr>
          <w:p w14:paraId="5A1D6203" w14:textId="77777777" w:rsidR="00E62558" w:rsidRPr="00930140" w:rsidRDefault="00E62558" w:rsidP="001940D7">
            <w:pPr>
              <w:pStyle w:val="Normal-pool-Table"/>
              <w:cnfStyle w:val="100000000000" w:firstRow="1" w:lastRow="0" w:firstColumn="0" w:lastColumn="0" w:oddVBand="0" w:evenVBand="0" w:oddHBand="0" w:evenHBand="0" w:firstRowFirstColumn="0" w:firstRowLastColumn="0" w:lastRowFirstColumn="0" w:lastRowLastColumn="0"/>
              <w:rPr>
                <w:color w:val="auto"/>
                <w:szCs w:val="18"/>
              </w:rPr>
            </w:pPr>
            <w:r w:rsidRPr="00930140">
              <w:rPr>
                <w:color w:val="auto"/>
                <w:szCs w:val="18"/>
              </w:rPr>
              <w:t>Article 5/Non-Article 5</w:t>
            </w:r>
          </w:p>
        </w:tc>
      </w:tr>
      <w:tr w:rsidR="00E62558" w:rsidRPr="00D245AD" w14:paraId="02E4BB2B" w14:textId="77777777" w:rsidTr="00992D73">
        <w:trPr>
          <w:trHeight w:val="208"/>
          <w:jc w:val="right"/>
        </w:trPr>
        <w:tc>
          <w:tcPr>
            <w:cnfStyle w:val="001000000000" w:firstRow="0" w:lastRow="0" w:firstColumn="1" w:lastColumn="0" w:oddVBand="0" w:evenVBand="0" w:oddHBand="0" w:evenHBand="0" w:firstRowFirstColumn="0" w:firstRowLastColumn="0" w:lastRowFirstColumn="0" w:lastRowLastColumn="0"/>
            <w:tcW w:w="1975" w:type="dxa"/>
            <w:vMerge w:val="restart"/>
            <w:tcBorders>
              <w:top w:val="single" w:sz="12" w:space="0" w:color="auto"/>
              <w:right w:val="none" w:sz="0" w:space="0" w:color="auto"/>
            </w:tcBorders>
            <w:tcMar>
              <w:left w:w="108" w:type="dxa"/>
              <w:right w:w="108" w:type="dxa"/>
            </w:tcMar>
            <w:vAlign w:val="center"/>
          </w:tcPr>
          <w:p w14:paraId="7C621FF8" w14:textId="77777777" w:rsidR="00E62558" w:rsidRPr="00D245AD" w:rsidRDefault="00E62558" w:rsidP="001940D7">
            <w:pPr>
              <w:pStyle w:val="Normal-pool-Table"/>
              <w:rPr>
                <w:szCs w:val="18"/>
              </w:rPr>
            </w:pPr>
            <w:r w:rsidRPr="00D245AD">
              <w:rPr>
                <w:szCs w:val="18"/>
              </w:rPr>
              <w:t>Fire Suppression Technical Options Committee</w:t>
            </w:r>
          </w:p>
        </w:tc>
        <w:tc>
          <w:tcPr>
            <w:tcW w:w="3827" w:type="dxa"/>
            <w:tcBorders>
              <w:top w:val="single" w:sz="12" w:space="0" w:color="auto"/>
            </w:tcBorders>
            <w:tcMar>
              <w:left w:w="108" w:type="dxa"/>
              <w:right w:w="108" w:type="dxa"/>
            </w:tcMar>
          </w:tcPr>
          <w:p w14:paraId="5B716C19"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Use of HFCs and alternatives</w:t>
            </w:r>
          </w:p>
        </w:tc>
        <w:tc>
          <w:tcPr>
            <w:tcW w:w="2505" w:type="dxa"/>
            <w:tcBorders>
              <w:top w:val="single" w:sz="12" w:space="0" w:color="auto"/>
            </w:tcBorders>
            <w:tcMar>
              <w:left w:w="108" w:type="dxa"/>
              <w:right w:w="108" w:type="dxa"/>
            </w:tcMar>
          </w:tcPr>
          <w:p w14:paraId="294CD06D"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Central and/or South America, Middle East and southern Africa (2)</w:t>
            </w:r>
          </w:p>
        </w:tc>
      </w:tr>
      <w:tr w:rsidR="00E62558" w:rsidRPr="00D245AD" w14:paraId="35BD2D8D" w14:textId="77777777" w:rsidTr="001F12EF">
        <w:trPr>
          <w:trHeight w:val="54"/>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1BED24BC" w14:textId="77777777" w:rsidR="00E62558" w:rsidRPr="00D245AD" w:rsidRDefault="00E62558" w:rsidP="001940D7">
            <w:pPr>
              <w:pStyle w:val="Normal-pool-Table"/>
              <w:rPr>
                <w:szCs w:val="18"/>
              </w:rPr>
            </w:pPr>
          </w:p>
        </w:tc>
        <w:tc>
          <w:tcPr>
            <w:tcW w:w="3827" w:type="dxa"/>
            <w:tcMar>
              <w:left w:w="108" w:type="dxa"/>
              <w:right w:w="108" w:type="dxa"/>
            </w:tcMar>
          </w:tcPr>
          <w:p w14:paraId="73A6F80B"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 xml:space="preserve">Use of halons and alternatives in merchant shipping and recovery from shipbreaking </w:t>
            </w:r>
          </w:p>
        </w:tc>
        <w:tc>
          <w:tcPr>
            <w:tcW w:w="2505" w:type="dxa"/>
            <w:tcMar>
              <w:left w:w="108" w:type="dxa"/>
              <w:right w:w="108" w:type="dxa"/>
            </w:tcMar>
          </w:tcPr>
          <w:p w14:paraId="6786B43B"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Pakistan</w:t>
            </w:r>
          </w:p>
        </w:tc>
      </w:tr>
      <w:tr w:rsidR="00E62558" w:rsidRPr="00D245AD" w14:paraId="52926A66" w14:textId="77777777" w:rsidTr="001F12EF">
        <w:trPr>
          <w:trHeight w:val="244"/>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35894633" w14:textId="77777777" w:rsidR="00E62558" w:rsidRPr="00D245AD" w:rsidRDefault="00E62558" w:rsidP="001940D7">
            <w:pPr>
              <w:pStyle w:val="Normal-pool-Table"/>
              <w:rPr>
                <w:szCs w:val="18"/>
              </w:rPr>
            </w:pPr>
          </w:p>
        </w:tc>
        <w:tc>
          <w:tcPr>
            <w:tcW w:w="3827" w:type="dxa"/>
            <w:tcMar>
              <w:left w:w="108" w:type="dxa"/>
              <w:right w:w="108" w:type="dxa"/>
            </w:tcMar>
          </w:tcPr>
          <w:p w14:paraId="6E56F368"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 xml:space="preserve">Nuclear power plants </w:t>
            </w:r>
          </w:p>
        </w:tc>
        <w:tc>
          <w:tcPr>
            <w:tcW w:w="2505" w:type="dxa"/>
            <w:tcMar>
              <w:left w:w="108" w:type="dxa"/>
              <w:right w:w="108" w:type="dxa"/>
            </w:tcMar>
          </w:tcPr>
          <w:p w14:paraId="18C4D7AB"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A5 and non-A5</w:t>
            </w:r>
          </w:p>
        </w:tc>
      </w:tr>
      <w:tr w:rsidR="00E62558" w:rsidRPr="00D245AD" w14:paraId="78D10BF1" w14:textId="77777777" w:rsidTr="001F12EF">
        <w:trPr>
          <w:trHeight w:val="221"/>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5608BC7F" w14:textId="77777777" w:rsidR="00E62558" w:rsidRPr="00D245AD" w:rsidRDefault="00E62558" w:rsidP="001940D7">
            <w:pPr>
              <w:pStyle w:val="Normal-pool-Table"/>
              <w:rPr>
                <w:szCs w:val="18"/>
              </w:rPr>
            </w:pPr>
          </w:p>
        </w:tc>
        <w:tc>
          <w:tcPr>
            <w:tcW w:w="3827" w:type="dxa"/>
            <w:tcMar>
              <w:left w:w="108" w:type="dxa"/>
              <w:right w:w="108" w:type="dxa"/>
            </w:tcMar>
          </w:tcPr>
          <w:p w14:paraId="28342E21"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 xml:space="preserve">Civil aviation, (especially maintenance, repair and overhaul (MRO) activities) </w:t>
            </w:r>
          </w:p>
        </w:tc>
        <w:tc>
          <w:tcPr>
            <w:tcW w:w="2505" w:type="dxa"/>
            <w:tcMar>
              <w:left w:w="108" w:type="dxa"/>
              <w:right w:w="108" w:type="dxa"/>
            </w:tcMar>
          </w:tcPr>
          <w:p w14:paraId="74DA613B"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A5 and non-A5</w:t>
            </w:r>
          </w:p>
        </w:tc>
      </w:tr>
      <w:tr w:rsidR="00E62558" w:rsidRPr="00D245AD" w14:paraId="00E4E011" w14:textId="77777777" w:rsidTr="001F12EF">
        <w:trPr>
          <w:trHeight w:val="159"/>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06C411F8" w14:textId="77777777" w:rsidR="00E62558" w:rsidRPr="00D245AD" w:rsidRDefault="00E62558" w:rsidP="001940D7">
            <w:pPr>
              <w:pStyle w:val="Normal-pool-Table"/>
              <w:rPr>
                <w:szCs w:val="18"/>
              </w:rPr>
            </w:pPr>
          </w:p>
        </w:tc>
        <w:tc>
          <w:tcPr>
            <w:tcW w:w="3827" w:type="dxa"/>
            <w:tcMar>
              <w:left w:w="108" w:type="dxa"/>
              <w:right w:w="108" w:type="dxa"/>
            </w:tcMar>
          </w:tcPr>
          <w:p w14:paraId="2AF1FC7C"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 xml:space="preserve">Halon and HFC recycling </w:t>
            </w:r>
          </w:p>
        </w:tc>
        <w:tc>
          <w:tcPr>
            <w:tcW w:w="2505" w:type="dxa"/>
            <w:tcMar>
              <w:left w:w="108" w:type="dxa"/>
              <w:right w:w="108" w:type="dxa"/>
            </w:tcMar>
          </w:tcPr>
          <w:p w14:paraId="206FED07"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A5</w:t>
            </w:r>
          </w:p>
        </w:tc>
      </w:tr>
      <w:tr w:rsidR="00E62558" w:rsidRPr="00D245AD" w14:paraId="7A615FC0" w14:textId="77777777" w:rsidTr="001F12EF">
        <w:trPr>
          <w:trHeight w:val="159"/>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67749A54" w14:textId="77777777" w:rsidR="00E62558" w:rsidRPr="00D245AD" w:rsidRDefault="00E62558" w:rsidP="001940D7">
            <w:pPr>
              <w:pStyle w:val="Normal-pool-Table"/>
              <w:rPr>
                <w:szCs w:val="18"/>
              </w:rPr>
            </w:pPr>
          </w:p>
        </w:tc>
        <w:tc>
          <w:tcPr>
            <w:tcW w:w="3827" w:type="dxa"/>
            <w:tcMar>
              <w:left w:w="108" w:type="dxa"/>
              <w:right w:w="108" w:type="dxa"/>
            </w:tcMar>
          </w:tcPr>
          <w:p w14:paraId="7F518485"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 xml:space="preserve">Halon 1301 feedstock use and emissions </w:t>
            </w:r>
          </w:p>
        </w:tc>
        <w:tc>
          <w:tcPr>
            <w:tcW w:w="2505" w:type="dxa"/>
            <w:tcMar>
              <w:left w:w="108" w:type="dxa"/>
              <w:right w:w="108" w:type="dxa"/>
            </w:tcMar>
          </w:tcPr>
          <w:p w14:paraId="7555DF38"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A5 and non-A5</w:t>
            </w:r>
          </w:p>
        </w:tc>
      </w:tr>
      <w:tr w:rsidR="00E62558" w:rsidRPr="00D245AD" w14:paraId="68BE15B9" w14:textId="77777777" w:rsidTr="001F12EF">
        <w:trPr>
          <w:trHeight w:val="1709"/>
          <w:jc w:val="right"/>
        </w:trPr>
        <w:tc>
          <w:tcPr>
            <w:cnfStyle w:val="001000000000" w:firstRow="0" w:lastRow="0" w:firstColumn="1" w:lastColumn="0" w:oddVBand="0" w:evenVBand="0" w:oddHBand="0" w:evenHBand="0" w:firstRowFirstColumn="0" w:firstRowLastColumn="0" w:lastRowFirstColumn="0" w:lastRowLastColumn="0"/>
            <w:tcW w:w="1975" w:type="dxa"/>
            <w:tcBorders>
              <w:right w:val="none" w:sz="0" w:space="0" w:color="auto"/>
            </w:tcBorders>
            <w:tcMar>
              <w:left w:w="108" w:type="dxa"/>
              <w:right w:w="108" w:type="dxa"/>
            </w:tcMar>
          </w:tcPr>
          <w:p w14:paraId="04A3450F" w14:textId="77777777" w:rsidR="00E62558" w:rsidRPr="005D23A3" w:rsidRDefault="00E62558" w:rsidP="001940D7">
            <w:pPr>
              <w:pStyle w:val="Normal-pool-Table"/>
              <w:rPr>
                <w:szCs w:val="18"/>
              </w:rPr>
            </w:pPr>
            <w:r w:rsidRPr="005D23A3">
              <w:rPr>
                <w:szCs w:val="18"/>
              </w:rPr>
              <w:t>Foam Technical Options Committee</w:t>
            </w:r>
          </w:p>
        </w:tc>
        <w:tc>
          <w:tcPr>
            <w:tcW w:w="3827" w:type="dxa"/>
            <w:tcMar>
              <w:left w:w="108" w:type="dxa"/>
              <w:right w:w="108" w:type="dxa"/>
            </w:tcMar>
          </w:tcPr>
          <w:p w14:paraId="069D111E" w14:textId="77777777" w:rsidR="00E62558" w:rsidRPr="005D23A3" w:rsidRDefault="00E62558" w:rsidP="001940D7">
            <w:pPr>
              <w:pStyle w:val="Normal-pool-Table"/>
              <w:spacing w:after="120"/>
              <w:cnfStyle w:val="000000000000" w:firstRow="0" w:lastRow="0" w:firstColumn="0" w:lastColumn="0" w:oddVBand="0" w:evenVBand="0" w:oddHBand="0" w:evenHBand="0" w:firstRowFirstColumn="0" w:firstRowLastColumn="0" w:lastRowFirstColumn="0" w:lastRowLastColumn="0"/>
              <w:rPr>
                <w:szCs w:val="18"/>
              </w:rPr>
            </w:pPr>
            <w:r w:rsidRPr="005D23A3">
              <w:rPr>
                <w:szCs w:val="18"/>
              </w:rPr>
              <w:t>Extruded Polystyrene (XPS) Production in India and China – to replace departing experts.</w:t>
            </w:r>
          </w:p>
          <w:p w14:paraId="52A65602" w14:textId="77777777" w:rsidR="00E62558" w:rsidRPr="005D23A3" w:rsidRDefault="00E62558" w:rsidP="001940D7">
            <w:pPr>
              <w:pStyle w:val="Normal-pool-Table"/>
              <w:spacing w:before="0" w:after="0"/>
              <w:cnfStyle w:val="000000000000" w:firstRow="0" w:lastRow="0" w:firstColumn="0" w:lastColumn="0" w:oddVBand="0" w:evenVBand="0" w:oddHBand="0" w:evenHBand="0" w:firstRowFirstColumn="0" w:firstRowLastColumn="0" w:lastRowFirstColumn="0" w:lastRowLastColumn="0"/>
              <w:rPr>
                <w:szCs w:val="18"/>
              </w:rPr>
            </w:pPr>
            <w:r w:rsidRPr="005D23A3">
              <w:rPr>
                <w:szCs w:val="18"/>
              </w:rPr>
              <w:t xml:space="preserve">Polyurethane system house technical experts – </w:t>
            </w:r>
          </w:p>
          <w:p w14:paraId="523E67B6" w14:textId="638D74CD" w:rsidR="00E62558" w:rsidRPr="005D23A3" w:rsidRDefault="00E62558" w:rsidP="001940D7">
            <w:pPr>
              <w:pStyle w:val="Normal-pool-Table"/>
              <w:spacing w:before="0" w:after="0"/>
              <w:cnfStyle w:val="000000000000" w:firstRow="0" w:lastRow="0" w:firstColumn="0" w:lastColumn="0" w:oddVBand="0" w:evenVBand="0" w:oddHBand="0" w:evenHBand="0" w:firstRowFirstColumn="0" w:firstRowLastColumn="0" w:lastRowFirstColumn="0" w:lastRowLastColumn="0"/>
              <w:rPr>
                <w:szCs w:val="18"/>
              </w:rPr>
            </w:pPr>
            <w:r w:rsidRPr="005D23A3">
              <w:rPr>
                <w:szCs w:val="18"/>
              </w:rPr>
              <w:t xml:space="preserve">particularly from Southern Africa, </w:t>
            </w:r>
            <w:r w:rsidR="00EA55ED" w:rsidRPr="005D23A3">
              <w:rPr>
                <w:szCs w:val="18"/>
              </w:rPr>
              <w:t xml:space="preserve">the Republic of </w:t>
            </w:r>
            <w:r w:rsidRPr="005D23A3">
              <w:rPr>
                <w:szCs w:val="18"/>
              </w:rPr>
              <w:t xml:space="preserve">Korea, </w:t>
            </w:r>
          </w:p>
          <w:p w14:paraId="3F1D9AEB" w14:textId="77777777" w:rsidR="00E62558" w:rsidRPr="005D23A3" w:rsidRDefault="00E62558" w:rsidP="001940D7">
            <w:pPr>
              <w:pStyle w:val="Normal-pool-Table"/>
              <w:spacing w:before="0" w:after="120"/>
              <w:cnfStyle w:val="000000000000" w:firstRow="0" w:lastRow="0" w:firstColumn="0" w:lastColumn="0" w:oddVBand="0" w:evenVBand="0" w:oddHBand="0" w:evenHBand="0" w:firstRowFirstColumn="0" w:firstRowLastColumn="0" w:lastRowFirstColumn="0" w:lastRowLastColumn="0"/>
              <w:rPr>
                <w:szCs w:val="18"/>
              </w:rPr>
            </w:pPr>
            <w:r w:rsidRPr="005D23A3">
              <w:rPr>
                <w:szCs w:val="18"/>
              </w:rPr>
              <w:t xml:space="preserve">the Middle East, Latin American parties, especially experts within small and medium enterprises (SMEs) </w:t>
            </w:r>
          </w:p>
          <w:p w14:paraId="6DCCEF20" w14:textId="77777777" w:rsidR="00E62558" w:rsidRPr="005D23A3"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5D23A3">
              <w:rPr>
                <w:szCs w:val="18"/>
              </w:rPr>
              <w:t>FBA chemistry and foam interactions </w:t>
            </w:r>
          </w:p>
        </w:tc>
        <w:tc>
          <w:tcPr>
            <w:tcW w:w="2505" w:type="dxa"/>
            <w:tcMar>
              <w:left w:w="108" w:type="dxa"/>
              <w:right w:w="108" w:type="dxa"/>
            </w:tcMar>
          </w:tcPr>
          <w:p w14:paraId="69FEA2F2"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A5 or non- A5</w:t>
            </w:r>
          </w:p>
        </w:tc>
      </w:tr>
      <w:tr w:rsidR="00E62558" w:rsidRPr="00D245AD" w14:paraId="5E0ABDDC" w14:textId="77777777" w:rsidTr="001F12EF">
        <w:trPr>
          <w:trHeight w:val="708"/>
          <w:jc w:val="right"/>
        </w:trPr>
        <w:tc>
          <w:tcPr>
            <w:cnfStyle w:val="001000000000" w:firstRow="0" w:lastRow="0" w:firstColumn="1" w:lastColumn="0" w:oddVBand="0" w:evenVBand="0" w:oddHBand="0" w:evenHBand="0" w:firstRowFirstColumn="0" w:firstRowLastColumn="0" w:lastRowFirstColumn="0" w:lastRowLastColumn="0"/>
            <w:tcW w:w="1975" w:type="dxa"/>
            <w:tcBorders>
              <w:right w:val="none" w:sz="0" w:space="0" w:color="auto"/>
            </w:tcBorders>
            <w:tcMar>
              <w:left w:w="108" w:type="dxa"/>
              <w:right w:w="108" w:type="dxa"/>
            </w:tcMar>
          </w:tcPr>
          <w:p w14:paraId="5F54450E" w14:textId="77777777" w:rsidR="00E62558" w:rsidRPr="00D245AD" w:rsidRDefault="00E62558" w:rsidP="001940D7">
            <w:pPr>
              <w:pStyle w:val="Normal-pool-Table"/>
              <w:rPr>
                <w:szCs w:val="18"/>
              </w:rPr>
            </w:pPr>
            <w:r w:rsidRPr="00D245AD">
              <w:rPr>
                <w:szCs w:val="18"/>
              </w:rPr>
              <w:t>Methyl Bromide Technical Options Committee</w:t>
            </w:r>
          </w:p>
        </w:tc>
        <w:tc>
          <w:tcPr>
            <w:tcW w:w="3827" w:type="dxa"/>
            <w:tcMar>
              <w:left w:w="108" w:type="dxa"/>
              <w:right w:w="108" w:type="dxa"/>
            </w:tcMar>
          </w:tcPr>
          <w:p w14:paraId="3EEA04AD"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Members with expertise in MB alternatives used to effectively treat quarantine pests affecting import and export of agricultural commodities globally</w:t>
            </w:r>
          </w:p>
        </w:tc>
        <w:tc>
          <w:tcPr>
            <w:tcW w:w="2505" w:type="dxa"/>
            <w:tcMar>
              <w:left w:w="108" w:type="dxa"/>
              <w:right w:w="108" w:type="dxa"/>
            </w:tcMar>
          </w:tcPr>
          <w:p w14:paraId="32C22B7A"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A5 or non-A5</w:t>
            </w:r>
          </w:p>
        </w:tc>
      </w:tr>
      <w:tr w:rsidR="00E62558" w:rsidRPr="00D245AD" w14:paraId="28CE7BF0" w14:textId="77777777" w:rsidTr="001F12EF">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vMerge w:val="restart"/>
            <w:tcBorders>
              <w:right w:val="none" w:sz="0" w:space="0" w:color="auto"/>
            </w:tcBorders>
            <w:tcMar>
              <w:left w:w="108" w:type="dxa"/>
              <w:right w:w="108" w:type="dxa"/>
            </w:tcMar>
            <w:vAlign w:val="center"/>
          </w:tcPr>
          <w:p w14:paraId="5D229941" w14:textId="77777777" w:rsidR="00E62558" w:rsidRPr="00D245AD" w:rsidRDefault="00E62558" w:rsidP="001940D7">
            <w:pPr>
              <w:pStyle w:val="Normal-pool-Table"/>
              <w:rPr>
                <w:szCs w:val="18"/>
              </w:rPr>
            </w:pPr>
            <w:r w:rsidRPr="00D245AD">
              <w:rPr>
                <w:szCs w:val="18"/>
              </w:rPr>
              <w:t>Medical and Chemical Technical Options Committee</w:t>
            </w:r>
          </w:p>
        </w:tc>
        <w:tc>
          <w:tcPr>
            <w:tcW w:w="3827" w:type="dxa"/>
            <w:tcMar>
              <w:left w:w="108" w:type="dxa"/>
              <w:right w:w="108" w:type="dxa"/>
            </w:tcMar>
          </w:tcPr>
          <w:p w14:paraId="135E47E1"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Aerosols and MDI propellant manufacturing</w:t>
            </w:r>
          </w:p>
        </w:tc>
        <w:tc>
          <w:tcPr>
            <w:tcW w:w="2505" w:type="dxa"/>
            <w:tcMar>
              <w:left w:w="108" w:type="dxa"/>
              <w:right w:w="108" w:type="dxa"/>
            </w:tcMar>
          </w:tcPr>
          <w:p w14:paraId="22F8407B"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A5 (Africa, China, South America), non-A5</w:t>
            </w:r>
          </w:p>
        </w:tc>
      </w:tr>
      <w:tr w:rsidR="00E62558" w:rsidRPr="00D245AD" w14:paraId="1412581C" w14:textId="77777777" w:rsidTr="001F12EF">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tcPr>
          <w:p w14:paraId="14756415" w14:textId="77777777" w:rsidR="00E62558" w:rsidRPr="00D245AD" w:rsidRDefault="00E62558" w:rsidP="001940D7">
            <w:pPr>
              <w:pStyle w:val="Normal-pool-Table"/>
              <w:rPr>
                <w:szCs w:val="18"/>
              </w:rPr>
            </w:pPr>
          </w:p>
        </w:tc>
        <w:tc>
          <w:tcPr>
            <w:tcW w:w="3827" w:type="dxa"/>
            <w:tcMar>
              <w:left w:w="108" w:type="dxa"/>
              <w:right w:w="108" w:type="dxa"/>
            </w:tcMar>
          </w:tcPr>
          <w:p w14:paraId="768D2E73"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CTC and VSLS global manufacturing and use</w:t>
            </w:r>
          </w:p>
        </w:tc>
        <w:tc>
          <w:tcPr>
            <w:tcW w:w="2505" w:type="dxa"/>
            <w:tcMar>
              <w:left w:w="108" w:type="dxa"/>
              <w:right w:w="108" w:type="dxa"/>
            </w:tcMar>
          </w:tcPr>
          <w:p w14:paraId="213BF428"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A5 or non-A5</w:t>
            </w:r>
          </w:p>
        </w:tc>
      </w:tr>
      <w:tr w:rsidR="00E62558" w:rsidRPr="00D245AD" w14:paraId="0EBEE2AA" w14:textId="77777777" w:rsidTr="001F12EF">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tcPr>
          <w:p w14:paraId="1ECAD8C8" w14:textId="77777777" w:rsidR="00E62558" w:rsidRPr="00D245AD" w:rsidRDefault="00E62558" w:rsidP="001940D7">
            <w:pPr>
              <w:pStyle w:val="Normal-pool-Table"/>
              <w:rPr>
                <w:szCs w:val="18"/>
              </w:rPr>
            </w:pPr>
          </w:p>
        </w:tc>
        <w:tc>
          <w:tcPr>
            <w:tcW w:w="3827" w:type="dxa"/>
            <w:tcMar>
              <w:left w:w="108" w:type="dxa"/>
              <w:right w:w="108" w:type="dxa"/>
            </w:tcMar>
          </w:tcPr>
          <w:p w14:paraId="66EB2361"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Semiconductor and other electronics manufacturing</w:t>
            </w:r>
          </w:p>
        </w:tc>
        <w:tc>
          <w:tcPr>
            <w:tcW w:w="2505" w:type="dxa"/>
            <w:tcMar>
              <w:left w:w="108" w:type="dxa"/>
              <w:right w:w="108" w:type="dxa"/>
            </w:tcMar>
          </w:tcPr>
          <w:p w14:paraId="65B93F51"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East Asia, non- A5</w:t>
            </w:r>
          </w:p>
        </w:tc>
      </w:tr>
      <w:tr w:rsidR="00E62558" w:rsidRPr="00D245AD" w14:paraId="54FFAE05" w14:textId="77777777" w:rsidTr="001F12EF">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vAlign w:val="center"/>
          </w:tcPr>
          <w:p w14:paraId="4C0A5E3C" w14:textId="77777777" w:rsidR="00E62558" w:rsidRPr="00D245AD" w:rsidRDefault="00E62558" w:rsidP="001940D7">
            <w:pPr>
              <w:pStyle w:val="Normal-pool-Table"/>
              <w:rPr>
                <w:szCs w:val="18"/>
              </w:rPr>
            </w:pPr>
          </w:p>
        </w:tc>
        <w:tc>
          <w:tcPr>
            <w:tcW w:w="3827" w:type="dxa"/>
            <w:tcMar>
              <w:left w:w="108" w:type="dxa"/>
              <w:right w:w="108" w:type="dxa"/>
            </w:tcMar>
          </w:tcPr>
          <w:p w14:paraId="44CE12C4"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End-of-life management and destruction technologies</w:t>
            </w:r>
          </w:p>
        </w:tc>
        <w:tc>
          <w:tcPr>
            <w:tcW w:w="2505" w:type="dxa"/>
            <w:tcMar>
              <w:left w:w="108" w:type="dxa"/>
              <w:right w:w="108" w:type="dxa"/>
            </w:tcMar>
          </w:tcPr>
          <w:p w14:paraId="30B2C36B"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A5 and non-A5</w:t>
            </w:r>
          </w:p>
        </w:tc>
      </w:tr>
      <w:tr w:rsidR="00E62558" w:rsidRPr="00D245AD" w14:paraId="0092C898" w14:textId="77777777" w:rsidTr="00992D73">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tcBorders>
              <w:right w:val="none" w:sz="0" w:space="0" w:color="auto"/>
            </w:tcBorders>
            <w:vAlign w:val="center"/>
          </w:tcPr>
          <w:p w14:paraId="6FC3E0F6" w14:textId="77777777" w:rsidR="00E62558" w:rsidRPr="00D245AD" w:rsidRDefault="00E62558" w:rsidP="001940D7">
            <w:pPr>
              <w:pStyle w:val="Normal-pool-Table"/>
              <w:rPr>
                <w:szCs w:val="18"/>
              </w:rPr>
            </w:pPr>
            <w:r w:rsidRPr="00D245AD">
              <w:rPr>
                <w:szCs w:val="18"/>
              </w:rPr>
              <w:t>Refrigeration, Air Conditioning and Heat Pumps Technical Options Committee</w:t>
            </w:r>
          </w:p>
        </w:tc>
        <w:tc>
          <w:tcPr>
            <w:tcW w:w="3827" w:type="dxa"/>
            <w:tcMar>
              <w:left w:w="108" w:type="dxa"/>
              <w:right w:w="108" w:type="dxa"/>
            </w:tcMar>
          </w:tcPr>
          <w:p w14:paraId="489A33D4"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No additional expertise needed at this time</w:t>
            </w:r>
          </w:p>
        </w:tc>
        <w:tc>
          <w:tcPr>
            <w:tcW w:w="2505" w:type="dxa"/>
            <w:tcMar>
              <w:left w:w="108" w:type="dxa"/>
              <w:right w:w="108" w:type="dxa"/>
            </w:tcMar>
          </w:tcPr>
          <w:p w14:paraId="5EC32C99" w14:textId="77777777" w:rsidR="00E62558" w:rsidRPr="00D245AD"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p>
        </w:tc>
      </w:tr>
      <w:tr w:rsidR="00E62558" w:rsidRPr="00581216" w14:paraId="33599684" w14:textId="77777777" w:rsidTr="00992D73">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tcBorders>
              <w:bottom w:val="single" w:sz="12" w:space="0" w:color="auto"/>
              <w:right w:val="none" w:sz="0" w:space="0" w:color="auto"/>
            </w:tcBorders>
          </w:tcPr>
          <w:p w14:paraId="1A262EFC" w14:textId="77777777" w:rsidR="00E62558" w:rsidRPr="00D245AD" w:rsidRDefault="00E62558" w:rsidP="001940D7">
            <w:pPr>
              <w:pStyle w:val="Normal-pool-Table"/>
              <w:rPr>
                <w:szCs w:val="18"/>
              </w:rPr>
            </w:pPr>
            <w:r w:rsidRPr="00D245AD">
              <w:rPr>
                <w:szCs w:val="18"/>
              </w:rPr>
              <w:t>Senior Experts</w:t>
            </w:r>
          </w:p>
        </w:tc>
        <w:tc>
          <w:tcPr>
            <w:tcW w:w="3827" w:type="dxa"/>
            <w:tcBorders>
              <w:bottom w:val="single" w:sz="12" w:space="0" w:color="auto"/>
            </w:tcBorders>
            <w:tcMar>
              <w:left w:w="108" w:type="dxa"/>
              <w:right w:w="108" w:type="dxa"/>
            </w:tcMar>
          </w:tcPr>
          <w:p w14:paraId="45E54321" w14:textId="77777777" w:rsidR="00E62558" w:rsidRPr="004E0FB9"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D245AD">
              <w:rPr>
                <w:szCs w:val="18"/>
              </w:rPr>
              <w:t>Current senior expert members provide expertise needed</w:t>
            </w:r>
            <w:r w:rsidRPr="004E0FB9">
              <w:rPr>
                <w:szCs w:val="18"/>
              </w:rPr>
              <w:t xml:space="preserve"> </w:t>
            </w:r>
          </w:p>
        </w:tc>
        <w:tc>
          <w:tcPr>
            <w:tcW w:w="2505" w:type="dxa"/>
            <w:tcBorders>
              <w:bottom w:val="single" w:sz="12" w:space="0" w:color="auto"/>
            </w:tcBorders>
            <w:tcMar>
              <w:left w:w="108" w:type="dxa"/>
              <w:right w:w="108" w:type="dxa"/>
            </w:tcMar>
          </w:tcPr>
          <w:p w14:paraId="074D1635" w14:textId="77777777" w:rsidR="00E62558" w:rsidRPr="004E0FB9"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rPr>
            </w:pPr>
          </w:p>
        </w:tc>
      </w:tr>
    </w:tbl>
    <w:p w14:paraId="0EF026B0" w14:textId="77777777" w:rsidR="00E62558" w:rsidRPr="003B24CA" w:rsidRDefault="00E62558" w:rsidP="00E62558">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E62558" w:rsidRPr="00581216" w14:paraId="3F072148" w14:textId="77777777" w:rsidTr="001940D7">
        <w:tc>
          <w:tcPr>
            <w:tcW w:w="1897" w:type="dxa"/>
          </w:tcPr>
          <w:p w14:paraId="2E08F485" w14:textId="77777777" w:rsidR="00E62558" w:rsidRPr="00581216" w:rsidRDefault="00E62558" w:rsidP="001940D7">
            <w:pPr>
              <w:pStyle w:val="Normal-pool"/>
              <w:spacing w:before="520"/>
            </w:pPr>
          </w:p>
        </w:tc>
        <w:tc>
          <w:tcPr>
            <w:tcW w:w="1897" w:type="dxa"/>
          </w:tcPr>
          <w:p w14:paraId="28997034" w14:textId="77777777" w:rsidR="00E62558" w:rsidRPr="00581216" w:rsidRDefault="00E62558" w:rsidP="001940D7">
            <w:pPr>
              <w:pStyle w:val="Normal-pool"/>
              <w:spacing w:before="520"/>
            </w:pPr>
          </w:p>
        </w:tc>
        <w:tc>
          <w:tcPr>
            <w:tcW w:w="1897" w:type="dxa"/>
            <w:tcBorders>
              <w:bottom w:val="single" w:sz="4" w:space="0" w:color="auto"/>
            </w:tcBorders>
          </w:tcPr>
          <w:p w14:paraId="21724539" w14:textId="77777777" w:rsidR="00E62558" w:rsidRPr="00581216" w:rsidRDefault="00E62558" w:rsidP="001940D7">
            <w:pPr>
              <w:pStyle w:val="Normal-pool"/>
              <w:spacing w:before="520"/>
            </w:pPr>
          </w:p>
        </w:tc>
        <w:tc>
          <w:tcPr>
            <w:tcW w:w="1898" w:type="dxa"/>
          </w:tcPr>
          <w:p w14:paraId="37D65660" w14:textId="77777777" w:rsidR="00E62558" w:rsidRPr="00581216" w:rsidRDefault="00E62558" w:rsidP="001940D7">
            <w:pPr>
              <w:pStyle w:val="Normal-pool"/>
              <w:spacing w:before="520"/>
            </w:pPr>
          </w:p>
        </w:tc>
        <w:tc>
          <w:tcPr>
            <w:tcW w:w="1898" w:type="dxa"/>
          </w:tcPr>
          <w:p w14:paraId="34BC8355" w14:textId="77777777" w:rsidR="00E62558" w:rsidRPr="00581216" w:rsidRDefault="00E62558" w:rsidP="001940D7">
            <w:pPr>
              <w:pStyle w:val="Normal-pool"/>
              <w:spacing w:before="520"/>
            </w:pPr>
          </w:p>
        </w:tc>
      </w:tr>
    </w:tbl>
    <w:p w14:paraId="4D17F272" w14:textId="1E5538F3" w:rsidR="00160E27" w:rsidRPr="00160E27" w:rsidRDefault="00160E27" w:rsidP="00160E27">
      <w:pPr>
        <w:pStyle w:val="Normal-pool"/>
        <w:rPr>
          <w:rFonts w:eastAsiaTheme="minorEastAsia"/>
        </w:rPr>
      </w:pPr>
    </w:p>
    <w:sectPr w:rsidR="00160E27" w:rsidRPr="00160E27" w:rsidSect="00415BBE">
      <w:headerReference w:type="even" r:id="rId18"/>
      <w:headerReference w:type="default" r:id="rId19"/>
      <w:headerReference w:type="first" r:id="rId20"/>
      <w:footerReference w:type="first" r:id="rId21"/>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5071" w14:textId="77777777" w:rsidR="00AD7466" w:rsidRPr="00160E27" w:rsidRDefault="00AD7466">
      <w:r w:rsidRPr="00160E27">
        <w:separator/>
      </w:r>
    </w:p>
  </w:endnote>
  <w:endnote w:type="continuationSeparator" w:id="0">
    <w:p w14:paraId="47D7811A" w14:textId="77777777" w:rsidR="00AD7466" w:rsidRPr="00160E27" w:rsidRDefault="00AD7466">
      <w:r w:rsidRPr="00160E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2636" w14:textId="07F5F895" w:rsidR="00E62558" w:rsidRPr="007A6D6B" w:rsidRDefault="00415BBE" w:rsidP="007A6D6B">
    <w:pPr>
      <w:pStyle w:val="Footer-pool"/>
    </w:pPr>
    <w:r w:rsidRPr="007A6D6B">
      <w:rPr>
        <w:rStyle w:val="PageNumber"/>
        <w:b/>
      </w:rPr>
      <w:fldChar w:fldCharType="begin"/>
    </w:r>
    <w:r w:rsidRPr="007A6D6B">
      <w:rPr>
        <w:rStyle w:val="PageNumber"/>
        <w:b/>
      </w:rPr>
      <w:instrText xml:space="preserve"> PAGE </w:instrText>
    </w:r>
    <w:r w:rsidRPr="007A6D6B">
      <w:rPr>
        <w:rStyle w:val="PageNumber"/>
        <w:b/>
      </w:rPr>
      <w:fldChar w:fldCharType="separate"/>
    </w:r>
    <w:r w:rsidRPr="007A6D6B">
      <w:rPr>
        <w:rStyle w:val="PageNumber"/>
        <w:b/>
      </w:rPr>
      <w:t>13</w:t>
    </w:r>
    <w:r w:rsidRPr="007A6D6B">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006E" w14:textId="72B913E1" w:rsidR="00E62558" w:rsidRPr="009F7857" w:rsidRDefault="00415BBE" w:rsidP="009F7857">
    <w:pPr>
      <w:pStyle w:val="Footer-pool"/>
      <w:jc w:val="right"/>
    </w:pPr>
    <w:r w:rsidRPr="009F7857">
      <w:rPr>
        <w:rStyle w:val="PageNumber"/>
        <w:b/>
      </w:rPr>
      <w:fldChar w:fldCharType="begin"/>
    </w:r>
    <w:r w:rsidRPr="009F7857">
      <w:rPr>
        <w:rStyle w:val="PageNumber"/>
        <w:b/>
      </w:rPr>
      <w:instrText xml:space="preserve"> PAGE \* MERGEFORMAT </w:instrText>
    </w:r>
    <w:r w:rsidRPr="009F7857">
      <w:rPr>
        <w:rStyle w:val="PageNumber"/>
        <w:b/>
      </w:rPr>
      <w:fldChar w:fldCharType="separate"/>
    </w:r>
    <w:r w:rsidRPr="009F7857">
      <w:rPr>
        <w:rStyle w:val="PageNumber"/>
        <w:b/>
      </w:rPr>
      <w:t>13</w:t>
    </w:r>
    <w:r w:rsidRPr="009F7857">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2D85" w14:textId="031D85E5" w:rsidR="00415BBE" w:rsidRDefault="00F13A82" w:rsidP="00415BBE">
    <w:pPr>
      <w:pStyle w:val="Footer-jobnumber"/>
    </w:pPr>
    <w:bookmarkStart w:id="15" w:name="FooterJobDate"/>
    <w:r>
      <w:t>K2607173[E]</w:t>
    </w:r>
    <w:r>
      <w:tab/>
    </w:r>
    <w:r w:rsidR="00AA7C00">
      <w:t>08</w:t>
    </w:r>
    <w:r>
      <w:t>0</w:t>
    </w:r>
    <w:r w:rsidR="00E51DFA">
      <w:t>6</w:t>
    </w:r>
    <w:r>
      <w:t>26</w:t>
    </w:r>
    <w:bookmarkEnd w:id="1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3E59" w14:textId="7FDA0278" w:rsidR="00160E27" w:rsidRPr="00160E27" w:rsidRDefault="00160E27" w:rsidP="00160E27">
    <w:pPr>
      <w:pStyle w:val="Footer-jobnumber"/>
    </w:pPr>
    <w:r w:rsidRPr="00160E27">
      <w:t>Kxxxxxx[E]</w:t>
    </w:r>
    <w:r w:rsidRPr="00160E27">
      <w:tab/>
      <w:t>210526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58266" w14:textId="77777777" w:rsidR="00AD7466" w:rsidRPr="00160E27" w:rsidRDefault="00AD7466" w:rsidP="00C70B49">
      <w:pPr>
        <w:pStyle w:val="Footnote-Separator"/>
        <w:rPr>
          <w:szCs w:val="18"/>
        </w:rPr>
      </w:pPr>
      <w:r w:rsidRPr="00160E27">
        <w:separator/>
      </w:r>
    </w:p>
  </w:footnote>
  <w:footnote w:type="continuationSeparator" w:id="0">
    <w:p w14:paraId="36BABA51" w14:textId="77777777" w:rsidR="00AD7466" w:rsidRPr="00160E27" w:rsidRDefault="00AD7466" w:rsidP="00C70B49">
      <w:pPr>
        <w:pStyle w:val="Footnote-Separator"/>
      </w:pPr>
      <w:r w:rsidRPr="00160E27">
        <w:continuationSeparator/>
      </w:r>
    </w:p>
  </w:footnote>
  <w:footnote w:type="continuationNotice" w:id="1">
    <w:p w14:paraId="431FAFF2" w14:textId="77777777" w:rsidR="00AD7466" w:rsidRPr="00160E27" w:rsidRDefault="00AD7466" w:rsidP="00C70B49">
      <w:pPr>
        <w:pStyle w:val="ASpacer"/>
      </w:pPr>
    </w:p>
  </w:footnote>
  <w:footnote w:id="2">
    <w:p w14:paraId="6FE1CBD2" w14:textId="77777777" w:rsidR="00C421D0" w:rsidRPr="00FF5A15" w:rsidRDefault="00C421D0" w:rsidP="00C421D0">
      <w:pPr>
        <w:pStyle w:val="Footnote-Text"/>
      </w:pPr>
      <w:r w:rsidRPr="00FF5A15">
        <w:rPr>
          <w:rStyle w:val="FootnoteReference"/>
          <w:sz w:val="18"/>
          <w:szCs w:val="20"/>
          <w:vertAlign w:val="baseline"/>
        </w:rPr>
        <w:t>*</w:t>
      </w:r>
      <w:r w:rsidRPr="00FF5A15">
        <w:t xml:space="preserve"> UNEP/OzL.Pro.WG.1/4</w:t>
      </w:r>
      <w:r>
        <w:t>8</w:t>
      </w:r>
      <w:r w:rsidRPr="00FF5A15">
        <w:t>/1.</w:t>
      </w:r>
    </w:p>
  </w:footnote>
  <w:footnote w:id="3">
    <w:p w14:paraId="51D7A07E" w14:textId="68F81EB9" w:rsidR="00E62558" w:rsidRPr="00D71B0C" w:rsidRDefault="00E62558" w:rsidP="00E62558">
      <w:pPr>
        <w:pStyle w:val="Footnote-Text"/>
        <w:rPr>
          <w:szCs w:val="18"/>
        </w:rPr>
      </w:pPr>
      <w:r w:rsidRPr="00D71B0C">
        <w:rPr>
          <w:szCs w:val="18"/>
          <w:vertAlign w:val="superscript"/>
        </w:rPr>
        <w:footnoteRef/>
      </w:r>
      <w:r w:rsidRPr="00D71B0C">
        <w:rPr>
          <w:szCs w:val="18"/>
        </w:rPr>
        <w:t xml:space="preserve"> Available on the portal for the forty-</w:t>
      </w:r>
      <w:r>
        <w:rPr>
          <w:szCs w:val="18"/>
        </w:rPr>
        <w:t>eighth</w:t>
      </w:r>
      <w:r w:rsidRPr="00D71B0C">
        <w:rPr>
          <w:szCs w:val="18"/>
        </w:rPr>
        <w:t xml:space="preserve"> meeting of the Open-ended Working Group at </w:t>
      </w:r>
      <w:hyperlink r:id="rId1" w:history="1">
        <w:r w:rsidRPr="0087257C">
          <w:rPr>
            <w:rStyle w:val="Hyperlink"/>
            <w:szCs w:val="18"/>
          </w:rPr>
          <w:t>https://ozone.unep.org/meetings/48th-meeting-open-ended-working-group-parties/pre-session-documents</w:t>
        </w:r>
      </w:hyperlink>
      <w:r>
        <w:t>.</w:t>
      </w:r>
    </w:p>
  </w:footnote>
  <w:footnote w:id="4">
    <w:p w14:paraId="5834DE89" w14:textId="61F9EE75" w:rsidR="00E62558" w:rsidRPr="00E0168F" w:rsidRDefault="00E62558" w:rsidP="00E62558">
      <w:pPr>
        <w:pStyle w:val="Footnote-Text"/>
      </w:pPr>
      <w:r w:rsidRPr="00E0168F">
        <w:rPr>
          <w:rStyle w:val="FootnoteReference"/>
          <w:sz w:val="18"/>
        </w:rPr>
        <w:footnoteRef/>
      </w:r>
      <w:r w:rsidRPr="00E0168F">
        <w:t xml:space="preserve"> </w:t>
      </w:r>
      <w:hyperlink r:id="rId2" w:history="1">
        <w:r w:rsidR="008525D6" w:rsidRPr="002A7475">
          <w:rPr>
            <w:rStyle w:val="Hyperlink"/>
          </w:rPr>
          <w:t>https://ozone.unep.org/system/files/documents/TEAP-DecisionXXXVII6-replenishment-TF-report-May2026-RTF-report.pdf</w:t>
        </w:r>
      </w:hyperlink>
      <w:r w:rsidR="008C0D5F">
        <w:t>.</w:t>
      </w:r>
    </w:p>
  </w:footnote>
  <w:footnote w:id="5">
    <w:p w14:paraId="7F4A02A9" w14:textId="7431D462" w:rsidR="00E62558" w:rsidRPr="00C026EB" w:rsidRDefault="00E62558" w:rsidP="00E62558">
      <w:pPr>
        <w:pStyle w:val="Footnote-Text"/>
      </w:pPr>
      <w:r w:rsidRPr="00C026EB">
        <w:rPr>
          <w:rStyle w:val="FootnoteReference"/>
          <w:sz w:val="18"/>
        </w:rPr>
        <w:footnoteRef/>
      </w:r>
      <w:r w:rsidRPr="00C026EB">
        <w:t xml:space="preserve"> These allowances comprise an annual average </w:t>
      </w:r>
      <w:r w:rsidR="00CA49D8">
        <w:t xml:space="preserve">of </w:t>
      </w:r>
      <w:r w:rsidRPr="00C026EB">
        <w:t xml:space="preserve">2.5 per cent for servicing of </w:t>
      </w:r>
      <w:r w:rsidR="00E71162" w:rsidRPr="00E71162">
        <w:t xml:space="preserve">existing </w:t>
      </w:r>
      <w:r w:rsidRPr="00C026EB">
        <w:t xml:space="preserve">refrigeration and </w:t>
      </w:r>
      <w:r w:rsidR="00785376">
        <w:t>air</w:t>
      </w:r>
      <w:r w:rsidR="00785376">
        <w:noBreakHyphen/>
      </w:r>
      <w:r w:rsidRPr="00C026EB">
        <w:t>conditioning equipment, servicing of fire suppression and fire protection equipment existing on 1</w:t>
      </w:r>
      <w:r w:rsidR="00785376">
        <w:t> </w:t>
      </w:r>
      <w:r w:rsidRPr="00C026EB">
        <w:t>January</w:t>
      </w:r>
      <w:r w:rsidR="00785376">
        <w:t> </w:t>
      </w:r>
      <w:r w:rsidRPr="00C026EB">
        <w:t>2030, solvent applications in rocket engine manufacturing, and topical medical aerosol for applications for the speciali</w:t>
      </w:r>
      <w:r w:rsidR="00CA49D8">
        <w:t>z</w:t>
      </w:r>
      <w:r w:rsidRPr="00C026EB">
        <w:t>ed treatment of burns.</w:t>
      </w:r>
    </w:p>
  </w:footnote>
  <w:footnote w:id="6">
    <w:p w14:paraId="555505E1" w14:textId="77777777" w:rsidR="00E62558" w:rsidRPr="00C026EB" w:rsidRDefault="00E62558" w:rsidP="00E62558">
      <w:pPr>
        <w:pStyle w:val="Footnote-Text"/>
      </w:pPr>
      <w:r w:rsidRPr="00C026EB">
        <w:rPr>
          <w:rStyle w:val="FootnoteReference"/>
          <w:sz w:val="18"/>
        </w:rPr>
        <w:footnoteRef/>
      </w:r>
      <w:r w:rsidRPr="00C026EB">
        <w:t xml:space="preserve"> Consistent with Executive Committee decision 62/17.</w:t>
      </w:r>
    </w:p>
  </w:footnote>
  <w:footnote w:id="7">
    <w:p w14:paraId="39CF6593" w14:textId="77777777" w:rsidR="00E62558" w:rsidRPr="00D12A53" w:rsidRDefault="00E62558" w:rsidP="00E62558">
      <w:pPr>
        <w:pStyle w:val="Footnote-Text"/>
        <w:rPr>
          <w:szCs w:val="18"/>
        </w:rPr>
      </w:pPr>
      <w:r w:rsidRPr="00D12A53">
        <w:rPr>
          <w:rStyle w:val="FootnoteReference"/>
          <w:sz w:val="18"/>
        </w:rPr>
        <w:footnoteRef/>
      </w:r>
      <w:r w:rsidRPr="00D12A53">
        <w:rPr>
          <w:szCs w:val="18"/>
        </w:rPr>
        <w:t xml:space="preserve"> </w:t>
      </w:r>
      <w:hyperlink r:id="rId3" w:history="1">
        <w:r w:rsidRPr="00D12A53">
          <w:rPr>
            <w:rStyle w:val="Hyperlink"/>
            <w:szCs w:val="18"/>
          </w:rPr>
          <w:t>https://ozone.unep.org/system/files/documents/TEAP-May2026-Progress-Report-vol1.pdf</w:t>
        </w:r>
      </w:hyperlink>
      <w:r w:rsidRPr="00D12A53">
        <w:rPr>
          <w:szCs w:val="18"/>
        </w:rPr>
        <w:t>.</w:t>
      </w:r>
    </w:p>
  </w:footnote>
  <w:footnote w:id="8">
    <w:p w14:paraId="64789443" w14:textId="77777777" w:rsidR="00E62558" w:rsidRPr="002F6474" w:rsidRDefault="00E62558" w:rsidP="00E62558">
      <w:pPr>
        <w:pStyle w:val="Footnote-Text"/>
        <w:rPr>
          <w:szCs w:val="18"/>
        </w:rPr>
      </w:pPr>
      <w:r w:rsidRPr="002F6474">
        <w:rPr>
          <w:rStyle w:val="FootnoteReference"/>
          <w:sz w:val="18"/>
        </w:rPr>
        <w:footnoteRef/>
      </w:r>
      <w:r w:rsidRPr="002F6474">
        <w:rPr>
          <w:szCs w:val="18"/>
          <w:lang w:val="fr-FR"/>
        </w:rPr>
        <w:t xml:space="preserve"> Document UNEP/OzL.Pro.WG.1/47/2 (paras. </w:t>
      </w:r>
      <w:r w:rsidRPr="002F6474">
        <w:rPr>
          <w:szCs w:val="18"/>
        </w:rPr>
        <w:t>17–21) and the addendum thereto UNEP/OzL.Pro.WG.1/47/2/Add.1 (paras. 19–28 and table 1).</w:t>
      </w:r>
    </w:p>
  </w:footnote>
  <w:footnote w:id="9">
    <w:p w14:paraId="00DCC2B5" w14:textId="77777777" w:rsidR="00E62558" w:rsidRPr="00723347" w:rsidRDefault="00E62558" w:rsidP="00E62558">
      <w:pPr>
        <w:pStyle w:val="Footnote-Text"/>
        <w:rPr>
          <w:szCs w:val="18"/>
        </w:rPr>
      </w:pPr>
      <w:r w:rsidRPr="00723347">
        <w:rPr>
          <w:rStyle w:val="FootnoteReference"/>
          <w:sz w:val="18"/>
        </w:rPr>
        <w:footnoteRef/>
      </w:r>
      <w:r w:rsidRPr="00723347">
        <w:rPr>
          <w:szCs w:val="18"/>
          <w:vertAlign w:val="superscript"/>
        </w:rPr>
        <w:t xml:space="preserve"> </w:t>
      </w:r>
      <w:r>
        <w:rPr>
          <w:szCs w:val="18"/>
        </w:rPr>
        <w:t xml:space="preserve">See </w:t>
      </w:r>
      <w:hyperlink r:id="rId4" w:history="1">
        <w:r w:rsidRPr="007C5BFD">
          <w:rPr>
            <w:rStyle w:val="Hyperlink"/>
            <w:szCs w:val="18"/>
          </w:rPr>
          <w:t>https://ozone.unep.org/science/assessment/teap/teap-expertise-required</w:t>
        </w:r>
      </w:hyperlink>
      <w:r w:rsidRPr="00723347">
        <w:rPr>
          <w:szCs w:val="18"/>
        </w:rPr>
        <w:t>.</w:t>
      </w:r>
    </w:p>
  </w:footnote>
  <w:footnote w:id="10">
    <w:p w14:paraId="3026509A" w14:textId="77777777" w:rsidR="00E62558" w:rsidRPr="00FF437C" w:rsidRDefault="00E62558" w:rsidP="00E62558">
      <w:pPr>
        <w:pStyle w:val="Footnote-Text"/>
        <w:rPr>
          <w:szCs w:val="18"/>
        </w:rPr>
      </w:pPr>
      <w:r w:rsidRPr="00FF437C">
        <w:rPr>
          <w:rStyle w:val="FootnoteReference"/>
          <w:sz w:val="18"/>
        </w:rPr>
        <w:footnoteRef/>
      </w:r>
      <w:r w:rsidRPr="00FF437C">
        <w:rPr>
          <w:szCs w:val="18"/>
        </w:rPr>
        <w:t xml:space="preserve"> </w:t>
      </w:r>
      <w:hyperlink r:id="rId5" w:history="1">
        <w:r w:rsidRPr="00FF437C">
          <w:rPr>
            <w:rStyle w:val="Hyperlink"/>
            <w:szCs w:val="18"/>
          </w:rPr>
          <w:t>https://ozone.unep.org/node/1941</w:t>
        </w:r>
      </w:hyperlink>
      <w:r w:rsidRPr="00FF437C">
        <w:rPr>
          <w:szCs w:val="18"/>
        </w:rPr>
        <w:t>.</w:t>
      </w:r>
    </w:p>
  </w:footnote>
  <w:footnote w:id="11">
    <w:p w14:paraId="48EEFC49" w14:textId="231C3C50" w:rsidR="00E62558" w:rsidRPr="00FF437C" w:rsidRDefault="00E62558" w:rsidP="00E62558">
      <w:pPr>
        <w:pStyle w:val="Footnote-Text"/>
        <w:rPr>
          <w:szCs w:val="18"/>
          <w:lang w:val="en-AU"/>
        </w:rPr>
      </w:pPr>
      <w:r w:rsidRPr="00FF437C">
        <w:rPr>
          <w:rStyle w:val="FootnoteReference"/>
          <w:sz w:val="18"/>
        </w:rPr>
        <w:footnoteRef/>
      </w:r>
      <w:r w:rsidRPr="00FF437C">
        <w:rPr>
          <w:szCs w:val="18"/>
        </w:rPr>
        <w:t xml:space="preserve"> Although the submission states that the destruction technology was tested on more than 60 compounds, including perchlorinated and brominated compounds, no supporting data were provided for th</w:t>
      </w:r>
      <w:r w:rsidR="00E00B91">
        <w:rPr>
          <w:szCs w:val="18"/>
        </w:rPr>
        <w:t>o</w:t>
      </w:r>
      <w:r w:rsidRPr="00FF437C">
        <w:rPr>
          <w:szCs w:val="18"/>
        </w:rPr>
        <w:t xml:space="preserve">se compound classes. Therefore, beyond the controlled substance categories where data were presented, no data-based assessment could be made </w:t>
      </w:r>
      <w:r w:rsidR="00A575A5">
        <w:rPr>
          <w:szCs w:val="18"/>
        </w:rPr>
        <w:t>in relation to</w:t>
      </w:r>
      <w:r w:rsidRPr="00FF437C">
        <w:rPr>
          <w:szCs w:val="18"/>
        </w:rPr>
        <w:t xml:space="preserve"> th</w:t>
      </w:r>
      <w:r w:rsidR="00A575A5">
        <w:rPr>
          <w:szCs w:val="18"/>
        </w:rPr>
        <w:t>o</w:t>
      </w:r>
      <w:r w:rsidRPr="00FF437C">
        <w:rPr>
          <w:szCs w:val="18"/>
        </w:rPr>
        <w:t>se other substances.</w:t>
      </w:r>
    </w:p>
  </w:footnote>
  <w:footnote w:id="12">
    <w:p w14:paraId="135167C8" w14:textId="77777777" w:rsidR="00E62558" w:rsidRPr="004D17B1" w:rsidRDefault="00E62558" w:rsidP="00E62558">
      <w:pPr>
        <w:pStyle w:val="Footnote-Text"/>
        <w:rPr>
          <w:szCs w:val="18"/>
        </w:rPr>
      </w:pPr>
      <w:r w:rsidRPr="004D17B1">
        <w:rPr>
          <w:szCs w:val="18"/>
        </w:rPr>
        <w:t>* The annex has not been formally edited.</w:t>
      </w:r>
    </w:p>
  </w:footnote>
  <w:footnote w:id="13">
    <w:p w14:paraId="35072AFD" w14:textId="77777777" w:rsidR="00E62558" w:rsidRPr="004604EE" w:rsidRDefault="00E62558" w:rsidP="00E62558">
      <w:pPr>
        <w:pStyle w:val="Footnote-Text"/>
        <w:rPr>
          <w:szCs w:val="18"/>
          <w:lang w:val="en-US"/>
        </w:rPr>
      </w:pPr>
      <w:r w:rsidRPr="004604EE">
        <w:rPr>
          <w:rStyle w:val="FootnoteReference"/>
          <w:sz w:val="18"/>
        </w:rPr>
        <w:footnoteRef/>
      </w:r>
      <w:r w:rsidRPr="004604EE">
        <w:rPr>
          <w:szCs w:val="18"/>
        </w:rPr>
        <w:t xml:space="preserve"> </w:t>
      </w:r>
      <w:hyperlink r:id="rId6" w:history="1">
        <w:r w:rsidRPr="004604EE">
          <w:rPr>
            <w:rStyle w:val="Hyperlink"/>
            <w:szCs w:val="18"/>
          </w:rPr>
          <w:t>https://www.multilateralfund.org/our-impact</w:t>
        </w:r>
      </w:hyperlink>
      <w:r w:rsidRPr="004604EE">
        <w:rPr>
          <w:szCs w:val="18"/>
        </w:rPr>
        <w:t>.</w:t>
      </w:r>
    </w:p>
  </w:footnote>
  <w:footnote w:id="14">
    <w:p w14:paraId="47BB6D98" w14:textId="37AACC2F" w:rsidR="00E62558" w:rsidRPr="004D17B1" w:rsidRDefault="00E62558" w:rsidP="00E62558">
      <w:pPr>
        <w:pStyle w:val="Footnote-Text"/>
        <w:rPr>
          <w:szCs w:val="18"/>
          <w:lang w:val="en-US"/>
        </w:rPr>
      </w:pPr>
      <w:r w:rsidRPr="004604EE">
        <w:rPr>
          <w:rStyle w:val="FootnoteReference"/>
          <w:sz w:val="18"/>
        </w:rPr>
        <w:footnoteRef/>
      </w:r>
      <w:r w:rsidRPr="004604EE">
        <w:rPr>
          <w:szCs w:val="18"/>
        </w:rPr>
        <w:t xml:space="preserve"> </w:t>
      </w:r>
      <w:hyperlink r:id="rId7" w:history="1">
        <w:r w:rsidR="00CC7DD7" w:rsidRPr="004604EE">
          <w:rPr>
            <w:rStyle w:val="Hyperlink"/>
            <w:szCs w:val="18"/>
          </w:rPr>
          <w:t>https://ozone.unep.org/treaties/montreal-protocol/meetings/thirtieth-meeting-parties/decisions/annex-i-adjustments.</w:t>
        </w:r>
      </w:hyperlink>
    </w:p>
  </w:footnote>
  <w:footnote w:id="15">
    <w:p w14:paraId="7C684525" w14:textId="77777777" w:rsidR="00E62558" w:rsidRPr="00B56062" w:rsidRDefault="00E62558" w:rsidP="00E62558">
      <w:pPr>
        <w:pStyle w:val="Footnote-Text"/>
        <w:rPr>
          <w:lang w:val="en-US"/>
        </w:rPr>
      </w:pPr>
      <w:r w:rsidRPr="00B56062">
        <w:rPr>
          <w:rStyle w:val="FootnoteReference"/>
          <w:sz w:val="18"/>
        </w:rPr>
        <w:footnoteRef/>
      </w:r>
      <w:r w:rsidRPr="00B56062">
        <w:t xml:space="preserve"> </w:t>
      </w:r>
      <w:r w:rsidRPr="00B56062">
        <w:rPr>
          <w:lang w:val="en-US"/>
        </w:rPr>
        <w:t xml:space="preserve">Decision XXVIII/2, para. 2, under the Montreal Protocol refers to Article 5, group 2, parties as Bahrain, India, the Islamic Republic of Iran, Iraq, Kuwait, Oman, Pakistan, Qatar, Saudi Arabia, and the Unted Arab Emirates. </w:t>
      </w:r>
    </w:p>
  </w:footnote>
  <w:footnote w:id="16">
    <w:p w14:paraId="47318FFB" w14:textId="77777777" w:rsidR="00E62558" w:rsidRPr="00B56062" w:rsidRDefault="00E62558" w:rsidP="00E62558">
      <w:pPr>
        <w:pStyle w:val="Footnote-Text"/>
        <w:rPr>
          <w:lang w:val="en-US"/>
        </w:rPr>
      </w:pPr>
      <w:r w:rsidRPr="00B56062">
        <w:rPr>
          <w:rStyle w:val="FootnoteReference"/>
          <w:sz w:val="18"/>
        </w:rPr>
        <w:footnoteRef/>
      </w:r>
      <w:r w:rsidRPr="00B56062">
        <w:t xml:space="preserve"> UNEP/OzL.Pro/ExCom/97/20.</w:t>
      </w:r>
    </w:p>
  </w:footnote>
  <w:footnote w:id="17">
    <w:p w14:paraId="536D6D9E" w14:textId="77777777" w:rsidR="00E62558" w:rsidRPr="00D71B0C" w:rsidRDefault="00E62558" w:rsidP="00E62558">
      <w:pPr>
        <w:pStyle w:val="Footnote-Text"/>
        <w:rPr>
          <w:szCs w:val="18"/>
        </w:rPr>
      </w:pPr>
      <w:r w:rsidRPr="00D71B0C">
        <w:rPr>
          <w:szCs w:val="18"/>
        </w:rPr>
        <w:t>* The annex has not been formally edited.</w:t>
      </w:r>
    </w:p>
  </w:footnote>
  <w:footnote w:id="18">
    <w:p w14:paraId="52653FAB" w14:textId="05A7AE24" w:rsidR="007D6FB1" w:rsidRPr="00FB116F" w:rsidRDefault="007D6FB1" w:rsidP="00FB116F">
      <w:pPr>
        <w:pStyle w:val="FootnoteText"/>
        <w:ind w:left="1276"/>
        <w:rPr>
          <w:sz w:val="18"/>
          <w:szCs w:val="18"/>
        </w:rPr>
      </w:pPr>
      <w:r w:rsidRPr="005D23A3">
        <w:rPr>
          <w:rStyle w:val="FootnoteReference"/>
          <w:sz w:val="18"/>
        </w:rPr>
        <w:footnoteRef/>
      </w:r>
      <w:r w:rsidRPr="005D23A3">
        <w:rPr>
          <w:sz w:val="18"/>
          <w:szCs w:val="18"/>
        </w:rPr>
        <w:t xml:space="preserve"> </w:t>
      </w:r>
      <w:r w:rsidR="00E166A1" w:rsidRPr="005D23A3">
        <w:rPr>
          <w:sz w:val="18"/>
          <w:szCs w:val="18"/>
        </w:rPr>
        <w:t>Announcement of the Issuance of ODS and HFCs Production Quotas in 2026</w:t>
      </w:r>
    </w:p>
  </w:footnote>
  <w:footnote w:id="19">
    <w:p w14:paraId="281333A5" w14:textId="77777777" w:rsidR="00E62558" w:rsidRPr="00D71B0C" w:rsidRDefault="00E62558" w:rsidP="00E62558">
      <w:pPr>
        <w:pStyle w:val="Footnote-Text"/>
        <w:tabs>
          <w:tab w:val="clear" w:pos="1247"/>
          <w:tab w:val="clear" w:pos="1871"/>
          <w:tab w:val="clear" w:pos="2495"/>
          <w:tab w:val="clear" w:pos="3119"/>
          <w:tab w:val="clear" w:pos="3742"/>
          <w:tab w:val="clear" w:pos="4366"/>
        </w:tabs>
        <w:rPr>
          <w:szCs w:val="18"/>
        </w:rPr>
      </w:pPr>
      <w:r w:rsidRPr="00D71B0C">
        <w:rPr>
          <w:szCs w:val="18"/>
        </w:rPr>
        <w:t>* The annex has not been formally edited.</w:t>
      </w:r>
    </w:p>
  </w:footnote>
  <w:footnote w:id="20">
    <w:p w14:paraId="03B11457" w14:textId="77777777" w:rsidR="00E62558" w:rsidRPr="00D71B0C" w:rsidRDefault="00E62558" w:rsidP="00E62558">
      <w:pPr>
        <w:pStyle w:val="Footnote-Text"/>
        <w:tabs>
          <w:tab w:val="clear" w:pos="1247"/>
          <w:tab w:val="clear" w:pos="1871"/>
          <w:tab w:val="clear" w:pos="2495"/>
          <w:tab w:val="clear" w:pos="3119"/>
          <w:tab w:val="clear" w:pos="3742"/>
          <w:tab w:val="clear" w:pos="4366"/>
        </w:tabs>
        <w:rPr>
          <w:szCs w:val="18"/>
        </w:rPr>
      </w:pPr>
      <w:r w:rsidRPr="00D71B0C">
        <w:rPr>
          <w:szCs w:val="18"/>
        </w:rPr>
        <w:t>* The annex has not been formally edited.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0773" w14:textId="2B6073F0" w:rsidR="00E62558" w:rsidRPr="00415BBE" w:rsidRDefault="00AD7466" w:rsidP="00415BBE">
    <w:pPr>
      <w:pStyle w:val="Header-pool"/>
    </w:pPr>
    <w:r>
      <w:rPr>
        <w:noProof/>
      </w:rPr>
      <w:pict w14:anchorId="62FDB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94766" o:spid="_x0000_s1026" type="#_x0000_t136" style="position:absolute;margin-left:0;margin-top:0;width:520.7pt;height:148.75pt;rotation:315;z-index:-251655168;mso-position-horizontal:center;mso-position-horizontal-relative:margin;mso-position-vertical:center;mso-position-vertical-relative:margin" o:allowincell="f" fillcolor="#bfbfbf [2412]" stroked="f">
          <v:fill opacity=".5"/>
          <v:textpath style="font-family:&quot;Times New Roman&quot;;font-size:1pt" string="ADVANCE"/>
          <w10:wrap anchorx="margin" anchory="margin"/>
        </v:shape>
      </w:pict>
    </w:r>
    <w:r w:rsidR="00415BBE">
      <w:fldChar w:fldCharType="begin"/>
    </w:r>
    <w:r w:rsidR="00415BBE">
      <w:instrText xml:space="preserve"> StyleRef A_Symbol </w:instrText>
    </w:r>
    <w:r w:rsidR="00415BBE">
      <w:fldChar w:fldCharType="separate"/>
    </w:r>
    <w:r w:rsidR="00AA7C00">
      <w:rPr>
        <w:noProof/>
      </w:rPr>
      <w:t>UNEP/OzL.Pro.WG.1/48/2/Add.1</w:t>
    </w:r>
    <w:r w:rsidR="00415BB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1012" w14:textId="47BF60C3" w:rsidR="00E62558" w:rsidRPr="00415BBE" w:rsidRDefault="00AD7466" w:rsidP="00415BBE">
    <w:pPr>
      <w:pStyle w:val="Header-pool"/>
      <w:jc w:val="right"/>
    </w:pPr>
    <w:r>
      <w:rPr>
        <w:noProof/>
      </w:rPr>
      <w:pict w14:anchorId="4791C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94767" o:spid="_x0000_s1027" type="#_x0000_t136" style="position:absolute;left:0;text-align:left;margin-left:0;margin-top:0;width:520.7pt;height:148.75pt;rotation:315;z-index:-251653120;mso-position-horizontal:center;mso-position-horizontal-relative:margin;mso-position-vertical:center;mso-position-vertical-relative:margin" o:allowincell="f" fillcolor="#bfbfbf [2412]" stroked="f">
          <v:fill opacity=".5"/>
          <v:textpath style="font-family:&quot;Times New Roman&quot;;font-size:1pt" string="ADVANCE"/>
          <w10:wrap anchorx="margin" anchory="margin"/>
        </v:shape>
      </w:pict>
    </w:r>
    <w:r w:rsidR="00415BBE">
      <w:fldChar w:fldCharType="begin"/>
    </w:r>
    <w:r w:rsidR="00415BBE">
      <w:instrText xml:space="preserve"> StyleRef A_Symbol </w:instrText>
    </w:r>
    <w:r w:rsidR="00415BBE">
      <w:fldChar w:fldCharType="separate"/>
    </w:r>
    <w:r w:rsidR="00AA7C00">
      <w:rPr>
        <w:noProof/>
      </w:rPr>
      <w:t>UNEP/OzL.Pro.WG.1/48/2/Add.1</w:t>
    </w:r>
    <w:r w:rsidR="00415BB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6A40" w14:textId="04DF6D17" w:rsidR="00BE2ACD" w:rsidRDefault="00AD7466" w:rsidP="00BE2ACD">
    <w:pPr>
      <w:pStyle w:val="Header"/>
      <w:pBdr>
        <w:bottom w:val="none" w:sz="0" w:space="0" w:color="auto"/>
      </w:pBdr>
    </w:pPr>
    <w:r>
      <w:rPr>
        <w:noProof/>
      </w:rPr>
      <w:pict w14:anchorId="69E80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94765" o:spid="_x0000_s1025" type="#_x0000_t136" style="position:absolute;margin-left:0;margin-top:0;width:520.7pt;height:148.75pt;rotation:315;z-index:-251657216;mso-position-horizontal:center;mso-position-horizontal-relative:margin;mso-position-vertical:center;mso-position-vertical-relative:margin" o:allowincell="f" fillcolor="#bfbfbf [2412]" stroked="f">
          <v:fill opacity=".5"/>
          <v:textpath style="font-family:&quot;Times New Roman&quot;;font-size:1pt" string="ADVANC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065A" w14:textId="79239906" w:rsidR="00BE2ACD" w:rsidRPr="00415BBE" w:rsidRDefault="00AD7466" w:rsidP="00415BBE">
    <w:pPr>
      <w:pStyle w:val="Header-pool"/>
    </w:pPr>
    <w:r>
      <w:rPr>
        <w:noProof/>
      </w:rPr>
      <w:pict w14:anchorId="1B4A6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94769" o:spid="_x0000_s1031" type="#_x0000_t136" style="position:absolute;margin-left:0;margin-top:0;width:520.7pt;height:148.75pt;rotation:315;z-index:-251644928;mso-position-horizontal:center;mso-position-horizontal-relative:margin;mso-position-vertical:center;mso-position-vertical-relative:margin" o:allowincell="f" fillcolor="#bfbfbf [2412]" stroked="f">
          <v:fill opacity=".5"/>
          <v:textpath style="font-family:&quot;Times New Roman&quot;;font-size:1pt" string="ADVANCE"/>
          <w10:wrap anchorx="margin" anchory="margin"/>
        </v:shape>
      </w:pict>
    </w:r>
    <w:r>
      <w:rPr>
        <w:noProof/>
      </w:rPr>
      <w:pict w14:anchorId="48DDFF18">
        <v:shape id="_x0000_s1030" type="#_x0000_t136" style="position:absolute;margin-left:0;margin-top:0;width:520.7pt;height:148.75pt;rotation:315;z-index:-251646976;mso-position-horizontal:center;mso-position-horizontal-relative:margin;mso-position-vertical:center;mso-position-vertical-relative:margin" o:allowincell="f" fillcolor="#bfbfbf [2412]" stroked="f">
          <v:fill opacity=".5"/>
          <v:textpath style="font-family:&quot;Times New Roman&quot;;font-size:1pt" string="ADVANCE"/>
          <w10:wrap anchorx="margin" anchory="margin"/>
        </v:shape>
      </w:pict>
    </w:r>
    <w:r w:rsidR="00BE2ACD">
      <w:fldChar w:fldCharType="begin"/>
    </w:r>
    <w:r w:rsidR="00BE2ACD">
      <w:instrText xml:space="preserve"> StyleRef A_Symbol </w:instrText>
    </w:r>
    <w:r w:rsidR="00BE2ACD">
      <w:fldChar w:fldCharType="separate"/>
    </w:r>
    <w:r w:rsidR="00AA7C00">
      <w:rPr>
        <w:noProof/>
      </w:rPr>
      <w:t>UNEP/OzL.Pro.WG.1/48/2/Add.1</w:t>
    </w:r>
    <w:r w:rsidR="00BE2AC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5F50" w14:textId="3886CB9E" w:rsidR="00BE2ACD" w:rsidRPr="00415BBE" w:rsidRDefault="00AD7466" w:rsidP="00415BBE">
    <w:pPr>
      <w:pStyle w:val="Header-pool"/>
      <w:jc w:val="right"/>
    </w:pPr>
    <w:r>
      <w:rPr>
        <w:noProof/>
      </w:rPr>
      <w:pict w14:anchorId="2A451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94770" o:spid="_x0000_s1033" type="#_x0000_t136" style="position:absolute;left:0;text-align:left;margin-left:0;margin-top:0;width:520.7pt;height:148.75pt;rotation:315;z-index:-251640832;mso-position-horizontal:center;mso-position-horizontal-relative:margin;mso-position-vertical:center;mso-position-vertical-relative:margin" o:allowincell="f" fillcolor="#bfbfbf [2412]" stroked="f">
          <v:fill opacity=".5"/>
          <v:textpath style="font-family:&quot;Times New Roman&quot;;font-size:1pt" string="ADVANCE"/>
          <w10:wrap anchorx="margin" anchory="margin"/>
        </v:shape>
      </w:pict>
    </w:r>
    <w:r>
      <w:rPr>
        <w:noProof/>
      </w:rPr>
      <w:pict w14:anchorId="46BC5F64">
        <v:shape id="_x0000_s1032" type="#_x0000_t136" style="position:absolute;left:0;text-align:left;margin-left:0;margin-top:0;width:520.7pt;height:148.75pt;rotation:315;z-index:-251642880;mso-position-horizontal:center;mso-position-horizontal-relative:margin;mso-position-vertical:center;mso-position-vertical-relative:margin" o:allowincell="f" fillcolor="#bfbfbf [2412]" stroked="f">
          <v:fill opacity=".5"/>
          <v:textpath style="font-family:&quot;Times New Roman&quot;;font-size:1pt" string="ADVANCE"/>
          <w10:wrap anchorx="margin" anchory="margin"/>
        </v:shape>
      </w:pict>
    </w:r>
    <w:r w:rsidR="00BE2ACD">
      <w:fldChar w:fldCharType="begin"/>
    </w:r>
    <w:r w:rsidR="00BE2ACD">
      <w:instrText xml:space="preserve"> StyleRef A_Symbol </w:instrText>
    </w:r>
    <w:r w:rsidR="00BE2ACD">
      <w:fldChar w:fldCharType="separate"/>
    </w:r>
    <w:r w:rsidR="00BE2ACD">
      <w:rPr>
        <w:noProof/>
      </w:rPr>
      <w:t>UNEP/OzL.Pro.WG.1/48/2/Add.1</w:t>
    </w:r>
    <w:r w:rsidR="00BE2ACD">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54A9" w14:textId="59EC489E" w:rsidR="00BE2ACD" w:rsidRDefault="00AD7466">
    <w:pPr>
      <w:pStyle w:val="Header"/>
    </w:pPr>
    <w:r>
      <w:rPr>
        <w:noProof/>
      </w:rPr>
      <w:pict w14:anchorId="2868D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94768" o:spid="_x0000_s1029" type="#_x0000_t136" style="position:absolute;margin-left:0;margin-top:0;width:520.7pt;height:148.75pt;rotation:315;z-index:-251649024;mso-position-horizontal:center;mso-position-horizontal-relative:margin;mso-position-vertical:center;mso-position-vertical-relative:margin" o:allowincell="f" fillcolor="#bfbfbf [2412]" stroked="f">
          <v:fill opacity=".5"/>
          <v:textpath style="font-family:&quot;Times New Roman&quot;;font-size:1pt" string="ADVANCE"/>
          <w10:wrap anchorx="margin" anchory="margin"/>
        </v:shape>
      </w:pict>
    </w:r>
    <w:r>
      <w:rPr>
        <w:noProof/>
      </w:rPr>
      <w:pict w14:anchorId="28F8C32D">
        <v:shape id="_x0000_s1028" type="#_x0000_t136" style="position:absolute;margin-left:0;margin-top:0;width:520.7pt;height:148.75pt;rotation:315;z-index:-251651072;mso-position-horizontal:center;mso-position-horizontal-relative:margin;mso-position-vertical:center;mso-position-vertical-relative:margin" o:allowincell="f" fillcolor="#bfbfbf [2412]" stroked="f">
          <v:fill opacity=".5"/>
          <v:textpath style="font-family:&quot;Times New Roman&quot;;font-size:1pt" string="ADVA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F00D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589A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80415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3249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9F897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84BF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5093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6419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5A7B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4209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2C07D3E"/>
    <w:multiLevelType w:val="hybridMultilevel"/>
    <w:tmpl w:val="22B4C798"/>
    <w:lvl w:ilvl="0" w:tplc="06A07E12">
      <w:start w:val="1"/>
      <w:numFmt w:val="lowerLetter"/>
      <w:lvlText w:val="(%1)"/>
      <w:lvlJc w:val="left"/>
      <w:pPr>
        <w:ind w:left="2174" w:hanging="360"/>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12" w15:restartNumberingAfterBreak="0">
    <w:nsid w:val="14744EF8"/>
    <w:multiLevelType w:val="hybridMultilevel"/>
    <w:tmpl w:val="06DA3562"/>
    <w:lvl w:ilvl="0" w:tplc="701A21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AC22FF"/>
    <w:multiLevelType w:val="hybridMultilevel"/>
    <w:tmpl w:val="BF90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1CED5E92"/>
    <w:multiLevelType w:val="hybridMultilevel"/>
    <w:tmpl w:val="BADAB9D6"/>
    <w:lvl w:ilvl="0" w:tplc="ACC47476">
      <w:start w:val="1"/>
      <w:numFmt w:val="bullet"/>
      <w:lvlText w:val="–"/>
      <w:lvlJc w:val="left"/>
      <w:pPr>
        <w:ind w:left="1968" w:hanging="360"/>
      </w:pPr>
      <w:rPr>
        <w:rFonts w:ascii="Arial" w:hAnsi="Arial" w:hint="default"/>
      </w:rPr>
    </w:lvl>
    <w:lvl w:ilvl="1" w:tplc="08090003" w:tentative="1">
      <w:start w:val="1"/>
      <w:numFmt w:val="bullet"/>
      <w:lvlText w:val="o"/>
      <w:lvlJc w:val="left"/>
      <w:pPr>
        <w:ind w:left="2688" w:hanging="360"/>
      </w:pPr>
      <w:rPr>
        <w:rFonts w:ascii="Courier New" w:hAnsi="Courier New" w:cs="Courier New" w:hint="default"/>
      </w:rPr>
    </w:lvl>
    <w:lvl w:ilvl="2" w:tplc="08090005" w:tentative="1">
      <w:start w:val="1"/>
      <w:numFmt w:val="bullet"/>
      <w:lvlText w:val=""/>
      <w:lvlJc w:val="left"/>
      <w:pPr>
        <w:ind w:left="3408" w:hanging="360"/>
      </w:pPr>
      <w:rPr>
        <w:rFonts w:ascii="Wingdings" w:hAnsi="Wingdings" w:hint="default"/>
      </w:rPr>
    </w:lvl>
    <w:lvl w:ilvl="3" w:tplc="08090001" w:tentative="1">
      <w:start w:val="1"/>
      <w:numFmt w:val="bullet"/>
      <w:lvlText w:val=""/>
      <w:lvlJc w:val="left"/>
      <w:pPr>
        <w:ind w:left="4128" w:hanging="360"/>
      </w:pPr>
      <w:rPr>
        <w:rFonts w:ascii="Symbol" w:hAnsi="Symbol" w:hint="default"/>
      </w:rPr>
    </w:lvl>
    <w:lvl w:ilvl="4" w:tplc="08090003" w:tentative="1">
      <w:start w:val="1"/>
      <w:numFmt w:val="bullet"/>
      <w:lvlText w:val="o"/>
      <w:lvlJc w:val="left"/>
      <w:pPr>
        <w:ind w:left="4848" w:hanging="360"/>
      </w:pPr>
      <w:rPr>
        <w:rFonts w:ascii="Courier New" w:hAnsi="Courier New" w:cs="Courier New" w:hint="default"/>
      </w:rPr>
    </w:lvl>
    <w:lvl w:ilvl="5" w:tplc="08090005" w:tentative="1">
      <w:start w:val="1"/>
      <w:numFmt w:val="bullet"/>
      <w:lvlText w:val=""/>
      <w:lvlJc w:val="left"/>
      <w:pPr>
        <w:ind w:left="5568" w:hanging="360"/>
      </w:pPr>
      <w:rPr>
        <w:rFonts w:ascii="Wingdings" w:hAnsi="Wingdings" w:hint="default"/>
      </w:rPr>
    </w:lvl>
    <w:lvl w:ilvl="6" w:tplc="08090001" w:tentative="1">
      <w:start w:val="1"/>
      <w:numFmt w:val="bullet"/>
      <w:lvlText w:val=""/>
      <w:lvlJc w:val="left"/>
      <w:pPr>
        <w:ind w:left="6288" w:hanging="360"/>
      </w:pPr>
      <w:rPr>
        <w:rFonts w:ascii="Symbol" w:hAnsi="Symbol" w:hint="default"/>
      </w:rPr>
    </w:lvl>
    <w:lvl w:ilvl="7" w:tplc="08090003" w:tentative="1">
      <w:start w:val="1"/>
      <w:numFmt w:val="bullet"/>
      <w:lvlText w:val="o"/>
      <w:lvlJc w:val="left"/>
      <w:pPr>
        <w:ind w:left="7008" w:hanging="360"/>
      </w:pPr>
      <w:rPr>
        <w:rFonts w:ascii="Courier New" w:hAnsi="Courier New" w:cs="Courier New" w:hint="default"/>
      </w:rPr>
    </w:lvl>
    <w:lvl w:ilvl="8" w:tplc="08090005" w:tentative="1">
      <w:start w:val="1"/>
      <w:numFmt w:val="bullet"/>
      <w:lvlText w:val=""/>
      <w:lvlJc w:val="left"/>
      <w:pPr>
        <w:ind w:left="7728" w:hanging="360"/>
      </w:pPr>
      <w:rPr>
        <w:rFonts w:ascii="Wingdings" w:hAnsi="Wingdings" w:hint="default"/>
      </w:rPr>
    </w:lvl>
  </w:abstractNum>
  <w:abstractNum w:abstractNumId="16" w15:restartNumberingAfterBreak="0">
    <w:nsid w:val="1D242FCE"/>
    <w:multiLevelType w:val="hybridMultilevel"/>
    <w:tmpl w:val="60A877F6"/>
    <w:lvl w:ilvl="0" w:tplc="06A07E12">
      <w:start w:val="1"/>
      <w:numFmt w:val="lowerLetter"/>
      <w:lvlText w:val="(%1)"/>
      <w:lvlJc w:val="left"/>
      <w:pPr>
        <w:ind w:left="2174" w:hanging="360"/>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17" w15:restartNumberingAfterBreak="0">
    <w:nsid w:val="25A9021A"/>
    <w:multiLevelType w:val="hybridMultilevel"/>
    <w:tmpl w:val="9738B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0240F1A"/>
    <w:multiLevelType w:val="hybridMultilevel"/>
    <w:tmpl w:val="5936BDCC"/>
    <w:lvl w:ilvl="0" w:tplc="809ED36C">
      <w:start w:val="1"/>
      <w:numFmt w:val="lowerLetter"/>
      <w:lvlText w:val="(%1)"/>
      <w:lvlJc w:val="left"/>
      <w:pPr>
        <w:ind w:left="1968" w:hanging="360"/>
      </w:pPr>
      <w:rPr>
        <w:rFonts w:hint="default"/>
      </w:rPr>
    </w:lvl>
    <w:lvl w:ilvl="1" w:tplc="FFFFFFFF" w:tentative="1">
      <w:start w:val="1"/>
      <w:numFmt w:val="bullet"/>
      <w:lvlText w:val="o"/>
      <w:lvlJc w:val="left"/>
      <w:pPr>
        <w:ind w:left="2688" w:hanging="360"/>
      </w:pPr>
      <w:rPr>
        <w:rFonts w:ascii="Courier New" w:hAnsi="Courier New" w:cs="Courier New" w:hint="default"/>
      </w:rPr>
    </w:lvl>
    <w:lvl w:ilvl="2" w:tplc="FFFFFFFF" w:tentative="1">
      <w:start w:val="1"/>
      <w:numFmt w:val="bullet"/>
      <w:lvlText w:val=""/>
      <w:lvlJc w:val="left"/>
      <w:pPr>
        <w:ind w:left="3408" w:hanging="360"/>
      </w:pPr>
      <w:rPr>
        <w:rFonts w:ascii="Wingdings" w:hAnsi="Wingdings" w:hint="default"/>
      </w:rPr>
    </w:lvl>
    <w:lvl w:ilvl="3" w:tplc="FFFFFFFF" w:tentative="1">
      <w:start w:val="1"/>
      <w:numFmt w:val="bullet"/>
      <w:lvlText w:val=""/>
      <w:lvlJc w:val="left"/>
      <w:pPr>
        <w:ind w:left="4128" w:hanging="360"/>
      </w:pPr>
      <w:rPr>
        <w:rFonts w:ascii="Symbol" w:hAnsi="Symbol" w:hint="default"/>
      </w:rPr>
    </w:lvl>
    <w:lvl w:ilvl="4" w:tplc="FFFFFFFF" w:tentative="1">
      <w:start w:val="1"/>
      <w:numFmt w:val="bullet"/>
      <w:lvlText w:val="o"/>
      <w:lvlJc w:val="left"/>
      <w:pPr>
        <w:ind w:left="4848" w:hanging="360"/>
      </w:pPr>
      <w:rPr>
        <w:rFonts w:ascii="Courier New" w:hAnsi="Courier New" w:cs="Courier New" w:hint="default"/>
      </w:rPr>
    </w:lvl>
    <w:lvl w:ilvl="5" w:tplc="FFFFFFFF" w:tentative="1">
      <w:start w:val="1"/>
      <w:numFmt w:val="bullet"/>
      <w:lvlText w:val=""/>
      <w:lvlJc w:val="left"/>
      <w:pPr>
        <w:ind w:left="5568" w:hanging="360"/>
      </w:pPr>
      <w:rPr>
        <w:rFonts w:ascii="Wingdings" w:hAnsi="Wingdings" w:hint="default"/>
      </w:rPr>
    </w:lvl>
    <w:lvl w:ilvl="6" w:tplc="FFFFFFFF" w:tentative="1">
      <w:start w:val="1"/>
      <w:numFmt w:val="bullet"/>
      <w:lvlText w:val=""/>
      <w:lvlJc w:val="left"/>
      <w:pPr>
        <w:ind w:left="6288" w:hanging="360"/>
      </w:pPr>
      <w:rPr>
        <w:rFonts w:ascii="Symbol" w:hAnsi="Symbol" w:hint="default"/>
      </w:rPr>
    </w:lvl>
    <w:lvl w:ilvl="7" w:tplc="FFFFFFFF" w:tentative="1">
      <w:start w:val="1"/>
      <w:numFmt w:val="bullet"/>
      <w:lvlText w:val="o"/>
      <w:lvlJc w:val="left"/>
      <w:pPr>
        <w:ind w:left="7008" w:hanging="360"/>
      </w:pPr>
      <w:rPr>
        <w:rFonts w:ascii="Courier New" w:hAnsi="Courier New" w:cs="Courier New" w:hint="default"/>
      </w:rPr>
    </w:lvl>
    <w:lvl w:ilvl="8" w:tplc="FFFFFFFF" w:tentative="1">
      <w:start w:val="1"/>
      <w:numFmt w:val="bullet"/>
      <w:lvlText w:val=""/>
      <w:lvlJc w:val="left"/>
      <w:pPr>
        <w:ind w:left="7728" w:hanging="360"/>
      </w:pPr>
      <w:rPr>
        <w:rFonts w:ascii="Wingdings" w:hAnsi="Wingdings" w:hint="default"/>
      </w:rPr>
    </w:lvl>
  </w:abstractNum>
  <w:abstractNum w:abstractNumId="19"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4013783"/>
    <w:multiLevelType w:val="hybridMultilevel"/>
    <w:tmpl w:val="51FED832"/>
    <w:lvl w:ilvl="0" w:tplc="8578DED0">
      <w:start w:val="1"/>
      <w:numFmt w:val="upperLetter"/>
      <w:lvlText w:val="%1."/>
      <w:lvlJc w:val="left"/>
      <w:pPr>
        <w:ind w:left="1605" w:hanging="360"/>
      </w:pPr>
      <w:rPr>
        <w:rFonts w:hint="default"/>
        <w:color w:val="auto"/>
      </w:rPr>
    </w:lvl>
    <w:lvl w:ilvl="1" w:tplc="08090019" w:tentative="1">
      <w:start w:val="1"/>
      <w:numFmt w:val="lowerLetter"/>
      <w:lvlText w:val="%2."/>
      <w:lvlJc w:val="left"/>
      <w:pPr>
        <w:ind w:left="2325" w:hanging="360"/>
      </w:pPr>
    </w:lvl>
    <w:lvl w:ilvl="2" w:tplc="0809001B" w:tentative="1">
      <w:start w:val="1"/>
      <w:numFmt w:val="lowerRoman"/>
      <w:lvlText w:val="%3."/>
      <w:lvlJc w:val="right"/>
      <w:pPr>
        <w:ind w:left="3045" w:hanging="180"/>
      </w:pPr>
    </w:lvl>
    <w:lvl w:ilvl="3" w:tplc="0809000F" w:tentative="1">
      <w:start w:val="1"/>
      <w:numFmt w:val="decimal"/>
      <w:lvlText w:val="%4."/>
      <w:lvlJc w:val="left"/>
      <w:pPr>
        <w:ind w:left="3765" w:hanging="360"/>
      </w:pPr>
    </w:lvl>
    <w:lvl w:ilvl="4" w:tplc="08090019" w:tentative="1">
      <w:start w:val="1"/>
      <w:numFmt w:val="lowerLetter"/>
      <w:lvlText w:val="%5."/>
      <w:lvlJc w:val="left"/>
      <w:pPr>
        <w:ind w:left="4485" w:hanging="360"/>
      </w:pPr>
    </w:lvl>
    <w:lvl w:ilvl="5" w:tplc="0809001B" w:tentative="1">
      <w:start w:val="1"/>
      <w:numFmt w:val="lowerRoman"/>
      <w:lvlText w:val="%6."/>
      <w:lvlJc w:val="right"/>
      <w:pPr>
        <w:ind w:left="5205" w:hanging="180"/>
      </w:pPr>
    </w:lvl>
    <w:lvl w:ilvl="6" w:tplc="0809000F" w:tentative="1">
      <w:start w:val="1"/>
      <w:numFmt w:val="decimal"/>
      <w:lvlText w:val="%7."/>
      <w:lvlJc w:val="left"/>
      <w:pPr>
        <w:ind w:left="5925" w:hanging="360"/>
      </w:pPr>
    </w:lvl>
    <w:lvl w:ilvl="7" w:tplc="08090019" w:tentative="1">
      <w:start w:val="1"/>
      <w:numFmt w:val="lowerLetter"/>
      <w:lvlText w:val="%8."/>
      <w:lvlJc w:val="left"/>
      <w:pPr>
        <w:ind w:left="6645" w:hanging="360"/>
      </w:pPr>
    </w:lvl>
    <w:lvl w:ilvl="8" w:tplc="0809001B" w:tentative="1">
      <w:start w:val="1"/>
      <w:numFmt w:val="lowerRoman"/>
      <w:lvlText w:val="%9."/>
      <w:lvlJc w:val="right"/>
      <w:pPr>
        <w:ind w:left="7365" w:hanging="180"/>
      </w:pPr>
    </w:lvl>
  </w:abstractNum>
  <w:abstractNum w:abstractNumId="21" w15:restartNumberingAfterBreak="0">
    <w:nsid w:val="351A6BED"/>
    <w:multiLevelType w:val="hybridMultilevel"/>
    <w:tmpl w:val="3E440904"/>
    <w:lvl w:ilvl="0" w:tplc="63EA72E0">
      <w:numFmt w:val="bullet"/>
      <w:lvlText w:val="-"/>
      <w:lvlJc w:val="left"/>
      <w:pPr>
        <w:ind w:left="1968" w:hanging="360"/>
      </w:pPr>
      <w:rPr>
        <w:rFonts w:ascii="Calibri" w:eastAsia="Calibri" w:hAnsi="Calibri" w:cs="Calibri" w:hint="default"/>
        <w:b w:val="0"/>
        <w:bCs w:val="0"/>
        <w:i w:val="0"/>
        <w:iCs w:val="0"/>
        <w:spacing w:val="0"/>
        <w:w w:val="99"/>
        <w:sz w:val="20"/>
        <w:szCs w:val="20"/>
        <w:lang w:val="en-US" w:eastAsia="en-US" w:bidi="ar-SA"/>
      </w:rPr>
    </w:lvl>
    <w:lvl w:ilvl="1" w:tplc="08090003" w:tentative="1">
      <w:start w:val="1"/>
      <w:numFmt w:val="bullet"/>
      <w:lvlText w:val="o"/>
      <w:lvlJc w:val="left"/>
      <w:pPr>
        <w:ind w:left="2688" w:hanging="360"/>
      </w:pPr>
      <w:rPr>
        <w:rFonts w:ascii="Courier New" w:hAnsi="Courier New" w:cs="Courier New" w:hint="default"/>
      </w:rPr>
    </w:lvl>
    <w:lvl w:ilvl="2" w:tplc="08090005" w:tentative="1">
      <w:start w:val="1"/>
      <w:numFmt w:val="bullet"/>
      <w:lvlText w:val=""/>
      <w:lvlJc w:val="left"/>
      <w:pPr>
        <w:ind w:left="3408" w:hanging="360"/>
      </w:pPr>
      <w:rPr>
        <w:rFonts w:ascii="Wingdings" w:hAnsi="Wingdings" w:hint="default"/>
      </w:rPr>
    </w:lvl>
    <w:lvl w:ilvl="3" w:tplc="08090001" w:tentative="1">
      <w:start w:val="1"/>
      <w:numFmt w:val="bullet"/>
      <w:lvlText w:val=""/>
      <w:lvlJc w:val="left"/>
      <w:pPr>
        <w:ind w:left="4128" w:hanging="360"/>
      </w:pPr>
      <w:rPr>
        <w:rFonts w:ascii="Symbol" w:hAnsi="Symbol" w:hint="default"/>
      </w:rPr>
    </w:lvl>
    <w:lvl w:ilvl="4" w:tplc="08090003" w:tentative="1">
      <w:start w:val="1"/>
      <w:numFmt w:val="bullet"/>
      <w:lvlText w:val="o"/>
      <w:lvlJc w:val="left"/>
      <w:pPr>
        <w:ind w:left="4848" w:hanging="360"/>
      </w:pPr>
      <w:rPr>
        <w:rFonts w:ascii="Courier New" w:hAnsi="Courier New" w:cs="Courier New" w:hint="default"/>
      </w:rPr>
    </w:lvl>
    <w:lvl w:ilvl="5" w:tplc="08090005" w:tentative="1">
      <w:start w:val="1"/>
      <w:numFmt w:val="bullet"/>
      <w:lvlText w:val=""/>
      <w:lvlJc w:val="left"/>
      <w:pPr>
        <w:ind w:left="5568" w:hanging="360"/>
      </w:pPr>
      <w:rPr>
        <w:rFonts w:ascii="Wingdings" w:hAnsi="Wingdings" w:hint="default"/>
      </w:rPr>
    </w:lvl>
    <w:lvl w:ilvl="6" w:tplc="08090001" w:tentative="1">
      <w:start w:val="1"/>
      <w:numFmt w:val="bullet"/>
      <w:lvlText w:val=""/>
      <w:lvlJc w:val="left"/>
      <w:pPr>
        <w:ind w:left="6288" w:hanging="360"/>
      </w:pPr>
      <w:rPr>
        <w:rFonts w:ascii="Symbol" w:hAnsi="Symbol" w:hint="default"/>
      </w:rPr>
    </w:lvl>
    <w:lvl w:ilvl="7" w:tplc="08090003" w:tentative="1">
      <w:start w:val="1"/>
      <w:numFmt w:val="bullet"/>
      <w:lvlText w:val="o"/>
      <w:lvlJc w:val="left"/>
      <w:pPr>
        <w:ind w:left="7008" w:hanging="360"/>
      </w:pPr>
      <w:rPr>
        <w:rFonts w:ascii="Courier New" w:hAnsi="Courier New" w:cs="Courier New" w:hint="default"/>
      </w:rPr>
    </w:lvl>
    <w:lvl w:ilvl="8" w:tplc="08090005" w:tentative="1">
      <w:start w:val="1"/>
      <w:numFmt w:val="bullet"/>
      <w:lvlText w:val=""/>
      <w:lvlJc w:val="left"/>
      <w:pPr>
        <w:ind w:left="7728" w:hanging="360"/>
      </w:pPr>
      <w:rPr>
        <w:rFonts w:ascii="Wingdings" w:hAnsi="Wingdings" w:hint="default"/>
      </w:rPr>
    </w:lvl>
  </w:abstractNum>
  <w:abstractNum w:abstractNumId="22" w15:restartNumberingAfterBreak="0">
    <w:nsid w:val="3A9C2E82"/>
    <w:multiLevelType w:val="hybridMultilevel"/>
    <w:tmpl w:val="FB6CF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E452CB8"/>
    <w:multiLevelType w:val="hybridMultilevel"/>
    <w:tmpl w:val="7494C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326C8D"/>
    <w:multiLevelType w:val="hybridMultilevel"/>
    <w:tmpl w:val="6C904A94"/>
    <w:lvl w:ilvl="0" w:tplc="08090001">
      <w:start w:val="1"/>
      <w:numFmt w:val="bullet"/>
      <w:lvlText w:val=""/>
      <w:lvlJc w:val="left"/>
      <w:pPr>
        <w:ind w:left="1967" w:hanging="360"/>
      </w:pPr>
      <w:rPr>
        <w:rFonts w:ascii="Symbol" w:hAnsi="Symbol" w:hint="default"/>
      </w:rPr>
    </w:lvl>
    <w:lvl w:ilvl="1" w:tplc="08090003">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5" w15:restartNumberingAfterBreak="0">
    <w:nsid w:val="45191F42"/>
    <w:multiLevelType w:val="hybridMultilevel"/>
    <w:tmpl w:val="78E464A8"/>
    <w:lvl w:ilvl="0" w:tplc="06A07E12">
      <w:start w:val="1"/>
      <w:numFmt w:val="lowerLetter"/>
      <w:lvlText w:val="(%1)"/>
      <w:lvlJc w:val="left"/>
      <w:pPr>
        <w:ind w:left="2232" w:hanging="360"/>
      </w:pPr>
      <w:rPr>
        <w:rFonts w:hint="default"/>
      </w:rPr>
    </w:lvl>
    <w:lvl w:ilvl="1" w:tplc="FFFFFFFF" w:tentative="1">
      <w:start w:val="1"/>
      <w:numFmt w:val="bullet"/>
      <w:lvlText w:val="o"/>
      <w:lvlJc w:val="left"/>
      <w:pPr>
        <w:ind w:left="2952" w:hanging="360"/>
      </w:pPr>
      <w:rPr>
        <w:rFonts w:ascii="Courier New" w:hAnsi="Courier New" w:cs="Courier New" w:hint="default"/>
      </w:rPr>
    </w:lvl>
    <w:lvl w:ilvl="2" w:tplc="FFFFFFFF" w:tentative="1">
      <w:start w:val="1"/>
      <w:numFmt w:val="bullet"/>
      <w:lvlText w:val=""/>
      <w:lvlJc w:val="left"/>
      <w:pPr>
        <w:ind w:left="3672" w:hanging="360"/>
      </w:pPr>
      <w:rPr>
        <w:rFonts w:ascii="Wingdings" w:hAnsi="Wingdings" w:hint="default"/>
      </w:rPr>
    </w:lvl>
    <w:lvl w:ilvl="3" w:tplc="FFFFFFFF" w:tentative="1">
      <w:start w:val="1"/>
      <w:numFmt w:val="bullet"/>
      <w:lvlText w:val=""/>
      <w:lvlJc w:val="left"/>
      <w:pPr>
        <w:ind w:left="4392" w:hanging="360"/>
      </w:pPr>
      <w:rPr>
        <w:rFonts w:ascii="Symbol" w:hAnsi="Symbol" w:hint="default"/>
      </w:rPr>
    </w:lvl>
    <w:lvl w:ilvl="4" w:tplc="FFFFFFFF" w:tentative="1">
      <w:start w:val="1"/>
      <w:numFmt w:val="bullet"/>
      <w:lvlText w:val="o"/>
      <w:lvlJc w:val="left"/>
      <w:pPr>
        <w:ind w:left="5112" w:hanging="360"/>
      </w:pPr>
      <w:rPr>
        <w:rFonts w:ascii="Courier New" w:hAnsi="Courier New" w:cs="Courier New" w:hint="default"/>
      </w:rPr>
    </w:lvl>
    <w:lvl w:ilvl="5" w:tplc="FFFFFFFF" w:tentative="1">
      <w:start w:val="1"/>
      <w:numFmt w:val="bullet"/>
      <w:lvlText w:val=""/>
      <w:lvlJc w:val="left"/>
      <w:pPr>
        <w:ind w:left="5832" w:hanging="360"/>
      </w:pPr>
      <w:rPr>
        <w:rFonts w:ascii="Wingdings" w:hAnsi="Wingdings" w:hint="default"/>
      </w:rPr>
    </w:lvl>
    <w:lvl w:ilvl="6" w:tplc="FFFFFFFF" w:tentative="1">
      <w:start w:val="1"/>
      <w:numFmt w:val="bullet"/>
      <w:lvlText w:val=""/>
      <w:lvlJc w:val="left"/>
      <w:pPr>
        <w:ind w:left="6552" w:hanging="360"/>
      </w:pPr>
      <w:rPr>
        <w:rFonts w:ascii="Symbol" w:hAnsi="Symbol" w:hint="default"/>
      </w:rPr>
    </w:lvl>
    <w:lvl w:ilvl="7" w:tplc="FFFFFFFF" w:tentative="1">
      <w:start w:val="1"/>
      <w:numFmt w:val="bullet"/>
      <w:lvlText w:val="o"/>
      <w:lvlJc w:val="left"/>
      <w:pPr>
        <w:ind w:left="7272" w:hanging="360"/>
      </w:pPr>
      <w:rPr>
        <w:rFonts w:ascii="Courier New" w:hAnsi="Courier New" w:cs="Courier New" w:hint="default"/>
      </w:rPr>
    </w:lvl>
    <w:lvl w:ilvl="8" w:tplc="FFFFFFFF" w:tentative="1">
      <w:start w:val="1"/>
      <w:numFmt w:val="bullet"/>
      <w:lvlText w:val=""/>
      <w:lvlJc w:val="left"/>
      <w:pPr>
        <w:ind w:left="7992" w:hanging="360"/>
      </w:pPr>
      <w:rPr>
        <w:rFonts w:ascii="Wingdings" w:hAnsi="Wingdings" w:hint="default"/>
      </w:rPr>
    </w:lvl>
  </w:abstractNum>
  <w:abstractNum w:abstractNumId="26" w15:restartNumberingAfterBreak="0">
    <w:nsid w:val="465F7AA2"/>
    <w:multiLevelType w:val="hybridMultilevel"/>
    <w:tmpl w:val="CD54C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23194A"/>
    <w:multiLevelType w:val="hybridMultilevel"/>
    <w:tmpl w:val="DBC4A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B87902"/>
    <w:multiLevelType w:val="hybridMultilevel"/>
    <w:tmpl w:val="0E86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0" w15:restartNumberingAfterBreak="0">
    <w:nsid w:val="5E89699E"/>
    <w:multiLevelType w:val="hybridMultilevel"/>
    <w:tmpl w:val="4774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5C96EC"/>
    <w:multiLevelType w:val="hybridMultilevel"/>
    <w:tmpl w:val="CB3097A0"/>
    <w:lvl w:ilvl="0" w:tplc="4E348306">
      <w:start w:val="1"/>
      <w:numFmt w:val="bullet"/>
      <w:pStyle w:val="ListBulletTEAP"/>
      <w:lvlText w:val=""/>
      <w:lvlJc w:val="left"/>
      <w:pPr>
        <w:ind w:left="720" w:hanging="360"/>
      </w:pPr>
      <w:rPr>
        <w:rFonts w:ascii="Symbol" w:hAnsi="Symbol" w:hint="default"/>
      </w:rPr>
    </w:lvl>
    <w:lvl w:ilvl="1" w:tplc="D5E69562">
      <w:start w:val="1"/>
      <w:numFmt w:val="bullet"/>
      <w:lvlText w:val="o"/>
      <w:lvlJc w:val="left"/>
      <w:pPr>
        <w:ind w:left="1440" w:hanging="360"/>
      </w:pPr>
      <w:rPr>
        <w:rFonts w:ascii="Courier New" w:hAnsi="Courier New" w:hint="default"/>
      </w:rPr>
    </w:lvl>
    <w:lvl w:ilvl="2" w:tplc="5276DE80">
      <w:start w:val="1"/>
      <w:numFmt w:val="bullet"/>
      <w:lvlText w:val=""/>
      <w:lvlJc w:val="left"/>
      <w:pPr>
        <w:ind w:left="2160" w:hanging="360"/>
      </w:pPr>
      <w:rPr>
        <w:rFonts w:ascii="Wingdings" w:hAnsi="Wingdings" w:hint="default"/>
      </w:rPr>
    </w:lvl>
    <w:lvl w:ilvl="3" w:tplc="82D0C802">
      <w:start w:val="1"/>
      <w:numFmt w:val="bullet"/>
      <w:lvlText w:val=""/>
      <w:lvlJc w:val="left"/>
      <w:pPr>
        <w:ind w:left="2880" w:hanging="360"/>
      </w:pPr>
      <w:rPr>
        <w:rFonts w:ascii="Symbol" w:hAnsi="Symbol" w:hint="default"/>
      </w:rPr>
    </w:lvl>
    <w:lvl w:ilvl="4" w:tplc="9C06407E">
      <w:start w:val="1"/>
      <w:numFmt w:val="bullet"/>
      <w:lvlText w:val="o"/>
      <w:lvlJc w:val="left"/>
      <w:pPr>
        <w:ind w:left="3600" w:hanging="360"/>
      </w:pPr>
      <w:rPr>
        <w:rFonts w:ascii="Courier New" w:hAnsi="Courier New" w:hint="default"/>
      </w:rPr>
    </w:lvl>
    <w:lvl w:ilvl="5" w:tplc="981E4F04">
      <w:start w:val="1"/>
      <w:numFmt w:val="bullet"/>
      <w:lvlText w:val=""/>
      <w:lvlJc w:val="left"/>
      <w:pPr>
        <w:ind w:left="4320" w:hanging="360"/>
      </w:pPr>
      <w:rPr>
        <w:rFonts w:ascii="Wingdings" w:hAnsi="Wingdings" w:hint="default"/>
      </w:rPr>
    </w:lvl>
    <w:lvl w:ilvl="6" w:tplc="DC924FE8">
      <w:start w:val="1"/>
      <w:numFmt w:val="bullet"/>
      <w:lvlText w:val=""/>
      <w:lvlJc w:val="left"/>
      <w:pPr>
        <w:ind w:left="5040" w:hanging="360"/>
      </w:pPr>
      <w:rPr>
        <w:rFonts w:ascii="Symbol" w:hAnsi="Symbol" w:hint="default"/>
      </w:rPr>
    </w:lvl>
    <w:lvl w:ilvl="7" w:tplc="C7B0256C">
      <w:start w:val="1"/>
      <w:numFmt w:val="bullet"/>
      <w:lvlText w:val="o"/>
      <w:lvlJc w:val="left"/>
      <w:pPr>
        <w:ind w:left="5760" w:hanging="360"/>
      </w:pPr>
      <w:rPr>
        <w:rFonts w:ascii="Courier New" w:hAnsi="Courier New" w:hint="default"/>
      </w:rPr>
    </w:lvl>
    <w:lvl w:ilvl="8" w:tplc="0812F59C">
      <w:start w:val="1"/>
      <w:numFmt w:val="bullet"/>
      <w:lvlText w:val=""/>
      <w:lvlJc w:val="left"/>
      <w:pPr>
        <w:ind w:left="6480" w:hanging="360"/>
      </w:pPr>
      <w:rPr>
        <w:rFonts w:ascii="Wingdings" w:hAnsi="Wingdings" w:hint="default"/>
      </w:rPr>
    </w:lvl>
  </w:abstractNum>
  <w:abstractNum w:abstractNumId="32" w15:restartNumberingAfterBreak="0">
    <w:nsid w:val="67D05C68"/>
    <w:multiLevelType w:val="hybridMultilevel"/>
    <w:tmpl w:val="9F1CA256"/>
    <w:lvl w:ilvl="0" w:tplc="08090001">
      <w:start w:val="1"/>
      <w:numFmt w:val="bullet"/>
      <w:lvlText w:val=""/>
      <w:lvlJc w:val="left"/>
      <w:pPr>
        <w:ind w:left="2591" w:hanging="360"/>
      </w:pPr>
      <w:rPr>
        <w:rFonts w:ascii="Symbol" w:hAnsi="Symbol" w:hint="default"/>
      </w:rPr>
    </w:lvl>
    <w:lvl w:ilvl="1" w:tplc="08090003" w:tentative="1">
      <w:start w:val="1"/>
      <w:numFmt w:val="bullet"/>
      <w:lvlText w:val="o"/>
      <w:lvlJc w:val="left"/>
      <w:pPr>
        <w:ind w:left="3311" w:hanging="360"/>
      </w:pPr>
      <w:rPr>
        <w:rFonts w:ascii="Courier New" w:hAnsi="Courier New" w:cs="Courier New" w:hint="default"/>
      </w:rPr>
    </w:lvl>
    <w:lvl w:ilvl="2" w:tplc="08090005" w:tentative="1">
      <w:start w:val="1"/>
      <w:numFmt w:val="bullet"/>
      <w:lvlText w:val=""/>
      <w:lvlJc w:val="left"/>
      <w:pPr>
        <w:ind w:left="4031" w:hanging="360"/>
      </w:pPr>
      <w:rPr>
        <w:rFonts w:ascii="Wingdings" w:hAnsi="Wingdings" w:hint="default"/>
      </w:rPr>
    </w:lvl>
    <w:lvl w:ilvl="3" w:tplc="08090001" w:tentative="1">
      <w:start w:val="1"/>
      <w:numFmt w:val="bullet"/>
      <w:lvlText w:val=""/>
      <w:lvlJc w:val="left"/>
      <w:pPr>
        <w:ind w:left="4751" w:hanging="360"/>
      </w:pPr>
      <w:rPr>
        <w:rFonts w:ascii="Symbol" w:hAnsi="Symbol" w:hint="default"/>
      </w:rPr>
    </w:lvl>
    <w:lvl w:ilvl="4" w:tplc="08090003" w:tentative="1">
      <w:start w:val="1"/>
      <w:numFmt w:val="bullet"/>
      <w:lvlText w:val="o"/>
      <w:lvlJc w:val="left"/>
      <w:pPr>
        <w:ind w:left="5471" w:hanging="360"/>
      </w:pPr>
      <w:rPr>
        <w:rFonts w:ascii="Courier New" w:hAnsi="Courier New" w:cs="Courier New" w:hint="default"/>
      </w:rPr>
    </w:lvl>
    <w:lvl w:ilvl="5" w:tplc="08090005" w:tentative="1">
      <w:start w:val="1"/>
      <w:numFmt w:val="bullet"/>
      <w:lvlText w:val=""/>
      <w:lvlJc w:val="left"/>
      <w:pPr>
        <w:ind w:left="6191" w:hanging="360"/>
      </w:pPr>
      <w:rPr>
        <w:rFonts w:ascii="Wingdings" w:hAnsi="Wingdings" w:hint="default"/>
      </w:rPr>
    </w:lvl>
    <w:lvl w:ilvl="6" w:tplc="08090001" w:tentative="1">
      <w:start w:val="1"/>
      <w:numFmt w:val="bullet"/>
      <w:lvlText w:val=""/>
      <w:lvlJc w:val="left"/>
      <w:pPr>
        <w:ind w:left="6911" w:hanging="360"/>
      </w:pPr>
      <w:rPr>
        <w:rFonts w:ascii="Symbol" w:hAnsi="Symbol" w:hint="default"/>
      </w:rPr>
    </w:lvl>
    <w:lvl w:ilvl="7" w:tplc="08090003" w:tentative="1">
      <w:start w:val="1"/>
      <w:numFmt w:val="bullet"/>
      <w:lvlText w:val="o"/>
      <w:lvlJc w:val="left"/>
      <w:pPr>
        <w:ind w:left="7631" w:hanging="360"/>
      </w:pPr>
      <w:rPr>
        <w:rFonts w:ascii="Courier New" w:hAnsi="Courier New" w:cs="Courier New" w:hint="default"/>
      </w:rPr>
    </w:lvl>
    <w:lvl w:ilvl="8" w:tplc="08090005" w:tentative="1">
      <w:start w:val="1"/>
      <w:numFmt w:val="bullet"/>
      <w:lvlText w:val=""/>
      <w:lvlJc w:val="left"/>
      <w:pPr>
        <w:ind w:left="8351" w:hanging="360"/>
      </w:pPr>
      <w:rPr>
        <w:rFonts w:ascii="Wingdings" w:hAnsi="Wingdings" w:hint="default"/>
      </w:rPr>
    </w:lvl>
  </w:abstractNum>
  <w:abstractNum w:abstractNumId="33"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4" w15:restartNumberingAfterBreak="0">
    <w:nsid w:val="71190BC7"/>
    <w:multiLevelType w:val="hybridMultilevel"/>
    <w:tmpl w:val="0096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215237"/>
    <w:multiLevelType w:val="hybridMultilevel"/>
    <w:tmpl w:val="C2E21524"/>
    <w:lvl w:ilvl="0" w:tplc="06A07E12">
      <w:start w:val="1"/>
      <w:numFmt w:val="lowerLetter"/>
      <w:lvlText w:val="(%1)"/>
      <w:lvlJc w:val="left"/>
      <w:pPr>
        <w:ind w:left="2232" w:hanging="360"/>
      </w:pPr>
      <w:rPr>
        <w:rFonts w:hint="default"/>
      </w:rPr>
    </w:lvl>
    <w:lvl w:ilvl="1" w:tplc="08090019" w:tentative="1">
      <w:start w:val="1"/>
      <w:numFmt w:val="lowerLetter"/>
      <w:lvlText w:val="%2."/>
      <w:lvlJc w:val="left"/>
      <w:pPr>
        <w:ind w:left="2952" w:hanging="360"/>
      </w:pPr>
    </w:lvl>
    <w:lvl w:ilvl="2" w:tplc="0809001B" w:tentative="1">
      <w:start w:val="1"/>
      <w:numFmt w:val="lowerRoman"/>
      <w:lvlText w:val="%3."/>
      <w:lvlJc w:val="right"/>
      <w:pPr>
        <w:ind w:left="3672" w:hanging="180"/>
      </w:pPr>
    </w:lvl>
    <w:lvl w:ilvl="3" w:tplc="0809000F" w:tentative="1">
      <w:start w:val="1"/>
      <w:numFmt w:val="decimal"/>
      <w:lvlText w:val="%4."/>
      <w:lvlJc w:val="left"/>
      <w:pPr>
        <w:ind w:left="4392" w:hanging="360"/>
      </w:pPr>
    </w:lvl>
    <w:lvl w:ilvl="4" w:tplc="08090019" w:tentative="1">
      <w:start w:val="1"/>
      <w:numFmt w:val="lowerLetter"/>
      <w:lvlText w:val="%5."/>
      <w:lvlJc w:val="left"/>
      <w:pPr>
        <w:ind w:left="5112" w:hanging="360"/>
      </w:pPr>
    </w:lvl>
    <w:lvl w:ilvl="5" w:tplc="0809001B" w:tentative="1">
      <w:start w:val="1"/>
      <w:numFmt w:val="lowerRoman"/>
      <w:lvlText w:val="%6."/>
      <w:lvlJc w:val="right"/>
      <w:pPr>
        <w:ind w:left="5832" w:hanging="180"/>
      </w:pPr>
    </w:lvl>
    <w:lvl w:ilvl="6" w:tplc="0809000F" w:tentative="1">
      <w:start w:val="1"/>
      <w:numFmt w:val="decimal"/>
      <w:lvlText w:val="%7."/>
      <w:lvlJc w:val="left"/>
      <w:pPr>
        <w:ind w:left="6552" w:hanging="360"/>
      </w:pPr>
    </w:lvl>
    <w:lvl w:ilvl="7" w:tplc="08090019" w:tentative="1">
      <w:start w:val="1"/>
      <w:numFmt w:val="lowerLetter"/>
      <w:lvlText w:val="%8."/>
      <w:lvlJc w:val="left"/>
      <w:pPr>
        <w:ind w:left="7272" w:hanging="360"/>
      </w:pPr>
    </w:lvl>
    <w:lvl w:ilvl="8" w:tplc="0809001B" w:tentative="1">
      <w:start w:val="1"/>
      <w:numFmt w:val="lowerRoman"/>
      <w:lvlText w:val="%9."/>
      <w:lvlJc w:val="right"/>
      <w:pPr>
        <w:ind w:left="7992" w:hanging="180"/>
      </w:pPr>
    </w:lvl>
  </w:abstractNum>
  <w:num w:numId="1" w16cid:durableId="560672902">
    <w:abstractNumId w:val="29"/>
  </w:num>
  <w:num w:numId="2" w16cid:durableId="1242644713">
    <w:abstractNumId w:val="33"/>
  </w:num>
  <w:num w:numId="3" w16cid:durableId="1933662228">
    <w:abstractNumId w:val="19"/>
  </w:num>
  <w:num w:numId="4" w16cid:durableId="1991909117">
    <w:abstractNumId w:val="10"/>
  </w:num>
  <w:num w:numId="5" w16cid:durableId="1138956019">
    <w:abstractNumId w:val="14"/>
  </w:num>
  <w:num w:numId="6" w16cid:durableId="2059281705">
    <w:abstractNumId w:val="9"/>
  </w:num>
  <w:num w:numId="7" w16cid:durableId="790823720">
    <w:abstractNumId w:val="7"/>
  </w:num>
  <w:num w:numId="8" w16cid:durableId="556164269">
    <w:abstractNumId w:val="6"/>
  </w:num>
  <w:num w:numId="9" w16cid:durableId="883368438">
    <w:abstractNumId w:val="5"/>
  </w:num>
  <w:num w:numId="10" w16cid:durableId="1731926964">
    <w:abstractNumId w:val="4"/>
  </w:num>
  <w:num w:numId="11" w16cid:durableId="1688019683">
    <w:abstractNumId w:val="8"/>
  </w:num>
  <w:num w:numId="12" w16cid:durableId="570043636">
    <w:abstractNumId w:val="3"/>
  </w:num>
  <w:num w:numId="13" w16cid:durableId="627318918">
    <w:abstractNumId w:val="2"/>
  </w:num>
  <w:num w:numId="14" w16cid:durableId="1811702310">
    <w:abstractNumId w:val="1"/>
  </w:num>
  <w:num w:numId="15" w16cid:durableId="500241964">
    <w:abstractNumId w:val="0"/>
  </w:num>
  <w:num w:numId="16" w16cid:durableId="341670506">
    <w:abstractNumId w:val="29"/>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7" w16cid:durableId="2143690943">
    <w:abstractNumId w:val="29"/>
    <w:lvlOverride w:ilvl="0">
      <w:lvl w:ilvl="0">
        <w:start w:val="1"/>
        <w:numFmt w:val="decimal"/>
        <w:pStyle w:val="Normalnumber"/>
        <w:lvlText w:val="%1."/>
        <w:lvlJc w:val="left"/>
        <w:pPr>
          <w:tabs>
            <w:tab w:val="num" w:pos="1132"/>
          </w:tabs>
          <w:ind w:left="1756" w:firstLine="0"/>
        </w:pPr>
        <w:rPr>
          <w:rFonts w:hint="default"/>
        </w:rPr>
      </w:lvl>
    </w:lvlOverride>
    <w:lvlOverride w:ilvl="1">
      <w:lvl w:ilvl="1">
        <w:start w:val="1"/>
        <w:numFmt w:val="lowerLetter"/>
        <w:lvlText w:val="(%2)"/>
        <w:lvlJc w:val="left"/>
        <w:pPr>
          <w:tabs>
            <w:tab w:val="num" w:pos="3003"/>
          </w:tabs>
          <w:ind w:left="1756" w:firstLine="623"/>
        </w:pPr>
        <w:rPr>
          <w:rFonts w:hint="default"/>
        </w:rPr>
      </w:lvl>
    </w:lvlOverride>
    <w:lvlOverride w:ilvl="2">
      <w:lvl w:ilvl="2">
        <w:start w:val="1"/>
        <w:numFmt w:val="lowerRoman"/>
        <w:lvlText w:val="(%3)"/>
        <w:lvlJc w:val="left"/>
        <w:pPr>
          <w:tabs>
            <w:tab w:val="num" w:pos="3627"/>
          </w:tabs>
          <w:ind w:left="3627" w:hanging="624"/>
        </w:pPr>
        <w:rPr>
          <w:rFonts w:hint="default"/>
        </w:rPr>
      </w:lvl>
    </w:lvlOverride>
    <w:lvlOverride w:ilvl="3">
      <w:lvl w:ilvl="3">
        <w:start w:val="1"/>
        <w:numFmt w:val="lowerLetter"/>
        <w:lvlText w:val="%4."/>
        <w:lvlJc w:val="left"/>
        <w:pPr>
          <w:tabs>
            <w:tab w:val="num" w:pos="4250"/>
          </w:tabs>
          <w:ind w:left="4250" w:hanging="623"/>
        </w:pPr>
        <w:rPr>
          <w:rFonts w:hint="default"/>
        </w:rPr>
      </w:lvl>
    </w:lvlOverride>
    <w:lvlOverride w:ilvl="4">
      <w:lvl w:ilvl="4">
        <w:start w:val="1"/>
        <w:numFmt w:val="lowerRoman"/>
        <w:lvlText w:val="%5."/>
        <w:lvlJc w:val="left"/>
        <w:pPr>
          <w:tabs>
            <w:tab w:val="num" w:pos="4874"/>
          </w:tabs>
          <w:ind w:left="4874" w:hanging="624"/>
        </w:pPr>
        <w:rPr>
          <w:rFonts w:hint="default"/>
        </w:rPr>
      </w:lvl>
    </w:lvlOverride>
    <w:lvlOverride w:ilvl="5">
      <w:lvl w:ilvl="5">
        <w:start w:val="1"/>
        <w:numFmt w:val="lowerRoman"/>
        <w:lvlText w:val="%6."/>
        <w:lvlJc w:val="right"/>
        <w:pPr>
          <w:tabs>
            <w:tab w:val="num" w:pos="8344"/>
          </w:tabs>
          <w:ind w:left="8344" w:hanging="180"/>
        </w:pPr>
        <w:rPr>
          <w:rFonts w:hint="default"/>
        </w:rPr>
      </w:lvl>
    </w:lvlOverride>
    <w:lvlOverride w:ilvl="6">
      <w:lvl w:ilvl="6">
        <w:start w:val="1"/>
        <w:numFmt w:val="decimal"/>
        <w:lvlText w:val="%7."/>
        <w:lvlJc w:val="left"/>
        <w:pPr>
          <w:tabs>
            <w:tab w:val="num" w:pos="9064"/>
          </w:tabs>
          <w:ind w:left="9064" w:hanging="360"/>
        </w:pPr>
        <w:rPr>
          <w:rFonts w:hint="default"/>
        </w:rPr>
      </w:lvl>
    </w:lvlOverride>
    <w:lvlOverride w:ilvl="7">
      <w:lvl w:ilvl="7">
        <w:start w:val="1"/>
        <w:numFmt w:val="lowerLetter"/>
        <w:lvlText w:val="%8."/>
        <w:lvlJc w:val="left"/>
        <w:pPr>
          <w:tabs>
            <w:tab w:val="num" w:pos="9784"/>
          </w:tabs>
          <w:ind w:left="9784" w:hanging="360"/>
        </w:pPr>
        <w:rPr>
          <w:rFonts w:hint="default"/>
        </w:rPr>
      </w:lvl>
    </w:lvlOverride>
    <w:lvlOverride w:ilvl="8">
      <w:lvl w:ilvl="8">
        <w:start w:val="1"/>
        <w:numFmt w:val="lowerRoman"/>
        <w:lvlText w:val="%9."/>
        <w:lvlJc w:val="right"/>
        <w:pPr>
          <w:tabs>
            <w:tab w:val="num" w:pos="10504"/>
          </w:tabs>
          <w:ind w:left="10504" w:hanging="180"/>
        </w:pPr>
        <w:rPr>
          <w:rFonts w:hint="default"/>
        </w:rPr>
      </w:lvl>
    </w:lvlOverride>
  </w:num>
  <w:num w:numId="18" w16cid:durableId="517044029">
    <w:abstractNumId w:val="31"/>
  </w:num>
  <w:num w:numId="19" w16cid:durableId="539635376">
    <w:abstractNumId w:val="20"/>
  </w:num>
  <w:num w:numId="20" w16cid:durableId="1960990782">
    <w:abstractNumId w:val="15"/>
  </w:num>
  <w:num w:numId="21" w16cid:durableId="622273211">
    <w:abstractNumId w:val="13"/>
  </w:num>
  <w:num w:numId="22" w16cid:durableId="433593738">
    <w:abstractNumId w:val="30"/>
  </w:num>
  <w:num w:numId="23" w16cid:durableId="1290164004">
    <w:abstractNumId w:val="28"/>
  </w:num>
  <w:num w:numId="24" w16cid:durableId="1425801817">
    <w:abstractNumId w:val="26"/>
  </w:num>
  <w:num w:numId="25" w16cid:durableId="1982231103">
    <w:abstractNumId w:val="21"/>
  </w:num>
  <w:num w:numId="26" w16cid:durableId="390690192">
    <w:abstractNumId w:val="34"/>
  </w:num>
  <w:num w:numId="27" w16cid:durableId="548497962">
    <w:abstractNumId w:val="17"/>
  </w:num>
  <w:num w:numId="28" w16cid:durableId="1302613649">
    <w:abstractNumId w:val="27"/>
  </w:num>
  <w:num w:numId="29" w16cid:durableId="1846477267">
    <w:abstractNumId w:val="22"/>
  </w:num>
  <w:num w:numId="30" w16cid:durableId="149367271">
    <w:abstractNumId w:val="18"/>
  </w:num>
  <w:num w:numId="31" w16cid:durableId="1056666893">
    <w:abstractNumId w:val="24"/>
  </w:num>
  <w:num w:numId="32" w16cid:durableId="241767686">
    <w:abstractNumId w:val="29"/>
  </w:num>
  <w:num w:numId="33" w16cid:durableId="1525511044">
    <w:abstractNumId w:val="29"/>
  </w:num>
  <w:num w:numId="34" w16cid:durableId="2031488084">
    <w:abstractNumId w:val="29"/>
  </w:num>
  <w:num w:numId="35" w16cid:durableId="1307513888">
    <w:abstractNumId w:val="29"/>
  </w:num>
  <w:num w:numId="36" w16cid:durableId="1862275793">
    <w:abstractNumId w:val="29"/>
  </w:num>
  <w:num w:numId="37" w16cid:durableId="422802856">
    <w:abstractNumId w:val="29"/>
  </w:num>
  <w:num w:numId="38" w16cid:durableId="306979156">
    <w:abstractNumId w:val="29"/>
  </w:num>
  <w:num w:numId="39" w16cid:durableId="1673289769">
    <w:abstractNumId w:val="29"/>
  </w:num>
  <w:num w:numId="40" w16cid:durableId="248395068">
    <w:abstractNumId w:val="29"/>
  </w:num>
  <w:num w:numId="41" w16cid:durableId="1029792231">
    <w:abstractNumId w:val="29"/>
  </w:num>
  <w:num w:numId="42" w16cid:durableId="1334604356">
    <w:abstractNumId w:val="29"/>
  </w:num>
  <w:num w:numId="43" w16cid:durableId="1808158776">
    <w:abstractNumId w:val="29"/>
  </w:num>
  <w:num w:numId="44" w16cid:durableId="941913644">
    <w:abstractNumId w:val="29"/>
  </w:num>
  <w:num w:numId="45" w16cid:durableId="1826974412">
    <w:abstractNumId w:val="29"/>
  </w:num>
  <w:num w:numId="46" w16cid:durableId="669791964">
    <w:abstractNumId w:val="29"/>
  </w:num>
  <w:num w:numId="47" w16cid:durableId="1281718876">
    <w:abstractNumId w:val="29"/>
  </w:num>
  <w:num w:numId="48" w16cid:durableId="318849916">
    <w:abstractNumId w:val="29"/>
  </w:num>
  <w:num w:numId="49" w16cid:durableId="1435437471">
    <w:abstractNumId w:val="29"/>
  </w:num>
  <w:num w:numId="50" w16cid:durableId="203180521">
    <w:abstractNumId w:val="29"/>
  </w:num>
  <w:num w:numId="51" w16cid:durableId="892498324">
    <w:abstractNumId w:val="29"/>
  </w:num>
  <w:num w:numId="52" w16cid:durableId="551893806">
    <w:abstractNumId w:val="29"/>
  </w:num>
  <w:num w:numId="53" w16cid:durableId="87771453">
    <w:abstractNumId w:val="29"/>
  </w:num>
  <w:num w:numId="54" w16cid:durableId="984970328">
    <w:abstractNumId w:val="29"/>
  </w:num>
  <w:num w:numId="55" w16cid:durableId="957183820">
    <w:abstractNumId w:val="29"/>
  </w:num>
  <w:num w:numId="56" w16cid:durableId="1066495413">
    <w:abstractNumId w:val="29"/>
  </w:num>
  <w:num w:numId="57" w16cid:durableId="850219580">
    <w:abstractNumId w:val="29"/>
  </w:num>
  <w:num w:numId="58" w16cid:durableId="1094789522">
    <w:abstractNumId w:val="29"/>
  </w:num>
  <w:num w:numId="59" w16cid:durableId="833378104">
    <w:abstractNumId w:val="29"/>
  </w:num>
  <w:num w:numId="60" w16cid:durableId="320237646">
    <w:abstractNumId w:val="29"/>
  </w:num>
  <w:num w:numId="61" w16cid:durableId="1009597580">
    <w:abstractNumId w:val="29"/>
  </w:num>
  <w:num w:numId="62" w16cid:durableId="512885058">
    <w:abstractNumId w:val="29"/>
  </w:num>
  <w:num w:numId="63" w16cid:durableId="1478061767">
    <w:abstractNumId w:val="29"/>
  </w:num>
  <w:num w:numId="64" w16cid:durableId="1486429820">
    <w:abstractNumId w:val="29"/>
  </w:num>
  <w:num w:numId="65" w16cid:durableId="116529025">
    <w:abstractNumId w:val="29"/>
  </w:num>
  <w:num w:numId="66" w16cid:durableId="1743872517">
    <w:abstractNumId w:val="29"/>
  </w:num>
  <w:num w:numId="67" w16cid:durableId="1429423903">
    <w:abstractNumId w:val="29"/>
  </w:num>
  <w:num w:numId="68" w16cid:durableId="775713444">
    <w:abstractNumId w:val="29"/>
  </w:num>
  <w:num w:numId="69" w16cid:durableId="1000617186">
    <w:abstractNumId w:val="29"/>
  </w:num>
  <w:num w:numId="70" w16cid:durableId="1153453786">
    <w:abstractNumId w:val="29"/>
  </w:num>
  <w:num w:numId="71" w16cid:durableId="117645665">
    <w:abstractNumId w:val="29"/>
  </w:num>
  <w:num w:numId="72" w16cid:durableId="786311619">
    <w:abstractNumId w:val="29"/>
  </w:num>
  <w:num w:numId="73" w16cid:durableId="467817509">
    <w:abstractNumId w:val="29"/>
  </w:num>
  <w:num w:numId="74" w16cid:durableId="706876654">
    <w:abstractNumId w:val="29"/>
  </w:num>
  <w:num w:numId="75" w16cid:durableId="2099017103">
    <w:abstractNumId w:val="29"/>
  </w:num>
  <w:num w:numId="76" w16cid:durableId="1759599797">
    <w:abstractNumId w:val="29"/>
  </w:num>
  <w:num w:numId="77" w16cid:durableId="1689873570">
    <w:abstractNumId w:val="29"/>
  </w:num>
  <w:num w:numId="78" w16cid:durableId="93287407">
    <w:abstractNumId w:val="29"/>
  </w:num>
  <w:num w:numId="79" w16cid:durableId="1730150560">
    <w:abstractNumId w:val="29"/>
  </w:num>
  <w:num w:numId="80" w16cid:durableId="873540212">
    <w:abstractNumId w:val="29"/>
  </w:num>
  <w:num w:numId="81" w16cid:durableId="475495275">
    <w:abstractNumId w:val="29"/>
  </w:num>
  <w:num w:numId="82" w16cid:durableId="1481925123">
    <w:abstractNumId w:val="29"/>
  </w:num>
  <w:num w:numId="83" w16cid:durableId="142435229">
    <w:abstractNumId w:val="29"/>
  </w:num>
  <w:num w:numId="84" w16cid:durableId="1507136268">
    <w:abstractNumId w:val="29"/>
  </w:num>
  <w:num w:numId="85" w16cid:durableId="1947225072">
    <w:abstractNumId w:val="29"/>
  </w:num>
  <w:num w:numId="86" w16cid:durableId="437332014">
    <w:abstractNumId w:val="29"/>
  </w:num>
  <w:num w:numId="87" w16cid:durableId="1177647436">
    <w:abstractNumId w:val="29"/>
  </w:num>
  <w:num w:numId="88" w16cid:durableId="1385181627">
    <w:abstractNumId w:val="29"/>
  </w:num>
  <w:num w:numId="89" w16cid:durableId="1159424316">
    <w:abstractNumId w:val="29"/>
  </w:num>
  <w:num w:numId="90" w16cid:durableId="1064452366">
    <w:abstractNumId w:val="29"/>
  </w:num>
  <w:num w:numId="91" w16cid:durableId="1221787977">
    <w:abstractNumId w:val="29"/>
  </w:num>
  <w:num w:numId="92" w16cid:durableId="972519913">
    <w:abstractNumId w:val="29"/>
  </w:num>
  <w:num w:numId="93" w16cid:durableId="1293171172">
    <w:abstractNumId w:val="29"/>
  </w:num>
  <w:num w:numId="94" w16cid:durableId="1634360723">
    <w:abstractNumId w:val="29"/>
  </w:num>
  <w:num w:numId="95" w16cid:durableId="794257896">
    <w:abstractNumId w:val="29"/>
  </w:num>
  <w:num w:numId="96" w16cid:durableId="1814902635">
    <w:abstractNumId w:val="29"/>
  </w:num>
  <w:num w:numId="97" w16cid:durableId="494537828">
    <w:abstractNumId w:val="29"/>
  </w:num>
  <w:num w:numId="98" w16cid:durableId="1363436486">
    <w:abstractNumId w:val="29"/>
  </w:num>
  <w:num w:numId="99" w16cid:durableId="1807771688">
    <w:abstractNumId w:val="29"/>
  </w:num>
  <w:num w:numId="100" w16cid:durableId="1409226925">
    <w:abstractNumId w:val="29"/>
  </w:num>
  <w:num w:numId="101" w16cid:durableId="1441218618">
    <w:abstractNumId w:val="29"/>
  </w:num>
  <w:num w:numId="102" w16cid:durableId="7759142">
    <w:abstractNumId w:val="29"/>
  </w:num>
  <w:num w:numId="103" w16cid:durableId="1153764363">
    <w:abstractNumId w:val="12"/>
  </w:num>
  <w:num w:numId="104" w16cid:durableId="1573150954">
    <w:abstractNumId w:val="23"/>
  </w:num>
  <w:num w:numId="105" w16cid:durableId="1954088645">
    <w:abstractNumId w:val="29"/>
  </w:num>
  <w:num w:numId="106" w16cid:durableId="1186868038">
    <w:abstractNumId w:val="32"/>
  </w:num>
  <w:num w:numId="107" w16cid:durableId="911427144">
    <w:abstractNumId w:val="35"/>
  </w:num>
  <w:num w:numId="108" w16cid:durableId="1806506253">
    <w:abstractNumId w:val="25"/>
  </w:num>
  <w:num w:numId="109" w16cid:durableId="991757662">
    <w:abstractNumId w:val="11"/>
  </w:num>
  <w:num w:numId="110" w16cid:durableId="693842584">
    <w:abstractNumId w:val="1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5F"/>
    <w:rsid w:val="00000E70"/>
    <w:rsid w:val="00001112"/>
    <w:rsid w:val="0000235D"/>
    <w:rsid w:val="00005D80"/>
    <w:rsid w:val="000074E0"/>
    <w:rsid w:val="00007545"/>
    <w:rsid w:val="000079AC"/>
    <w:rsid w:val="00013F7F"/>
    <w:rsid w:val="000149E6"/>
    <w:rsid w:val="00016AF3"/>
    <w:rsid w:val="000176F9"/>
    <w:rsid w:val="000208C8"/>
    <w:rsid w:val="000217AB"/>
    <w:rsid w:val="000239E6"/>
    <w:rsid w:val="00023A0A"/>
    <w:rsid w:val="000247B0"/>
    <w:rsid w:val="000248BE"/>
    <w:rsid w:val="00026997"/>
    <w:rsid w:val="00030891"/>
    <w:rsid w:val="00030FB4"/>
    <w:rsid w:val="00033BEC"/>
    <w:rsid w:val="00033E0B"/>
    <w:rsid w:val="000349D7"/>
    <w:rsid w:val="00035EDE"/>
    <w:rsid w:val="00037937"/>
    <w:rsid w:val="00042A61"/>
    <w:rsid w:val="00042E7E"/>
    <w:rsid w:val="000430F9"/>
    <w:rsid w:val="00043E48"/>
    <w:rsid w:val="0004691D"/>
    <w:rsid w:val="000509B4"/>
    <w:rsid w:val="0005281B"/>
    <w:rsid w:val="00056156"/>
    <w:rsid w:val="00056B2C"/>
    <w:rsid w:val="00060139"/>
    <w:rsid w:val="0006035B"/>
    <w:rsid w:val="00064452"/>
    <w:rsid w:val="0006497E"/>
    <w:rsid w:val="00065921"/>
    <w:rsid w:val="00065FC1"/>
    <w:rsid w:val="00067CBC"/>
    <w:rsid w:val="0007166E"/>
    <w:rsid w:val="00071886"/>
    <w:rsid w:val="000721F2"/>
    <w:rsid w:val="00073901"/>
    <w:rsid w:val="000742BC"/>
    <w:rsid w:val="00074BF0"/>
    <w:rsid w:val="00076F38"/>
    <w:rsid w:val="00077985"/>
    <w:rsid w:val="0008041D"/>
    <w:rsid w:val="0008042B"/>
    <w:rsid w:val="0008057F"/>
    <w:rsid w:val="000828D9"/>
    <w:rsid w:val="00082A0C"/>
    <w:rsid w:val="00082DCD"/>
    <w:rsid w:val="00083504"/>
    <w:rsid w:val="00083D1F"/>
    <w:rsid w:val="000845B1"/>
    <w:rsid w:val="00084E6B"/>
    <w:rsid w:val="000857B8"/>
    <w:rsid w:val="00085E4A"/>
    <w:rsid w:val="0008710B"/>
    <w:rsid w:val="0008735D"/>
    <w:rsid w:val="00093ABD"/>
    <w:rsid w:val="00093DED"/>
    <w:rsid w:val="0009640C"/>
    <w:rsid w:val="0009671F"/>
    <w:rsid w:val="000A14F4"/>
    <w:rsid w:val="000A238C"/>
    <w:rsid w:val="000A318C"/>
    <w:rsid w:val="000A3286"/>
    <w:rsid w:val="000A341C"/>
    <w:rsid w:val="000A39B9"/>
    <w:rsid w:val="000A4366"/>
    <w:rsid w:val="000B00E7"/>
    <w:rsid w:val="000B0814"/>
    <w:rsid w:val="000B21D5"/>
    <w:rsid w:val="000B22A2"/>
    <w:rsid w:val="000B38F4"/>
    <w:rsid w:val="000C01F7"/>
    <w:rsid w:val="000C0506"/>
    <w:rsid w:val="000C07E5"/>
    <w:rsid w:val="000C0EA1"/>
    <w:rsid w:val="000C2A52"/>
    <w:rsid w:val="000C4302"/>
    <w:rsid w:val="000C46A9"/>
    <w:rsid w:val="000C6E54"/>
    <w:rsid w:val="000C7EE5"/>
    <w:rsid w:val="000D1B23"/>
    <w:rsid w:val="000D33C0"/>
    <w:rsid w:val="000D3686"/>
    <w:rsid w:val="000D412A"/>
    <w:rsid w:val="000D4175"/>
    <w:rsid w:val="000D5884"/>
    <w:rsid w:val="000D6941"/>
    <w:rsid w:val="000D71B6"/>
    <w:rsid w:val="000E0405"/>
    <w:rsid w:val="000E4471"/>
    <w:rsid w:val="000E4889"/>
    <w:rsid w:val="000F1A45"/>
    <w:rsid w:val="000F43FA"/>
    <w:rsid w:val="000F51C2"/>
    <w:rsid w:val="000F5B3E"/>
    <w:rsid w:val="000F5FD1"/>
    <w:rsid w:val="000F600C"/>
    <w:rsid w:val="000F640E"/>
    <w:rsid w:val="000F6A2D"/>
    <w:rsid w:val="000F6CFF"/>
    <w:rsid w:val="001010F0"/>
    <w:rsid w:val="00101BB2"/>
    <w:rsid w:val="0010364A"/>
    <w:rsid w:val="001036DE"/>
    <w:rsid w:val="0010500A"/>
    <w:rsid w:val="00105A22"/>
    <w:rsid w:val="00105EB9"/>
    <w:rsid w:val="00106E68"/>
    <w:rsid w:val="001071DB"/>
    <w:rsid w:val="00107405"/>
    <w:rsid w:val="00111DA9"/>
    <w:rsid w:val="00112CEC"/>
    <w:rsid w:val="00112ED6"/>
    <w:rsid w:val="00115F73"/>
    <w:rsid w:val="001202E3"/>
    <w:rsid w:val="001203F7"/>
    <w:rsid w:val="00120F13"/>
    <w:rsid w:val="00121358"/>
    <w:rsid w:val="00122EB0"/>
    <w:rsid w:val="0012331D"/>
    <w:rsid w:val="00123699"/>
    <w:rsid w:val="00124093"/>
    <w:rsid w:val="00126A80"/>
    <w:rsid w:val="00126DED"/>
    <w:rsid w:val="0013059D"/>
    <w:rsid w:val="0013134E"/>
    <w:rsid w:val="0013183B"/>
    <w:rsid w:val="00131970"/>
    <w:rsid w:val="00131A7A"/>
    <w:rsid w:val="00134575"/>
    <w:rsid w:val="00134684"/>
    <w:rsid w:val="00136811"/>
    <w:rsid w:val="001400FC"/>
    <w:rsid w:val="0014083A"/>
    <w:rsid w:val="001411B6"/>
    <w:rsid w:val="0014144D"/>
    <w:rsid w:val="00141A55"/>
    <w:rsid w:val="00141F2F"/>
    <w:rsid w:val="00142BFF"/>
    <w:rsid w:val="0014436A"/>
    <w:rsid w:val="001446A3"/>
    <w:rsid w:val="00145D3E"/>
    <w:rsid w:val="00146B14"/>
    <w:rsid w:val="00146E80"/>
    <w:rsid w:val="001508EA"/>
    <w:rsid w:val="00151192"/>
    <w:rsid w:val="00152721"/>
    <w:rsid w:val="001543C2"/>
    <w:rsid w:val="00155395"/>
    <w:rsid w:val="00160E27"/>
    <w:rsid w:val="00162785"/>
    <w:rsid w:val="00163475"/>
    <w:rsid w:val="00165734"/>
    <w:rsid w:val="00171D44"/>
    <w:rsid w:val="00172E6C"/>
    <w:rsid w:val="001737C7"/>
    <w:rsid w:val="00173D27"/>
    <w:rsid w:val="001744DA"/>
    <w:rsid w:val="00174739"/>
    <w:rsid w:val="00174875"/>
    <w:rsid w:val="00180635"/>
    <w:rsid w:val="00180E72"/>
    <w:rsid w:val="0018127C"/>
    <w:rsid w:val="00181642"/>
    <w:rsid w:val="00181EC8"/>
    <w:rsid w:val="00181FC0"/>
    <w:rsid w:val="00182C27"/>
    <w:rsid w:val="00182C57"/>
    <w:rsid w:val="00182D06"/>
    <w:rsid w:val="00183524"/>
    <w:rsid w:val="00184349"/>
    <w:rsid w:val="0019161E"/>
    <w:rsid w:val="0019190B"/>
    <w:rsid w:val="00191E44"/>
    <w:rsid w:val="00192906"/>
    <w:rsid w:val="00195B7A"/>
    <w:rsid w:val="00195F33"/>
    <w:rsid w:val="00196EE1"/>
    <w:rsid w:val="001979A9"/>
    <w:rsid w:val="00197C63"/>
    <w:rsid w:val="001A073E"/>
    <w:rsid w:val="001A0D9E"/>
    <w:rsid w:val="001A12F5"/>
    <w:rsid w:val="001A139B"/>
    <w:rsid w:val="001A541A"/>
    <w:rsid w:val="001A5EE1"/>
    <w:rsid w:val="001A6910"/>
    <w:rsid w:val="001A73A4"/>
    <w:rsid w:val="001A7FF9"/>
    <w:rsid w:val="001B07FB"/>
    <w:rsid w:val="001B1617"/>
    <w:rsid w:val="001B1B5E"/>
    <w:rsid w:val="001B504B"/>
    <w:rsid w:val="001B586A"/>
    <w:rsid w:val="001B61E6"/>
    <w:rsid w:val="001B61EF"/>
    <w:rsid w:val="001C29FC"/>
    <w:rsid w:val="001C42B2"/>
    <w:rsid w:val="001C58DC"/>
    <w:rsid w:val="001C5D71"/>
    <w:rsid w:val="001C6887"/>
    <w:rsid w:val="001D02A9"/>
    <w:rsid w:val="001D1C3F"/>
    <w:rsid w:val="001D29CA"/>
    <w:rsid w:val="001D3874"/>
    <w:rsid w:val="001D3C0D"/>
    <w:rsid w:val="001D3F66"/>
    <w:rsid w:val="001D44DA"/>
    <w:rsid w:val="001D5344"/>
    <w:rsid w:val="001D56CB"/>
    <w:rsid w:val="001D7E75"/>
    <w:rsid w:val="001E22D1"/>
    <w:rsid w:val="001E2404"/>
    <w:rsid w:val="001E3572"/>
    <w:rsid w:val="001E35FE"/>
    <w:rsid w:val="001E465A"/>
    <w:rsid w:val="001E56D2"/>
    <w:rsid w:val="001E636F"/>
    <w:rsid w:val="001E7D56"/>
    <w:rsid w:val="001F12EF"/>
    <w:rsid w:val="001F1300"/>
    <w:rsid w:val="001F1854"/>
    <w:rsid w:val="001F5884"/>
    <w:rsid w:val="001F75DE"/>
    <w:rsid w:val="001F7B57"/>
    <w:rsid w:val="001F7D4D"/>
    <w:rsid w:val="00200D58"/>
    <w:rsid w:val="002013BE"/>
    <w:rsid w:val="0020241C"/>
    <w:rsid w:val="002049F8"/>
    <w:rsid w:val="002050B2"/>
    <w:rsid w:val="002063A4"/>
    <w:rsid w:val="00206A1F"/>
    <w:rsid w:val="00206F51"/>
    <w:rsid w:val="00206F97"/>
    <w:rsid w:val="0021145B"/>
    <w:rsid w:val="00212C45"/>
    <w:rsid w:val="0021411C"/>
    <w:rsid w:val="00214277"/>
    <w:rsid w:val="0021712E"/>
    <w:rsid w:val="002243E9"/>
    <w:rsid w:val="00226D32"/>
    <w:rsid w:val="0022762D"/>
    <w:rsid w:val="0023011A"/>
    <w:rsid w:val="00230354"/>
    <w:rsid w:val="002308E6"/>
    <w:rsid w:val="00230A32"/>
    <w:rsid w:val="002321C0"/>
    <w:rsid w:val="00232303"/>
    <w:rsid w:val="002338A7"/>
    <w:rsid w:val="002344B5"/>
    <w:rsid w:val="00234806"/>
    <w:rsid w:val="002353DE"/>
    <w:rsid w:val="00235F28"/>
    <w:rsid w:val="00236480"/>
    <w:rsid w:val="002378D6"/>
    <w:rsid w:val="00243D36"/>
    <w:rsid w:val="00247707"/>
    <w:rsid w:val="002503F9"/>
    <w:rsid w:val="00252008"/>
    <w:rsid w:val="002540B7"/>
    <w:rsid w:val="002544B6"/>
    <w:rsid w:val="00255D55"/>
    <w:rsid w:val="0025656D"/>
    <w:rsid w:val="00256C2F"/>
    <w:rsid w:val="00257855"/>
    <w:rsid w:val="00260385"/>
    <w:rsid w:val="00262FDB"/>
    <w:rsid w:val="00263171"/>
    <w:rsid w:val="002632C1"/>
    <w:rsid w:val="00267637"/>
    <w:rsid w:val="00267A5C"/>
    <w:rsid w:val="0027042B"/>
    <w:rsid w:val="00271DDA"/>
    <w:rsid w:val="00273509"/>
    <w:rsid w:val="002744C9"/>
    <w:rsid w:val="0027564E"/>
    <w:rsid w:val="00277919"/>
    <w:rsid w:val="002800D3"/>
    <w:rsid w:val="002816A2"/>
    <w:rsid w:val="0028230A"/>
    <w:rsid w:val="0028556E"/>
    <w:rsid w:val="00285961"/>
    <w:rsid w:val="00286740"/>
    <w:rsid w:val="00286EB5"/>
    <w:rsid w:val="00287B42"/>
    <w:rsid w:val="00290ACA"/>
    <w:rsid w:val="00291352"/>
    <w:rsid w:val="00292174"/>
    <w:rsid w:val="00292552"/>
    <w:rsid w:val="002928FF"/>
    <w:rsid w:val="002929D8"/>
    <w:rsid w:val="002935C2"/>
    <w:rsid w:val="00297BD2"/>
    <w:rsid w:val="002A0F1C"/>
    <w:rsid w:val="002A237D"/>
    <w:rsid w:val="002A256B"/>
    <w:rsid w:val="002A3C64"/>
    <w:rsid w:val="002A4C53"/>
    <w:rsid w:val="002A5407"/>
    <w:rsid w:val="002A5649"/>
    <w:rsid w:val="002B0672"/>
    <w:rsid w:val="002B0A82"/>
    <w:rsid w:val="002B1B4C"/>
    <w:rsid w:val="002B247F"/>
    <w:rsid w:val="002B2F52"/>
    <w:rsid w:val="002B3F14"/>
    <w:rsid w:val="002B49BA"/>
    <w:rsid w:val="002B7541"/>
    <w:rsid w:val="002C145D"/>
    <w:rsid w:val="002C2C3E"/>
    <w:rsid w:val="002C310A"/>
    <w:rsid w:val="002C533E"/>
    <w:rsid w:val="002C5525"/>
    <w:rsid w:val="002C7F6C"/>
    <w:rsid w:val="002D027F"/>
    <w:rsid w:val="002D1E9F"/>
    <w:rsid w:val="002D7476"/>
    <w:rsid w:val="002D7A03"/>
    <w:rsid w:val="002D7A85"/>
    <w:rsid w:val="002D7B60"/>
    <w:rsid w:val="002E147B"/>
    <w:rsid w:val="002E16D1"/>
    <w:rsid w:val="002E19D4"/>
    <w:rsid w:val="002E2CE7"/>
    <w:rsid w:val="002F0362"/>
    <w:rsid w:val="002F1FC6"/>
    <w:rsid w:val="002F2DDD"/>
    <w:rsid w:val="002F2F61"/>
    <w:rsid w:val="002F3B78"/>
    <w:rsid w:val="002F4761"/>
    <w:rsid w:val="002F57AF"/>
    <w:rsid w:val="002F5C79"/>
    <w:rsid w:val="00301826"/>
    <w:rsid w:val="003019E2"/>
    <w:rsid w:val="00303A1D"/>
    <w:rsid w:val="0030414B"/>
    <w:rsid w:val="00304691"/>
    <w:rsid w:val="00304BFA"/>
    <w:rsid w:val="00305D8E"/>
    <w:rsid w:val="0030649F"/>
    <w:rsid w:val="00306EDE"/>
    <w:rsid w:val="003101E8"/>
    <w:rsid w:val="003107C5"/>
    <w:rsid w:val="00311E8F"/>
    <w:rsid w:val="0031413F"/>
    <w:rsid w:val="003148BB"/>
    <w:rsid w:val="00314B80"/>
    <w:rsid w:val="00315EE0"/>
    <w:rsid w:val="003174A5"/>
    <w:rsid w:val="00317976"/>
    <w:rsid w:val="003209F2"/>
    <w:rsid w:val="00323885"/>
    <w:rsid w:val="00327AB2"/>
    <w:rsid w:val="00327ED7"/>
    <w:rsid w:val="00331475"/>
    <w:rsid w:val="00332F12"/>
    <w:rsid w:val="00335571"/>
    <w:rsid w:val="00336627"/>
    <w:rsid w:val="00337EAF"/>
    <w:rsid w:val="00337F74"/>
    <w:rsid w:val="0034114B"/>
    <w:rsid w:val="003429C4"/>
    <w:rsid w:val="00344B00"/>
    <w:rsid w:val="00345207"/>
    <w:rsid w:val="003456AA"/>
    <w:rsid w:val="00347B07"/>
    <w:rsid w:val="00347D47"/>
    <w:rsid w:val="00351A93"/>
    <w:rsid w:val="00351D12"/>
    <w:rsid w:val="00353E3D"/>
    <w:rsid w:val="00355EA9"/>
    <w:rsid w:val="0035779D"/>
    <w:rsid w:val="003578DE"/>
    <w:rsid w:val="00357ADF"/>
    <w:rsid w:val="00357F9A"/>
    <w:rsid w:val="00362BEA"/>
    <w:rsid w:val="003654A0"/>
    <w:rsid w:val="00365F6B"/>
    <w:rsid w:val="003669ED"/>
    <w:rsid w:val="00367EF4"/>
    <w:rsid w:val="003702F4"/>
    <w:rsid w:val="00370383"/>
    <w:rsid w:val="00370847"/>
    <w:rsid w:val="00370BF9"/>
    <w:rsid w:val="00371340"/>
    <w:rsid w:val="003723A0"/>
    <w:rsid w:val="0037296E"/>
    <w:rsid w:val="0037453C"/>
    <w:rsid w:val="00375866"/>
    <w:rsid w:val="0037597F"/>
    <w:rsid w:val="003759E2"/>
    <w:rsid w:val="00382501"/>
    <w:rsid w:val="00386795"/>
    <w:rsid w:val="00386999"/>
    <w:rsid w:val="00390145"/>
    <w:rsid w:val="0039065F"/>
    <w:rsid w:val="00394379"/>
    <w:rsid w:val="00395A6E"/>
    <w:rsid w:val="00396257"/>
    <w:rsid w:val="00397EB8"/>
    <w:rsid w:val="003A07AB"/>
    <w:rsid w:val="003A086E"/>
    <w:rsid w:val="003A0A61"/>
    <w:rsid w:val="003A37B8"/>
    <w:rsid w:val="003A4FD0"/>
    <w:rsid w:val="003A60F9"/>
    <w:rsid w:val="003A69D1"/>
    <w:rsid w:val="003A6B61"/>
    <w:rsid w:val="003A747F"/>
    <w:rsid w:val="003A7705"/>
    <w:rsid w:val="003A78D4"/>
    <w:rsid w:val="003A78EB"/>
    <w:rsid w:val="003A7B93"/>
    <w:rsid w:val="003B1545"/>
    <w:rsid w:val="003B1ABA"/>
    <w:rsid w:val="003B5801"/>
    <w:rsid w:val="003C035E"/>
    <w:rsid w:val="003C2DE2"/>
    <w:rsid w:val="003C3267"/>
    <w:rsid w:val="003C3E98"/>
    <w:rsid w:val="003C409D"/>
    <w:rsid w:val="003C494B"/>
    <w:rsid w:val="003C5BA6"/>
    <w:rsid w:val="003D05AA"/>
    <w:rsid w:val="003D07E1"/>
    <w:rsid w:val="003D2AED"/>
    <w:rsid w:val="003D6451"/>
    <w:rsid w:val="003E171D"/>
    <w:rsid w:val="003F04EC"/>
    <w:rsid w:val="003F05EF"/>
    <w:rsid w:val="003F0E85"/>
    <w:rsid w:val="003F39F7"/>
    <w:rsid w:val="003F3D9E"/>
    <w:rsid w:val="003F4C40"/>
    <w:rsid w:val="003F5E7C"/>
    <w:rsid w:val="003F5F47"/>
    <w:rsid w:val="004003CC"/>
    <w:rsid w:val="00400AF4"/>
    <w:rsid w:val="0040102F"/>
    <w:rsid w:val="00404CB5"/>
    <w:rsid w:val="00405251"/>
    <w:rsid w:val="0040607E"/>
    <w:rsid w:val="00406C5A"/>
    <w:rsid w:val="00410B8C"/>
    <w:rsid w:val="00410C55"/>
    <w:rsid w:val="00411924"/>
    <w:rsid w:val="00412054"/>
    <w:rsid w:val="00414FBA"/>
    <w:rsid w:val="00415BBE"/>
    <w:rsid w:val="0041604D"/>
    <w:rsid w:val="00416854"/>
    <w:rsid w:val="00417725"/>
    <w:rsid w:val="0041779A"/>
    <w:rsid w:val="00417B99"/>
    <w:rsid w:val="00422023"/>
    <w:rsid w:val="004220B8"/>
    <w:rsid w:val="004243CB"/>
    <w:rsid w:val="004243EA"/>
    <w:rsid w:val="004310D7"/>
    <w:rsid w:val="0043174C"/>
    <w:rsid w:val="00432DAE"/>
    <w:rsid w:val="0043340F"/>
    <w:rsid w:val="004343D8"/>
    <w:rsid w:val="004361B4"/>
    <w:rsid w:val="004363AA"/>
    <w:rsid w:val="00436497"/>
    <w:rsid w:val="00437F26"/>
    <w:rsid w:val="004403A4"/>
    <w:rsid w:val="00440FD2"/>
    <w:rsid w:val="00441E70"/>
    <w:rsid w:val="00444097"/>
    <w:rsid w:val="00444188"/>
    <w:rsid w:val="004446C0"/>
    <w:rsid w:val="004446CF"/>
    <w:rsid w:val="00445487"/>
    <w:rsid w:val="00447B66"/>
    <w:rsid w:val="00454769"/>
    <w:rsid w:val="0045569D"/>
    <w:rsid w:val="00455900"/>
    <w:rsid w:val="00456D58"/>
    <w:rsid w:val="00456D8A"/>
    <w:rsid w:val="00457D65"/>
    <w:rsid w:val="0046026E"/>
    <w:rsid w:val="004604EE"/>
    <w:rsid w:val="00460DF6"/>
    <w:rsid w:val="00466441"/>
    <w:rsid w:val="00466991"/>
    <w:rsid w:val="0047064C"/>
    <w:rsid w:val="004720AB"/>
    <w:rsid w:val="00473188"/>
    <w:rsid w:val="00474B90"/>
    <w:rsid w:val="00474D90"/>
    <w:rsid w:val="004763FC"/>
    <w:rsid w:val="00476AE0"/>
    <w:rsid w:val="00477AFF"/>
    <w:rsid w:val="00480409"/>
    <w:rsid w:val="004819FD"/>
    <w:rsid w:val="00481F0B"/>
    <w:rsid w:val="0048442E"/>
    <w:rsid w:val="00484DB3"/>
    <w:rsid w:val="00484DCF"/>
    <w:rsid w:val="00485E6D"/>
    <w:rsid w:val="00486823"/>
    <w:rsid w:val="00492054"/>
    <w:rsid w:val="0049231F"/>
    <w:rsid w:val="00493485"/>
    <w:rsid w:val="004944FD"/>
    <w:rsid w:val="00495017"/>
    <w:rsid w:val="004951FF"/>
    <w:rsid w:val="004952CF"/>
    <w:rsid w:val="00495BFE"/>
    <w:rsid w:val="004A27D1"/>
    <w:rsid w:val="004A3E46"/>
    <w:rsid w:val="004A42E1"/>
    <w:rsid w:val="004A480A"/>
    <w:rsid w:val="004A4EB4"/>
    <w:rsid w:val="004A4FCA"/>
    <w:rsid w:val="004A6D50"/>
    <w:rsid w:val="004B0C59"/>
    <w:rsid w:val="004B162C"/>
    <w:rsid w:val="004B27F2"/>
    <w:rsid w:val="004B3075"/>
    <w:rsid w:val="004C19E4"/>
    <w:rsid w:val="004C1AB9"/>
    <w:rsid w:val="004C2F82"/>
    <w:rsid w:val="004C33EB"/>
    <w:rsid w:val="004C3435"/>
    <w:rsid w:val="004C3DBE"/>
    <w:rsid w:val="004C44B7"/>
    <w:rsid w:val="004C5C96"/>
    <w:rsid w:val="004C6B63"/>
    <w:rsid w:val="004D02A4"/>
    <w:rsid w:val="004D06A4"/>
    <w:rsid w:val="004D1D75"/>
    <w:rsid w:val="004D4A7B"/>
    <w:rsid w:val="004D5B5D"/>
    <w:rsid w:val="004D60EA"/>
    <w:rsid w:val="004D684E"/>
    <w:rsid w:val="004E2A5A"/>
    <w:rsid w:val="004E385D"/>
    <w:rsid w:val="004E3B8F"/>
    <w:rsid w:val="004E59D4"/>
    <w:rsid w:val="004E5F10"/>
    <w:rsid w:val="004E79AC"/>
    <w:rsid w:val="004F1A81"/>
    <w:rsid w:val="004F2FD9"/>
    <w:rsid w:val="004F5A52"/>
    <w:rsid w:val="004F6B61"/>
    <w:rsid w:val="004F7ED9"/>
    <w:rsid w:val="00511095"/>
    <w:rsid w:val="00513A38"/>
    <w:rsid w:val="00515AAE"/>
    <w:rsid w:val="005170CA"/>
    <w:rsid w:val="005173B7"/>
    <w:rsid w:val="005178A7"/>
    <w:rsid w:val="005215EB"/>
    <w:rsid w:val="005218D9"/>
    <w:rsid w:val="00522640"/>
    <w:rsid w:val="00523D16"/>
    <w:rsid w:val="005274C1"/>
    <w:rsid w:val="00530F76"/>
    <w:rsid w:val="00532935"/>
    <w:rsid w:val="00532E47"/>
    <w:rsid w:val="00533BC7"/>
    <w:rsid w:val="0053561F"/>
    <w:rsid w:val="005356EF"/>
    <w:rsid w:val="00535FF0"/>
    <w:rsid w:val="00536186"/>
    <w:rsid w:val="00536826"/>
    <w:rsid w:val="005435E6"/>
    <w:rsid w:val="00544CBB"/>
    <w:rsid w:val="005504FB"/>
    <w:rsid w:val="00550518"/>
    <w:rsid w:val="00552CD6"/>
    <w:rsid w:val="00555A39"/>
    <w:rsid w:val="005568FE"/>
    <w:rsid w:val="005573B5"/>
    <w:rsid w:val="00557936"/>
    <w:rsid w:val="005613A1"/>
    <w:rsid w:val="005617F1"/>
    <w:rsid w:val="00564034"/>
    <w:rsid w:val="0056412E"/>
    <w:rsid w:val="00565001"/>
    <w:rsid w:val="00567B93"/>
    <w:rsid w:val="0057030B"/>
    <w:rsid w:val="005726CA"/>
    <w:rsid w:val="0057315F"/>
    <w:rsid w:val="0057441A"/>
    <w:rsid w:val="00574E01"/>
    <w:rsid w:val="00575CB3"/>
    <w:rsid w:val="00575DF1"/>
    <w:rsid w:val="00576104"/>
    <w:rsid w:val="00576482"/>
    <w:rsid w:val="00577AEC"/>
    <w:rsid w:val="00577E0F"/>
    <w:rsid w:val="0058350D"/>
    <w:rsid w:val="0058715C"/>
    <w:rsid w:val="005909F3"/>
    <w:rsid w:val="0059176A"/>
    <w:rsid w:val="00591FDC"/>
    <w:rsid w:val="005920F1"/>
    <w:rsid w:val="00592FF4"/>
    <w:rsid w:val="005940BC"/>
    <w:rsid w:val="00594BA0"/>
    <w:rsid w:val="005A2545"/>
    <w:rsid w:val="005A41DD"/>
    <w:rsid w:val="005A451D"/>
    <w:rsid w:val="005A7325"/>
    <w:rsid w:val="005B185F"/>
    <w:rsid w:val="005B2BEA"/>
    <w:rsid w:val="005B35C7"/>
    <w:rsid w:val="005B44EE"/>
    <w:rsid w:val="005B485F"/>
    <w:rsid w:val="005B4B51"/>
    <w:rsid w:val="005B5EAC"/>
    <w:rsid w:val="005B7161"/>
    <w:rsid w:val="005B7493"/>
    <w:rsid w:val="005C1B23"/>
    <w:rsid w:val="005C1D60"/>
    <w:rsid w:val="005C67C8"/>
    <w:rsid w:val="005D0249"/>
    <w:rsid w:val="005D23A3"/>
    <w:rsid w:val="005D278F"/>
    <w:rsid w:val="005D2EA4"/>
    <w:rsid w:val="005D320A"/>
    <w:rsid w:val="005D46C0"/>
    <w:rsid w:val="005D6E8C"/>
    <w:rsid w:val="005E3DAD"/>
    <w:rsid w:val="005E51C1"/>
    <w:rsid w:val="005E7308"/>
    <w:rsid w:val="005F100C"/>
    <w:rsid w:val="005F1541"/>
    <w:rsid w:val="005F17F9"/>
    <w:rsid w:val="005F403F"/>
    <w:rsid w:val="005F42A5"/>
    <w:rsid w:val="005F68DA"/>
    <w:rsid w:val="005F6B34"/>
    <w:rsid w:val="005F73DD"/>
    <w:rsid w:val="005F75E6"/>
    <w:rsid w:val="005F7BFC"/>
    <w:rsid w:val="006014DD"/>
    <w:rsid w:val="00604D1D"/>
    <w:rsid w:val="0060773B"/>
    <w:rsid w:val="00607D94"/>
    <w:rsid w:val="0061106B"/>
    <w:rsid w:val="00611A8D"/>
    <w:rsid w:val="006157B5"/>
    <w:rsid w:val="00615D81"/>
    <w:rsid w:val="006168A4"/>
    <w:rsid w:val="00617F59"/>
    <w:rsid w:val="006214BB"/>
    <w:rsid w:val="00626FC6"/>
    <w:rsid w:val="006303B4"/>
    <w:rsid w:val="00630A58"/>
    <w:rsid w:val="00630F6D"/>
    <w:rsid w:val="006325D5"/>
    <w:rsid w:val="006329EF"/>
    <w:rsid w:val="00633CEB"/>
    <w:rsid w:val="00633D3D"/>
    <w:rsid w:val="00633F3A"/>
    <w:rsid w:val="0063457E"/>
    <w:rsid w:val="00636CC4"/>
    <w:rsid w:val="00637BA0"/>
    <w:rsid w:val="00637D31"/>
    <w:rsid w:val="00641703"/>
    <w:rsid w:val="0064308A"/>
    <w:rsid w:val="006431A6"/>
    <w:rsid w:val="006454D4"/>
    <w:rsid w:val="006459F6"/>
    <w:rsid w:val="00646564"/>
    <w:rsid w:val="0064682D"/>
    <w:rsid w:val="00647CC1"/>
    <w:rsid w:val="006501AD"/>
    <w:rsid w:val="006510FD"/>
    <w:rsid w:val="006519E9"/>
    <w:rsid w:val="00651BFA"/>
    <w:rsid w:val="00651FAB"/>
    <w:rsid w:val="006533B3"/>
    <w:rsid w:val="006541A0"/>
    <w:rsid w:val="00660901"/>
    <w:rsid w:val="00661589"/>
    <w:rsid w:val="00662078"/>
    <w:rsid w:val="00663A80"/>
    <w:rsid w:val="00664EBA"/>
    <w:rsid w:val="00665A4B"/>
    <w:rsid w:val="006661BB"/>
    <w:rsid w:val="006663BB"/>
    <w:rsid w:val="0066740F"/>
    <w:rsid w:val="00667DE4"/>
    <w:rsid w:val="006705B1"/>
    <w:rsid w:val="00670ABC"/>
    <w:rsid w:val="006731FE"/>
    <w:rsid w:val="006762B2"/>
    <w:rsid w:val="00676916"/>
    <w:rsid w:val="00676AF6"/>
    <w:rsid w:val="00677FD4"/>
    <w:rsid w:val="006808C6"/>
    <w:rsid w:val="006834FC"/>
    <w:rsid w:val="00684298"/>
    <w:rsid w:val="0069026D"/>
    <w:rsid w:val="00690AC7"/>
    <w:rsid w:val="00691DAE"/>
    <w:rsid w:val="0069208B"/>
    <w:rsid w:val="00692E2A"/>
    <w:rsid w:val="00693356"/>
    <w:rsid w:val="00694317"/>
    <w:rsid w:val="00695343"/>
    <w:rsid w:val="006A14F8"/>
    <w:rsid w:val="006A1E0B"/>
    <w:rsid w:val="006A2ABA"/>
    <w:rsid w:val="006A3C9B"/>
    <w:rsid w:val="006A3F90"/>
    <w:rsid w:val="006A5A6F"/>
    <w:rsid w:val="006A5A71"/>
    <w:rsid w:val="006A76F2"/>
    <w:rsid w:val="006B3263"/>
    <w:rsid w:val="006B7083"/>
    <w:rsid w:val="006C1440"/>
    <w:rsid w:val="006C15F4"/>
    <w:rsid w:val="006C1F12"/>
    <w:rsid w:val="006C24BC"/>
    <w:rsid w:val="006C3865"/>
    <w:rsid w:val="006C3DDA"/>
    <w:rsid w:val="006C42C1"/>
    <w:rsid w:val="006C5EAA"/>
    <w:rsid w:val="006D0477"/>
    <w:rsid w:val="006D2347"/>
    <w:rsid w:val="006D3277"/>
    <w:rsid w:val="006D4089"/>
    <w:rsid w:val="006D6AA2"/>
    <w:rsid w:val="006D7773"/>
    <w:rsid w:val="006D7EFB"/>
    <w:rsid w:val="006E3E73"/>
    <w:rsid w:val="006E6591"/>
    <w:rsid w:val="006E6672"/>
    <w:rsid w:val="006E6722"/>
    <w:rsid w:val="006F10F1"/>
    <w:rsid w:val="006F4CE0"/>
    <w:rsid w:val="006F57F2"/>
    <w:rsid w:val="007027B9"/>
    <w:rsid w:val="00702AAE"/>
    <w:rsid w:val="00705345"/>
    <w:rsid w:val="00705F38"/>
    <w:rsid w:val="00712875"/>
    <w:rsid w:val="00713D8F"/>
    <w:rsid w:val="0071460D"/>
    <w:rsid w:val="00715E88"/>
    <w:rsid w:val="00721A1A"/>
    <w:rsid w:val="007225B3"/>
    <w:rsid w:val="0072282F"/>
    <w:rsid w:val="0072508B"/>
    <w:rsid w:val="00730B01"/>
    <w:rsid w:val="00730E74"/>
    <w:rsid w:val="00732257"/>
    <w:rsid w:val="007347C8"/>
    <w:rsid w:val="00734CAA"/>
    <w:rsid w:val="00735DAF"/>
    <w:rsid w:val="00736583"/>
    <w:rsid w:val="00742A25"/>
    <w:rsid w:val="0074401A"/>
    <w:rsid w:val="00744A72"/>
    <w:rsid w:val="00744CF6"/>
    <w:rsid w:val="00747C01"/>
    <w:rsid w:val="00750B13"/>
    <w:rsid w:val="007538A5"/>
    <w:rsid w:val="0075473A"/>
    <w:rsid w:val="00755106"/>
    <w:rsid w:val="0075533C"/>
    <w:rsid w:val="00755D61"/>
    <w:rsid w:val="00755DA9"/>
    <w:rsid w:val="0075715D"/>
    <w:rsid w:val="00757581"/>
    <w:rsid w:val="00757C2B"/>
    <w:rsid w:val="007611A0"/>
    <w:rsid w:val="007658A0"/>
    <w:rsid w:val="0076685B"/>
    <w:rsid w:val="00771992"/>
    <w:rsid w:val="00780A49"/>
    <w:rsid w:val="007836F4"/>
    <w:rsid w:val="00783907"/>
    <w:rsid w:val="00783B18"/>
    <w:rsid w:val="00785376"/>
    <w:rsid w:val="007900C2"/>
    <w:rsid w:val="007903A0"/>
    <w:rsid w:val="00790DF9"/>
    <w:rsid w:val="007932FB"/>
    <w:rsid w:val="0079470B"/>
    <w:rsid w:val="0079660F"/>
    <w:rsid w:val="0079689C"/>
    <w:rsid w:val="00796D3F"/>
    <w:rsid w:val="0079748D"/>
    <w:rsid w:val="007A1683"/>
    <w:rsid w:val="007A34EC"/>
    <w:rsid w:val="007A3666"/>
    <w:rsid w:val="007A36F8"/>
    <w:rsid w:val="007A5C12"/>
    <w:rsid w:val="007A6D6B"/>
    <w:rsid w:val="007A7CB0"/>
    <w:rsid w:val="007B11D9"/>
    <w:rsid w:val="007B38D8"/>
    <w:rsid w:val="007B68A3"/>
    <w:rsid w:val="007C0C75"/>
    <w:rsid w:val="007C205B"/>
    <w:rsid w:val="007C2541"/>
    <w:rsid w:val="007C25A2"/>
    <w:rsid w:val="007C29EE"/>
    <w:rsid w:val="007C303E"/>
    <w:rsid w:val="007C54DC"/>
    <w:rsid w:val="007C79E7"/>
    <w:rsid w:val="007D4B0C"/>
    <w:rsid w:val="007D6288"/>
    <w:rsid w:val="007D66A8"/>
    <w:rsid w:val="007D6FB1"/>
    <w:rsid w:val="007D71BF"/>
    <w:rsid w:val="007D773D"/>
    <w:rsid w:val="007E003F"/>
    <w:rsid w:val="007E3DFC"/>
    <w:rsid w:val="007E4996"/>
    <w:rsid w:val="007E7479"/>
    <w:rsid w:val="007E7A3A"/>
    <w:rsid w:val="007F0691"/>
    <w:rsid w:val="007F259A"/>
    <w:rsid w:val="007F33B0"/>
    <w:rsid w:val="007F57BD"/>
    <w:rsid w:val="007F5D4D"/>
    <w:rsid w:val="007F5E9D"/>
    <w:rsid w:val="007F6934"/>
    <w:rsid w:val="00802E72"/>
    <w:rsid w:val="00805F1D"/>
    <w:rsid w:val="0080622E"/>
    <w:rsid w:val="0081617A"/>
    <w:rsid w:val="008164F2"/>
    <w:rsid w:val="00817192"/>
    <w:rsid w:val="00817B33"/>
    <w:rsid w:val="00817CBB"/>
    <w:rsid w:val="00820CBD"/>
    <w:rsid w:val="00820CF3"/>
    <w:rsid w:val="00821395"/>
    <w:rsid w:val="0082201A"/>
    <w:rsid w:val="00822074"/>
    <w:rsid w:val="00823787"/>
    <w:rsid w:val="00823B9B"/>
    <w:rsid w:val="00826E06"/>
    <w:rsid w:val="0082713C"/>
    <w:rsid w:val="00830E26"/>
    <w:rsid w:val="0083449C"/>
    <w:rsid w:val="00836849"/>
    <w:rsid w:val="00843576"/>
    <w:rsid w:val="0084392B"/>
    <w:rsid w:val="00843A1C"/>
    <w:rsid w:val="00843B64"/>
    <w:rsid w:val="00843BAD"/>
    <w:rsid w:val="00843D22"/>
    <w:rsid w:val="00844853"/>
    <w:rsid w:val="00844C7B"/>
    <w:rsid w:val="0084585D"/>
    <w:rsid w:val="00846949"/>
    <w:rsid w:val="008470BD"/>
    <w:rsid w:val="008478FC"/>
    <w:rsid w:val="0085204E"/>
    <w:rsid w:val="008522DF"/>
    <w:rsid w:val="008525D6"/>
    <w:rsid w:val="008549A8"/>
    <w:rsid w:val="00855878"/>
    <w:rsid w:val="00855B82"/>
    <w:rsid w:val="0086649A"/>
    <w:rsid w:val="00867BFF"/>
    <w:rsid w:val="008705E6"/>
    <w:rsid w:val="008740D7"/>
    <w:rsid w:val="00874756"/>
    <w:rsid w:val="00874F47"/>
    <w:rsid w:val="008762CE"/>
    <w:rsid w:val="00881751"/>
    <w:rsid w:val="00881E7C"/>
    <w:rsid w:val="00882F71"/>
    <w:rsid w:val="0088480A"/>
    <w:rsid w:val="00885C04"/>
    <w:rsid w:val="0088757A"/>
    <w:rsid w:val="008911A3"/>
    <w:rsid w:val="008913BE"/>
    <w:rsid w:val="00891438"/>
    <w:rsid w:val="00892463"/>
    <w:rsid w:val="00892924"/>
    <w:rsid w:val="008957DD"/>
    <w:rsid w:val="008979C2"/>
    <w:rsid w:val="00897D98"/>
    <w:rsid w:val="008A1849"/>
    <w:rsid w:val="008A26B4"/>
    <w:rsid w:val="008A2B9A"/>
    <w:rsid w:val="008A3FA6"/>
    <w:rsid w:val="008A6223"/>
    <w:rsid w:val="008A6815"/>
    <w:rsid w:val="008A6CE8"/>
    <w:rsid w:val="008A6DF2"/>
    <w:rsid w:val="008A7807"/>
    <w:rsid w:val="008B0D6B"/>
    <w:rsid w:val="008B0F17"/>
    <w:rsid w:val="008B1774"/>
    <w:rsid w:val="008B3832"/>
    <w:rsid w:val="008B4CC9"/>
    <w:rsid w:val="008C0D5F"/>
    <w:rsid w:val="008C13F0"/>
    <w:rsid w:val="008C1B8B"/>
    <w:rsid w:val="008C1C63"/>
    <w:rsid w:val="008C22E8"/>
    <w:rsid w:val="008C30B4"/>
    <w:rsid w:val="008C3239"/>
    <w:rsid w:val="008C7813"/>
    <w:rsid w:val="008C7A27"/>
    <w:rsid w:val="008C7DBB"/>
    <w:rsid w:val="008D20A1"/>
    <w:rsid w:val="008D3AE0"/>
    <w:rsid w:val="008D444B"/>
    <w:rsid w:val="008D7C99"/>
    <w:rsid w:val="008D7F2F"/>
    <w:rsid w:val="008E0FCB"/>
    <w:rsid w:val="008E218E"/>
    <w:rsid w:val="008E6220"/>
    <w:rsid w:val="008E6B3F"/>
    <w:rsid w:val="008F0CEB"/>
    <w:rsid w:val="008F1771"/>
    <w:rsid w:val="008F3E3C"/>
    <w:rsid w:val="008F56C7"/>
    <w:rsid w:val="009046CB"/>
    <w:rsid w:val="00907531"/>
    <w:rsid w:val="00907D78"/>
    <w:rsid w:val="00911E29"/>
    <w:rsid w:val="00917C1A"/>
    <w:rsid w:val="00917C66"/>
    <w:rsid w:val="0092178C"/>
    <w:rsid w:val="00921B83"/>
    <w:rsid w:val="009220D7"/>
    <w:rsid w:val="00923EA3"/>
    <w:rsid w:val="00923FD9"/>
    <w:rsid w:val="0092433D"/>
    <w:rsid w:val="0092493F"/>
    <w:rsid w:val="00925FB4"/>
    <w:rsid w:val="009262F1"/>
    <w:rsid w:val="009269E8"/>
    <w:rsid w:val="00926A33"/>
    <w:rsid w:val="00930140"/>
    <w:rsid w:val="00930B88"/>
    <w:rsid w:val="0093558B"/>
    <w:rsid w:val="009378DC"/>
    <w:rsid w:val="009403A8"/>
    <w:rsid w:val="00940DCC"/>
    <w:rsid w:val="00940FE8"/>
    <w:rsid w:val="00941698"/>
    <w:rsid w:val="0094179A"/>
    <w:rsid w:val="0094284D"/>
    <w:rsid w:val="0094459E"/>
    <w:rsid w:val="00944DBC"/>
    <w:rsid w:val="00946536"/>
    <w:rsid w:val="009469F7"/>
    <w:rsid w:val="00950977"/>
    <w:rsid w:val="00951A7B"/>
    <w:rsid w:val="00954775"/>
    <w:rsid w:val="00956451"/>
    <w:rsid w:val="009564A6"/>
    <w:rsid w:val="009565B6"/>
    <w:rsid w:val="009602B1"/>
    <w:rsid w:val="009602D4"/>
    <w:rsid w:val="00961528"/>
    <w:rsid w:val="00961A1F"/>
    <w:rsid w:val="00961A33"/>
    <w:rsid w:val="009628B9"/>
    <w:rsid w:val="0096418E"/>
    <w:rsid w:val="0096638A"/>
    <w:rsid w:val="00967621"/>
    <w:rsid w:val="00967E6A"/>
    <w:rsid w:val="00971C09"/>
    <w:rsid w:val="00972BC4"/>
    <w:rsid w:val="00973BC1"/>
    <w:rsid w:val="00973FCC"/>
    <w:rsid w:val="009748B2"/>
    <w:rsid w:val="00976C20"/>
    <w:rsid w:val="0097792B"/>
    <w:rsid w:val="00977C49"/>
    <w:rsid w:val="00980155"/>
    <w:rsid w:val="00980797"/>
    <w:rsid w:val="00981FDA"/>
    <w:rsid w:val="009848C2"/>
    <w:rsid w:val="009849E8"/>
    <w:rsid w:val="00986368"/>
    <w:rsid w:val="00986E67"/>
    <w:rsid w:val="0099230B"/>
    <w:rsid w:val="00992D73"/>
    <w:rsid w:val="009935AC"/>
    <w:rsid w:val="00995FBB"/>
    <w:rsid w:val="009A0BCC"/>
    <w:rsid w:val="009A255D"/>
    <w:rsid w:val="009A26A1"/>
    <w:rsid w:val="009A3E29"/>
    <w:rsid w:val="009A4BA3"/>
    <w:rsid w:val="009A5799"/>
    <w:rsid w:val="009A5A40"/>
    <w:rsid w:val="009A6054"/>
    <w:rsid w:val="009B0131"/>
    <w:rsid w:val="009B1B15"/>
    <w:rsid w:val="009B41C1"/>
    <w:rsid w:val="009B4A0F"/>
    <w:rsid w:val="009B56D9"/>
    <w:rsid w:val="009B61DF"/>
    <w:rsid w:val="009C0397"/>
    <w:rsid w:val="009C0FEC"/>
    <w:rsid w:val="009C11D2"/>
    <w:rsid w:val="009C1631"/>
    <w:rsid w:val="009C1B41"/>
    <w:rsid w:val="009C3BFE"/>
    <w:rsid w:val="009C6C70"/>
    <w:rsid w:val="009C7F28"/>
    <w:rsid w:val="009D0922"/>
    <w:rsid w:val="009D0B63"/>
    <w:rsid w:val="009D541F"/>
    <w:rsid w:val="009D580D"/>
    <w:rsid w:val="009D6629"/>
    <w:rsid w:val="009D7818"/>
    <w:rsid w:val="009E1A50"/>
    <w:rsid w:val="009E307E"/>
    <w:rsid w:val="009E47E3"/>
    <w:rsid w:val="009F21F7"/>
    <w:rsid w:val="009F50F7"/>
    <w:rsid w:val="009F6CC1"/>
    <w:rsid w:val="009F7857"/>
    <w:rsid w:val="00A014CE"/>
    <w:rsid w:val="00A03A4A"/>
    <w:rsid w:val="00A04F45"/>
    <w:rsid w:val="00A068FD"/>
    <w:rsid w:val="00A06E8E"/>
    <w:rsid w:val="00A07870"/>
    <w:rsid w:val="00A07F19"/>
    <w:rsid w:val="00A11493"/>
    <w:rsid w:val="00A1348D"/>
    <w:rsid w:val="00A142D1"/>
    <w:rsid w:val="00A14382"/>
    <w:rsid w:val="00A1489E"/>
    <w:rsid w:val="00A15595"/>
    <w:rsid w:val="00A179C4"/>
    <w:rsid w:val="00A2165F"/>
    <w:rsid w:val="00A22A7A"/>
    <w:rsid w:val="00A232EE"/>
    <w:rsid w:val="00A307D5"/>
    <w:rsid w:val="00A311B6"/>
    <w:rsid w:val="00A3151F"/>
    <w:rsid w:val="00A331C1"/>
    <w:rsid w:val="00A4058A"/>
    <w:rsid w:val="00A4175F"/>
    <w:rsid w:val="00A44411"/>
    <w:rsid w:val="00A469FA"/>
    <w:rsid w:val="00A47789"/>
    <w:rsid w:val="00A50E94"/>
    <w:rsid w:val="00A51278"/>
    <w:rsid w:val="00A535DA"/>
    <w:rsid w:val="00A55B01"/>
    <w:rsid w:val="00A55C4A"/>
    <w:rsid w:val="00A56B5B"/>
    <w:rsid w:val="00A575A5"/>
    <w:rsid w:val="00A603FF"/>
    <w:rsid w:val="00A61116"/>
    <w:rsid w:val="00A63B40"/>
    <w:rsid w:val="00A657DD"/>
    <w:rsid w:val="00A65F6C"/>
    <w:rsid w:val="00A661E7"/>
    <w:rsid w:val="00A666A6"/>
    <w:rsid w:val="00A675FD"/>
    <w:rsid w:val="00A70BAD"/>
    <w:rsid w:val="00A718C7"/>
    <w:rsid w:val="00A72437"/>
    <w:rsid w:val="00A72BC4"/>
    <w:rsid w:val="00A73AC6"/>
    <w:rsid w:val="00A769DD"/>
    <w:rsid w:val="00A80611"/>
    <w:rsid w:val="00A831FC"/>
    <w:rsid w:val="00A84A35"/>
    <w:rsid w:val="00A84B15"/>
    <w:rsid w:val="00A87016"/>
    <w:rsid w:val="00A90A63"/>
    <w:rsid w:val="00A91798"/>
    <w:rsid w:val="00A92EBB"/>
    <w:rsid w:val="00AA1269"/>
    <w:rsid w:val="00AA45A4"/>
    <w:rsid w:val="00AA4C7C"/>
    <w:rsid w:val="00AA7C00"/>
    <w:rsid w:val="00AB01E7"/>
    <w:rsid w:val="00AB1825"/>
    <w:rsid w:val="00AB1F69"/>
    <w:rsid w:val="00AB30F5"/>
    <w:rsid w:val="00AB47F8"/>
    <w:rsid w:val="00AB5340"/>
    <w:rsid w:val="00AB54BB"/>
    <w:rsid w:val="00AB7002"/>
    <w:rsid w:val="00AC010E"/>
    <w:rsid w:val="00AC01CC"/>
    <w:rsid w:val="00AC04F9"/>
    <w:rsid w:val="00AC16B8"/>
    <w:rsid w:val="00AC4542"/>
    <w:rsid w:val="00AC51AE"/>
    <w:rsid w:val="00AC7C96"/>
    <w:rsid w:val="00AD0D8E"/>
    <w:rsid w:val="00AD1807"/>
    <w:rsid w:val="00AD1E60"/>
    <w:rsid w:val="00AD209B"/>
    <w:rsid w:val="00AD2C87"/>
    <w:rsid w:val="00AD3476"/>
    <w:rsid w:val="00AD5280"/>
    <w:rsid w:val="00AD66A4"/>
    <w:rsid w:val="00AD7466"/>
    <w:rsid w:val="00AE0D49"/>
    <w:rsid w:val="00AE1A49"/>
    <w:rsid w:val="00AE237D"/>
    <w:rsid w:val="00AE2638"/>
    <w:rsid w:val="00AE2A3D"/>
    <w:rsid w:val="00AE2C21"/>
    <w:rsid w:val="00AE502A"/>
    <w:rsid w:val="00AE5921"/>
    <w:rsid w:val="00AF0CA7"/>
    <w:rsid w:val="00AF0D5D"/>
    <w:rsid w:val="00AF0DF7"/>
    <w:rsid w:val="00AF2049"/>
    <w:rsid w:val="00AF232B"/>
    <w:rsid w:val="00AF39EE"/>
    <w:rsid w:val="00AF459F"/>
    <w:rsid w:val="00AF4967"/>
    <w:rsid w:val="00AF66F8"/>
    <w:rsid w:val="00AF71A6"/>
    <w:rsid w:val="00AF765E"/>
    <w:rsid w:val="00AF7664"/>
    <w:rsid w:val="00AF7C07"/>
    <w:rsid w:val="00B054ED"/>
    <w:rsid w:val="00B07F5A"/>
    <w:rsid w:val="00B11D6A"/>
    <w:rsid w:val="00B12E53"/>
    <w:rsid w:val="00B14A06"/>
    <w:rsid w:val="00B1725E"/>
    <w:rsid w:val="00B2128C"/>
    <w:rsid w:val="00B218ED"/>
    <w:rsid w:val="00B22C93"/>
    <w:rsid w:val="00B24C28"/>
    <w:rsid w:val="00B24DC2"/>
    <w:rsid w:val="00B25F8C"/>
    <w:rsid w:val="00B26692"/>
    <w:rsid w:val="00B27589"/>
    <w:rsid w:val="00B30BE4"/>
    <w:rsid w:val="00B31D7B"/>
    <w:rsid w:val="00B322F4"/>
    <w:rsid w:val="00B330FC"/>
    <w:rsid w:val="00B35922"/>
    <w:rsid w:val="00B35BF5"/>
    <w:rsid w:val="00B363FF"/>
    <w:rsid w:val="00B37035"/>
    <w:rsid w:val="00B37EF9"/>
    <w:rsid w:val="00B405B7"/>
    <w:rsid w:val="00B4180F"/>
    <w:rsid w:val="00B43DFD"/>
    <w:rsid w:val="00B44935"/>
    <w:rsid w:val="00B453D6"/>
    <w:rsid w:val="00B45613"/>
    <w:rsid w:val="00B45E6D"/>
    <w:rsid w:val="00B460C5"/>
    <w:rsid w:val="00B46926"/>
    <w:rsid w:val="00B47790"/>
    <w:rsid w:val="00B503D9"/>
    <w:rsid w:val="00B50BA6"/>
    <w:rsid w:val="00B520D9"/>
    <w:rsid w:val="00B52222"/>
    <w:rsid w:val="00B523A2"/>
    <w:rsid w:val="00B54FE7"/>
    <w:rsid w:val="00B57C47"/>
    <w:rsid w:val="00B57D56"/>
    <w:rsid w:val="00B601BE"/>
    <w:rsid w:val="00B6256E"/>
    <w:rsid w:val="00B653D9"/>
    <w:rsid w:val="00B66540"/>
    <w:rsid w:val="00B66901"/>
    <w:rsid w:val="00B7056C"/>
    <w:rsid w:val="00B7089E"/>
    <w:rsid w:val="00B71E6D"/>
    <w:rsid w:val="00B72070"/>
    <w:rsid w:val="00B747B0"/>
    <w:rsid w:val="00B755BE"/>
    <w:rsid w:val="00B779E1"/>
    <w:rsid w:val="00B77C2A"/>
    <w:rsid w:val="00B808FC"/>
    <w:rsid w:val="00B81CAF"/>
    <w:rsid w:val="00B83120"/>
    <w:rsid w:val="00B83B4C"/>
    <w:rsid w:val="00B8418C"/>
    <w:rsid w:val="00B843BB"/>
    <w:rsid w:val="00B8583A"/>
    <w:rsid w:val="00B859A3"/>
    <w:rsid w:val="00B9025B"/>
    <w:rsid w:val="00B913DF"/>
    <w:rsid w:val="00B91AE6"/>
    <w:rsid w:val="00B91EE1"/>
    <w:rsid w:val="00B93E8B"/>
    <w:rsid w:val="00B95B01"/>
    <w:rsid w:val="00B95FF2"/>
    <w:rsid w:val="00B9767B"/>
    <w:rsid w:val="00BA0090"/>
    <w:rsid w:val="00BA01C6"/>
    <w:rsid w:val="00BA1A67"/>
    <w:rsid w:val="00BA4891"/>
    <w:rsid w:val="00BA4A04"/>
    <w:rsid w:val="00BB106C"/>
    <w:rsid w:val="00BB2A94"/>
    <w:rsid w:val="00BB3BB5"/>
    <w:rsid w:val="00BB42A7"/>
    <w:rsid w:val="00BB44DD"/>
    <w:rsid w:val="00BB49DE"/>
    <w:rsid w:val="00BB4B66"/>
    <w:rsid w:val="00BB6883"/>
    <w:rsid w:val="00BC07FE"/>
    <w:rsid w:val="00BC30D7"/>
    <w:rsid w:val="00BC354E"/>
    <w:rsid w:val="00BC41D8"/>
    <w:rsid w:val="00BC558B"/>
    <w:rsid w:val="00BC5CC9"/>
    <w:rsid w:val="00BD0163"/>
    <w:rsid w:val="00BD159E"/>
    <w:rsid w:val="00BD19B7"/>
    <w:rsid w:val="00BD4006"/>
    <w:rsid w:val="00BD51D0"/>
    <w:rsid w:val="00BD67B1"/>
    <w:rsid w:val="00BD7424"/>
    <w:rsid w:val="00BE078E"/>
    <w:rsid w:val="00BE1B16"/>
    <w:rsid w:val="00BE2ACD"/>
    <w:rsid w:val="00BE3F69"/>
    <w:rsid w:val="00BE4664"/>
    <w:rsid w:val="00BE5B5F"/>
    <w:rsid w:val="00BE726F"/>
    <w:rsid w:val="00BF2651"/>
    <w:rsid w:val="00BF3655"/>
    <w:rsid w:val="00BF7908"/>
    <w:rsid w:val="00C0033D"/>
    <w:rsid w:val="00C004D5"/>
    <w:rsid w:val="00C0095E"/>
    <w:rsid w:val="00C009B1"/>
    <w:rsid w:val="00C0216F"/>
    <w:rsid w:val="00C022F9"/>
    <w:rsid w:val="00C025F1"/>
    <w:rsid w:val="00C053B0"/>
    <w:rsid w:val="00C07EA3"/>
    <w:rsid w:val="00C149BC"/>
    <w:rsid w:val="00C211B3"/>
    <w:rsid w:val="00C24175"/>
    <w:rsid w:val="00C24552"/>
    <w:rsid w:val="00C246F4"/>
    <w:rsid w:val="00C2560D"/>
    <w:rsid w:val="00C264F3"/>
    <w:rsid w:val="00C26F55"/>
    <w:rsid w:val="00C30C63"/>
    <w:rsid w:val="00C31AC6"/>
    <w:rsid w:val="00C32B37"/>
    <w:rsid w:val="00C36B8B"/>
    <w:rsid w:val="00C40251"/>
    <w:rsid w:val="00C40737"/>
    <w:rsid w:val="00C421D0"/>
    <w:rsid w:val="00C4381D"/>
    <w:rsid w:val="00C44A21"/>
    <w:rsid w:val="00C46554"/>
    <w:rsid w:val="00C4668B"/>
    <w:rsid w:val="00C47DBF"/>
    <w:rsid w:val="00C47E44"/>
    <w:rsid w:val="00C511C8"/>
    <w:rsid w:val="00C53666"/>
    <w:rsid w:val="00C538B4"/>
    <w:rsid w:val="00C552FF"/>
    <w:rsid w:val="00C558DA"/>
    <w:rsid w:val="00C55AF3"/>
    <w:rsid w:val="00C60713"/>
    <w:rsid w:val="00C61AAC"/>
    <w:rsid w:val="00C61C47"/>
    <w:rsid w:val="00C66207"/>
    <w:rsid w:val="00C668EE"/>
    <w:rsid w:val="00C70B49"/>
    <w:rsid w:val="00C70F5A"/>
    <w:rsid w:val="00C7306B"/>
    <w:rsid w:val="00C74E64"/>
    <w:rsid w:val="00C75C7C"/>
    <w:rsid w:val="00C76E47"/>
    <w:rsid w:val="00C8099A"/>
    <w:rsid w:val="00C81951"/>
    <w:rsid w:val="00C82E61"/>
    <w:rsid w:val="00C838F6"/>
    <w:rsid w:val="00C83A8F"/>
    <w:rsid w:val="00C84759"/>
    <w:rsid w:val="00C854D5"/>
    <w:rsid w:val="00C869E3"/>
    <w:rsid w:val="00C875A7"/>
    <w:rsid w:val="00C915D7"/>
    <w:rsid w:val="00C92CCF"/>
    <w:rsid w:val="00C97578"/>
    <w:rsid w:val="00CA1FA9"/>
    <w:rsid w:val="00CA2EF0"/>
    <w:rsid w:val="00CA3774"/>
    <w:rsid w:val="00CA4679"/>
    <w:rsid w:val="00CA4805"/>
    <w:rsid w:val="00CA49D8"/>
    <w:rsid w:val="00CA51EB"/>
    <w:rsid w:val="00CA531C"/>
    <w:rsid w:val="00CA5A69"/>
    <w:rsid w:val="00CA6C7F"/>
    <w:rsid w:val="00CA78AF"/>
    <w:rsid w:val="00CA7986"/>
    <w:rsid w:val="00CB09F8"/>
    <w:rsid w:val="00CB19EB"/>
    <w:rsid w:val="00CB51C7"/>
    <w:rsid w:val="00CB618B"/>
    <w:rsid w:val="00CB6582"/>
    <w:rsid w:val="00CB6F8C"/>
    <w:rsid w:val="00CC023E"/>
    <w:rsid w:val="00CC0260"/>
    <w:rsid w:val="00CC0F70"/>
    <w:rsid w:val="00CC10A6"/>
    <w:rsid w:val="00CC7BD9"/>
    <w:rsid w:val="00CC7DD7"/>
    <w:rsid w:val="00CD0A48"/>
    <w:rsid w:val="00CD1297"/>
    <w:rsid w:val="00CD5EB8"/>
    <w:rsid w:val="00CD687D"/>
    <w:rsid w:val="00CD6AC7"/>
    <w:rsid w:val="00CD7044"/>
    <w:rsid w:val="00CE02D3"/>
    <w:rsid w:val="00CE0358"/>
    <w:rsid w:val="00CE08B9"/>
    <w:rsid w:val="00CE4E94"/>
    <w:rsid w:val="00CE524C"/>
    <w:rsid w:val="00CE5607"/>
    <w:rsid w:val="00CF141F"/>
    <w:rsid w:val="00CF2290"/>
    <w:rsid w:val="00CF2490"/>
    <w:rsid w:val="00CF4777"/>
    <w:rsid w:val="00CF5131"/>
    <w:rsid w:val="00CF5AF8"/>
    <w:rsid w:val="00CF65EA"/>
    <w:rsid w:val="00D027CB"/>
    <w:rsid w:val="00D067BB"/>
    <w:rsid w:val="00D06EA9"/>
    <w:rsid w:val="00D070CC"/>
    <w:rsid w:val="00D076BD"/>
    <w:rsid w:val="00D103AA"/>
    <w:rsid w:val="00D10540"/>
    <w:rsid w:val="00D12056"/>
    <w:rsid w:val="00D12136"/>
    <w:rsid w:val="00D1352A"/>
    <w:rsid w:val="00D13EDE"/>
    <w:rsid w:val="00D14442"/>
    <w:rsid w:val="00D14D90"/>
    <w:rsid w:val="00D15568"/>
    <w:rsid w:val="00D15B6E"/>
    <w:rsid w:val="00D169AF"/>
    <w:rsid w:val="00D220C6"/>
    <w:rsid w:val="00D22769"/>
    <w:rsid w:val="00D23129"/>
    <w:rsid w:val="00D245AD"/>
    <w:rsid w:val="00D248C0"/>
    <w:rsid w:val="00D25249"/>
    <w:rsid w:val="00D255A7"/>
    <w:rsid w:val="00D26CCE"/>
    <w:rsid w:val="00D27913"/>
    <w:rsid w:val="00D30DB8"/>
    <w:rsid w:val="00D33D55"/>
    <w:rsid w:val="00D349FF"/>
    <w:rsid w:val="00D356A1"/>
    <w:rsid w:val="00D3674F"/>
    <w:rsid w:val="00D4086B"/>
    <w:rsid w:val="00D44172"/>
    <w:rsid w:val="00D50CE8"/>
    <w:rsid w:val="00D526D8"/>
    <w:rsid w:val="00D555F4"/>
    <w:rsid w:val="00D56769"/>
    <w:rsid w:val="00D60EE4"/>
    <w:rsid w:val="00D61ED5"/>
    <w:rsid w:val="00D63B8C"/>
    <w:rsid w:val="00D64413"/>
    <w:rsid w:val="00D644AD"/>
    <w:rsid w:val="00D65AE8"/>
    <w:rsid w:val="00D66037"/>
    <w:rsid w:val="00D712FD"/>
    <w:rsid w:val="00D7299F"/>
    <w:rsid w:val="00D72CB6"/>
    <w:rsid w:val="00D739CC"/>
    <w:rsid w:val="00D73EC2"/>
    <w:rsid w:val="00D76134"/>
    <w:rsid w:val="00D77B40"/>
    <w:rsid w:val="00D8061C"/>
    <w:rsid w:val="00D8093D"/>
    <w:rsid w:val="00D81019"/>
    <w:rsid w:val="00D8108C"/>
    <w:rsid w:val="00D81A9F"/>
    <w:rsid w:val="00D83459"/>
    <w:rsid w:val="00D842AE"/>
    <w:rsid w:val="00D84454"/>
    <w:rsid w:val="00D87A1E"/>
    <w:rsid w:val="00D90C3D"/>
    <w:rsid w:val="00D91F75"/>
    <w:rsid w:val="00D9211C"/>
    <w:rsid w:val="00D92DE0"/>
    <w:rsid w:val="00D92FEF"/>
    <w:rsid w:val="00D93A0F"/>
    <w:rsid w:val="00D93B61"/>
    <w:rsid w:val="00D942A3"/>
    <w:rsid w:val="00D958EC"/>
    <w:rsid w:val="00DA0786"/>
    <w:rsid w:val="00DA0BCB"/>
    <w:rsid w:val="00DA11E9"/>
    <w:rsid w:val="00DA16A2"/>
    <w:rsid w:val="00DA1BCA"/>
    <w:rsid w:val="00DA3FFA"/>
    <w:rsid w:val="00DA7299"/>
    <w:rsid w:val="00DB03C6"/>
    <w:rsid w:val="00DB2027"/>
    <w:rsid w:val="00DB36B7"/>
    <w:rsid w:val="00DB3E23"/>
    <w:rsid w:val="00DB43A8"/>
    <w:rsid w:val="00DB4DB9"/>
    <w:rsid w:val="00DB5713"/>
    <w:rsid w:val="00DC37F2"/>
    <w:rsid w:val="00DC3BD2"/>
    <w:rsid w:val="00DC46FF"/>
    <w:rsid w:val="00DC4A25"/>
    <w:rsid w:val="00DC5254"/>
    <w:rsid w:val="00DC5645"/>
    <w:rsid w:val="00DC5E1A"/>
    <w:rsid w:val="00DC6BA4"/>
    <w:rsid w:val="00DC6D96"/>
    <w:rsid w:val="00DC6ECF"/>
    <w:rsid w:val="00DD181C"/>
    <w:rsid w:val="00DD1A4F"/>
    <w:rsid w:val="00DD2882"/>
    <w:rsid w:val="00DD30A3"/>
    <w:rsid w:val="00DD3107"/>
    <w:rsid w:val="00DD3B4E"/>
    <w:rsid w:val="00DD3EE1"/>
    <w:rsid w:val="00DD497F"/>
    <w:rsid w:val="00DD5587"/>
    <w:rsid w:val="00DD5690"/>
    <w:rsid w:val="00DD5EFF"/>
    <w:rsid w:val="00DD7C2C"/>
    <w:rsid w:val="00DE0CD3"/>
    <w:rsid w:val="00DE6B4D"/>
    <w:rsid w:val="00DE6E55"/>
    <w:rsid w:val="00DF0503"/>
    <w:rsid w:val="00DF1A25"/>
    <w:rsid w:val="00DF1B3B"/>
    <w:rsid w:val="00DF45BD"/>
    <w:rsid w:val="00DF5660"/>
    <w:rsid w:val="00DF6A74"/>
    <w:rsid w:val="00DF75F0"/>
    <w:rsid w:val="00E0083F"/>
    <w:rsid w:val="00E00B91"/>
    <w:rsid w:val="00E0168F"/>
    <w:rsid w:val="00E026ED"/>
    <w:rsid w:val="00E0574F"/>
    <w:rsid w:val="00E05C4B"/>
    <w:rsid w:val="00E06077"/>
    <w:rsid w:val="00E06797"/>
    <w:rsid w:val="00E0682B"/>
    <w:rsid w:val="00E06987"/>
    <w:rsid w:val="00E122BC"/>
    <w:rsid w:val="00E125B8"/>
    <w:rsid w:val="00E1265B"/>
    <w:rsid w:val="00E13B48"/>
    <w:rsid w:val="00E1404F"/>
    <w:rsid w:val="00E166A1"/>
    <w:rsid w:val="00E203A1"/>
    <w:rsid w:val="00E208D9"/>
    <w:rsid w:val="00E212E4"/>
    <w:rsid w:val="00E212EF"/>
    <w:rsid w:val="00E21C83"/>
    <w:rsid w:val="00E24ADA"/>
    <w:rsid w:val="00E25205"/>
    <w:rsid w:val="00E256F6"/>
    <w:rsid w:val="00E25C47"/>
    <w:rsid w:val="00E31792"/>
    <w:rsid w:val="00E32F59"/>
    <w:rsid w:val="00E37F05"/>
    <w:rsid w:val="00E37F15"/>
    <w:rsid w:val="00E406EF"/>
    <w:rsid w:val="00E40EA2"/>
    <w:rsid w:val="00E426E4"/>
    <w:rsid w:val="00E440CD"/>
    <w:rsid w:val="00E44601"/>
    <w:rsid w:val="00E45BAC"/>
    <w:rsid w:val="00E46D9A"/>
    <w:rsid w:val="00E509D1"/>
    <w:rsid w:val="00E515DE"/>
    <w:rsid w:val="00E51DFA"/>
    <w:rsid w:val="00E5202B"/>
    <w:rsid w:val="00E544EE"/>
    <w:rsid w:val="00E565FF"/>
    <w:rsid w:val="00E57D0A"/>
    <w:rsid w:val="00E600D6"/>
    <w:rsid w:val="00E62558"/>
    <w:rsid w:val="00E6288A"/>
    <w:rsid w:val="00E62C6F"/>
    <w:rsid w:val="00E63C75"/>
    <w:rsid w:val="00E64058"/>
    <w:rsid w:val="00E65388"/>
    <w:rsid w:val="00E66A69"/>
    <w:rsid w:val="00E67833"/>
    <w:rsid w:val="00E71162"/>
    <w:rsid w:val="00E71C64"/>
    <w:rsid w:val="00E74ACB"/>
    <w:rsid w:val="00E75A4E"/>
    <w:rsid w:val="00E82F77"/>
    <w:rsid w:val="00E85B7D"/>
    <w:rsid w:val="00E873ED"/>
    <w:rsid w:val="00E9121B"/>
    <w:rsid w:val="00E918A0"/>
    <w:rsid w:val="00E94B48"/>
    <w:rsid w:val="00E9599F"/>
    <w:rsid w:val="00E96614"/>
    <w:rsid w:val="00EA0AE2"/>
    <w:rsid w:val="00EA18D5"/>
    <w:rsid w:val="00EA1A7D"/>
    <w:rsid w:val="00EA292F"/>
    <w:rsid w:val="00EA39E5"/>
    <w:rsid w:val="00EA42F2"/>
    <w:rsid w:val="00EA4430"/>
    <w:rsid w:val="00EA4BB4"/>
    <w:rsid w:val="00EA506F"/>
    <w:rsid w:val="00EA55ED"/>
    <w:rsid w:val="00EA571B"/>
    <w:rsid w:val="00EA7D77"/>
    <w:rsid w:val="00EB194E"/>
    <w:rsid w:val="00EB23C2"/>
    <w:rsid w:val="00EB3106"/>
    <w:rsid w:val="00EB50D3"/>
    <w:rsid w:val="00EB5514"/>
    <w:rsid w:val="00EB749F"/>
    <w:rsid w:val="00EC1903"/>
    <w:rsid w:val="00EC23E0"/>
    <w:rsid w:val="00EC3A5D"/>
    <w:rsid w:val="00EC4CE6"/>
    <w:rsid w:val="00EC591A"/>
    <w:rsid w:val="00EC5A46"/>
    <w:rsid w:val="00EC5C12"/>
    <w:rsid w:val="00EC63E2"/>
    <w:rsid w:val="00EC75D7"/>
    <w:rsid w:val="00ED0087"/>
    <w:rsid w:val="00ED1A4C"/>
    <w:rsid w:val="00ED1F3E"/>
    <w:rsid w:val="00ED564B"/>
    <w:rsid w:val="00ED5CB8"/>
    <w:rsid w:val="00EE00B3"/>
    <w:rsid w:val="00EE1BA8"/>
    <w:rsid w:val="00EE1E98"/>
    <w:rsid w:val="00EE2C76"/>
    <w:rsid w:val="00EE397B"/>
    <w:rsid w:val="00EE4483"/>
    <w:rsid w:val="00EE5261"/>
    <w:rsid w:val="00EE7846"/>
    <w:rsid w:val="00EF22B3"/>
    <w:rsid w:val="00EF23B9"/>
    <w:rsid w:val="00EF469A"/>
    <w:rsid w:val="00F03B69"/>
    <w:rsid w:val="00F058FE"/>
    <w:rsid w:val="00F05CA6"/>
    <w:rsid w:val="00F06523"/>
    <w:rsid w:val="00F07A50"/>
    <w:rsid w:val="00F113DA"/>
    <w:rsid w:val="00F11D03"/>
    <w:rsid w:val="00F13A82"/>
    <w:rsid w:val="00F14E5E"/>
    <w:rsid w:val="00F16C59"/>
    <w:rsid w:val="00F22F61"/>
    <w:rsid w:val="00F23184"/>
    <w:rsid w:val="00F23497"/>
    <w:rsid w:val="00F240EA"/>
    <w:rsid w:val="00F25F15"/>
    <w:rsid w:val="00F27442"/>
    <w:rsid w:val="00F319FC"/>
    <w:rsid w:val="00F363A3"/>
    <w:rsid w:val="00F36C44"/>
    <w:rsid w:val="00F37DC8"/>
    <w:rsid w:val="00F4047A"/>
    <w:rsid w:val="00F427EC"/>
    <w:rsid w:val="00F439B3"/>
    <w:rsid w:val="00F45AA8"/>
    <w:rsid w:val="00F4737E"/>
    <w:rsid w:val="00F502DD"/>
    <w:rsid w:val="00F511D5"/>
    <w:rsid w:val="00F52A1B"/>
    <w:rsid w:val="00F53BD0"/>
    <w:rsid w:val="00F54342"/>
    <w:rsid w:val="00F55BC9"/>
    <w:rsid w:val="00F56A40"/>
    <w:rsid w:val="00F609C4"/>
    <w:rsid w:val="00F612FA"/>
    <w:rsid w:val="00F638FC"/>
    <w:rsid w:val="00F639F8"/>
    <w:rsid w:val="00F650C3"/>
    <w:rsid w:val="00F65D85"/>
    <w:rsid w:val="00F71B7E"/>
    <w:rsid w:val="00F7203C"/>
    <w:rsid w:val="00F75453"/>
    <w:rsid w:val="00F8091E"/>
    <w:rsid w:val="00F82320"/>
    <w:rsid w:val="00F85477"/>
    <w:rsid w:val="00F8576A"/>
    <w:rsid w:val="00F8615C"/>
    <w:rsid w:val="00F8787D"/>
    <w:rsid w:val="00F87ECA"/>
    <w:rsid w:val="00F92C00"/>
    <w:rsid w:val="00F92DBA"/>
    <w:rsid w:val="00F94CB3"/>
    <w:rsid w:val="00F969E5"/>
    <w:rsid w:val="00F96E72"/>
    <w:rsid w:val="00F97AEE"/>
    <w:rsid w:val="00F97E54"/>
    <w:rsid w:val="00FA1C95"/>
    <w:rsid w:val="00FA30A7"/>
    <w:rsid w:val="00FA46DA"/>
    <w:rsid w:val="00FA50F9"/>
    <w:rsid w:val="00FA6BB0"/>
    <w:rsid w:val="00FA7859"/>
    <w:rsid w:val="00FB0F78"/>
    <w:rsid w:val="00FB116F"/>
    <w:rsid w:val="00FB1DFB"/>
    <w:rsid w:val="00FB1F25"/>
    <w:rsid w:val="00FB252C"/>
    <w:rsid w:val="00FB46C8"/>
    <w:rsid w:val="00FB50CB"/>
    <w:rsid w:val="00FC22A7"/>
    <w:rsid w:val="00FC43FF"/>
    <w:rsid w:val="00FC5DA0"/>
    <w:rsid w:val="00FC6D9B"/>
    <w:rsid w:val="00FC72FD"/>
    <w:rsid w:val="00FD0F6E"/>
    <w:rsid w:val="00FD16C5"/>
    <w:rsid w:val="00FD2D77"/>
    <w:rsid w:val="00FD5860"/>
    <w:rsid w:val="00FD75A9"/>
    <w:rsid w:val="00FE2251"/>
    <w:rsid w:val="00FE352D"/>
    <w:rsid w:val="00FE40EB"/>
    <w:rsid w:val="00FE457E"/>
    <w:rsid w:val="00FE49B1"/>
    <w:rsid w:val="00FE4D02"/>
    <w:rsid w:val="00FE51C9"/>
    <w:rsid w:val="00FE64FA"/>
    <w:rsid w:val="00FE7B2F"/>
    <w:rsid w:val="00FE7D41"/>
    <w:rsid w:val="00FE7D62"/>
    <w:rsid w:val="00FF0303"/>
    <w:rsid w:val="00FF05E7"/>
    <w:rsid w:val="00FF3819"/>
    <w:rsid w:val="00FF4E75"/>
    <w:rsid w:val="00FF73F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D05D"/>
  <w15:chartTrackingRefBased/>
  <w15:docId w15:val="{13F5D614-F1FC-4BE3-A8F3-4A7173FE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160E2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7C29EE"/>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7C29EE"/>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7C29EE"/>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7C29EE"/>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7C29EE"/>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7C29EE"/>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7C29EE"/>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7C29EE"/>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7C29EE"/>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C29EE"/>
    <w:rPr>
      <w:rFonts w:ascii="Times New Roman" w:hAnsi="Times New Roman"/>
      <w:b/>
      <w:sz w:val="18"/>
      <w:lang w:val="en-GB"/>
    </w:rPr>
  </w:style>
  <w:style w:type="table" w:customStyle="1" w:styleId="Tabledocright">
    <w:name w:val="Table_doc_right"/>
    <w:basedOn w:val="TableNormal"/>
    <w:rsid w:val="007C29EE"/>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C29EE"/>
    <w:pPr>
      <w:ind w:left="1000"/>
    </w:pPr>
    <w:rPr>
      <w:sz w:val="18"/>
      <w:szCs w:val="18"/>
    </w:rPr>
  </w:style>
  <w:style w:type="paragraph" w:styleId="TOC7">
    <w:name w:val="toc 7"/>
    <w:basedOn w:val="Normal"/>
    <w:next w:val="Normal"/>
    <w:autoRedefine/>
    <w:semiHidden/>
    <w:rsid w:val="007C29EE"/>
    <w:pPr>
      <w:ind w:left="1200"/>
    </w:pPr>
    <w:rPr>
      <w:sz w:val="18"/>
      <w:szCs w:val="18"/>
    </w:rPr>
  </w:style>
  <w:style w:type="paragraph" w:styleId="TOC8">
    <w:name w:val="toc 8"/>
    <w:basedOn w:val="Normal"/>
    <w:next w:val="Normal"/>
    <w:autoRedefine/>
    <w:semiHidden/>
    <w:rsid w:val="007C29EE"/>
    <w:pPr>
      <w:ind w:left="1400"/>
    </w:pPr>
    <w:rPr>
      <w:sz w:val="18"/>
      <w:szCs w:val="18"/>
    </w:rPr>
  </w:style>
  <w:style w:type="paragraph" w:styleId="TOC9">
    <w:name w:val="toc 9"/>
    <w:basedOn w:val="Normal"/>
    <w:next w:val="Normal"/>
    <w:autoRedefine/>
    <w:semiHidden/>
    <w:rsid w:val="007C29EE"/>
    <w:pPr>
      <w:ind w:left="1600"/>
    </w:pPr>
    <w:rPr>
      <w:sz w:val="18"/>
      <w:szCs w:val="18"/>
    </w:rPr>
  </w:style>
  <w:style w:type="paragraph" w:customStyle="1" w:styleId="Titlefigure">
    <w:name w:val="Title_figure"/>
    <w:basedOn w:val="Titletable"/>
    <w:next w:val="NormalNonumber"/>
    <w:rsid w:val="007C29EE"/>
    <w:pPr>
      <w:tabs>
        <w:tab w:val="clear" w:pos="4990"/>
      </w:tabs>
    </w:pPr>
    <w:rPr>
      <w:bCs w:val="0"/>
    </w:rPr>
  </w:style>
  <w:style w:type="paragraph" w:styleId="TableofFigures">
    <w:name w:val="table of figures"/>
    <w:basedOn w:val="Normal"/>
    <w:next w:val="Normal"/>
    <w:autoRedefine/>
    <w:semiHidden/>
    <w:rsid w:val="007C29EE"/>
    <w:pPr>
      <w:ind w:left="1814" w:hanging="567"/>
    </w:pPr>
  </w:style>
  <w:style w:type="paragraph" w:customStyle="1" w:styleId="CH1">
    <w:name w:val="CH1"/>
    <w:basedOn w:val="Normal-pool"/>
    <w:next w:val="CH2"/>
    <w:link w:val="CH1Char"/>
    <w:qFormat/>
    <w:rsid w:val="007C29EE"/>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C29EE"/>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7C29EE"/>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7C29EE"/>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7C29EE"/>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7C29EE"/>
    <w:pPr>
      <w:tabs>
        <w:tab w:val="left" w:pos="4321"/>
        <w:tab w:val="right" w:pos="8641"/>
      </w:tabs>
      <w:spacing w:before="60"/>
    </w:pPr>
    <w:rPr>
      <w:b/>
      <w:sz w:val="18"/>
    </w:rPr>
  </w:style>
  <w:style w:type="paragraph" w:customStyle="1" w:styleId="Footer-pool">
    <w:name w:val="Footer-pool"/>
    <w:basedOn w:val="Normal-pool"/>
    <w:next w:val="Normal-pool"/>
    <w:rsid w:val="007C29EE"/>
    <w:pPr>
      <w:tabs>
        <w:tab w:val="right" w:pos="8641"/>
      </w:tabs>
      <w:spacing w:after="120"/>
    </w:pPr>
    <w:rPr>
      <w:b/>
      <w:sz w:val="18"/>
    </w:rPr>
  </w:style>
  <w:style w:type="paragraph" w:customStyle="1" w:styleId="Header-pool">
    <w:name w:val="Header-pool"/>
    <w:basedOn w:val="Normal"/>
    <w:next w:val="Normal"/>
    <w:rsid w:val="007C29EE"/>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Footnote tex"/>
    <w:link w:val="CharCharCharCharCarChar"/>
    <w:unhideWhenUsed/>
    <w:qFormat/>
    <w:rsid w:val="007C29EE"/>
    <w:rPr>
      <w:rFonts w:ascii="Times New Roman" w:hAnsi="Times New Roman"/>
      <w:color w:val="auto"/>
      <w:sz w:val="20"/>
      <w:szCs w:val="18"/>
      <w:vertAlign w:val="superscript"/>
      <w:lang w:val="en-GB"/>
    </w:rPr>
  </w:style>
  <w:style w:type="table" w:customStyle="1" w:styleId="AATable">
    <w:name w:val="AA_Table"/>
    <w:basedOn w:val="TableNormal"/>
    <w:semiHidden/>
    <w:rsid w:val="007C29EE"/>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C29EE"/>
    <w:pPr>
      <w:keepNext/>
      <w:keepLines/>
      <w:suppressAutoHyphens/>
    </w:pPr>
    <w:rPr>
      <w:b/>
    </w:rPr>
  </w:style>
  <w:style w:type="paragraph" w:customStyle="1" w:styleId="AATitle2">
    <w:name w:val="AA_Title2"/>
    <w:basedOn w:val="AATitle"/>
    <w:qFormat/>
    <w:rsid w:val="007C29EE"/>
    <w:pPr>
      <w:keepNext w:val="0"/>
      <w:keepLines w:val="0"/>
      <w:tabs>
        <w:tab w:val="clear" w:pos="4990"/>
      </w:tabs>
      <w:spacing w:before="120" w:after="120"/>
    </w:pPr>
  </w:style>
  <w:style w:type="paragraph" w:customStyle="1" w:styleId="BBTitle">
    <w:name w:val="BB_Title"/>
    <w:basedOn w:val="Normal-pool"/>
    <w:qFormat/>
    <w:rsid w:val="007C29EE"/>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7C29EE"/>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7C29EE"/>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7C29EE"/>
    <w:rPr>
      <w:color w:val="0000FF"/>
      <w:u w:val="none"/>
      <w:lang w:val="en-GB"/>
    </w:rPr>
  </w:style>
  <w:style w:type="numbering" w:customStyle="1" w:styleId="Normallist">
    <w:name w:val="Normal_list"/>
    <w:basedOn w:val="NoList"/>
    <w:rsid w:val="007C29EE"/>
    <w:pPr>
      <w:numPr>
        <w:numId w:val="1"/>
      </w:numPr>
    </w:pPr>
  </w:style>
  <w:style w:type="paragraph" w:customStyle="1" w:styleId="NormalNonumber">
    <w:name w:val="Normal_No_number"/>
    <w:basedOn w:val="Normal-pool"/>
    <w:link w:val="NormalNonumberChar"/>
    <w:qFormat/>
    <w:rsid w:val="007C29EE"/>
    <w:pPr>
      <w:spacing w:after="120"/>
      <w:ind w:left="1247"/>
    </w:pPr>
  </w:style>
  <w:style w:type="paragraph" w:customStyle="1" w:styleId="Normalnumber">
    <w:name w:val="Normal_number"/>
    <w:basedOn w:val="Normal"/>
    <w:link w:val="NormalnumberChar"/>
    <w:qFormat/>
    <w:rsid w:val="007C29EE"/>
    <w:pPr>
      <w:numPr>
        <w:numId w:val="1"/>
      </w:numPr>
      <w:spacing w:after="120"/>
    </w:pPr>
  </w:style>
  <w:style w:type="paragraph" w:customStyle="1" w:styleId="Titletable">
    <w:name w:val="Title_table"/>
    <w:basedOn w:val="Normal-pool"/>
    <w:next w:val="NormalNonumber"/>
    <w:rsid w:val="007C29EE"/>
    <w:pPr>
      <w:keepNext/>
      <w:keepLines/>
      <w:suppressAutoHyphens/>
      <w:spacing w:after="60"/>
      <w:ind w:left="1247"/>
    </w:pPr>
    <w:rPr>
      <w:b/>
      <w:bCs/>
    </w:rPr>
  </w:style>
  <w:style w:type="paragraph" w:styleId="TOC1">
    <w:name w:val="toc 1"/>
    <w:basedOn w:val="Normal"/>
    <w:next w:val="Normal"/>
    <w:autoRedefine/>
    <w:uiPriority w:val="39"/>
    <w:unhideWhenUsed/>
    <w:rsid w:val="007C29EE"/>
    <w:pPr>
      <w:tabs>
        <w:tab w:val="right" w:leader="dot" w:pos="9486"/>
      </w:tabs>
      <w:spacing w:before="240"/>
      <w:ind w:left="1984" w:hanging="737"/>
    </w:pPr>
    <w:rPr>
      <w:bCs/>
    </w:rPr>
  </w:style>
  <w:style w:type="paragraph" w:styleId="TOC2">
    <w:name w:val="toc 2"/>
    <w:basedOn w:val="Normal"/>
    <w:next w:val="Normal"/>
    <w:uiPriority w:val="39"/>
    <w:unhideWhenUsed/>
    <w:rsid w:val="007C29EE"/>
    <w:pPr>
      <w:tabs>
        <w:tab w:val="right" w:leader="dot" w:pos="9486"/>
      </w:tabs>
      <w:spacing w:before="60"/>
      <w:ind w:left="2608" w:hanging="737"/>
    </w:pPr>
  </w:style>
  <w:style w:type="paragraph" w:styleId="TOC3">
    <w:name w:val="toc 3"/>
    <w:basedOn w:val="Normal"/>
    <w:next w:val="Normal"/>
    <w:unhideWhenUsed/>
    <w:rsid w:val="007C29EE"/>
    <w:pPr>
      <w:tabs>
        <w:tab w:val="right" w:leader="dot" w:pos="9486"/>
      </w:tabs>
      <w:ind w:left="3232" w:hanging="737"/>
    </w:pPr>
    <w:rPr>
      <w:iCs/>
    </w:rPr>
  </w:style>
  <w:style w:type="paragraph" w:styleId="TOC4">
    <w:name w:val="toc 4"/>
    <w:basedOn w:val="Normal"/>
    <w:next w:val="Normal"/>
    <w:unhideWhenUsed/>
    <w:rsid w:val="007C29EE"/>
    <w:pPr>
      <w:tabs>
        <w:tab w:val="left" w:pos="1000"/>
        <w:tab w:val="right" w:leader="dot" w:pos="9486"/>
      </w:tabs>
      <w:ind w:left="3856" w:hanging="737"/>
    </w:pPr>
    <w:rPr>
      <w:szCs w:val="18"/>
    </w:rPr>
  </w:style>
  <w:style w:type="paragraph" w:styleId="TOC5">
    <w:name w:val="toc 5"/>
    <w:basedOn w:val="Normal"/>
    <w:next w:val="Normal"/>
    <w:rsid w:val="007C29EE"/>
    <w:pPr>
      <w:tabs>
        <w:tab w:val="right" w:leader="dot" w:pos="9486"/>
      </w:tabs>
      <w:ind w:left="4479" w:hanging="737"/>
    </w:pPr>
    <w:rPr>
      <w:sz w:val="18"/>
      <w:szCs w:val="18"/>
    </w:rPr>
  </w:style>
  <w:style w:type="paragraph" w:customStyle="1" w:styleId="ZZAnxheader">
    <w:name w:val="ZZ_Anx_header"/>
    <w:basedOn w:val="Normal-pool"/>
    <w:link w:val="ZZAnxheaderChar"/>
    <w:rsid w:val="007C29EE"/>
    <w:rPr>
      <w:b/>
      <w:bCs/>
      <w:sz w:val="28"/>
      <w:szCs w:val="22"/>
    </w:rPr>
  </w:style>
  <w:style w:type="paragraph" w:customStyle="1" w:styleId="ZZAnxtitle">
    <w:name w:val="ZZ_Anx_title"/>
    <w:basedOn w:val="Normal-pool"/>
    <w:link w:val="ZZAnxtitleChar"/>
    <w:rsid w:val="007C29EE"/>
    <w:pPr>
      <w:spacing w:before="360" w:after="120"/>
      <w:ind w:left="1247"/>
    </w:pPr>
    <w:rPr>
      <w:b/>
      <w:bCs/>
      <w:sz w:val="28"/>
      <w:szCs w:val="26"/>
    </w:rPr>
  </w:style>
  <w:style w:type="paragraph" w:styleId="NormalWeb">
    <w:name w:val="Normal (Web)"/>
    <w:basedOn w:val="Normal"/>
    <w:uiPriority w:val="99"/>
    <w:semiHidden/>
    <w:unhideWhenUsed/>
    <w:rsid w:val="007C29EE"/>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C29EE"/>
    <w:pPr>
      <w:spacing w:before="40" w:after="40"/>
    </w:pPr>
    <w:rPr>
      <w:sz w:val="18"/>
    </w:rPr>
  </w:style>
  <w:style w:type="paragraph" w:customStyle="1" w:styleId="Footnote-Text">
    <w:name w:val="Footnote-Text"/>
    <w:basedOn w:val="Normal-pool"/>
    <w:rsid w:val="007C29EE"/>
    <w:pPr>
      <w:spacing w:before="20" w:after="40"/>
      <w:ind w:left="1247"/>
    </w:pPr>
    <w:rPr>
      <w:sz w:val="18"/>
    </w:rPr>
  </w:style>
  <w:style w:type="paragraph" w:customStyle="1" w:styleId="AConvName">
    <w:name w:val="A_ConvName"/>
    <w:basedOn w:val="Normal-pool"/>
    <w:next w:val="Normal-pool"/>
    <w:rsid w:val="007C29EE"/>
    <w:pPr>
      <w:spacing w:before="120" w:after="240"/>
    </w:pPr>
    <w:rPr>
      <w:rFonts w:ascii="Arial" w:hAnsi="Arial"/>
      <w:b/>
      <w:sz w:val="28"/>
    </w:rPr>
  </w:style>
  <w:style w:type="paragraph" w:customStyle="1" w:styleId="ASymbol">
    <w:name w:val="A_Symbol"/>
    <w:basedOn w:val="Normal-pool"/>
    <w:rsid w:val="007C29EE"/>
    <w:pPr>
      <w:tabs>
        <w:tab w:val="clear" w:pos="624"/>
        <w:tab w:val="clear" w:pos="1247"/>
        <w:tab w:val="right" w:pos="2920"/>
      </w:tabs>
    </w:pPr>
    <w:rPr>
      <w:rFonts w:eastAsia="SimSun"/>
    </w:rPr>
  </w:style>
  <w:style w:type="paragraph" w:customStyle="1" w:styleId="AText">
    <w:name w:val="A_Text"/>
    <w:basedOn w:val="Normal-pool"/>
    <w:rsid w:val="007C29EE"/>
    <w:pPr>
      <w:spacing w:before="120"/>
    </w:pPr>
  </w:style>
  <w:style w:type="paragraph" w:customStyle="1" w:styleId="ATwoLetters">
    <w:name w:val="A_TwoLetters"/>
    <w:basedOn w:val="Normal-pool"/>
    <w:next w:val="Normal-pool"/>
    <w:rsid w:val="007C29EE"/>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7C29EE"/>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7C29EE"/>
    <w:rPr>
      <w:rFonts w:ascii="Tahoma" w:hAnsi="Tahoma" w:cs="Tahoma"/>
      <w:sz w:val="16"/>
      <w:szCs w:val="16"/>
    </w:rPr>
  </w:style>
  <w:style w:type="character" w:customStyle="1" w:styleId="BalloonTextChar">
    <w:name w:val="Balloon Text Char"/>
    <w:basedOn w:val="DefaultParagraphFont"/>
    <w:link w:val="BalloonText"/>
    <w:rsid w:val="007C29EE"/>
    <w:rPr>
      <w:rFonts w:ascii="Tahoma" w:eastAsia="Times New Roman" w:hAnsi="Tahoma" w:cs="Tahoma"/>
      <w:sz w:val="16"/>
      <w:szCs w:val="16"/>
      <w:lang w:val="en-GB" w:eastAsia="en-US"/>
    </w:rPr>
  </w:style>
  <w:style w:type="character" w:styleId="CommentReference">
    <w:name w:val="annotation reference"/>
    <w:basedOn w:val="DefaultParagraphFont"/>
    <w:uiPriority w:val="99"/>
    <w:unhideWhenUsed/>
    <w:rsid w:val="007C29EE"/>
    <w:rPr>
      <w:sz w:val="16"/>
      <w:szCs w:val="16"/>
      <w:lang w:val="en-GB"/>
    </w:rPr>
  </w:style>
  <w:style w:type="paragraph" w:styleId="CommentText">
    <w:name w:val="annotation text"/>
    <w:basedOn w:val="Normal"/>
    <w:link w:val="CommentTextChar"/>
    <w:uiPriority w:val="99"/>
    <w:unhideWhenUsed/>
    <w:rsid w:val="007C29EE"/>
  </w:style>
  <w:style w:type="character" w:customStyle="1" w:styleId="CommentTextChar">
    <w:name w:val="Comment Text Char"/>
    <w:basedOn w:val="DefaultParagraphFont"/>
    <w:link w:val="CommentText"/>
    <w:uiPriority w:val="99"/>
    <w:rsid w:val="007C29EE"/>
    <w:rPr>
      <w:rFonts w:eastAsia="Times New Roman"/>
      <w:lang w:val="en-GB" w:eastAsia="en-US"/>
    </w:rPr>
  </w:style>
  <w:style w:type="paragraph" w:styleId="CommentSubject">
    <w:name w:val="annotation subject"/>
    <w:basedOn w:val="CommentText"/>
    <w:next w:val="CommentText"/>
    <w:link w:val="CommentSubjectChar"/>
    <w:semiHidden/>
    <w:unhideWhenUsed/>
    <w:rsid w:val="007C29EE"/>
    <w:rPr>
      <w:b/>
      <w:bCs/>
    </w:rPr>
  </w:style>
  <w:style w:type="character" w:customStyle="1" w:styleId="CommentSubjectChar">
    <w:name w:val="Comment Subject Char"/>
    <w:basedOn w:val="CommentTextChar"/>
    <w:link w:val="CommentSubject"/>
    <w:semiHidden/>
    <w:rsid w:val="007C29EE"/>
    <w:rPr>
      <w:rFonts w:eastAsia="Times New Roman"/>
      <w:b/>
      <w:bCs/>
      <w:lang w:val="en-GB" w:eastAsia="en-US"/>
    </w:rPr>
  </w:style>
  <w:style w:type="character" w:styleId="FollowedHyperlink">
    <w:name w:val="FollowedHyperlink"/>
    <w:uiPriority w:val="99"/>
    <w:semiHidden/>
    <w:rsid w:val="007C29EE"/>
    <w:rPr>
      <w:color w:val="0000FF"/>
      <w:u w:val="none"/>
      <w:lang w:val="en-GB"/>
    </w:rPr>
  </w:style>
  <w:style w:type="character" w:customStyle="1" w:styleId="FooterChar">
    <w:name w:val="Footer Char"/>
    <w:basedOn w:val="DefaultParagraphFont"/>
    <w:link w:val="CH4"/>
    <w:rsid w:val="007C29EE"/>
    <w:rPr>
      <w:rFonts w:eastAsia="Times New Roman"/>
      <w:b/>
      <w:lang w:val="en-GB" w:eastAsia="en-US"/>
    </w:rPr>
  </w:style>
  <w:style w:type="character" w:customStyle="1" w:styleId="HeaderChar">
    <w:name w:val="Header Char"/>
    <w:basedOn w:val="DefaultParagraphFont"/>
    <w:link w:val="Header"/>
    <w:semiHidden/>
    <w:rsid w:val="007C29EE"/>
    <w:rPr>
      <w:rFonts w:eastAsia="Times New Roman"/>
      <w:b/>
      <w:sz w:val="18"/>
      <w:lang w:val="en-GB" w:eastAsia="en-US"/>
    </w:rPr>
  </w:style>
  <w:style w:type="character" w:customStyle="1" w:styleId="Heading1Char">
    <w:name w:val="Heading 1 Char"/>
    <w:basedOn w:val="DefaultParagraphFont"/>
    <w:link w:val="Heading1"/>
    <w:rsid w:val="007C29EE"/>
    <w:rPr>
      <w:rFonts w:eastAsia="Times New Roman"/>
      <w:b/>
      <w:sz w:val="28"/>
      <w:szCs w:val="28"/>
      <w:lang w:val="en-GB" w:eastAsia="en-US"/>
    </w:rPr>
  </w:style>
  <w:style w:type="character" w:customStyle="1" w:styleId="Heading2Char">
    <w:name w:val="Heading 2 Char"/>
    <w:basedOn w:val="DefaultParagraphFont"/>
    <w:link w:val="Heading2"/>
    <w:rsid w:val="007C29EE"/>
    <w:rPr>
      <w:rFonts w:eastAsia="Times New Roman"/>
      <w:b/>
      <w:sz w:val="24"/>
      <w:szCs w:val="24"/>
      <w:lang w:val="en-GB" w:eastAsia="en-US"/>
    </w:rPr>
  </w:style>
  <w:style w:type="character" w:customStyle="1" w:styleId="Heading3Char">
    <w:name w:val="Heading 3 Char"/>
    <w:basedOn w:val="DefaultParagraphFont"/>
    <w:link w:val="Heading3"/>
    <w:rsid w:val="007C29EE"/>
    <w:rPr>
      <w:rFonts w:eastAsia="Times New Roman"/>
      <w:b/>
      <w:lang w:val="en-GB" w:eastAsia="en-US"/>
    </w:rPr>
  </w:style>
  <w:style w:type="character" w:customStyle="1" w:styleId="Heading4Char">
    <w:name w:val="Heading 4 Char"/>
    <w:basedOn w:val="DefaultParagraphFont"/>
    <w:link w:val="Heading4"/>
    <w:rsid w:val="007C29EE"/>
    <w:rPr>
      <w:rFonts w:eastAsia="Times New Roman"/>
      <w:b/>
      <w:lang w:val="en-GB" w:eastAsia="en-US"/>
    </w:rPr>
  </w:style>
  <w:style w:type="character" w:customStyle="1" w:styleId="Heading5Char">
    <w:name w:val="Heading 5 Char"/>
    <w:basedOn w:val="DefaultParagraphFont"/>
    <w:link w:val="Heading5"/>
    <w:rsid w:val="007C29EE"/>
    <w:rPr>
      <w:rFonts w:eastAsia="Times New Roman"/>
      <w:b/>
      <w:lang w:val="en-GB" w:eastAsia="en-US"/>
    </w:rPr>
  </w:style>
  <w:style w:type="character" w:customStyle="1" w:styleId="Heading6Char">
    <w:name w:val="Heading 6 Char"/>
    <w:basedOn w:val="DefaultParagraphFont"/>
    <w:link w:val="Heading6"/>
    <w:semiHidden/>
    <w:rsid w:val="007C29EE"/>
    <w:rPr>
      <w:rFonts w:eastAsia="Times New Roman"/>
      <w:bCs/>
      <w:sz w:val="24"/>
      <w:lang w:val="en-GB" w:eastAsia="en-US"/>
    </w:rPr>
  </w:style>
  <w:style w:type="character" w:customStyle="1" w:styleId="Heading7Char">
    <w:name w:val="Heading 7 Char"/>
    <w:basedOn w:val="DefaultParagraphFont"/>
    <w:link w:val="Heading7"/>
    <w:semiHidden/>
    <w:rsid w:val="007C29EE"/>
    <w:rPr>
      <w:rFonts w:eastAsia="Times New Roman"/>
      <w:b/>
      <w:snapToGrid w:val="0"/>
      <w:u w:val="single"/>
      <w:lang w:val="en-GB" w:eastAsia="en-US"/>
    </w:rPr>
  </w:style>
  <w:style w:type="character" w:customStyle="1" w:styleId="Heading8Char">
    <w:name w:val="Heading 8 Char"/>
    <w:basedOn w:val="DefaultParagraphFont"/>
    <w:link w:val="Heading8"/>
    <w:semiHidden/>
    <w:rsid w:val="007C29EE"/>
    <w:rPr>
      <w:rFonts w:eastAsia="Times New Roman"/>
      <w:b/>
      <w:snapToGrid w:val="0"/>
      <w:u w:val="single"/>
      <w:lang w:val="en-GB" w:eastAsia="en-US"/>
    </w:rPr>
  </w:style>
  <w:style w:type="character" w:customStyle="1" w:styleId="Heading9Char">
    <w:name w:val="Heading 9 Char"/>
    <w:basedOn w:val="DefaultParagraphFont"/>
    <w:link w:val="Heading9"/>
    <w:semiHidden/>
    <w:rsid w:val="007C29EE"/>
    <w:rPr>
      <w:rFonts w:eastAsia="Times New Roman"/>
      <w:snapToGrid w:val="0"/>
      <w:u w:val="single"/>
      <w:lang w:val="en-GB" w:eastAsia="en-US"/>
    </w:rPr>
  </w:style>
  <w:style w:type="paragraph" w:styleId="ListParagraph">
    <w:name w:val="List Paragraph"/>
    <w:basedOn w:val="Normal"/>
    <w:link w:val="ListParagraphChar"/>
    <w:uiPriority w:val="34"/>
    <w:qFormat/>
    <w:rsid w:val="007C29EE"/>
    <w:pPr>
      <w:ind w:left="720"/>
      <w:contextualSpacing/>
    </w:pPr>
  </w:style>
  <w:style w:type="paragraph" w:styleId="NoSpacing">
    <w:name w:val="No Spacing"/>
    <w:uiPriority w:val="1"/>
    <w:qFormat/>
    <w:rsid w:val="007C29EE"/>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7C29EE"/>
    <w:rPr>
      <w:rFonts w:eastAsia="Times New Roman"/>
      <w:lang w:val="en-GB" w:eastAsia="en-US"/>
    </w:rPr>
  </w:style>
  <w:style w:type="character" w:styleId="PlaceholderText">
    <w:name w:val="Placeholder Text"/>
    <w:basedOn w:val="DefaultParagraphFont"/>
    <w:uiPriority w:val="99"/>
    <w:semiHidden/>
    <w:rsid w:val="007C29EE"/>
    <w:rPr>
      <w:color w:val="808080"/>
      <w:lang w:val="en-GB"/>
    </w:rPr>
  </w:style>
  <w:style w:type="table" w:styleId="TableGrid">
    <w:name w:val="Table Grid"/>
    <w:basedOn w:val="TableNormal"/>
    <w:uiPriority w:val="59"/>
    <w:rsid w:val="007C2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7C29EE"/>
    <w:pPr>
      <w:spacing w:before="120" w:after="240"/>
    </w:pPr>
  </w:style>
  <w:style w:type="character" w:customStyle="1" w:styleId="ALogoChar">
    <w:name w:val="A_Logo Char"/>
    <w:basedOn w:val="DefaultParagraphFont"/>
    <w:link w:val="ALogo"/>
    <w:rsid w:val="007C29EE"/>
    <w:rPr>
      <w:rFonts w:eastAsia="Times New Roman"/>
      <w:lang w:val="en-GB" w:eastAsia="en-US"/>
    </w:rPr>
  </w:style>
  <w:style w:type="paragraph" w:customStyle="1" w:styleId="ASpacer">
    <w:name w:val="A_Spacer"/>
    <w:basedOn w:val="Normal-pool"/>
    <w:link w:val="ASpacerChar"/>
    <w:qFormat/>
    <w:rsid w:val="007C29EE"/>
    <w:rPr>
      <w:sz w:val="2"/>
    </w:rPr>
  </w:style>
  <w:style w:type="character" w:customStyle="1" w:styleId="ASpacerChar">
    <w:name w:val="A_Spacer Char"/>
    <w:basedOn w:val="DefaultParagraphFont"/>
    <w:link w:val="ASpacer"/>
    <w:rsid w:val="007C29EE"/>
    <w:rPr>
      <w:rFonts w:eastAsia="Times New Roman"/>
      <w:sz w:val="2"/>
      <w:lang w:val="en-GB" w:eastAsia="en-US"/>
    </w:rPr>
  </w:style>
  <w:style w:type="paragraph" w:customStyle="1" w:styleId="AATitle1">
    <w:name w:val="AA_Title1"/>
    <w:basedOn w:val="Normal-pool"/>
    <w:qFormat/>
    <w:rsid w:val="007C29EE"/>
  </w:style>
  <w:style w:type="character" w:styleId="UnresolvedMention">
    <w:name w:val="Unresolved Mention"/>
    <w:basedOn w:val="DefaultParagraphFont"/>
    <w:uiPriority w:val="99"/>
    <w:semiHidden/>
    <w:rsid w:val="007C29EE"/>
    <w:rPr>
      <w:color w:val="605E5C"/>
      <w:shd w:val="clear" w:color="auto" w:fill="E1DFDD"/>
      <w:lang w:val="en-GB"/>
    </w:rPr>
  </w:style>
  <w:style w:type="paragraph" w:customStyle="1" w:styleId="ANormal">
    <w:name w:val="A_Normal"/>
    <w:basedOn w:val="Normal-pool"/>
    <w:qFormat/>
    <w:rsid w:val="007C29EE"/>
  </w:style>
  <w:style w:type="paragraph" w:customStyle="1" w:styleId="AText0">
    <w:name w:val="A_Text0"/>
    <w:basedOn w:val="AText"/>
    <w:next w:val="AText"/>
    <w:qFormat/>
    <w:rsid w:val="007C29EE"/>
    <w:pPr>
      <w:tabs>
        <w:tab w:val="clear" w:pos="4990"/>
      </w:tabs>
      <w:spacing w:before="0" w:after="120"/>
    </w:pPr>
  </w:style>
  <w:style w:type="paragraph" w:styleId="Footer">
    <w:name w:val="footer"/>
    <w:basedOn w:val="Normal"/>
    <w:link w:val="FooterChar1"/>
    <w:uiPriority w:val="99"/>
    <w:unhideWhenUsed/>
    <w:rsid w:val="007C29EE"/>
    <w:pPr>
      <w:tabs>
        <w:tab w:val="clear" w:pos="1247"/>
        <w:tab w:val="right" w:pos="8641"/>
      </w:tabs>
    </w:pPr>
    <w:rPr>
      <w:b/>
      <w:sz w:val="18"/>
    </w:rPr>
  </w:style>
  <w:style w:type="character" w:customStyle="1" w:styleId="FooterChar1">
    <w:name w:val="Footer Char1"/>
    <w:basedOn w:val="DefaultParagraphFont"/>
    <w:link w:val="Footer"/>
    <w:uiPriority w:val="99"/>
    <w:rsid w:val="007C29EE"/>
    <w:rPr>
      <w:rFonts w:eastAsia="Times New Roman"/>
      <w:b/>
      <w:sz w:val="18"/>
      <w:lang w:val="en-GB" w:eastAsia="en-US"/>
    </w:rPr>
  </w:style>
  <w:style w:type="paragraph" w:customStyle="1" w:styleId="Normal-pool">
    <w:name w:val="Normal-pool"/>
    <w:link w:val="Normal-poolChar"/>
    <w:qFormat/>
    <w:rsid w:val="007C29EE"/>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7C29EE"/>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7C29EE"/>
    <w:pPr>
      <w:spacing w:before="60"/>
      <w:ind w:left="624"/>
    </w:pPr>
    <w:rPr>
      <w:rFonts w:eastAsiaTheme="minorEastAsia"/>
      <w:sz w:val="18"/>
    </w:rPr>
  </w:style>
  <w:style w:type="paragraph" w:styleId="Bibliography">
    <w:name w:val="Bibliography"/>
    <w:basedOn w:val="Normal"/>
    <w:next w:val="Normal"/>
    <w:uiPriority w:val="37"/>
    <w:semiHidden/>
    <w:rsid w:val="007C29EE"/>
  </w:style>
  <w:style w:type="paragraph" w:styleId="BlockText">
    <w:name w:val="Block Text"/>
    <w:basedOn w:val="Normal"/>
    <w:semiHidden/>
    <w:unhideWhenUsed/>
    <w:rsid w:val="007C29E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C29EE"/>
    <w:pPr>
      <w:spacing w:after="120"/>
    </w:pPr>
  </w:style>
  <w:style w:type="character" w:customStyle="1" w:styleId="BodyTextChar">
    <w:name w:val="Body Text Char"/>
    <w:basedOn w:val="DefaultParagraphFont"/>
    <w:link w:val="BodyText"/>
    <w:semiHidden/>
    <w:rsid w:val="007C29EE"/>
    <w:rPr>
      <w:rFonts w:eastAsia="Times New Roman"/>
      <w:lang w:val="en-GB" w:eastAsia="en-US"/>
    </w:rPr>
  </w:style>
  <w:style w:type="paragraph" w:styleId="BodyText2">
    <w:name w:val="Body Text 2"/>
    <w:basedOn w:val="Normal"/>
    <w:link w:val="BodyText2Char"/>
    <w:semiHidden/>
    <w:unhideWhenUsed/>
    <w:rsid w:val="007C29EE"/>
    <w:pPr>
      <w:spacing w:after="120" w:line="480" w:lineRule="auto"/>
    </w:pPr>
  </w:style>
  <w:style w:type="character" w:customStyle="1" w:styleId="BodyText2Char">
    <w:name w:val="Body Text 2 Char"/>
    <w:basedOn w:val="DefaultParagraphFont"/>
    <w:link w:val="BodyText2"/>
    <w:semiHidden/>
    <w:rsid w:val="007C29EE"/>
    <w:rPr>
      <w:rFonts w:eastAsia="Times New Roman"/>
      <w:lang w:val="en-GB" w:eastAsia="en-US"/>
    </w:rPr>
  </w:style>
  <w:style w:type="paragraph" w:styleId="BodyText3">
    <w:name w:val="Body Text 3"/>
    <w:basedOn w:val="Normal"/>
    <w:link w:val="BodyText3Char"/>
    <w:semiHidden/>
    <w:unhideWhenUsed/>
    <w:rsid w:val="007C29EE"/>
    <w:pPr>
      <w:spacing w:after="120"/>
    </w:pPr>
    <w:rPr>
      <w:sz w:val="16"/>
      <w:szCs w:val="16"/>
    </w:rPr>
  </w:style>
  <w:style w:type="character" w:customStyle="1" w:styleId="BodyText3Char">
    <w:name w:val="Body Text 3 Char"/>
    <w:basedOn w:val="DefaultParagraphFont"/>
    <w:link w:val="BodyText3"/>
    <w:semiHidden/>
    <w:rsid w:val="007C29EE"/>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7C29EE"/>
    <w:pPr>
      <w:spacing w:after="0"/>
      <w:ind w:firstLine="360"/>
    </w:pPr>
  </w:style>
  <w:style w:type="character" w:customStyle="1" w:styleId="BodyTextFirstIndentChar">
    <w:name w:val="Body Text First Indent Char"/>
    <w:basedOn w:val="BodyTextChar"/>
    <w:link w:val="BodyTextFirstIndent"/>
    <w:semiHidden/>
    <w:rsid w:val="007C29EE"/>
    <w:rPr>
      <w:rFonts w:eastAsia="Times New Roman"/>
      <w:lang w:val="en-GB" w:eastAsia="en-US"/>
    </w:rPr>
  </w:style>
  <w:style w:type="paragraph" w:styleId="BodyTextIndent">
    <w:name w:val="Body Text Indent"/>
    <w:basedOn w:val="Normal"/>
    <w:link w:val="BodyTextIndentChar"/>
    <w:semiHidden/>
    <w:unhideWhenUsed/>
    <w:rsid w:val="007C29EE"/>
    <w:pPr>
      <w:spacing w:after="120"/>
      <w:ind w:left="283"/>
    </w:pPr>
  </w:style>
  <w:style w:type="character" w:customStyle="1" w:styleId="BodyTextIndentChar">
    <w:name w:val="Body Text Indent Char"/>
    <w:basedOn w:val="DefaultParagraphFont"/>
    <w:link w:val="BodyTextIndent"/>
    <w:semiHidden/>
    <w:rsid w:val="007C29EE"/>
    <w:rPr>
      <w:rFonts w:eastAsia="Times New Roman"/>
      <w:lang w:val="en-GB" w:eastAsia="en-US"/>
    </w:rPr>
  </w:style>
  <w:style w:type="paragraph" w:styleId="BodyTextFirstIndent2">
    <w:name w:val="Body Text First Indent 2"/>
    <w:basedOn w:val="BodyTextIndent"/>
    <w:link w:val="BodyTextFirstIndent2Char"/>
    <w:semiHidden/>
    <w:unhideWhenUsed/>
    <w:rsid w:val="007C29EE"/>
    <w:pPr>
      <w:spacing w:after="0"/>
      <w:ind w:left="360" w:firstLine="360"/>
    </w:pPr>
  </w:style>
  <w:style w:type="character" w:customStyle="1" w:styleId="BodyTextFirstIndent2Char">
    <w:name w:val="Body Text First Indent 2 Char"/>
    <w:basedOn w:val="BodyTextIndentChar"/>
    <w:link w:val="BodyTextFirstIndent2"/>
    <w:semiHidden/>
    <w:rsid w:val="007C29EE"/>
    <w:rPr>
      <w:rFonts w:eastAsia="Times New Roman"/>
      <w:lang w:val="en-GB" w:eastAsia="en-US"/>
    </w:rPr>
  </w:style>
  <w:style w:type="paragraph" w:styleId="BodyTextIndent2">
    <w:name w:val="Body Text Indent 2"/>
    <w:basedOn w:val="Normal"/>
    <w:link w:val="BodyTextIndent2Char"/>
    <w:semiHidden/>
    <w:unhideWhenUsed/>
    <w:rsid w:val="007C29EE"/>
    <w:pPr>
      <w:spacing w:after="120" w:line="480" w:lineRule="auto"/>
      <w:ind w:left="283"/>
    </w:pPr>
  </w:style>
  <w:style w:type="character" w:customStyle="1" w:styleId="BodyTextIndent2Char">
    <w:name w:val="Body Text Indent 2 Char"/>
    <w:basedOn w:val="DefaultParagraphFont"/>
    <w:link w:val="BodyTextIndent2"/>
    <w:semiHidden/>
    <w:rsid w:val="007C29EE"/>
    <w:rPr>
      <w:rFonts w:eastAsia="Times New Roman"/>
      <w:lang w:val="en-GB" w:eastAsia="en-US"/>
    </w:rPr>
  </w:style>
  <w:style w:type="paragraph" w:styleId="BodyTextIndent3">
    <w:name w:val="Body Text Indent 3"/>
    <w:basedOn w:val="Normal"/>
    <w:link w:val="BodyTextIndent3Char"/>
    <w:semiHidden/>
    <w:unhideWhenUsed/>
    <w:rsid w:val="007C29EE"/>
    <w:pPr>
      <w:spacing w:after="120"/>
      <w:ind w:left="283"/>
    </w:pPr>
    <w:rPr>
      <w:sz w:val="16"/>
      <w:szCs w:val="16"/>
    </w:rPr>
  </w:style>
  <w:style w:type="character" w:customStyle="1" w:styleId="BodyTextIndent3Char">
    <w:name w:val="Body Text Indent 3 Char"/>
    <w:basedOn w:val="DefaultParagraphFont"/>
    <w:link w:val="BodyTextIndent3"/>
    <w:semiHidden/>
    <w:rsid w:val="007C29EE"/>
    <w:rPr>
      <w:rFonts w:eastAsia="Times New Roman"/>
      <w:sz w:val="16"/>
      <w:szCs w:val="16"/>
      <w:lang w:val="en-GB" w:eastAsia="en-US"/>
    </w:rPr>
  </w:style>
  <w:style w:type="character" w:styleId="BookTitle">
    <w:name w:val="Book Title"/>
    <w:basedOn w:val="DefaultParagraphFont"/>
    <w:uiPriority w:val="33"/>
    <w:qFormat/>
    <w:rsid w:val="007C29EE"/>
    <w:rPr>
      <w:b/>
      <w:bCs/>
      <w:i/>
      <w:iCs/>
      <w:spacing w:val="5"/>
      <w:lang w:val="en-GB"/>
    </w:rPr>
  </w:style>
  <w:style w:type="paragraph" w:styleId="Caption">
    <w:name w:val="caption"/>
    <w:basedOn w:val="Normal"/>
    <w:next w:val="Normal"/>
    <w:uiPriority w:val="35"/>
    <w:semiHidden/>
    <w:unhideWhenUsed/>
    <w:qFormat/>
    <w:rsid w:val="007C29EE"/>
    <w:pPr>
      <w:spacing w:after="200"/>
    </w:pPr>
    <w:rPr>
      <w:i/>
      <w:iCs/>
      <w:color w:val="1F497D" w:themeColor="text2"/>
      <w:sz w:val="18"/>
      <w:szCs w:val="18"/>
    </w:rPr>
  </w:style>
  <w:style w:type="paragraph" w:styleId="Closing">
    <w:name w:val="Closing"/>
    <w:basedOn w:val="Normal"/>
    <w:link w:val="ClosingChar"/>
    <w:semiHidden/>
    <w:unhideWhenUsed/>
    <w:rsid w:val="007C29EE"/>
    <w:pPr>
      <w:ind w:left="4252"/>
    </w:pPr>
  </w:style>
  <w:style w:type="character" w:customStyle="1" w:styleId="ClosingChar">
    <w:name w:val="Closing Char"/>
    <w:basedOn w:val="DefaultParagraphFont"/>
    <w:link w:val="Closing"/>
    <w:semiHidden/>
    <w:rsid w:val="007C29EE"/>
    <w:rPr>
      <w:rFonts w:eastAsia="Times New Roman"/>
      <w:lang w:val="en-GB" w:eastAsia="en-US"/>
    </w:rPr>
  </w:style>
  <w:style w:type="table" w:styleId="ColorfulGrid">
    <w:name w:val="Colorful Grid"/>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C29E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C29E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C29E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C29E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C29E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C29E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C29E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C29E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C29E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C29E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C29E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C29E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C29E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C29E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C29E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C29E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C29E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C29E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C29E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C29E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C29E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7C29EE"/>
  </w:style>
  <w:style w:type="character" w:customStyle="1" w:styleId="DateChar">
    <w:name w:val="Date Char"/>
    <w:basedOn w:val="DefaultParagraphFont"/>
    <w:link w:val="Date"/>
    <w:semiHidden/>
    <w:rsid w:val="007C29EE"/>
    <w:rPr>
      <w:rFonts w:eastAsia="Times New Roman"/>
      <w:lang w:val="en-GB" w:eastAsia="en-US"/>
    </w:rPr>
  </w:style>
  <w:style w:type="paragraph" w:styleId="DocumentMap">
    <w:name w:val="Document Map"/>
    <w:basedOn w:val="Normal"/>
    <w:link w:val="DocumentMapChar"/>
    <w:semiHidden/>
    <w:unhideWhenUsed/>
    <w:rsid w:val="007C29EE"/>
    <w:rPr>
      <w:rFonts w:ascii="Segoe UI" w:hAnsi="Segoe UI" w:cs="Segoe UI"/>
      <w:sz w:val="16"/>
      <w:szCs w:val="16"/>
    </w:rPr>
  </w:style>
  <w:style w:type="character" w:customStyle="1" w:styleId="DocumentMapChar">
    <w:name w:val="Document Map Char"/>
    <w:basedOn w:val="DefaultParagraphFont"/>
    <w:link w:val="DocumentMap"/>
    <w:semiHidden/>
    <w:rsid w:val="007C29EE"/>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7C29EE"/>
  </w:style>
  <w:style w:type="character" w:customStyle="1" w:styleId="E-mailSignatureChar">
    <w:name w:val="E-mail Signature Char"/>
    <w:basedOn w:val="DefaultParagraphFont"/>
    <w:link w:val="E-mailSignature"/>
    <w:semiHidden/>
    <w:rsid w:val="007C29EE"/>
    <w:rPr>
      <w:rFonts w:eastAsia="Times New Roman"/>
      <w:lang w:val="en-GB" w:eastAsia="en-US"/>
    </w:rPr>
  </w:style>
  <w:style w:type="character" w:styleId="Emphasis">
    <w:name w:val="Emphasis"/>
    <w:basedOn w:val="DefaultParagraphFont"/>
    <w:qFormat/>
    <w:rsid w:val="007C29EE"/>
    <w:rPr>
      <w:i/>
      <w:iCs/>
      <w:lang w:val="en-GB"/>
    </w:rPr>
  </w:style>
  <w:style w:type="character" w:styleId="EndnoteReference">
    <w:name w:val="endnote reference"/>
    <w:basedOn w:val="DefaultParagraphFont"/>
    <w:semiHidden/>
    <w:unhideWhenUsed/>
    <w:rsid w:val="007C29EE"/>
    <w:rPr>
      <w:vertAlign w:val="superscript"/>
      <w:lang w:val="en-GB"/>
    </w:rPr>
  </w:style>
  <w:style w:type="paragraph" w:styleId="EndnoteText">
    <w:name w:val="endnote text"/>
    <w:basedOn w:val="Normal"/>
    <w:link w:val="EndnoteTextChar"/>
    <w:semiHidden/>
    <w:unhideWhenUsed/>
    <w:rsid w:val="007C29EE"/>
  </w:style>
  <w:style w:type="character" w:customStyle="1" w:styleId="EndnoteTextChar">
    <w:name w:val="Endnote Text Char"/>
    <w:basedOn w:val="DefaultParagraphFont"/>
    <w:link w:val="EndnoteText"/>
    <w:semiHidden/>
    <w:rsid w:val="007C29EE"/>
    <w:rPr>
      <w:rFonts w:eastAsia="Times New Roman"/>
      <w:lang w:val="en-GB" w:eastAsia="en-US"/>
    </w:rPr>
  </w:style>
  <w:style w:type="paragraph" w:styleId="EnvelopeAddress">
    <w:name w:val="envelope address"/>
    <w:basedOn w:val="Normal"/>
    <w:semiHidden/>
    <w:unhideWhenUsed/>
    <w:rsid w:val="007C29E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C29EE"/>
    <w:rPr>
      <w:rFonts w:asciiTheme="majorHAnsi" w:eastAsiaTheme="majorEastAsia" w:hAnsiTheme="majorHAnsi" w:cstheme="majorBidi"/>
    </w:rPr>
  </w:style>
  <w:style w:type="paragraph" w:styleId="FootnoteText">
    <w:name w:val="footnote text"/>
    <w:aliases w:val="Fußnotentextf, Char1,Geneva 9,Font: Geneva 9,Boston 10,f,-E Fußnotentext,Fußnotentext Ursprung,-E Fußnotentext1,-E Fußnotentext2,-E Fußnotentext3,Fußnotentext Char1,Fußnotentext Char Char,Fußnotentext Char1 Char Char,Char1,DNV-FT,fn,ft"/>
    <w:basedOn w:val="Normal"/>
    <w:link w:val="FootnoteTextChar"/>
    <w:uiPriority w:val="99"/>
    <w:unhideWhenUsed/>
    <w:qFormat/>
    <w:rsid w:val="007C29EE"/>
  </w:style>
  <w:style w:type="character" w:customStyle="1" w:styleId="FootnoteTextChar">
    <w:name w:val="Footnote Text Char"/>
    <w:aliases w:val="Fußnotentextf Char, Char1 Char,Geneva 9 Char,Font: Geneva 9 Char,Boston 10 Char,f Char,-E Fußnotentext Char,Fußnotentext Ursprung Char,-E Fußnotentext1 Char,-E Fußnotentext2 Char,-E Fußnotentext3 Char,Fußnotentext Char1 Char,fn Char"/>
    <w:basedOn w:val="DefaultParagraphFont"/>
    <w:link w:val="FootnoteText"/>
    <w:uiPriority w:val="99"/>
    <w:rsid w:val="007C29EE"/>
    <w:rPr>
      <w:rFonts w:eastAsia="Times New Roman"/>
      <w:lang w:val="en-GB" w:eastAsia="en-US"/>
    </w:rPr>
  </w:style>
  <w:style w:type="table" w:styleId="GridTable1Light">
    <w:name w:val="Grid Table 1 Light"/>
    <w:basedOn w:val="TableNormal"/>
    <w:uiPriority w:val="46"/>
    <w:rsid w:val="007C29E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C29E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C29E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C29E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C29E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C29E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C29E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C29E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C29E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C29E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C29E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C29E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C29E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C29E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C29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C29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C29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C29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C29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C29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C29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C29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C29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C29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C29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C29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C29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C29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C29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C29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C29E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C29E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C29E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C29E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C29E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C29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C29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C29E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C29E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C29E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C29E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C29E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7C29EE"/>
    <w:rPr>
      <w:color w:val="2B579A"/>
      <w:shd w:val="clear" w:color="auto" w:fill="E1DFDD"/>
      <w:lang w:val="en-GB"/>
    </w:rPr>
  </w:style>
  <w:style w:type="character" w:styleId="HTMLAcronym">
    <w:name w:val="HTML Acronym"/>
    <w:basedOn w:val="DefaultParagraphFont"/>
    <w:semiHidden/>
    <w:unhideWhenUsed/>
    <w:rsid w:val="007C29EE"/>
    <w:rPr>
      <w:lang w:val="en-GB"/>
    </w:rPr>
  </w:style>
  <w:style w:type="paragraph" w:styleId="HTMLAddress">
    <w:name w:val="HTML Address"/>
    <w:basedOn w:val="Normal"/>
    <w:link w:val="HTMLAddressChar"/>
    <w:semiHidden/>
    <w:unhideWhenUsed/>
    <w:rsid w:val="007C29EE"/>
    <w:rPr>
      <w:i/>
      <w:iCs/>
    </w:rPr>
  </w:style>
  <w:style w:type="character" w:customStyle="1" w:styleId="HTMLAddressChar">
    <w:name w:val="HTML Address Char"/>
    <w:basedOn w:val="DefaultParagraphFont"/>
    <w:link w:val="HTMLAddress"/>
    <w:semiHidden/>
    <w:rsid w:val="007C29EE"/>
    <w:rPr>
      <w:rFonts w:eastAsia="Times New Roman"/>
      <w:i/>
      <w:iCs/>
      <w:lang w:val="en-GB" w:eastAsia="en-US"/>
    </w:rPr>
  </w:style>
  <w:style w:type="character" w:styleId="HTMLCite">
    <w:name w:val="HTML Cite"/>
    <w:basedOn w:val="DefaultParagraphFont"/>
    <w:semiHidden/>
    <w:unhideWhenUsed/>
    <w:rsid w:val="007C29EE"/>
    <w:rPr>
      <w:i/>
      <w:iCs/>
      <w:lang w:val="en-GB"/>
    </w:rPr>
  </w:style>
  <w:style w:type="character" w:styleId="HTMLCode">
    <w:name w:val="HTML Code"/>
    <w:basedOn w:val="DefaultParagraphFont"/>
    <w:semiHidden/>
    <w:unhideWhenUsed/>
    <w:rsid w:val="007C29EE"/>
    <w:rPr>
      <w:rFonts w:ascii="Consolas" w:hAnsi="Consolas"/>
      <w:sz w:val="20"/>
      <w:szCs w:val="20"/>
      <w:lang w:val="en-GB"/>
    </w:rPr>
  </w:style>
  <w:style w:type="character" w:styleId="HTMLDefinition">
    <w:name w:val="HTML Definition"/>
    <w:basedOn w:val="DefaultParagraphFont"/>
    <w:semiHidden/>
    <w:unhideWhenUsed/>
    <w:rsid w:val="007C29EE"/>
    <w:rPr>
      <w:i/>
      <w:iCs/>
      <w:lang w:val="en-GB"/>
    </w:rPr>
  </w:style>
  <w:style w:type="character" w:styleId="HTMLKeyboard">
    <w:name w:val="HTML Keyboard"/>
    <w:basedOn w:val="DefaultParagraphFont"/>
    <w:semiHidden/>
    <w:unhideWhenUsed/>
    <w:rsid w:val="007C29EE"/>
    <w:rPr>
      <w:rFonts w:ascii="Consolas" w:hAnsi="Consolas"/>
      <w:sz w:val="20"/>
      <w:szCs w:val="20"/>
      <w:lang w:val="en-GB"/>
    </w:rPr>
  </w:style>
  <w:style w:type="paragraph" w:styleId="HTMLPreformatted">
    <w:name w:val="HTML Preformatted"/>
    <w:basedOn w:val="Normal"/>
    <w:link w:val="HTMLPreformattedChar"/>
    <w:semiHidden/>
    <w:unhideWhenUsed/>
    <w:rsid w:val="007C29EE"/>
    <w:rPr>
      <w:rFonts w:ascii="Consolas" w:hAnsi="Consolas"/>
    </w:rPr>
  </w:style>
  <w:style w:type="character" w:customStyle="1" w:styleId="HTMLPreformattedChar">
    <w:name w:val="HTML Preformatted Char"/>
    <w:basedOn w:val="DefaultParagraphFont"/>
    <w:link w:val="HTMLPreformatted"/>
    <w:semiHidden/>
    <w:rsid w:val="007C29EE"/>
    <w:rPr>
      <w:rFonts w:ascii="Consolas" w:eastAsia="Times New Roman" w:hAnsi="Consolas"/>
      <w:lang w:val="en-GB" w:eastAsia="en-US"/>
    </w:rPr>
  </w:style>
  <w:style w:type="character" w:styleId="HTMLSample">
    <w:name w:val="HTML Sample"/>
    <w:basedOn w:val="DefaultParagraphFont"/>
    <w:semiHidden/>
    <w:unhideWhenUsed/>
    <w:rsid w:val="007C29EE"/>
    <w:rPr>
      <w:rFonts w:ascii="Consolas" w:hAnsi="Consolas"/>
      <w:sz w:val="24"/>
      <w:szCs w:val="24"/>
      <w:lang w:val="en-GB"/>
    </w:rPr>
  </w:style>
  <w:style w:type="character" w:styleId="HTMLTypewriter">
    <w:name w:val="HTML Typewriter"/>
    <w:basedOn w:val="DefaultParagraphFont"/>
    <w:semiHidden/>
    <w:unhideWhenUsed/>
    <w:rsid w:val="007C29EE"/>
    <w:rPr>
      <w:rFonts w:ascii="Consolas" w:hAnsi="Consolas"/>
      <w:sz w:val="20"/>
      <w:szCs w:val="20"/>
      <w:lang w:val="en-GB"/>
    </w:rPr>
  </w:style>
  <w:style w:type="character" w:styleId="HTMLVariable">
    <w:name w:val="HTML Variable"/>
    <w:basedOn w:val="DefaultParagraphFont"/>
    <w:semiHidden/>
    <w:unhideWhenUsed/>
    <w:rsid w:val="007C29EE"/>
    <w:rPr>
      <w:i/>
      <w:iCs/>
      <w:lang w:val="en-GB"/>
    </w:rPr>
  </w:style>
  <w:style w:type="paragraph" w:styleId="Index1">
    <w:name w:val="index 1"/>
    <w:basedOn w:val="Normal"/>
    <w:next w:val="Normal"/>
    <w:autoRedefine/>
    <w:semiHidden/>
    <w:unhideWhenUsed/>
    <w:rsid w:val="007C29EE"/>
    <w:pPr>
      <w:tabs>
        <w:tab w:val="clear" w:pos="1247"/>
      </w:tabs>
      <w:ind w:left="200" w:hanging="200"/>
    </w:pPr>
  </w:style>
  <w:style w:type="paragraph" w:styleId="Index2">
    <w:name w:val="index 2"/>
    <w:basedOn w:val="Normal"/>
    <w:next w:val="Normal"/>
    <w:autoRedefine/>
    <w:semiHidden/>
    <w:unhideWhenUsed/>
    <w:rsid w:val="007C29EE"/>
    <w:pPr>
      <w:tabs>
        <w:tab w:val="clear" w:pos="1247"/>
      </w:tabs>
      <w:ind w:left="400" w:hanging="200"/>
    </w:pPr>
  </w:style>
  <w:style w:type="paragraph" w:styleId="Index3">
    <w:name w:val="index 3"/>
    <w:basedOn w:val="Normal"/>
    <w:next w:val="Normal"/>
    <w:autoRedefine/>
    <w:semiHidden/>
    <w:unhideWhenUsed/>
    <w:rsid w:val="007C29EE"/>
    <w:pPr>
      <w:tabs>
        <w:tab w:val="clear" w:pos="1247"/>
      </w:tabs>
      <w:ind w:left="600" w:hanging="200"/>
    </w:pPr>
  </w:style>
  <w:style w:type="paragraph" w:styleId="Index4">
    <w:name w:val="index 4"/>
    <w:basedOn w:val="Normal"/>
    <w:next w:val="Normal"/>
    <w:autoRedefine/>
    <w:semiHidden/>
    <w:unhideWhenUsed/>
    <w:rsid w:val="007C29EE"/>
    <w:pPr>
      <w:tabs>
        <w:tab w:val="clear" w:pos="1247"/>
      </w:tabs>
      <w:ind w:left="800" w:hanging="200"/>
    </w:pPr>
  </w:style>
  <w:style w:type="paragraph" w:styleId="Index5">
    <w:name w:val="index 5"/>
    <w:basedOn w:val="Normal"/>
    <w:next w:val="Normal"/>
    <w:autoRedefine/>
    <w:semiHidden/>
    <w:unhideWhenUsed/>
    <w:rsid w:val="007C29EE"/>
    <w:pPr>
      <w:tabs>
        <w:tab w:val="clear" w:pos="1247"/>
      </w:tabs>
      <w:ind w:left="1000" w:hanging="200"/>
    </w:pPr>
  </w:style>
  <w:style w:type="paragraph" w:styleId="Index6">
    <w:name w:val="index 6"/>
    <w:basedOn w:val="Normal"/>
    <w:next w:val="Normal"/>
    <w:autoRedefine/>
    <w:semiHidden/>
    <w:unhideWhenUsed/>
    <w:rsid w:val="007C29EE"/>
    <w:pPr>
      <w:tabs>
        <w:tab w:val="clear" w:pos="1247"/>
      </w:tabs>
      <w:ind w:left="1200" w:hanging="200"/>
    </w:pPr>
  </w:style>
  <w:style w:type="paragraph" w:styleId="Index7">
    <w:name w:val="index 7"/>
    <w:basedOn w:val="Normal"/>
    <w:next w:val="Normal"/>
    <w:autoRedefine/>
    <w:semiHidden/>
    <w:unhideWhenUsed/>
    <w:rsid w:val="007C29EE"/>
    <w:pPr>
      <w:tabs>
        <w:tab w:val="clear" w:pos="1247"/>
      </w:tabs>
      <w:ind w:left="1400" w:hanging="200"/>
    </w:pPr>
  </w:style>
  <w:style w:type="paragraph" w:styleId="Index8">
    <w:name w:val="index 8"/>
    <w:basedOn w:val="Normal"/>
    <w:next w:val="Normal"/>
    <w:autoRedefine/>
    <w:semiHidden/>
    <w:unhideWhenUsed/>
    <w:rsid w:val="007C29EE"/>
    <w:pPr>
      <w:tabs>
        <w:tab w:val="clear" w:pos="1247"/>
      </w:tabs>
      <w:ind w:left="1600" w:hanging="200"/>
    </w:pPr>
  </w:style>
  <w:style w:type="paragraph" w:styleId="Index9">
    <w:name w:val="index 9"/>
    <w:basedOn w:val="Normal"/>
    <w:next w:val="Normal"/>
    <w:autoRedefine/>
    <w:semiHidden/>
    <w:unhideWhenUsed/>
    <w:rsid w:val="007C29EE"/>
    <w:pPr>
      <w:tabs>
        <w:tab w:val="clear" w:pos="1247"/>
      </w:tabs>
      <w:ind w:left="1800" w:hanging="200"/>
    </w:pPr>
  </w:style>
  <w:style w:type="paragraph" w:styleId="IndexHeading">
    <w:name w:val="index heading"/>
    <w:basedOn w:val="Normal"/>
    <w:next w:val="Index1"/>
    <w:semiHidden/>
    <w:unhideWhenUsed/>
    <w:rsid w:val="007C29EE"/>
    <w:rPr>
      <w:rFonts w:asciiTheme="majorHAnsi" w:eastAsiaTheme="majorEastAsia" w:hAnsiTheme="majorHAnsi" w:cstheme="majorBidi"/>
      <w:b/>
      <w:bCs/>
    </w:rPr>
  </w:style>
  <w:style w:type="character" w:styleId="IntenseEmphasis">
    <w:name w:val="Intense Emphasis"/>
    <w:basedOn w:val="DefaultParagraphFont"/>
    <w:uiPriority w:val="21"/>
    <w:qFormat/>
    <w:rsid w:val="007C29EE"/>
    <w:rPr>
      <w:i/>
      <w:iCs/>
      <w:color w:val="4F81BD" w:themeColor="accent1"/>
      <w:lang w:val="en-GB"/>
    </w:rPr>
  </w:style>
  <w:style w:type="paragraph" w:styleId="IntenseQuote">
    <w:name w:val="Intense Quote"/>
    <w:basedOn w:val="Normal"/>
    <w:next w:val="Normal"/>
    <w:link w:val="IntenseQuoteChar"/>
    <w:uiPriority w:val="30"/>
    <w:qFormat/>
    <w:rsid w:val="007C29E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29EE"/>
    <w:rPr>
      <w:rFonts w:eastAsia="Times New Roman"/>
      <w:i/>
      <w:iCs/>
      <w:color w:val="4F81BD" w:themeColor="accent1"/>
      <w:lang w:val="en-GB" w:eastAsia="en-US"/>
    </w:rPr>
  </w:style>
  <w:style w:type="character" w:styleId="IntenseReference">
    <w:name w:val="Intense Reference"/>
    <w:basedOn w:val="DefaultParagraphFont"/>
    <w:uiPriority w:val="32"/>
    <w:qFormat/>
    <w:rsid w:val="007C29EE"/>
    <w:rPr>
      <w:b/>
      <w:bCs/>
      <w:smallCaps/>
      <w:color w:val="4F81BD" w:themeColor="accent1"/>
      <w:spacing w:val="5"/>
      <w:lang w:val="en-GB"/>
    </w:rPr>
  </w:style>
  <w:style w:type="table" w:styleId="LightGrid">
    <w:name w:val="Light Grid"/>
    <w:basedOn w:val="TableNormal"/>
    <w:uiPriority w:val="62"/>
    <w:semiHidden/>
    <w:unhideWhenUsed/>
    <w:rsid w:val="007C29E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C29E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C29E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C29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C29E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C29E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C29E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C29E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C29E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C29E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C29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C29E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C29E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C29E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C29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C29E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C29E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C29E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C29E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C29E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C29E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C29EE"/>
    <w:rPr>
      <w:lang w:val="en-GB"/>
    </w:rPr>
  </w:style>
  <w:style w:type="paragraph" w:styleId="List">
    <w:name w:val="List"/>
    <w:basedOn w:val="Normal"/>
    <w:semiHidden/>
    <w:unhideWhenUsed/>
    <w:rsid w:val="007C29EE"/>
    <w:pPr>
      <w:ind w:left="283" w:hanging="283"/>
      <w:contextualSpacing/>
    </w:pPr>
  </w:style>
  <w:style w:type="paragraph" w:styleId="List2">
    <w:name w:val="List 2"/>
    <w:basedOn w:val="Normal"/>
    <w:semiHidden/>
    <w:unhideWhenUsed/>
    <w:rsid w:val="007C29EE"/>
    <w:pPr>
      <w:ind w:left="566" w:hanging="283"/>
      <w:contextualSpacing/>
    </w:pPr>
  </w:style>
  <w:style w:type="paragraph" w:styleId="List3">
    <w:name w:val="List 3"/>
    <w:basedOn w:val="Normal"/>
    <w:semiHidden/>
    <w:unhideWhenUsed/>
    <w:rsid w:val="007C29EE"/>
    <w:pPr>
      <w:ind w:left="849" w:hanging="283"/>
      <w:contextualSpacing/>
    </w:pPr>
  </w:style>
  <w:style w:type="paragraph" w:styleId="List4">
    <w:name w:val="List 4"/>
    <w:basedOn w:val="Normal"/>
    <w:semiHidden/>
    <w:unhideWhenUsed/>
    <w:rsid w:val="007C29EE"/>
    <w:pPr>
      <w:ind w:left="1132" w:hanging="283"/>
      <w:contextualSpacing/>
    </w:pPr>
  </w:style>
  <w:style w:type="paragraph" w:styleId="List5">
    <w:name w:val="List 5"/>
    <w:basedOn w:val="Normal"/>
    <w:semiHidden/>
    <w:unhideWhenUsed/>
    <w:rsid w:val="007C29EE"/>
    <w:pPr>
      <w:ind w:left="1415" w:hanging="283"/>
      <w:contextualSpacing/>
    </w:pPr>
  </w:style>
  <w:style w:type="paragraph" w:styleId="ListBullet">
    <w:name w:val="List Bullet"/>
    <w:basedOn w:val="Normal"/>
    <w:semiHidden/>
    <w:rsid w:val="007C29EE"/>
    <w:pPr>
      <w:numPr>
        <w:numId w:val="6"/>
      </w:numPr>
      <w:contextualSpacing/>
    </w:pPr>
  </w:style>
  <w:style w:type="paragraph" w:styleId="ListBullet2">
    <w:name w:val="List Bullet 2"/>
    <w:basedOn w:val="Normal"/>
    <w:semiHidden/>
    <w:unhideWhenUsed/>
    <w:rsid w:val="007C29EE"/>
    <w:pPr>
      <w:numPr>
        <w:numId w:val="7"/>
      </w:numPr>
      <w:contextualSpacing/>
    </w:pPr>
  </w:style>
  <w:style w:type="paragraph" w:styleId="ListBullet3">
    <w:name w:val="List Bullet 3"/>
    <w:basedOn w:val="Normal"/>
    <w:semiHidden/>
    <w:unhideWhenUsed/>
    <w:rsid w:val="007C29EE"/>
    <w:pPr>
      <w:numPr>
        <w:numId w:val="8"/>
      </w:numPr>
      <w:contextualSpacing/>
    </w:pPr>
  </w:style>
  <w:style w:type="paragraph" w:styleId="ListBullet4">
    <w:name w:val="List Bullet 4"/>
    <w:basedOn w:val="Normal"/>
    <w:semiHidden/>
    <w:unhideWhenUsed/>
    <w:rsid w:val="007C29EE"/>
    <w:pPr>
      <w:numPr>
        <w:numId w:val="9"/>
      </w:numPr>
      <w:contextualSpacing/>
    </w:pPr>
  </w:style>
  <w:style w:type="paragraph" w:styleId="ListBullet5">
    <w:name w:val="List Bullet 5"/>
    <w:basedOn w:val="Normal"/>
    <w:semiHidden/>
    <w:unhideWhenUsed/>
    <w:rsid w:val="007C29EE"/>
    <w:pPr>
      <w:numPr>
        <w:numId w:val="10"/>
      </w:numPr>
      <w:contextualSpacing/>
    </w:pPr>
  </w:style>
  <w:style w:type="paragraph" w:styleId="ListContinue">
    <w:name w:val="List Continue"/>
    <w:basedOn w:val="Normal"/>
    <w:semiHidden/>
    <w:unhideWhenUsed/>
    <w:rsid w:val="007C29EE"/>
    <w:pPr>
      <w:spacing w:after="120"/>
      <w:ind w:left="283"/>
      <w:contextualSpacing/>
    </w:pPr>
  </w:style>
  <w:style w:type="paragraph" w:styleId="ListContinue2">
    <w:name w:val="List Continue 2"/>
    <w:basedOn w:val="Normal"/>
    <w:semiHidden/>
    <w:unhideWhenUsed/>
    <w:rsid w:val="007C29EE"/>
    <w:pPr>
      <w:spacing w:after="120"/>
      <w:ind w:left="566"/>
      <w:contextualSpacing/>
    </w:pPr>
  </w:style>
  <w:style w:type="paragraph" w:styleId="ListContinue3">
    <w:name w:val="List Continue 3"/>
    <w:basedOn w:val="Normal"/>
    <w:semiHidden/>
    <w:rsid w:val="007C29EE"/>
    <w:pPr>
      <w:spacing w:after="120"/>
      <w:ind w:left="849"/>
      <w:contextualSpacing/>
    </w:pPr>
  </w:style>
  <w:style w:type="paragraph" w:styleId="ListContinue4">
    <w:name w:val="List Continue 4"/>
    <w:basedOn w:val="Normal"/>
    <w:semiHidden/>
    <w:rsid w:val="007C29EE"/>
    <w:pPr>
      <w:spacing w:after="120"/>
      <w:ind w:left="1132"/>
      <w:contextualSpacing/>
    </w:pPr>
  </w:style>
  <w:style w:type="paragraph" w:styleId="ListContinue5">
    <w:name w:val="List Continue 5"/>
    <w:basedOn w:val="Normal"/>
    <w:semiHidden/>
    <w:rsid w:val="007C29EE"/>
    <w:pPr>
      <w:spacing w:after="120"/>
      <w:ind w:left="1415"/>
      <w:contextualSpacing/>
    </w:pPr>
  </w:style>
  <w:style w:type="paragraph" w:styleId="ListNumber">
    <w:name w:val="List Number"/>
    <w:basedOn w:val="Normal"/>
    <w:semiHidden/>
    <w:rsid w:val="007C29EE"/>
    <w:pPr>
      <w:numPr>
        <w:numId w:val="11"/>
      </w:numPr>
      <w:contextualSpacing/>
    </w:pPr>
  </w:style>
  <w:style w:type="paragraph" w:styleId="ListNumber2">
    <w:name w:val="List Number 2"/>
    <w:basedOn w:val="Normal"/>
    <w:semiHidden/>
    <w:unhideWhenUsed/>
    <w:rsid w:val="007C29EE"/>
    <w:pPr>
      <w:numPr>
        <w:numId w:val="12"/>
      </w:numPr>
      <w:contextualSpacing/>
    </w:pPr>
  </w:style>
  <w:style w:type="paragraph" w:styleId="ListNumber3">
    <w:name w:val="List Number 3"/>
    <w:basedOn w:val="Normal"/>
    <w:semiHidden/>
    <w:unhideWhenUsed/>
    <w:rsid w:val="007C29EE"/>
    <w:pPr>
      <w:numPr>
        <w:numId w:val="13"/>
      </w:numPr>
      <w:contextualSpacing/>
    </w:pPr>
  </w:style>
  <w:style w:type="paragraph" w:styleId="ListNumber4">
    <w:name w:val="List Number 4"/>
    <w:basedOn w:val="Normal"/>
    <w:semiHidden/>
    <w:unhideWhenUsed/>
    <w:rsid w:val="007C29EE"/>
    <w:pPr>
      <w:numPr>
        <w:numId w:val="14"/>
      </w:numPr>
      <w:contextualSpacing/>
    </w:pPr>
  </w:style>
  <w:style w:type="paragraph" w:styleId="ListNumber5">
    <w:name w:val="List Number 5"/>
    <w:basedOn w:val="Normal"/>
    <w:semiHidden/>
    <w:unhideWhenUsed/>
    <w:rsid w:val="007C29EE"/>
    <w:pPr>
      <w:numPr>
        <w:numId w:val="15"/>
      </w:numPr>
      <w:contextualSpacing/>
    </w:pPr>
  </w:style>
  <w:style w:type="table" w:styleId="ListTable1Light">
    <w:name w:val="List Table 1 Light"/>
    <w:basedOn w:val="TableNormal"/>
    <w:uiPriority w:val="46"/>
    <w:rsid w:val="007C29E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C29E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C29E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C29E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C29E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C29E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C29E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C29E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C29E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C29E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C29E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C29E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C29E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C29E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C29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C29E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C29E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C29E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C29E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C29E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C29E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C29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C29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C29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C29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C29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C29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C29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C29E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C29E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C29E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C29E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C29E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C29E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C29E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C29E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C29E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C29E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C29E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C29E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C29E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C29E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C29E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C29E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C29E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C29E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C29E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C29E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C29E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7C29EE"/>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7C29EE"/>
    <w:rPr>
      <w:rFonts w:ascii="Consolas" w:eastAsia="Times New Roman" w:hAnsi="Consolas"/>
      <w:lang w:val="en-GB" w:eastAsia="en-US"/>
    </w:rPr>
  </w:style>
  <w:style w:type="table" w:styleId="MediumGrid1">
    <w:name w:val="Medium Grid 1"/>
    <w:basedOn w:val="TableNormal"/>
    <w:uiPriority w:val="67"/>
    <w:semiHidden/>
    <w:unhideWhenUsed/>
    <w:rsid w:val="007C29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C29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C29E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C29E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C29E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C29E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C29E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C29E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C29E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C29E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C29E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C29E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C29E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C29E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C29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C29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C29E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C29E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C29E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C29E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C29E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7C29EE"/>
    <w:rPr>
      <w:color w:val="2B579A"/>
      <w:shd w:val="clear" w:color="auto" w:fill="E1DFDD"/>
      <w:lang w:val="en-GB"/>
    </w:rPr>
  </w:style>
  <w:style w:type="paragraph" w:styleId="MessageHeader">
    <w:name w:val="Message Header"/>
    <w:basedOn w:val="Normal"/>
    <w:link w:val="MessageHeaderChar"/>
    <w:semiHidden/>
    <w:rsid w:val="007C29E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C29EE"/>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7C29EE"/>
    <w:pPr>
      <w:ind w:left="720"/>
    </w:pPr>
  </w:style>
  <w:style w:type="paragraph" w:styleId="NoteHeading">
    <w:name w:val="Note Heading"/>
    <w:basedOn w:val="Normal"/>
    <w:next w:val="Normal"/>
    <w:link w:val="NoteHeadingChar"/>
    <w:semiHidden/>
    <w:unhideWhenUsed/>
    <w:rsid w:val="007C29EE"/>
  </w:style>
  <w:style w:type="character" w:customStyle="1" w:styleId="NoteHeadingChar">
    <w:name w:val="Note Heading Char"/>
    <w:basedOn w:val="DefaultParagraphFont"/>
    <w:link w:val="NoteHeading"/>
    <w:semiHidden/>
    <w:rsid w:val="007C29EE"/>
    <w:rPr>
      <w:rFonts w:eastAsia="Times New Roman"/>
      <w:lang w:val="en-GB" w:eastAsia="en-US"/>
    </w:rPr>
  </w:style>
  <w:style w:type="table" w:styleId="PlainTable1">
    <w:name w:val="Plain Table 1"/>
    <w:basedOn w:val="TableNormal"/>
    <w:uiPriority w:val="41"/>
    <w:rsid w:val="007C29E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C29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C29E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29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C29E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7C29EE"/>
    <w:rPr>
      <w:rFonts w:ascii="Consolas" w:hAnsi="Consolas"/>
      <w:sz w:val="21"/>
      <w:szCs w:val="21"/>
    </w:rPr>
  </w:style>
  <w:style w:type="character" w:customStyle="1" w:styleId="PlainTextChar">
    <w:name w:val="Plain Text Char"/>
    <w:basedOn w:val="DefaultParagraphFont"/>
    <w:link w:val="PlainText"/>
    <w:semiHidden/>
    <w:rsid w:val="007C29EE"/>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7C29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29EE"/>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7C29EE"/>
  </w:style>
  <w:style w:type="character" w:customStyle="1" w:styleId="SalutationChar">
    <w:name w:val="Salutation Char"/>
    <w:basedOn w:val="DefaultParagraphFont"/>
    <w:link w:val="Salutation"/>
    <w:semiHidden/>
    <w:rsid w:val="007C29EE"/>
    <w:rPr>
      <w:rFonts w:eastAsia="Times New Roman"/>
      <w:lang w:val="en-GB" w:eastAsia="en-US"/>
    </w:rPr>
  </w:style>
  <w:style w:type="paragraph" w:styleId="Signature">
    <w:name w:val="Signature"/>
    <w:basedOn w:val="Normal"/>
    <w:link w:val="SignatureChar"/>
    <w:semiHidden/>
    <w:unhideWhenUsed/>
    <w:rsid w:val="007C29EE"/>
    <w:pPr>
      <w:ind w:left="4252"/>
    </w:pPr>
  </w:style>
  <w:style w:type="character" w:customStyle="1" w:styleId="SignatureChar">
    <w:name w:val="Signature Char"/>
    <w:basedOn w:val="DefaultParagraphFont"/>
    <w:link w:val="Signature"/>
    <w:semiHidden/>
    <w:rsid w:val="007C29EE"/>
    <w:rPr>
      <w:rFonts w:eastAsia="Times New Roman"/>
      <w:lang w:val="en-GB" w:eastAsia="en-US"/>
    </w:rPr>
  </w:style>
  <w:style w:type="character" w:styleId="SmartHyperlink">
    <w:name w:val="Smart Hyperlink"/>
    <w:basedOn w:val="DefaultParagraphFont"/>
    <w:uiPriority w:val="99"/>
    <w:semiHidden/>
    <w:rsid w:val="007C29EE"/>
    <w:rPr>
      <w:u w:val="dotted"/>
      <w:lang w:val="en-GB"/>
    </w:rPr>
  </w:style>
  <w:style w:type="character" w:styleId="SmartLink">
    <w:name w:val="Smart Link"/>
    <w:basedOn w:val="DefaultParagraphFont"/>
    <w:uiPriority w:val="99"/>
    <w:semiHidden/>
    <w:unhideWhenUsed/>
    <w:rsid w:val="007C29EE"/>
    <w:rPr>
      <w:color w:val="0000FF"/>
      <w:u w:val="single"/>
      <w:shd w:val="clear" w:color="auto" w:fill="F3F2F1"/>
      <w:lang w:val="en-GB"/>
    </w:rPr>
  </w:style>
  <w:style w:type="character" w:styleId="Strong">
    <w:name w:val="Strong"/>
    <w:basedOn w:val="DefaultParagraphFont"/>
    <w:qFormat/>
    <w:rsid w:val="007C29EE"/>
    <w:rPr>
      <w:b/>
      <w:bCs/>
      <w:lang w:val="en-GB"/>
    </w:rPr>
  </w:style>
  <w:style w:type="paragraph" w:styleId="Subtitle">
    <w:name w:val="Subtitle"/>
    <w:basedOn w:val="Normal"/>
    <w:next w:val="Normal"/>
    <w:link w:val="SubtitleChar"/>
    <w:qFormat/>
    <w:rsid w:val="007C29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29EE"/>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7C29EE"/>
    <w:rPr>
      <w:i/>
      <w:iCs/>
      <w:color w:val="404040" w:themeColor="text1" w:themeTint="BF"/>
      <w:lang w:val="en-GB"/>
    </w:rPr>
  </w:style>
  <w:style w:type="character" w:styleId="SubtleReference">
    <w:name w:val="Subtle Reference"/>
    <w:basedOn w:val="DefaultParagraphFont"/>
    <w:uiPriority w:val="31"/>
    <w:qFormat/>
    <w:rsid w:val="007C29EE"/>
    <w:rPr>
      <w:smallCaps/>
      <w:color w:val="5A5A5A" w:themeColor="text1" w:themeTint="A5"/>
      <w:lang w:val="en-GB"/>
    </w:rPr>
  </w:style>
  <w:style w:type="table" w:styleId="Table3Deffects1">
    <w:name w:val="Table 3D effects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C29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C29EE"/>
    <w:pPr>
      <w:tabs>
        <w:tab w:val="clear" w:pos="1247"/>
      </w:tabs>
      <w:ind w:left="200" w:hanging="200"/>
    </w:pPr>
  </w:style>
  <w:style w:type="table" w:styleId="TableProfessional">
    <w:name w:val="Table Professional"/>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7C29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29E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C29E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C29EE"/>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SmartLink1">
    <w:name w:val="SmartLink1"/>
    <w:basedOn w:val="DefaultParagraphFont"/>
    <w:uiPriority w:val="99"/>
    <w:semiHidden/>
    <w:unhideWhenUsed/>
    <w:rsid w:val="00E62558"/>
    <w:rPr>
      <w:color w:val="0000FF"/>
      <w:u w:val="single"/>
      <w:shd w:val="clear" w:color="auto" w:fill="F3F2F1"/>
      <w:lang w:val="en-GB"/>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qFormat/>
    <w:rsid w:val="00E62558"/>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Normal-poolChar">
    <w:name w:val="Normal-pool Char"/>
    <w:link w:val="Normal-pool"/>
    <w:locked/>
    <w:rsid w:val="00E62558"/>
    <w:rPr>
      <w:rFonts w:eastAsia="Times New Roman"/>
      <w:lang w:val="en-GB" w:eastAsia="en-US"/>
    </w:rPr>
  </w:style>
  <w:style w:type="character" w:customStyle="1" w:styleId="ZZAnxtitleChar">
    <w:name w:val="ZZ_Anx_title Char"/>
    <w:link w:val="ZZAnxtitle"/>
    <w:rsid w:val="00E62558"/>
    <w:rPr>
      <w:rFonts w:eastAsia="Times New Roman"/>
      <w:b/>
      <w:bCs/>
      <w:sz w:val="28"/>
      <w:szCs w:val="26"/>
      <w:lang w:val="en-GB" w:eastAsia="en-US"/>
    </w:rPr>
  </w:style>
  <w:style w:type="character" w:customStyle="1" w:styleId="NormalNonumberChar">
    <w:name w:val="Normal_No_number Char"/>
    <w:link w:val="NormalNonumber"/>
    <w:rsid w:val="00E62558"/>
    <w:rPr>
      <w:rFonts w:eastAsia="Times New Roman"/>
      <w:lang w:val="en-GB" w:eastAsia="en-US"/>
    </w:rPr>
  </w:style>
  <w:style w:type="numbering" w:customStyle="1" w:styleId="Normallist1">
    <w:name w:val="Normal_list1"/>
    <w:basedOn w:val="NoList"/>
    <w:rsid w:val="00E62558"/>
  </w:style>
  <w:style w:type="character" w:customStyle="1" w:styleId="job-value">
    <w:name w:val="job-value"/>
    <w:basedOn w:val="DefaultParagraphFont"/>
    <w:semiHidden/>
    <w:rsid w:val="00E62558"/>
    <w:rPr>
      <w:lang w:val="en-US"/>
    </w:rPr>
  </w:style>
  <w:style w:type="character" w:customStyle="1" w:styleId="job-symbol">
    <w:name w:val="job-symbol"/>
    <w:basedOn w:val="DefaultParagraphFont"/>
    <w:semiHidden/>
    <w:rsid w:val="00E62558"/>
    <w:rPr>
      <w:lang w:val="en-GB"/>
    </w:rPr>
  </w:style>
  <w:style w:type="character" w:customStyle="1" w:styleId="CH2Char">
    <w:name w:val="CH2 Char"/>
    <w:link w:val="CH2"/>
    <w:locked/>
    <w:rsid w:val="00E62558"/>
    <w:rPr>
      <w:rFonts w:eastAsia="Times New Roman"/>
      <w:b/>
      <w:sz w:val="24"/>
      <w:szCs w:val="24"/>
      <w:lang w:val="en-GB" w:eastAsia="en-US"/>
    </w:rPr>
  </w:style>
  <w:style w:type="paragraph" w:styleId="Revision">
    <w:name w:val="Revision"/>
    <w:hidden/>
    <w:uiPriority w:val="99"/>
    <w:semiHidden/>
    <w:rsid w:val="00E62558"/>
    <w:rPr>
      <w:rFonts w:eastAsia="Times New Roman"/>
      <w:lang w:val="en-US" w:eastAsia="en-US"/>
    </w:rPr>
  </w:style>
  <w:style w:type="character" w:customStyle="1" w:styleId="ui-provider">
    <w:name w:val="ui-provider"/>
    <w:basedOn w:val="DefaultParagraphFont"/>
    <w:semiHidden/>
    <w:rsid w:val="00E62558"/>
    <w:rPr>
      <w:lang w:val="en-GB"/>
    </w:rPr>
  </w:style>
  <w:style w:type="numbering" w:customStyle="1" w:styleId="Normallist2">
    <w:name w:val="Normal_list2"/>
    <w:basedOn w:val="NoList"/>
    <w:rsid w:val="00E62558"/>
  </w:style>
  <w:style w:type="paragraph" w:customStyle="1" w:styleId="Normalpool">
    <w:name w:val="Normal_pool"/>
    <w:link w:val="NormalpoolChar"/>
    <w:qFormat/>
    <w:rsid w:val="00E62558"/>
    <w:pPr>
      <w:tabs>
        <w:tab w:val="left" w:pos="624"/>
      </w:tabs>
    </w:pPr>
    <w:rPr>
      <w:rFonts w:eastAsia="Times New Roman"/>
      <w:lang w:val="en-US" w:eastAsia="en-US"/>
    </w:rPr>
  </w:style>
  <w:style w:type="character" w:customStyle="1" w:styleId="NormalpoolChar">
    <w:name w:val="Normal_pool Char"/>
    <w:link w:val="Normalpool"/>
    <w:locked/>
    <w:rsid w:val="00E62558"/>
    <w:rPr>
      <w:rFonts w:eastAsia="Times New Roman"/>
      <w:lang w:val="en-US" w:eastAsia="en-US"/>
    </w:rPr>
  </w:style>
  <w:style w:type="character" w:customStyle="1" w:styleId="job-number">
    <w:name w:val="job-number"/>
    <w:basedOn w:val="DefaultParagraphFont"/>
    <w:rsid w:val="00E62558"/>
    <w:rPr>
      <w:lang w:val="en-GB"/>
    </w:rPr>
  </w:style>
  <w:style w:type="character" w:customStyle="1" w:styleId="ZZAnxheaderChar">
    <w:name w:val="ZZ_Anx_header Char"/>
    <w:link w:val="ZZAnxheader"/>
    <w:rsid w:val="00E62558"/>
    <w:rPr>
      <w:rFonts w:eastAsia="Times New Roman"/>
      <w:b/>
      <w:bCs/>
      <w:sz w:val="28"/>
      <w:szCs w:val="22"/>
      <w:lang w:val="en-GB" w:eastAsia="en-US"/>
    </w:rPr>
  </w:style>
  <w:style w:type="numbering" w:customStyle="1" w:styleId="Normallist3">
    <w:name w:val="Normal_list3"/>
    <w:basedOn w:val="NoList"/>
    <w:rsid w:val="00E62558"/>
  </w:style>
  <w:style w:type="character" w:customStyle="1" w:styleId="ListParagraphChar">
    <w:name w:val="List Paragraph Char"/>
    <w:link w:val="ListParagraph"/>
    <w:uiPriority w:val="34"/>
    <w:locked/>
    <w:rsid w:val="00E62558"/>
    <w:rPr>
      <w:rFonts w:eastAsia="Times New Roman"/>
      <w:lang w:val="en-GB" w:eastAsia="en-US"/>
    </w:rPr>
  </w:style>
  <w:style w:type="paragraph" w:customStyle="1" w:styleId="Style15">
    <w:name w:val="Style15"/>
    <w:basedOn w:val="Normal"/>
    <w:qFormat/>
    <w:rsid w:val="00E62558"/>
    <w:pPr>
      <w:tabs>
        <w:tab w:val="clear" w:pos="1247"/>
        <w:tab w:val="clear" w:pos="1814"/>
        <w:tab w:val="clear" w:pos="2381"/>
        <w:tab w:val="clear" w:pos="2948"/>
        <w:tab w:val="clear" w:pos="3515"/>
        <w:tab w:val="left" w:pos="720"/>
        <w:tab w:val="left" w:pos="1080"/>
      </w:tabs>
    </w:pPr>
    <w:rPr>
      <w:b/>
      <w:color w:val="000000"/>
      <w:lang w:eastAsia="zh-CN"/>
    </w:rPr>
  </w:style>
  <w:style w:type="paragraph" w:customStyle="1" w:styleId="Heading4TEAP">
    <w:name w:val="Heading 4 TEAP"/>
    <w:basedOn w:val="Heading3"/>
    <w:semiHidden/>
    <w:qFormat/>
    <w:rsid w:val="00E62558"/>
    <w:pPr>
      <w:widowControl w:val="0"/>
      <w:numPr>
        <w:numId w:val="0"/>
      </w:numPr>
      <w:tabs>
        <w:tab w:val="clear" w:pos="1871"/>
        <w:tab w:val="clear" w:pos="2495"/>
        <w:tab w:val="clear" w:pos="3119"/>
        <w:tab w:val="clear" w:pos="3742"/>
        <w:tab w:val="clear" w:pos="4366"/>
      </w:tabs>
      <w:suppressAutoHyphens w:val="0"/>
      <w:adjustRightInd w:val="0"/>
      <w:spacing w:before="120" w:after="240" w:line="259" w:lineRule="auto"/>
      <w:ind w:left="851" w:right="29" w:hanging="851"/>
      <w:outlineLvl w:val="3"/>
    </w:pPr>
    <w:rPr>
      <w:rFonts w:eastAsia="SimSun"/>
      <w:bCs/>
      <w:iCs/>
      <w:snapToGrid w:val="0"/>
      <w:color w:val="000000" w:themeColor="text1"/>
      <w:sz w:val="22"/>
      <w:szCs w:val="22"/>
      <w:shd w:val="clear" w:color="auto" w:fill="FFFFFF"/>
      <w:lang w:val="en-US" w:eastAsia="ja-JP"/>
    </w:rPr>
  </w:style>
  <w:style w:type="paragraph" w:customStyle="1" w:styleId="Style10ptAfter6pt1">
    <w:name w:val="Style 10 pt After:  6 pt1"/>
    <w:basedOn w:val="Normal"/>
    <w:autoRedefine/>
    <w:semiHidden/>
    <w:rsid w:val="00E62558"/>
    <w:pPr>
      <w:keepNext/>
      <w:keepLines/>
      <w:tabs>
        <w:tab w:val="clear" w:pos="1247"/>
        <w:tab w:val="clear" w:pos="1814"/>
        <w:tab w:val="clear" w:pos="2381"/>
        <w:tab w:val="clear" w:pos="2948"/>
        <w:tab w:val="clear" w:pos="3515"/>
      </w:tabs>
      <w:spacing w:after="120"/>
    </w:pPr>
    <w:rPr>
      <w:color w:val="000000" w:themeColor="text1"/>
      <w:sz w:val="22"/>
      <w:lang w:eastAsia="zh-CN"/>
    </w:rPr>
  </w:style>
  <w:style w:type="character" w:customStyle="1" w:styleId="normaltextrun">
    <w:name w:val="normaltextrun"/>
    <w:basedOn w:val="DefaultParagraphFont"/>
    <w:rsid w:val="00E62558"/>
    <w:rPr>
      <w:lang w:val="en-GB"/>
    </w:rPr>
  </w:style>
  <w:style w:type="character" w:customStyle="1" w:styleId="eop">
    <w:name w:val="eop"/>
    <w:basedOn w:val="DefaultParagraphFont"/>
    <w:semiHidden/>
    <w:rsid w:val="00E62558"/>
    <w:rPr>
      <w:lang w:val="en-GB"/>
    </w:rPr>
  </w:style>
  <w:style w:type="paragraph" w:customStyle="1" w:styleId="paragraph">
    <w:name w:val="paragraph"/>
    <w:basedOn w:val="Normal"/>
    <w:semiHidden/>
    <w:rsid w:val="00E62558"/>
    <w:pPr>
      <w:tabs>
        <w:tab w:val="clear" w:pos="1247"/>
        <w:tab w:val="clear" w:pos="1814"/>
        <w:tab w:val="clear" w:pos="2381"/>
        <w:tab w:val="clear" w:pos="2948"/>
        <w:tab w:val="clear" w:pos="3515"/>
      </w:tabs>
      <w:spacing w:before="100" w:beforeAutospacing="1" w:after="100" w:afterAutospacing="1"/>
    </w:pPr>
    <w:rPr>
      <w:sz w:val="24"/>
      <w:szCs w:val="24"/>
    </w:rPr>
  </w:style>
  <w:style w:type="numbering" w:customStyle="1" w:styleId="Normallist4">
    <w:name w:val="Normal_list4"/>
    <w:basedOn w:val="NoList"/>
    <w:rsid w:val="00E62558"/>
  </w:style>
  <w:style w:type="character" w:customStyle="1" w:styleId="cf01">
    <w:name w:val="cf01"/>
    <w:basedOn w:val="DefaultParagraphFont"/>
    <w:rsid w:val="00E62558"/>
    <w:rPr>
      <w:rFonts w:ascii="Segoe UI" w:hAnsi="Segoe UI" w:cs="Segoe UI" w:hint="default"/>
      <w:i/>
      <w:iCs/>
      <w:sz w:val="18"/>
      <w:szCs w:val="18"/>
      <w:lang w:val="en-GB"/>
    </w:rPr>
  </w:style>
  <w:style w:type="character" w:customStyle="1" w:styleId="CH1Char">
    <w:name w:val="CH1 Char"/>
    <w:link w:val="CH1"/>
    <w:locked/>
    <w:rsid w:val="00E62558"/>
    <w:rPr>
      <w:rFonts w:eastAsia="Times New Roman"/>
      <w:b/>
      <w:sz w:val="28"/>
      <w:szCs w:val="28"/>
      <w:lang w:val="en-GB" w:eastAsia="en-US"/>
    </w:rPr>
  </w:style>
  <w:style w:type="table" w:customStyle="1" w:styleId="TableGrid10">
    <w:name w:val="Table Grid1"/>
    <w:basedOn w:val="TableNormal"/>
    <w:next w:val="TableGrid"/>
    <w:uiPriority w:val="39"/>
    <w:rsid w:val="00E62558"/>
    <w:rPr>
      <w:rFonts w:asciiTheme="minorHAnsi" w:eastAsia="Aptos"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allist5">
    <w:name w:val="Normal_list5"/>
    <w:basedOn w:val="NoList"/>
    <w:rsid w:val="00E62558"/>
  </w:style>
  <w:style w:type="character" w:customStyle="1" w:styleId="Hyperlink0">
    <w:name w:val="Hyperlink.0"/>
    <w:autoRedefine/>
    <w:rsid w:val="00E62558"/>
    <w:rPr>
      <w:color w:val="0000FF"/>
      <w:u w:val="single" w:color="0000FF"/>
      <w:lang w:val="en-US"/>
    </w:rPr>
  </w:style>
  <w:style w:type="character" w:customStyle="1" w:styleId="CommentTextChar2">
    <w:name w:val="Comment Text Char2"/>
    <w:basedOn w:val="DefaultParagraphFont"/>
    <w:uiPriority w:val="99"/>
    <w:rsid w:val="00E62558"/>
    <w:rPr>
      <w:rFonts w:ascii="Arial" w:hAnsi="Arial"/>
      <w:lang w:val="en-GB" w:eastAsia="zh-CN"/>
    </w:rPr>
  </w:style>
  <w:style w:type="paragraph" w:customStyle="1" w:styleId="Default">
    <w:name w:val="Default"/>
    <w:rsid w:val="00E62558"/>
    <w:pPr>
      <w:autoSpaceDE w:val="0"/>
      <w:autoSpaceDN w:val="0"/>
      <w:adjustRightInd w:val="0"/>
    </w:pPr>
    <w:rPr>
      <w:rFonts w:eastAsiaTheme="minorHAnsi"/>
      <w:color w:val="000000"/>
      <w:sz w:val="24"/>
      <w:szCs w:val="24"/>
      <w:lang w:val="en-GB" w:eastAsia="en-US"/>
      <w14:ligatures w14:val="standardContextual"/>
    </w:rPr>
  </w:style>
  <w:style w:type="character" w:customStyle="1" w:styleId="Heading3Char1">
    <w:name w:val="Heading 3 Char1"/>
    <w:aliases w:val="Heading 3 Char1 Char Char,Heading 3 Char Char Char Char,Char Char Char Char Char,Char Char1 Char Char,Heading 3 Char1 Char Char1,Heading 3 Char Char Char Char1,Char Char Char Char Char1,Char Char1 Char Char1,Heading 3 Char1 Char Char11"/>
    <w:qFormat/>
    <w:rsid w:val="00E62558"/>
    <w:rPr>
      <w:b w:val="0"/>
      <w:bCs w:val="0"/>
      <w:i/>
      <w:iCs w:val="0"/>
      <w:noProof w:val="0"/>
      <w:color w:val="000000"/>
      <w:sz w:val="24"/>
      <w:lang w:val="en-GB" w:eastAsia="en-US"/>
    </w:rPr>
  </w:style>
  <w:style w:type="paragraph" w:customStyle="1" w:styleId="ListBulletTEAP">
    <w:name w:val="List Bullet TEAP"/>
    <w:basedOn w:val="ListBullet"/>
    <w:qFormat/>
    <w:rsid w:val="00E62558"/>
    <w:pPr>
      <w:numPr>
        <w:numId w:val="18"/>
      </w:numPr>
      <w:tabs>
        <w:tab w:val="clear" w:pos="1247"/>
        <w:tab w:val="clear" w:pos="1814"/>
        <w:tab w:val="clear" w:pos="2381"/>
        <w:tab w:val="clear" w:pos="2948"/>
        <w:tab w:val="clear" w:pos="3515"/>
      </w:tabs>
      <w:spacing w:after="240"/>
      <w:ind w:left="0" w:firstLine="0"/>
      <w:contextualSpacing w:val="0"/>
    </w:pPr>
    <w:rPr>
      <w:sz w:val="22"/>
      <w:lang w:eastAsia="zh-CN"/>
    </w:rPr>
  </w:style>
  <w:style w:type="table" w:customStyle="1" w:styleId="TableGrid0">
    <w:name w:val="Table Grid0"/>
    <w:basedOn w:val="TableNormal"/>
    <w:uiPriority w:val="39"/>
    <w:locked/>
    <w:rsid w:val="00E62558"/>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列出段落"/>
    <w:basedOn w:val="Normal"/>
    <w:uiPriority w:val="34"/>
    <w:qFormat/>
    <w:locked/>
    <w:rsid w:val="00E62558"/>
    <w:pPr>
      <w:tabs>
        <w:tab w:val="clear" w:pos="1247"/>
        <w:tab w:val="clear" w:pos="1814"/>
        <w:tab w:val="clear" w:pos="2381"/>
        <w:tab w:val="clear" w:pos="2948"/>
        <w:tab w:val="clear" w:pos="3515"/>
      </w:tabs>
      <w:autoSpaceDE w:val="0"/>
      <w:autoSpaceDN w:val="0"/>
      <w:spacing w:after="200"/>
      <w:ind w:left="720"/>
    </w:pPr>
    <w:rPr>
      <w:rFonts w:ascii="Cambria" w:hAnsi="Cambria"/>
      <w:sz w:val="22"/>
      <w:szCs w:val="22"/>
      <w:lang w:val="en-CA"/>
    </w:rPr>
  </w:style>
  <w:style w:type="table" w:customStyle="1" w:styleId="GridTable5Dark-Accent11">
    <w:name w:val="Grid Table 5 Dark - Accent 11"/>
    <w:basedOn w:val="TableNormal"/>
    <w:next w:val="GridTable5Dark-Accent1"/>
    <w:uiPriority w:val="50"/>
    <w:rsid w:val="00E62558"/>
    <w:rPr>
      <w:rFonts w:ascii="Calibri" w:eastAsia="Calibri" w:hAnsi="Calibri"/>
      <w:sz w:val="24"/>
      <w:szCs w:val="24"/>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zone.unep.org/system/files/documents/TEAP-May2026-Progress-Report-vol1.pdf" TargetMode="External"/><Relationship Id="rId7" Type="http://schemas.openxmlformats.org/officeDocument/2006/relationships/hyperlink" Target="https://ozone.unep.org/treaties/montreal-protocol/meetings/thirtieth-meeting-parties/decisions/annex-i-adjustments." TargetMode="External"/><Relationship Id="rId2" Type="http://schemas.openxmlformats.org/officeDocument/2006/relationships/hyperlink" Target="https://ozone.unep.org/system/files/documents/TEAP-DecisionXXXVII6-replenishment-TF-report-May2026-RTF-report.pdf" TargetMode="External"/><Relationship Id="rId1" Type="http://schemas.openxmlformats.org/officeDocument/2006/relationships/hyperlink" Target="https://ozone.unep.org/meetings/48th-meeting-open-ended-working-group-parties/pre-session-documents" TargetMode="External"/><Relationship Id="rId6" Type="http://schemas.openxmlformats.org/officeDocument/2006/relationships/hyperlink" Target="https://www.multilateralfund.org/our-impact" TargetMode="External"/><Relationship Id="rId5" Type="http://schemas.openxmlformats.org/officeDocument/2006/relationships/hyperlink" Target="https://ozone.unep.org/node/1941" TargetMode="External"/><Relationship Id="rId4" Type="http://schemas.openxmlformats.org/officeDocument/2006/relationships/hyperlink" Target="https://ozone.unep.org/science/assessment/teap/teap-expertise-requir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F1F2DC91-B7AC-4521-9E61-DC9241B8E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43</TotalTime>
  <Pages>26</Pages>
  <Words>13895</Words>
  <Characters>79207</Characters>
  <Application>Microsoft Office Word</Application>
  <DocSecurity>0</DocSecurity>
  <PresentationFormat/>
  <Lines>660</Lines>
  <Paragraphs>185</Paragraphs>
  <ScaleCrop>false</ScaleCrop>
  <HeadingPairs>
    <vt:vector size="2" baseType="variant">
      <vt:variant>
        <vt:lpstr>Title</vt:lpstr>
      </vt:variant>
      <vt:variant>
        <vt:i4>1</vt:i4>
      </vt:variant>
    </vt:vector>
  </HeadingPairs>
  <TitlesOfParts>
    <vt:vector size="1" baseType="lpstr">
      <vt:lpstr>NATIONS UNIES</vt:lpstr>
    </vt:vector>
  </TitlesOfParts>
  <Manager/>
  <Company/>
  <LinksUpToDate>false</LinksUpToDate>
  <CharactersWithSpaces>92917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Jane Mbau</cp:lastModifiedBy>
  <cp:revision>6</cp:revision>
  <cp:lastPrinted>2026-06-08T13:37:00Z</cp:lastPrinted>
  <dcterms:created xsi:type="dcterms:W3CDTF">2026-06-08T13:39:00Z</dcterms:created>
  <dcterms:modified xsi:type="dcterms:W3CDTF">2026-06-08T14:22:00Z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0x010100A8527E0A0837F64083645E115EB57567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