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3F17DD" w:rsidRPr="003F17DD" w14:paraId="177FADDD" w14:textId="77777777" w:rsidTr="003F17DD">
        <w:trPr>
          <w:trHeight w:val="850"/>
        </w:trPr>
        <w:tc>
          <w:tcPr>
            <w:tcW w:w="1559" w:type="dxa"/>
          </w:tcPr>
          <w:p w14:paraId="6773D46C" w14:textId="43A4680B" w:rsidR="003F17DD" w:rsidRPr="003F17DD" w:rsidRDefault="003F17DD" w:rsidP="003F17DD">
            <w:pPr>
              <w:pStyle w:val="AUnitedNations"/>
            </w:pPr>
            <w:r w:rsidRPr="003F17DD">
              <w:t xml:space="preserve">Nations </w:t>
            </w:r>
            <w:r w:rsidRPr="003F17DD">
              <w:br/>
              <w:t>Unies</w:t>
            </w:r>
          </w:p>
        </w:tc>
        <w:tc>
          <w:tcPr>
            <w:tcW w:w="4819" w:type="dxa"/>
          </w:tcPr>
          <w:p w14:paraId="61A9195C" w14:textId="52AAEEAE" w:rsidR="003F17DD" w:rsidRPr="003F17DD" w:rsidRDefault="003F17DD" w:rsidP="003F17DD">
            <w:pPr>
              <w:pStyle w:val="Normal-pool"/>
            </w:pPr>
            <w:r w:rsidRPr="003F17DD">
              <w:rPr>
                <w:noProof/>
              </w:rPr>
              <w:drawing>
                <wp:anchor distT="0" distB="0" distL="114300" distR="114300" simplePos="0" relativeHeight="251658240" behindDoc="0" locked="0" layoutInCell="1" allowOverlap="1" wp14:anchorId="029359D6" wp14:editId="49143B5F">
                  <wp:simplePos x="0" y="0"/>
                  <wp:positionH relativeFrom="column">
                    <wp:posOffset>3175</wp:posOffset>
                  </wp:positionH>
                  <wp:positionV relativeFrom="paragraph">
                    <wp:posOffset>-4445</wp:posOffset>
                  </wp:positionV>
                  <wp:extent cx="1269153" cy="573559"/>
                  <wp:effectExtent l="0" t="0" r="7620" b="0"/>
                  <wp:wrapNone/>
                  <wp:docPr id="85879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91034"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3118" w:type="dxa"/>
          </w:tcPr>
          <w:p w14:paraId="2F3ECE5E" w14:textId="77777777" w:rsidR="003F17DD" w:rsidRPr="003F17DD" w:rsidRDefault="003F17DD" w:rsidP="003F17DD">
            <w:pPr>
              <w:pStyle w:val="Normal-pool"/>
            </w:pPr>
          </w:p>
        </w:tc>
      </w:tr>
    </w:tbl>
    <w:p w14:paraId="66101D61" w14:textId="77777777" w:rsidR="003F17DD" w:rsidRPr="003F17DD" w:rsidRDefault="003F17DD" w:rsidP="003F17DD">
      <w:pPr>
        <w:pStyle w:val="ASpacer"/>
      </w:pPr>
    </w:p>
    <w:tbl>
      <w:tblPr>
        <w:tblW w:w="9496" w:type="dxa"/>
        <w:tblLook w:val="0000" w:firstRow="0" w:lastRow="0" w:firstColumn="0" w:lastColumn="0" w:noHBand="0" w:noVBand="0"/>
      </w:tblPr>
      <w:tblGrid>
        <w:gridCol w:w="6284"/>
        <w:gridCol w:w="3212"/>
      </w:tblGrid>
      <w:tr w:rsidR="003F17DD" w:rsidRPr="003F17DD" w14:paraId="4F4CFCEB" w14:textId="77777777" w:rsidTr="003F17DD">
        <w:trPr>
          <w:trHeight w:val="340"/>
        </w:trPr>
        <w:tc>
          <w:tcPr>
            <w:tcW w:w="3358" w:type="pct"/>
            <w:vAlign w:val="bottom"/>
          </w:tcPr>
          <w:p w14:paraId="3261E45B" w14:textId="77777777" w:rsidR="003F17DD" w:rsidRPr="003F17DD" w:rsidRDefault="003F17DD" w:rsidP="003F17DD">
            <w:pPr>
              <w:pStyle w:val="Normal-pool"/>
            </w:pPr>
          </w:p>
        </w:tc>
        <w:tc>
          <w:tcPr>
            <w:tcW w:w="1642" w:type="pct"/>
            <w:noWrap/>
            <w:vAlign w:val="bottom"/>
          </w:tcPr>
          <w:p w14:paraId="70823C37" w14:textId="2CC2AA3B" w:rsidR="003F17DD" w:rsidRPr="003F17DD" w:rsidRDefault="003F17DD" w:rsidP="003F17DD">
            <w:pPr>
              <w:pStyle w:val="ASymbol"/>
            </w:pPr>
            <w:r w:rsidRPr="003F17DD">
              <w:rPr>
                <w:b/>
                <w:sz w:val="28"/>
              </w:rPr>
              <w:t>UNEP</w:t>
            </w:r>
            <w:r w:rsidRPr="003F17DD">
              <w:t>/OzL.Pro.WG.</w:t>
            </w:r>
            <w:bookmarkStart w:id="0" w:name="Symbol1A"/>
            <w:r w:rsidRPr="003F17DD">
              <w:t>1</w:t>
            </w:r>
            <w:bookmarkStart w:id="1" w:name="Symbol1B"/>
            <w:bookmarkEnd w:id="0"/>
            <w:r w:rsidRPr="003F17DD">
              <w:t>/48</w:t>
            </w:r>
            <w:bookmarkStart w:id="2" w:name="Symbol1C"/>
            <w:bookmarkEnd w:id="1"/>
            <w:r w:rsidRPr="003F17DD">
              <w:t>/</w:t>
            </w:r>
            <w:r w:rsidRPr="003F17DD">
              <w:rPr>
                <w:color w:val="000000"/>
              </w:rPr>
              <w:t>2/Add.1</w:t>
            </w:r>
            <w:bookmarkEnd w:id="2"/>
          </w:p>
        </w:tc>
      </w:tr>
    </w:tbl>
    <w:p w14:paraId="5F336298" w14:textId="77777777" w:rsidR="003F17DD" w:rsidRPr="003F17DD" w:rsidRDefault="003F17DD" w:rsidP="003F17DD">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F17DD" w:rsidRPr="003F17DD" w14:paraId="14CEA113" w14:textId="77777777" w:rsidTr="003F17DD">
        <w:trPr>
          <w:trHeight w:val="2098"/>
        </w:trPr>
        <w:tc>
          <w:tcPr>
            <w:tcW w:w="5386" w:type="dxa"/>
          </w:tcPr>
          <w:p w14:paraId="387DE14F" w14:textId="27ACA40D" w:rsidR="003F17DD" w:rsidRPr="003F17DD" w:rsidRDefault="003F17DD" w:rsidP="003F17DD">
            <w:pPr>
              <w:pStyle w:val="AConvName"/>
            </w:pPr>
            <w:r w:rsidRPr="003F17DD">
              <w:t xml:space="preserve">Protocole de Montréal </w:t>
            </w:r>
            <w:r w:rsidRPr="003F17DD">
              <w:br/>
              <w:t xml:space="preserve">relatif à des substances </w:t>
            </w:r>
            <w:r w:rsidRPr="003F17DD">
              <w:br/>
              <w:t xml:space="preserve">qui appauvrissent </w:t>
            </w:r>
            <w:r w:rsidRPr="003F17DD">
              <w:br/>
              <w:t>la couche d</w:t>
            </w:r>
            <w:r w:rsidR="007175B8">
              <w:t>’</w:t>
            </w:r>
            <w:r w:rsidRPr="003F17DD">
              <w:t>ozone</w:t>
            </w:r>
          </w:p>
        </w:tc>
        <w:tc>
          <w:tcPr>
            <w:tcW w:w="992" w:type="dxa"/>
          </w:tcPr>
          <w:p w14:paraId="5039752E" w14:textId="77777777" w:rsidR="003F17DD" w:rsidRPr="003F17DD" w:rsidRDefault="003F17DD" w:rsidP="003F17DD">
            <w:pPr>
              <w:pStyle w:val="Normal-pool"/>
            </w:pPr>
          </w:p>
        </w:tc>
        <w:tc>
          <w:tcPr>
            <w:tcW w:w="3118" w:type="dxa"/>
          </w:tcPr>
          <w:p w14:paraId="3B9B872E" w14:textId="204CB311" w:rsidR="003F17DD" w:rsidRPr="003F17DD" w:rsidRDefault="003F17DD" w:rsidP="003F17DD">
            <w:pPr>
              <w:pStyle w:val="AText"/>
            </w:pPr>
            <w:proofErr w:type="spellStart"/>
            <w:r w:rsidRPr="003F17DD">
              <w:t>Distr</w:t>
            </w:r>
            <w:proofErr w:type="spellEnd"/>
            <w:r w:rsidRPr="003F17DD">
              <w:t xml:space="preserve">. </w:t>
            </w:r>
            <w:bookmarkStart w:id="3" w:name="Distribution"/>
            <w:proofErr w:type="gramStart"/>
            <w:r w:rsidRPr="003F17DD">
              <w:rPr>
                <w:color w:val="000000"/>
              </w:rPr>
              <w:t>générale</w:t>
            </w:r>
            <w:bookmarkEnd w:id="3"/>
            <w:proofErr w:type="gramEnd"/>
            <w:r w:rsidRPr="003F17DD">
              <w:t xml:space="preserve"> </w:t>
            </w:r>
          </w:p>
          <w:p w14:paraId="30946B77" w14:textId="2FA28B13" w:rsidR="003F17DD" w:rsidRPr="003F17DD" w:rsidRDefault="003F17DD" w:rsidP="003F17DD">
            <w:pPr>
              <w:pStyle w:val="AText0"/>
            </w:pPr>
            <w:bookmarkStart w:id="4" w:name="DistributionDate"/>
            <w:r w:rsidRPr="003F17DD">
              <w:rPr>
                <w:color w:val="000000"/>
              </w:rPr>
              <w:t>20</w:t>
            </w:r>
            <w:r w:rsidR="00C86618">
              <w:rPr>
                <w:color w:val="000000"/>
              </w:rPr>
              <w:t> </w:t>
            </w:r>
            <w:r w:rsidRPr="003F17DD">
              <w:rPr>
                <w:color w:val="000000"/>
              </w:rPr>
              <w:t>mai 2026</w:t>
            </w:r>
            <w:bookmarkEnd w:id="4"/>
            <w:r w:rsidRPr="003F17DD">
              <w:t xml:space="preserve"> </w:t>
            </w:r>
          </w:p>
          <w:p w14:paraId="47514B9D" w14:textId="4CFF86EF" w:rsidR="003F17DD" w:rsidRPr="003F17DD" w:rsidRDefault="003F17DD" w:rsidP="003F17DD">
            <w:pPr>
              <w:pStyle w:val="AText"/>
            </w:pPr>
            <w:bookmarkStart w:id="5" w:name="DistributionLang"/>
            <w:r w:rsidRPr="003F17DD">
              <w:t xml:space="preserve">Français </w:t>
            </w:r>
            <w:r w:rsidRPr="003F17DD">
              <w:br/>
              <w:t>Original</w:t>
            </w:r>
            <w:r w:rsidR="00C86618">
              <w:t> </w:t>
            </w:r>
            <w:r w:rsidRPr="003F17DD">
              <w:t>: anglais</w:t>
            </w:r>
            <w:bookmarkEnd w:id="5"/>
          </w:p>
        </w:tc>
      </w:tr>
    </w:tbl>
    <w:p w14:paraId="56164343" w14:textId="77777777" w:rsidR="003F17DD" w:rsidRPr="003F17DD" w:rsidRDefault="003F17DD" w:rsidP="003F17DD">
      <w:pPr>
        <w:pStyle w:val="ASpacer"/>
      </w:pPr>
    </w:p>
    <w:tbl>
      <w:tblPr>
        <w:tblW w:w="9496" w:type="dxa"/>
        <w:tblLayout w:type="fixed"/>
        <w:tblCellMar>
          <w:left w:w="0" w:type="dxa"/>
          <w:right w:w="0" w:type="dxa"/>
        </w:tblCellMar>
        <w:tblLook w:val="0000" w:firstRow="0" w:lastRow="0" w:firstColumn="0" w:lastColumn="0" w:noHBand="0" w:noVBand="0"/>
      </w:tblPr>
      <w:tblGrid>
        <w:gridCol w:w="5244"/>
        <w:gridCol w:w="4252"/>
      </w:tblGrid>
      <w:tr w:rsidR="003F17DD" w:rsidRPr="003F17DD" w14:paraId="533439A0" w14:textId="77777777" w:rsidTr="003F17DD">
        <w:trPr>
          <w:trHeight w:val="57"/>
        </w:trPr>
        <w:tc>
          <w:tcPr>
            <w:tcW w:w="5244" w:type="dxa"/>
          </w:tcPr>
          <w:p w14:paraId="7180AAB1" w14:textId="175D3DA7" w:rsidR="003F17DD" w:rsidRPr="003F17DD" w:rsidRDefault="003F17DD" w:rsidP="003F17DD">
            <w:pPr>
              <w:pStyle w:val="AATitle"/>
            </w:pPr>
            <w:bookmarkStart w:id="6" w:name="CorNot1Text"/>
            <w:r w:rsidRPr="003F17DD">
              <w:t xml:space="preserve">Groupe de travail à composition non limitée des Parties </w:t>
            </w:r>
            <w:r w:rsidRPr="003F17DD">
              <w:br/>
              <w:t xml:space="preserve">au Protocole de Montréal relatif à des substances </w:t>
            </w:r>
            <w:r w:rsidRPr="003F17DD">
              <w:br/>
              <w:t>qui appauvrissent la couche d</w:t>
            </w:r>
            <w:r w:rsidR="007175B8">
              <w:t>’</w:t>
            </w:r>
            <w:r w:rsidRPr="003F17DD">
              <w:t xml:space="preserve">ozone </w:t>
            </w:r>
          </w:p>
          <w:p w14:paraId="3042AAE3" w14:textId="4529EE2A" w:rsidR="003F17DD" w:rsidRPr="003F17DD" w:rsidRDefault="003F17DD" w:rsidP="003F17DD">
            <w:pPr>
              <w:pStyle w:val="AATitle"/>
            </w:pPr>
            <w:r w:rsidRPr="003F17DD">
              <w:t>Quarante-huitième réunion</w:t>
            </w:r>
            <w:bookmarkEnd w:id="6"/>
            <w:r w:rsidRPr="003F17DD">
              <w:t xml:space="preserve"> </w:t>
            </w:r>
          </w:p>
          <w:p w14:paraId="04320D47" w14:textId="3BF15DEE" w:rsidR="003F17DD" w:rsidRPr="003F17DD" w:rsidRDefault="003F17DD" w:rsidP="003F17DD">
            <w:pPr>
              <w:pStyle w:val="AATitle1"/>
            </w:pPr>
            <w:bookmarkStart w:id="7" w:name="CorNot1VenueDate"/>
            <w:r w:rsidRPr="003F17DD">
              <w:t>Bangkok, 13-17</w:t>
            </w:r>
            <w:r w:rsidR="00C86618">
              <w:t> </w:t>
            </w:r>
            <w:r w:rsidRPr="003F17DD">
              <w:t>juillet 2026</w:t>
            </w:r>
            <w:bookmarkEnd w:id="7"/>
            <w:r w:rsidRPr="003F17DD">
              <w:t xml:space="preserve"> </w:t>
            </w:r>
          </w:p>
          <w:p w14:paraId="6EB2A5E1" w14:textId="4658494E" w:rsidR="003F17DD" w:rsidRPr="003F17DD" w:rsidRDefault="003F17DD" w:rsidP="003F17DD">
            <w:pPr>
              <w:pStyle w:val="AATitle1"/>
            </w:pPr>
            <w:bookmarkStart w:id="8" w:name="CorNot1AgItem"/>
            <w:r w:rsidRPr="003F17DD">
              <w:t>Point</w:t>
            </w:r>
            <w:r>
              <w:t>s</w:t>
            </w:r>
            <w:r w:rsidRPr="003F17DD">
              <w:t xml:space="preserve"> </w:t>
            </w:r>
            <w:r w:rsidRPr="003F17DD">
              <w:rPr>
                <w:color w:val="000000"/>
              </w:rPr>
              <w:t>3 à 5</w:t>
            </w:r>
            <w:r w:rsidRPr="003F17DD">
              <w:t xml:space="preserve"> de l</w:t>
            </w:r>
            <w:r w:rsidR="007175B8">
              <w:t>’</w:t>
            </w:r>
            <w:r w:rsidRPr="003F17DD">
              <w:t>ordre du jour provisoire</w:t>
            </w:r>
            <w:bookmarkEnd w:id="8"/>
            <w:r w:rsidRPr="003F17DD">
              <w:footnoteReference w:customMarkFollows="1" w:id="2"/>
              <w:t xml:space="preserve">* </w:t>
            </w:r>
          </w:p>
        </w:tc>
        <w:tc>
          <w:tcPr>
            <w:tcW w:w="4252" w:type="dxa"/>
          </w:tcPr>
          <w:p w14:paraId="5692A797" w14:textId="77777777" w:rsidR="003F17DD" w:rsidRPr="003F17DD" w:rsidRDefault="003F17DD" w:rsidP="003F17DD">
            <w:pPr>
              <w:pStyle w:val="Normal-pool"/>
            </w:pPr>
          </w:p>
        </w:tc>
      </w:tr>
    </w:tbl>
    <w:p w14:paraId="0BDF4310" w14:textId="77777777" w:rsidR="00BD7C4D" w:rsidRPr="003F17DD" w:rsidRDefault="00BD7C4D" w:rsidP="00BD7C4D">
      <w:pPr>
        <w:pStyle w:val="ASpacer"/>
        <w:rPr>
          <w:rFonts w:eastAsiaTheme="minorEastAsia"/>
        </w:rPr>
      </w:pPr>
    </w:p>
    <w:p w14:paraId="0B8B8BE1" w14:textId="19563E6A" w:rsidR="00BD7C4D" w:rsidRPr="003F17DD" w:rsidRDefault="00BD7C4D" w:rsidP="00BD7C4D">
      <w:pPr>
        <w:pStyle w:val="BBTitle"/>
      </w:pPr>
      <w:bookmarkStart w:id="9" w:name="_Hlk76459712"/>
      <w:bookmarkStart w:id="10" w:name="_Hlk69114350"/>
      <w:bookmarkEnd w:id="9"/>
      <w:bookmarkEnd w:id="10"/>
      <w:r w:rsidRPr="003F17DD">
        <w:rPr>
          <w:bCs/>
        </w:rPr>
        <w:footnoteReference w:customMarkFollows="1" w:id="3"/>
        <w:t>Questions portées à l</w:t>
      </w:r>
      <w:r w:rsidR="007175B8">
        <w:rPr>
          <w:bCs/>
        </w:rPr>
        <w:t>’</w:t>
      </w:r>
      <w:r w:rsidRPr="003F17DD">
        <w:rPr>
          <w:bCs/>
        </w:rPr>
        <w:t>attention du Groupe de travail à</w:t>
      </w:r>
      <w:r w:rsidR="00633E21">
        <w:rPr>
          <w:bCs/>
        </w:rPr>
        <w:t> </w:t>
      </w:r>
      <w:r w:rsidRPr="003F17DD">
        <w:rPr>
          <w:bCs/>
        </w:rPr>
        <w:t>composition non limitée des Parties au Protocole de</w:t>
      </w:r>
      <w:r w:rsidR="00633E21">
        <w:rPr>
          <w:bCs/>
        </w:rPr>
        <w:t> </w:t>
      </w:r>
      <w:r w:rsidRPr="003F17DD">
        <w:rPr>
          <w:bCs/>
        </w:rPr>
        <w:t>Montréal à</w:t>
      </w:r>
      <w:r w:rsidR="00F97DAB">
        <w:rPr>
          <w:bCs/>
        </w:rPr>
        <w:t> </w:t>
      </w:r>
      <w:r w:rsidRPr="003F17DD">
        <w:rPr>
          <w:bCs/>
        </w:rPr>
        <w:t>sa quarante-huitième</w:t>
      </w:r>
      <w:r w:rsidR="00F97DAB">
        <w:rPr>
          <w:bCs/>
        </w:rPr>
        <w:t> </w:t>
      </w:r>
      <w:r w:rsidRPr="003F17DD">
        <w:rPr>
          <w:bCs/>
        </w:rPr>
        <w:t>réunion, pour examen et information</w:t>
      </w:r>
    </w:p>
    <w:p w14:paraId="0381F648" w14:textId="77777777" w:rsidR="00BD7C4D" w:rsidRPr="003F17DD" w:rsidRDefault="00BD7C4D" w:rsidP="00BD7C4D">
      <w:pPr>
        <w:pStyle w:val="CH2"/>
      </w:pPr>
      <w:r w:rsidRPr="003F17DD">
        <w:tab/>
      </w:r>
      <w:r w:rsidRPr="003F17DD">
        <w:tab/>
      </w:r>
      <w:r w:rsidRPr="003F17DD">
        <w:rPr>
          <w:bCs/>
        </w:rPr>
        <w:t>Note du Secrétariat</w:t>
      </w:r>
    </w:p>
    <w:p w14:paraId="2BD1DCD5" w14:textId="77777777" w:rsidR="00BD7C4D" w:rsidRPr="003F17DD" w:rsidRDefault="00BD7C4D" w:rsidP="00BD7C4D">
      <w:pPr>
        <w:pStyle w:val="CH3"/>
      </w:pPr>
      <w:r w:rsidRPr="003F17DD">
        <w:tab/>
      </w:r>
      <w:r w:rsidRPr="003F17DD">
        <w:tab/>
      </w:r>
      <w:r w:rsidRPr="003F17DD">
        <w:rPr>
          <w:bCs/>
        </w:rPr>
        <w:t>Additif</w:t>
      </w:r>
    </w:p>
    <w:p w14:paraId="2D11A575" w14:textId="40336ABD" w:rsidR="00BD7C4D" w:rsidRPr="003F17DD" w:rsidRDefault="00FE1C9C" w:rsidP="00BD7C4D">
      <w:pPr>
        <w:pStyle w:val="CH1"/>
      </w:pPr>
      <w:r>
        <w:rPr>
          <w:bCs/>
        </w:rPr>
        <w:tab/>
      </w:r>
      <w:r w:rsidR="00BD7C4D" w:rsidRPr="003F17DD">
        <w:rPr>
          <w:bCs/>
        </w:rPr>
        <w:t>I.</w:t>
      </w:r>
      <w:r w:rsidR="00BD7C4D" w:rsidRPr="003F17DD">
        <w:tab/>
      </w:r>
      <w:r w:rsidR="00BD7C4D" w:rsidRPr="003F17DD">
        <w:rPr>
          <w:bCs/>
        </w:rPr>
        <w:t>Introduction</w:t>
      </w:r>
    </w:p>
    <w:p w14:paraId="19053753" w14:textId="17579364"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Le présent</w:t>
      </w:r>
      <w:r w:rsidR="00633E21">
        <w:t> </w:t>
      </w:r>
      <w:r w:rsidRPr="003F17DD">
        <w:t>additif à la note du Secrétariat sur les questions portées à l</w:t>
      </w:r>
      <w:r w:rsidR="007175B8">
        <w:t>’</w:t>
      </w:r>
      <w:r w:rsidRPr="003F17DD">
        <w:t>attention du Groupe de travail à composition non limitée des Parties au Protocole de Montréal relatif à des substances qui appauvrissent la couche d</w:t>
      </w:r>
      <w:r w:rsidR="007175B8">
        <w:t>’</w:t>
      </w:r>
      <w:r w:rsidRPr="003F17DD">
        <w:t>ozone à sa quarante-huitième</w:t>
      </w:r>
      <w:r w:rsidR="00270E86">
        <w:t> </w:t>
      </w:r>
      <w:r w:rsidRPr="003F17DD">
        <w:t>réunion, pour examen et information (UNEP/OzL.Pro.WG.1/48/2) contient les informations qui sont devenues disponibles depuis la parution de cette note. Sa section</w:t>
      </w:r>
      <w:r w:rsidR="00270E86">
        <w:t> </w:t>
      </w:r>
      <w:r w:rsidRPr="003F17DD">
        <w:t>II présente les informations</w:t>
      </w:r>
      <w:r w:rsidR="0029227B" w:rsidRPr="003F17DD">
        <w:t xml:space="preserve"> nouvelles</w:t>
      </w:r>
      <w:r w:rsidRPr="003F17DD">
        <w:t xml:space="preserve"> et mises à jour fournies par le Groupe de l</w:t>
      </w:r>
      <w:r w:rsidR="007175B8">
        <w:t>’</w:t>
      </w:r>
      <w:r w:rsidRPr="003F17DD">
        <w:t>évaluation technique et économique dans son rapport de 2026, ainsi que celles fournies par le Secrétariat, concernant les points</w:t>
      </w:r>
      <w:r w:rsidR="00270E86">
        <w:t> </w:t>
      </w:r>
      <w:r w:rsidRPr="003F17DD">
        <w:t>3 à 5 de l</w:t>
      </w:r>
      <w:r w:rsidR="007175B8">
        <w:t>’</w:t>
      </w:r>
      <w:r w:rsidRPr="003F17DD">
        <w:t>ordre du jour provisoire. La section</w:t>
      </w:r>
      <w:r w:rsidR="00270E86">
        <w:t> </w:t>
      </w:r>
      <w:r w:rsidRPr="003F17DD">
        <w:t xml:space="preserve">III contient des informations actualisées concernant la trente-huitième </w:t>
      </w:r>
      <w:r w:rsidR="0029227B" w:rsidRPr="003F17DD">
        <w:t>R</w:t>
      </w:r>
      <w:r w:rsidRPr="003F17DD">
        <w:t>éunion des Parties au Protocole de</w:t>
      </w:r>
      <w:r w:rsidR="00270E86">
        <w:t> </w:t>
      </w:r>
      <w:r w:rsidRPr="003F17DD">
        <w:t xml:space="preserve">Montréal, relatives aux communications transmises par les Parties comme </w:t>
      </w:r>
      <w:proofErr w:type="gramStart"/>
      <w:r w:rsidRPr="003F17DD">
        <w:t>suite aux</w:t>
      </w:r>
      <w:proofErr w:type="gramEnd"/>
      <w:r w:rsidRPr="003F17DD">
        <w:t xml:space="preserve"> décisions XXXVII/3, sur les substances réglementées recyclées, usagées ou non désirées, et XXXVII/5, sur les initiatives nationales et régionales à l</w:t>
      </w:r>
      <w:r w:rsidR="007175B8">
        <w:t>’</w:t>
      </w:r>
      <w:r w:rsidRPr="003F17DD">
        <w:t>appui de la mise en œuvre de l</w:t>
      </w:r>
      <w:r w:rsidR="007175B8">
        <w:t>’</w:t>
      </w:r>
      <w:r w:rsidRPr="003F17DD">
        <w:t>Amendement de</w:t>
      </w:r>
      <w:r w:rsidR="00270E86">
        <w:t> </w:t>
      </w:r>
      <w:r w:rsidRPr="003F17DD">
        <w:t>Kigali au Protocole de</w:t>
      </w:r>
      <w:r w:rsidR="00270E86">
        <w:t> </w:t>
      </w:r>
      <w:r w:rsidRPr="003F17DD">
        <w:t>Montréal.</w:t>
      </w:r>
    </w:p>
    <w:p w14:paraId="78281901" w14:textId="37D89AB5" w:rsidR="00BD7C4D" w:rsidRPr="003F17DD" w:rsidRDefault="00BD7C4D" w:rsidP="00BD7C4D">
      <w:pPr>
        <w:pStyle w:val="Normalnumber"/>
        <w:tabs>
          <w:tab w:val="clear" w:pos="1247"/>
          <w:tab w:val="clear" w:pos="1814"/>
          <w:tab w:val="clear" w:pos="2381"/>
          <w:tab w:val="clear" w:pos="2948"/>
          <w:tab w:val="clear" w:pos="3515"/>
          <w:tab w:val="left" w:pos="624"/>
        </w:tabs>
      </w:pPr>
      <w:bookmarkStart w:id="11" w:name="_Hlk137637470"/>
      <w:r w:rsidRPr="003F17DD">
        <w:t>L</w:t>
      </w:r>
      <w:r w:rsidR="007175B8">
        <w:t>’</w:t>
      </w:r>
      <w:r w:rsidRPr="003F17DD">
        <w:t>édition 2026 du rapport du Groupe de l</w:t>
      </w:r>
      <w:r w:rsidR="007175B8">
        <w:t>’</w:t>
      </w:r>
      <w:r w:rsidRPr="003F17DD">
        <w:t>évaluation technique et économique se compose actuellement de deux volumes</w:t>
      </w:r>
      <w:r w:rsidRPr="003F17DD">
        <w:rPr>
          <w:vertAlign w:val="superscript"/>
        </w:rPr>
        <w:footnoteReference w:id="4"/>
      </w:r>
      <w:r w:rsidR="009F4912">
        <w:t> </w:t>
      </w:r>
      <w:r w:rsidRPr="003F17DD">
        <w:t>:</w:t>
      </w:r>
    </w:p>
    <w:p w14:paraId="355441DC" w14:textId="7D389D3D" w:rsidR="00BD7C4D" w:rsidRPr="003F17DD" w:rsidRDefault="00BD7C4D" w:rsidP="00BD7C4D">
      <w:pPr>
        <w:numPr>
          <w:ilvl w:val="1"/>
          <w:numId w:val="1"/>
        </w:numPr>
        <w:tabs>
          <w:tab w:val="clear" w:pos="1247"/>
          <w:tab w:val="clear" w:pos="1814"/>
          <w:tab w:val="clear" w:pos="2381"/>
          <w:tab w:val="clear" w:pos="2948"/>
          <w:tab w:val="clear" w:pos="3515"/>
          <w:tab w:val="left" w:pos="624"/>
        </w:tabs>
        <w:spacing w:after="120"/>
      </w:pPr>
      <w:r w:rsidRPr="003F17DD">
        <w:t>Volume 1</w:t>
      </w:r>
      <w:r w:rsidR="0034529D">
        <w:t> </w:t>
      </w:r>
      <w:r w:rsidRPr="003F17DD">
        <w:t>: Rapport d</w:t>
      </w:r>
      <w:r w:rsidR="007175B8">
        <w:t>’</w:t>
      </w:r>
      <w:r w:rsidRPr="003F17DD">
        <w:t>activité (mai 2026)</w:t>
      </w:r>
      <w:r w:rsidR="003567A0">
        <w:t> </w:t>
      </w:r>
      <w:r w:rsidRPr="003F17DD">
        <w:t xml:space="preserve">; </w:t>
      </w:r>
    </w:p>
    <w:p w14:paraId="7C6F708E" w14:textId="625FACDD" w:rsidR="00BD7C4D" w:rsidRPr="003F17DD" w:rsidRDefault="00BD7C4D" w:rsidP="00BD7C4D">
      <w:pPr>
        <w:pStyle w:val="ListParagraph"/>
        <w:numPr>
          <w:ilvl w:val="1"/>
          <w:numId w:val="1"/>
        </w:numPr>
        <w:tabs>
          <w:tab w:val="clear" w:pos="2381"/>
        </w:tabs>
        <w:spacing w:after="120"/>
      </w:pPr>
      <w:r w:rsidRPr="003F17DD">
        <w:t>Volume 2</w:t>
      </w:r>
      <w:r w:rsidR="0034529D">
        <w:t> </w:t>
      </w:r>
      <w:r w:rsidRPr="003F17DD">
        <w:t>: Évaluation des besoins de financement pour la reconstitution du Fonds multilatéral pour la période 2027-2029.</w:t>
      </w:r>
    </w:p>
    <w:bookmarkEnd w:id="11"/>
    <w:p w14:paraId="5A3DFD68" w14:textId="3D31ED91" w:rsidR="00BD7C4D" w:rsidRPr="003F17DD" w:rsidRDefault="005E4D5E" w:rsidP="00BD7C4D">
      <w:pPr>
        <w:pStyle w:val="CH1"/>
      </w:pPr>
      <w:r>
        <w:rPr>
          <w:bCs/>
        </w:rPr>
        <w:lastRenderedPageBreak/>
        <w:tab/>
      </w:r>
      <w:r w:rsidR="00BD7C4D" w:rsidRPr="003F17DD">
        <w:rPr>
          <w:bCs/>
        </w:rPr>
        <w:t>II.</w:t>
      </w:r>
      <w:r w:rsidR="00BD7C4D" w:rsidRPr="003F17DD">
        <w:tab/>
      </w:r>
      <w:r w:rsidR="00BD7C4D" w:rsidRPr="003F17DD">
        <w:rPr>
          <w:bCs/>
        </w:rPr>
        <w:t>Résumé des questions devant être examinées par le Groupe de</w:t>
      </w:r>
      <w:r w:rsidR="00F2077A">
        <w:rPr>
          <w:bCs/>
        </w:rPr>
        <w:t> </w:t>
      </w:r>
      <w:r w:rsidR="00BD7C4D" w:rsidRPr="003F17DD">
        <w:rPr>
          <w:bCs/>
        </w:rPr>
        <w:t>travail à composition non limitée à</w:t>
      </w:r>
      <w:r w:rsidR="00CC3B2F">
        <w:rPr>
          <w:bCs/>
        </w:rPr>
        <w:t> </w:t>
      </w:r>
      <w:r w:rsidR="00BD7C4D" w:rsidRPr="003F17DD">
        <w:rPr>
          <w:bCs/>
        </w:rPr>
        <w:t>sa</w:t>
      </w:r>
      <w:r w:rsidR="00CC3B2F">
        <w:rPr>
          <w:bCs/>
        </w:rPr>
        <w:t> </w:t>
      </w:r>
      <w:r w:rsidR="00BD7C4D" w:rsidRPr="003F17DD">
        <w:rPr>
          <w:bCs/>
        </w:rPr>
        <w:t>quarante</w:t>
      </w:r>
      <w:r w:rsidR="00CC3B2F">
        <w:rPr>
          <w:bCs/>
        </w:rPr>
        <w:noBreakHyphen/>
      </w:r>
      <w:r w:rsidR="00BD7C4D" w:rsidRPr="003F17DD">
        <w:rPr>
          <w:bCs/>
        </w:rPr>
        <w:t>huitième</w:t>
      </w:r>
      <w:r w:rsidR="0084708D">
        <w:rPr>
          <w:bCs/>
        </w:rPr>
        <w:t xml:space="preserve"> </w:t>
      </w:r>
      <w:r w:rsidR="00BD7C4D" w:rsidRPr="003F17DD">
        <w:rPr>
          <w:bCs/>
        </w:rPr>
        <w:t>réunion</w:t>
      </w:r>
      <w:r w:rsidR="00BD7C4D" w:rsidRPr="003F17DD">
        <w:t xml:space="preserve"> </w:t>
      </w:r>
    </w:p>
    <w:p w14:paraId="172F685C" w14:textId="49EC08E5"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Les questions faisant l</w:t>
      </w:r>
      <w:r w:rsidR="007175B8">
        <w:t>’</w:t>
      </w:r>
      <w:r w:rsidRPr="003F17DD">
        <w:t>objet du présent</w:t>
      </w:r>
      <w:r w:rsidR="003321B3">
        <w:t> </w:t>
      </w:r>
      <w:r w:rsidRPr="003F17DD">
        <w:t>additif sont exposées ci-dessous dans l</w:t>
      </w:r>
      <w:r w:rsidR="007175B8">
        <w:t>’</w:t>
      </w:r>
      <w:r w:rsidRPr="003F17DD">
        <w:t>ordre selon lequel les points auxquels elles se rapportent sont énumérés dans l</w:t>
      </w:r>
      <w:r w:rsidR="007175B8">
        <w:t>’</w:t>
      </w:r>
      <w:r w:rsidRPr="003F17DD">
        <w:t>ordre du jour provisoire de la réunion.</w:t>
      </w:r>
    </w:p>
    <w:p w14:paraId="10C34247" w14:textId="59F06725" w:rsidR="00BD7C4D" w:rsidRPr="003F17DD" w:rsidRDefault="00BD7C4D" w:rsidP="003321B3">
      <w:pPr>
        <w:pStyle w:val="CH2"/>
        <w:ind w:firstLine="0"/>
      </w:pPr>
      <w:r w:rsidRPr="003F17DD">
        <w:rPr>
          <w:bCs/>
        </w:rPr>
        <w:t>Point</w:t>
      </w:r>
      <w:r w:rsidR="003321B3">
        <w:rPr>
          <w:bCs/>
        </w:rPr>
        <w:t> </w:t>
      </w:r>
      <w:r w:rsidRPr="003F17DD">
        <w:rPr>
          <w:bCs/>
        </w:rPr>
        <w:t>3 de l</w:t>
      </w:r>
      <w:r w:rsidR="007175B8">
        <w:rPr>
          <w:bCs/>
        </w:rPr>
        <w:t>’</w:t>
      </w:r>
      <w:r w:rsidRPr="003F17DD">
        <w:rPr>
          <w:bCs/>
        </w:rPr>
        <w:t>ordre du jour</w:t>
      </w:r>
    </w:p>
    <w:p w14:paraId="2DD261C1" w14:textId="1A4800A8" w:rsidR="00BD7C4D" w:rsidRPr="003F17DD" w:rsidRDefault="00BD7C4D" w:rsidP="00BD7C4D">
      <w:pPr>
        <w:pStyle w:val="CH2"/>
        <w:keepNext w:val="0"/>
        <w:keepLines w:val="0"/>
        <w:spacing w:before="120"/>
      </w:pPr>
      <w:r w:rsidRPr="003F17DD">
        <w:tab/>
      </w:r>
      <w:r w:rsidRPr="003F17DD">
        <w:tab/>
      </w:r>
      <w:r w:rsidRPr="003F17DD">
        <w:rPr>
          <w:bCs/>
        </w:rPr>
        <w:t>Rapport du Groupe de l</w:t>
      </w:r>
      <w:r w:rsidR="007175B8">
        <w:rPr>
          <w:bCs/>
        </w:rPr>
        <w:t>’</w:t>
      </w:r>
      <w:r w:rsidRPr="003F17DD">
        <w:rPr>
          <w:bCs/>
        </w:rPr>
        <w:t>évaluation technique et économique sur</w:t>
      </w:r>
      <w:r w:rsidR="00327499">
        <w:rPr>
          <w:bCs/>
        </w:rPr>
        <w:t> </w:t>
      </w:r>
      <w:r w:rsidRPr="003F17DD">
        <w:rPr>
          <w:bCs/>
        </w:rPr>
        <w:t>la</w:t>
      </w:r>
      <w:r w:rsidR="00327499">
        <w:rPr>
          <w:bCs/>
        </w:rPr>
        <w:t> </w:t>
      </w:r>
      <w:r w:rsidRPr="003F17DD">
        <w:rPr>
          <w:bCs/>
        </w:rPr>
        <w:t>reconstitution du Fonds multilatéral aux fins d</w:t>
      </w:r>
      <w:r w:rsidR="007175B8">
        <w:rPr>
          <w:bCs/>
        </w:rPr>
        <w:t>’</w:t>
      </w:r>
      <w:r w:rsidRPr="003F17DD">
        <w:rPr>
          <w:bCs/>
        </w:rPr>
        <w:t>application du</w:t>
      </w:r>
      <w:r w:rsidR="00BA4DB4">
        <w:rPr>
          <w:bCs/>
        </w:rPr>
        <w:t> </w:t>
      </w:r>
      <w:r w:rsidRPr="003F17DD">
        <w:rPr>
          <w:bCs/>
        </w:rPr>
        <w:t>Protocole de</w:t>
      </w:r>
      <w:r w:rsidR="00327499">
        <w:rPr>
          <w:bCs/>
        </w:rPr>
        <w:t> </w:t>
      </w:r>
      <w:r w:rsidRPr="003F17DD">
        <w:rPr>
          <w:bCs/>
        </w:rPr>
        <w:t>Montréal pour la période 2027-2029 (décision</w:t>
      </w:r>
      <w:r w:rsidR="003321B3">
        <w:rPr>
          <w:bCs/>
        </w:rPr>
        <w:t> </w:t>
      </w:r>
      <w:r w:rsidRPr="003F17DD">
        <w:rPr>
          <w:bCs/>
        </w:rPr>
        <w:t>XXXVII/6)</w:t>
      </w:r>
      <w:r w:rsidRPr="003F17DD">
        <w:t xml:space="preserve"> </w:t>
      </w:r>
    </w:p>
    <w:p w14:paraId="7AFCF949" w14:textId="485698BE"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Conformément à la décision</w:t>
      </w:r>
      <w:r w:rsidR="003321B3">
        <w:t> </w:t>
      </w:r>
      <w:r w:rsidRPr="003F17DD">
        <w:t>XXXVII/6 et comme indiqué dans la note du Secrétariat (UNEP/OzL.Pro.WG.1/48/2, par.</w:t>
      </w:r>
      <w:r w:rsidR="00327499">
        <w:t> </w:t>
      </w:r>
      <w:r w:rsidRPr="003F17DD">
        <w:t>4 à 9), le Groupe de l</w:t>
      </w:r>
      <w:r w:rsidR="007175B8">
        <w:t>’</w:t>
      </w:r>
      <w:r w:rsidRPr="003F17DD">
        <w:t>évaluation technique et économique a créé une équipe spéciale chargée d</w:t>
      </w:r>
      <w:r w:rsidR="007175B8">
        <w:t>’</w:t>
      </w:r>
      <w:r w:rsidRPr="003F17DD">
        <w:t>élaborer le rapport</w:t>
      </w:r>
      <w:r w:rsidRPr="003F17DD">
        <w:rPr>
          <w:rStyle w:val="FootnoteReference"/>
        </w:rPr>
        <w:footnoteReference w:id="5"/>
      </w:r>
      <w:r w:rsidRPr="003F17DD">
        <w:t xml:space="preserve"> sur le niveau approprié de reconstitution du Fonds multilatéral pour la mise en œuvre du Protocole de</w:t>
      </w:r>
      <w:r w:rsidR="003321B3">
        <w:t> </w:t>
      </w:r>
      <w:r w:rsidRPr="003F17DD">
        <w:t>Montréal pour la période triennale 2027</w:t>
      </w:r>
      <w:r w:rsidR="00B86FC5">
        <w:t>-</w:t>
      </w:r>
      <w:r w:rsidRPr="003F17DD">
        <w:t>2029, à</w:t>
      </w:r>
      <w:r w:rsidR="0078424E">
        <w:t> </w:t>
      </w:r>
      <w:r w:rsidRPr="003F17DD">
        <w:t>l</w:t>
      </w:r>
      <w:r w:rsidR="007175B8">
        <w:t>’</w:t>
      </w:r>
      <w:r w:rsidRPr="003F17DD">
        <w:t>intention des Parties visées au paragraphe</w:t>
      </w:r>
      <w:r w:rsidR="00B86FC5">
        <w:t> </w:t>
      </w:r>
      <w:r w:rsidRPr="003F17DD">
        <w:t>1 de l</w:t>
      </w:r>
      <w:r w:rsidR="007175B8">
        <w:t>’</w:t>
      </w:r>
      <w:r w:rsidRPr="003F17DD">
        <w:t>article</w:t>
      </w:r>
      <w:r w:rsidR="003321B3">
        <w:t> </w:t>
      </w:r>
      <w:r w:rsidRPr="003F17DD">
        <w:t>5 (Parties visées à l</w:t>
      </w:r>
      <w:r w:rsidR="007175B8">
        <w:t>’</w:t>
      </w:r>
      <w:r w:rsidRPr="003F17DD">
        <w:t>article</w:t>
      </w:r>
      <w:r w:rsidR="003321B3">
        <w:t> </w:t>
      </w:r>
      <w:r w:rsidRPr="003F17DD">
        <w:t>5), en vue de sa soumission à la trente-huitième</w:t>
      </w:r>
      <w:r w:rsidR="003321B3">
        <w:t> </w:t>
      </w:r>
      <w:r w:rsidRPr="003F17DD">
        <w:t>Réunion des Parties par l</w:t>
      </w:r>
      <w:r w:rsidR="007175B8">
        <w:t>’</w:t>
      </w:r>
      <w:r w:rsidRPr="003F17DD">
        <w:t>intermédiaire du Groupe de travail à composition non limitée lors de sa quarante-huitième</w:t>
      </w:r>
      <w:r w:rsidR="00B86FC5">
        <w:t> </w:t>
      </w:r>
      <w:r w:rsidRPr="003F17DD">
        <w:t>réunion. Le résumé du rapport, tel qu</w:t>
      </w:r>
      <w:r w:rsidR="007175B8">
        <w:t>’</w:t>
      </w:r>
      <w:r w:rsidRPr="003F17DD">
        <w:t>il a été transmis par le Groupe de l</w:t>
      </w:r>
      <w:r w:rsidR="007175B8">
        <w:t>’</w:t>
      </w:r>
      <w:r w:rsidRPr="003F17DD">
        <w:t>évaluation technique et économique et sans avoir été révisé par les services d</w:t>
      </w:r>
      <w:r w:rsidR="007175B8">
        <w:t>’</w:t>
      </w:r>
      <w:r w:rsidRPr="003F17DD">
        <w:t>édition, figure à l</w:t>
      </w:r>
      <w:r w:rsidR="007175B8">
        <w:t>’</w:t>
      </w:r>
      <w:r w:rsidRPr="003F17DD">
        <w:t>annexe</w:t>
      </w:r>
      <w:r w:rsidR="003321B3">
        <w:t> </w:t>
      </w:r>
      <w:r w:rsidRPr="003F17DD">
        <w:t>I du présent</w:t>
      </w:r>
      <w:r w:rsidR="003321B3">
        <w:t> </w:t>
      </w:r>
      <w:r w:rsidRPr="003F17DD">
        <w:t xml:space="preserve">additif. </w:t>
      </w:r>
      <w:bookmarkStart w:id="12" w:name="_Hlk42353497"/>
    </w:p>
    <w:bookmarkEnd w:id="12"/>
    <w:p w14:paraId="55F44CFF" w14:textId="5C4D90D3"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Dans ce rapport, l</w:t>
      </w:r>
      <w:r w:rsidR="007175B8">
        <w:t>’</w:t>
      </w:r>
      <w:r w:rsidRPr="003F17DD">
        <w:t>équipe spéciale présente, à travers plusieurs chapitres et annexes, une analyse détaillée de ses estimations des besoins de financement pour la période triennale 2027-2029, ainsi que des chiffres indicatifs pour les périodes triennales 2030-2032 et 2033-2035. Ces estimations s</w:t>
      </w:r>
      <w:r w:rsidR="007175B8">
        <w:t>’</w:t>
      </w:r>
      <w:r w:rsidRPr="003F17DD">
        <w:t>appuient sur les données communiquées par les Parties au Secrétariat au titre de l</w:t>
      </w:r>
      <w:r w:rsidR="007175B8">
        <w:t>’</w:t>
      </w:r>
      <w:r w:rsidRPr="003F17DD">
        <w:t>article</w:t>
      </w:r>
      <w:r w:rsidR="00C4070F">
        <w:t> </w:t>
      </w:r>
      <w:r w:rsidRPr="003F17DD">
        <w:t>7, sur les informations contenues dans le plan d</w:t>
      </w:r>
      <w:r w:rsidR="007175B8">
        <w:t>’</w:t>
      </w:r>
      <w:r w:rsidRPr="003F17DD">
        <w:t xml:space="preserve">activité consolidé du Fonds multilatéral pour la période </w:t>
      </w:r>
      <w:r w:rsidR="00C4070F">
        <w:br/>
      </w:r>
      <w:r w:rsidRPr="003F17DD">
        <w:t>2026-2028, sur les décisions pertinentes du Comité</w:t>
      </w:r>
      <w:r w:rsidR="00C4070F">
        <w:t> </w:t>
      </w:r>
      <w:r w:rsidRPr="003F17DD">
        <w:t>exécutif du Fonds multilatéral adoptées lors de ses réunions jusqu</w:t>
      </w:r>
      <w:r w:rsidR="007175B8">
        <w:t>’</w:t>
      </w:r>
      <w:r w:rsidRPr="003F17DD">
        <w:t>à sa quatre-vingt-dix-septième</w:t>
      </w:r>
      <w:r w:rsidR="00C4070F">
        <w:t> </w:t>
      </w:r>
      <w:r w:rsidRPr="003F17DD">
        <w:t>réunion incluse, sur les lignes directrices existantes en matière de coûts, sur les valeurs de rentabilité existantes et celles établies par des expert(e)s, ainsi que sur les informations pertinentes disponibles auprès d</w:t>
      </w:r>
      <w:r w:rsidR="0035411C" w:rsidRPr="003F17DD">
        <w:t>u</w:t>
      </w:r>
      <w:r w:rsidRPr="003F17DD">
        <w:t xml:space="preserve"> secrétariat du Fonds multilatéral et </w:t>
      </w:r>
      <w:r w:rsidR="0035411C" w:rsidRPr="003F17DD">
        <w:t xml:space="preserve">du Secrétariat </w:t>
      </w:r>
      <w:r w:rsidR="00955F3F">
        <w:t xml:space="preserve">de </w:t>
      </w:r>
      <w:r w:rsidRPr="003F17DD">
        <w:t>l</w:t>
      </w:r>
      <w:r w:rsidR="007175B8">
        <w:t>’</w:t>
      </w:r>
      <w:r w:rsidR="0035411C" w:rsidRPr="003F17DD">
        <w:t>o</w:t>
      </w:r>
      <w:r w:rsidRPr="003F17DD">
        <w:t xml:space="preserve">zone. </w:t>
      </w:r>
    </w:p>
    <w:p w14:paraId="183AA6A2" w14:textId="2E216212" w:rsidR="00BD7C4D" w:rsidRPr="003F17DD" w:rsidRDefault="00BD7C4D" w:rsidP="00BD7C4D">
      <w:pPr>
        <w:pStyle w:val="Normalnumber"/>
      </w:pPr>
      <w:r w:rsidRPr="003F17DD">
        <w:t xml:space="preserve">Ces estimations portent sur les activités </w:t>
      </w:r>
      <w:r w:rsidR="00335A3D" w:rsidRPr="003F17DD">
        <w:t>ayant trait à</w:t>
      </w:r>
      <w:r w:rsidRPr="003F17DD">
        <w:t xml:space="preserve"> l</w:t>
      </w:r>
      <w:r w:rsidR="007175B8">
        <w:t>’</w:t>
      </w:r>
      <w:r w:rsidRPr="003F17DD">
        <w:t>élimination progressive de la consommation et de la production d</w:t>
      </w:r>
      <w:r w:rsidR="007175B8">
        <w:t>’</w:t>
      </w:r>
      <w:proofErr w:type="spellStart"/>
      <w:r w:rsidRPr="003F17DD">
        <w:t>hydrochlorofluorocarbones</w:t>
      </w:r>
      <w:proofErr w:type="spellEnd"/>
      <w:r w:rsidRPr="003F17DD">
        <w:t xml:space="preserve"> (HCFC)</w:t>
      </w:r>
      <w:r w:rsidR="003567A0">
        <w:t> </w:t>
      </w:r>
      <w:r w:rsidRPr="003F17DD">
        <w:t xml:space="preserve">; </w:t>
      </w:r>
      <w:r w:rsidR="00335A3D" w:rsidRPr="003F17DD">
        <w:t xml:space="preserve">à </w:t>
      </w:r>
      <w:r w:rsidRPr="003F17DD">
        <w:t>la réduction progressive de la consommation et de la production d</w:t>
      </w:r>
      <w:r w:rsidR="007175B8">
        <w:t>’</w:t>
      </w:r>
      <w:proofErr w:type="spellStart"/>
      <w:r w:rsidRPr="003F17DD">
        <w:t>hydrofluorocarbones</w:t>
      </w:r>
      <w:proofErr w:type="spellEnd"/>
      <w:r w:rsidRPr="003F17DD">
        <w:t xml:space="preserve"> (HFC), y</w:t>
      </w:r>
      <w:r w:rsidR="00F97DAB">
        <w:t> </w:t>
      </w:r>
      <w:r w:rsidRPr="003F17DD">
        <w:t>compris la réduction des émissions de HFC-23, un sous-produit</w:t>
      </w:r>
      <w:r w:rsidR="003567A0">
        <w:t> </w:t>
      </w:r>
      <w:r w:rsidRPr="003F17DD">
        <w:t xml:space="preserve">; </w:t>
      </w:r>
      <w:r w:rsidR="00335A3D" w:rsidRPr="003F17DD">
        <w:t xml:space="preserve">au </w:t>
      </w:r>
      <w:r w:rsidRPr="003F17DD">
        <w:t>renforcement des institutions</w:t>
      </w:r>
      <w:r w:rsidR="00335A3D" w:rsidRPr="003F17DD">
        <w:t>, ainsi que</w:t>
      </w:r>
      <w:r w:rsidRPr="003F17DD">
        <w:t xml:space="preserve"> </w:t>
      </w:r>
      <w:r w:rsidR="00335A3D" w:rsidRPr="003F17DD">
        <w:t xml:space="preserve">sur </w:t>
      </w:r>
      <w:r w:rsidRPr="003F17DD">
        <w:t>les activités courantes (à savoir les coûts liés au Programme d</w:t>
      </w:r>
      <w:r w:rsidR="007175B8">
        <w:t>’</w:t>
      </w:r>
      <w:r w:rsidRPr="003F17DD">
        <w:t>aide au respect du Programme des Nations</w:t>
      </w:r>
      <w:r w:rsidR="00F97DAB">
        <w:t> </w:t>
      </w:r>
      <w:r w:rsidRPr="003F17DD">
        <w:t>Unies pour l</w:t>
      </w:r>
      <w:r w:rsidR="007175B8">
        <w:t>’</w:t>
      </w:r>
      <w:r w:rsidRPr="003F17DD">
        <w:t>environnement, aux autres organismes d</w:t>
      </w:r>
      <w:r w:rsidR="007175B8">
        <w:t>’</w:t>
      </w:r>
      <w:r w:rsidRPr="003F17DD">
        <w:t xml:space="preserve">exécution, au secrétariat du Fonds multilatéral et au </w:t>
      </w:r>
      <w:r w:rsidR="00335A3D" w:rsidRPr="003F17DD">
        <w:t>T</w:t>
      </w:r>
      <w:r w:rsidRPr="003F17DD">
        <w:t>résorier du Fonds). Le financement destiné à l</w:t>
      </w:r>
      <w:r w:rsidR="007175B8">
        <w:t>’</w:t>
      </w:r>
      <w:r w:rsidRPr="003F17DD">
        <w:t>efficacité énergétique, qui a fait l</w:t>
      </w:r>
      <w:r w:rsidR="007175B8">
        <w:t>’</w:t>
      </w:r>
      <w:r w:rsidRPr="003F17DD">
        <w:t>objet de plusieurs décisions du Comité</w:t>
      </w:r>
      <w:r w:rsidR="00F04D40">
        <w:t> </w:t>
      </w:r>
      <w:r w:rsidRPr="003F17DD">
        <w:t>exécutif, est également pris en compte dans les besoins de financement estimés pour l</w:t>
      </w:r>
      <w:r w:rsidR="007175B8">
        <w:t>’</w:t>
      </w:r>
      <w:r w:rsidRPr="003F17DD">
        <w:t xml:space="preserve">élimination </w:t>
      </w:r>
      <w:r w:rsidR="00335A3D" w:rsidRPr="003F17DD">
        <w:t>complète</w:t>
      </w:r>
      <w:r w:rsidRPr="003F17DD">
        <w:t xml:space="preserve"> des HCFC et la réduction progressive des HFC au cours de la période triennale 2027-2029. Les prévisions budgétaires pour les triennats 2027-2029 et 2030-2032 prévoient également une enveloppe destinée au financement de projets pilotes de surveillance atmosphérique régionale des substances réglementées. Les analyses détaillées </w:t>
      </w:r>
      <w:r w:rsidR="00335A3D" w:rsidRPr="003F17DD">
        <w:t>des besoins de</w:t>
      </w:r>
      <w:r w:rsidRPr="003F17DD">
        <w:t xml:space="preserve"> financement </w:t>
      </w:r>
      <w:r w:rsidR="00335A3D" w:rsidRPr="003F17DD">
        <w:t>estimés pour les activités relatives à</w:t>
      </w:r>
      <w:r w:rsidRPr="003F17DD">
        <w:t xml:space="preserve"> l</w:t>
      </w:r>
      <w:r w:rsidR="007175B8">
        <w:t>’</w:t>
      </w:r>
      <w:r w:rsidRPr="003F17DD">
        <w:t>efficacité énergétique et à la surveillance atmosphérique régionale figurent respectivement aux chapitres</w:t>
      </w:r>
      <w:r w:rsidR="00CF70FD">
        <w:t> </w:t>
      </w:r>
      <w:r w:rsidRPr="003F17DD">
        <w:t>7 et 10 du rapport de l</w:t>
      </w:r>
      <w:r w:rsidR="007175B8">
        <w:t>’</w:t>
      </w:r>
      <w:r w:rsidRPr="003F17DD">
        <w:t xml:space="preserve">équipe spéciale. </w:t>
      </w:r>
    </w:p>
    <w:p w14:paraId="1D176015" w14:textId="6B17F358" w:rsidR="00BD7C4D" w:rsidRPr="003F17DD" w:rsidRDefault="00BD7C4D" w:rsidP="00BD7C4D">
      <w:pPr>
        <w:pStyle w:val="Normalnumber"/>
      </w:pPr>
      <w:r w:rsidRPr="003F17DD">
        <w:t>Conformément à la décision</w:t>
      </w:r>
      <w:r w:rsidR="00CF70FD">
        <w:t> </w:t>
      </w:r>
      <w:r w:rsidRPr="003F17DD">
        <w:t>XXXVII/6, les estimations de</w:t>
      </w:r>
      <w:r w:rsidR="00335A3D" w:rsidRPr="003F17DD">
        <w:t>s</w:t>
      </w:r>
      <w:r w:rsidRPr="003F17DD">
        <w:t xml:space="preserve"> financement</w:t>
      </w:r>
      <w:r w:rsidR="00335A3D" w:rsidRPr="003F17DD">
        <w:t>s</w:t>
      </w:r>
      <w:r w:rsidRPr="003F17DD">
        <w:t xml:space="preserve"> </w:t>
      </w:r>
      <w:r w:rsidR="00335A3D" w:rsidRPr="003F17DD">
        <w:t>nécessaires pour</w:t>
      </w:r>
      <w:r w:rsidRPr="003F17DD">
        <w:t xml:space="preserve"> répondre aux besoins spécifiques des pays à faible volume de consommation et à très faible volume de consommation sont incluses dans les estimations totales pour les trois</w:t>
      </w:r>
      <w:r w:rsidR="00CF70FD">
        <w:t> </w:t>
      </w:r>
      <w:r w:rsidRPr="003F17DD">
        <w:t>triennats, en tenant compte des décisions pertinentes du Comité</w:t>
      </w:r>
      <w:r w:rsidR="00954B17">
        <w:t> </w:t>
      </w:r>
      <w:r w:rsidRPr="003F17DD">
        <w:t xml:space="preserve">exécutif. </w:t>
      </w:r>
      <w:r w:rsidR="00335A3D" w:rsidRPr="003F17DD">
        <w:t>Ces chiffres</w:t>
      </w:r>
      <w:r w:rsidRPr="003F17DD">
        <w:t xml:space="preserve"> reposent sur les directives actuelles en matière de coûts, </w:t>
      </w:r>
      <w:r w:rsidR="00335A3D" w:rsidRPr="003F17DD">
        <w:t>mais à l</w:t>
      </w:r>
      <w:r w:rsidR="007175B8">
        <w:t>’</w:t>
      </w:r>
      <w:r w:rsidR="00335A3D" w:rsidRPr="003F17DD">
        <w:t>issue d</w:t>
      </w:r>
      <w:r w:rsidR="007175B8">
        <w:t>’</w:t>
      </w:r>
      <w:r w:rsidRPr="003F17DD">
        <w:t>une analyse plus approfondie des besoins spécifiques de ces pays, présentée au chapitre</w:t>
      </w:r>
      <w:r w:rsidR="00CF70FD">
        <w:t> </w:t>
      </w:r>
      <w:r w:rsidRPr="003F17DD">
        <w:t>6 du rapport de l</w:t>
      </w:r>
      <w:r w:rsidR="007175B8">
        <w:t>’</w:t>
      </w:r>
      <w:r w:rsidRPr="003F17DD">
        <w:t xml:space="preserve">équipe spéciale, </w:t>
      </w:r>
      <w:r w:rsidR="00335A3D" w:rsidRPr="003F17DD">
        <w:t>il est néanmoins proposé</w:t>
      </w:r>
      <w:r w:rsidRPr="003F17DD">
        <w:t xml:space="preserve"> d</w:t>
      </w:r>
      <w:r w:rsidR="007175B8">
        <w:t>’</w:t>
      </w:r>
      <w:r w:rsidRPr="003F17DD">
        <w:t>envisager un financement plus élevé dans le cadre d</w:t>
      </w:r>
      <w:r w:rsidR="007175B8">
        <w:t>’</w:t>
      </w:r>
      <w:r w:rsidRPr="003F17DD">
        <w:t>une éventuelle révision des directives en matière de coûts en 2028.</w:t>
      </w:r>
    </w:p>
    <w:p w14:paraId="24CDC731" w14:textId="0538B54C" w:rsidR="00BD7C4D" w:rsidRPr="003F17DD" w:rsidRDefault="00B8718E" w:rsidP="00530701">
      <w:pPr>
        <w:pStyle w:val="Normalnumber"/>
        <w:keepNext/>
        <w:keepLines/>
      </w:pPr>
      <w:r w:rsidRPr="00B8718E">
        <w:lastRenderedPageBreak/>
        <w:t>En outre</w:t>
      </w:r>
      <w:r w:rsidR="00BD7C4D" w:rsidRPr="003F17DD">
        <w:t>, l</w:t>
      </w:r>
      <w:r w:rsidR="007175B8">
        <w:t>’</w:t>
      </w:r>
      <w:r w:rsidR="00BD7C4D" w:rsidRPr="003F17DD">
        <w:t>équipe spéciale a traité séparément, respectivement aux chapitres</w:t>
      </w:r>
      <w:r w:rsidR="00CF70FD">
        <w:t> </w:t>
      </w:r>
      <w:r w:rsidR="00BD7C4D" w:rsidRPr="003F17DD">
        <w:t>8 et 9, les questions relatives à la gestion du cycle de vie des réfrigérants et aux technologies numériques dans le secteur de l</w:t>
      </w:r>
      <w:r w:rsidR="007175B8">
        <w:t>’</w:t>
      </w:r>
      <w:r w:rsidR="00BD7C4D" w:rsidRPr="003F17DD">
        <w:t>entretien. Bien que des informations détaillées sur ces sujets soient fournies à l</w:t>
      </w:r>
      <w:r w:rsidR="007175B8">
        <w:t>’</w:t>
      </w:r>
      <w:r w:rsidR="00BD7C4D" w:rsidRPr="003F17DD">
        <w:t>intention des Parties, celles-ci n</w:t>
      </w:r>
      <w:r w:rsidR="007175B8">
        <w:t>’</w:t>
      </w:r>
      <w:r w:rsidR="00BD7C4D" w:rsidRPr="003F17DD">
        <w:t>ont pas été prises en compte dans l</w:t>
      </w:r>
      <w:r w:rsidR="007175B8">
        <w:t>’</w:t>
      </w:r>
      <w:r w:rsidR="00BD7C4D" w:rsidRPr="003F17DD">
        <w:t>estimation des besoins de financement pour les trois</w:t>
      </w:r>
      <w:r w:rsidR="00CF70FD">
        <w:t> </w:t>
      </w:r>
      <w:r w:rsidR="00BD7C4D" w:rsidRPr="003F17DD">
        <w:t>triennats.</w:t>
      </w:r>
    </w:p>
    <w:p w14:paraId="055F7A2C" w14:textId="22CA29C5" w:rsidR="00BD7C4D" w:rsidRPr="003F17DD" w:rsidRDefault="00BD7C4D" w:rsidP="00BD7C4D">
      <w:pPr>
        <w:pStyle w:val="Normalnumber"/>
      </w:pPr>
      <w:r w:rsidRPr="003F17DD">
        <w:t xml:space="preserve">En ce qui concerne le secteur de la consommation </w:t>
      </w:r>
      <w:r w:rsidR="00335A3D" w:rsidRPr="003F17DD">
        <w:t>d</w:t>
      </w:r>
      <w:r w:rsidR="007175B8">
        <w:t>’</w:t>
      </w:r>
      <w:r w:rsidRPr="003F17DD">
        <w:t>HCFC, l</w:t>
      </w:r>
      <w:r w:rsidR="007175B8">
        <w:t>’</w:t>
      </w:r>
      <w:r w:rsidRPr="003F17DD">
        <w:t>équipe spéciale a établi ses estimations de financement en partant du principe d</w:t>
      </w:r>
      <w:r w:rsidR="007175B8">
        <w:t>’</w:t>
      </w:r>
      <w:r w:rsidRPr="003F17DD">
        <w:t>une élimination totale d</w:t>
      </w:r>
      <w:r w:rsidR="007175B8">
        <w:t>’</w:t>
      </w:r>
      <w:r w:rsidRPr="003F17DD">
        <w:t>ici</w:t>
      </w:r>
      <w:r w:rsidR="00955F3F">
        <w:t xml:space="preserve"> à</w:t>
      </w:r>
      <w:r w:rsidRPr="003F17DD">
        <w:t xml:space="preserve"> 2030, seules des dérogations limitées pour l</w:t>
      </w:r>
      <w:r w:rsidR="007175B8">
        <w:t>’</w:t>
      </w:r>
      <w:r w:rsidRPr="003F17DD">
        <w:t xml:space="preserve">entretien </w:t>
      </w:r>
      <w:r w:rsidR="00335A3D" w:rsidRPr="003F17DD">
        <w:t>devant être</w:t>
      </w:r>
      <w:r w:rsidRPr="003F17DD">
        <w:t xml:space="preserve"> autorisées pendant la période 2030-2040</w:t>
      </w:r>
      <w:r w:rsidRPr="003F17DD">
        <w:rPr>
          <w:rStyle w:val="FootnoteReference"/>
          <w:lang w:eastAsia="en-GB"/>
        </w:rPr>
        <w:footnoteReference w:id="6"/>
      </w:r>
      <w:r w:rsidRPr="003F17DD">
        <w:t xml:space="preserve">. Elle </w:t>
      </w:r>
      <w:r w:rsidR="00F45F6F" w:rsidRPr="003F17DD">
        <w:t>a</w:t>
      </w:r>
      <w:r w:rsidRPr="003F17DD">
        <w:t xml:space="preserve"> également </w:t>
      </w:r>
      <w:r w:rsidR="00335A3D" w:rsidRPr="003F17DD">
        <w:t>retenu l</w:t>
      </w:r>
      <w:r w:rsidR="007175B8">
        <w:t>’</w:t>
      </w:r>
      <w:r w:rsidR="00335A3D" w:rsidRPr="003F17DD">
        <w:t>hypothèse</w:t>
      </w:r>
      <w:r w:rsidRPr="003F17DD">
        <w:t xml:space="preserve"> que les besoins de financement après 2030 se limiteraient principalement aux versements correspondant aux tranches déjà engagées dans le cadre des plans de gestion de l</w:t>
      </w:r>
      <w:r w:rsidR="007175B8">
        <w:t>’</w:t>
      </w:r>
      <w:r w:rsidRPr="003F17DD">
        <w:t xml:space="preserve">élimination </w:t>
      </w:r>
      <w:r w:rsidR="00F45F6F" w:rsidRPr="003F17DD">
        <w:t>totale</w:t>
      </w:r>
      <w:r w:rsidRPr="003F17DD">
        <w:t xml:space="preserve"> des HCFC. En outre, l</w:t>
      </w:r>
      <w:r w:rsidR="007175B8">
        <w:t>’</w:t>
      </w:r>
      <w:r w:rsidRPr="003F17DD">
        <w:t>équipe spéciale a estimé que 90</w:t>
      </w:r>
      <w:r w:rsidR="006B7A99">
        <w:t> </w:t>
      </w:r>
      <w:r w:rsidRPr="003F17DD">
        <w:t>% des fonds destinés au</w:t>
      </w:r>
      <w:r w:rsidR="00F45F6F" w:rsidRPr="003F17DD">
        <w:t>x</w:t>
      </w:r>
      <w:r w:rsidRPr="003F17DD">
        <w:t xml:space="preserve"> plan</w:t>
      </w:r>
      <w:r w:rsidR="00F45F6F" w:rsidRPr="003F17DD">
        <w:t>s</w:t>
      </w:r>
      <w:r w:rsidRPr="003F17DD">
        <w:t xml:space="preserve"> de gestion de l</w:t>
      </w:r>
      <w:r w:rsidR="007175B8">
        <w:t>’</w:t>
      </w:r>
      <w:r w:rsidRPr="003F17DD">
        <w:t xml:space="preserve">élimination </w:t>
      </w:r>
      <w:r w:rsidR="00F45F6F" w:rsidRPr="003F17DD">
        <w:t>totale</w:t>
      </w:r>
      <w:r w:rsidRPr="003F17DD">
        <w:t xml:space="preserve"> des HCFC seraient alloués au cours de la période triennale 2027-2029</w:t>
      </w:r>
      <w:r w:rsidR="00F45F6F" w:rsidRPr="003F17DD">
        <w:t xml:space="preserve"> et que </w:t>
      </w:r>
      <w:r w:rsidRPr="003F17DD">
        <w:t>les 10</w:t>
      </w:r>
      <w:r w:rsidR="006B7A99">
        <w:t> </w:t>
      </w:r>
      <w:r w:rsidRPr="003F17DD">
        <w:t xml:space="preserve">% restants </w:t>
      </w:r>
      <w:r w:rsidR="00F45F6F" w:rsidRPr="003F17DD">
        <w:t>seraient</w:t>
      </w:r>
      <w:r w:rsidRPr="003F17DD">
        <w:t xml:space="preserve"> alloués au cours de la période triennale</w:t>
      </w:r>
      <w:r w:rsidR="008E103D">
        <w:br/>
      </w:r>
      <w:r w:rsidRPr="003F17DD">
        <w:t>2030-2032</w:t>
      </w:r>
      <w:r w:rsidRPr="003F17DD">
        <w:rPr>
          <w:rStyle w:val="FootnoteReference"/>
          <w:lang w:eastAsia="en-GB"/>
        </w:rPr>
        <w:footnoteReference w:id="7"/>
      </w:r>
      <w:r w:rsidRPr="003F17DD">
        <w:t>.</w:t>
      </w:r>
    </w:p>
    <w:p w14:paraId="3ADE9585" w14:textId="3AAF9505"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Afin de répondre à la demande formulée par les Parties dans la décision</w:t>
      </w:r>
      <w:r w:rsidR="008E103D">
        <w:t> </w:t>
      </w:r>
      <w:r w:rsidRPr="003F17DD">
        <w:t>XXXVII/6 concernant une méthod</w:t>
      </w:r>
      <w:r w:rsidR="00602945" w:rsidRPr="003F17DD">
        <w:t>e</w:t>
      </w:r>
      <w:r w:rsidRPr="003F17DD">
        <w:t xml:space="preserve"> fondée sur le respect des </w:t>
      </w:r>
      <w:r w:rsidR="00602945" w:rsidRPr="003F17DD">
        <w:t>dispositions</w:t>
      </w:r>
      <w:r w:rsidRPr="003F17DD">
        <w:t xml:space="preserve"> et indépendante du plan d</w:t>
      </w:r>
      <w:r w:rsidR="007175B8">
        <w:t>’</w:t>
      </w:r>
      <w:r w:rsidRPr="003F17DD">
        <w:t>activité du Fonds multilatéral, l</w:t>
      </w:r>
      <w:r w:rsidR="007175B8">
        <w:t>’</w:t>
      </w:r>
      <w:r w:rsidRPr="003F17DD">
        <w:t>équipe spéciale a élaboré deux scénarios de rentabilité pour 15</w:t>
      </w:r>
      <w:r w:rsidR="008E103D">
        <w:t> </w:t>
      </w:r>
      <w:r w:rsidRPr="003F17DD">
        <w:t xml:space="preserve">Parties ne figurant pas parmi celles à faible volume de consommation et présentant encore une consommation industrielle </w:t>
      </w:r>
      <w:r w:rsidR="00602945" w:rsidRPr="003F17DD">
        <w:t>pertinente</w:t>
      </w:r>
      <w:r w:rsidR="0034529D">
        <w:t> </w:t>
      </w:r>
      <w:r w:rsidRPr="003F17DD">
        <w:t>: le scénario</w:t>
      </w:r>
      <w:r w:rsidR="00F81231">
        <w:t> </w:t>
      </w:r>
      <w:r w:rsidRPr="003F17DD">
        <w:t>1 pour les HCFC, fondé sur les valeurs moyennes historiques de rentabilité</w:t>
      </w:r>
      <w:r w:rsidR="003567A0">
        <w:t> </w:t>
      </w:r>
      <w:r w:rsidRPr="003F17DD">
        <w:t>; et le scénario</w:t>
      </w:r>
      <w:r w:rsidR="00426D4E">
        <w:t> </w:t>
      </w:r>
      <w:r w:rsidRPr="003F17DD">
        <w:t xml:space="preserve">2 pour les HCFC, sur la base des seuils de </w:t>
      </w:r>
      <w:r w:rsidR="00602945" w:rsidRPr="003F17DD">
        <w:t>coût-efficacité arrêtés</w:t>
      </w:r>
      <w:r w:rsidRPr="003F17DD">
        <w:t xml:space="preserve"> conformément aux lignes directrices existantes en matière de coûts.</w:t>
      </w:r>
    </w:p>
    <w:p w14:paraId="081AD740" w14:textId="5FDAAECB" w:rsidR="00BD7C4D" w:rsidRPr="003F17DD" w:rsidRDefault="00BD7C4D" w:rsidP="00BD7C4D">
      <w:pPr>
        <w:pStyle w:val="Normalnumber"/>
        <w:keepNext/>
        <w:keepLines/>
        <w:tabs>
          <w:tab w:val="clear" w:pos="1247"/>
          <w:tab w:val="clear" w:pos="1814"/>
          <w:tab w:val="clear" w:pos="2381"/>
          <w:tab w:val="clear" w:pos="2948"/>
          <w:tab w:val="clear" w:pos="3515"/>
          <w:tab w:val="left" w:pos="624"/>
        </w:tabs>
      </w:pPr>
      <w:r w:rsidRPr="003F17DD">
        <w:t>En ce qui concerne le secteur de la production d</w:t>
      </w:r>
      <w:r w:rsidR="007175B8">
        <w:t>’</w:t>
      </w:r>
      <w:r w:rsidRPr="003F17DD">
        <w:t>HCFC, les estimations de</w:t>
      </w:r>
      <w:r w:rsidR="00602945" w:rsidRPr="003F17DD">
        <w:t>s besoins de</w:t>
      </w:r>
      <w:r w:rsidRPr="003F17DD">
        <w:t xml:space="preserve"> financement comprennent les coûts liés aux plans de gestion de l</w:t>
      </w:r>
      <w:r w:rsidR="007175B8">
        <w:t>’</w:t>
      </w:r>
      <w:r w:rsidRPr="003F17DD">
        <w:t xml:space="preserve">élimination </w:t>
      </w:r>
      <w:r w:rsidR="00602945" w:rsidRPr="003F17DD">
        <w:t>totale</w:t>
      </w:r>
      <w:r w:rsidRPr="003F17DD">
        <w:t xml:space="preserve"> de la production </w:t>
      </w:r>
      <w:r w:rsidR="00602945" w:rsidRPr="003F17DD">
        <w:t xml:space="preserve">résiduelle </w:t>
      </w:r>
      <w:r w:rsidRPr="003F17DD">
        <w:t>d</w:t>
      </w:r>
      <w:r w:rsidR="007175B8">
        <w:t>’</w:t>
      </w:r>
      <w:r w:rsidRPr="003F17DD">
        <w:t>HCFC, y</w:t>
      </w:r>
      <w:r w:rsidR="00F97DAB">
        <w:t> </w:t>
      </w:r>
      <w:r w:rsidRPr="003F17DD">
        <w:t xml:space="preserve">compris les activités de vérification </w:t>
      </w:r>
      <w:r w:rsidR="00602945" w:rsidRPr="003F17DD">
        <w:t>relevant</w:t>
      </w:r>
      <w:r w:rsidRPr="003F17DD">
        <w:t xml:space="preserve"> </w:t>
      </w:r>
      <w:r w:rsidR="00602945" w:rsidRPr="003F17DD">
        <w:t>d</w:t>
      </w:r>
      <w:r w:rsidR="007175B8">
        <w:t>’</w:t>
      </w:r>
      <w:r w:rsidRPr="003F17DD">
        <w:t xml:space="preserve">un projet qui devrait nécessiter un financement au cours de la période triennale 2027-2029. </w:t>
      </w:r>
    </w:p>
    <w:p w14:paraId="08C0741E" w14:textId="5325F091" w:rsidR="00BD7C4D" w:rsidRPr="002B0885" w:rsidRDefault="00BD7C4D" w:rsidP="00BD7C4D">
      <w:pPr>
        <w:pStyle w:val="Normalnumber"/>
        <w:keepNext/>
        <w:keepLines/>
        <w:tabs>
          <w:tab w:val="clear" w:pos="1247"/>
          <w:tab w:val="clear" w:pos="1814"/>
          <w:tab w:val="clear" w:pos="2381"/>
          <w:tab w:val="clear" w:pos="2948"/>
          <w:tab w:val="clear" w:pos="3515"/>
          <w:tab w:val="left" w:pos="624"/>
        </w:tabs>
      </w:pPr>
      <w:r w:rsidRPr="003F17DD">
        <w:t>En ce qui concerne le secteur de la consommation d</w:t>
      </w:r>
      <w:r w:rsidR="007175B8">
        <w:t>’</w:t>
      </w:r>
      <w:r w:rsidRPr="003F17DD">
        <w:t xml:space="preserve">HFC, </w:t>
      </w:r>
      <w:r w:rsidR="00602945" w:rsidRPr="003F17DD">
        <w:t xml:space="preserve">selon </w:t>
      </w:r>
      <w:r w:rsidRPr="003F17DD">
        <w:t>la méthod</w:t>
      </w:r>
      <w:r w:rsidR="00602945" w:rsidRPr="003F17DD">
        <w:t xml:space="preserve">e </w:t>
      </w:r>
      <w:r w:rsidRPr="003F17DD">
        <w:t>appliquée</w:t>
      </w:r>
      <w:r w:rsidR="00602945" w:rsidRPr="003F17DD">
        <w:t>,</w:t>
      </w:r>
      <w:r w:rsidRPr="003F17DD">
        <w:t xml:space="preserve"> les </w:t>
      </w:r>
      <w:r w:rsidRPr="002B0885">
        <w:t xml:space="preserve">besoins de financement destinés à </w:t>
      </w:r>
      <w:r w:rsidR="00602945" w:rsidRPr="002B0885">
        <w:t>aider les</w:t>
      </w:r>
      <w:r w:rsidRPr="002B0885">
        <w:t xml:space="preserve"> Parties visées à l</w:t>
      </w:r>
      <w:r w:rsidR="007175B8" w:rsidRPr="002B0885">
        <w:t>’</w:t>
      </w:r>
      <w:r w:rsidRPr="002B0885">
        <w:t>article</w:t>
      </w:r>
      <w:r w:rsidR="00426D4E" w:rsidRPr="002B0885">
        <w:t> </w:t>
      </w:r>
      <w:r w:rsidRPr="002B0885">
        <w:t>5 de se conformer aux calendriers de réduction progressive prévus par l</w:t>
      </w:r>
      <w:r w:rsidR="007175B8" w:rsidRPr="002B0885">
        <w:t>’</w:t>
      </w:r>
      <w:r w:rsidRPr="002B0885">
        <w:t>Amendement de Kigali</w:t>
      </w:r>
      <w:r w:rsidR="00602945" w:rsidRPr="002B0885">
        <w:t xml:space="preserve"> sont estimés comme suit</w:t>
      </w:r>
      <w:r w:rsidR="0034529D" w:rsidRPr="002B0885">
        <w:t> </w:t>
      </w:r>
      <w:r w:rsidRPr="002B0885">
        <w:t>:</w:t>
      </w:r>
    </w:p>
    <w:p w14:paraId="5A334969" w14:textId="6097D987" w:rsidR="00BD7C4D" w:rsidRPr="002B0885" w:rsidRDefault="00BD7C4D" w:rsidP="00BD7C4D">
      <w:pPr>
        <w:pStyle w:val="Normalnumber"/>
        <w:keepNext/>
        <w:keepLines/>
        <w:numPr>
          <w:ilvl w:val="1"/>
          <w:numId w:val="1"/>
        </w:numPr>
        <w:tabs>
          <w:tab w:val="clear" w:pos="1247"/>
          <w:tab w:val="clear" w:pos="1814"/>
          <w:tab w:val="clear" w:pos="2381"/>
          <w:tab w:val="clear" w:pos="2948"/>
          <w:tab w:val="clear" w:pos="3515"/>
          <w:tab w:val="left" w:pos="624"/>
        </w:tabs>
      </w:pPr>
      <w:r w:rsidRPr="002B0885">
        <w:t>Parties du groupe</w:t>
      </w:r>
      <w:r w:rsidR="00366238" w:rsidRPr="002B0885">
        <w:t> </w:t>
      </w:r>
      <w:r w:rsidRPr="002B0885">
        <w:t>1 des Parties visées à l</w:t>
      </w:r>
      <w:r w:rsidR="007175B8" w:rsidRPr="002B0885">
        <w:t>’</w:t>
      </w:r>
      <w:r w:rsidRPr="002B0885">
        <w:t>article 5</w:t>
      </w:r>
      <w:r w:rsidR="0034529D" w:rsidRPr="002B0885">
        <w:t> </w:t>
      </w:r>
      <w:r w:rsidRPr="002B0885">
        <w:t>: réduction de 10</w:t>
      </w:r>
      <w:r w:rsidR="006B7A99" w:rsidRPr="002B0885">
        <w:t> </w:t>
      </w:r>
      <w:r w:rsidRPr="002B0885">
        <w:t>% par rapport au niveau de référence d</w:t>
      </w:r>
      <w:r w:rsidR="007175B8" w:rsidRPr="002B0885">
        <w:t>’</w:t>
      </w:r>
      <w:r w:rsidRPr="002B0885">
        <w:t xml:space="preserve">ici </w:t>
      </w:r>
      <w:r w:rsidR="0030718C" w:rsidRPr="002B0885">
        <w:t xml:space="preserve">à </w:t>
      </w:r>
      <w:r w:rsidRPr="002B0885">
        <w:t>2029 et de 30</w:t>
      </w:r>
      <w:r w:rsidR="006B7A99" w:rsidRPr="002B0885">
        <w:t> </w:t>
      </w:r>
      <w:r w:rsidRPr="002B0885">
        <w:t>% par rapport au niveau de référence d</w:t>
      </w:r>
      <w:r w:rsidR="007175B8" w:rsidRPr="002B0885">
        <w:t>’</w:t>
      </w:r>
      <w:r w:rsidRPr="002B0885">
        <w:t xml:space="preserve">ici </w:t>
      </w:r>
      <w:r w:rsidR="0030718C" w:rsidRPr="002B0885">
        <w:t xml:space="preserve">à </w:t>
      </w:r>
      <w:r w:rsidRPr="002B0885">
        <w:t>2035</w:t>
      </w:r>
      <w:r w:rsidR="003567A0" w:rsidRPr="002B0885">
        <w:t> </w:t>
      </w:r>
      <w:r w:rsidRPr="002B0885">
        <w:t xml:space="preserve">; </w:t>
      </w:r>
    </w:p>
    <w:p w14:paraId="7C9428EB" w14:textId="2A4ACF03" w:rsidR="00BD7C4D" w:rsidRPr="002B0885" w:rsidRDefault="00BD7C4D" w:rsidP="00BD7C4D">
      <w:pPr>
        <w:pStyle w:val="ListParagraph"/>
        <w:numPr>
          <w:ilvl w:val="1"/>
          <w:numId w:val="1"/>
        </w:numPr>
        <w:tabs>
          <w:tab w:val="clear" w:pos="2381"/>
        </w:tabs>
      </w:pPr>
      <w:r w:rsidRPr="002B0885">
        <w:t>Parties du groupe</w:t>
      </w:r>
      <w:r w:rsidR="00366238" w:rsidRPr="002B0885">
        <w:t> </w:t>
      </w:r>
      <w:r w:rsidRPr="002B0885">
        <w:t>2 des Parties visées à l</w:t>
      </w:r>
      <w:r w:rsidR="007175B8" w:rsidRPr="002B0885">
        <w:t>’</w:t>
      </w:r>
      <w:r w:rsidRPr="002B0885">
        <w:t>article 5</w:t>
      </w:r>
      <w:r w:rsidR="0034529D" w:rsidRPr="002B0885">
        <w:t> </w:t>
      </w:r>
      <w:r w:rsidRPr="002B0885">
        <w:t>: gel au niveau de référence d</w:t>
      </w:r>
      <w:r w:rsidR="007175B8" w:rsidRPr="002B0885">
        <w:t>’</w:t>
      </w:r>
      <w:r w:rsidRPr="002B0885">
        <w:t xml:space="preserve">ici </w:t>
      </w:r>
      <w:r w:rsidR="0030718C" w:rsidRPr="002B0885">
        <w:t xml:space="preserve">à </w:t>
      </w:r>
      <w:r w:rsidRPr="002B0885">
        <w:t>2028 et réduction de 10</w:t>
      </w:r>
      <w:r w:rsidR="006B7A99" w:rsidRPr="002B0885">
        <w:t> </w:t>
      </w:r>
      <w:r w:rsidRPr="002B0885">
        <w:t>% par rapport au niveau de référence d</w:t>
      </w:r>
      <w:r w:rsidR="007175B8" w:rsidRPr="002B0885">
        <w:t>’</w:t>
      </w:r>
      <w:r w:rsidRPr="002B0885">
        <w:t xml:space="preserve">ici </w:t>
      </w:r>
      <w:r w:rsidR="0030718C" w:rsidRPr="002B0885">
        <w:t xml:space="preserve">à </w:t>
      </w:r>
      <w:r w:rsidRPr="002B0885">
        <w:t xml:space="preserve">2032. </w:t>
      </w:r>
    </w:p>
    <w:p w14:paraId="5AF2AF2A" w14:textId="77777777" w:rsidR="00BD7C4D" w:rsidRPr="002B0885" w:rsidRDefault="00BD7C4D" w:rsidP="00BD7C4D">
      <w:pPr>
        <w:pStyle w:val="Normalnumber"/>
        <w:numPr>
          <w:ilvl w:val="0"/>
          <w:numId w:val="0"/>
        </w:numPr>
        <w:tabs>
          <w:tab w:val="clear" w:pos="1247"/>
          <w:tab w:val="clear" w:pos="1814"/>
          <w:tab w:val="clear" w:pos="2381"/>
          <w:tab w:val="clear" w:pos="2948"/>
          <w:tab w:val="clear" w:pos="3515"/>
        </w:tabs>
        <w:spacing w:after="0"/>
        <w:rPr>
          <w:lang w:eastAsia="en-GB"/>
        </w:rPr>
      </w:pPr>
      <w:r w:rsidRPr="002B0885">
        <w:rPr>
          <w:lang w:eastAsia="en-GB"/>
        </w:rPr>
        <w:t xml:space="preserve"> </w:t>
      </w:r>
    </w:p>
    <w:p w14:paraId="2B36B866" w14:textId="4BCFC5A6" w:rsidR="00BD7C4D" w:rsidRPr="002B0885" w:rsidRDefault="00602945" w:rsidP="00BD7C4D">
      <w:pPr>
        <w:pStyle w:val="Normalnumber"/>
        <w:tabs>
          <w:tab w:val="clear" w:pos="1247"/>
          <w:tab w:val="clear" w:pos="1814"/>
          <w:tab w:val="clear" w:pos="2381"/>
          <w:tab w:val="clear" w:pos="2948"/>
          <w:tab w:val="clear" w:pos="3515"/>
          <w:tab w:val="left" w:pos="624"/>
        </w:tabs>
      </w:pPr>
      <w:r w:rsidRPr="002B0885">
        <w:t>L</w:t>
      </w:r>
      <w:r w:rsidR="007175B8" w:rsidRPr="002B0885">
        <w:t>’</w:t>
      </w:r>
      <w:r w:rsidR="00BD7C4D" w:rsidRPr="002B0885">
        <w:t>analyse tient compte du fait qu</w:t>
      </w:r>
      <w:r w:rsidR="007175B8" w:rsidRPr="002B0885">
        <w:t>’</w:t>
      </w:r>
      <w:r w:rsidR="00BD7C4D" w:rsidRPr="002B0885">
        <w:t>en avril 2026, 125 des 144</w:t>
      </w:r>
      <w:r w:rsidR="00366238" w:rsidRPr="002B0885">
        <w:t> </w:t>
      </w:r>
      <w:r w:rsidR="00BD7C4D" w:rsidRPr="002B0885">
        <w:t>Parties visées à l</w:t>
      </w:r>
      <w:r w:rsidR="007175B8" w:rsidRPr="002B0885">
        <w:t>’</w:t>
      </w:r>
      <w:r w:rsidR="00BD7C4D" w:rsidRPr="002B0885">
        <w:t>article</w:t>
      </w:r>
      <w:r w:rsidR="00366238" w:rsidRPr="002B0885">
        <w:t> </w:t>
      </w:r>
      <w:r w:rsidR="00BD7C4D" w:rsidRPr="002B0885">
        <w:t>5 avaient ratifié l</w:t>
      </w:r>
      <w:r w:rsidR="007175B8" w:rsidRPr="002B0885">
        <w:t>’</w:t>
      </w:r>
      <w:r w:rsidR="00BD7C4D" w:rsidRPr="002B0885">
        <w:t xml:space="preserve">Amendement de Kigali, </w:t>
      </w:r>
      <w:r w:rsidRPr="002B0885">
        <w:t>mais elle se fonde sur l</w:t>
      </w:r>
      <w:r w:rsidR="007175B8" w:rsidRPr="002B0885">
        <w:t>’</w:t>
      </w:r>
      <w:r w:rsidRPr="002B0885">
        <w:t>hypothèse</w:t>
      </w:r>
      <w:r w:rsidR="00BD7C4D" w:rsidRPr="002B0885">
        <w:t xml:space="preserve"> que toutes les Parties restantes ratifieront </w:t>
      </w:r>
      <w:r w:rsidRPr="002B0885">
        <w:t>l</w:t>
      </w:r>
      <w:r w:rsidR="007175B8" w:rsidRPr="002B0885">
        <w:t>’</w:t>
      </w:r>
      <w:r w:rsidR="00BD7C4D" w:rsidRPr="002B0885">
        <w:t>Amendement d</w:t>
      </w:r>
      <w:r w:rsidR="007175B8" w:rsidRPr="002B0885">
        <w:t>’</w:t>
      </w:r>
      <w:r w:rsidR="00BD7C4D" w:rsidRPr="002B0885">
        <w:t xml:space="preserve">ici </w:t>
      </w:r>
      <w:r w:rsidR="00095CD2" w:rsidRPr="002B0885">
        <w:t xml:space="preserve">à </w:t>
      </w:r>
      <w:r w:rsidR="00BD7C4D" w:rsidRPr="002B0885">
        <w:t xml:space="preserve">2029, </w:t>
      </w:r>
      <w:r w:rsidRPr="002B0885">
        <w:t>auquel cas</w:t>
      </w:r>
      <w:r w:rsidR="00BD7C4D" w:rsidRPr="002B0885">
        <w:t xml:space="preserve"> toutes les Parties visées à l</w:t>
      </w:r>
      <w:r w:rsidR="007175B8" w:rsidRPr="002B0885">
        <w:t>’</w:t>
      </w:r>
      <w:r w:rsidR="00BD7C4D" w:rsidRPr="002B0885">
        <w:t>article</w:t>
      </w:r>
      <w:r w:rsidR="00C9640A">
        <w:t> </w:t>
      </w:r>
      <w:r w:rsidR="00BD7C4D" w:rsidRPr="002B0885">
        <w:t xml:space="preserve">5 </w:t>
      </w:r>
      <w:r w:rsidRPr="002B0885">
        <w:t>auraient droit</w:t>
      </w:r>
      <w:r w:rsidR="00BD7C4D" w:rsidRPr="002B0885">
        <w:t xml:space="preserve"> à un financement au cours de la période triennale 2027-2029.</w:t>
      </w:r>
    </w:p>
    <w:p w14:paraId="6D4CE83C" w14:textId="3E60F40F" w:rsidR="00BD7C4D" w:rsidRPr="003F17DD" w:rsidRDefault="00BD7C4D" w:rsidP="00BD7C4D">
      <w:pPr>
        <w:pStyle w:val="Normalnumber"/>
        <w:tabs>
          <w:tab w:val="clear" w:pos="1247"/>
          <w:tab w:val="clear" w:pos="1814"/>
          <w:tab w:val="clear" w:pos="2381"/>
          <w:tab w:val="clear" w:pos="2948"/>
          <w:tab w:val="clear" w:pos="3515"/>
          <w:tab w:val="left" w:pos="624"/>
        </w:tabs>
      </w:pPr>
      <w:r w:rsidRPr="002B0885">
        <w:t>Le modèle utilisé s</w:t>
      </w:r>
      <w:r w:rsidR="007175B8" w:rsidRPr="002B0885">
        <w:t>’</w:t>
      </w:r>
      <w:r w:rsidRPr="002B0885">
        <w:t>appuie sur les données de référence relatives aux HFC transmises au</w:t>
      </w:r>
      <w:r w:rsidRPr="003F17DD">
        <w:t xml:space="preserve"> Secrétariat et génère des estimations des données de référence manquantes à l</w:t>
      </w:r>
      <w:r w:rsidR="007175B8">
        <w:t>’</w:t>
      </w:r>
      <w:r w:rsidRPr="003F17DD">
        <w:t>aide des méthodes utilisées dans les rapports précédents de l</w:t>
      </w:r>
      <w:r w:rsidR="007175B8">
        <w:t>’</w:t>
      </w:r>
      <w:r w:rsidRPr="003F17DD">
        <w:t>équipe spéciale. Il tient également compte des plans de mise en œuvre de l</w:t>
      </w:r>
      <w:r w:rsidR="007175B8">
        <w:t>’</w:t>
      </w:r>
      <w:r w:rsidRPr="003F17DD">
        <w:t xml:space="preserve">Amendement de Kigali relatifs aux HFC déjà approuvés, applique les seuils de </w:t>
      </w:r>
      <w:r w:rsidR="00602945" w:rsidRPr="003F17DD">
        <w:t>coût</w:t>
      </w:r>
      <w:r w:rsidR="00531783">
        <w:noBreakHyphen/>
      </w:r>
      <w:proofErr w:type="gramStart"/>
      <w:r w:rsidR="00602945" w:rsidRPr="003F17DD">
        <w:t>efficacité</w:t>
      </w:r>
      <w:r w:rsidRPr="003F17DD">
        <w:t xml:space="preserve"> existants</w:t>
      </w:r>
      <w:proofErr w:type="gramEnd"/>
      <w:r w:rsidRPr="003F17DD">
        <w:t xml:space="preserve"> ainsi que les estimations des expert(e)s de l</w:t>
      </w:r>
      <w:r w:rsidR="007175B8">
        <w:t>’</w:t>
      </w:r>
      <w:r w:rsidRPr="003F17DD">
        <w:t xml:space="preserve">équipe spéciale lorsque les valeurs standard ne sont pas disponibles, et répartit les fonds sur plusieurs triennats afin de </w:t>
      </w:r>
      <w:r w:rsidR="00602945" w:rsidRPr="003F17DD">
        <w:t xml:space="preserve">tenir </w:t>
      </w:r>
      <w:r w:rsidR="00955F3F">
        <w:t xml:space="preserve">compte </w:t>
      </w:r>
      <w:r w:rsidR="00602945" w:rsidRPr="003F17DD">
        <w:t>des différents</w:t>
      </w:r>
      <w:r w:rsidRPr="003F17DD">
        <w:t xml:space="preserve"> calendriers de mise en œuvre, des objectifs de réduction et des cycles d</w:t>
      </w:r>
      <w:r w:rsidR="007175B8">
        <w:t>’</w:t>
      </w:r>
      <w:r w:rsidRPr="003F17DD">
        <w:t xml:space="preserve">approbation. </w:t>
      </w:r>
    </w:p>
    <w:p w14:paraId="3A763511" w14:textId="40100C1D" w:rsidR="00BD7C4D" w:rsidRPr="003F17DD" w:rsidRDefault="00602945" w:rsidP="00BD7C4D">
      <w:pPr>
        <w:pStyle w:val="Normalnumber"/>
        <w:tabs>
          <w:tab w:val="clear" w:pos="1247"/>
          <w:tab w:val="clear" w:pos="1814"/>
          <w:tab w:val="clear" w:pos="2381"/>
          <w:tab w:val="clear" w:pos="2948"/>
          <w:tab w:val="clear" w:pos="3515"/>
          <w:tab w:val="left" w:pos="624"/>
        </w:tabs>
      </w:pPr>
      <w:r w:rsidRPr="003F17DD">
        <w:t>Pour</w:t>
      </w:r>
      <w:r w:rsidR="00BD7C4D" w:rsidRPr="003F17DD">
        <w:t xml:space="preserve"> présenter une fourchette d</w:t>
      </w:r>
      <w:r w:rsidR="007175B8">
        <w:t>’</w:t>
      </w:r>
      <w:r w:rsidR="00BD7C4D" w:rsidRPr="003F17DD">
        <w:t>estimations, l</w:t>
      </w:r>
      <w:r w:rsidR="007175B8">
        <w:t>’</w:t>
      </w:r>
      <w:r w:rsidR="00BD7C4D" w:rsidRPr="003F17DD">
        <w:t>équipe spéciale a calculé le coût total de la réduction progressive des HFC pour les phases</w:t>
      </w:r>
      <w:r w:rsidR="00366238">
        <w:t> </w:t>
      </w:r>
      <w:r w:rsidR="00BD7C4D" w:rsidRPr="003F17DD">
        <w:t xml:space="preserve">I et II des plans de mise en œuvre </w:t>
      </w:r>
      <w:r w:rsidR="00955F3F">
        <w:t xml:space="preserve">de </w:t>
      </w:r>
      <w:r w:rsidR="00BD7C4D" w:rsidRPr="003F17DD">
        <w:t>l</w:t>
      </w:r>
      <w:r w:rsidR="007175B8">
        <w:t>’</w:t>
      </w:r>
      <w:r w:rsidR="00BD7C4D" w:rsidRPr="003F17DD">
        <w:t>Amendement de Kigali relatifs aux HFC sur les trois triennats, en tenant compte des objectifs de réduction jusqu</w:t>
      </w:r>
      <w:r w:rsidR="007175B8">
        <w:t>’</w:t>
      </w:r>
      <w:r w:rsidR="00BD7C4D" w:rsidRPr="003F17DD">
        <w:t>en 2035, puis a appliqué deux</w:t>
      </w:r>
      <w:r w:rsidR="00B4069A">
        <w:t> </w:t>
      </w:r>
      <w:r w:rsidR="00BD7C4D" w:rsidRPr="003F17DD">
        <w:t>scénarios de financement</w:t>
      </w:r>
      <w:r w:rsidR="0034529D">
        <w:t> </w:t>
      </w:r>
      <w:r w:rsidR="00BD7C4D" w:rsidRPr="003F17DD">
        <w:t>: le scénario</w:t>
      </w:r>
      <w:r w:rsidR="00584F32">
        <w:t> </w:t>
      </w:r>
      <w:r w:rsidR="00DA4313" w:rsidRPr="003F17DD">
        <w:t xml:space="preserve">1 pour les </w:t>
      </w:r>
      <w:r w:rsidR="00BD7C4D" w:rsidRPr="003F17DD">
        <w:t xml:space="preserve">HFC, qui utilise des seuils de </w:t>
      </w:r>
      <w:r w:rsidRPr="003F17DD">
        <w:t>coût-efficacité</w:t>
      </w:r>
      <w:r w:rsidR="00BD7C4D" w:rsidRPr="003F17DD">
        <w:t xml:space="preserve"> conformes aux lignes directrices en matière de coûts ou </w:t>
      </w:r>
      <w:r w:rsidRPr="003F17DD">
        <w:t>des</w:t>
      </w:r>
      <w:r w:rsidR="00BD7C4D" w:rsidRPr="003F17DD">
        <w:t xml:space="preserve"> estimations établies par </w:t>
      </w:r>
      <w:r w:rsidRPr="003F17DD">
        <w:t>ses expert(e)s</w:t>
      </w:r>
      <w:r w:rsidR="00BD7C4D" w:rsidRPr="003F17DD">
        <w:t>, sans tenir compte des petites et moyennes entreprises</w:t>
      </w:r>
      <w:r w:rsidR="003567A0">
        <w:t> </w:t>
      </w:r>
      <w:r w:rsidR="00BD7C4D" w:rsidRPr="003F17DD">
        <w:t>; et le scénario</w:t>
      </w:r>
      <w:r w:rsidR="00366238">
        <w:t> </w:t>
      </w:r>
      <w:r w:rsidR="00DA4313" w:rsidRPr="003F17DD">
        <w:t xml:space="preserve">2 pour les </w:t>
      </w:r>
      <w:r w:rsidR="00BD7C4D" w:rsidRPr="003F17DD">
        <w:t xml:space="preserve">HFC, </w:t>
      </w:r>
      <w:r w:rsidR="00347B7F" w:rsidRPr="003F17DD">
        <w:t>qui</w:t>
      </w:r>
      <w:r w:rsidR="00BD7C4D" w:rsidRPr="003F17DD">
        <w:t xml:space="preserve"> utilis</w:t>
      </w:r>
      <w:r w:rsidR="00347B7F" w:rsidRPr="003F17DD">
        <w:t>e</w:t>
      </w:r>
      <w:r w:rsidR="00BD7C4D" w:rsidRPr="003F17DD">
        <w:t xml:space="preserve"> des seuils de </w:t>
      </w:r>
      <w:r w:rsidRPr="003F17DD">
        <w:t xml:space="preserve">coût-efficacité </w:t>
      </w:r>
      <w:r w:rsidR="00BD7C4D" w:rsidRPr="003F17DD">
        <w:t>ajustés tenant compte de la participation des petites et moyennes entreprises.</w:t>
      </w:r>
    </w:p>
    <w:p w14:paraId="63DE9CF9" w14:textId="742A8B31" w:rsidR="00BD7C4D" w:rsidRPr="00CB3FB9" w:rsidRDefault="00BD7C4D" w:rsidP="00BD7C4D">
      <w:pPr>
        <w:pStyle w:val="Normalnumber"/>
        <w:tabs>
          <w:tab w:val="clear" w:pos="1247"/>
          <w:tab w:val="clear" w:pos="1814"/>
          <w:tab w:val="clear" w:pos="2381"/>
          <w:tab w:val="clear" w:pos="2948"/>
          <w:tab w:val="clear" w:pos="3515"/>
          <w:tab w:val="left" w:pos="624"/>
        </w:tabs>
      </w:pPr>
      <w:r w:rsidRPr="003F17DD">
        <w:lastRenderedPageBreak/>
        <w:t>En outre, pour chaque scénario, l</w:t>
      </w:r>
      <w:r w:rsidR="007175B8">
        <w:t>’</w:t>
      </w:r>
      <w:r w:rsidRPr="003F17DD">
        <w:t>équipe spéciale propose deux calendriers d</w:t>
      </w:r>
      <w:r w:rsidR="007175B8">
        <w:t>’</w:t>
      </w:r>
      <w:r w:rsidRPr="003F17DD">
        <w:t>allocation des ressources (A et B), présentés dans le tableau</w:t>
      </w:r>
      <w:r w:rsidR="00366238">
        <w:t> </w:t>
      </w:r>
      <w:r w:rsidRPr="003F17DD">
        <w:t xml:space="preserve">1.4 de son rapport, </w:t>
      </w:r>
      <w:r w:rsidR="00347B7F" w:rsidRPr="003F17DD">
        <w:t>chacun suivant une distribution différente</w:t>
      </w:r>
      <w:r w:rsidRPr="003F17DD">
        <w:t xml:space="preserve"> des fonds </w:t>
      </w:r>
      <w:r w:rsidR="00347B7F" w:rsidRPr="003F17DD">
        <w:t>selon les</w:t>
      </w:r>
      <w:r w:rsidRPr="003F17DD">
        <w:t xml:space="preserve"> trienna</w:t>
      </w:r>
      <w:r w:rsidR="00347B7F" w:rsidRPr="003F17DD">
        <w:t>t</w:t>
      </w:r>
      <w:r w:rsidRPr="003F17DD">
        <w:t>s</w:t>
      </w:r>
      <w:r w:rsidR="0034529D">
        <w:t> </w:t>
      </w:r>
      <w:r w:rsidRPr="003F17DD">
        <w:t>: le calendrier</w:t>
      </w:r>
      <w:r w:rsidR="00366238">
        <w:t> </w:t>
      </w:r>
      <w:r w:rsidRPr="003F17DD">
        <w:t xml:space="preserve">A prévoit un financement plus rapide, concentré en début de période, </w:t>
      </w:r>
      <w:r w:rsidR="00BE5BC1">
        <w:t xml:space="preserve">avec des niveaux de financement plus élevés pendant le triennat 2027-2029, </w:t>
      </w:r>
      <w:r w:rsidRPr="003F17DD">
        <w:t>tandis que le calendrier</w:t>
      </w:r>
      <w:r w:rsidR="00B42FC8">
        <w:t> </w:t>
      </w:r>
      <w:r w:rsidRPr="003F17DD">
        <w:t>B table sur un financement plus progressif</w:t>
      </w:r>
      <w:r w:rsidR="00BE5BC1">
        <w:t xml:space="preserve">, avec des niveaux de financement plus faibles pendant le </w:t>
      </w:r>
      <w:r w:rsidRPr="003F17DD">
        <w:t>trienna</w:t>
      </w:r>
      <w:r w:rsidR="00347B7F" w:rsidRPr="003F17DD">
        <w:t>t</w:t>
      </w:r>
      <w:r w:rsidR="00BE5BC1">
        <w:t xml:space="preserve"> 2027-2029 et plus élevé</w:t>
      </w:r>
      <w:r w:rsidRPr="003F17DD">
        <w:t>s</w:t>
      </w:r>
      <w:r w:rsidR="00BE5BC1">
        <w:t xml:space="preserve"> au </w:t>
      </w:r>
      <w:r w:rsidR="00BE5BC1" w:rsidRPr="00CB3FB9">
        <w:t>cours des triennats suivants</w:t>
      </w:r>
      <w:r w:rsidRPr="00CB3FB9">
        <w:t>.</w:t>
      </w:r>
    </w:p>
    <w:p w14:paraId="6E38E774" w14:textId="637311FD" w:rsidR="00BD7C4D" w:rsidRPr="003F17DD" w:rsidRDefault="00BD7C4D" w:rsidP="00BD7C4D">
      <w:pPr>
        <w:pStyle w:val="Normalnumber"/>
        <w:tabs>
          <w:tab w:val="clear" w:pos="1247"/>
          <w:tab w:val="clear" w:pos="1814"/>
          <w:tab w:val="clear" w:pos="2381"/>
          <w:tab w:val="clear" w:pos="2948"/>
          <w:tab w:val="clear" w:pos="3515"/>
          <w:tab w:val="left" w:pos="624"/>
        </w:tabs>
      </w:pPr>
      <w:r w:rsidRPr="00CB3FB9">
        <w:t>Parmi les autres hypothèses figurent des coûts moyens de soutien aux organismes de</w:t>
      </w:r>
      <w:r w:rsidRPr="003F17DD">
        <w:t xml:space="preserve"> 9,6</w:t>
      </w:r>
      <w:r w:rsidR="0081731E">
        <w:t> </w:t>
      </w:r>
      <w:r w:rsidRPr="003F17DD">
        <w:t>% et une déduction de 15</w:t>
      </w:r>
      <w:r w:rsidR="0081731E">
        <w:t> </w:t>
      </w:r>
      <w:r w:rsidRPr="003F17DD">
        <w:t xml:space="preserve">% </w:t>
      </w:r>
      <w:r w:rsidR="00347B7F" w:rsidRPr="003F17DD">
        <w:t>appliquée aux secteurs manufacturiers lorsqu</w:t>
      </w:r>
      <w:r w:rsidR="007175B8">
        <w:t>’</w:t>
      </w:r>
      <w:r w:rsidR="00347B7F" w:rsidRPr="003F17DD">
        <w:t>ils sont détenus par des capitaux étrangers</w:t>
      </w:r>
      <w:r w:rsidRPr="003F17DD">
        <w:t>.</w:t>
      </w:r>
    </w:p>
    <w:p w14:paraId="181435AB" w14:textId="1BBB9040"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 xml:space="preserve">En ce qui concerne le secteur de la production </w:t>
      </w:r>
      <w:r w:rsidR="00347B7F" w:rsidRPr="003F17DD">
        <w:t>d</w:t>
      </w:r>
      <w:r w:rsidR="007175B8">
        <w:t>’</w:t>
      </w:r>
      <w:r w:rsidRPr="003F17DD">
        <w:t>HFC, les estimations de financement pour la période 2027-2029 couvrent la préparation de projets, les plans de mise en œuvre de l</w:t>
      </w:r>
      <w:r w:rsidR="007175B8">
        <w:t>’</w:t>
      </w:r>
      <w:r w:rsidRPr="003F17DD">
        <w:t xml:space="preserve">élimination </w:t>
      </w:r>
      <w:r w:rsidR="00DD64CF" w:rsidRPr="003F17DD">
        <w:t>totale</w:t>
      </w:r>
      <w:r w:rsidRPr="003F17DD">
        <w:t xml:space="preserve"> de la production </w:t>
      </w:r>
      <w:r w:rsidR="00DD64CF" w:rsidRPr="003F17DD">
        <w:t>d</w:t>
      </w:r>
      <w:r w:rsidR="007175B8">
        <w:t>’</w:t>
      </w:r>
      <w:r w:rsidRPr="003F17DD">
        <w:t>HFC au titre de l</w:t>
      </w:r>
      <w:r w:rsidR="007175B8">
        <w:t>’</w:t>
      </w:r>
      <w:r w:rsidRPr="003F17DD">
        <w:t>Amendement de Kigali pour deux Parties, ainsi que les projets d</w:t>
      </w:r>
      <w:r w:rsidR="007175B8">
        <w:t>’</w:t>
      </w:r>
      <w:r w:rsidRPr="003F17DD">
        <w:t>atténuation liés au HFC-23 et les activités de préparation correspondantes pour quatre Parties visées à l</w:t>
      </w:r>
      <w:r w:rsidR="007175B8">
        <w:t>’</w:t>
      </w:r>
      <w:r w:rsidRPr="003F17DD">
        <w:t>article</w:t>
      </w:r>
      <w:r w:rsidR="000A78F4">
        <w:t> </w:t>
      </w:r>
      <w:r w:rsidRPr="003F17DD">
        <w:t xml:space="preserve">5.  </w:t>
      </w:r>
    </w:p>
    <w:p w14:paraId="5A5BA395" w14:textId="3C933982" w:rsidR="00BD7C4D" w:rsidRPr="003F17DD" w:rsidRDefault="00BD7C4D" w:rsidP="00BD7C4D">
      <w:pPr>
        <w:pStyle w:val="Normalnumber"/>
        <w:tabs>
          <w:tab w:val="clear" w:pos="1247"/>
          <w:tab w:val="clear" w:pos="1814"/>
          <w:tab w:val="clear" w:pos="2381"/>
          <w:tab w:val="clear" w:pos="2948"/>
          <w:tab w:val="clear" w:pos="3515"/>
          <w:tab w:val="left" w:pos="624"/>
        </w:tabs>
      </w:pPr>
      <w:r w:rsidRPr="003F17DD">
        <w:t>Sur la base d</w:t>
      </w:r>
      <w:r w:rsidR="007175B8">
        <w:t>’</w:t>
      </w:r>
      <w:r w:rsidRPr="003F17DD">
        <w:t>une analyse approfondie, l</w:t>
      </w:r>
      <w:r w:rsidR="007175B8">
        <w:t>’</w:t>
      </w:r>
      <w:r w:rsidRPr="003F17DD">
        <w:t>équipe spéciale estime que les besoins de financement totaux pour la reconstitution du Fonds multilatéral pour la période triennale 2027-2029 se situent entre 1,282 et 1,361</w:t>
      </w:r>
      <w:r w:rsidR="00CD53A4">
        <w:t> </w:t>
      </w:r>
      <w:r w:rsidRPr="003F17DD">
        <w:t>milliard de dollars des États-Unis dans le scénario minimal et entre 1,672 et 1,755</w:t>
      </w:r>
      <w:r w:rsidR="00CD53A4">
        <w:t> </w:t>
      </w:r>
      <w:r w:rsidRPr="003F17DD">
        <w:t>milliard de dollars des États-Uni</w:t>
      </w:r>
      <w:r w:rsidR="00DA4313" w:rsidRPr="003F17DD">
        <w:t>s</w:t>
      </w:r>
      <w:r w:rsidRPr="003F17DD">
        <w:t xml:space="preserve"> dans le scénario maximal, comme </w:t>
      </w:r>
      <w:r w:rsidR="00DD64CF" w:rsidRPr="003F17DD">
        <w:t xml:space="preserve">indiqué dans le </w:t>
      </w:r>
      <w:r w:rsidRPr="003F17DD">
        <w:t>tableau</w:t>
      </w:r>
      <w:r w:rsidR="00CD53A4">
        <w:t> </w:t>
      </w:r>
      <w:r w:rsidRPr="003F17DD">
        <w:t>1. Les fourchettes des besoins de financement totaux sont calculées sur la base de différents scénarios et calendriers d</w:t>
      </w:r>
      <w:r w:rsidR="007175B8">
        <w:t>’</w:t>
      </w:r>
      <w:r w:rsidRPr="003F17DD">
        <w:t>allocation des ressources pour l</w:t>
      </w:r>
      <w:r w:rsidR="007175B8">
        <w:t>’</w:t>
      </w:r>
      <w:r w:rsidRPr="003F17DD">
        <w:t xml:space="preserve">élimination </w:t>
      </w:r>
      <w:r w:rsidR="00DD64CF" w:rsidRPr="003F17DD">
        <w:t xml:space="preserve">totale </w:t>
      </w:r>
      <w:r w:rsidRPr="003F17DD">
        <w:t xml:space="preserve">des HCFC et la réduction progressive des HFC. Des informations détaillées sur la méthode </w:t>
      </w:r>
      <w:r w:rsidR="00DD64CF" w:rsidRPr="003F17DD">
        <w:t xml:space="preserve">retenue pour formuler les </w:t>
      </w:r>
      <w:r w:rsidRPr="003F17DD">
        <w:t>estimation</w:t>
      </w:r>
      <w:r w:rsidR="00DD64CF" w:rsidRPr="003F17DD">
        <w:t>s</w:t>
      </w:r>
      <w:r w:rsidRPr="003F17DD">
        <w:t xml:space="preserve"> figurent dans les annexes du rapport.  </w:t>
      </w:r>
    </w:p>
    <w:p w14:paraId="669AE822" w14:textId="74CA26A8" w:rsidR="00BD7C4D" w:rsidRPr="003F17DD" w:rsidRDefault="00BD7C4D" w:rsidP="00BD7C4D">
      <w:pPr>
        <w:pStyle w:val="Titletable"/>
      </w:pPr>
      <w:r w:rsidRPr="003F17DD">
        <w:rPr>
          <w:b w:val="0"/>
          <w:bCs w:val="0"/>
        </w:rPr>
        <w:t>Tableau</w:t>
      </w:r>
      <w:r w:rsidR="00CD53A4">
        <w:rPr>
          <w:b w:val="0"/>
          <w:bCs w:val="0"/>
        </w:rPr>
        <w:t> </w:t>
      </w:r>
      <w:r w:rsidRPr="003F17DD">
        <w:rPr>
          <w:b w:val="0"/>
          <w:bCs w:val="0"/>
        </w:rPr>
        <w:t>1</w:t>
      </w:r>
      <w:r w:rsidR="00D57F2B">
        <w:rPr>
          <w:b w:val="0"/>
          <w:bCs w:val="0"/>
        </w:rPr>
        <w:br/>
      </w:r>
      <w:r w:rsidRPr="003F17DD">
        <w:t xml:space="preserve">Besoins financiers totaux estimés pour la reconstitution du Fonds multilatéral pour la période triennale 2027-2029, fourchette basse et fourchette haute </w:t>
      </w:r>
    </w:p>
    <w:p w14:paraId="5FC85324" w14:textId="77777777" w:rsidR="00BD7C4D" w:rsidRPr="004F4153" w:rsidRDefault="00BD7C4D" w:rsidP="00BD7C4D">
      <w:pPr>
        <w:pStyle w:val="Titletable"/>
        <w:rPr>
          <w:b w:val="0"/>
          <w:bCs w:val="0"/>
          <w:sz w:val="18"/>
          <w:szCs w:val="18"/>
        </w:rPr>
      </w:pPr>
      <w:r w:rsidRPr="004F4153">
        <w:rPr>
          <w:b w:val="0"/>
          <w:bCs w:val="0"/>
          <w:sz w:val="18"/>
          <w:szCs w:val="18"/>
        </w:rPr>
        <w:t>(En millions de dollars des États-Unis)</w:t>
      </w:r>
    </w:p>
    <w:tbl>
      <w:tblPr>
        <w:tblW w:w="8307" w:type="dxa"/>
        <w:jc w:val="right"/>
        <w:tblLayout w:type="fixed"/>
        <w:tblCellMar>
          <w:left w:w="0" w:type="dxa"/>
          <w:right w:w="0" w:type="dxa"/>
        </w:tblCellMar>
        <w:tblLook w:val="04A0" w:firstRow="1" w:lastRow="0" w:firstColumn="1" w:lastColumn="0" w:noHBand="0" w:noVBand="1"/>
      </w:tblPr>
      <w:tblGrid>
        <w:gridCol w:w="4680"/>
        <w:gridCol w:w="1813"/>
        <w:gridCol w:w="1814"/>
      </w:tblGrid>
      <w:tr w:rsidR="00BD7C4D" w:rsidRPr="003F17DD" w14:paraId="780DAD93" w14:textId="77777777" w:rsidTr="00400E5C">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hideMark/>
          </w:tcPr>
          <w:p w14:paraId="232A7069" w14:textId="77777777" w:rsidR="00BD7C4D" w:rsidRPr="003F17DD" w:rsidRDefault="00BD7C4D" w:rsidP="00400E5C">
            <w:pPr>
              <w:pStyle w:val="Normal-pool-Table"/>
              <w:keepNext/>
              <w:keepLines/>
              <w:spacing w:before="20" w:after="20"/>
              <w:rPr>
                <w:i/>
              </w:rPr>
            </w:pPr>
            <w:r w:rsidRPr="003F17DD">
              <w:rPr>
                <w:i/>
                <w:iCs/>
                <w:color w:val="000000"/>
              </w:rPr>
              <w:t>Triennat 2027-2029</w:t>
            </w:r>
          </w:p>
        </w:tc>
        <w:tc>
          <w:tcPr>
            <w:tcW w:w="1091" w:type="pct"/>
            <w:tcBorders>
              <w:top w:val="single" w:sz="4" w:space="0" w:color="auto"/>
              <w:bottom w:val="single" w:sz="12" w:space="0" w:color="auto"/>
            </w:tcBorders>
            <w:tcMar>
              <w:top w:w="0" w:type="dxa"/>
              <w:left w:w="108" w:type="dxa"/>
              <w:bottom w:w="0" w:type="dxa"/>
              <w:right w:w="108" w:type="dxa"/>
            </w:tcMar>
            <w:hideMark/>
          </w:tcPr>
          <w:p w14:paraId="2E2727F0" w14:textId="77777777" w:rsidR="00BD7C4D" w:rsidRPr="003F17DD" w:rsidRDefault="00BD7C4D" w:rsidP="00400E5C">
            <w:pPr>
              <w:pStyle w:val="Normal-pool-Table"/>
              <w:keepNext/>
              <w:keepLines/>
              <w:spacing w:before="20" w:after="20"/>
              <w:jc w:val="right"/>
              <w:rPr>
                <w:i/>
              </w:rPr>
            </w:pPr>
            <w:r w:rsidRPr="003F17DD">
              <w:rPr>
                <w:i/>
                <w:iCs/>
                <w:color w:val="000000"/>
              </w:rPr>
              <w:t xml:space="preserve">Fourchette </w:t>
            </w:r>
            <w:proofErr w:type="spellStart"/>
            <w:r w:rsidRPr="003F17DD">
              <w:rPr>
                <w:i/>
                <w:iCs/>
                <w:color w:val="000000"/>
              </w:rPr>
              <w:t>basse</w:t>
            </w:r>
            <w:r w:rsidRPr="003F17DD">
              <w:rPr>
                <w:i/>
                <w:iCs/>
                <w:color w:val="000000"/>
                <w:vertAlign w:val="superscript"/>
              </w:rPr>
              <w:t>a</w:t>
            </w:r>
            <w:proofErr w:type="spellEnd"/>
          </w:p>
        </w:tc>
        <w:tc>
          <w:tcPr>
            <w:tcW w:w="1092" w:type="pct"/>
            <w:tcBorders>
              <w:top w:val="single" w:sz="4" w:space="0" w:color="auto"/>
              <w:bottom w:val="single" w:sz="12" w:space="0" w:color="auto"/>
            </w:tcBorders>
            <w:tcMar>
              <w:top w:w="0" w:type="dxa"/>
              <w:left w:w="108" w:type="dxa"/>
              <w:bottom w:w="0" w:type="dxa"/>
              <w:right w:w="108" w:type="dxa"/>
            </w:tcMar>
            <w:hideMark/>
          </w:tcPr>
          <w:p w14:paraId="2F33FA14" w14:textId="77777777" w:rsidR="00BD7C4D" w:rsidRPr="003F17DD" w:rsidRDefault="00BD7C4D" w:rsidP="00400E5C">
            <w:pPr>
              <w:pStyle w:val="Normal-pool-Table"/>
              <w:keepNext/>
              <w:keepLines/>
              <w:spacing w:before="20" w:after="20"/>
              <w:jc w:val="right"/>
              <w:rPr>
                <w:i/>
              </w:rPr>
            </w:pPr>
            <w:r w:rsidRPr="003F17DD">
              <w:rPr>
                <w:i/>
                <w:iCs/>
                <w:color w:val="000000"/>
              </w:rPr>
              <w:t xml:space="preserve">Fourchette </w:t>
            </w:r>
            <w:proofErr w:type="spellStart"/>
            <w:r w:rsidRPr="003F17DD">
              <w:rPr>
                <w:i/>
                <w:iCs/>
                <w:color w:val="000000"/>
              </w:rPr>
              <w:t>haute</w:t>
            </w:r>
            <w:r w:rsidRPr="003F17DD">
              <w:rPr>
                <w:i/>
                <w:iCs/>
                <w:color w:val="000000"/>
                <w:vertAlign w:val="superscript"/>
              </w:rPr>
              <w:t>b</w:t>
            </w:r>
            <w:proofErr w:type="spellEnd"/>
          </w:p>
        </w:tc>
      </w:tr>
      <w:tr w:rsidR="00BD7C4D" w:rsidRPr="003F17DD" w14:paraId="653709CE" w14:textId="77777777" w:rsidTr="00400E5C">
        <w:trPr>
          <w:trHeight w:val="135"/>
          <w:jc w:val="right"/>
        </w:trPr>
        <w:tc>
          <w:tcPr>
            <w:tcW w:w="2817" w:type="pct"/>
            <w:tcBorders>
              <w:top w:val="single" w:sz="12" w:space="0" w:color="auto"/>
            </w:tcBorders>
            <w:noWrap/>
            <w:tcMar>
              <w:top w:w="0" w:type="dxa"/>
              <w:left w:w="108" w:type="dxa"/>
              <w:bottom w:w="0" w:type="dxa"/>
              <w:right w:w="108" w:type="dxa"/>
            </w:tcMar>
            <w:vAlign w:val="center"/>
            <w:hideMark/>
          </w:tcPr>
          <w:p w14:paraId="3FC8D837" w14:textId="77777777" w:rsidR="00BD7C4D" w:rsidRPr="003F17DD" w:rsidRDefault="00BD7C4D" w:rsidP="00400E5C">
            <w:pPr>
              <w:pStyle w:val="Normal-pool-Table"/>
              <w:keepNext/>
              <w:keepLines/>
              <w:spacing w:before="20" w:after="20"/>
              <w:rPr>
                <w:sz w:val="16"/>
              </w:rPr>
            </w:pPr>
            <w:r w:rsidRPr="003F17DD">
              <w:rPr>
                <w:color w:val="000000"/>
              </w:rPr>
              <w:t>Activités liées aux HCFC (efficacité énergétique comprise)</w:t>
            </w:r>
          </w:p>
        </w:tc>
        <w:tc>
          <w:tcPr>
            <w:tcW w:w="1091" w:type="pct"/>
            <w:tcBorders>
              <w:top w:val="single" w:sz="12" w:space="0" w:color="auto"/>
            </w:tcBorders>
            <w:noWrap/>
            <w:tcMar>
              <w:top w:w="0" w:type="dxa"/>
              <w:left w:w="108" w:type="dxa"/>
              <w:bottom w:w="0" w:type="dxa"/>
              <w:right w:w="108" w:type="dxa"/>
            </w:tcMar>
            <w:vAlign w:val="bottom"/>
            <w:hideMark/>
          </w:tcPr>
          <w:p w14:paraId="171B7A8B" w14:textId="77777777" w:rsidR="00BD7C4D" w:rsidRPr="003F17DD" w:rsidRDefault="00BD7C4D" w:rsidP="00400E5C">
            <w:pPr>
              <w:pStyle w:val="Normal-pool-Table"/>
              <w:keepNext/>
              <w:keepLines/>
              <w:spacing w:before="20" w:after="20"/>
              <w:jc w:val="right"/>
              <w:rPr>
                <w:bCs/>
              </w:rPr>
            </w:pPr>
            <w:r w:rsidRPr="003F17DD">
              <w:rPr>
                <w:color w:val="000000"/>
              </w:rPr>
              <w:t>451</w:t>
            </w:r>
          </w:p>
        </w:tc>
        <w:tc>
          <w:tcPr>
            <w:tcW w:w="1092" w:type="pct"/>
            <w:tcBorders>
              <w:top w:val="single" w:sz="12" w:space="0" w:color="auto"/>
            </w:tcBorders>
            <w:noWrap/>
            <w:tcMar>
              <w:top w:w="0" w:type="dxa"/>
              <w:left w:w="108" w:type="dxa"/>
              <w:bottom w:w="0" w:type="dxa"/>
              <w:right w:w="108" w:type="dxa"/>
            </w:tcMar>
            <w:vAlign w:val="bottom"/>
            <w:hideMark/>
          </w:tcPr>
          <w:p w14:paraId="1438E1B1" w14:textId="77777777" w:rsidR="00BD7C4D" w:rsidRPr="003F17DD" w:rsidRDefault="00BD7C4D" w:rsidP="00400E5C">
            <w:pPr>
              <w:pStyle w:val="Normal-pool-Table"/>
              <w:keepNext/>
              <w:keepLines/>
              <w:spacing w:before="20" w:after="20"/>
              <w:jc w:val="right"/>
              <w:rPr>
                <w:bCs/>
              </w:rPr>
            </w:pPr>
            <w:r w:rsidRPr="003F17DD">
              <w:rPr>
                <w:color w:val="000000"/>
              </w:rPr>
              <w:t>573</w:t>
            </w:r>
          </w:p>
        </w:tc>
      </w:tr>
      <w:tr w:rsidR="00BD7C4D" w:rsidRPr="003F17DD" w14:paraId="0630F17A" w14:textId="77777777" w:rsidTr="00400E5C">
        <w:trPr>
          <w:trHeight w:val="42"/>
          <w:jc w:val="right"/>
        </w:trPr>
        <w:tc>
          <w:tcPr>
            <w:tcW w:w="2817" w:type="pct"/>
            <w:noWrap/>
            <w:tcMar>
              <w:top w:w="0" w:type="dxa"/>
              <w:left w:w="108" w:type="dxa"/>
              <w:bottom w:w="0" w:type="dxa"/>
              <w:right w:w="108" w:type="dxa"/>
            </w:tcMar>
            <w:vAlign w:val="center"/>
            <w:hideMark/>
          </w:tcPr>
          <w:p w14:paraId="0B80211F" w14:textId="2A030616" w:rsidR="00BD7C4D" w:rsidRPr="003F17DD" w:rsidRDefault="00BD7C4D" w:rsidP="00400E5C">
            <w:pPr>
              <w:pStyle w:val="Normal-pool-Table"/>
              <w:keepNext/>
              <w:keepLines/>
              <w:spacing w:before="20" w:after="20"/>
            </w:pPr>
            <w:r w:rsidRPr="003F17DD">
              <w:rPr>
                <w:color w:val="000000"/>
              </w:rPr>
              <w:t>Activités liées aux HFC (notamment l</w:t>
            </w:r>
            <w:r w:rsidR="007175B8">
              <w:rPr>
                <w:color w:val="000000"/>
              </w:rPr>
              <w:t>’</w:t>
            </w:r>
            <w:r w:rsidRPr="003F17DD">
              <w:rPr>
                <w:color w:val="000000"/>
              </w:rPr>
              <w:t xml:space="preserve">efficacité énergétique, la réduction des émissions de HFC-23 </w:t>
            </w:r>
          </w:p>
          <w:p w14:paraId="4D834A59" w14:textId="77777777" w:rsidR="00BD7C4D" w:rsidRPr="003F17DD" w:rsidRDefault="00BD7C4D" w:rsidP="00400E5C">
            <w:pPr>
              <w:pStyle w:val="Normal-pool-Table"/>
              <w:keepNext/>
              <w:keepLines/>
              <w:spacing w:before="20" w:after="20"/>
              <w:rPr>
                <w:sz w:val="16"/>
              </w:rPr>
            </w:pPr>
            <w:proofErr w:type="gramStart"/>
            <w:r w:rsidRPr="003F17DD">
              <w:rPr>
                <w:color w:val="000000"/>
              </w:rPr>
              <w:t>et</w:t>
            </w:r>
            <w:proofErr w:type="gramEnd"/>
            <w:r w:rsidRPr="003F17DD">
              <w:rPr>
                <w:color w:val="000000"/>
              </w:rPr>
              <w:t xml:space="preserve"> la surveillance atmosphérique régionale)</w:t>
            </w:r>
          </w:p>
        </w:tc>
        <w:tc>
          <w:tcPr>
            <w:tcW w:w="1091" w:type="pct"/>
            <w:noWrap/>
            <w:tcMar>
              <w:top w:w="0" w:type="dxa"/>
              <w:left w:w="108" w:type="dxa"/>
              <w:bottom w:w="0" w:type="dxa"/>
              <w:right w:w="108" w:type="dxa"/>
            </w:tcMar>
            <w:vAlign w:val="bottom"/>
            <w:hideMark/>
          </w:tcPr>
          <w:p w14:paraId="40C818FD" w14:textId="77777777" w:rsidR="00BD7C4D" w:rsidRPr="003F17DD" w:rsidRDefault="00BD7C4D" w:rsidP="00400E5C">
            <w:pPr>
              <w:pStyle w:val="Normal-pool-Table"/>
              <w:keepNext/>
              <w:keepLines/>
              <w:spacing w:before="20" w:after="20"/>
              <w:jc w:val="right"/>
              <w:rPr>
                <w:bCs/>
              </w:rPr>
            </w:pPr>
            <w:r w:rsidRPr="003F17DD">
              <w:rPr>
                <w:bCs/>
                <w:color w:val="000000"/>
              </w:rPr>
              <w:t>702–781</w:t>
            </w:r>
          </w:p>
        </w:tc>
        <w:tc>
          <w:tcPr>
            <w:tcW w:w="1092" w:type="pct"/>
            <w:noWrap/>
            <w:tcMar>
              <w:top w:w="0" w:type="dxa"/>
              <w:left w:w="108" w:type="dxa"/>
              <w:bottom w:w="0" w:type="dxa"/>
              <w:right w:w="108" w:type="dxa"/>
            </w:tcMar>
            <w:vAlign w:val="bottom"/>
            <w:hideMark/>
          </w:tcPr>
          <w:p w14:paraId="577387E3" w14:textId="4E36E27D" w:rsidR="00BD7C4D" w:rsidRPr="003F17DD" w:rsidRDefault="00BD7C4D" w:rsidP="00400E5C">
            <w:pPr>
              <w:pStyle w:val="Normal-pool-Table"/>
              <w:keepNext/>
              <w:keepLines/>
              <w:spacing w:before="20" w:after="20"/>
              <w:jc w:val="right"/>
              <w:rPr>
                <w:bCs/>
              </w:rPr>
            </w:pPr>
            <w:r w:rsidRPr="003F17DD">
              <w:rPr>
                <w:bCs/>
                <w:color w:val="000000"/>
              </w:rPr>
              <w:t>970–1</w:t>
            </w:r>
            <w:r w:rsidR="00092DBF">
              <w:rPr>
                <w:bCs/>
                <w:color w:val="000000"/>
              </w:rPr>
              <w:t> </w:t>
            </w:r>
            <w:r w:rsidRPr="003F17DD">
              <w:rPr>
                <w:bCs/>
                <w:color w:val="000000"/>
              </w:rPr>
              <w:t>053</w:t>
            </w:r>
          </w:p>
        </w:tc>
      </w:tr>
      <w:tr w:rsidR="00BD7C4D" w:rsidRPr="003F17DD" w14:paraId="4F5CDC99" w14:textId="77777777" w:rsidTr="00400E5C">
        <w:trPr>
          <w:trHeight w:val="57"/>
          <w:jc w:val="right"/>
        </w:trPr>
        <w:tc>
          <w:tcPr>
            <w:tcW w:w="2817" w:type="pct"/>
            <w:tcBorders>
              <w:bottom w:val="single" w:sz="4" w:space="0" w:color="auto"/>
            </w:tcBorders>
            <w:tcMar>
              <w:top w:w="0" w:type="dxa"/>
              <w:left w:w="108" w:type="dxa"/>
              <w:bottom w:w="0" w:type="dxa"/>
              <w:right w:w="108" w:type="dxa"/>
            </w:tcMar>
            <w:vAlign w:val="center"/>
            <w:hideMark/>
          </w:tcPr>
          <w:p w14:paraId="1EAC78EA" w14:textId="77777777" w:rsidR="00BD7C4D" w:rsidRPr="003F17DD" w:rsidRDefault="00BD7C4D" w:rsidP="00400E5C">
            <w:pPr>
              <w:pStyle w:val="Normal-pool-Table"/>
              <w:keepNext/>
              <w:keepLines/>
              <w:spacing w:before="20" w:after="20"/>
            </w:pPr>
            <w:r w:rsidRPr="003F17DD">
              <w:rPr>
                <w:color w:val="000000"/>
              </w:rPr>
              <w:t xml:space="preserve">Renforcement institutionnel et activités courantes </w:t>
            </w:r>
          </w:p>
        </w:tc>
        <w:tc>
          <w:tcPr>
            <w:tcW w:w="1091" w:type="pct"/>
            <w:tcBorders>
              <w:bottom w:val="single" w:sz="4" w:space="0" w:color="auto"/>
            </w:tcBorders>
            <w:noWrap/>
            <w:tcMar>
              <w:top w:w="0" w:type="dxa"/>
              <w:left w:w="108" w:type="dxa"/>
              <w:bottom w:w="0" w:type="dxa"/>
              <w:right w:w="108" w:type="dxa"/>
            </w:tcMar>
            <w:vAlign w:val="bottom"/>
            <w:hideMark/>
          </w:tcPr>
          <w:p w14:paraId="59A76732" w14:textId="77777777" w:rsidR="00BD7C4D" w:rsidRPr="003F17DD" w:rsidRDefault="00BD7C4D" w:rsidP="00400E5C">
            <w:pPr>
              <w:pStyle w:val="Normal-pool-Table"/>
              <w:keepNext/>
              <w:keepLines/>
              <w:spacing w:before="20" w:after="20"/>
              <w:jc w:val="right"/>
              <w:rPr>
                <w:bCs/>
              </w:rPr>
            </w:pPr>
            <w:r w:rsidRPr="003F17DD">
              <w:rPr>
                <w:color w:val="000000"/>
              </w:rPr>
              <w:t>129</w:t>
            </w:r>
          </w:p>
        </w:tc>
        <w:tc>
          <w:tcPr>
            <w:tcW w:w="1092" w:type="pct"/>
            <w:tcBorders>
              <w:bottom w:val="single" w:sz="4" w:space="0" w:color="auto"/>
            </w:tcBorders>
            <w:noWrap/>
            <w:tcMar>
              <w:top w:w="0" w:type="dxa"/>
              <w:left w:w="108" w:type="dxa"/>
              <w:bottom w:w="0" w:type="dxa"/>
              <w:right w:w="108" w:type="dxa"/>
            </w:tcMar>
            <w:vAlign w:val="bottom"/>
            <w:hideMark/>
          </w:tcPr>
          <w:p w14:paraId="062EE03B" w14:textId="77777777" w:rsidR="00BD7C4D" w:rsidRPr="003F17DD" w:rsidRDefault="00BD7C4D" w:rsidP="00400E5C">
            <w:pPr>
              <w:pStyle w:val="Normal-pool-Table"/>
              <w:keepNext/>
              <w:keepLines/>
              <w:spacing w:before="20" w:after="20"/>
              <w:jc w:val="right"/>
              <w:rPr>
                <w:bCs/>
              </w:rPr>
            </w:pPr>
            <w:r w:rsidRPr="003F17DD">
              <w:rPr>
                <w:color w:val="000000"/>
              </w:rPr>
              <w:t>129</w:t>
            </w:r>
          </w:p>
        </w:tc>
      </w:tr>
      <w:tr w:rsidR="00BD7C4D" w:rsidRPr="003F17DD" w14:paraId="05532672" w14:textId="77777777" w:rsidTr="00400E5C">
        <w:trPr>
          <w:trHeight w:val="57"/>
          <w:jc w:val="right"/>
        </w:trPr>
        <w:tc>
          <w:tcPr>
            <w:tcW w:w="2817" w:type="pct"/>
            <w:tcBorders>
              <w:top w:val="single" w:sz="4" w:space="0" w:color="auto"/>
              <w:bottom w:val="single" w:sz="12" w:space="0" w:color="auto"/>
            </w:tcBorders>
            <w:noWrap/>
            <w:tcMar>
              <w:top w:w="0" w:type="dxa"/>
              <w:left w:w="108" w:type="dxa"/>
              <w:bottom w:w="0" w:type="dxa"/>
              <w:right w:w="108" w:type="dxa"/>
            </w:tcMar>
            <w:vAlign w:val="center"/>
            <w:hideMark/>
          </w:tcPr>
          <w:p w14:paraId="3887B705" w14:textId="77777777" w:rsidR="00BD7C4D" w:rsidRPr="003F17DD" w:rsidRDefault="00BD7C4D" w:rsidP="00400E5C">
            <w:pPr>
              <w:pStyle w:val="Normal-pool-Table"/>
              <w:keepNext/>
              <w:keepLines/>
              <w:spacing w:before="20" w:after="20"/>
              <w:rPr>
                <w:b/>
              </w:rPr>
            </w:pPr>
            <w:r w:rsidRPr="003F17DD">
              <w:rPr>
                <w:b/>
                <w:bCs/>
                <w:color w:val="000000"/>
              </w:rPr>
              <w:t>Total</w:t>
            </w:r>
          </w:p>
        </w:tc>
        <w:tc>
          <w:tcPr>
            <w:tcW w:w="1091" w:type="pct"/>
            <w:tcBorders>
              <w:top w:val="single" w:sz="4" w:space="0" w:color="auto"/>
              <w:bottom w:val="single" w:sz="12" w:space="0" w:color="auto"/>
            </w:tcBorders>
            <w:noWrap/>
            <w:tcMar>
              <w:top w:w="0" w:type="dxa"/>
              <w:left w:w="108" w:type="dxa"/>
              <w:bottom w:w="0" w:type="dxa"/>
              <w:right w:w="108" w:type="dxa"/>
            </w:tcMar>
            <w:hideMark/>
          </w:tcPr>
          <w:p w14:paraId="498501B3" w14:textId="44B1ECD2" w:rsidR="00BD7C4D" w:rsidRPr="003F17DD" w:rsidRDefault="00BD7C4D" w:rsidP="00400E5C">
            <w:pPr>
              <w:pStyle w:val="Normal-pool-Table"/>
              <w:keepNext/>
              <w:keepLines/>
              <w:spacing w:before="20" w:after="20"/>
              <w:jc w:val="right"/>
              <w:rPr>
                <w:b/>
              </w:rPr>
            </w:pPr>
            <w:r w:rsidRPr="003F17DD">
              <w:rPr>
                <w:b/>
                <w:bCs/>
                <w:color w:val="000000"/>
              </w:rPr>
              <w:t>1</w:t>
            </w:r>
            <w:r w:rsidR="000342C6">
              <w:rPr>
                <w:b/>
                <w:bCs/>
                <w:color w:val="000000"/>
              </w:rPr>
              <w:t> </w:t>
            </w:r>
            <w:r w:rsidRPr="003F17DD">
              <w:rPr>
                <w:b/>
                <w:bCs/>
                <w:color w:val="000000"/>
              </w:rPr>
              <w:t>282–1</w:t>
            </w:r>
            <w:r w:rsidR="000342C6">
              <w:rPr>
                <w:b/>
                <w:bCs/>
                <w:color w:val="000000"/>
              </w:rPr>
              <w:t> </w:t>
            </w:r>
            <w:r w:rsidRPr="003F17DD">
              <w:rPr>
                <w:b/>
                <w:bCs/>
                <w:color w:val="000000"/>
              </w:rPr>
              <w:t>361</w:t>
            </w:r>
          </w:p>
        </w:tc>
        <w:tc>
          <w:tcPr>
            <w:tcW w:w="1092" w:type="pct"/>
            <w:tcBorders>
              <w:top w:val="single" w:sz="4" w:space="0" w:color="auto"/>
              <w:bottom w:val="single" w:sz="12" w:space="0" w:color="auto"/>
            </w:tcBorders>
            <w:noWrap/>
            <w:tcMar>
              <w:top w:w="0" w:type="dxa"/>
              <w:left w:w="108" w:type="dxa"/>
              <w:bottom w:w="0" w:type="dxa"/>
              <w:right w:w="108" w:type="dxa"/>
            </w:tcMar>
            <w:hideMark/>
          </w:tcPr>
          <w:p w14:paraId="0E9F036D" w14:textId="5DF3F138" w:rsidR="00BD7C4D" w:rsidRPr="003F17DD" w:rsidRDefault="00BD7C4D" w:rsidP="00400E5C">
            <w:pPr>
              <w:pStyle w:val="Normal-pool-Table"/>
              <w:keepNext/>
              <w:keepLines/>
              <w:spacing w:before="20" w:after="20"/>
              <w:jc w:val="right"/>
              <w:rPr>
                <w:b/>
              </w:rPr>
            </w:pPr>
            <w:r w:rsidRPr="003F17DD">
              <w:rPr>
                <w:b/>
                <w:bCs/>
                <w:color w:val="000000"/>
              </w:rPr>
              <w:t>1</w:t>
            </w:r>
            <w:r w:rsidR="000342C6">
              <w:rPr>
                <w:b/>
                <w:bCs/>
                <w:color w:val="000000"/>
              </w:rPr>
              <w:t> </w:t>
            </w:r>
            <w:r w:rsidRPr="003F17DD">
              <w:rPr>
                <w:b/>
                <w:bCs/>
                <w:color w:val="000000"/>
              </w:rPr>
              <w:t>672–1</w:t>
            </w:r>
            <w:r w:rsidR="000342C6">
              <w:rPr>
                <w:b/>
                <w:bCs/>
                <w:color w:val="000000"/>
              </w:rPr>
              <w:t> </w:t>
            </w:r>
            <w:r w:rsidRPr="003F17DD">
              <w:rPr>
                <w:b/>
                <w:bCs/>
                <w:color w:val="000000"/>
              </w:rPr>
              <w:t>755</w:t>
            </w:r>
          </w:p>
        </w:tc>
      </w:tr>
    </w:tbl>
    <w:p w14:paraId="61F69F94" w14:textId="05B16787" w:rsidR="00BD7C4D" w:rsidRPr="005C2213" w:rsidRDefault="00BD7C4D" w:rsidP="00BD7C4D">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ind w:left="1247"/>
        <w:rPr>
          <w:sz w:val="17"/>
          <w:szCs w:val="17"/>
        </w:rPr>
      </w:pPr>
      <w:r w:rsidRPr="00387B9A">
        <w:rPr>
          <w:sz w:val="18"/>
          <w:szCs w:val="18"/>
        </w:rPr>
        <w:tab/>
      </w:r>
      <w:r w:rsidRPr="005C2213">
        <w:rPr>
          <w:i/>
          <w:iCs/>
          <w:sz w:val="17"/>
          <w:szCs w:val="17"/>
        </w:rPr>
        <w:t>Abréviations</w:t>
      </w:r>
      <w:r w:rsidR="0034529D" w:rsidRPr="005C2213">
        <w:rPr>
          <w:i/>
          <w:iCs/>
          <w:sz w:val="17"/>
          <w:szCs w:val="17"/>
        </w:rPr>
        <w:t> </w:t>
      </w:r>
      <w:r w:rsidRPr="005C2213">
        <w:rPr>
          <w:sz w:val="17"/>
          <w:szCs w:val="17"/>
        </w:rPr>
        <w:t xml:space="preserve">: HCFC – </w:t>
      </w:r>
      <w:proofErr w:type="spellStart"/>
      <w:r w:rsidRPr="005C2213">
        <w:rPr>
          <w:sz w:val="17"/>
          <w:szCs w:val="17"/>
        </w:rPr>
        <w:t>hydrochlorofluorocarbones</w:t>
      </w:r>
      <w:proofErr w:type="spellEnd"/>
      <w:r w:rsidR="003567A0" w:rsidRPr="005C2213">
        <w:rPr>
          <w:sz w:val="17"/>
          <w:szCs w:val="17"/>
        </w:rPr>
        <w:t> </w:t>
      </w:r>
      <w:r w:rsidRPr="005C2213">
        <w:rPr>
          <w:sz w:val="17"/>
          <w:szCs w:val="17"/>
        </w:rPr>
        <w:t xml:space="preserve">; HFC – </w:t>
      </w:r>
      <w:proofErr w:type="spellStart"/>
      <w:r w:rsidRPr="005C2213">
        <w:rPr>
          <w:sz w:val="17"/>
          <w:szCs w:val="17"/>
        </w:rPr>
        <w:t>hydrofluorocarbones</w:t>
      </w:r>
      <w:proofErr w:type="spellEnd"/>
      <w:r w:rsidRPr="005C2213">
        <w:rPr>
          <w:sz w:val="17"/>
          <w:szCs w:val="17"/>
        </w:rPr>
        <w:t>.</w:t>
      </w:r>
    </w:p>
    <w:p w14:paraId="4D54EB7F" w14:textId="4EEB56A6" w:rsidR="00BD7C4D" w:rsidRPr="005C2213" w:rsidRDefault="00BD7C4D" w:rsidP="00BD7C4D">
      <w:pPr>
        <w:pStyle w:val="Normal-pool"/>
        <w:tabs>
          <w:tab w:val="left" w:pos="4082"/>
        </w:tabs>
        <w:spacing w:before="40"/>
        <w:ind w:left="1247"/>
        <w:rPr>
          <w:sz w:val="17"/>
          <w:szCs w:val="17"/>
        </w:rPr>
      </w:pPr>
      <w:r w:rsidRPr="00387B9A">
        <w:rPr>
          <w:sz w:val="18"/>
          <w:szCs w:val="18"/>
        </w:rPr>
        <w:tab/>
      </w:r>
      <w:proofErr w:type="gramStart"/>
      <w:r w:rsidRPr="005C2213">
        <w:rPr>
          <w:sz w:val="17"/>
          <w:szCs w:val="17"/>
          <w:vertAlign w:val="superscript"/>
        </w:rPr>
        <w:t>a</w:t>
      </w:r>
      <w:proofErr w:type="gramEnd"/>
      <w:r w:rsidRPr="005C2213">
        <w:rPr>
          <w:sz w:val="17"/>
          <w:szCs w:val="17"/>
          <w:vertAlign w:val="superscript"/>
        </w:rPr>
        <w:t xml:space="preserve"> </w:t>
      </w:r>
      <w:r w:rsidRPr="005C2213">
        <w:rPr>
          <w:sz w:val="17"/>
          <w:szCs w:val="17"/>
        </w:rPr>
        <w:t>La fourchette basse est calculée sur la base des scénarios suivants</w:t>
      </w:r>
      <w:r w:rsidR="00875DC7" w:rsidRPr="005C2213">
        <w:rPr>
          <w:sz w:val="17"/>
          <w:szCs w:val="17"/>
        </w:rPr>
        <w:t> </w:t>
      </w:r>
      <w:r w:rsidRPr="005C2213">
        <w:rPr>
          <w:sz w:val="17"/>
          <w:szCs w:val="17"/>
        </w:rPr>
        <w:t>:</w:t>
      </w:r>
    </w:p>
    <w:p w14:paraId="4DDB5535" w14:textId="115321E2" w:rsidR="00BD7C4D" w:rsidRPr="005C2213" w:rsidRDefault="00BD7C4D">
      <w:pPr>
        <w:pStyle w:val="Normal-pool"/>
        <w:numPr>
          <w:ilvl w:val="0"/>
          <w:numId w:val="21"/>
        </w:numPr>
        <w:tabs>
          <w:tab w:val="clear" w:pos="1247"/>
          <w:tab w:val="clear" w:pos="1871"/>
          <w:tab w:val="clear" w:pos="2495"/>
          <w:tab w:val="clear" w:pos="3119"/>
          <w:tab w:val="clear" w:pos="3742"/>
          <w:tab w:val="clear" w:pos="4366"/>
        </w:tabs>
        <w:spacing w:before="40"/>
        <w:ind w:left="1871" w:firstLine="624"/>
        <w:rPr>
          <w:sz w:val="17"/>
          <w:szCs w:val="17"/>
        </w:rPr>
      </w:pPr>
      <w:r w:rsidRPr="005C2213">
        <w:rPr>
          <w:sz w:val="17"/>
          <w:szCs w:val="17"/>
        </w:rPr>
        <w:t>Scénario</w:t>
      </w:r>
      <w:r w:rsidR="00F37ADC" w:rsidRPr="005C2213">
        <w:rPr>
          <w:sz w:val="17"/>
          <w:szCs w:val="17"/>
        </w:rPr>
        <w:t> </w:t>
      </w:r>
      <w:r w:rsidR="00DA4313" w:rsidRPr="005C2213">
        <w:rPr>
          <w:sz w:val="17"/>
          <w:szCs w:val="17"/>
        </w:rPr>
        <w:t xml:space="preserve">1 pour les </w:t>
      </w:r>
      <w:r w:rsidRPr="005C2213">
        <w:rPr>
          <w:sz w:val="17"/>
          <w:szCs w:val="17"/>
        </w:rPr>
        <w:t xml:space="preserve">HCFC (seuils historiques de </w:t>
      </w:r>
      <w:r w:rsidR="00DD64CF" w:rsidRPr="005C2213">
        <w:rPr>
          <w:sz w:val="17"/>
          <w:szCs w:val="17"/>
        </w:rPr>
        <w:t>coût-efficacité </w:t>
      </w:r>
      <w:r w:rsidRPr="005C2213">
        <w:rPr>
          <w:sz w:val="17"/>
          <w:szCs w:val="17"/>
        </w:rPr>
        <w:t>dans les secteurs manufacturiers), avec 90</w:t>
      </w:r>
      <w:r w:rsidR="0081731E" w:rsidRPr="005C2213">
        <w:rPr>
          <w:sz w:val="17"/>
          <w:szCs w:val="17"/>
        </w:rPr>
        <w:t> </w:t>
      </w:r>
      <w:r w:rsidRPr="005C2213">
        <w:rPr>
          <w:sz w:val="17"/>
          <w:szCs w:val="17"/>
        </w:rPr>
        <w:t>% des fonds alloués au cours de la période triennale 2027-2029 et 10</w:t>
      </w:r>
      <w:r w:rsidR="0081731E" w:rsidRPr="005C2213">
        <w:rPr>
          <w:sz w:val="17"/>
          <w:szCs w:val="17"/>
        </w:rPr>
        <w:t> </w:t>
      </w:r>
      <w:r w:rsidRPr="005C2213">
        <w:rPr>
          <w:sz w:val="17"/>
          <w:szCs w:val="17"/>
        </w:rPr>
        <w:t>% au cours de la période triennale 2030-2032</w:t>
      </w:r>
      <w:r w:rsidR="003567A0" w:rsidRPr="005C2213">
        <w:rPr>
          <w:sz w:val="17"/>
          <w:szCs w:val="17"/>
        </w:rPr>
        <w:t> </w:t>
      </w:r>
      <w:r w:rsidRPr="005C2213">
        <w:rPr>
          <w:sz w:val="17"/>
          <w:szCs w:val="17"/>
        </w:rPr>
        <w:t xml:space="preserve">; </w:t>
      </w:r>
    </w:p>
    <w:p w14:paraId="7260A592" w14:textId="2E212F19" w:rsidR="00BD7C4D" w:rsidRPr="005C2213" w:rsidRDefault="009E7824">
      <w:pPr>
        <w:pStyle w:val="Normal-pool"/>
        <w:numPr>
          <w:ilvl w:val="0"/>
          <w:numId w:val="21"/>
        </w:numPr>
        <w:tabs>
          <w:tab w:val="clear" w:pos="1247"/>
          <w:tab w:val="clear" w:pos="1871"/>
          <w:tab w:val="clear" w:pos="2495"/>
          <w:tab w:val="clear" w:pos="3119"/>
          <w:tab w:val="clear" w:pos="3742"/>
          <w:tab w:val="clear" w:pos="4366"/>
        </w:tabs>
        <w:spacing w:before="40"/>
        <w:ind w:left="1871" w:firstLine="624"/>
        <w:rPr>
          <w:sz w:val="17"/>
          <w:szCs w:val="17"/>
        </w:rPr>
      </w:pPr>
      <w:r>
        <w:rPr>
          <w:sz w:val="17"/>
          <w:szCs w:val="17"/>
        </w:rPr>
        <w:t>Pour les HFC, la fourchette des coûts totaux est estimée en fonction de deux scénarios : s</w:t>
      </w:r>
      <w:r w:rsidR="00BD7C4D" w:rsidRPr="005C2213">
        <w:rPr>
          <w:sz w:val="17"/>
          <w:szCs w:val="17"/>
        </w:rPr>
        <w:t>cénario</w:t>
      </w:r>
      <w:r w:rsidR="00F37ADC" w:rsidRPr="005C2213">
        <w:rPr>
          <w:sz w:val="17"/>
          <w:szCs w:val="17"/>
        </w:rPr>
        <w:t> </w:t>
      </w:r>
      <w:r w:rsidR="00DA4313" w:rsidRPr="005C2213">
        <w:rPr>
          <w:sz w:val="17"/>
          <w:szCs w:val="17"/>
        </w:rPr>
        <w:t>1 pour les</w:t>
      </w:r>
      <w:r w:rsidR="00BD7C4D" w:rsidRPr="005C2213">
        <w:rPr>
          <w:sz w:val="17"/>
          <w:szCs w:val="17"/>
        </w:rPr>
        <w:t xml:space="preserve"> HFC (</w:t>
      </w:r>
      <w:r w:rsidR="00F21F9E" w:rsidRPr="005C2213">
        <w:rPr>
          <w:sz w:val="17"/>
          <w:szCs w:val="17"/>
        </w:rPr>
        <w:t>lignes directrices</w:t>
      </w:r>
      <w:r w:rsidR="00BD7C4D" w:rsidRPr="005C2213">
        <w:rPr>
          <w:sz w:val="17"/>
          <w:szCs w:val="17"/>
        </w:rPr>
        <w:t xml:space="preserve"> en matière de coûts ou seuils de </w:t>
      </w:r>
      <w:r w:rsidR="00F21F9E" w:rsidRPr="005C2213">
        <w:rPr>
          <w:sz w:val="17"/>
          <w:szCs w:val="17"/>
        </w:rPr>
        <w:t>coût</w:t>
      </w:r>
      <w:r w:rsidR="001B6AB5">
        <w:rPr>
          <w:sz w:val="17"/>
          <w:szCs w:val="17"/>
        </w:rPr>
        <w:noBreakHyphen/>
      </w:r>
      <w:r w:rsidR="00F21F9E" w:rsidRPr="005C2213">
        <w:rPr>
          <w:sz w:val="17"/>
          <w:szCs w:val="17"/>
        </w:rPr>
        <w:t>efficacité </w:t>
      </w:r>
      <w:r w:rsidR="00BD7C4D" w:rsidRPr="005C2213">
        <w:rPr>
          <w:sz w:val="17"/>
          <w:szCs w:val="17"/>
        </w:rPr>
        <w:t xml:space="preserve">établis par des expert(e)s sans tenir compte des petites et moyennes entreprises) </w:t>
      </w:r>
      <w:r>
        <w:rPr>
          <w:sz w:val="17"/>
          <w:szCs w:val="17"/>
        </w:rPr>
        <w:t>et s</w:t>
      </w:r>
      <w:r w:rsidRPr="005C2213">
        <w:rPr>
          <w:sz w:val="17"/>
          <w:szCs w:val="17"/>
        </w:rPr>
        <w:t>cénario 2 pour les HFC (directives en matière de coûts ou seuils de coût-efficacité établis par des expert(e)s en tenant compte des petites et moyennes entreprises)</w:t>
      </w:r>
      <w:r>
        <w:rPr>
          <w:sz w:val="17"/>
          <w:szCs w:val="17"/>
        </w:rPr>
        <w:t>,</w:t>
      </w:r>
      <w:r w:rsidRPr="005C2213">
        <w:rPr>
          <w:sz w:val="17"/>
          <w:szCs w:val="17"/>
        </w:rPr>
        <w:t xml:space="preserve"> </w:t>
      </w:r>
      <w:r w:rsidR="00BD7C4D" w:rsidRPr="005C2213">
        <w:rPr>
          <w:sz w:val="17"/>
          <w:szCs w:val="17"/>
        </w:rPr>
        <w:t>avec le calendrier</w:t>
      </w:r>
      <w:r w:rsidR="00F37ADC" w:rsidRPr="005C2213">
        <w:rPr>
          <w:sz w:val="17"/>
          <w:szCs w:val="17"/>
        </w:rPr>
        <w:t> </w:t>
      </w:r>
      <w:r w:rsidR="00F21F9E" w:rsidRPr="005C2213">
        <w:rPr>
          <w:sz w:val="17"/>
          <w:szCs w:val="17"/>
        </w:rPr>
        <w:t>B pour l</w:t>
      </w:r>
      <w:r w:rsidR="007175B8" w:rsidRPr="005C2213">
        <w:rPr>
          <w:sz w:val="17"/>
          <w:szCs w:val="17"/>
        </w:rPr>
        <w:t>’</w:t>
      </w:r>
      <w:r w:rsidR="00BD7C4D" w:rsidRPr="005C2213">
        <w:rPr>
          <w:sz w:val="17"/>
          <w:szCs w:val="17"/>
        </w:rPr>
        <w:t xml:space="preserve">allocation des ressources (approche </w:t>
      </w:r>
      <w:r w:rsidR="00F21F9E" w:rsidRPr="005C2213">
        <w:rPr>
          <w:sz w:val="17"/>
          <w:szCs w:val="17"/>
        </w:rPr>
        <w:t xml:space="preserve">progressive </w:t>
      </w:r>
      <w:r w:rsidR="00BD7C4D" w:rsidRPr="005C2213">
        <w:rPr>
          <w:sz w:val="17"/>
          <w:szCs w:val="17"/>
        </w:rPr>
        <w:t>d</w:t>
      </w:r>
      <w:r w:rsidR="00F21F9E" w:rsidRPr="005C2213">
        <w:rPr>
          <w:sz w:val="17"/>
          <w:szCs w:val="17"/>
        </w:rPr>
        <w:t>u</w:t>
      </w:r>
      <w:r w:rsidR="00BD7C4D" w:rsidRPr="005C2213">
        <w:rPr>
          <w:sz w:val="17"/>
          <w:szCs w:val="17"/>
        </w:rPr>
        <w:t xml:space="preserve"> financement).</w:t>
      </w:r>
    </w:p>
    <w:p w14:paraId="00BCD1A5" w14:textId="1976FE4F" w:rsidR="00BD7C4D" w:rsidRPr="005C2213" w:rsidRDefault="00BD7C4D" w:rsidP="00BD7C4D">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40"/>
        <w:ind w:left="1247"/>
        <w:rPr>
          <w:sz w:val="17"/>
          <w:szCs w:val="17"/>
        </w:rPr>
      </w:pPr>
      <w:r w:rsidRPr="005C2213">
        <w:rPr>
          <w:sz w:val="17"/>
          <w:szCs w:val="17"/>
        </w:rPr>
        <w:tab/>
      </w:r>
      <w:proofErr w:type="gramStart"/>
      <w:r w:rsidRPr="005C2213">
        <w:rPr>
          <w:sz w:val="17"/>
          <w:szCs w:val="17"/>
          <w:vertAlign w:val="superscript"/>
        </w:rPr>
        <w:t>b</w:t>
      </w:r>
      <w:proofErr w:type="gramEnd"/>
      <w:r w:rsidRPr="005C2213">
        <w:rPr>
          <w:sz w:val="17"/>
          <w:szCs w:val="17"/>
          <w:vertAlign w:val="superscript"/>
        </w:rPr>
        <w:t xml:space="preserve"> </w:t>
      </w:r>
      <w:r w:rsidRPr="005C2213">
        <w:rPr>
          <w:sz w:val="17"/>
          <w:szCs w:val="17"/>
        </w:rPr>
        <w:t>La fourchette haute est calculée sur la base des scénarios suivants</w:t>
      </w:r>
      <w:r w:rsidR="00875DC7" w:rsidRPr="005C2213">
        <w:rPr>
          <w:sz w:val="17"/>
          <w:szCs w:val="17"/>
        </w:rPr>
        <w:t> </w:t>
      </w:r>
      <w:r w:rsidRPr="005C2213">
        <w:rPr>
          <w:sz w:val="17"/>
          <w:szCs w:val="17"/>
        </w:rPr>
        <w:t>:</w:t>
      </w:r>
    </w:p>
    <w:p w14:paraId="66C3674E" w14:textId="1057C5F4" w:rsidR="00BD7C4D" w:rsidRPr="005C2213" w:rsidRDefault="00BD7C4D">
      <w:pPr>
        <w:pStyle w:val="Normal-pool"/>
        <w:numPr>
          <w:ilvl w:val="0"/>
          <w:numId w:val="20"/>
        </w:numPr>
        <w:tabs>
          <w:tab w:val="clear" w:pos="1247"/>
          <w:tab w:val="clear" w:pos="1871"/>
          <w:tab w:val="clear" w:pos="2495"/>
          <w:tab w:val="clear" w:pos="3119"/>
          <w:tab w:val="clear" w:pos="3742"/>
          <w:tab w:val="clear" w:pos="4366"/>
        </w:tabs>
        <w:spacing w:before="40"/>
        <w:ind w:left="1871" w:firstLine="624"/>
        <w:rPr>
          <w:sz w:val="17"/>
          <w:szCs w:val="17"/>
        </w:rPr>
      </w:pPr>
      <w:r w:rsidRPr="005C2213">
        <w:rPr>
          <w:sz w:val="17"/>
          <w:szCs w:val="17"/>
        </w:rPr>
        <w:t>Scénario</w:t>
      </w:r>
      <w:r w:rsidR="00F37ADC" w:rsidRPr="005C2213">
        <w:rPr>
          <w:sz w:val="17"/>
          <w:szCs w:val="17"/>
        </w:rPr>
        <w:t> </w:t>
      </w:r>
      <w:r w:rsidR="00DA4313" w:rsidRPr="005C2213">
        <w:rPr>
          <w:sz w:val="17"/>
          <w:szCs w:val="17"/>
        </w:rPr>
        <w:t xml:space="preserve">2 pour les </w:t>
      </w:r>
      <w:r w:rsidRPr="005C2213">
        <w:rPr>
          <w:sz w:val="17"/>
          <w:szCs w:val="17"/>
        </w:rPr>
        <w:t xml:space="preserve">HCFC (seuils de </w:t>
      </w:r>
      <w:r w:rsidR="00F21F9E" w:rsidRPr="005C2213">
        <w:rPr>
          <w:sz w:val="17"/>
          <w:szCs w:val="17"/>
        </w:rPr>
        <w:t>coût-efficacité </w:t>
      </w:r>
      <w:r w:rsidRPr="005C2213">
        <w:rPr>
          <w:sz w:val="17"/>
          <w:szCs w:val="17"/>
        </w:rPr>
        <w:t>appliqués aux secteurs manufacturiers, selon les lignes directrices relatives aux coûts), avec 90</w:t>
      </w:r>
      <w:r w:rsidR="0081731E" w:rsidRPr="005C2213">
        <w:rPr>
          <w:sz w:val="17"/>
          <w:szCs w:val="17"/>
        </w:rPr>
        <w:t> </w:t>
      </w:r>
      <w:r w:rsidRPr="005C2213">
        <w:rPr>
          <w:sz w:val="17"/>
          <w:szCs w:val="17"/>
        </w:rPr>
        <w:t>% des fonds alloués au cours de la période triennale 2027-2029 et 10</w:t>
      </w:r>
      <w:r w:rsidR="0081731E" w:rsidRPr="005C2213">
        <w:rPr>
          <w:sz w:val="17"/>
          <w:szCs w:val="17"/>
        </w:rPr>
        <w:t> </w:t>
      </w:r>
      <w:r w:rsidRPr="005C2213">
        <w:rPr>
          <w:sz w:val="17"/>
          <w:szCs w:val="17"/>
        </w:rPr>
        <w:t>% au cours de la période triennale 2030-2032</w:t>
      </w:r>
      <w:r w:rsidR="003567A0" w:rsidRPr="005C2213">
        <w:rPr>
          <w:sz w:val="17"/>
          <w:szCs w:val="17"/>
        </w:rPr>
        <w:t> </w:t>
      </w:r>
      <w:r w:rsidRPr="005C2213">
        <w:rPr>
          <w:sz w:val="17"/>
          <w:szCs w:val="17"/>
        </w:rPr>
        <w:t>;</w:t>
      </w:r>
    </w:p>
    <w:p w14:paraId="715EF64C" w14:textId="3CF50F38" w:rsidR="00BD7C4D" w:rsidRPr="005C2213" w:rsidRDefault="009E7824">
      <w:pPr>
        <w:pStyle w:val="Normal-pool"/>
        <w:numPr>
          <w:ilvl w:val="0"/>
          <w:numId w:val="20"/>
        </w:numPr>
        <w:tabs>
          <w:tab w:val="clear" w:pos="1247"/>
          <w:tab w:val="clear" w:pos="1871"/>
          <w:tab w:val="clear" w:pos="2495"/>
          <w:tab w:val="clear" w:pos="3119"/>
          <w:tab w:val="clear" w:pos="3742"/>
          <w:tab w:val="clear" w:pos="4366"/>
        </w:tabs>
        <w:spacing w:before="40" w:after="160"/>
        <w:ind w:left="1871" w:firstLine="624"/>
        <w:rPr>
          <w:sz w:val="17"/>
          <w:szCs w:val="17"/>
        </w:rPr>
      </w:pPr>
      <w:r>
        <w:rPr>
          <w:sz w:val="17"/>
          <w:szCs w:val="17"/>
        </w:rPr>
        <w:t>Pour les HFC, la fourchette des coûts totaux est estimée en fonction de deux scénarios : s</w:t>
      </w:r>
      <w:r w:rsidRPr="005C2213">
        <w:rPr>
          <w:sz w:val="17"/>
          <w:szCs w:val="17"/>
        </w:rPr>
        <w:t xml:space="preserve">cénario 1 pour les </w:t>
      </w:r>
      <w:r>
        <w:rPr>
          <w:sz w:val="17"/>
          <w:szCs w:val="17"/>
        </w:rPr>
        <w:t>HFC et s</w:t>
      </w:r>
      <w:r w:rsidR="00BD7C4D" w:rsidRPr="005C2213">
        <w:rPr>
          <w:sz w:val="17"/>
          <w:szCs w:val="17"/>
        </w:rPr>
        <w:t>cénario</w:t>
      </w:r>
      <w:r w:rsidR="00F37ADC" w:rsidRPr="005C2213">
        <w:rPr>
          <w:sz w:val="17"/>
          <w:szCs w:val="17"/>
        </w:rPr>
        <w:t> </w:t>
      </w:r>
      <w:r w:rsidR="00DA4313" w:rsidRPr="005C2213">
        <w:rPr>
          <w:sz w:val="17"/>
          <w:szCs w:val="17"/>
        </w:rPr>
        <w:t xml:space="preserve">2 pour les </w:t>
      </w:r>
      <w:r w:rsidR="00BD7C4D" w:rsidRPr="005C2213">
        <w:rPr>
          <w:sz w:val="17"/>
          <w:szCs w:val="17"/>
        </w:rPr>
        <w:t>HFC</w:t>
      </w:r>
      <w:r>
        <w:rPr>
          <w:sz w:val="17"/>
          <w:szCs w:val="17"/>
        </w:rPr>
        <w:t>,</w:t>
      </w:r>
      <w:r w:rsidR="00BD7C4D" w:rsidRPr="005C2213">
        <w:rPr>
          <w:sz w:val="17"/>
          <w:szCs w:val="17"/>
        </w:rPr>
        <w:t xml:space="preserve"> avec le calendrier</w:t>
      </w:r>
      <w:r w:rsidR="00A421CB">
        <w:rPr>
          <w:sz w:val="17"/>
          <w:szCs w:val="17"/>
        </w:rPr>
        <w:t> </w:t>
      </w:r>
      <w:r w:rsidR="00F21F9E" w:rsidRPr="005C2213">
        <w:rPr>
          <w:sz w:val="17"/>
          <w:szCs w:val="17"/>
        </w:rPr>
        <w:t>A pour l</w:t>
      </w:r>
      <w:r w:rsidR="007175B8" w:rsidRPr="005C2213">
        <w:rPr>
          <w:sz w:val="17"/>
          <w:szCs w:val="17"/>
        </w:rPr>
        <w:t>’</w:t>
      </w:r>
      <w:r w:rsidR="00BD7C4D" w:rsidRPr="005C2213">
        <w:rPr>
          <w:sz w:val="17"/>
          <w:szCs w:val="17"/>
        </w:rPr>
        <w:t>allocation des ressources (approche de financement concentré en début de période).</w:t>
      </w:r>
    </w:p>
    <w:p w14:paraId="631BBA8B" w14:textId="303A5AB9" w:rsidR="00BD7C4D" w:rsidRPr="003F17DD" w:rsidRDefault="00BD7C4D" w:rsidP="00BD7C4D">
      <w:pPr>
        <w:pStyle w:val="Normalnumber"/>
        <w:tabs>
          <w:tab w:val="clear" w:pos="1247"/>
          <w:tab w:val="clear" w:pos="1814"/>
          <w:tab w:val="clear" w:pos="2381"/>
          <w:tab w:val="clear" w:pos="2948"/>
          <w:tab w:val="clear" w:pos="3515"/>
        </w:tabs>
        <w:spacing w:after="160"/>
      </w:pPr>
      <w:r w:rsidRPr="003F17DD">
        <w:t>Conformément à son mandat, l</w:t>
      </w:r>
      <w:r w:rsidR="007175B8">
        <w:t>’</w:t>
      </w:r>
      <w:r w:rsidRPr="003F17DD">
        <w:t>équipe spéciale fournit également des fourchettes indicatives des besoins de financement pour les deux triennats suivants, à savoir 2030-2032 et 2033-2035, comme l</w:t>
      </w:r>
      <w:r w:rsidR="007175B8">
        <w:t>’</w:t>
      </w:r>
      <w:r w:rsidRPr="003F17DD">
        <w:t>indique le tableau</w:t>
      </w:r>
      <w:r w:rsidR="00F37ADC">
        <w:t> </w:t>
      </w:r>
      <w:r w:rsidRPr="003F17DD">
        <w:t xml:space="preserve">2. </w:t>
      </w:r>
    </w:p>
    <w:p w14:paraId="063829CC" w14:textId="5B0854A0" w:rsidR="00BD7C4D" w:rsidRPr="003F17DD" w:rsidRDefault="00BD7C4D" w:rsidP="00530701">
      <w:pPr>
        <w:pStyle w:val="Titletable"/>
        <w:spacing w:before="240"/>
      </w:pPr>
      <w:r w:rsidRPr="003F17DD">
        <w:rPr>
          <w:b w:val="0"/>
          <w:bCs w:val="0"/>
        </w:rPr>
        <w:lastRenderedPageBreak/>
        <w:t>Tableau</w:t>
      </w:r>
      <w:r w:rsidR="00813595">
        <w:rPr>
          <w:b w:val="0"/>
          <w:bCs w:val="0"/>
        </w:rPr>
        <w:t> </w:t>
      </w:r>
      <w:r w:rsidRPr="003F17DD">
        <w:rPr>
          <w:b w:val="0"/>
          <w:bCs w:val="0"/>
        </w:rPr>
        <w:t>2</w:t>
      </w:r>
      <w:r w:rsidR="0092207D">
        <w:rPr>
          <w:b w:val="0"/>
          <w:bCs w:val="0"/>
        </w:rPr>
        <w:br/>
      </w:r>
      <w:r w:rsidRPr="003F17DD">
        <w:t>Besoins financiers indicatifs pour la reconstitution du Fonds multilatéral pour les triennats 2030–2032 et 2033</w:t>
      </w:r>
      <w:r w:rsidR="00813595">
        <w:t>-</w:t>
      </w:r>
      <w:r w:rsidRPr="003F17DD">
        <w:t>2035, fourchette basse et fourchette haute</w:t>
      </w:r>
    </w:p>
    <w:p w14:paraId="33A820FF" w14:textId="77777777" w:rsidR="00BD7C4D" w:rsidRPr="002F038B" w:rsidRDefault="00BD7C4D" w:rsidP="00530701">
      <w:pPr>
        <w:pStyle w:val="Titletable"/>
        <w:rPr>
          <w:b w:val="0"/>
          <w:bCs w:val="0"/>
          <w:sz w:val="18"/>
          <w:szCs w:val="18"/>
        </w:rPr>
      </w:pPr>
      <w:r w:rsidRPr="002F038B">
        <w:rPr>
          <w:b w:val="0"/>
          <w:bCs w:val="0"/>
          <w:sz w:val="18"/>
          <w:szCs w:val="18"/>
        </w:rPr>
        <w:t>(En millions de dollars des États-Unis)</w:t>
      </w:r>
    </w:p>
    <w:tbl>
      <w:tblPr>
        <w:tblW w:w="8264" w:type="dxa"/>
        <w:tblInd w:w="1250" w:type="dxa"/>
        <w:tblLayout w:type="fixed"/>
        <w:tblLook w:val="04A0" w:firstRow="1" w:lastRow="0" w:firstColumn="1" w:lastColumn="0" w:noHBand="0" w:noVBand="1"/>
      </w:tblPr>
      <w:tblGrid>
        <w:gridCol w:w="4654"/>
        <w:gridCol w:w="1805"/>
        <w:gridCol w:w="1805"/>
      </w:tblGrid>
      <w:tr w:rsidR="00BD7C4D" w:rsidRPr="003F17DD" w14:paraId="5315BDED" w14:textId="77777777" w:rsidTr="00400E5C">
        <w:trPr>
          <w:trHeight w:val="65"/>
        </w:trPr>
        <w:tc>
          <w:tcPr>
            <w:tcW w:w="2816" w:type="pct"/>
            <w:tcBorders>
              <w:top w:val="single" w:sz="4" w:space="0" w:color="auto"/>
              <w:bottom w:val="single" w:sz="12" w:space="0" w:color="auto"/>
            </w:tcBorders>
            <w:noWrap/>
            <w:vAlign w:val="bottom"/>
          </w:tcPr>
          <w:p w14:paraId="54069EB8" w14:textId="77777777" w:rsidR="00BD7C4D" w:rsidRPr="003F17DD" w:rsidRDefault="00BD7C4D" w:rsidP="00530701">
            <w:pPr>
              <w:pStyle w:val="Normal-pool-Table"/>
              <w:keepNext/>
              <w:keepLines/>
              <w:spacing w:before="20" w:after="20"/>
              <w:rPr>
                <w:b/>
                <w:bCs/>
              </w:rPr>
            </w:pPr>
            <w:r w:rsidRPr="003F17DD">
              <w:rPr>
                <w:i/>
                <w:iCs/>
                <w:color w:val="000000"/>
              </w:rPr>
              <w:t>Triennat</w:t>
            </w:r>
          </w:p>
        </w:tc>
        <w:tc>
          <w:tcPr>
            <w:tcW w:w="1092" w:type="pct"/>
            <w:tcBorders>
              <w:top w:val="single" w:sz="4" w:space="0" w:color="auto"/>
              <w:bottom w:val="single" w:sz="12" w:space="0" w:color="auto"/>
            </w:tcBorders>
            <w:noWrap/>
            <w:vAlign w:val="bottom"/>
          </w:tcPr>
          <w:p w14:paraId="1D03C8A5" w14:textId="77777777" w:rsidR="00BD7C4D" w:rsidRPr="003F17DD" w:rsidRDefault="00BD7C4D" w:rsidP="00530701">
            <w:pPr>
              <w:pStyle w:val="Normal-pool-Table"/>
              <w:keepNext/>
              <w:keepLines/>
              <w:spacing w:before="20" w:after="20"/>
              <w:jc w:val="right"/>
              <w:rPr>
                <w:b/>
              </w:rPr>
            </w:pPr>
            <w:r w:rsidRPr="003F17DD">
              <w:rPr>
                <w:i/>
                <w:iCs/>
                <w:color w:val="000000"/>
              </w:rPr>
              <w:t xml:space="preserve">Fourchette </w:t>
            </w:r>
            <w:proofErr w:type="spellStart"/>
            <w:r w:rsidRPr="003F17DD">
              <w:rPr>
                <w:i/>
                <w:iCs/>
                <w:color w:val="000000"/>
              </w:rPr>
              <w:t>basse</w:t>
            </w:r>
            <w:r w:rsidRPr="003F17DD">
              <w:rPr>
                <w:i/>
                <w:iCs/>
                <w:color w:val="000000"/>
                <w:vertAlign w:val="superscript"/>
              </w:rPr>
              <w:t>a</w:t>
            </w:r>
            <w:proofErr w:type="spellEnd"/>
          </w:p>
        </w:tc>
        <w:tc>
          <w:tcPr>
            <w:tcW w:w="1092" w:type="pct"/>
            <w:tcBorders>
              <w:top w:val="single" w:sz="4" w:space="0" w:color="auto"/>
              <w:bottom w:val="single" w:sz="12" w:space="0" w:color="auto"/>
            </w:tcBorders>
            <w:noWrap/>
            <w:vAlign w:val="bottom"/>
          </w:tcPr>
          <w:p w14:paraId="35352694" w14:textId="77777777" w:rsidR="00BD7C4D" w:rsidRPr="003F17DD" w:rsidRDefault="00BD7C4D" w:rsidP="00530701">
            <w:pPr>
              <w:pStyle w:val="Normal-pool-Table"/>
              <w:keepNext/>
              <w:keepLines/>
              <w:spacing w:before="20" w:after="20"/>
              <w:jc w:val="right"/>
              <w:rPr>
                <w:b/>
              </w:rPr>
            </w:pPr>
            <w:r w:rsidRPr="003F17DD">
              <w:rPr>
                <w:i/>
                <w:iCs/>
                <w:color w:val="000000"/>
              </w:rPr>
              <w:t xml:space="preserve">Fourchette </w:t>
            </w:r>
            <w:proofErr w:type="spellStart"/>
            <w:r w:rsidRPr="003F17DD">
              <w:rPr>
                <w:i/>
                <w:iCs/>
                <w:color w:val="000000"/>
              </w:rPr>
              <w:t>haute</w:t>
            </w:r>
            <w:r w:rsidRPr="003F17DD">
              <w:rPr>
                <w:i/>
                <w:iCs/>
                <w:color w:val="000000"/>
                <w:vertAlign w:val="superscript"/>
              </w:rPr>
              <w:t>b</w:t>
            </w:r>
            <w:proofErr w:type="spellEnd"/>
          </w:p>
        </w:tc>
      </w:tr>
      <w:tr w:rsidR="00BD7C4D" w:rsidRPr="003F17DD" w14:paraId="186F36A4" w14:textId="77777777" w:rsidTr="00400E5C">
        <w:trPr>
          <w:trHeight w:val="65"/>
        </w:trPr>
        <w:tc>
          <w:tcPr>
            <w:tcW w:w="2816" w:type="pct"/>
            <w:tcBorders>
              <w:top w:val="single" w:sz="12" w:space="0" w:color="auto"/>
            </w:tcBorders>
            <w:noWrap/>
            <w:hideMark/>
          </w:tcPr>
          <w:p w14:paraId="042415DA" w14:textId="77777777" w:rsidR="00BD7C4D" w:rsidRPr="003F17DD" w:rsidRDefault="00BD7C4D" w:rsidP="00530701">
            <w:pPr>
              <w:pStyle w:val="Normal-pool-Table"/>
              <w:keepNext/>
              <w:keepLines/>
              <w:spacing w:before="20" w:after="20"/>
              <w:rPr>
                <w:b/>
                <w:bCs/>
              </w:rPr>
            </w:pPr>
            <w:r w:rsidRPr="003F17DD">
              <w:rPr>
                <w:b/>
                <w:bCs/>
                <w:color w:val="000000"/>
              </w:rPr>
              <w:t>2030-2032</w:t>
            </w:r>
          </w:p>
        </w:tc>
        <w:tc>
          <w:tcPr>
            <w:tcW w:w="1092" w:type="pct"/>
            <w:tcBorders>
              <w:top w:val="single" w:sz="12" w:space="0" w:color="auto"/>
            </w:tcBorders>
            <w:noWrap/>
          </w:tcPr>
          <w:p w14:paraId="7766FD1F" w14:textId="77777777" w:rsidR="00BD7C4D" w:rsidRPr="003F17DD" w:rsidRDefault="00BD7C4D" w:rsidP="00530701">
            <w:pPr>
              <w:pStyle w:val="Normal-pool-Table"/>
              <w:keepNext/>
              <w:keepLines/>
              <w:spacing w:before="20" w:after="20"/>
              <w:jc w:val="right"/>
              <w:rPr>
                <w:b/>
              </w:rPr>
            </w:pPr>
          </w:p>
        </w:tc>
        <w:tc>
          <w:tcPr>
            <w:tcW w:w="1092" w:type="pct"/>
            <w:tcBorders>
              <w:top w:val="single" w:sz="12" w:space="0" w:color="auto"/>
            </w:tcBorders>
            <w:noWrap/>
          </w:tcPr>
          <w:p w14:paraId="45097F8E" w14:textId="77777777" w:rsidR="00BD7C4D" w:rsidRPr="003F17DD" w:rsidRDefault="00BD7C4D" w:rsidP="00530701">
            <w:pPr>
              <w:pStyle w:val="Normal-pool-Table"/>
              <w:keepNext/>
              <w:keepLines/>
              <w:spacing w:before="20" w:after="20"/>
              <w:jc w:val="right"/>
              <w:rPr>
                <w:b/>
              </w:rPr>
            </w:pPr>
          </w:p>
        </w:tc>
      </w:tr>
      <w:tr w:rsidR="00BD7C4D" w:rsidRPr="003F17DD" w14:paraId="103B1AAA" w14:textId="77777777" w:rsidTr="00400E5C">
        <w:trPr>
          <w:trHeight w:val="65"/>
        </w:trPr>
        <w:tc>
          <w:tcPr>
            <w:tcW w:w="2816" w:type="pct"/>
            <w:noWrap/>
          </w:tcPr>
          <w:p w14:paraId="7D8FF310" w14:textId="77777777" w:rsidR="00BD7C4D" w:rsidRPr="003F17DD" w:rsidRDefault="00BD7C4D" w:rsidP="00530701">
            <w:pPr>
              <w:pStyle w:val="Normal-pool-Table"/>
              <w:keepNext/>
              <w:keepLines/>
              <w:spacing w:before="20" w:after="20"/>
              <w:ind w:left="113"/>
            </w:pPr>
            <w:r w:rsidRPr="003F17DD">
              <w:rPr>
                <w:color w:val="000000"/>
              </w:rPr>
              <w:t>Activités liées aux HCFC</w:t>
            </w:r>
          </w:p>
        </w:tc>
        <w:tc>
          <w:tcPr>
            <w:tcW w:w="1092" w:type="pct"/>
            <w:noWrap/>
            <w:vAlign w:val="center"/>
          </w:tcPr>
          <w:p w14:paraId="166CA394" w14:textId="77777777" w:rsidR="00BD7C4D" w:rsidRPr="003F17DD" w:rsidRDefault="00BD7C4D" w:rsidP="00530701">
            <w:pPr>
              <w:pStyle w:val="Normal-pool-Table"/>
              <w:keepNext/>
              <w:keepLines/>
              <w:spacing w:before="20" w:after="20"/>
              <w:jc w:val="right"/>
              <w:rPr>
                <w:bCs/>
              </w:rPr>
            </w:pPr>
            <w:r w:rsidRPr="003F17DD">
              <w:rPr>
                <w:color w:val="000000"/>
              </w:rPr>
              <w:t>83</w:t>
            </w:r>
          </w:p>
        </w:tc>
        <w:tc>
          <w:tcPr>
            <w:tcW w:w="1092" w:type="pct"/>
            <w:noWrap/>
            <w:vAlign w:val="center"/>
          </w:tcPr>
          <w:p w14:paraId="60CC147E" w14:textId="77777777" w:rsidR="00BD7C4D" w:rsidRPr="003F17DD" w:rsidRDefault="00BD7C4D" w:rsidP="00530701">
            <w:pPr>
              <w:pStyle w:val="Normal-pool-Table"/>
              <w:keepNext/>
              <w:keepLines/>
              <w:spacing w:before="20" w:after="20"/>
              <w:ind w:left="9"/>
              <w:jc w:val="right"/>
              <w:rPr>
                <w:bCs/>
              </w:rPr>
            </w:pPr>
            <w:r w:rsidRPr="003F17DD">
              <w:rPr>
                <w:color w:val="000000"/>
              </w:rPr>
              <w:t>96</w:t>
            </w:r>
          </w:p>
        </w:tc>
      </w:tr>
      <w:tr w:rsidR="00BD7C4D" w:rsidRPr="003F17DD" w14:paraId="7046DD27" w14:textId="77777777" w:rsidTr="00400E5C">
        <w:trPr>
          <w:trHeight w:val="65"/>
        </w:trPr>
        <w:tc>
          <w:tcPr>
            <w:tcW w:w="2816" w:type="pct"/>
            <w:noWrap/>
          </w:tcPr>
          <w:p w14:paraId="467AAD05" w14:textId="77777777" w:rsidR="00BD7C4D" w:rsidRPr="003F17DD" w:rsidRDefault="00BD7C4D" w:rsidP="00530701">
            <w:pPr>
              <w:pStyle w:val="Normal-pool-Table"/>
              <w:keepNext/>
              <w:keepLines/>
              <w:spacing w:before="20" w:after="20"/>
              <w:ind w:left="113"/>
            </w:pPr>
            <w:r w:rsidRPr="003F17DD">
              <w:rPr>
                <w:color w:val="000000"/>
              </w:rPr>
              <w:t>Activités liées aux HFC</w:t>
            </w:r>
          </w:p>
        </w:tc>
        <w:tc>
          <w:tcPr>
            <w:tcW w:w="1092" w:type="pct"/>
            <w:noWrap/>
            <w:vAlign w:val="center"/>
          </w:tcPr>
          <w:p w14:paraId="6B4C7AAC" w14:textId="77777777" w:rsidR="00BD7C4D" w:rsidRPr="003F17DD" w:rsidRDefault="00BD7C4D" w:rsidP="00530701">
            <w:pPr>
              <w:pStyle w:val="Normal-pool-Table"/>
              <w:keepNext/>
              <w:keepLines/>
              <w:spacing w:before="20" w:after="20"/>
              <w:jc w:val="right"/>
              <w:rPr>
                <w:bCs/>
              </w:rPr>
            </w:pPr>
            <w:r w:rsidRPr="003F17DD">
              <w:rPr>
                <w:bCs/>
                <w:color w:val="000000"/>
              </w:rPr>
              <w:t>877–908</w:t>
            </w:r>
          </w:p>
        </w:tc>
        <w:tc>
          <w:tcPr>
            <w:tcW w:w="1092" w:type="pct"/>
            <w:noWrap/>
            <w:vAlign w:val="center"/>
          </w:tcPr>
          <w:p w14:paraId="700AFADD" w14:textId="602D41FE" w:rsidR="00BD7C4D" w:rsidRPr="003F17DD" w:rsidRDefault="00BD7C4D" w:rsidP="00530701">
            <w:pPr>
              <w:pStyle w:val="Normal-pool-Table"/>
              <w:keepNext/>
              <w:keepLines/>
              <w:spacing w:before="20" w:after="20"/>
              <w:ind w:left="9"/>
              <w:jc w:val="right"/>
              <w:rPr>
                <w:bCs/>
              </w:rPr>
            </w:pPr>
            <w:r w:rsidRPr="003F17DD">
              <w:rPr>
                <w:bCs/>
                <w:color w:val="000000"/>
              </w:rPr>
              <w:t>1</w:t>
            </w:r>
            <w:r w:rsidR="00813595">
              <w:rPr>
                <w:bCs/>
                <w:color w:val="000000"/>
              </w:rPr>
              <w:t> </w:t>
            </w:r>
            <w:r w:rsidRPr="003F17DD">
              <w:rPr>
                <w:bCs/>
                <w:color w:val="000000"/>
              </w:rPr>
              <w:t>050–1</w:t>
            </w:r>
            <w:r w:rsidR="00813595">
              <w:rPr>
                <w:bCs/>
                <w:color w:val="000000"/>
              </w:rPr>
              <w:t> </w:t>
            </w:r>
            <w:r w:rsidRPr="003F17DD">
              <w:rPr>
                <w:bCs/>
                <w:color w:val="000000"/>
              </w:rPr>
              <w:t>085</w:t>
            </w:r>
          </w:p>
        </w:tc>
      </w:tr>
      <w:tr w:rsidR="00BD7C4D" w:rsidRPr="003F17DD" w14:paraId="1E9A9CA5" w14:textId="77777777" w:rsidTr="00400E5C">
        <w:trPr>
          <w:trHeight w:val="65"/>
        </w:trPr>
        <w:tc>
          <w:tcPr>
            <w:tcW w:w="2816" w:type="pct"/>
            <w:tcBorders>
              <w:bottom w:val="single" w:sz="4" w:space="0" w:color="auto"/>
            </w:tcBorders>
            <w:noWrap/>
            <w:vAlign w:val="center"/>
          </w:tcPr>
          <w:p w14:paraId="699F1E85" w14:textId="77777777" w:rsidR="00BD7C4D" w:rsidRPr="003F17DD" w:rsidRDefault="00BD7C4D" w:rsidP="00530701">
            <w:pPr>
              <w:pStyle w:val="Normal-pool-Table"/>
              <w:keepNext/>
              <w:keepLines/>
              <w:spacing w:before="20" w:after="20"/>
              <w:ind w:left="113"/>
              <w:rPr>
                <w:b/>
              </w:rPr>
            </w:pPr>
            <w:r w:rsidRPr="003F17DD">
              <w:rPr>
                <w:color w:val="000000"/>
              </w:rPr>
              <w:t xml:space="preserve">Renforcement institutionnel et activités courantes </w:t>
            </w:r>
          </w:p>
        </w:tc>
        <w:tc>
          <w:tcPr>
            <w:tcW w:w="1092" w:type="pct"/>
            <w:tcBorders>
              <w:bottom w:val="single" w:sz="4" w:space="0" w:color="auto"/>
            </w:tcBorders>
            <w:noWrap/>
            <w:vAlign w:val="center"/>
          </w:tcPr>
          <w:p w14:paraId="1862D02D" w14:textId="77777777" w:rsidR="00BD7C4D" w:rsidRPr="003F17DD" w:rsidRDefault="00BD7C4D" w:rsidP="00530701">
            <w:pPr>
              <w:pStyle w:val="Normal-pool-Table"/>
              <w:keepNext/>
              <w:keepLines/>
              <w:spacing w:before="20" w:after="20"/>
              <w:jc w:val="right"/>
              <w:rPr>
                <w:bCs/>
              </w:rPr>
            </w:pPr>
            <w:r w:rsidRPr="003F17DD">
              <w:rPr>
                <w:color w:val="000000"/>
              </w:rPr>
              <w:t>137</w:t>
            </w:r>
          </w:p>
        </w:tc>
        <w:tc>
          <w:tcPr>
            <w:tcW w:w="1092" w:type="pct"/>
            <w:tcBorders>
              <w:bottom w:val="single" w:sz="4" w:space="0" w:color="auto"/>
            </w:tcBorders>
            <w:noWrap/>
            <w:vAlign w:val="center"/>
          </w:tcPr>
          <w:p w14:paraId="21D90B7E" w14:textId="77777777" w:rsidR="00BD7C4D" w:rsidRPr="003F17DD" w:rsidRDefault="00BD7C4D" w:rsidP="00530701">
            <w:pPr>
              <w:pStyle w:val="Normal-pool-Table"/>
              <w:keepNext/>
              <w:keepLines/>
              <w:spacing w:before="20" w:after="20"/>
              <w:ind w:left="9"/>
              <w:jc w:val="right"/>
              <w:rPr>
                <w:bCs/>
              </w:rPr>
            </w:pPr>
            <w:r w:rsidRPr="003F17DD">
              <w:rPr>
                <w:color w:val="000000"/>
              </w:rPr>
              <w:t>137</w:t>
            </w:r>
          </w:p>
        </w:tc>
      </w:tr>
      <w:tr w:rsidR="00BD7C4D" w:rsidRPr="003F17DD" w14:paraId="5C8B5046" w14:textId="77777777" w:rsidTr="00400E5C">
        <w:trPr>
          <w:trHeight w:val="65"/>
        </w:trPr>
        <w:tc>
          <w:tcPr>
            <w:tcW w:w="2816" w:type="pct"/>
            <w:tcBorders>
              <w:top w:val="single" w:sz="4" w:space="0" w:color="auto"/>
              <w:bottom w:val="single" w:sz="8" w:space="0" w:color="auto"/>
            </w:tcBorders>
            <w:noWrap/>
          </w:tcPr>
          <w:p w14:paraId="2C781E70" w14:textId="77777777" w:rsidR="00BD7C4D" w:rsidRPr="003F17DD" w:rsidRDefault="00BD7C4D" w:rsidP="00400E5C">
            <w:pPr>
              <w:pStyle w:val="Normal-pool-Table"/>
              <w:spacing w:before="20" w:after="20"/>
            </w:pPr>
            <w:r w:rsidRPr="003F17DD">
              <w:rPr>
                <w:b/>
                <w:bCs/>
                <w:color w:val="000000"/>
              </w:rPr>
              <w:t>Total</w:t>
            </w:r>
          </w:p>
        </w:tc>
        <w:tc>
          <w:tcPr>
            <w:tcW w:w="1092" w:type="pct"/>
            <w:tcBorders>
              <w:top w:val="single" w:sz="4" w:space="0" w:color="auto"/>
              <w:bottom w:val="single" w:sz="8" w:space="0" w:color="auto"/>
            </w:tcBorders>
            <w:noWrap/>
            <w:vAlign w:val="center"/>
          </w:tcPr>
          <w:p w14:paraId="173486E2" w14:textId="5EDE5DFA" w:rsidR="00BD7C4D" w:rsidRPr="003F17DD" w:rsidRDefault="00BD7C4D" w:rsidP="00400E5C">
            <w:pPr>
              <w:pStyle w:val="Normal-pool-Table"/>
              <w:spacing w:before="20" w:after="20"/>
              <w:jc w:val="right"/>
              <w:rPr>
                <w:b/>
                <w:bCs/>
              </w:rPr>
            </w:pPr>
            <w:r w:rsidRPr="003F17DD">
              <w:rPr>
                <w:b/>
                <w:bCs/>
                <w:color w:val="000000"/>
              </w:rPr>
              <w:t>1</w:t>
            </w:r>
            <w:r w:rsidR="00813595">
              <w:rPr>
                <w:b/>
                <w:bCs/>
                <w:color w:val="000000"/>
              </w:rPr>
              <w:t> </w:t>
            </w:r>
            <w:r w:rsidRPr="003F17DD">
              <w:rPr>
                <w:b/>
                <w:bCs/>
                <w:color w:val="000000"/>
              </w:rPr>
              <w:t>097–1</w:t>
            </w:r>
            <w:r w:rsidR="00813595">
              <w:rPr>
                <w:b/>
                <w:bCs/>
                <w:color w:val="000000"/>
              </w:rPr>
              <w:t> </w:t>
            </w:r>
            <w:r w:rsidRPr="003F17DD">
              <w:rPr>
                <w:b/>
                <w:bCs/>
                <w:color w:val="000000"/>
              </w:rPr>
              <w:t>128</w:t>
            </w:r>
          </w:p>
        </w:tc>
        <w:tc>
          <w:tcPr>
            <w:tcW w:w="1092" w:type="pct"/>
            <w:tcBorders>
              <w:top w:val="single" w:sz="4" w:space="0" w:color="auto"/>
              <w:bottom w:val="single" w:sz="8" w:space="0" w:color="auto"/>
            </w:tcBorders>
            <w:noWrap/>
            <w:vAlign w:val="center"/>
          </w:tcPr>
          <w:p w14:paraId="5527378F" w14:textId="4D785FF4" w:rsidR="00BD7C4D" w:rsidRPr="003F17DD" w:rsidRDefault="00BD7C4D" w:rsidP="00400E5C">
            <w:pPr>
              <w:pStyle w:val="Normal-pool-Table"/>
              <w:spacing w:before="20" w:after="20"/>
              <w:ind w:left="9"/>
              <w:jc w:val="right"/>
              <w:rPr>
                <w:b/>
                <w:bCs/>
              </w:rPr>
            </w:pPr>
            <w:r w:rsidRPr="003F17DD">
              <w:rPr>
                <w:b/>
                <w:bCs/>
                <w:color w:val="000000"/>
              </w:rPr>
              <w:t>1</w:t>
            </w:r>
            <w:r w:rsidR="00813595">
              <w:rPr>
                <w:b/>
                <w:bCs/>
                <w:color w:val="000000"/>
              </w:rPr>
              <w:t> </w:t>
            </w:r>
            <w:r w:rsidRPr="003F17DD">
              <w:rPr>
                <w:b/>
                <w:bCs/>
                <w:color w:val="000000"/>
              </w:rPr>
              <w:t>283–1</w:t>
            </w:r>
            <w:r w:rsidR="00813595">
              <w:rPr>
                <w:b/>
                <w:bCs/>
                <w:color w:val="000000"/>
              </w:rPr>
              <w:t> </w:t>
            </w:r>
            <w:r w:rsidRPr="003F17DD">
              <w:rPr>
                <w:b/>
                <w:bCs/>
                <w:color w:val="000000"/>
              </w:rPr>
              <w:t>318</w:t>
            </w:r>
          </w:p>
        </w:tc>
      </w:tr>
      <w:tr w:rsidR="00BD7C4D" w:rsidRPr="003F17DD" w14:paraId="0D3C8A09" w14:textId="77777777" w:rsidTr="00400E5C">
        <w:trPr>
          <w:trHeight w:val="65"/>
        </w:trPr>
        <w:tc>
          <w:tcPr>
            <w:tcW w:w="2816" w:type="pct"/>
            <w:tcBorders>
              <w:top w:val="single" w:sz="8" w:space="0" w:color="auto"/>
            </w:tcBorders>
            <w:noWrap/>
            <w:hideMark/>
          </w:tcPr>
          <w:p w14:paraId="679379C6" w14:textId="77777777" w:rsidR="00BD7C4D" w:rsidRPr="003F17DD" w:rsidRDefault="00BD7C4D" w:rsidP="00400E5C">
            <w:pPr>
              <w:pStyle w:val="Normal-pool-Table"/>
              <w:spacing w:before="20" w:after="20"/>
              <w:rPr>
                <w:b/>
                <w:bCs/>
              </w:rPr>
            </w:pPr>
            <w:r w:rsidRPr="003F17DD">
              <w:rPr>
                <w:b/>
                <w:bCs/>
                <w:color w:val="000000"/>
              </w:rPr>
              <w:t>2033-2035</w:t>
            </w:r>
          </w:p>
        </w:tc>
        <w:tc>
          <w:tcPr>
            <w:tcW w:w="1092" w:type="pct"/>
            <w:tcBorders>
              <w:top w:val="single" w:sz="8" w:space="0" w:color="auto"/>
            </w:tcBorders>
            <w:noWrap/>
            <w:vAlign w:val="center"/>
          </w:tcPr>
          <w:p w14:paraId="1FB393CC" w14:textId="77777777" w:rsidR="00BD7C4D" w:rsidRPr="003F17DD" w:rsidRDefault="00BD7C4D" w:rsidP="00400E5C">
            <w:pPr>
              <w:pStyle w:val="Normal-pool-Table"/>
              <w:spacing w:before="20" w:after="20"/>
              <w:jc w:val="right"/>
              <w:rPr>
                <w:b/>
              </w:rPr>
            </w:pPr>
          </w:p>
        </w:tc>
        <w:tc>
          <w:tcPr>
            <w:tcW w:w="1092" w:type="pct"/>
            <w:tcBorders>
              <w:top w:val="single" w:sz="8" w:space="0" w:color="auto"/>
            </w:tcBorders>
            <w:noWrap/>
            <w:vAlign w:val="center"/>
          </w:tcPr>
          <w:p w14:paraId="4739BE0B" w14:textId="77777777" w:rsidR="00BD7C4D" w:rsidRPr="003F17DD" w:rsidRDefault="00BD7C4D" w:rsidP="00400E5C">
            <w:pPr>
              <w:pStyle w:val="Normal-pool-Table"/>
              <w:spacing w:before="20" w:after="20"/>
              <w:jc w:val="right"/>
              <w:rPr>
                <w:b/>
              </w:rPr>
            </w:pPr>
          </w:p>
        </w:tc>
      </w:tr>
      <w:tr w:rsidR="00BD7C4D" w:rsidRPr="003F17DD" w14:paraId="7185C912" w14:textId="77777777" w:rsidTr="00400E5C">
        <w:trPr>
          <w:trHeight w:val="65"/>
        </w:trPr>
        <w:tc>
          <w:tcPr>
            <w:tcW w:w="2816" w:type="pct"/>
            <w:noWrap/>
          </w:tcPr>
          <w:p w14:paraId="66882D2B" w14:textId="77777777" w:rsidR="00BD7C4D" w:rsidRPr="003F17DD" w:rsidRDefault="00BD7C4D" w:rsidP="00400E5C">
            <w:pPr>
              <w:pStyle w:val="Normal-pool-Table"/>
              <w:spacing w:before="20" w:after="20"/>
              <w:ind w:left="113"/>
            </w:pPr>
            <w:r w:rsidRPr="003F17DD">
              <w:rPr>
                <w:color w:val="000000"/>
              </w:rPr>
              <w:t>Activités liées aux HCFC</w:t>
            </w:r>
          </w:p>
        </w:tc>
        <w:tc>
          <w:tcPr>
            <w:tcW w:w="1092" w:type="pct"/>
            <w:noWrap/>
            <w:vAlign w:val="center"/>
          </w:tcPr>
          <w:p w14:paraId="1139C9C7" w14:textId="77777777" w:rsidR="00BD7C4D" w:rsidRPr="003F17DD" w:rsidRDefault="00BD7C4D" w:rsidP="00400E5C">
            <w:pPr>
              <w:pStyle w:val="Normal-pool-Table"/>
              <w:spacing w:before="20" w:after="20"/>
              <w:jc w:val="right"/>
              <w:rPr>
                <w:bCs/>
              </w:rPr>
            </w:pPr>
            <w:r w:rsidRPr="003F17DD">
              <w:rPr>
                <w:bCs/>
                <w:color w:val="000000"/>
              </w:rPr>
              <w:sym w:font="Symbol" w:char="F02D"/>
            </w:r>
          </w:p>
        </w:tc>
        <w:tc>
          <w:tcPr>
            <w:tcW w:w="1092" w:type="pct"/>
            <w:noWrap/>
            <w:vAlign w:val="center"/>
          </w:tcPr>
          <w:p w14:paraId="70FE9422" w14:textId="77777777" w:rsidR="00BD7C4D" w:rsidRPr="003F17DD" w:rsidRDefault="00BD7C4D" w:rsidP="00400E5C">
            <w:pPr>
              <w:pStyle w:val="Normal-pool-Table"/>
              <w:spacing w:before="20" w:after="20"/>
              <w:jc w:val="right"/>
              <w:rPr>
                <w:bCs/>
              </w:rPr>
            </w:pPr>
            <w:r w:rsidRPr="003F17DD">
              <w:rPr>
                <w:bCs/>
                <w:color w:val="000000"/>
              </w:rPr>
              <w:sym w:font="Symbol" w:char="F02D"/>
            </w:r>
          </w:p>
        </w:tc>
      </w:tr>
      <w:tr w:rsidR="00BD7C4D" w:rsidRPr="003F17DD" w14:paraId="09527EC9" w14:textId="77777777" w:rsidTr="00400E5C">
        <w:trPr>
          <w:trHeight w:val="65"/>
        </w:trPr>
        <w:tc>
          <w:tcPr>
            <w:tcW w:w="2816" w:type="pct"/>
            <w:noWrap/>
          </w:tcPr>
          <w:p w14:paraId="347FA6F5" w14:textId="77777777" w:rsidR="00BD7C4D" w:rsidRPr="003F17DD" w:rsidRDefault="00BD7C4D" w:rsidP="00400E5C">
            <w:pPr>
              <w:pStyle w:val="Normal-pool-Table"/>
              <w:spacing w:before="20" w:after="20"/>
              <w:ind w:left="113"/>
            </w:pPr>
            <w:r w:rsidRPr="003F17DD">
              <w:rPr>
                <w:color w:val="000000"/>
              </w:rPr>
              <w:t>Activités liées aux HFC</w:t>
            </w:r>
          </w:p>
        </w:tc>
        <w:tc>
          <w:tcPr>
            <w:tcW w:w="1092" w:type="pct"/>
            <w:noWrap/>
            <w:vAlign w:val="center"/>
          </w:tcPr>
          <w:p w14:paraId="2034E2BE" w14:textId="77777777" w:rsidR="00BD7C4D" w:rsidRPr="003F17DD" w:rsidRDefault="00BD7C4D" w:rsidP="00400E5C">
            <w:pPr>
              <w:pStyle w:val="Normal-pool-Table"/>
              <w:spacing w:before="20" w:after="20"/>
              <w:jc w:val="right"/>
              <w:rPr>
                <w:bCs/>
              </w:rPr>
            </w:pPr>
            <w:r w:rsidRPr="003F17DD">
              <w:rPr>
                <w:bCs/>
                <w:color w:val="000000"/>
              </w:rPr>
              <w:t>488–503</w:t>
            </w:r>
          </w:p>
        </w:tc>
        <w:tc>
          <w:tcPr>
            <w:tcW w:w="1092" w:type="pct"/>
            <w:noWrap/>
            <w:vAlign w:val="center"/>
          </w:tcPr>
          <w:p w14:paraId="27EB4F6B" w14:textId="77777777" w:rsidR="00BD7C4D" w:rsidRPr="003F17DD" w:rsidRDefault="00BD7C4D" w:rsidP="00400E5C">
            <w:pPr>
              <w:pStyle w:val="Normal-pool-Table"/>
              <w:spacing w:before="20" w:after="20"/>
              <w:jc w:val="right"/>
              <w:rPr>
                <w:bCs/>
              </w:rPr>
            </w:pPr>
            <w:r w:rsidRPr="003F17DD">
              <w:rPr>
                <w:bCs/>
                <w:color w:val="000000"/>
              </w:rPr>
              <w:t>583–600</w:t>
            </w:r>
          </w:p>
        </w:tc>
      </w:tr>
      <w:tr w:rsidR="00BD7C4D" w:rsidRPr="003F17DD" w14:paraId="2C7B535F" w14:textId="77777777" w:rsidTr="00400E5C">
        <w:trPr>
          <w:trHeight w:val="65"/>
        </w:trPr>
        <w:tc>
          <w:tcPr>
            <w:tcW w:w="2816" w:type="pct"/>
            <w:tcBorders>
              <w:bottom w:val="single" w:sz="4" w:space="0" w:color="auto"/>
            </w:tcBorders>
            <w:noWrap/>
            <w:vAlign w:val="center"/>
          </w:tcPr>
          <w:p w14:paraId="3CD6A05D" w14:textId="77777777" w:rsidR="00BD7C4D" w:rsidRPr="003F17DD" w:rsidRDefault="00BD7C4D" w:rsidP="00400E5C">
            <w:pPr>
              <w:pStyle w:val="Normal-pool-Table"/>
              <w:spacing w:before="20" w:after="20"/>
              <w:ind w:left="113"/>
            </w:pPr>
            <w:r w:rsidRPr="003F17DD">
              <w:rPr>
                <w:color w:val="000000"/>
              </w:rPr>
              <w:t xml:space="preserve">Renforcement institutionnel et activités courantes </w:t>
            </w:r>
          </w:p>
        </w:tc>
        <w:tc>
          <w:tcPr>
            <w:tcW w:w="1092" w:type="pct"/>
            <w:tcBorders>
              <w:bottom w:val="single" w:sz="4" w:space="0" w:color="auto"/>
            </w:tcBorders>
            <w:noWrap/>
            <w:vAlign w:val="center"/>
          </w:tcPr>
          <w:p w14:paraId="10D2E43C" w14:textId="77777777" w:rsidR="00BD7C4D" w:rsidRPr="003F17DD" w:rsidRDefault="00BD7C4D" w:rsidP="00400E5C">
            <w:pPr>
              <w:pStyle w:val="Normal-pool-Table"/>
              <w:spacing w:before="20" w:after="20"/>
              <w:jc w:val="right"/>
              <w:rPr>
                <w:bCs/>
              </w:rPr>
            </w:pPr>
            <w:r w:rsidRPr="003F17DD">
              <w:rPr>
                <w:color w:val="000000"/>
              </w:rPr>
              <w:t>145</w:t>
            </w:r>
          </w:p>
        </w:tc>
        <w:tc>
          <w:tcPr>
            <w:tcW w:w="1092" w:type="pct"/>
            <w:tcBorders>
              <w:bottom w:val="single" w:sz="4" w:space="0" w:color="auto"/>
            </w:tcBorders>
            <w:noWrap/>
            <w:vAlign w:val="center"/>
          </w:tcPr>
          <w:p w14:paraId="058A7A1D" w14:textId="77777777" w:rsidR="00BD7C4D" w:rsidRPr="003F17DD" w:rsidRDefault="00BD7C4D" w:rsidP="00400E5C">
            <w:pPr>
              <w:pStyle w:val="Normal-pool-Table"/>
              <w:spacing w:before="20" w:after="20"/>
              <w:jc w:val="right"/>
              <w:rPr>
                <w:bCs/>
              </w:rPr>
            </w:pPr>
            <w:r w:rsidRPr="003F17DD">
              <w:rPr>
                <w:color w:val="000000"/>
              </w:rPr>
              <w:t>145</w:t>
            </w:r>
          </w:p>
        </w:tc>
      </w:tr>
      <w:tr w:rsidR="00BD7C4D" w:rsidRPr="003F17DD" w14:paraId="7087CDBF" w14:textId="77777777" w:rsidTr="00400E5C">
        <w:trPr>
          <w:trHeight w:val="65"/>
        </w:trPr>
        <w:tc>
          <w:tcPr>
            <w:tcW w:w="2816" w:type="pct"/>
            <w:tcBorders>
              <w:top w:val="single" w:sz="4" w:space="0" w:color="auto"/>
              <w:bottom w:val="single" w:sz="12" w:space="0" w:color="auto"/>
            </w:tcBorders>
            <w:noWrap/>
          </w:tcPr>
          <w:p w14:paraId="123A3D21" w14:textId="77777777" w:rsidR="00BD7C4D" w:rsidRPr="003F17DD" w:rsidRDefault="00BD7C4D" w:rsidP="00400E5C">
            <w:pPr>
              <w:pStyle w:val="Normal-pool-Table"/>
              <w:spacing w:before="20" w:after="20"/>
            </w:pPr>
            <w:r w:rsidRPr="003F17DD">
              <w:rPr>
                <w:b/>
                <w:color w:val="000000"/>
              </w:rPr>
              <w:t>Total</w:t>
            </w:r>
          </w:p>
        </w:tc>
        <w:tc>
          <w:tcPr>
            <w:tcW w:w="1092" w:type="pct"/>
            <w:tcBorders>
              <w:top w:val="single" w:sz="4" w:space="0" w:color="auto"/>
              <w:bottom w:val="single" w:sz="12" w:space="0" w:color="auto"/>
            </w:tcBorders>
            <w:noWrap/>
            <w:vAlign w:val="center"/>
          </w:tcPr>
          <w:p w14:paraId="5F47D7C1" w14:textId="77777777" w:rsidR="00BD7C4D" w:rsidRPr="003F17DD" w:rsidRDefault="00BD7C4D" w:rsidP="00400E5C">
            <w:pPr>
              <w:pStyle w:val="Normal-pool-Table"/>
              <w:spacing w:before="20" w:after="20"/>
              <w:jc w:val="right"/>
              <w:rPr>
                <w:b/>
                <w:bCs/>
              </w:rPr>
            </w:pPr>
            <w:r w:rsidRPr="003F17DD">
              <w:rPr>
                <w:b/>
                <w:bCs/>
                <w:color w:val="000000"/>
              </w:rPr>
              <w:t>633–648</w:t>
            </w:r>
          </w:p>
        </w:tc>
        <w:tc>
          <w:tcPr>
            <w:tcW w:w="1092" w:type="pct"/>
            <w:tcBorders>
              <w:top w:val="single" w:sz="4" w:space="0" w:color="auto"/>
              <w:bottom w:val="single" w:sz="12" w:space="0" w:color="auto"/>
            </w:tcBorders>
            <w:noWrap/>
            <w:vAlign w:val="center"/>
          </w:tcPr>
          <w:p w14:paraId="622CECDD" w14:textId="77777777" w:rsidR="00BD7C4D" w:rsidRPr="003F17DD" w:rsidRDefault="00BD7C4D" w:rsidP="00400E5C">
            <w:pPr>
              <w:pStyle w:val="Normal-pool-Table"/>
              <w:spacing w:before="20" w:after="20"/>
              <w:jc w:val="right"/>
              <w:rPr>
                <w:b/>
                <w:bCs/>
              </w:rPr>
            </w:pPr>
            <w:r w:rsidRPr="003F17DD">
              <w:rPr>
                <w:b/>
                <w:bCs/>
                <w:color w:val="000000"/>
              </w:rPr>
              <w:t>728–745</w:t>
            </w:r>
          </w:p>
        </w:tc>
      </w:tr>
    </w:tbl>
    <w:p w14:paraId="24ED1512" w14:textId="7B2F4CFC" w:rsidR="00BD7C4D" w:rsidRPr="00365B0C" w:rsidRDefault="00BD7C4D" w:rsidP="00BD7C4D">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ind w:left="1247"/>
        <w:rPr>
          <w:sz w:val="17"/>
          <w:szCs w:val="17"/>
        </w:rPr>
      </w:pPr>
      <w:bookmarkStart w:id="13" w:name="_Hlk42177853"/>
      <w:r w:rsidRPr="0062604C">
        <w:rPr>
          <w:sz w:val="18"/>
          <w:szCs w:val="18"/>
        </w:rPr>
        <w:tab/>
      </w:r>
      <w:r w:rsidRPr="00365B0C">
        <w:rPr>
          <w:i/>
          <w:iCs/>
          <w:sz w:val="17"/>
          <w:szCs w:val="17"/>
        </w:rPr>
        <w:t>Abréviations</w:t>
      </w:r>
      <w:r w:rsidR="00EE44D2" w:rsidRPr="00365B0C">
        <w:rPr>
          <w:i/>
          <w:iCs/>
          <w:sz w:val="17"/>
          <w:szCs w:val="17"/>
        </w:rPr>
        <w:t> </w:t>
      </w:r>
      <w:r w:rsidRPr="00365B0C">
        <w:rPr>
          <w:sz w:val="17"/>
          <w:szCs w:val="17"/>
        </w:rPr>
        <w:t xml:space="preserve">: HCFC – </w:t>
      </w:r>
      <w:proofErr w:type="spellStart"/>
      <w:r w:rsidRPr="00365B0C">
        <w:rPr>
          <w:sz w:val="17"/>
          <w:szCs w:val="17"/>
        </w:rPr>
        <w:t>hydrochlorofluorocarbones</w:t>
      </w:r>
      <w:proofErr w:type="spellEnd"/>
      <w:r w:rsidR="003567A0" w:rsidRPr="00365B0C">
        <w:rPr>
          <w:sz w:val="17"/>
          <w:szCs w:val="17"/>
        </w:rPr>
        <w:t> </w:t>
      </w:r>
      <w:r w:rsidRPr="00365B0C">
        <w:rPr>
          <w:sz w:val="17"/>
          <w:szCs w:val="17"/>
        </w:rPr>
        <w:t xml:space="preserve">; HFC – </w:t>
      </w:r>
      <w:proofErr w:type="spellStart"/>
      <w:r w:rsidRPr="00365B0C">
        <w:rPr>
          <w:sz w:val="17"/>
          <w:szCs w:val="17"/>
        </w:rPr>
        <w:t>hydrofluorocarbones</w:t>
      </w:r>
      <w:proofErr w:type="spellEnd"/>
      <w:r w:rsidRPr="00365B0C">
        <w:rPr>
          <w:sz w:val="17"/>
          <w:szCs w:val="17"/>
        </w:rPr>
        <w:t>.</w:t>
      </w:r>
    </w:p>
    <w:p w14:paraId="364E109B" w14:textId="198DEB78" w:rsidR="00BD7C4D" w:rsidRPr="00365B0C" w:rsidRDefault="00BD7C4D" w:rsidP="00BD7C4D">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40"/>
        <w:ind w:left="1247"/>
        <w:rPr>
          <w:sz w:val="17"/>
          <w:szCs w:val="17"/>
        </w:rPr>
      </w:pPr>
      <w:r w:rsidRPr="00365B0C">
        <w:rPr>
          <w:sz w:val="17"/>
          <w:szCs w:val="17"/>
        </w:rPr>
        <w:tab/>
      </w:r>
      <w:proofErr w:type="gramStart"/>
      <w:r w:rsidRPr="00365B0C">
        <w:rPr>
          <w:sz w:val="17"/>
          <w:szCs w:val="17"/>
          <w:vertAlign w:val="superscript"/>
        </w:rPr>
        <w:t>a</w:t>
      </w:r>
      <w:proofErr w:type="gramEnd"/>
      <w:r w:rsidRPr="00365B0C">
        <w:rPr>
          <w:sz w:val="17"/>
          <w:szCs w:val="17"/>
        </w:rPr>
        <w:t xml:space="preserve"> La fourchette basse est calculée sur la base des scénarios suivants</w:t>
      </w:r>
      <w:r w:rsidR="00EE44D2" w:rsidRPr="00365B0C">
        <w:rPr>
          <w:sz w:val="17"/>
          <w:szCs w:val="17"/>
        </w:rPr>
        <w:t> </w:t>
      </w:r>
      <w:r w:rsidRPr="00365B0C">
        <w:rPr>
          <w:sz w:val="17"/>
          <w:szCs w:val="17"/>
        </w:rPr>
        <w:t>:</w:t>
      </w:r>
    </w:p>
    <w:p w14:paraId="6BDFE592" w14:textId="7D06FE25" w:rsidR="00BD7C4D" w:rsidRPr="00365B0C" w:rsidRDefault="00BD7C4D">
      <w:pPr>
        <w:pStyle w:val="Normal-pool"/>
        <w:numPr>
          <w:ilvl w:val="0"/>
          <w:numId w:val="22"/>
        </w:numPr>
        <w:tabs>
          <w:tab w:val="clear" w:pos="1247"/>
          <w:tab w:val="clear" w:pos="1871"/>
          <w:tab w:val="clear" w:pos="2495"/>
          <w:tab w:val="clear" w:pos="3119"/>
          <w:tab w:val="clear" w:pos="3742"/>
          <w:tab w:val="clear" w:pos="4366"/>
        </w:tabs>
        <w:spacing w:before="40"/>
        <w:ind w:left="1871" w:firstLine="624"/>
        <w:rPr>
          <w:sz w:val="17"/>
          <w:szCs w:val="17"/>
        </w:rPr>
      </w:pPr>
      <w:r w:rsidRPr="00365B0C">
        <w:rPr>
          <w:sz w:val="17"/>
          <w:szCs w:val="17"/>
        </w:rPr>
        <w:t>Scénario</w:t>
      </w:r>
      <w:r w:rsidR="007019D2" w:rsidRPr="00365B0C">
        <w:rPr>
          <w:sz w:val="17"/>
          <w:szCs w:val="17"/>
        </w:rPr>
        <w:t> </w:t>
      </w:r>
      <w:r w:rsidR="00DA4313" w:rsidRPr="00365B0C">
        <w:rPr>
          <w:sz w:val="17"/>
          <w:szCs w:val="17"/>
        </w:rPr>
        <w:t xml:space="preserve">1 pour les </w:t>
      </w:r>
      <w:r w:rsidRPr="00365B0C">
        <w:rPr>
          <w:sz w:val="17"/>
          <w:szCs w:val="17"/>
        </w:rPr>
        <w:t xml:space="preserve">HCFC (seuils historiques de </w:t>
      </w:r>
      <w:r w:rsidR="00B179B3" w:rsidRPr="00365B0C">
        <w:rPr>
          <w:sz w:val="17"/>
          <w:szCs w:val="17"/>
        </w:rPr>
        <w:t>coût-efficacité </w:t>
      </w:r>
      <w:r w:rsidRPr="00365B0C">
        <w:rPr>
          <w:sz w:val="17"/>
          <w:szCs w:val="17"/>
        </w:rPr>
        <w:t>dans les secteurs manufacturiers), avec 90</w:t>
      </w:r>
      <w:r w:rsidR="0081731E" w:rsidRPr="00365B0C">
        <w:rPr>
          <w:sz w:val="17"/>
          <w:szCs w:val="17"/>
        </w:rPr>
        <w:t> </w:t>
      </w:r>
      <w:r w:rsidRPr="00365B0C">
        <w:rPr>
          <w:sz w:val="17"/>
          <w:szCs w:val="17"/>
        </w:rPr>
        <w:t>% des fonds alloués au cours de la période triennale</w:t>
      </w:r>
      <w:r w:rsidR="007019D2" w:rsidRPr="00365B0C">
        <w:rPr>
          <w:sz w:val="17"/>
          <w:szCs w:val="17"/>
        </w:rPr>
        <w:t> </w:t>
      </w:r>
      <w:r w:rsidRPr="00365B0C">
        <w:rPr>
          <w:sz w:val="17"/>
          <w:szCs w:val="17"/>
        </w:rPr>
        <w:t>2027-2029 et 10</w:t>
      </w:r>
      <w:r w:rsidR="0081731E" w:rsidRPr="00365B0C">
        <w:rPr>
          <w:sz w:val="17"/>
          <w:szCs w:val="17"/>
        </w:rPr>
        <w:t> </w:t>
      </w:r>
      <w:r w:rsidRPr="00365B0C">
        <w:rPr>
          <w:sz w:val="17"/>
          <w:szCs w:val="17"/>
        </w:rPr>
        <w:t>% au cours de la période triennale</w:t>
      </w:r>
      <w:r w:rsidR="007019D2" w:rsidRPr="00365B0C">
        <w:rPr>
          <w:sz w:val="17"/>
          <w:szCs w:val="17"/>
        </w:rPr>
        <w:t> </w:t>
      </w:r>
      <w:r w:rsidRPr="00365B0C">
        <w:rPr>
          <w:sz w:val="17"/>
          <w:szCs w:val="17"/>
        </w:rPr>
        <w:t>2030-2032</w:t>
      </w:r>
      <w:r w:rsidR="003567A0" w:rsidRPr="00365B0C">
        <w:rPr>
          <w:sz w:val="17"/>
          <w:szCs w:val="17"/>
        </w:rPr>
        <w:t> </w:t>
      </w:r>
      <w:r w:rsidRPr="00365B0C">
        <w:rPr>
          <w:sz w:val="17"/>
          <w:szCs w:val="17"/>
        </w:rPr>
        <w:t xml:space="preserve">; </w:t>
      </w:r>
    </w:p>
    <w:p w14:paraId="0776F506" w14:textId="7A3F847B" w:rsidR="00BD7C4D" w:rsidRPr="00365B0C" w:rsidRDefault="00A12BD0">
      <w:pPr>
        <w:pStyle w:val="Normal-pool"/>
        <w:numPr>
          <w:ilvl w:val="0"/>
          <w:numId w:val="22"/>
        </w:numPr>
        <w:tabs>
          <w:tab w:val="clear" w:pos="1247"/>
          <w:tab w:val="clear" w:pos="1871"/>
          <w:tab w:val="clear" w:pos="2495"/>
          <w:tab w:val="clear" w:pos="3119"/>
          <w:tab w:val="clear" w:pos="3742"/>
          <w:tab w:val="clear" w:pos="4366"/>
        </w:tabs>
        <w:spacing w:before="40"/>
        <w:ind w:left="1871" w:firstLine="624"/>
        <w:rPr>
          <w:sz w:val="17"/>
          <w:szCs w:val="17"/>
        </w:rPr>
      </w:pPr>
      <w:r>
        <w:rPr>
          <w:sz w:val="17"/>
          <w:szCs w:val="17"/>
        </w:rPr>
        <w:t>Pour les HFC, la fourchette des coûts totaux est estimée en fonction de deux scénarios : s</w:t>
      </w:r>
      <w:r w:rsidRPr="00365B0C">
        <w:rPr>
          <w:sz w:val="17"/>
          <w:szCs w:val="17"/>
        </w:rPr>
        <w:t>cénario </w:t>
      </w:r>
      <w:r w:rsidR="00DA4313" w:rsidRPr="00365B0C">
        <w:rPr>
          <w:sz w:val="17"/>
          <w:szCs w:val="17"/>
        </w:rPr>
        <w:t xml:space="preserve">1 pour les </w:t>
      </w:r>
      <w:r w:rsidR="00BD7C4D" w:rsidRPr="00365B0C">
        <w:rPr>
          <w:sz w:val="17"/>
          <w:szCs w:val="17"/>
        </w:rPr>
        <w:t xml:space="preserve">HFC (directives en matière de coûts ou seuils de </w:t>
      </w:r>
      <w:r w:rsidR="00B179B3" w:rsidRPr="00365B0C">
        <w:rPr>
          <w:sz w:val="17"/>
          <w:szCs w:val="17"/>
        </w:rPr>
        <w:t>coût-efficacité </w:t>
      </w:r>
      <w:r w:rsidR="00BD7C4D" w:rsidRPr="00365B0C">
        <w:rPr>
          <w:sz w:val="17"/>
          <w:szCs w:val="17"/>
        </w:rPr>
        <w:t>établis par des expert(e)s sans tenir compte des petites et moyennes entreprises)</w:t>
      </w:r>
      <w:r>
        <w:rPr>
          <w:sz w:val="17"/>
          <w:szCs w:val="17"/>
        </w:rPr>
        <w:t xml:space="preserve"> et s</w:t>
      </w:r>
      <w:r w:rsidRPr="005C2213">
        <w:rPr>
          <w:sz w:val="17"/>
          <w:szCs w:val="17"/>
        </w:rPr>
        <w:t>cénario 2 pour les HFC (directives en matière de coûts ou seuils de coût-efficacité établis par des expert(e)s en tenant compte des petites et moyennes entreprises)</w:t>
      </w:r>
      <w:r>
        <w:rPr>
          <w:sz w:val="17"/>
          <w:szCs w:val="17"/>
        </w:rPr>
        <w:t>,</w:t>
      </w:r>
      <w:r w:rsidR="00BD7C4D" w:rsidRPr="00365B0C">
        <w:rPr>
          <w:sz w:val="17"/>
          <w:szCs w:val="17"/>
        </w:rPr>
        <w:t xml:space="preserve"> avec le calendrier </w:t>
      </w:r>
      <w:r>
        <w:rPr>
          <w:sz w:val="17"/>
          <w:szCs w:val="17"/>
        </w:rPr>
        <w:t>A</w:t>
      </w:r>
      <w:r w:rsidRPr="00365B0C">
        <w:rPr>
          <w:sz w:val="17"/>
          <w:szCs w:val="17"/>
        </w:rPr>
        <w:t xml:space="preserve"> </w:t>
      </w:r>
      <w:r w:rsidR="00B179B3" w:rsidRPr="00365B0C">
        <w:rPr>
          <w:sz w:val="17"/>
          <w:szCs w:val="17"/>
        </w:rPr>
        <w:t>pour l</w:t>
      </w:r>
      <w:r w:rsidR="007175B8" w:rsidRPr="00365B0C">
        <w:rPr>
          <w:sz w:val="17"/>
          <w:szCs w:val="17"/>
        </w:rPr>
        <w:t>’</w:t>
      </w:r>
      <w:r w:rsidR="00BD7C4D" w:rsidRPr="00365B0C">
        <w:rPr>
          <w:sz w:val="17"/>
          <w:szCs w:val="17"/>
        </w:rPr>
        <w:t xml:space="preserve">allocation des </w:t>
      </w:r>
      <w:r>
        <w:rPr>
          <w:sz w:val="17"/>
          <w:szCs w:val="17"/>
        </w:rPr>
        <w:t xml:space="preserve">ressources </w:t>
      </w:r>
      <w:r w:rsidRPr="00365B0C">
        <w:rPr>
          <w:sz w:val="17"/>
          <w:szCs w:val="17"/>
        </w:rPr>
        <w:t>(approche de financement concentré en début de période)</w:t>
      </w:r>
      <w:r w:rsidR="00BD7C4D" w:rsidRPr="00365B0C">
        <w:rPr>
          <w:sz w:val="17"/>
          <w:szCs w:val="17"/>
        </w:rPr>
        <w:t>.</w:t>
      </w:r>
    </w:p>
    <w:p w14:paraId="79A298B4" w14:textId="0E2754D6" w:rsidR="00BD7C4D" w:rsidRPr="00365B0C" w:rsidRDefault="00BD7C4D" w:rsidP="00BD7C4D">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40" w:after="120"/>
        <w:ind w:left="1247"/>
        <w:rPr>
          <w:sz w:val="17"/>
          <w:szCs w:val="17"/>
        </w:rPr>
      </w:pPr>
      <w:r w:rsidRPr="00365B0C">
        <w:rPr>
          <w:sz w:val="17"/>
          <w:szCs w:val="17"/>
        </w:rPr>
        <w:tab/>
      </w:r>
      <w:proofErr w:type="gramStart"/>
      <w:r w:rsidRPr="00365B0C">
        <w:rPr>
          <w:sz w:val="17"/>
          <w:szCs w:val="17"/>
          <w:vertAlign w:val="superscript"/>
        </w:rPr>
        <w:t>b</w:t>
      </w:r>
      <w:proofErr w:type="gramEnd"/>
      <w:r w:rsidRPr="00365B0C">
        <w:rPr>
          <w:sz w:val="17"/>
          <w:szCs w:val="17"/>
        </w:rPr>
        <w:t xml:space="preserve"> La fourchette haute est calculée sur la base des scénarios suivants</w:t>
      </w:r>
      <w:r w:rsidR="00EE44D2" w:rsidRPr="00365B0C">
        <w:rPr>
          <w:sz w:val="17"/>
          <w:szCs w:val="17"/>
        </w:rPr>
        <w:t> </w:t>
      </w:r>
      <w:r w:rsidRPr="00365B0C">
        <w:rPr>
          <w:sz w:val="17"/>
          <w:szCs w:val="17"/>
        </w:rPr>
        <w:t>:</w:t>
      </w:r>
    </w:p>
    <w:p w14:paraId="6DC93410" w14:textId="0A37999D" w:rsidR="00BD7C4D" w:rsidRPr="00365B0C" w:rsidRDefault="00BD7C4D">
      <w:pPr>
        <w:pStyle w:val="Normal-pool"/>
        <w:numPr>
          <w:ilvl w:val="0"/>
          <w:numId w:val="23"/>
        </w:numPr>
        <w:tabs>
          <w:tab w:val="clear" w:pos="1247"/>
          <w:tab w:val="clear" w:pos="1871"/>
          <w:tab w:val="clear" w:pos="2495"/>
          <w:tab w:val="clear" w:pos="3119"/>
          <w:tab w:val="clear" w:pos="3742"/>
          <w:tab w:val="clear" w:pos="4366"/>
        </w:tabs>
        <w:spacing w:before="40" w:after="120"/>
        <w:ind w:left="1871" w:firstLine="624"/>
        <w:rPr>
          <w:sz w:val="17"/>
          <w:szCs w:val="17"/>
        </w:rPr>
      </w:pPr>
      <w:r w:rsidRPr="00365B0C">
        <w:rPr>
          <w:sz w:val="17"/>
          <w:szCs w:val="17"/>
        </w:rPr>
        <w:t>Scénario</w:t>
      </w:r>
      <w:r w:rsidR="007019D2" w:rsidRPr="00365B0C">
        <w:rPr>
          <w:sz w:val="17"/>
          <w:szCs w:val="17"/>
        </w:rPr>
        <w:t> </w:t>
      </w:r>
      <w:r w:rsidR="00DA4313" w:rsidRPr="00365B0C">
        <w:rPr>
          <w:sz w:val="17"/>
          <w:szCs w:val="17"/>
        </w:rPr>
        <w:t>2 pour les</w:t>
      </w:r>
      <w:r w:rsidRPr="00365B0C">
        <w:rPr>
          <w:sz w:val="17"/>
          <w:szCs w:val="17"/>
        </w:rPr>
        <w:t xml:space="preserve"> HCFC (seuils de rentabilité appliqués aux secteurs manufacturiers, selon les lignes directrices relatives aux coûts), avec 90</w:t>
      </w:r>
      <w:r w:rsidR="0081731E" w:rsidRPr="00365B0C">
        <w:rPr>
          <w:sz w:val="17"/>
          <w:szCs w:val="17"/>
        </w:rPr>
        <w:t> </w:t>
      </w:r>
      <w:r w:rsidRPr="00365B0C">
        <w:rPr>
          <w:sz w:val="17"/>
          <w:szCs w:val="17"/>
        </w:rPr>
        <w:t>% des fonds alloués au cours de la période triennale 2027</w:t>
      </w:r>
      <w:r w:rsidR="00195A45">
        <w:rPr>
          <w:sz w:val="17"/>
          <w:szCs w:val="17"/>
        </w:rPr>
        <w:noBreakHyphen/>
      </w:r>
      <w:r w:rsidRPr="00365B0C">
        <w:rPr>
          <w:sz w:val="17"/>
          <w:szCs w:val="17"/>
        </w:rPr>
        <w:t>2029 et 10</w:t>
      </w:r>
      <w:r w:rsidR="0081731E" w:rsidRPr="00365B0C">
        <w:rPr>
          <w:sz w:val="17"/>
          <w:szCs w:val="17"/>
        </w:rPr>
        <w:t> </w:t>
      </w:r>
      <w:r w:rsidRPr="00365B0C">
        <w:rPr>
          <w:sz w:val="17"/>
          <w:szCs w:val="17"/>
        </w:rPr>
        <w:t>% au cours de la période triennale 2030-2032</w:t>
      </w:r>
      <w:r w:rsidR="003567A0" w:rsidRPr="00365B0C">
        <w:rPr>
          <w:sz w:val="17"/>
          <w:szCs w:val="17"/>
        </w:rPr>
        <w:t> </w:t>
      </w:r>
      <w:r w:rsidRPr="00365B0C">
        <w:rPr>
          <w:sz w:val="17"/>
          <w:szCs w:val="17"/>
        </w:rPr>
        <w:t xml:space="preserve">; </w:t>
      </w:r>
    </w:p>
    <w:p w14:paraId="5ADF419F" w14:textId="37A9665F" w:rsidR="00BD7C4D" w:rsidRPr="00365B0C" w:rsidRDefault="00A12BD0">
      <w:pPr>
        <w:pStyle w:val="Normal-pool"/>
        <w:numPr>
          <w:ilvl w:val="0"/>
          <w:numId w:val="23"/>
        </w:numPr>
        <w:tabs>
          <w:tab w:val="clear" w:pos="1247"/>
          <w:tab w:val="clear" w:pos="1871"/>
          <w:tab w:val="clear" w:pos="2495"/>
          <w:tab w:val="clear" w:pos="3119"/>
          <w:tab w:val="clear" w:pos="3742"/>
          <w:tab w:val="clear" w:pos="4366"/>
        </w:tabs>
        <w:spacing w:before="40" w:after="120"/>
        <w:ind w:left="1871" w:firstLine="624"/>
        <w:rPr>
          <w:sz w:val="17"/>
          <w:szCs w:val="17"/>
        </w:rPr>
      </w:pPr>
      <w:r>
        <w:rPr>
          <w:sz w:val="17"/>
          <w:szCs w:val="17"/>
        </w:rPr>
        <w:t xml:space="preserve">Pour les HFC, la fourchette des coûts totaux est estimée en fonction de deux scénarios : scénario 1 </w:t>
      </w:r>
      <w:proofErr w:type="spellStart"/>
      <w:r>
        <w:rPr>
          <w:sz w:val="17"/>
          <w:szCs w:val="17"/>
        </w:rPr>
        <w:t>por</w:t>
      </w:r>
      <w:proofErr w:type="spellEnd"/>
      <w:r>
        <w:rPr>
          <w:sz w:val="17"/>
          <w:szCs w:val="17"/>
        </w:rPr>
        <w:t xml:space="preserve"> les HFC et s</w:t>
      </w:r>
      <w:r w:rsidR="00BD7C4D" w:rsidRPr="00365B0C">
        <w:rPr>
          <w:sz w:val="17"/>
          <w:szCs w:val="17"/>
        </w:rPr>
        <w:t>cénario</w:t>
      </w:r>
      <w:r w:rsidR="007019D2" w:rsidRPr="00365B0C">
        <w:rPr>
          <w:sz w:val="17"/>
          <w:szCs w:val="17"/>
        </w:rPr>
        <w:t> </w:t>
      </w:r>
      <w:r w:rsidR="00DA4313" w:rsidRPr="00365B0C">
        <w:rPr>
          <w:sz w:val="17"/>
          <w:szCs w:val="17"/>
        </w:rPr>
        <w:t xml:space="preserve">2 pour les </w:t>
      </w:r>
      <w:r w:rsidR="00BD7C4D" w:rsidRPr="00365B0C">
        <w:rPr>
          <w:sz w:val="17"/>
          <w:szCs w:val="17"/>
        </w:rPr>
        <w:t>HFC</w:t>
      </w:r>
      <w:r>
        <w:rPr>
          <w:sz w:val="17"/>
          <w:szCs w:val="17"/>
        </w:rPr>
        <w:t xml:space="preserve">, </w:t>
      </w:r>
      <w:r w:rsidR="00BD7C4D" w:rsidRPr="00365B0C">
        <w:rPr>
          <w:sz w:val="17"/>
          <w:szCs w:val="17"/>
        </w:rPr>
        <w:t>avec le calendrier</w:t>
      </w:r>
      <w:r w:rsidR="000765AE" w:rsidRPr="00365B0C">
        <w:rPr>
          <w:sz w:val="17"/>
          <w:szCs w:val="17"/>
        </w:rPr>
        <w:t> </w:t>
      </w:r>
      <w:r>
        <w:rPr>
          <w:sz w:val="17"/>
          <w:szCs w:val="17"/>
        </w:rPr>
        <w:t>B</w:t>
      </w:r>
      <w:r w:rsidRPr="00365B0C">
        <w:rPr>
          <w:sz w:val="17"/>
          <w:szCs w:val="17"/>
        </w:rPr>
        <w:t xml:space="preserve"> </w:t>
      </w:r>
      <w:r w:rsidR="00B179B3" w:rsidRPr="00365B0C">
        <w:rPr>
          <w:sz w:val="17"/>
          <w:szCs w:val="17"/>
        </w:rPr>
        <w:t>pour l</w:t>
      </w:r>
      <w:r w:rsidR="007175B8" w:rsidRPr="00365B0C">
        <w:rPr>
          <w:sz w:val="17"/>
          <w:szCs w:val="17"/>
        </w:rPr>
        <w:t>’</w:t>
      </w:r>
      <w:r w:rsidR="00BD7C4D" w:rsidRPr="00365B0C">
        <w:rPr>
          <w:sz w:val="17"/>
          <w:szCs w:val="17"/>
        </w:rPr>
        <w:t xml:space="preserve">allocation des ressources (approche </w:t>
      </w:r>
      <w:r>
        <w:rPr>
          <w:sz w:val="17"/>
          <w:szCs w:val="17"/>
        </w:rPr>
        <w:t xml:space="preserve">progressive </w:t>
      </w:r>
      <w:r w:rsidR="00BD7C4D" w:rsidRPr="00365B0C">
        <w:rPr>
          <w:sz w:val="17"/>
          <w:szCs w:val="17"/>
        </w:rPr>
        <w:t>d</w:t>
      </w:r>
      <w:r>
        <w:rPr>
          <w:sz w:val="17"/>
          <w:szCs w:val="17"/>
        </w:rPr>
        <w:t>u</w:t>
      </w:r>
      <w:r w:rsidR="00BD7C4D" w:rsidRPr="00365B0C">
        <w:rPr>
          <w:sz w:val="17"/>
          <w:szCs w:val="17"/>
        </w:rPr>
        <w:t xml:space="preserve"> financement).</w:t>
      </w:r>
    </w:p>
    <w:p w14:paraId="41E55BAF" w14:textId="6090CE50" w:rsidR="00BD7C4D" w:rsidRPr="003F17DD" w:rsidRDefault="00BD7C4D" w:rsidP="00BD7C4D">
      <w:pPr>
        <w:pStyle w:val="Normalnumber"/>
        <w:tabs>
          <w:tab w:val="clear" w:pos="1247"/>
          <w:tab w:val="clear" w:pos="1814"/>
          <w:tab w:val="clear" w:pos="2381"/>
          <w:tab w:val="clear" w:pos="2948"/>
          <w:tab w:val="clear" w:pos="3515"/>
        </w:tabs>
      </w:pPr>
      <w:r w:rsidRPr="003F17DD">
        <w:t>Le Groupe de travail à composition non limitée souhaitera peut-être examiner les travaux initiaux de l</w:t>
      </w:r>
      <w:r w:rsidR="007175B8">
        <w:t>’</w:t>
      </w:r>
      <w:r w:rsidRPr="003F17DD">
        <w:t>équipe spéciale. Comme à l</w:t>
      </w:r>
      <w:r w:rsidR="007175B8">
        <w:t>’</w:t>
      </w:r>
      <w:r w:rsidRPr="003F17DD">
        <w:t>accoutumée, les Parties pourraient souhaiter discuter et convenir des informations supplémentaires à inclure dans un rapport complémentaire qui pourrait être établi par l</w:t>
      </w:r>
      <w:r w:rsidR="007175B8">
        <w:t>’</w:t>
      </w:r>
      <w:r w:rsidRPr="003F17DD">
        <w:t>équipe spéciale avant la trente-huitième</w:t>
      </w:r>
      <w:r w:rsidR="000765AE">
        <w:t> </w:t>
      </w:r>
      <w:r w:rsidRPr="003F17DD">
        <w:t xml:space="preserve">Réunion des Parties. </w:t>
      </w:r>
    </w:p>
    <w:bookmarkEnd w:id="13"/>
    <w:p w14:paraId="16FB2A22" w14:textId="32969801" w:rsidR="00BD7C4D" w:rsidRPr="003F17DD" w:rsidRDefault="00BD7C4D" w:rsidP="000765AE">
      <w:pPr>
        <w:pStyle w:val="CH2"/>
        <w:ind w:firstLine="0"/>
      </w:pPr>
      <w:r w:rsidRPr="003F17DD">
        <w:rPr>
          <w:bCs/>
        </w:rPr>
        <w:t>Point</w:t>
      </w:r>
      <w:r w:rsidR="000765AE">
        <w:rPr>
          <w:bCs/>
        </w:rPr>
        <w:t> </w:t>
      </w:r>
      <w:r w:rsidRPr="003F17DD">
        <w:rPr>
          <w:bCs/>
        </w:rPr>
        <w:t>4 de l</w:t>
      </w:r>
      <w:r w:rsidR="007175B8">
        <w:rPr>
          <w:bCs/>
        </w:rPr>
        <w:t>’</w:t>
      </w:r>
      <w:r w:rsidRPr="003F17DD">
        <w:rPr>
          <w:bCs/>
        </w:rPr>
        <w:t>ordre du jour</w:t>
      </w:r>
    </w:p>
    <w:p w14:paraId="3C8C20DC" w14:textId="3F5729B7" w:rsidR="00BD7C4D" w:rsidRPr="003C0691" w:rsidRDefault="00BD7C4D" w:rsidP="00BD7C4D">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120" w:after="120"/>
        <w:ind w:left="1247" w:right="624" w:hanging="1247"/>
        <w:rPr>
          <w:b/>
          <w:sz w:val="24"/>
          <w:szCs w:val="24"/>
        </w:rPr>
      </w:pPr>
      <w:r w:rsidRPr="003C0691">
        <w:rPr>
          <w:sz w:val="24"/>
          <w:szCs w:val="24"/>
        </w:rPr>
        <w:tab/>
      </w:r>
      <w:r w:rsidRPr="003C0691">
        <w:rPr>
          <w:sz w:val="24"/>
          <w:szCs w:val="24"/>
        </w:rPr>
        <w:tab/>
      </w:r>
      <w:r w:rsidRPr="003C0691">
        <w:rPr>
          <w:b/>
          <w:bCs/>
          <w:sz w:val="24"/>
          <w:szCs w:val="24"/>
        </w:rPr>
        <w:t>Exposés du Groupe de l</w:t>
      </w:r>
      <w:r w:rsidR="007175B8" w:rsidRPr="003C0691">
        <w:rPr>
          <w:b/>
          <w:bCs/>
          <w:sz w:val="24"/>
          <w:szCs w:val="24"/>
        </w:rPr>
        <w:t>’</w:t>
      </w:r>
      <w:r w:rsidRPr="003C0691">
        <w:rPr>
          <w:b/>
          <w:bCs/>
          <w:sz w:val="24"/>
          <w:szCs w:val="24"/>
        </w:rPr>
        <w:t>évaluation technique et économique sur</w:t>
      </w:r>
      <w:r w:rsidR="003C0691">
        <w:rPr>
          <w:b/>
          <w:bCs/>
          <w:sz w:val="24"/>
          <w:szCs w:val="24"/>
        </w:rPr>
        <w:t> </w:t>
      </w:r>
      <w:r w:rsidRPr="003C0691">
        <w:rPr>
          <w:b/>
          <w:bCs/>
          <w:sz w:val="24"/>
          <w:szCs w:val="24"/>
        </w:rPr>
        <w:t>son</w:t>
      </w:r>
      <w:r w:rsidR="003C0691">
        <w:rPr>
          <w:b/>
          <w:bCs/>
          <w:sz w:val="24"/>
          <w:szCs w:val="24"/>
        </w:rPr>
        <w:t> </w:t>
      </w:r>
      <w:r w:rsidRPr="003C0691">
        <w:rPr>
          <w:b/>
          <w:bCs/>
          <w:sz w:val="24"/>
          <w:szCs w:val="24"/>
        </w:rPr>
        <w:t>rapport d</w:t>
      </w:r>
      <w:r w:rsidR="007175B8" w:rsidRPr="003C0691">
        <w:rPr>
          <w:b/>
          <w:bCs/>
          <w:sz w:val="24"/>
          <w:szCs w:val="24"/>
        </w:rPr>
        <w:t>’</w:t>
      </w:r>
      <w:r w:rsidRPr="003C0691">
        <w:rPr>
          <w:b/>
          <w:bCs/>
          <w:sz w:val="24"/>
          <w:szCs w:val="24"/>
        </w:rPr>
        <w:t>activité pour 2026</w:t>
      </w:r>
    </w:p>
    <w:p w14:paraId="66D56ED6" w14:textId="69A370FD" w:rsidR="00BD7C4D" w:rsidRPr="003F17DD" w:rsidRDefault="00BD7C4D" w:rsidP="00BD7C4D">
      <w:pPr>
        <w:pStyle w:val="Normalnumber"/>
        <w:tabs>
          <w:tab w:val="clear" w:pos="1247"/>
          <w:tab w:val="clear" w:pos="1814"/>
          <w:tab w:val="clear" w:pos="2381"/>
          <w:tab w:val="clear" w:pos="2948"/>
          <w:tab w:val="clear" w:pos="3515"/>
        </w:tabs>
      </w:pPr>
      <w:r w:rsidRPr="003F17DD">
        <w:t>Au titre du point</w:t>
      </w:r>
      <w:r w:rsidR="000765AE">
        <w:t> </w:t>
      </w:r>
      <w:r w:rsidRPr="003F17DD">
        <w:t>4 de l</w:t>
      </w:r>
      <w:r w:rsidR="007175B8">
        <w:t>’</w:t>
      </w:r>
      <w:r w:rsidRPr="003F17DD">
        <w:t>ordre du jour provisoire, les Parties examineront les informations fournies par le Groupe de l</w:t>
      </w:r>
      <w:r w:rsidR="007175B8">
        <w:t>’</w:t>
      </w:r>
      <w:r w:rsidRPr="003F17DD">
        <w:t>évaluation technique et économique dans son rapport d</w:t>
      </w:r>
      <w:r w:rsidR="007175B8">
        <w:t>’</w:t>
      </w:r>
      <w:r w:rsidRPr="003F17DD">
        <w:t>activité de 2026</w:t>
      </w:r>
      <w:r w:rsidRPr="003F17DD">
        <w:rPr>
          <w:rStyle w:val="FootnoteReference"/>
        </w:rPr>
        <w:footnoteReference w:id="8"/>
      </w:r>
      <w:r w:rsidRPr="003F17DD">
        <w:t>, qui comprend les rapports d</w:t>
      </w:r>
      <w:r w:rsidR="007175B8">
        <w:t>’</w:t>
      </w:r>
      <w:r w:rsidRPr="003F17DD">
        <w:t>étape de ses comités des choix techniques</w:t>
      </w:r>
      <w:r w:rsidR="003567A0">
        <w:t> </w:t>
      </w:r>
      <w:r w:rsidRPr="003F17DD">
        <w:t>; les mesures prises en réponse aux décisions des Réunions des Parties concernant le halon</w:t>
      </w:r>
      <w:r w:rsidR="000765AE">
        <w:t> </w:t>
      </w:r>
      <w:r w:rsidRPr="003F17DD">
        <w:t>1301 et d</w:t>
      </w:r>
      <w:r w:rsidR="007175B8">
        <w:t>’</w:t>
      </w:r>
      <w:r w:rsidRPr="003F17DD">
        <w:t>autres substances réglementées utilisées pour la lutte contre les incendies (décision XXXVII/4)</w:t>
      </w:r>
      <w:r w:rsidR="003567A0">
        <w:t> </w:t>
      </w:r>
      <w:r w:rsidRPr="003F17DD">
        <w:t>; les inhalateurs-doseurs utilisant des gaz propulseurs à faible potentiel de réchauffement global (décision XXXVI/6)</w:t>
      </w:r>
      <w:r w:rsidR="003567A0">
        <w:t> </w:t>
      </w:r>
      <w:r w:rsidRPr="003F17DD">
        <w:t>; les options concernant l</w:t>
      </w:r>
      <w:r w:rsidR="007175B8">
        <w:t>’</w:t>
      </w:r>
      <w:r w:rsidRPr="003F17DD">
        <w:t>organisation du Groupe et de ses comités des choix techniques (décision XXXV/20)</w:t>
      </w:r>
      <w:r w:rsidR="003567A0">
        <w:t> </w:t>
      </w:r>
      <w:r w:rsidRPr="003F17DD">
        <w:t>; les changements dans la composition du Groupe</w:t>
      </w:r>
      <w:r w:rsidR="003567A0">
        <w:t> </w:t>
      </w:r>
      <w:r w:rsidRPr="003F17DD">
        <w:t>; ainsi que d</w:t>
      </w:r>
      <w:r w:rsidR="007175B8">
        <w:t>’</w:t>
      </w:r>
      <w:r w:rsidRPr="003F17DD">
        <w:t>autres questions, notamment l</w:t>
      </w:r>
      <w:r w:rsidR="007175B8">
        <w:t>’</w:t>
      </w:r>
      <w:r w:rsidRPr="003F17DD">
        <w:t>évaluation d</w:t>
      </w:r>
      <w:r w:rsidR="007175B8">
        <w:t>’</w:t>
      </w:r>
      <w:r w:rsidRPr="003F17DD">
        <w:t>une technologie de destruction proposée par le Canada et des informations actualisées sur les substances per- et polyfluoroalkylées (</w:t>
      </w:r>
      <w:r w:rsidR="00955F3F">
        <w:t>SPFA</w:t>
      </w:r>
      <w:r w:rsidRPr="003F17DD">
        <w:t xml:space="preserve">). </w:t>
      </w:r>
    </w:p>
    <w:p w14:paraId="4C47FBCE" w14:textId="3553E2F7" w:rsidR="00B94C90" w:rsidRPr="003F17DD" w:rsidRDefault="00BD7C4D" w:rsidP="00BD7C4D">
      <w:pPr>
        <w:pStyle w:val="Normalnumber"/>
        <w:tabs>
          <w:tab w:val="clear" w:pos="1247"/>
          <w:tab w:val="clear" w:pos="1814"/>
          <w:tab w:val="clear" w:pos="2381"/>
          <w:tab w:val="clear" w:pos="2948"/>
          <w:tab w:val="clear" w:pos="3515"/>
          <w:tab w:val="left" w:pos="624"/>
        </w:tabs>
      </w:pPr>
      <w:r w:rsidRPr="003F17DD">
        <w:t>Les grands messages retenus des rapports d</w:t>
      </w:r>
      <w:r w:rsidR="007175B8">
        <w:t>’</w:t>
      </w:r>
      <w:r w:rsidRPr="003F17DD">
        <w:t>étape des comités des choix techniques, tels qu</w:t>
      </w:r>
      <w:r w:rsidR="007175B8">
        <w:t>’</w:t>
      </w:r>
      <w:r w:rsidRPr="003F17DD">
        <w:t>ils figurent dans le rapport d</w:t>
      </w:r>
      <w:r w:rsidR="007175B8">
        <w:t>’</w:t>
      </w:r>
      <w:r w:rsidRPr="003F17DD">
        <w:t>activité du Groupe de l</w:t>
      </w:r>
      <w:r w:rsidR="007175B8">
        <w:t>’</w:t>
      </w:r>
      <w:r w:rsidRPr="003F17DD">
        <w:t>évaluation technique et économique, sont reproduits à l</w:t>
      </w:r>
      <w:r w:rsidR="007175B8">
        <w:t>’</w:t>
      </w:r>
      <w:r w:rsidRPr="003F17DD">
        <w:t>annexe</w:t>
      </w:r>
      <w:r w:rsidR="000765AE">
        <w:t> </w:t>
      </w:r>
      <w:r w:rsidRPr="003F17DD">
        <w:t>I du présent</w:t>
      </w:r>
      <w:r w:rsidR="000765AE">
        <w:t> </w:t>
      </w:r>
      <w:r w:rsidRPr="003F17DD">
        <w:t>additif</w:t>
      </w:r>
      <w:r w:rsidR="00C30A80" w:rsidRPr="003F17DD">
        <w:t xml:space="preserve"> (</w:t>
      </w:r>
      <w:r w:rsidRPr="003F17DD">
        <w:t xml:space="preserve">sans </w:t>
      </w:r>
      <w:r w:rsidR="00C30A80" w:rsidRPr="003F17DD">
        <w:t>révision par les services d</w:t>
      </w:r>
      <w:r w:rsidR="007175B8">
        <w:t>’</w:t>
      </w:r>
      <w:r w:rsidR="00C30A80" w:rsidRPr="003F17DD">
        <w:t>édition)</w:t>
      </w:r>
      <w:r w:rsidRPr="003F17DD">
        <w:t>. Afin d</w:t>
      </w:r>
      <w:r w:rsidR="007175B8">
        <w:t>’</w:t>
      </w:r>
      <w:r w:rsidRPr="003F17DD">
        <w:t xml:space="preserve">éviter les redondances, les parties des </w:t>
      </w:r>
      <w:r w:rsidR="00DA4313" w:rsidRPr="003F17DD">
        <w:t xml:space="preserve">grands </w:t>
      </w:r>
      <w:r w:rsidRPr="003F17DD">
        <w:t>messages se rapportant aux décisions</w:t>
      </w:r>
      <w:r w:rsidR="000765AE">
        <w:t> </w:t>
      </w:r>
      <w:r w:rsidRPr="003F17DD">
        <w:t xml:space="preserve">XXXVII/4, XXXVI/6 et XXXV/20, ainsi </w:t>
      </w:r>
      <w:r w:rsidRPr="003F17DD">
        <w:lastRenderedPageBreak/>
        <w:t>que les informations concernant d</w:t>
      </w:r>
      <w:r w:rsidR="007175B8">
        <w:t>’</w:t>
      </w:r>
      <w:r w:rsidRPr="003F17DD">
        <w:t>autres questions clés, ont été retirées de l</w:t>
      </w:r>
      <w:r w:rsidR="007175B8">
        <w:t>’</w:t>
      </w:r>
      <w:r w:rsidRPr="003F17DD">
        <w:t>annexe I et ne sont abordées que dans les sous-sections</w:t>
      </w:r>
      <w:r w:rsidR="000765AE">
        <w:t> </w:t>
      </w:r>
      <w:r w:rsidRPr="003F17DD">
        <w:t>a), b), c) et e) ci-dessous.</w:t>
      </w:r>
    </w:p>
    <w:p w14:paraId="0093F072" w14:textId="378E3F32" w:rsidR="00B94C90" w:rsidRPr="003F17DD" w:rsidRDefault="00176315" w:rsidP="00B94C90">
      <w:pPr>
        <w:pStyle w:val="CH3"/>
        <w:spacing w:before="120"/>
      </w:pPr>
      <w:r>
        <w:rPr>
          <w:bCs/>
        </w:rPr>
        <w:tab/>
      </w:r>
      <w:r w:rsidR="00B94C90" w:rsidRPr="003F17DD">
        <w:rPr>
          <w:bCs/>
        </w:rPr>
        <w:t>a)</w:t>
      </w:r>
      <w:r w:rsidR="00B94C90" w:rsidRPr="003F17DD">
        <w:tab/>
      </w:r>
      <w:proofErr w:type="gramStart"/>
      <w:r w:rsidR="00B94C90" w:rsidRPr="003F17DD">
        <w:rPr>
          <w:bCs/>
        </w:rPr>
        <w:t>Le halon</w:t>
      </w:r>
      <w:proofErr w:type="gramEnd"/>
      <w:r w:rsidR="00216AFB">
        <w:rPr>
          <w:bCs/>
        </w:rPr>
        <w:t> </w:t>
      </w:r>
      <w:r w:rsidR="00B94C90" w:rsidRPr="003F17DD">
        <w:rPr>
          <w:bCs/>
        </w:rPr>
        <w:t>1301 et la persistance de son utilisation dans l</w:t>
      </w:r>
      <w:r w:rsidR="007175B8">
        <w:rPr>
          <w:bCs/>
        </w:rPr>
        <w:t>’</w:t>
      </w:r>
      <w:r w:rsidR="00B94C90" w:rsidRPr="003F17DD">
        <w:rPr>
          <w:bCs/>
        </w:rPr>
        <w:t>industrie aéronautique</w:t>
      </w:r>
      <w:r w:rsidR="00955F3F">
        <w:rPr>
          <w:bCs/>
        </w:rPr>
        <w:t> ;</w:t>
      </w:r>
      <w:r w:rsidR="00B94C90" w:rsidRPr="003F17DD">
        <w:t xml:space="preserve"> </w:t>
      </w:r>
      <w:r w:rsidR="00B94C90" w:rsidRPr="003F17DD">
        <w:rPr>
          <w:bCs/>
        </w:rPr>
        <w:t>gestion d</w:t>
      </w:r>
      <w:r w:rsidR="007175B8">
        <w:rPr>
          <w:bCs/>
        </w:rPr>
        <w:t>’</w:t>
      </w:r>
      <w:r w:rsidR="00B94C90" w:rsidRPr="003F17DD">
        <w:rPr>
          <w:bCs/>
        </w:rPr>
        <w:t>autres substances réglementées utilisées pour lutter contre les incendies (décision</w:t>
      </w:r>
      <w:r w:rsidR="000765AE">
        <w:rPr>
          <w:bCs/>
        </w:rPr>
        <w:t> </w:t>
      </w:r>
      <w:r w:rsidR="00B94C90" w:rsidRPr="003F17DD">
        <w:rPr>
          <w:bCs/>
        </w:rPr>
        <w:t>XXXVII/4)</w:t>
      </w:r>
    </w:p>
    <w:p w14:paraId="467BFA63" w14:textId="3E32853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Comme indiqué dans la note du Secrétariat (UNEP/OzL.Pro.WG.1/48/2, par.</w:t>
      </w:r>
      <w:r w:rsidR="000765AE">
        <w:t> </w:t>
      </w:r>
      <w:r w:rsidRPr="003F17DD">
        <w:t>10 à 15), dans sa décision</w:t>
      </w:r>
      <w:r w:rsidR="00392432">
        <w:t> </w:t>
      </w:r>
      <w:r w:rsidRPr="003F17DD">
        <w:t>XXXVII/4, la trente-septième</w:t>
      </w:r>
      <w:r w:rsidR="00392432">
        <w:t> </w:t>
      </w:r>
      <w:r w:rsidRPr="003F17DD">
        <w:t>Réunion des Parties a prié le Secrétariat d</w:t>
      </w:r>
      <w:r w:rsidR="007175B8">
        <w:t>’</w:t>
      </w:r>
      <w:r w:rsidRPr="003F17DD">
        <w:t xml:space="preserve">assurer la liaison avec le </w:t>
      </w:r>
      <w:r w:rsidR="00955F3F">
        <w:t>s</w:t>
      </w:r>
      <w:r w:rsidR="00955F3F" w:rsidRPr="003F17DD">
        <w:t>ecrétaria</w:t>
      </w:r>
      <w:r w:rsidRPr="003F17DD">
        <w:t>t de l</w:t>
      </w:r>
      <w:r w:rsidR="007175B8">
        <w:t>’</w:t>
      </w:r>
      <w:r w:rsidRPr="003F17DD">
        <w:t>Organisation de l</w:t>
      </w:r>
      <w:r w:rsidR="007175B8">
        <w:t>’</w:t>
      </w:r>
      <w:r w:rsidRPr="003F17DD">
        <w:t>aviation civile internationale (OACI) sur la question des agents extincteurs réglementés au titre du Protocole de</w:t>
      </w:r>
      <w:r w:rsidR="00392432">
        <w:t> </w:t>
      </w:r>
      <w:r w:rsidRPr="003F17DD">
        <w:t>Montréal et de faciliter l</w:t>
      </w:r>
      <w:r w:rsidR="007175B8">
        <w:t>’</w:t>
      </w:r>
      <w:r w:rsidRPr="003F17DD">
        <w:t>échange d</w:t>
      </w:r>
      <w:r w:rsidR="007175B8">
        <w:t>’</w:t>
      </w:r>
      <w:r w:rsidRPr="003F17DD">
        <w:t>informations entre le Groupe de l</w:t>
      </w:r>
      <w:r w:rsidR="007175B8">
        <w:t>’</w:t>
      </w:r>
      <w:r w:rsidRPr="003F17DD">
        <w:t>évaluation technique et économique, par l</w:t>
      </w:r>
      <w:r w:rsidR="007175B8">
        <w:t>’</w:t>
      </w:r>
      <w:r w:rsidRPr="003F17DD">
        <w:t>intermédiaire de son Comité des choix techniques pour la lutte contre les incendies, et les comités techniques et groupes de travail concernés de l</w:t>
      </w:r>
      <w:r w:rsidR="007175B8">
        <w:t>’</w:t>
      </w:r>
      <w:r w:rsidRPr="003F17DD">
        <w:t>OACI afin de permettre au Groupe d</w:t>
      </w:r>
      <w:r w:rsidR="007175B8">
        <w:t>’</w:t>
      </w:r>
      <w:r w:rsidRPr="003F17DD">
        <w:t>évaluer la disponibilité des halons et la distribution mondiale des réserves de halons aux Parties</w:t>
      </w:r>
      <w:r w:rsidR="00C30A80" w:rsidRPr="003F17DD">
        <w:t>,</w:t>
      </w:r>
      <w:r w:rsidRPr="003F17DD">
        <w:t xml:space="preserve"> avant la quarante-huitième réunion du Groupe de travail à composition non limitée. La réponse du Groupe</w:t>
      </w:r>
      <w:r w:rsidR="00C30A80" w:rsidRPr="003F17DD">
        <w:t xml:space="preserve"> de l</w:t>
      </w:r>
      <w:r w:rsidR="007175B8">
        <w:t>’</w:t>
      </w:r>
      <w:r w:rsidR="00C30A80" w:rsidRPr="003F17DD">
        <w:t>évaluation technique et économique</w:t>
      </w:r>
      <w:r w:rsidRPr="003F17DD">
        <w:t>, élaborée par le Comité des choix techniques pour la lutte contre les incendies, figure à la section</w:t>
      </w:r>
      <w:r w:rsidR="00392432">
        <w:t> </w:t>
      </w:r>
      <w:r w:rsidRPr="003F17DD">
        <w:t>3.8 de son rapport d</w:t>
      </w:r>
      <w:r w:rsidR="007175B8">
        <w:t>’</w:t>
      </w:r>
      <w:r w:rsidRPr="003F17DD">
        <w:t xml:space="preserve">activité. </w:t>
      </w:r>
      <w:r w:rsidR="00C30A80" w:rsidRPr="003F17DD">
        <w:t>Elle</w:t>
      </w:r>
      <w:r w:rsidRPr="003F17DD">
        <w:t xml:space="preserve"> est résumé</w:t>
      </w:r>
      <w:r w:rsidR="00C30A80" w:rsidRPr="003F17DD">
        <w:t>e</w:t>
      </w:r>
      <w:r w:rsidRPr="003F17DD">
        <w:t xml:space="preserve"> dans les paragraphes qui suivent. </w:t>
      </w:r>
    </w:p>
    <w:p w14:paraId="1D4191EB" w14:textId="653C8F2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En réponse à la lettre adressée par le Secrétariat à l</w:t>
      </w:r>
      <w:r w:rsidR="007175B8">
        <w:t>’</w:t>
      </w:r>
      <w:r w:rsidRPr="003F17DD">
        <w:t>OACI le 4</w:t>
      </w:r>
      <w:r w:rsidR="00392432">
        <w:t> </w:t>
      </w:r>
      <w:r w:rsidRPr="003F17DD">
        <w:t>février 2026, mentionnée dans la note du Secrétariat, le secrétariat de l</w:t>
      </w:r>
      <w:r w:rsidR="007175B8">
        <w:t>’</w:t>
      </w:r>
      <w:r w:rsidRPr="003F17DD">
        <w:t>OACI a, dans une lettre datée du 29</w:t>
      </w:r>
      <w:r w:rsidR="00392432">
        <w:t> </w:t>
      </w:r>
      <w:r w:rsidRPr="003F17DD">
        <w:t xml:space="preserve">avril 2026, désigné le Chef de la Section de la sécurité opérationnelle </w:t>
      </w:r>
      <w:r w:rsidR="00955F3F">
        <w:t>de la</w:t>
      </w:r>
      <w:r w:rsidR="00955F3F" w:rsidRPr="003F17DD">
        <w:t xml:space="preserve"> </w:t>
      </w:r>
      <w:r w:rsidRPr="003F17DD">
        <w:t xml:space="preserve">Direction de la navigation aérienne comme </w:t>
      </w:r>
      <w:r w:rsidR="00C30A80" w:rsidRPr="003F17DD">
        <w:t>correspondant</w:t>
      </w:r>
      <w:r w:rsidRPr="003F17DD">
        <w:t xml:space="preserve"> pour les questions relatives à la gestion des halons et aux solutions de remplacement dans l</w:t>
      </w:r>
      <w:r w:rsidR="007175B8">
        <w:t>’</w:t>
      </w:r>
      <w:r w:rsidRPr="003F17DD">
        <w:t>aviation civile. La lettre faisait également référence à la résolution</w:t>
      </w:r>
      <w:r w:rsidR="00392432">
        <w:t> </w:t>
      </w:r>
      <w:r w:rsidRPr="003F17DD">
        <w:t>A42-11 de l</w:t>
      </w:r>
      <w:r w:rsidR="007175B8">
        <w:t>’</w:t>
      </w:r>
      <w:r w:rsidRPr="003F17DD">
        <w:t>OACI relative au remplacement des halons, adoptée par l</w:t>
      </w:r>
      <w:r w:rsidR="007175B8">
        <w:t>’</w:t>
      </w:r>
      <w:r w:rsidRPr="003F17DD">
        <w:t>Assemblée de l</w:t>
      </w:r>
      <w:r w:rsidR="007175B8">
        <w:t>’</w:t>
      </w:r>
      <w:r w:rsidRPr="003F17DD">
        <w:t>OACI lors de sa quarante</w:t>
      </w:r>
      <w:r w:rsidR="00A40276">
        <w:noBreakHyphen/>
      </w:r>
      <w:r w:rsidRPr="003F17DD">
        <w:t>deuxième</w:t>
      </w:r>
      <w:r w:rsidR="00392432">
        <w:t> </w:t>
      </w:r>
      <w:r w:rsidRPr="003F17DD">
        <w:t>session, qui s</w:t>
      </w:r>
      <w:r w:rsidR="007175B8">
        <w:t>’</w:t>
      </w:r>
      <w:r w:rsidRPr="003F17DD">
        <w:t>est tenue du 23</w:t>
      </w:r>
      <w:r w:rsidR="00392432">
        <w:t> </w:t>
      </w:r>
      <w:r w:rsidRPr="003F17DD">
        <w:t>septembre au 3</w:t>
      </w:r>
      <w:r w:rsidR="00392432">
        <w:t> </w:t>
      </w:r>
      <w:r w:rsidRPr="003F17DD">
        <w:t>octobre 2025</w:t>
      </w:r>
      <w:r w:rsidR="00C30A80" w:rsidRPr="003F17DD">
        <w:t xml:space="preserve"> à Montréal (Canada)</w:t>
      </w:r>
      <w:r w:rsidRPr="003F17DD">
        <w:t>. Il</w:t>
      </w:r>
      <w:r w:rsidR="001976A3">
        <w:t> </w:t>
      </w:r>
      <w:r w:rsidRPr="003F17DD">
        <w:t>a notamment été fait référence au paragraphe 6 de la résolution, dans lequel les États étaient encouragés, avec l</w:t>
      </w:r>
      <w:r w:rsidR="007175B8">
        <w:t>’</w:t>
      </w:r>
      <w:r w:rsidRPr="003F17DD">
        <w:t>aide de l</w:t>
      </w:r>
      <w:r w:rsidR="007175B8">
        <w:t>’</w:t>
      </w:r>
      <w:r w:rsidRPr="003F17DD">
        <w:t xml:space="preserve">OACI, à </w:t>
      </w:r>
      <w:r w:rsidR="00C30A80" w:rsidRPr="003F17DD">
        <w:t>se concerter</w:t>
      </w:r>
      <w:r w:rsidRPr="003F17DD">
        <w:t xml:space="preserve"> avec le Secrétariat de l</w:t>
      </w:r>
      <w:r w:rsidR="007175B8">
        <w:t>’</w:t>
      </w:r>
      <w:r w:rsidRPr="003F17DD">
        <w:t>ozone et le Groupe de l</w:t>
      </w:r>
      <w:r w:rsidR="007175B8">
        <w:t>’</w:t>
      </w:r>
      <w:r w:rsidRPr="003F17DD">
        <w:t>évaluation technique et économique, ainsi qu</w:t>
      </w:r>
      <w:r w:rsidR="007175B8">
        <w:t>’</w:t>
      </w:r>
      <w:r w:rsidRPr="003F17DD">
        <w:t xml:space="preserve">avec son Comité des choix techniques pour la lutte contre les incendies, </w:t>
      </w:r>
      <w:r w:rsidR="00C30A80" w:rsidRPr="003F17DD">
        <w:t xml:space="preserve">pour </w:t>
      </w:r>
      <w:r w:rsidRPr="003F17DD">
        <w:t xml:space="preserve">évaluer les réserves mondiales de halons et </w:t>
      </w:r>
      <w:r w:rsidR="00955F3F">
        <w:t>d’</w:t>
      </w:r>
      <w:r w:rsidR="00C30A80" w:rsidRPr="003F17DD">
        <w:t>appuyer</w:t>
      </w:r>
      <w:r w:rsidRPr="003F17DD">
        <w:t xml:space="preserve"> la gestion durable des </w:t>
      </w:r>
      <w:r w:rsidR="00C30A80" w:rsidRPr="003F17DD">
        <w:t>banque</w:t>
      </w:r>
      <w:r w:rsidR="00955F3F">
        <w:t>s</w:t>
      </w:r>
      <w:r w:rsidR="00C30A80" w:rsidRPr="003F17DD">
        <w:t xml:space="preserve"> de halons</w:t>
      </w:r>
      <w:r w:rsidRPr="003F17DD">
        <w:t xml:space="preserve"> existantes, y</w:t>
      </w:r>
      <w:r w:rsidR="00F97DAB">
        <w:t> </w:t>
      </w:r>
      <w:r w:rsidRPr="003F17DD">
        <w:t>compris une demande d</w:t>
      </w:r>
      <w:r w:rsidR="00C30A80" w:rsidRPr="003F17DD">
        <w:t xml:space="preserve">e dérogations pour </w:t>
      </w:r>
      <w:r w:rsidRPr="003F17DD">
        <w:t xml:space="preserve">utilisation essentielle </w:t>
      </w:r>
      <w:r w:rsidR="00C30A80" w:rsidRPr="003F17DD">
        <w:t>concernant</w:t>
      </w:r>
      <w:r w:rsidRPr="003F17DD">
        <w:t xml:space="preserve"> les halons dans les compartiments de fret des aéronefs au titre du Protocole de</w:t>
      </w:r>
      <w:r w:rsidR="00392432">
        <w:t> </w:t>
      </w:r>
      <w:r w:rsidRPr="003F17DD">
        <w:t xml:space="preserve">Montréal, afin de </w:t>
      </w:r>
      <w:r w:rsidR="00C30A80" w:rsidRPr="003F17DD">
        <w:t>maintenir</w:t>
      </w:r>
      <w:r w:rsidRPr="003F17DD">
        <w:t xml:space="preserve"> la sécurité </w:t>
      </w:r>
      <w:r w:rsidR="00C30A80" w:rsidRPr="003F17DD">
        <w:t>de l</w:t>
      </w:r>
      <w:r w:rsidR="007175B8">
        <w:t>’</w:t>
      </w:r>
      <w:r w:rsidR="00C30A80" w:rsidRPr="003F17DD">
        <w:t>aviation</w:t>
      </w:r>
      <w:r w:rsidRPr="003F17DD">
        <w:t>.</w:t>
      </w:r>
    </w:p>
    <w:p w14:paraId="77879D2A" w14:textId="49FB8AD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À cet égard, il convient également de noter qu</w:t>
      </w:r>
      <w:r w:rsidR="007175B8">
        <w:t>’</w:t>
      </w:r>
      <w:r w:rsidRPr="003F17DD">
        <w:t>au paragraphe</w:t>
      </w:r>
      <w:r w:rsidR="00392432">
        <w:t> </w:t>
      </w:r>
      <w:r w:rsidRPr="003F17DD">
        <w:t>7 de la résolution</w:t>
      </w:r>
      <w:r w:rsidR="00392432">
        <w:t> </w:t>
      </w:r>
      <w:r w:rsidRPr="003F17DD">
        <w:t>A42-11, l</w:t>
      </w:r>
      <w:r w:rsidR="007175B8">
        <w:t>’</w:t>
      </w:r>
      <w:r w:rsidRPr="003F17DD">
        <w:t>Assemblée a chargé le Conseil de l</w:t>
      </w:r>
      <w:r w:rsidR="007175B8">
        <w:t>’</w:t>
      </w:r>
      <w:r w:rsidRPr="003F17DD">
        <w:t>OACI, en coordination avec le</w:t>
      </w:r>
      <w:r w:rsidR="00C30A80" w:rsidRPr="003F17DD">
        <w:t>s acteurs du</w:t>
      </w:r>
      <w:r w:rsidRPr="003F17DD">
        <w:t xml:space="preserve"> secteur et </w:t>
      </w:r>
      <w:r w:rsidR="00C30A80" w:rsidRPr="003F17DD">
        <w:t xml:space="preserve">sur la base </w:t>
      </w:r>
      <w:r w:rsidRPr="003F17DD">
        <w:t>de l</w:t>
      </w:r>
      <w:r w:rsidR="007175B8">
        <w:t>’</w:t>
      </w:r>
      <w:r w:rsidRPr="003F17DD">
        <w:t>évaluation de la disponibilité des réserves mondiales de halons, d</w:t>
      </w:r>
      <w:r w:rsidR="007175B8">
        <w:t>’</w:t>
      </w:r>
      <w:r w:rsidRPr="003F17DD">
        <w:t xml:space="preserve">élaborer une proposition visant à </w:t>
      </w:r>
      <w:r w:rsidR="00C30A80" w:rsidRPr="003F17DD">
        <w:t>fixer une</w:t>
      </w:r>
      <w:r w:rsidRPr="003F17DD">
        <w:t xml:space="preserve"> date</w:t>
      </w:r>
      <w:r w:rsidR="00C30A80" w:rsidRPr="003F17DD">
        <w:t xml:space="preserve"> limite révisée,</w:t>
      </w:r>
      <w:r w:rsidRPr="003F17DD">
        <w:t xml:space="preserve"> effective et durable pour le remplacement des halons dans le cadre des demandes de certificat de type pour les nouveaux aéronefs. Conformément à la résolution, la proposition devrait </w:t>
      </w:r>
      <w:r w:rsidR="004429F5" w:rsidRPr="003F17DD">
        <w:t>se fonder</w:t>
      </w:r>
      <w:r w:rsidRPr="003F17DD">
        <w:t xml:space="preserve"> sur des données exhaustives, notamment concernant la disponibilité des halons et les progrès réalisés dans la mise au point de solutions de remplacement, et devrait tenir compte des considérations de sécurité.</w:t>
      </w:r>
    </w:p>
    <w:p w14:paraId="28A54853" w14:textId="4B13E98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 xml:space="preserve">Entre-temps, le Comité des choix techniques pour la lutte contre les incendies a entretenu des contacts avec le </w:t>
      </w:r>
      <w:r w:rsidR="00F05804" w:rsidRPr="003F17DD">
        <w:t>Comité</w:t>
      </w:r>
      <w:r w:rsidR="00EF4325" w:rsidRPr="003F17DD">
        <w:t xml:space="preserve"> consultatif </w:t>
      </w:r>
      <w:r w:rsidR="00F05804" w:rsidRPr="003F17DD">
        <w:t>pour</w:t>
      </w:r>
      <w:r w:rsidR="00EF4325" w:rsidRPr="003F17DD">
        <w:t xml:space="preserve"> le remplacement des halons </w:t>
      </w:r>
      <w:r w:rsidR="00F05804" w:rsidRPr="003F17DD">
        <w:t xml:space="preserve">en </w:t>
      </w:r>
      <w:proofErr w:type="spellStart"/>
      <w:r w:rsidR="00F05804" w:rsidRPr="003F17DD">
        <w:t>soute</w:t>
      </w:r>
      <w:proofErr w:type="spellEnd"/>
      <w:r w:rsidR="00F05804" w:rsidRPr="003F17DD">
        <w:t xml:space="preserve"> </w:t>
      </w:r>
      <w:r w:rsidR="00EF4325" w:rsidRPr="003F17DD">
        <w:t>établi par le Conseil</w:t>
      </w:r>
      <w:r w:rsidR="00671C4A">
        <w:t> </w:t>
      </w:r>
      <w:r w:rsidR="00EF4325" w:rsidRPr="003F17DD">
        <w:t>international de coordination des associations d</w:t>
      </w:r>
      <w:r w:rsidR="007175B8">
        <w:t>’</w:t>
      </w:r>
      <w:r w:rsidR="00EF4325" w:rsidRPr="003F17DD">
        <w:t>industries aérospatiales</w:t>
      </w:r>
      <w:r w:rsidRPr="003F17DD">
        <w:t>. Les deux groupes d</w:t>
      </w:r>
      <w:r w:rsidR="007175B8">
        <w:t>’</w:t>
      </w:r>
      <w:r w:rsidRPr="003F17DD">
        <w:t>expert(e)s ont proposé que le Secrétariat de l</w:t>
      </w:r>
      <w:r w:rsidR="007175B8">
        <w:t>’</w:t>
      </w:r>
      <w:r w:rsidRPr="003F17DD">
        <w:t>ozone et le secrétariat de l</w:t>
      </w:r>
      <w:r w:rsidR="007175B8">
        <w:t>’</w:t>
      </w:r>
      <w:r w:rsidRPr="003F17DD">
        <w:t>OACI envisagent de rédiger une lettre commune demandant des données aux Parties au Protocole de</w:t>
      </w:r>
      <w:r w:rsidR="00392432">
        <w:t> </w:t>
      </w:r>
      <w:r w:rsidRPr="003F17DD">
        <w:t>Montréal, afin de mieux évaluer l</w:t>
      </w:r>
      <w:r w:rsidR="007175B8">
        <w:t>’</w:t>
      </w:r>
      <w:r w:rsidRPr="003F17DD">
        <w:t xml:space="preserve">utilisation future </w:t>
      </w:r>
      <w:r w:rsidR="008C3272" w:rsidRPr="003F17DD">
        <w:t xml:space="preserve">des halons </w:t>
      </w:r>
      <w:r w:rsidRPr="003F17DD">
        <w:t>et les besoins en halons dans l</w:t>
      </w:r>
      <w:r w:rsidR="007175B8">
        <w:t>’</w:t>
      </w:r>
      <w:r w:rsidRPr="003F17DD">
        <w:t xml:space="preserve">aviation civile.  </w:t>
      </w:r>
    </w:p>
    <w:p w14:paraId="67D45990" w14:textId="280FE8AD" w:rsidR="00B94C90" w:rsidRPr="003F17DD" w:rsidRDefault="00B94C90" w:rsidP="00B94C90">
      <w:pPr>
        <w:pStyle w:val="Normalnumber"/>
        <w:tabs>
          <w:tab w:val="clear" w:pos="1247"/>
          <w:tab w:val="clear" w:pos="1814"/>
          <w:tab w:val="clear" w:pos="2381"/>
          <w:tab w:val="clear" w:pos="2948"/>
          <w:tab w:val="clear" w:pos="3515"/>
          <w:tab w:val="left" w:pos="624"/>
        </w:tabs>
        <w:rPr>
          <w:sz w:val="22"/>
          <w:szCs w:val="22"/>
        </w:rPr>
      </w:pPr>
      <w:r w:rsidRPr="003F17DD">
        <w:t>Le secrétariat de l</w:t>
      </w:r>
      <w:r w:rsidR="007175B8">
        <w:t>’</w:t>
      </w:r>
      <w:r w:rsidRPr="003F17DD">
        <w:t>OACI a également demandé la création d</w:t>
      </w:r>
      <w:r w:rsidR="007175B8">
        <w:t>’</w:t>
      </w:r>
      <w:r w:rsidRPr="003F17DD">
        <w:t>un groupe d</w:t>
      </w:r>
      <w:r w:rsidR="007175B8">
        <w:t>’</w:t>
      </w:r>
      <w:r w:rsidRPr="003F17DD">
        <w:t>expert(e)s officiel par l</w:t>
      </w:r>
      <w:r w:rsidR="007175B8">
        <w:t>’</w:t>
      </w:r>
      <w:r w:rsidRPr="003F17DD">
        <w:t>intermédiaire du Groupe d</w:t>
      </w:r>
      <w:r w:rsidR="007175B8">
        <w:t>’</w:t>
      </w:r>
      <w:r w:rsidRPr="003F17DD">
        <w:t>expert(e)s de la navigabilité, comprenant notamment, mais sans s</w:t>
      </w:r>
      <w:r w:rsidR="007175B8">
        <w:t>’</w:t>
      </w:r>
      <w:r w:rsidRPr="003F17DD">
        <w:t>y</w:t>
      </w:r>
      <w:r w:rsidR="003C1216">
        <w:t> </w:t>
      </w:r>
      <w:r w:rsidRPr="003F17DD">
        <w:t>limiter, les fabricants d</w:t>
      </w:r>
      <w:r w:rsidR="007175B8">
        <w:t>’</w:t>
      </w:r>
      <w:r w:rsidRPr="003F17DD">
        <w:t>équipements d</w:t>
      </w:r>
      <w:r w:rsidR="007175B8">
        <w:t>’</w:t>
      </w:r>
      <w:r w:rsidRPr="003F17DD">
        <w:t xml:space="preserve">origine, les </w:t>
      </w:r>
      <w:r w:rsidR="00FC0A3C" w:rsidRPr="003F17DD">
        <w:t>services chargés</w:t>
      </w:r>
      <w:r w:rsidRPr="003F17DD">
        <w:t xml:space="preserve"> de</w:t>
      </w:r>
      <w:r w:rsidR="00FC0A3C" w:rsidRPr="003F17DD">
        <w:t xml:space="preserve"> la</w:t>
      </w:r>
      <w:r w:rsidRPr="003F17DD">
        <w:t xml:space="preserve"> maintenance, de</w:t>
      </w:r>
      <w:r w:rsidR="00FC0A3C" w:rsidRPr="003F17DD">
        <w:t>s</w:t>
      </w:r>
      <w:r w:rsidRPr="003F17DD">
        <w:t xml:space="preserve"> réparation</w:t>
      </w:r>
      <w:r w:rsidR="00FC0A3C" w:rsidRPr="003F17DD">
        <w:t>s</w:t>
      </w:r>
      <w:r w:rsidRPr="003F17DD">
        <w:t xml:space="preserve"> et de</w:t>
      </w:r>
      <w:r w:rsidR="00FC0A3C" w:rsidRPr="003F17DD">
        <w:t>s</w:t>
      </w:r>
      <w:r w:rsidRPr="003F17DD">
        <w:t xml:space="preserve"> révision</w:t>
      </w:r>
      <w:r w:rsidR="00FC0A3C" w:rsidRPr="003F17DD">
        <w:t>s</w:t>
      </w:r>
      <w:r w:rsidRPr="003F17DD">
        <w:t>, les fournisseurs, les entreprises de recyclage, les organisations non</w:t>
      </w:r>
      <w:r w:rsidR="00C74785">
        <w:t> </w:t>
      </w:r>
      <w:r w:rsidRPr="003F17DD">
        <w:t>gouvernementales, le Comité de l</w:t>
      </w:r>
      <w:r w:rsidR="007175B8">
        <w:t>’</w:t>
      </w:r>
      <w:r w:rsidRPr="003F17DD">
        <w:t>évaluation technique et économique et son Comité des choix techniques pour la lutte contre les incendies, ainsi que d</w:t>
      </w:r>
      <w:r w:rsidR="007175B8">
        <w:t>’</w:t>
      </w:r>
      <w:r w:rsidRPr="003F17DD">
        <w:t>autres parties prenantes concernées. Cette initiative, qui se poursuit actuellement, vise à faciliter l</w:t>
      </w:r>
      <w:r w:rsidR="007175B8">
        <w:t>’</w:t>
      </w:r>
      <w:r w:rsidRPr="003F17DD">
        <w:t>échange d</w:t>
      </w:r>
      <w:r w:rsidR="007175B8">
        <w:t>’</w:t>
      </w:r>
      <w:r w:rsidRPr="003F17DD">
        <w:t>informations.</w:t>
      </w:r>
    </w:p>
    <w:p w14:paraId="587CD91B" w14:textId="46DC5425" w:rsidR="00B94C90" w:rsidRPr="003F17DD" w:rsidRDefault="00B94C90" w:rsidP="00B94C90">
      <w:pPr>
        <w:pStyle w:val="Normalnumber"/>
        <w:tabs>
          <w:tab w:val="clear" w:pos="1247"/>
          <w:tab w:val="clear" w:pos="1814"/>
          <w:tab w:val="clear" w:pos="2381"/>
          <w:tab w:val="clear" w:pos="2948"/>
          <w:tab w:val="clear" w:pos="3515"/>
          <w:tab w:val="left" w:pos="624"/>
        </w:tabs>
        <w:rPr>
          <w:sz w:val="22"/>
          <w:szCs w:val="22"/>
        </w:rPr>
      </w:pPr>
      <w:r w:rsidRPr="003F17DD">
        <w:t>Conformément à la résolution</w:t>
      </w:r>
      <w:r w:rsidR="003D51D6">
        <w:t> </w:t>
      </w:r>
      <w:r w:rsidRPr="003F17DD">
        <w:t>A42-11 de l</w:t>
      </w:r>
      <w:r w:rsidR="007175B8">
        <w:t>’</w:t>
      </w:r>
      <w:r w:rsidRPr="003F17DD">
        <w:t>Assemblée de l</w:t>
      </w:r>
      <w:r w:rsidR="007175B8">
        <w:t>’</w:t>
      </w:r>
      <w:r w:rsidRPr="003F17DD">
        <w:t>OACI et à la décision</w:t>
      </w:r>
      <w:r w:rsidR="003D51D6">
        <w:t> </w:t>
      </w:r>
      <w:r w:rsidRPr="003F17DD">
        <w:t>XXXVII/4 de la trente-septième</w:t>
      </w:r>
      <w:r w:rsidR="003D51D6">
        <w:t> </w:t>
      </w:r>
      <w:r w:rsidRPr="003F17DD">
        <w:t xml:space="preserve">Réunion des Parties, le </w:t>
      </w:r>
      <w:r w:rsidR="00A228F5" w:rsidRPr="003F17DD">
        <w:t xml:space="preserve">Comité consultatif pour le remplacement des halons en </w:t>
      </w:r>
      <w:proofErr w:type="spellStart"/>
      <w:r w:rsidR="00A228F5" w:rsidRPr="003F17DD">
        <w:t>soute</w:t>
      </w:r>
      <w:proofErr w:type="spellEnd"/>
      <w:r w:rsidR="00A228F5" w:rsidRPr="003F17DD">
        <w:t xml:space="preserve"> </w:t>
      </w:r>
      <w:r w:rsidRPr="003F17DD">
        <w:t>a constitué un petit groupe de travail, comprenant un membre du Comité des choix techniques pour la lutte contre les incendies qui est également membre du Groupe consultatif, afin de coordonner la collecte et l</w:t>
      </w:r>
      <w:r w:rsidR="007175B8">
        <w:t>’</w:t>
      </w:r>
      <w:r w:rsidRPr="003F17DD">
        <w:t>analyse des données visant à évaluer la demande future en halon</w:t>
      </w:r>
      <w:r w:rsidR="003D51D6">
        <w:t> </w:t>
      </w:r>
      <w:r w:rsidRPr="003F17DD">
        <w:t>1301. Les travaux du groupe portent à la fois sur les quantités nécessaires pour assurer la maintenance de la flotte d</w:t>
      </w:r>
      <w:r w:rsidR="007175B8">
        <w:t>’</w:t>
      </w:r>
      <w:r w:rsidRPr="003F17DD">
        <w:t>aéronefs actuellement en service et sur l</w:t>
      </w:r>
      <w:r w:rsidR="007175B8">
        <w:t>’</w:t>
      </w:r>
      <w:r w:rsidRPr="003F17DD">
        <w:t>estimation des besoins en halon</w:t>
      </w:r>
      <w:r w:rsidR="003D51D6">
        <w:t> </w:t>
      </w:r>
      <w:r w:rsidRPr="003F17DD">
        <w:t xml:space="preserve">1301 liés aux livraisons </w:t>
      </w:r>
      <w:r w:rsidR="00FC0A3C" w:rsidRPr="003F17DD">
        <w:t xml:space="preserve">futures </w:t>
      </w:r>
      <w:r w:rsidRPr="003F17DD">
        <w:lastRenderedPageBreak/>
        <w:t>d</w:t>
      </w:r>
      <w:r w:rsidR="007175B8">
        <w:t>’</w:t>
      </w:r>
      <w:r w:rsidRPr="003F17DD">
        <w:t>aéronefs et à leur exploitation continue. Ces efforts permettront de déterminer s</w:t>
      </w:r>
      <w:r w:rsidR="007175B8">
        <w:t>’</w:t>
      </w:r>
      <w:r w:rsidRPr="003F17DD">
        <w:t>il sera nécessaire de présenter à l</w:t>
      </w:r>
      <w:r w:rsidR="007175B8">
        <w:t>’</w:t>
      </w:r>
      <w:r w:rsidRPr="003F17DD">
        <w:t xml:space="preserve">avenir des demandes </w:t>
      </w:r>
      <w:r w:rsidR="00FC0A3C" w:rsidRPr="003F17DD">
        <w:t xml:space="preserve">de dérogation pour </w:t>
      </w:r>
      <w:r w:rsidRPr="003F17DD">
        <w:t>utilisation essentielle ou non.</w:t>
      </w:r>
    </w:p>
    <w:p w14:paraId="48A1BAF2" w14:textId="31B4F48A"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En s</w:t>
      </w:r>
      <w:r w:rsidR="007175B8">
        <w:t>’</w:t>
      </w:r>
      <w:r w:rsidRPr="003F17DD">
        <w:t>appuyant sur diverses sources de données pertinentes et sur un certain nombre d</w:t>
      </w:r>
      <w:r w:rsidR="007175B8">
        <w:t>’</w:t>
      </w:r>
      <w:r w:rsidRPr="003F17DD">
        <w:t>hypothèses exposées dans le rapport d</w:t>
      </w:r>
      <w:r w:rsidR="007175B8">
        <w:t>’</w:t>
      </w:r>
      <w:r w:rsidRPr="003F17DD">
        <w:t>étape, le groupe a évalué la quantité de halon</w:t>
      </w:r>
      <w:r w:rsidR="00FC0A3C" w:rsidRPr="003F17DD">
        <w:t>s</w:t>
      </w:r>
      <w:r w:rsidRPr="003F17DD">
        <w:t xml:space="preserve"> actuellement installée dans le parc</w:t>
      </w:r>
      <w:r w:rsidR="00FC0A3C" w:rsidRPr="003F17DD">
        <w:t xml:space="preserve"> d</w:t>
      </w:r>
      <w:r w:rsidR="007175B8">
        <w:t>’</w:t>
      </w:r>
      <w:r w:rsidR="00FC0A3C" w:rsidRPr="003F17DD">
        <w:t>aéronefs</w:t>
      </w:r>
      <w:r w:rsidRPr="003F17DD">
        <w:t xml:space="preserve"> en service (moyenne</w:t>
      </w:r>
      <w:r w:rsidR="00EE44D2">
        <w:t> </w:t>
      </w:r>
      <w:r w:rsidRPr="003F17DD">
        <w:t>: 2</w:t>
      </w:r>
      <w:r w:rsidR="00172284">
        <w:t> </w:t>
      </w:r>
      <w:r w:rsidRPr="003F17DD">
        <w:t>302</w:t>
      </w:r>
      <w:r w:rsidR="00172284">
        <w:t> </w:t>
      </w:r>
      <w:r w:rsidRPr="003F17DD">
        <w:t>tonnes métriques). Sur la base de cette analyse, il a été possible d</w:t>
      </w:r>
      <w:r w:rsidR="007175B8">
        <w:t>’</w:t>
      </w:r>
      <w:r w:rsidRPr="003F17DD">
        <w:t>estimer les quantités nécessaires pour compenser les pertes résultant des décharges du système lors d</w:t>
      </w:r>
      <w:r w:rsidR="007175B8">
        <w:t>’</w:t>
      </w:r>
      <w:r w:rsidRPr="003F17DD">
        <w:t>incendies ou de fausses alarmes, ainsi que des fuites et de la contamination survenant lors des opérations de maintenance, et d</w:t>
      </w:r>
      <w:r w:rsidR="007175B8">
        <w:t>’</w:t>
      </w:r>
      <w:r w:rsidRPr="003F17DD">
        <w:t>établir des projections concernant les besoins futurs en halon</w:t>
      </w:r>
      <w:r w:rsidR="003D51D6">
        <w:t> </w:t>
      </w:r>
      <w:r w:rsidRPr="003F17DD">
        <w:t>1301 pour les nouveaux aéronefs (moyenne</w:t>
      </w:r>
      <w:r w:rsidR="00EE44D2">
        <w:t> </w:t>
      </w:r>
      <w:r w:rsidRPr="003F17DD">
        <w:t>: 175</w:t>
      </w:r>
      <w:r w:rsidR="003D51D6">
        <w:t> </w:t>
      </w:r>
      <w:r w:rsidRPr="003F17DD">
        <w:t xml:space="preserve">tonnes par an). </w:t>
      </w:r>
    </w:p>
    <w:p w14:paraId="7F8DC375" w14:textId="5F4C7D98"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 Comité des choix techniques pour la lutte contre les incendies a également estimé les nouvelles dates d</w:t>
      </w:r>
      <w:r w:rsidR="007175B8">
        <w:t>’</w:t>
      </w:r>
      <w:r w:rsidRPr="003F17DD">
        <w:t xml:space="preserve">épuisement des réserves </w:t>
      </w:r>
      <w:proofErr w:type="gramStart"/>
      <w:r w:rsidRPr="003F17DD">
        <w:t>de halon</w:t>
      </w:r>
      <w:proofErr w:type="gramEnd"/>
      <w:r w:rsidR="003D51D6">
        <w:t> </w:t>
      </w:r>
      <w:r w:rsidRPr="003F17DD">
        <w:t xml:space="preserve">1301 en utilisant les données sectorielles révisées de son modèle, ajustées </w:t>
      </w:r>
      <w:r w:rsidR="00FC0A3C" w:rsidRPr="003F17DD">
        <w:t>en fonction</w:t>
      </w:r>
      <w:r w:rsidRPr="003F17DD">
        <w:t xml:space="preserve"> de l</w:t>
      </w:r>
      <w:r w:rsidR="007175B8">
        <w:t>’</w:t>
      </w:r>
      <w:r w:rsidRPr="003F17DD">
        <w:t>avis d</w:t>
      </w:r>
      <w:r w:rsidR="007175B8">
        <w:t>’</w:t>
      </w:r>
      <w:r w:rsidRPr="003F17DD">
        <w:t>expert(e)s et évaluées dans le cadre de 20</w:t>
      </w:r>
      <w:r w:rsidR="003D51D6">
        <w:t> </w:t>
      </w:r>
      <w:r w:rsidRPr="003F17DD">
        <w:t>scénarios présentant des tailles de réserves et des taux d</w:t>
      </w:r>
      <w:r w:rsidR="007175B8">
        <w:t>’</w:t>
      </w:r>
      <w:r w:rsidRPr="003F17DD">
        <w:t>émission variables. Deux</w:t>
      </w:r>
      <w:r w:rsidR="003D51D6">
        <w:t> </w:t>
      </w:r>
      <w:r w:rsidRPr="003F17DD">
        <w:t>méthodes de modélisation ont été utilisées pour harmoniser les projections d</w:t>
      </w:r>
      <w:r w:rsidR="007175B8">
        <w:t>’</w:t>
      </w:r>
      <w:r w:rsidRPr="003F17DD">
        <w:t>émissions avec les données historiques du Comité des choix techniques pour la lutte contre les incendies pour les années 2015 à 2024. Le modèle a d</w:t>
      </w:r>
      <w:r w:rsidR="007175B8">
        <w:t>’</w:t>
      </w:r>
      <w:r w:rsidRPr="003F17DD">
        <w:t>abord prévu l</w:t>
      </w:r>
      <w:r w:rsidR="007175B8">
        <w:t>’</w:t>
      </w:r>
      <w:r w:rsidRPr="003F17DD">
        <w:t>épuisement des réserves disponibles, puis a envisagé le recours aux stocks de réserve pour soutenir les utilisations à long terme, notamment l</w:t>
      </w:r>
      <w:r w:rsidR="007175B8">
        <w:t>’</w:t>
      </w:r>
      <w:r w:rsidRPr="003F17DD">
        <w:t>aviation civile.</w:t>
      </w:r>
    </w:p>
    <w:p w14:paraId="7C904EC5" w14:textId="4B44CE12"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Les scénarios de modélisation ont permis d</w:t>
      </w:r>
      <w:r w:rsidR="007175B8">
        <w:t>’</w:t>
      </w:r>
      <w:r w:rsidRPr="003F17DD">
        <w:t>estimer des dates d</w:t>
      </w:r>
      <w:r w:rsidR="007175B8">
        <w:t>’</w:t>
      </w:r>
      <w:r w:rsidRPr="003F17DD">
        <w:t xml:space="preserve">épuisement comprises entre 2030 et 2042. Toutefois, les scénarios </w:t>
      </w:r>
      <w:r w:rsidR="00FC0A3C" w:rsidRPr="003F17DD">
        <w:t>comportant</w:t>
      </w:r>
      <w:r w:rsidRPr="003F17DD">
        <w:t xml:space="preserve"> des taux d</w:t>
      </w:r>
      <w:r w:rsidR="007175B8">
        <w:t>’</w:t>
      </w:r>
      <w:r w:rsidRPr="003F17DD">
        <w:t xml:space="preserve">émission excessivement élevés ont été jugés peu plausibles et ont donc été écartés. Sur cette base, on estime que la date </w:t>
      </w:r>
      <w:r w:rsidR="00FC0A3C" w:rsidRPr="003F17DD">
        <w:t>d</w:t>
      </w:r>
      <w:r w:rsidR="007175B8">
        <w:t>’</w:t>
      </w:r>
      <w:r w:rsidR="00FC0A3C" w:rsidRPr="003F17DD">
        <w:t>épuisement</w:t>
      </w:r>
      <w:r w:rsidRPr="003F17DD">
        <w:t xml:space="preserve"> la plus plausible se situera entre 2031 et 2039, avec une date centrale autour de 2035, à quatre</w:t>
      </w:r>
      <w:r w:rsidR="00082A0A">
        <w:t> </w:t>
      </w:r>
      <w:r w:rsidRPr="003F17DD">
        <w:t>ans près.</w:t>
      </w:r>
    </w:p>
    <w:p w14:paraId="472AD1BA" w14:textId="603B2F7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 xml:space="preserve">À la lumière de ces conclusions, le Comité </w:t>
      </w:r>
      <w:r w:rsidR="00FC0A3C" w:rsidRPr="003F17DD">
        <w:t>préconise</w:t>
      </w:r>
      <w:r w:rsidRPr="003F17DD">
        <w:t xml:space="preserve"> aux Parties d</w:t>
      </w:r>
      <w:r w:rsidR="007175B8">
        <w:t>’</w:t>
      </w:r>
      <w:r w:rsidRPr="003F17DD">
        <w:t>examiner s</w:t>
      </w:r>
      <w:r w:rsidR="007175B8">
        <w:t>’</w:t>
      </w:r>
      <w:r w:rsidRPr="003F17DD">
        <w:t>il y a lieu d</w:t>
      </w:r>
      <w:r w:rsidR="007175B8">
        <w:t>’</w:t>
      </w:r>
      <w:r w:rsidRPr="003F17DD">
        <w:t>apporter des modifications aux procédures de désignation et d</w:t>
      </w:r>
      <w:r w:rsidR="007175B8">
        <w:t>’</w:t>
      </w:r>
      <w:r w:rsidRPr="003F17DD">
        <w:t xml:space="preserve">évaluation des utilisations essentielles, étant donné que certaines Parties pourraient ne plus être en mesure de déterminer leurs besoins annuels en matière de production et de consommation </w:t>
      </w:r>
      <w:proofErr w:type="gramStart"/>
      <w:r w:rsidRPr="003F17DD">
        <w:t>de halon</w:t>
      </w:r>
      <w:proofErr w:type="gramEnd"/>
      <w:r w:rsidR="00082A0A">
        <w:t> </w:t>
      </w:r>
      <w:r w:rsidRPr="003F17DD">
        <w:t>1301 dans le secteur de l</w:t>
      </w:r>
      <w:r w:rsidR="007175B8">
        <w:t>’</w:t>
      </w:r>
      <w:r w:rsidRPr="003F17DD">
        <w:t>aviation civile.</w:t>
      </w:r>
    </w:p>
    <w:p w14:paraId="50BCB7A4" w14:textId="59FE3898"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Au paragraphe 4 de la décision XXXVII/4, les Parties étaient invitées à soumettre volontairement au Secrétariat de l</w:t>
      </w:r>
      <w:r w:rsidR="007175B8">
        <w:t>’</w:t>
      </w:r>
      <w:r w:rsidRPr="003F17DD">
        <w:t>ozone, le 31 mars 2026 au plus tard, les informations disponibles concernant la mise au point de solutions de remplacement susceptibles d</w:t>
      </w:r>
      <w:r w:rsidR="007175B8">
        <w:t>’</w:t>
      </w:r>
      <w:r w:rsidRPr="003F17DD">
        <w:t>être utilisées dans la lutte contre les incendies, et le Secrétariat était prié de transmettre les informations reçues au Groupe de l</w:t>
      </w:r>
      <w:r w:rsidR="007175B8">
        <w:t>’</w:t>
      </w:r>
      <w:r w:rsidRPr="003F17DD">
        <w:t>évaluation technique et économique pour examen et inclusion dans son rapport d</w:t>
      </w:r>
      <w:r w:rsidR="007175B8">
        <w:t>’</w:t>
      </w:r>
      <w:r w:rsidRPr="003F17DD">
        <w:t>activité de 2027, au</w:t>
      </w:r>
      <w:r w:rsidR="00E34A7E">
        <w:t> </w:t>
      </w:r>
      <w:r w:rsidRPr="003F17DD">
        <w:t>plus tard. Au moment de la rédaction du présent additif, trois Parties – l</w:t>
      </w:r>
      <w:r w:rsidR="007175B8">
        <w:t>’</w:t>
      </w:r>
      <w:r w:rsidRPr="003F17DD">
        <w:t>Argentine, l</w:t>
      </w:r>
      <w:r w:rsidR="007175B8">
        <w:t>’</w:t>
      </w:r>
      <w:r w:rsidRPr="003F17DD">
        <w:t>Équateur et Saint-Vincent-et-les Grenadines – avaient répondu à la décision, en plus des 33</w:t>
      </w:r>
      <w:r w:rsidR="005C1C1D">
        <w:t> </w:t>
      </w:r>
      <w:r w:rsidRPr="003F17DD">
        <w:t>Parties qui l</w:t>
      </w:r>
      <w:r w:rsidR="007175B8">
        <w:t>’</w:t>
      </w:r>
      <w:r w:rsidRPr="003F17DD">
        <w:t>avaient déjà fait au moment de la rédaction de la note du Secrétariat. Toutes ces contributions ont été transmises au Comité de l</w:t>
      </w:r>
      <w:r w:rsidR="007175B8">
        <w:t>’</w:t>
      </w:r>
      <w:r w:rsidRPr="003F17DD">
        <w:t>évaluation technique et économique afin qu</w:t>
      </w:r>
      <w:r w:rsidR="007175B8">
        <w:t>’</w:t>
      </w:r>
      <w:r w:rsidRPr="003F17DD">
        <w:t>il en tienne compte dans la préparation de son rapport d</w:t>
      </w:r>
      <w:r w:rsidR="007175B8">
        <w:t>’</w:t>
      </w:r>
      <w:r w:rsidRPr="003F17DD">
        <w:t xml:space="preserve">activité pour 2026, et éventuellement de celui pour 2027. </w:t>
      </w:r>
    </w:p>
    <w:p w14:paraId="72DDFE12" w14:textId="77777777"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 Groupe de travail à composition non limitée souhaitera peut-être examiner ledit rapport et recommander une marche à suivre.</w:t>
      </w:r>
    </w:p>
    <w:p w14:paraId="4968DD2B" w14:textId="73690129" w:rsidR="00B94C90" w:rsidRPr="003F17DD" w:rsidRDefault="009C241A" w:rsidP="00B94C90">
      <w:pPr>
        <w:pStyle w:val="CH3"/>
      </w:pPr>
      <w:r>
        <w:rPr>
          <w:bCs/>
        </w:rPr>
        <w:tab/>
      </w:r>
      <w:r w:rsidR="00B94C90" w:rsidRPr="003F17DD">
        <w:rPr>
          <w:bCs/>
        </w:rPr>
        <w:t>b)</w:t>
      </w:r>
      <w:r w:rsidR="00B94C90" w:rsidRPr="003F17DD">
        <w:tab/>
      </w:r>
      <w:r w:rsidR="00B94C90" w:rsidRPr="003F17DD">
        <w:rPr>
          <w:bCs/>
        </w:rPr>
        <w:t>Inhalateurs-doseurs utilisant des gaz propulseurs à faible potentiel de réchauffement global (décision</w:t>
      </w:r>
      <w:r w:rsidR="005C1C1D">
        <w:rPr>
          <w:bCs/>
        </w:rPr>
        <w:t> </w:t>
      </w:r>
      <w:r w:rsidR="00B94C90" w:rsidRPr="003F17DD">
        <w:rPr>
          <w:bCs/>
        </w:rPr>
        <w:t>XXXVI/6)</w:t>
      </w:r>
      <w:bookmarkStart w:id="14" w:name="_Hlk192678240"/>
      <w:bookmarkEnd w:id="14"/>
    </w:p>
    <w:p w14:paraId="56F9925C" w14:textId="4F6C6642" w:rsidR="00B94C90" w:rsidRPr="003F17DD" w:rsidRDefault="00B94C90" w:rsidP="00B94C90">
      <w:pPr>
        <w:pStyle w:val="Normalnumber"/>
        <w:tabs>
          <w:tab w:val="clear" w:pos="1247"/>
          <w:tab w:val="clear" w:pos="1814"/>
          <w:tab w:val="clear" w:pos="2381"/>
          <w:tab w:val="clear" w:pos="2948"/>
          <w:tab w:val="clear" w:pos="3515"/>
          <w:tab w:val="left" w:pos="624"/>
        </w:tabs>
        <w:rPr>
          <w:color w:val="000000" w:themeColor="text1"/>
        </w:rPr>
      </w:pPr>
      <w:r w:rsidRPr="003F17DD">
        <w:t>Comme mentionné dans la note du Secrétariat (UNEP/OzL.Pro.WG.1/48/2, par.</w:t>
      </w:r>
      <w:r w:rsidR="00031D8E">
        <w:t> </w:t>
      </w:r>
      <w:r w:rsidRPr="003F17DD">
        <w:t>16 à 19), la trente-sixième</w:t>
      </w:r>
      <w:r w:rsidR="00031D8E">
        <w:t> </w:t>
      </w:r>
      <w:r w:rsidRPr="003F17DD">
        <w:t xml:space="preserve">Réunion des Parties a, </w:t>
      </w:r>
      <w:r w:rsidR="00955F3F">
        <w:t>dans</w:t>
      </w:r>
      <w:r w:rsidRPr="003F17DD">
        <w:t xml:space="preserve"> sa décision</w:t>
      </w:r>
      <w:r w:rsidR="00B202C5">
        <w:t> </w:t>
      </w:r>
      <w:r w:rsidRPr="003F17DD">
        <w:t>XXXVI/6, prié le Groupe de l</w:t>
      </w:r>
      <w:r w:rsidR="007175B8">
        <w:t>’</w:t>
      </w:r>
      <w:r w:rsidRPr="003F17DD">
        <w:t>évaluation technique et économique de continuer à fournir, dans ses rapports d</w:t>
      </w:r>
      <w:r w:rsidR="007175B8">
        <w:t>’</w:t>
      </w:r>
      <w:r w:rsidRPr="003F17DD">
        <w:t>activité annuels, des informations actualisées sur les gaz propulseurs à faible potentiel de réchauffement global pouvant s</w:t>
      </w:r>
      <w:r w:rsidR="007175B8">
        <w:t>’</w:t>
      </w:r>
      <w:r w:rsidRPr="003F17DD">
        <w:t>utiliser dans les inhalateurs-doseurs et de compléter son rapport d</w:t>
      </w:r>
      <w:r w:rsidR="007175B8">
        <w:t>’</w:t>
      </w:r>
      <w:r w:rsidRPr="003F17DD">
        <w:t>évaluation quadriennal de 2026 par des informations actualisées, notamment sur la disponibilité de ces gaz, leur faisabilité technique, leur viabilité économique, leur sécurité et leur pénétration du marché dans toutes les Parties. La réponse du Groupe, élaborée par le Comité des choix techniques pour les produits chimiques et médicaux, figure à la section</w:t>
      </w:r>
      <w:r w:rsidR="00B30DB8">
        <w:t> </w:t>
      </w:r>
      <w:r w:rsidRPr="003F17DD">
        <w:t>5.8 de son rapport d</w:t>
      </w:r>
      <w:r w:rsidR="007175B8">
        <w:t>’</w:t>
      </w:r>
      <w:r w:rsidRPr="003F17DD">
        <w:t xml:space="preserve">activité. </w:t>
      </w:r>
      <w:r w:rsidR="00FC0A3C" w:rsidRPr="003F17DD">
        <w:t>Elle</w:t>
      </w:r>
      <w:r w:rsidRPr="003F17DD">
        <w:t xml:space="preserve"> est résumé</w:t>
      </w:r>
      <w:r w:rsidR="00FC0A3C" w:rsidRPr="003F17DD">
        <w:t>e</w:t>
      </w:r>
      <w:r w:rsidRPr="003F17DD">
        <w:t xml:space="preserve"> dans les paragraphes qui suivent. </w:t>
      </w:r>
    </w:p>
    <w:p w14:paraId="3F70C829" w14:textId="6A01CC1C"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Des rapports récents sur la prise en charge de l</w:t>
      </w:r>
      <w:r w:rsidR="007175B8">
        <w:t>’</w:t>
      </w:r>
      <w:r w:rsidRPr="003F17DD">
        <w:t>asthme et de la bronchopneumopathie chronique obstructive mettent en évidence les efforts continus visant à améliorer la maîtrise de ces maladies et à élargir l</w:t>
      </w:r>
      <w:r w:rsidR="007175B8">
        <w:t>’</w:t>
      </w:r>
      <w:r w:rsidRPr="003F17DD">
        <w:t>accès aux médicaments. Le traitement de l</w:t>
      </w:r>
      <w:r w:rsidR="007175B8">
        <w:t>’</w:t>
      </w:r>
      <w:r w:rsidRPr="003F17DD">
        <w:t>asthme repose sur les corticostéroïdes inhalés pour réduire les crises graves, tandis que des inquiétudes persistent quant à l</w:t>
      </w:r>
      <w:r w:rsidR="007175B8">
        <w:t>’</w:t>
      </w:r>
      <w:r w:rsidRPr="003F17DD">
        <w:t xml:space="preserve">utilisation excessive des inhalateurs à action rapide. La prise en charge de la bronchopneumopathie chronique obstructive repose de plus en plus sur les inhalateurs à action prolongée et, pour les cas graves, sur les nouveaux traitements biologiques. Toutefois, le coût élevé des médicaments et leur </w:t>
      </w:r>
      <w:r w:rsidRPr="003F17DD">
        <w:lastRenderedPageBreak/>
        <w:t>disponibilité limitée restent des obstacles majeurs, en particulier dans les pays à revenu faible ou intermédiaire.</w:t>
      </w:r>
    </w:p>
    <w:p w14:paraId="64BBA695" w14:textId="6328CDC9"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Plusieurs types d</w:t>
      </w:r>
      <w:r w:rsidR="007175B8">
        <w:t>’</w:t>
      </w:r>
      <w:r w:rsidRPr="003F17DD">
        <w:t>inhalateurs sont utilisés pour le traitement de l</w:t>
      </w:r>
      <w:r w:rsidR="007175B8">
        <w:t>’</w:t>
      </w:r>
      <w:r w:rsidRPr="003F17DD">
        <w:t xml:space="preserve">asthme et de la bronchopneumopathie chronique obstructive, notamment les inhalateurs-doseurs pressurisés, les inhalateurs de poudre sèche, les inhalateurs de </w:t>
      </w:r>
      <w:proofErr w:type="spellStart"/>
      <w:r w:rsidRPr="003F17DD">
        <w:t>brumisat</w:t>
      </w:r>
      <w:proofErr w:type="spellEnd"/>
      <w:r w:rsidRPr="003F17DD">
        <w:t xml:space="preserve"> et les nébuliseurs. Parmi ceux-ci, les inhalateurs-doseurs pressurisés restent les plus utilisés, représentant environ 70</w:t>
      </w:r>
      <w:r w:rsidR="005E5722">
        <w:t> </w:t>
      </w:r>
      <w:r w:rsidRPr="003F17DD">
        <w:t>% des doses administrées par inhalateur dans le monde, les inhalateurs-doseurs pressurisés à base de salbutamol occupant la plus grande part de ce marché. Même si l</w:t>
      </w:r>
      <w:r w:rsidR="007175B8">
        <w:t>’</w:t>
      </w:r>
      <w:r w:rsidRPr="003F17DD">
        <w:t>utilisation des inhalateurs de poudre sèche et d</w:t>
      </w:r>
      <w:r w:rsidR="007175B8">
        <w:t>’</w:t>
      </w:r>
      <w:r w:rsidRPr="003F17DD">
        <w:t>autres solutions de remplacement est en hausse, le remplacement des inhalateurs-doseurs pressurisés nécessiterait des investissements considérables, des changements dans la fabrication et du temps.</w:t>
      </w:r>
    </w:p>
    <w:p w14:paraId="0DF28C3B" w14:textId="0253527E"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À mesure que l</w:t>
      </w:r>
      <w:r w:rsidR="007175B8">
        <w:t>’</w:t>
      </w:r>
      <w:r w:rsidRPr="003F17DD">
        <w:t>utilisation mondiale des HFC diminue, la part de ces substances utilisées dans les inhalateurs-doseurs pressurisés prend de plus en plus d</w:t>
      </w:r>
      <w:r w:rsidR="007175B8">
        <w:t>’</w:t>
      </w:r>
      <w:r w:rsidRPr="003F17DD">
        <w:t>importance. Les nouvelles réglementations de l</w:t>
      </w:r>
      <w:r w:rsidR="007175B8">
        <w:t>’</w:t>
      </w:r>
      <w:r w:rsidRPr="003F17DD">
        <w:t xml:space="preserve">Union européenne visant à réduire la consommation </w:t>
      </w:r>
      <w:r w:rsidR="00FC0A3C" w:rsidRPr="003F17DD">
        <w:t>d</w:t>
      </w:r>
      <w:r w:rsidR="007175B8">
        <w:t>’</w:t>
      </w:r>
      <w:r w:rsidRPr="003F17DD">
        <w:t xml:space="preserve">HFC pourraient </w:t>
      </w:r>
      <w:proofErr w:type="gramStart"/>
      <w:r w:rsidRPr="003F17DD">
        <w:t>avoir</w:t>
      </w:r>
      <w:proofErr w:type="gramEnd"/>
      <w:r w:rsidRPr="003F17DD">
        <w:t xml:space="preserve"> des répercussions sur l</w:t>
      </w:r>
      <w:r w:rsidR="007175B8">
        <w:t>’</w:t>
      </w:r>
      <w:r w:rsidRPr="003F17DD">
        <w:t>approvisionnement futur en HFC de qualité pharmaceutique nécessaires à la fabrication des inhalateurs. Des révisions et des politiques sont donc prévues afin de prévenir les pénuries et de garantir l</w:t>
      </w:r>
      <w:r w:rsidR="007175B8">
        <w:t>’</w:t>
      </w:r>
      <w:r w:rsidRPr="003F17DD">
        <w:t>accès aux soins de santé.</w:t>
      </w:r>
    </w:p>
    <w:p w14:paraId="2CFA6EB4" w14:textId="6EE90A86"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Les États-Unis et les principaux pays européens continuent de dominer le marché mondial des inhalateurs, avec une demande croissante pour les nouveaux inhalateurs combinés destinés au traitement de l</w:t>
      </w:r>
      <w:r w:rsidR="007175B8">
        <w:t>’</w:t>
      </w:r>
      <w:r w:rsidRPr="003F17DD">
        <w:t>asthme sévère et de la bronchopneumopathie chronique obstructive. Le passage aux inhalateurs de poudre sèche ou aux inhalateurs-doseurs pressurisés utilisant des propulseurs à faible potentiel de réchauffement global nécessiterait d</w:t>
      </w:r>
      <w:r w:rsidR="007175B8">
        <w:t>’</w:t>
      </w:r>
      <w:r w:rsidRPr="003F17DD">
        <w:t>importantes mises à niveau technologiques et des investissements dans les infrastructures.</w:t>
      </w:r>
    </w:p>
    <w:p w14:paraId="1E75BCDE" w14:textId="6E78864C"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L</w:t>
      </w:r>
      <w:r w:rsidR="007175B8">
        <w:t>’</w:t>
      </w:r>
      <w:r w:rsidRPr="003F17DD">
        <w:t>approvisionnement en gaz propulseurs HFC de qualité pharmaceutique utilisés dans les inhalateurs – principalement le HFC-134a et le HFC-227ea – devient de plus en plus difficile dans le cadre de la transition vers des solutions de remplacement à plus faible potentiel de réchauffement global. La production de ces propulseurs est fortement concentrée entre les mains de quelques fabricants, et l</w:t>
      </w:r>
      <w:r w:rsidR="007175B8">
        <w:t>’</w:t>
      </w:r>
      <w:r w:rsidRPr="003F17DD">
        <w:t>évolution de la demande industrielle entraîne des fermetures d</w:t>
      </w:r>
      <w:r w:rsidR="007175B8">
        <w:t>’</w:t>
      </w:r>
      <w:r w:rsidRPr="003F17DD">
        <w:t>usines ou des regroupements, ce qui pourrait compromettre la stabilité à long terme. Même si l</w:t>
      </w:r>
      <w:r w:rsidR="007175B8">
        <w:t>’</w:t>
      </w:r>
      <w:r w:rsidRPr="003F17DD">
        <w:t>approvisionnement devrait se poursuivre jusqu</w:t>
      </w:r>
      <w:r w:rsidR="007175B8">
        <w:t>’</w:t>
      </w:r>
      <w:r w:rsidRPr="003F17DD">
        <w:t>au début des années 2030, les coûts pourraient augmenter et des pénuries régionales, notamment en Europe, sont à craindre en raison des systèmes de quotas et du durcissement de la réglementation. Les contrôles administratifs supplémentaires pesant sur la production et l</w:t>
      </w:r>
      <w:r w:rsidR="007175B8">
        <w:t>’</w:t>
      </w:r>
      <w:r w:rsidRPr="003F17DD">
        <w:t>exportation compliquent encore davantage l</w:t>
      </w:r>
      <w:r w:rsidR="007175B8">
        <w:t>’</w:t>
      </w:r>
      <w:r w:rsidRPr="003F17DD">
        <w:t>approvisionnement. Les capacités de production émergentes dans des pays tels que l</w:t>
      </w:r>
      <w:r w:rsidR="007175B8">
        <w:t>’</w:t>
      </w:r>
      <w:r w:rsidRPr="003F17DD">
        <w:t>Inde et la Chine pourraient contribuer à diversifier l</w:t>
      </w:r>
      <w:r w:rsidR="007175B8">
        <w:t>’</w:t>
      </w:r>
      <w:r w:rsidRPr="003F17DD">
        <w:t>approvisionnement futur tant en HFC existants qu</w:t>
      </w:r>
      <w:r w:rsidR="007175B8">
        <w:t>’</w:t>
      </w:r>
      <w:r w:rsidRPr="003F17DD">
        <w:t>en nouvelles solutions de remplacement.</w:t>
      </w:r>
    </w:p>
    <w:p w14:paraId="25DB6372" w14:textId="10DD812A"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 xml:space="preserve">La transition vers des propulseurs à faible potentiel de réchauffement global dans les inhalateurs-doseurs pressurisés progresse, mais reste </w:t>
      </w:r>
      <w:r w:rsidR="00FC0A3C" w:rsidRPr="003F17DD">
        <w:t>entravée par</w:t>
      </w:r>
      <w:r w:rsidRPr="003F17DD">
        <w:t xml:space="preserve"> de nombreux </w:t>
      </w:r>
      <w:r w:rsidR="00FC0A3C" w:rsidRPr="003F17DD">
        <w:t>obstacles</w:t>
      </w:r>
      <w:r w:rsidRPr="003F17DD">
        <w:t>, notamment l</w:t>
      </w:r>
      <w:r w:rsidR="007175B8">
        <w:t>’</w:t>
      </w:r>
      <w:r w:rsidRPr="003F17DD">
        <w:t>évolution des réglementations environnementales, la stabilité de l</w:t>
      </w:r>
      <w:r w:rsidR="007175B8">
        <w:t>’</w:t>
      </w:r>
      <w:r w:rsidRPr="003F17DD">
        <w:t>approvisionnement en HFC de qualité pharmaceutique, le coût et la disponibilité des dispositifs de remplacement, l</w:t>
      </w:r>
      <w:r w:rsidR="007175B8">
        <w:t>’</w:t>
      </w:r>
      <w:r w:rsidRPr="003F17DD">
        <w:t xml:space="preserve">autorisation </w:t>
      </w:r>
      <w:r w:rsidR="00FC0A3C" w:rsidRPr="003F17DD">
        <w:t xml:space="preserve">par les organismes de </w:t>
      </w:r>
      <w:r w:rsidRPr="003F17DD">
        <w:t>réglementa</w:t>
      </w:r>
      <w:r w:rsidR="00FC0A3C" w:rsidRPr="003F17DD">
        <w:t xml:space="preserve">tion </w:t>
      </w:r>
      <w:r w:rsidRPr="003F17DD">
        <w:t>et la mise sur le marché de nouveaux inhalateurs, ainsi que l</w:t>
      </w:r>
      <w:r w:rsidR="007175B8">
        <w:t>’</w:t>
      </w:r>
      <w:r w:rsidRPr="003F17DD">
        <w:t xml:space="preserve">acceptation par les patient(e)s. </w:t>
      </w:r>
    </w:p>
    <w:p w14:paraId="6C82DB3C" w14:textId="05755E7F"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Deux</w:t>
      </w:r>
      <w:r w:rsidR="001304EB">
        <w:t> </w:t>
      </w:r>
      <w:r w:rsidRPr="003F17DD">
        <w:t xml:space="preserve">propulseurs de substitution majeurs sont </w:t>
      </w:r>
      <w:proofErr w:type="gramStart"/>
      <w:r w:rsidRPr="003F17DD">
        <w:t>actuellement en cours</w:t>
      </w:r>
      <w:proofErr w:type="gramEnd"/>
      <w:r w:rsidRPr="003F17DD">
        <w:t xml:space="preserve"> de développement</w:t>
      </w:r>
      <w:r w:rsidR="003567A0">
        <w:t> </w:t>
      </w:r>
      <w:r w:rsidRPr="003F17DD">
        <w:t>: le HFC-152a (dont le potentiel de réchauffement global est de 124) et le HFO-1234ze(E). Le HFC-152a est déjà largement utilisé dans l</w:t>
      </w:r>
      <w:r w:rsidR="007175B8">
        <w:t>’</w:t>
      </w:r>
      <w:r w:rsidRPr="003F17DD">
        <w:t>industrie</w:t>
      </w:r>
      <w:r w:rsidR="003567A0">
        <w:t> </w:t>
      </w:r>
      <w:r w:rsidRPr="003F17DD">
        <w:t>; il est plus inflammable que les propulseurs actuels et nécessite la mise en place de systèmes de sécurité renforcés lors de sa fabrication, mais les études cliniques ne montrent aucune toxicité, et des demandes d</w:t>
      </w:r>
      <w:r w:rsidR="007175B8">
        <w:t>’</w:t>
      </w:r>
      <w:r w:rsidRPr="003F17DD">
        <w:t>autorisation sont en cours dans plusieurs pays. Le HFO-1234ze(E) est également largement utilisé dans des applications non médicales</w:t>
      </w:r>
      <w:r w:rsidR="003567A0">
        <w:t> </w:t>
      </w:r>
      <w:r w:rsidRPr="003F17DD">
        <w:t>; il n</w:t>
      </w:r>
      <w:r w:rsidR="007175B8">
        <w:t>’</w:t>
      </w:r>
      <w:r w:rsidRPr="003F17DD">
        <w:t>a montré aucune toxicité lors des études et fait déjà l</w:t>
      </w:r>
      <w:r w:rsidR="007175B8">
        <w:t>’</w:t>
      </w:r>
      <w:r w:rsidRPr="003F17DD">
        <w:t>objet d</w:t>
      </w:r>
      <w:r w:rsidR="007175B8">
        <w:t>’</w:t>
      </w:r>
      <w:r w:rsidRPr="003F17DD">
        <w:t>une production commerciale de qualité pharmaceutique, les démarches réglementaires ayant été menées à bien sur les principaux marchés.</w:t>
      </w:r>
    </w:p>
    <w:p w14:paraId="7321904B" w14:textId="499E3A9F" w:rsidR="00B94C90" w:rsidRPr="003F17DD" w:rsidRDefault="00B94C90" w:rsidP="00B94C90">
      <w:pPr>
        <w:pStyle w:val="Normalnumber"/>
      </w:pPr>
      <w:r w:rsidRPr="003F17DD">
        <w:t xml:space="preserve">Au moins </w:t>
      </w:r>
      <w:r w:rsidR="00B36FC9" w:rsidRPr="003F17DD">
        <w:t>10</w:t>
      </w:r>
      <w:r w:rsidR="00477204">
        <w:t> </w:t>
      </w:r>
      <w:r w:rsidRPr="003F17DD">
        <w:t>entreprises à travers le monde semblent développer des inhalateurs-doseurs pressurisés contenant ces propulseurs de qualité pharmaceutique à faible potentiel de réchauffement global, dont trois en Inde et une au Bangladesh. Plusieurs fabricants de médicaments génériques en Amérique latine développent également des inhalateurs-doseurs pressurisés présentant un potentiel de réchauffement global plus faible, tandis que deux entreprises chinoises ont lancé le développement du HFO-1234ze(E) en tant que propulseur en gros.</w:t>
      </w:r>
    </w:p>
    <w:p w14:paraId="69A9850E" w14:textId="4ED03A11"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Les petites et moyennes entreprises manufacturières des pays à faible et moyen revenu sont particulièrement vulnérables, car elles ne disposent souvent ni des licences, ni des financements, ni des capacités réglementaires nécessaires pour passer à des produits présentant un faible potentiel de réchauffement global. Sans soutien, beaucoup pourraient avoir du mal à s</w:t>
      </w:r>
      <w:r w:rsidR="007175B8">
        <w:t>’</w:t>
      </w:r>
      <w:r w:rsidRPr="003F17DD">
        <w:t xml:space="preserve">adapter, ce qui risquerait </w:t>
      </w:r>
      <w:r w:rsidRPr="003F17DD">
        <w:lastRenderedPageBreak/>
        <w:t>d</w:t>
      </w:r>
      <w:r w:rsidR="007175B8">
        <w:t>’</w:t>
      </w:r>
      <w:r w:rsidRPr="003F17DD">
        <w:t>aggraver les inégalités dans le monde. Des partenariats ou des fusions avec des fabricants plus importants pourraient donc s</w:t>
      </w:r>
      <w:r w:rsidR="007175B8">
        <w:t>’</w:t>
      </w:r>
      <w:r w:rsidRPr="003F17DD">
        <w:t>avérer nécessaires pour que ces fabricants puissent maintenir l</w:t>
      </w:r>
      <w:r w:rsidR="007175B8">
        <w:t>’</w:t>
      </w:r>
      <w:r w:rsidRPr="003F17DD">
        <w:t>approvisionnement et continuer à proposer des inhalateurs à des prix abordables et accessibles sur leurs marchés. On craint également que les crises énergétiques et pétrolières n</w:t>
      </w:r>
      <w:r w:rsidR="007175B8">
        <w:t>’</w:t>
      </w:r>
      <w:r w:rsidRPr="003F17DD">
        <w:t>aggravent le fardeau des maladies respiratoires dans ces régions.</w:t>
      </w:r>
    </w:p>
    <w:p w14:paraId="27625503" w14:textId="39A3BBD3"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Après plusieurs années de développement, le premier</w:t>
      </w:r>
      <w:r w:rsidR="00FA461F">
        <w:t> </w:t>
      </w:r>
      <w:r w:rsidRPr="003F17DD">
        <w:t>inhalateur-doseur pressurisé utilisant un propulseur à faible potentiel de réchauffement global a été inauguré au Royaume-Uni. Une deuxième</w:t>
      </w:r>
      <w:r w:rsidR="001B1444">
        <w:t> </w:t>
      </w:r>
      <w:r w:rsidRPr="003F17DD">
        <w:t>entreprise a déposé une demande d</w:t>
      </w:r>
      <w:r w:rsidR="007175B8">
        <w:t>’</w:t>
      </w:r>
      <w:r w:rsidRPr="003F17DD">
        <w:t>autorisation, tandis que deux</w:t>
      </w:r>
      <w:r w:rsidR="00EF0DC7">
        <w:t> </w:t>
      </w:r>
      <w:r w:rsidRPr="003F17DD">
        <w:t>autres ont achevé leurs essais cliniques et prévoient de solliciter une autorisation de mise sur le marché.</w:t>
      </w:r>
    </w:p>
    <w:p w14:paraId="02640F4A" w14:textId="1050EE81"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 rapport souligne également le rôle de la propriété intellectuelle dans la mise au point d</w:t>
      </w:r>
      <w:r w:rsidR="007175B8">
        <w:t>’</w:t>
      </w:r>
      <w:r w:rsidRPr="003F17DD">
        <w:t>inhalateurs-doseurs pressurisés à faible potentiel de réchauffement global et mentionne l</w:t>
      </w:r>
      <w:r w:rsidR="007175B8">
        <w:t>’</w:t>
      </w:r>
      <w:r w:rsidRPr="003F17DD">
        <w:t>existence d</w:t>
      </w:r>
      <w:r w:rsidR="007175B8">
        <w:t>’</w:t>
      </w:r>
      <w:r w:rsidRPr="003F17DD">
        <w:t>une législation de l</w:t>
      </w:r>
      <w:r w:rsidR="007175B8">
        <w:t>’</w:t>
      </w:r>
      <w:r w:rsidRPr="003F17DD">
        <w:t>Union européenne limitant la commercialisation des produits en plastique à</w:t>
      </w:r>
      <w:r w:rsidR="0047188C">
        <w:t> </w:t>
      </w:r>
      <w:r w:rsidRPr="003F17DD">
        <w:t>usage unique lorsqu</w:t>
      </w:r>
      <w:r w:rsidR="007175B8">
        <w:t>’</w:t>
      </w:r>
      <w:r w:rsidRPr="003F17DD">
        <w:t xml:space="preserve">il existe des solutions de remplacement appropriées. </w:t>
      </w:r>
    </w:p>
    <w:p w14:paraId="53AB2A07" w14:textId="77777777" w:rsidR="00B94C90" w:rsidRPr="003F17DD" w:rsidRDefault="00B94C90" w:rsidP="00B94C90">
      <w:pPr>
        <w:pStyle w:val="Normalnumber"/>
        <w:tabs>
          <w:tab w:val="clear" w:pos="1247"/>
          <w:tab w:val="clear" w:pos="1814"/>
          <w:tab w:val="clear" w:pos="2381"/>
          <w:tab w:val="clear" w:pos="2948"/>
          <w:tab w:val="clear" w:pos="3515"/>
          <w:tab w:val="left" w:pos="624"/>
        </w:tabs>
        <w:rPr>
          <w:color w:val="000000" w:themeColor="text1"/>
        </w:rPr>
      </w:pPr>
      <w:r w:rsidRPr="003F17DD">
        <w:t>Le Groupe de travail à composition non limitée souhaitera peut-être examiner ledit rapport et recommander une marche à suivre.</w:t>
      </w:r>
    </w:p>
    <w:p w14:paraId="68782576" w14:textId="2276EAEA" w:rsidR="00B94C90" w:rsidRPr="003F17DD" w:rsidRDefault="00183B6C" w:rsidP="00B94C90">
      <w:pPr>
        <w:pStyle w:val="CH3"/>
      </w:pPr>
      <w:r>
        <w:rPr>
          <w:bCs/>
        </w:rPr>
        <w:tab/>
      </w:r>
      <w:r w:rsidR="00B94C90" w:rsidRPr="003F17DD">
        <w:rPr>
          <w:bCs/>
        </w:rPr>
        <w:t>c)</w:t>
      </w:r>
      <w:r w:rsidR="00B94C90" w:rsidRPr="003F17DD">
        <w:tab/>
      </w:r>
      <w:r w:rsidR="00B94C90" w:rsidRPr="003F17DD">
        <w:rPr>
          <w:bCs/>
        </w:rPr>
        <w:t>Options concernant l</w:t>
      </w:r>
      <w:r w:rsidR="007175B8">
        <w:rPr>
          <w:bCs/>
        </w:rPr>
        <w:t>’</w:t>
      </w:r>
      <w:r w:rsidR="00B94C90" w:rsidRPr="003F17DD">
        <w:rPr>
          <w:bCs/>
        </w:rPr>
        <w:t>organisation du Groupe et de ses comités des choix techniques (décision</w:t>
      </w:r>
      <w:r w:rsidR="00721DAB">
        <w:rPr>
          <w:bCs/>
        </w:rPr>
        <w:t> </w:t>
      </w:r>
      <w:r w:rsidR="00B94C90" w:rsidRPr="003F17DD">
        <w:rPr>
          <w:bCs/>
        </w:rPr>
        <w:t>XXXV/20)</w:t>
      </w:r>
    </w:p>
    <w:p w14:paraId="64420551" w14:textId="0D5A4D4F"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Comme indiqué dans la note du Secrétariat (UNEP/OzL.Pro.WG.1/48/2, par.</w:t>
      </w:r>
      <w:r w:rsidR="00564674">
        <w:t> </w:t>
      </w:r>
      <w:r w:rsidRPr="003F17DD">
        <w:t>20 à 22), la trente-cinquième</w:t>
      </w:r>
      <w:r w:rsidR="00564674">
        <w:t> </w:t>
      </w:r>
      <w:r w:rsidRPr="003F17DD">
        <w:t>Réunion des Parties a, dans sa décision</w:t>
      </w:r>
      <w:r w:rsidR="00DA71DB">
        <w:t> </w:t>
      </w:r>
      <w:r w:rsidRPr="003F17DD">
        <w:t>XXXV/20, prié le Groupe de l</w:t>
      </w:r>
      <w:r w:rsidR="007175B8">
        <w:t>’</w:t>
      </w:r>
      <w:r w:rsidRPr="003F17DD">
        <w:t>évaluation technique et économique de présenter, dans le rapport d</w:t>
      </w:r>
      <w:r w:rsidR="007175B8">
        <w:t>’</w:t>
      </w:r>
      <w:r w:rsidRPr="003F17DD">
        <w:t>activité qu</w:t>
      </w:r>
      <w:r w:rsidR="007175B8">
        <w:t>’</w:t>
      </w:r>
      <w:r w:rsidRPr="003F17DD">
        <w:t>il établirait en vue de la quarante</w:t>
      </w:r>
      <w:r w:rsidR="009713D8">
        <w:noBreakHyphen/>
      </w:r>
      <w:r w:rsidRPr="003F17DD">
        <w:t>septième</w:t>
      </w:r>
      <w:r w:rsidR="00540115">
        <w:t> </w:t>
      </w:r>
      <w:r w:rsidRPr="003F17DD">
        <w:t>réunion du Groupe de travail à composition non limitée, des options sur son organisation et celle de ses comités des choix techniques, compte tenu de son mandat défini dans la décision</w:t>
      </w:r>
      <w:r w:rsidR="002A1685">
        <w:t> </w:t>
      </w:r>
      <w:r w:rsidRPr="003F17DD">
        <w:t>XXIV/8, en s</w:t>
      </w:r>
      <w:r w:rsidR="007175B8">
        <w:t>’</w:t>
      </w:r>
      <w:r w:rsidRPr="003F17DD">
        <w:t>appuyant sur des consultations avec les coprésident(e)s et les membres des comités des choix techniques, ainsi que sur l</w:t>
      </w:r>
      <w:r w:rsidR="007175B8">
        <w:t>’</w:t>
      </w:r>
      <w:r w:rsidRPr="003F17DD">
        <w:t>expérience acquise dans la mise en œuvre, à titre expérimental, de nouvelles méthodes d</w:t>
      </w:r>
      <w:r w:rsidR="007175B8">
        <w:t>’</w:t>
      </w:r>
      <w:r w:rsidRPr="003F17DD">
        <w:t xml:space="preserve">organisation de leurs travaux. </w:t>
      </w:r>
    </w:p>
    <w:p w14:paraId="53D2F261" w14:textId="4822C37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La réponse initiale du Groupe de l</w:t>
      </w:r>
      <w:r w:rsidR="007175B8">
        <w:t>’</w:t>
      </w:r>
      <w:r w:rsidRPr="003F17DD">
        <w:t>évaluation technique et économique à la décision</w:t>
      </w:r>
      <w:r w:rsidR="009A565B">
        <w:t> </w:t>
      </w:r>
      <w:r w:rsidRPr="003F17DD">
        <w:t>XXXV/20, élaborée par un groupe de travail composé de huit</w:t>
      </w:r>
      <w:r w:rsidR="00D910DC">
        <w:t> </w:t>
      </w:r>
      <w:r w:rsidRPr="003F17DD">
        <w:t>membres, a été présentée au Groupe de travail à composition non limitée lors de sa quarante-septième</w:t>
      </w:r>
      <w:r w:rsidR="00ED6960">
        <w:t> </w:t>
      </w:r>
      <w:r w:rsidRPr="003F17DD">
        <w:t>réunion</w:t>
      </w:r>
      <w:r w:rsidRPr="003F17DD">
        <w:rPr>
          <w:rStyle w:val="FootnoteReference"/>
        </w:rPr>
        <w:footnoteReference w:id="9"/>
      </w:r>
      <w:r w:rsidRPr="003F17DD">
        <w:t>. Dans son rapport d</w:t>
      </w:r>
      <w:r w:rsidR="007175B8">
        <w:t>’</w:t>
      </w:r>
      <w:r w:rsidRPr="003F17DD">
        <w:t>activité de 2026, le Groupe de l</w:t>
      </w:r>
      <w:r w:rsidR="007175B8">
        <w:t>’</w:t>
      </w:r>
      <w:r w:rsidRPr="003F17DD">
        <w:t>évaluation technique et économique présente une analyse plus approfondie et met en avant les options privilégiées pour sa réorganisation. Cette analyse, réalisée par le groupe de travail qui s</w:t>
      </w:r>
      <w:r w:rsidR="007175B8">
        <w:t>’</w:t>
      </w:r>
      <w:r w:rsidRPr="003F17DD">
        <w:t>est réuni à nouveau, figure au chapitre</w:t>
      </w:r>
      <w:r w:rsidR="00902683">
        <w:t> </w:t>
      </w:r>
      <w:r w:rsidRPr="003F17DD">
        <w:t xml:space="preserve">8 du rapport. </w:t>
      </w:r>
      <w:r w:rsidR="004B3FC3" w:rsidRPr="003F17DD">
        <w:t>Elle</w:t>
      </w:r>
      <w:r w:rsidRPr="003F17DD">
        <w:t xml:space="preserve"> est résumé</w:t>
      </w:r>
      <w:r w:rsidR="004B3FC3" w:rsidRPr="003F17DD">
        <w:t>e</w:t>
      </w:r>
      <w:r w:rsidRPr="003F17DD">
        <w:t xml:space="preserve"> dans les paragraphes qui suivent. </w:t>
      </w:r>
    </w:p>
    <w:p w14:paraId="5EA95A0A" w14:textId="29A5EEE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À l</w:t>
      </w:r>
      <w:r w:rsidR="007175B8">
        <w:t>’</w:t>
      </w:r>
      <w:r w:rsidRPr="003F17DD">
        <w:t>heure actuelle, le Groupe de l</w:t>
      </w:r>
      <w:r w:rsidR="007175B8">
        <w:t>’</w:t>
      </w:r>
      <w:r w:rsidRPr="003F17DD">
        <w:t>évaluation technique et économique compte 21</w:t>
      </w:r>
      <w:r w:rsidR="008F4BB2">
        <w:t> </w:t>
      </w:r>
      <w:r w:rsidRPr="003F17DD">
        <w:t>membres</w:t>
      </w:r>
      <w:r w:rsidR="00BB27F8">
        <w:t> </w:t>
      </w:r>
      <w:r w:rsidRPr="003F17DD">
        <w:t>: 3</w:t>
      </w:r>
      <w:r w:rsidR="00C42314">
        <w:t> </w:t>
      </w:r>
      <w:proofErr w:type="gramStart"/>
      <w:r w:rsidRPr="003F17DD">
        <w:t>coprésident</w:t>
      </w:r>
      <w:proofErr w:type="gramEnd"/>
      <w:r w:rsidRPr="003F17DD">
        <w:t>(e)s du Groupe, 12</w:t>
      </w:r>
      <w:r w:rsidR="00BB27F8">
        <w:t> </w:t>
      </w:r>
      <w:proofErr w:type="gramStart"/>
      <w:r w:rsidRPr="003F17DD">
        <w:t>coprésident</w:t>
      </w:r>
      <w:proofErr w:type="gramEnd"/>
      <w:r w:rsidRPr="003F17DD">
        <w:t>(e)s des comités des choix techniques et 6</w:t>
      </w:r>
      <w:r w:rsidR="00D80816">
        <w:t> </w:t>
      </w:r>
      <w:proofErr w:type="gramStart"/>
      <w:r w:rsidRPr="003F17DD">
        <w:t>expert</w:t>
      </w:r>
      <w:proofErr w:type="gramEnd"/>
      <w:r w:rsidRPr="003F17DD">
        <w:t>(e)s de haut niveau. Parmi eux, 48</w:t>
      </w:r>
      <w:r w:rsidR="003B2189">
        <w:t> </w:t>
      </w:r>
      <w:r w:rsidRPr="003F17DD">
        <w:t>% proviennent de Pa</w:t>
      </w:r>
      <w:r w:rsidR="004B3FC3" w:rsidRPr="003F17DD">
        <w:t>r</w:t>
      </w:r>
      <w:r w:rsidRPr="003F17DD">
        <w:t>ties visées à l</w:t>
      </w:r>
      <w:r w:rsidR="007175B8">
        <w:t>’</w:t>
      </w:r>
      <w:r w:rsidRPr="003F17DD">
        <w:t>article</w:t>
      </w:r>
      <w:r w:rsidR="007F1163">
        <w:t> </w:t>
      </w:r>
      <w:r w:rsidRPr="003F17DD">
        <w:t>5, avec une répartition par genre de 6</w:t>
      </w:r>
      <w:r w:rsidR="003D44C9">
        <w:t> </w:t>
      </w:r>
      <w:r w:rsidRPr="003F17DD">
        <w:t>femmes et 15</w:t>
      </w:r>
      <w:r w:rsidR="00CB25CF">
        <w:t> </w:t>
      </w:r>
      <w:r w:rsidRPr="003F17DD">
        <w:t>hommes. Plus de 150</w:t>
      </w:r>
      <w:r w:rsidR="00200FA7">
        <w:t> </w:t>
      </w:r>
      <w:proofErr w:type="gramStart"/>
      <w:r w:rsidRPr="003F17DD">
        <w:t>expert</w:t>
      </w:r>
      <w:proofErr w:type="gramEnd"/>
      <w:r w:rsidRPr="003F17DD">
        <w:t>(e)s siègent au sein du Groupe de l</w:t>
      </w:r>
      <w:r w:rsidR="007175B8">
        <w:t>’</w:t>
      </w:r>
      <w:r w:rsidRPr="003F17DD">
        <w:t>évaluation technique et économique et de ses comités des choix techniques, où ils (elles) travaillent à titre bénévole.</w:t>
      </w:r>
    </w:p>
    <w:p w14:paraId="21F01391" w14:textId="1BC330CB"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Selon le Groupe de l</w:t>
      </w:r>
      <w:r w:rsidR="007175B8">
        <w:t>’</w:t>
      </w:r>
      <w:r w:rsidRPr="003F17DD">
        <w:t>évaluation technique et économique, dans l</w:t>
      </w:r>
      <w:r w:rsidR="007175B8">
        <w:t>’</w:t>
      </w:r>
      <w:r w:rsidRPr="003F17DD">
        <w:t>ensemble, la composition et la structure actuelles des comités des choix techniques fonctionnent efficacement et leur permettent de mener à bien leurs travaux. L</w:t>
      </w:r>
      <w:r w:rsidR="007175B8">
        <w:t>’</w:t>
      </w:r>
      <w:r w:rsidRPr="003F17DD">
        <w:t>analyse complémentaire soumise à l</w:t>
      </w:r>
      <w:r w:rsidR="007175B8">
        <w:t>’</w:t>
      </w:r>
      <w:r w:rsidRPr="003F17DD">
        <w:t>examen des Parties porte notamment sur l</w:t>
      </w:r>
      <w:r w:rsidR="007175B8">
        <w:t>’</w:t>
      </w:r>
      <w:r w:rsidRPr="003F17DD">
        <w:t>option privilégiée par chaque comité pour gérer les changements attendus en matière de charge de travail à partir de 2027. Ces options s</w:t>
      </w:r>
      <w:r w:rsidR="007175B8">
        <w:t>’</w:t>
      </w:r>
      <w:r w:rsidRPr="003F17DD">
        <w:t xml:space="preserve">appuient sur les réalités pratiques actuelles, notamment la baisse prévue du nombre de membres, les contraintes pesant sur le soutien à la participation et les besoins permanents en matière de recrutement, ainsi que la mise en place progressive de modes de fonctionnement fondés sur des sous-comités au sein des deux plus grands comités des choix techniques. Ces options sont conçues pour rester flexibles et pourront être réexaminées à mesure que les besoins des Parties évolueront. </w:t>
      </w:r>
    </w:p>
    <w:p w14:paraId="122B64AA" w14:textId="1BB8F974"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Dans ce contexte, le Groupe de l</w:t>
      </w:r>
      <w:r w:rsidR="007175B8">
        <w:t>’</w:t>
      </w:r>
      <w:r w:rsidRPr="003F17DD">
        <w:t xml:space="preserve">évaluation technique et économique renvoie à son tableau des compétences mis à jour, qui met en évidence les lacunes </w:t>
      </w:r>
      <w:r w:rsidR="004B3FC3" w:rsidRPr="003F17DD">
        <w:t>recensées</w:t>
      </w:r>
      <w:r w:rsidRPr="003F17DD">
        <w:t xml:space="preserve"> et encourage les Parties à nommer des expert(e)s afin de répondre à ces besoins.</w:t>
      </w:r>
    </w:p>
    <w:p w14:paraId="25C19012" w14:textId="7CFD7464"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Pour chaque comité des choix techniques, le rapport présente des informations générales sur son champ d</w:t>
      </w:r>
      <w:r w:rsidR="007175B8">
        <w:t>’</w:t>
      </w:r>
      <w:r w:rsidRPr="003F17DD">
        <w:t>action et les questions qu</w:t>
      </w:r>
      <w:r w:rsidR="007175B8">
        <w:t>’</w:t>
      </w:r>
      <w:r w:rsidRPr="003F17DD">
        <w:t>il traite, suivies d</w:t>
      </w:r>
      <w:r w:rsidR="007175B8">
        <w:t>’</w:t>
      </w:r>
      <w:r w:rsidRPr="003F17DD">
        <w:t>une analyse de l</w:t>
      </w:r>
      <w:r w:rsidR="007175B8">
        <w:t>’</w:t>
      </w:r>
      <w:r w:rsidRPr="003F17DD">
        <w:t>option privilégiée pour la configuration future, y</w:t>
      </w:r>
      <w:r w:rsidR="00F97DAB">
        <w:t> </w:t>
      </w:r>
      <w:r w:rsidRPr="003F17DD">
        <w:t xml:space="preserve">compris, le cas échéant, les avantages et les inconvénients qui y sont associés. </w:t>
      </w:r>
      <w:r w:rsidRPr="003F17DD">
        <w:lastRenderedPageBreak/>
        <w:t>En résumé, les options privilégiées par le Groupe de l</w:t>
      </w:r>
      <w:r w:rsidR="007175B8">
        <w:t>’</w:t>
      </w:r>
      <w:r w:rsidRPr="003F17DD">
        <w:t>évaluation technique et économique sont les suivantes</w:t>
      </w:r>
      <w:r w:rsidR="00EE44D2">
        <w:t> </w:t>
      </w:r>
      <w:r w:rsidRPr="003F17DD">
        <w:t>:</w:t>
      </w:r>
    </w:p>
    <w:p w14:paraId="0DC0D2DE" w14:textId="1B3895E0" w:rsidR="00B94C90" w:rsidRPr="003F17DD" w:rsidRDefault="00B94C90">
      <w:pPr>
        <w:pStyle w:val="Normalnumber"/>
        <w:numPr>
          <w:ilvl w:val="0"/>
          <w:numId w:val="18"/>
        </w:numPr>
        <w:tabs>
          <w:tab w:val="clear" w:pos="1247"/>
          <w:tab w:val="clear" w:pos="1814"/>
          <w:tab w:val="clear" w:pos="2381"/>
          <w:tab w:val="clear" w:pos="2948"/>
          <w:tab w:val="clear" w:pos="3515"/>
          <w:tab w:val="left" w:pos="624"/>
        </w:tabs>
        <w:ind w:left="1247" w:firstLine="624"/>
      </w:pPr>
      <w:r w:rsidRPr="003F17DD">
        <w:t>Le Comité des choix techniques pour les mousses souples et rigides, qui compte actuellement deux</w:t>
      </w:r>
      <w:r w:rsidR="001E33D5">
        <w:t> </w:t>
      </w:r>
      <w:r w:rsidRPr="003F17DD">
        <w:t>coprésident(e)s et 19</w:t>
      </w:r>
      <w:r w:rsidR="0003737C">
        <w:t> </w:t>
      </w:r>
      <w:r w:rsidRPr="003F17DD">
        <w:t>membres, est considéré comme fonctionnant bien et ayant une taille appropriée. Il propose des analyses critiques des différentes options et des avancées techniques dans le secteur des mousses. Il pourrait envisager de légers ajustements à l</w:t>
      </w:r>
      <w:r w:rsidR="007175B8">
        <w:t>’</w:t>
      </w:r>
      <w:r w:rsidRPr="003F17DD">
        <w:t>avenir (tels qu</w:t>
      </w:r>
      <w:r w:rsidR="007175B8">
        <w:t>’</w:t>
      </w:r>
      <w:r w:rsidRPr="003F17DD">
        <w:t xml:space="preserve">une diminution de la fréquence des réunions ou une réduction de </w:t>
      </w:r>
      <w:r w:rsidR="00955F3F">
        <w:t>s</w:t>
      </w:r>
      <w:r w:rsidRPr="003F17DD">
        <w:t>a taille une fois les transitions clés achevées), mais il est préférable, à ce stade, de conserver sa structure actuelle afin d</w:t>
      </w:r>
      <w:r w:rsidR="007175B8">
        <w:t>’</w:t>
      </w:r>
      <w:r w:rsidRPr="003F17DD">
        <w:t>assurer une stabilité globale</w:t>
      </w:r>
      <w:r w:rsidR="003567A0">
        <w:t> </w:t>
      </w:r>
      <w:r w:rsidRPr="003F17DD">
        <w:t>;</w:t>
      </w:r>
    </w:p>
    <w:p w14:paraId="39663756" w14:textId="3A388F64" w:rsidR="00B94C90" w:rsidRPr="003F17DD" w:rsidRDefault="00B94C90">
      <w:pPr>
        <w:pStyle w:val="Normalnumber"/>
        <w:numPr>
          <w:ilvl w:val="0"/>
          <w:numId w:val="18"/>
        </w:numPr>
        <w:tabs>
          <w:tab w:val="clear" w:pos="1247"/>
          <w:tab w:val="clear" w:pos="1814"/>
          <w:tab w:val="clear" w:pos="2381"/>
          <w:tab w:val="clear" w:pos="2948"/>
          <w:tab w:val="clear" w:pos="3515"/>
          <w:tab w:val="left" w:pos="624"/>
        </w:tabs>
        <w:ind w:left="1247" w:firstLine="624"/>
      </w:pPr>
      <w:r w:rsidRPr="003F17DD">
        <w:t>Le Comité des choix techniques pour la lutte contre les incendies, composé actuellement de deux</w:t>
      </w:r>
      <w:r w:rsidR="00871D35">
        <w:t> </w:t>
      </w:r>
      <w:r w:rsidRPr="003F17DD">
        <w:t>coprésident(e)s et de 17</w:t>
      </w:r>
      <w:r w:rsidR="007949FD">
        <w:t> </w:t>
      </w:r>
      <w:r w:rsidRPr="003F17DD">
        <w:t>membres, est considéré comme indispensable, car il assure des fonctions essentielles telles que la modélisation des émissions, la gestion des réserves de halons et l</w:t>
      </w:r>
      <w:r w:rsidR="007175B8">
        <w:t>’</w:t>
      </w:r>
      <w:r w:rsidRPr="003F17DD">
        <w:t xml:space="preserve">évaluation des besoins liés au secteur </w:t>
      </w:r>
      <w:r w:rsidR="00982C34" w:rsidRPr="003F17DD">
        <w:t>de l</w:t>
      </w:r>
      <w:r w:rsidR="007175B8">
        <w:t>’</w:t>
      </w:r>
      <w:r w:rsidR="00982C34" w:rsidRPr="003F17DD">
        <w:t>aviation</w:t>
      </w:r>
      <w:r w:rsidRPr="003F17DD">
        <w:t xml:space="preserve">. Compte tenu des évolutions </w:t>
      </w:r>
      <w:r w:rsidR="000E3705" w:rsidRPr="003F17DD">
        <w:t xml:space="preserve">récentes </w:t>
      </w:r>
      <w:r w:rsidRPr="003F17DD">
        <w:t>dans le secteur de la lutte contre les incendies et de la probabilité de futures demandes de dérogation pour utilisation essentielle, notamment pour l</w:t>
      </w:r>
      <w:r w:rsidR="007175B8">
        <w:t>’</w:t>
      </w:r>
      <w:r w:rsidRPr="003F17DD">
        <w:t>aviation civile et d</w:t>
      </w:r>
      <w:r w:rsidR="007175B8">
        <w:t>’</w:t>
      </w:r>
      <w:r w:rsidRPr="003F17DD">
        <w:t>autres utilisations durables, la structure actuelle du Comité, avec des membres renouvelé(e)s ou remplacé(e)s et, dans l</w:t>
      </w:r>
      <w:r w:rsidR="007175B8">
        <w:t>’</w:t>
      </w:r>
      <w:r w:rsidRPr="003F17DD">
        <w:t>idéal, un(e) coprésident(e) supplémentaire issu</w:t>
      </w:r>
      <w:r w:rsidR="00955F3F">
        <w:t>(e)</w:t>
      </w:r>
      <w:r w:rsidRPr="003F17DD">
        <w:t xml:space="preserve"> d</w:t>
      </w:r>
      <w:r w:rsidR="007175B8">
        <w:t>’</w:t>
      </w:r>
      <w:r w:rsidRPr="003F17DD">
        <w:t>une Partie visée à l</w:t>
      </w:r>
      <w:r w:rsidR="007175B8">
        <w:t>’</w:t>
      </w:r>
      <w:r w:rsidRPr="003F17DD">
        <w:t>article</w:t>
      </w:r>
      <w:r w:rsidR="00AE3B38">
        <w:t> </w:t>
      </w:r>
      <w:r w:rsidRPr="003F17DD">
        <w:t>5, est jugée appropriée. Le Groupe de l</w:t>
      </w:r>
      <w:r w:rsidR="007175B8">
        <w:t>’</w:t>
      </w:r>
      <w:r w:rsidRPr="003F17DD">
        <w:t>évaluation technique et économique recommande donc de conserver la structure actuelle, en soulignant que la réduction du nombre de membres pourrait compromettre sa capacité à répondre aux besoins futurs, notamment en ce qui concerne les utilisations essentielles dans le domaine de l</w:t>
      </w:r>
      <w:r w:rsidR="007175B8">
        <w:t>’</w:t>
      </w:r>
      <w:r w:rsidRPr="003F17DD">
        <w:t>aviation et les systèmes existants</w:t>
      </w:r>
      <w:r w:rsidR="003567A0">
        <w:t> </w:t>
      </w:r>
      <w:r w:rsidRPr="003F17DD">
        <w:t>;</w:t>
      </w:r>
    </w:p>
    <w:p w14:paraId="2165A9EC" w14:textId="6FAEEF73" w:rsidR="00B94C90" w:rsidRPr="003F17DD" w:rsidRDefault="00B94C90">
      <w:pPr>
        <w:pStyle w:val="Normalnumber"/>
        <w:numPr>
          <w:ilvl w:val="0"/>
          <w:numId w:val="18"/>
        </w:numPr>
        <w:tabs>
          <w:tab w:val="clear" w:pos="1247"/>
          <w:tab w:val="clear" w:pos="1814"/>
          <w:tab w:val="clear" w:pos="2381"/>
          <w:tab w:val="clear" w:pos="2948"/>
          <w:tab w:val="clear" w:pos="3515"/>
          <w:tab w:val="left" w:pos="624"/>
        </w:tabs>
        <w:ind w:left="1247" w:firstLine="624"/>
      </w:pPr>
      <w:r w:rsidRPr="003F17DD">
        <w:t>Le Comité des choix techniques pour le bromure de méthyle, composé actuellement de deux</w:t>
      </w:r>
      <w:r w:rsidR="0039257E">
        <w:t> </w:t>
      </w:r>
      <w:r w:rsidRPr="003F17DD">
        <w:t xml:space="preserve">coprésident(e)s et de </w:t>
      </w:r>
      <w:r w:rsidR="000E3C66">
        <w:t>16</w:t>
      </w:r>
      <w:r w:rsidR="00352A48">
        <w:t> </w:t>
      </w:r>
      <w:r w:rsidRPr="003F17DD">
        <w:t>membres, indique que les utilisations réglementées du bromure de méthyle ont été en grande partie éliminées, mais que les utilisations à des fins de quarantaine et de traitement préalables à l</w:t>
      </w:r>
      <w:r w:rsidR="007175B8">
        <w:t>’</w:t>
      </w:r>
      <w:r w:rsidRPr="003F17DD">
        <w:t>expédition restent importantes. Il recommande de maintenir un groupe d</w:t>
      </w:r>
      <w:r w:rsidR="007175B8">
        <w:t>’</w:t>
      </w:r>
      <w:r w:rsidRPr="003F17DD">
        <w:t xml:space="preserve">expert(e)s de taille modérée afin de préserver le savoir-faire institutionnel et de gérer les utilisations encore soumises à </w:t>
      </w:r>
      <w:r w:rsidR="00982C34" w:rsidRPr="003F17DD">
        <w:t>réglementation</w:t>
      </w:r>
      <w:r w:rsidRPr="003F17DD">
        <w:t xml:space="preserve"> </w:t>
      </w:r>
      <w:r w:rsidR="00982C34" w:rsidRPr="003F17DD">
        <w:t>ou faisant l</w:t>
      </w:r>
      <w:r w:rsidR="007175B8">
        <w:t>’</w:t>
      </w:r>
      <w:r w:rsidR="00982C34" w:rsidRPr="003F17DD">
        <w:t>objet de dérogations</w:t>
      </w:r>
      <w:r w:rsidRPr="003F17DD">
        <w:t>, tout en continuant à soutenir les solutions de remplacement et les stratégies de réduction des émissions</w:t>
      </w:r>
      <w:r w:rsidR="003567A0">
        <w:t> </w:t>
      </w:r>
      <w:r w:rsidRPr="003F17DD">
        <w:t>;</w:t>
      </w:r>
    </w:p>
    <w:p w14:paraId="543487BE" w14:textId="717DC98C" w:rsidR="00B94C90" w:rsidRPr="003F17DD" w:rsidRDefault="00B94C90">
      <w:pPr>
        <w:pStyle w:val="Normalnumber"/>
        <w:numPr>
          <w:ilvl w:val="0"/>
          <w:numId w:val="18"/>
        </w:numPr>
        <w:tabs>
          <w:tab w:val="clear" w:pos="1247"/>
          <w:tab w:val="clear" w:pos="1814"/>
          <w:tab w:val="clear" w:pos="2381"/>
          <w:tab w:val="clear" w:pos="2948"/>
          <w:tab w:val="clear" w:pos="3515"/>
          <w:tab w:val="left" w:pos="624"/>
        </w:tabs>
        <w:ind w:left="1247" w:firstLine="624"/>
      </w:pPr>
      <w:r w:rsidRPr="003F17DD">
        <w:t>Le Comité des choix techniques pour les produits chimiques et médicaux, composé actuellement de trois</w:t>
      </w:r>
      <w:r w:rsidR="004445DC">
        <w:t> </w:t>
      </w:r>
      <w:r w:rsidRPr="003F17DD">
        <w:t>coprésident(e)s et de 39</w:t>
      </w:r>
      <w:r w:rsidR="0030191A">
        <w:t> </w:t>
      </w:r>
      <w:r w:rsidRPr="003F17DD">
        <w:t>membres, couvre un champ d</w:t>
      </w:r>
      <w:r w:rsidR="007175B8">
        <w:t>’</w:t>
      </w:r>
      <w:r w:rsidRPr="003F17DD">
        <w:t xml:space="preserve">action vaste et en pleine expansion, qui englobe les produits pharmaceutiques, les solvants, la fabrication de semi-conducteurs et les questions chimiques émergentes telles que les SPFA et les émissions </w:t>
      </w:r>
      <w:r w:rsidR="00982C34" w:rsidRPr="003F17DD">
        <w:t>d</w:t>
      </w:r>
      <w:r w:rsidR="007175B8">
        <w:t>’</w:t>
      </w:r>
      <w:r w:rsidRPr="003F17DD">
        <w:t>HFC. Compte tenu de l</w:t>
      </w:r>
      <w:r w:rsidR="007175B8">
        <w:t>’</w:t>
      </w:r>
      <w:r w:rsidRPr="003F17DD">
        <w:t>augmentation de sa charge de travail et de la complexité de ses missions, il propose une éventuelle restructuration future en deux</w:t>
      </w:r>
      <w:r w:rsidR="00323001">
        <w:t> </w:t>
      </w:r>
      <w:r w:rsidRPr="003F17DD">
        <w:t>sous-comités, l</w:t>
      </w:r>
      <w:r w:rsidR="007175B8">
        <w:t>’</w:t>
      </w:r>
      <w:r w:rsidRPr="003F17DD">
        <w:t>un consacré aux «</w:t>
      </w:r>
      <w:r w:rsidR="00D637A6">
        <w:t> </w:t>
      </w:r>
      <w:r w:rsidRPr="003F17DD">
        <w:t>aérosols</w:t>
      </w:r>
      <w:r w:rsidR="00982C34" w:rsidRPr="003F17DD">
        <w:t xml:space="preserve"> et </w:t>
      </w:r>
      <w:r w:rsidRPr="003F17DD">
        <w:t>produits médicaux</w:t>
      </w:r>
      <w:r w:rsidR="00D637A6">
        <w:t> </w:t>
      </w:r>
      <w:r w:rsidRPr="003F17DD">
        <w:t>» et l</w:t>
      </w:r>
      <w:r w:rsidR="007175B8">
        <w:t>’</w:t>
      </w:r>
      <w:r w:rsidRPr="003F17DD">
        <w:t>autre aux «</w:t>
      </w:r>
      <w:r w:rsidR="00323001">
        <w:t> </w:t>
      </w:r>
      <w:r w:rsidRPr="003F17DD">
        <w:t>produits chimiques</w:t>
      </w:r>
      <w:r w:rsidR="00C9187F">
        <w:t> </w:t>
      </w:r>
      <w:r w:rsidRPr="003F17DD">
        <w:t>», animés par quatre coprésident(e)s, afin d</w:t>
      </w:r>
      <w:r w:rsidR="007175B8">
        <w:t>’</w:t>
      </w:r>
      <w:r w:rsidRPr="003F17DD">
        <w:t>améliorer l</w:t>
      </w:r>
      <w:r w:rsidR="007175B8">
        <w:t>’</w:t>
      </w:r>
      <w:r w:rsidRPr="003F17DD">
        <w:t>efficacité tout en conservant une large couverture technique</w:t>
      </w:r>
      <w:r w:rsidR="003567A0">
        <w:t> </w:t>
      </w:r>
      <w:r w:rsidRPr="003F17DD">
        <w:t>;</w:t>
      </w:r>
    </w:p>
    <w:p w14:paraId="7E486906" w14:textId="72759C21" w:rsidR="00B94C90" w:rsidRPr="003F17DD" w:rsidRDefault="00B94C90">
      <w:pPr>
        <w:pStyle w:val="Normalnumber"/>
        <w:numPr>
          <w:ilvl w:val="0"/>
          <w:numId w:val="18"/>
        </w:numPr>
        <w:tabs>
          <w:tab w:val="clear" w:pos="1247"/>
          <w:tab w:val="clear" w:pos="1814"/>
          <w:tab w:val="clear" w:pos="2381"/>
          <w:tab w:val="clear" w:pos="2948"/>
          <w:tab w:val="clear" w:pos="3515"/>
          <w:tab w:val="left" w:pos="624"/>
        </w:tabs>
        <w:ind w:left="1247" w:firstLine="624"/>
      </w:pPr>
      <w:r w:rsidRPr="003F17DD">
        <w:t>Le Comité des choix techniques pour la réfrigération, la climatisation et les pompes à chaleur, qui compte actuellement quatre coprésident(e)s et 42</w:t>
      </w:r>
      <w:r w:rsidR="00C9187F">
        <w:t> </w:t>
      </w:r>
      <w:r w:rsidRPr="003F17DD">
        <w:t>membres, doit faire face à une charge de travail croissante en raison de l</w:t>
      </w:r>
      <w:r w:rsidR="007175B8">
        <w:t>’</w:t>
      </w:r>
      <w:r w:rsidRPr="003F17DD">
        <w:t>augmentation mondiale de la demande en systèmes de refroidissement, des politiques en matière d</w:t>
      </w:r>
      <w:r w:rsidR="007175B8">
        <w:t>’</w:t>
      </w:r>
      <w:r w:rsidRPr="003F17DD">
        <w:t>efficacité énergétique et de la mise en œuvre de l</w:t>
      </w:r>
      <w:r w:rsidR="007175B8">
        <w:t>’</w:t>
      </w:r>
      <w:r w:rsidRPr="003F17DD">
        <w:t xml:space="preserve">Amendement de Kigali. Il propose de conserver un </w:t>
      </w:r>
      <w:r w:rsidR="00982C34" w:rsidRPr="003F17DD">
        <w:t xml:space="preserve">large </w:t>
      </w:r>
      <w:r w:rsidRPr="003F17DD">
        <w:t>comité, doté de sous-comités chargés respectivement du «</w:t>
      </w:r>
      <w:r w:rsidR="00464061">
        <w:t> </w:t>
      </w:r>
      <w:r w:rsidRPr="003F17DD">
        <w:t>confort thermique</w:t>
      </w:r>
      <w:r w:rsidR="002A0F15">
        <w:t> </w:t>
      </w:r>
      <w:r w:rsidRPr="003F17DD">
        <w:t>» et de la «</w:t>
      </w:r>
      <w:r w:rsidR="002A0F15">
        <w:t> </w:t>
      </w:r>
      <w:r w:rsidRPr="003F17DD">
        <w:t>chaîne du froid et autres applications</w:t>
      </w:r>
      <w:r w:rsidR="002A0F15">
        <w:t> </w:t>
      </w:r>
      <w:r w:rsidRPr="003F17DD">
        <w:t>», ce qui permettrait une spécialisation tout en assurant la coordination sur les questions transversales.</w:t>
      </w:r>
    </w:p>
    <w:p w14:paraId="3AF205B0" w14:textId="61D96554"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Dans l</w:t>
      </w:r>
      <w:r w:rsidR="007175B8">
        <w:t>’</w:t>
      </w:r>
      <w:r w:rsidRPr="003F17DD">
        <w:t>ensemble des comités des choix techniques, le Groupe de l</w:t>
      </w:r>
      <w:r w:rsidR="007175B8">
        <w:t>’</w:t>
      </w:r>
      <w:r w:rsidRPr="003F17DD">
        <w:t>évaluation technique et économique met en évidence des défis communs</w:t>
      </w:r>
      <w:r w:rsidR="00D34006">
        <w:t> </w:t>
      </w:r>
      <w:r w:rsidRPr="003F17DD">
        <w:t>: l</w:t>
      </w:r>
      <w:r w:rsidR="007175B8">
        <w:t>’</w:t>
      </w:r>
      <w:r w:rsidRPr="003F17DD">
        <w:t>augmentation de la charge de travail due au chevauchement des régimes d</w:t>
      </w:r>
      <w:r w:rsidR="007175B8">
        <w:t>’</w:t>
      </w:r>
      <w:r w:rsidRPr="003F17DD">
        <w:t xml:space="preserve">élimination </w:t>
      </w:r>
      <w:r w:rsidR="00982C34" w:rsidRPr="003F17DD">
        <w:t>totale</w:t>
      </w:r>
      <w:r w:rsidRPr="003F17DD">
        <w:t xml:space="preserve"> des substances appauvrissant la couche d</w:t>
      </w:r>
      <w:r w:rsidR="007175B8">
        <w:t>’</w:t>
      </w:r>
      <w:r w:rsidRPr="003F17DD">
        <w:t xml:space="preserve">ozone et de réduction progressive des HFC, le départ à la retraite de membres expérimenté(e)s, les difficultés de financement de la participation (notamment les frais de déplacement) et la difficulté de maintenir un consensus dans des environnements de travail de plus en plus virtuels. Si la collaboration à distance favorise la continuité, le Groupe souligne que les réunions en présentiel restent indispensables pour instaurer la confiance et parvenir à un consensus </w:t>
      </w:r>
      <w:r w:rsidR="00982C34" w:rsidRPr="003F17DD">
        <w:t>effectif</w:t>
      </w:r>
      <w:r w:rsidRPr="003F17DD">
        <w:t>.</w:t>
      </w:r>
    </w:p>
    <w:p w14:paraId="71D10A2D" w14:textId="77777777"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 Groupe de travail à composition non limitée souhaitera peut-être examiner ledit rapport et recommander une marche à suivre.</w:t>
      </w:r>
    </w:p>
    <w:p w14:paraId="7B8046FF" w14:textId="5320BDCB" w:rsidR="00B94C90" w:rsidRPr="003F17DD" w:rsidRDefault="000451F5" w:rsidP="00B94C90">
      <w:pPr>
        <w:pStyle w:val="CH3"/>
      </w:pPr>
      <w:r>
        <w:rPr>
          <w:bCs/>
        </w:rPr>
        <w:tab/>
      </w:r>
      <w:r w:rsidR="00B94C90" w:rsidRPr="003F17DD">
        <w:rPr>
          <w:bCs/>
        </w:rPr>
        <w:t>d)</w:t>
      </w:r>
      <w:r w:rsidR="00B94C90" w:rsidRPr="003F17DD">
        <w:tab/>
      </w:r>
      <w:r w:rsidR="00B94C90" w:rsidRPr="003F17DD">
        <w:rPr>
          <w:bCs/>
        </w:rPr>
        <w:t xml:space="preserve">Changements dans la composition du Groupe </w:t>
      </w:r>
    </w:p>
    <w:p w14:paraId="03309F00" w14:textId="685AAA11"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Dans l</w:t>
      </w:r>
      <w:r w:rsidR="007175B8">
        <w:t>’</w:t>
      </w:r>
      <w:r w:rsidRPr="003F17DD">
        <w:t>annexe</w:t>
      </w:r>
      <w:r w:rsidR="002A0F15">
        <w:t> </w:t>
      </w:r>
      <w:r w:rsidRPr="003F17DD">
        <w:t>2 de son rapport d</w:t>
      </w:r>
      <w:r w:rsidR="007175B8">
        <w:t>’</w:t>
      </w:r>
      <w:r w:rsidRPr="003F17DD">
        <w:t>activité pour 2026, le Groupe de l</w:t>
      </w:r>
      <w:r w:rsidR="007175B8">
        <w:t>’</w:t>
      </w:r>
      <w:r w:rsidRPr="003F17DD">
        <w:t>évaluation technique et économique fournit des informations sur l</w:t>
      </w:r>
      <w:r w:rsidR="007175B8">
        <w:t>’</w:t>
      </w:r>
      <w:r w:rsidRPr="003F17DD">
        <w:t xml:space="preserve">état, en mai 2026, de sa composition et de celle de ses comités des choix techniques. </w:t>
      </w:r>
    </w:p>
    <w:p w14:paraId="7B5067F0" w14:textId="20C0DEC4" w:rsidR="00B94C90" w:rsidRPr="003F17DD" w:rsidRDefault="00B94C90" w:rsidP="00530701">
      <w:pPr>
        <w:pStyle w:val="Normalnumber"/>
        <w:keepNext/>
        <w:keepLines/>
        <w:tabs>
          <w:tab w:val="clear" w:pos="1247"/>
          <w:tab w:val="clear" w:pos="1814"/>
          <w:tab w:val="clear" w:pos="2381"/>
          <w:tab w:val="clear" w:pos="2948"/>
          <w:tab w:val="clear" w:pos="3515"/>
          <w:tab w:val="left" w:pos="624"/>
        </w:tabs>
      </w:pPr>
      <w:r w:rsidRPr="003F17DD">
        <w:lastRenderedPageBreak/>
        <w:t>Une liste des membres du Groupe dont le mandat expire fin 2026 et dont la reconduction requiert une décision de la trente-huitième</w:t>
      </w:r>
      <w:r w:rsidR="002A0F15">
        <w:t> </w:t>
      </w:r>
      <w:r w:rsidRPr="003F17DD">
        <w:t>Réunion des Parties est fournie dans le tableau</w:t>
      </w:r>
      <w:r w:rsidR="00D8509F">
        <w:t> </w:t>
      </w:r>
      <w:r w:rsidRPr="003F17DD">
        <w:t>3. On</w:t>
      </w:r>
      <w:r w:rsidR="003B3751">
        <w:t> </w:t>
      </w:r>
      <w:r w:rsidRPr="003F17DD">
        <w:t>trouvera à l</w:t>
      </w:r>
      <w:r w:rsidR="007175B8">
        <w:t>’</w:t>
      </w:r>
      <w:r w:rsidRPr="003F17DD">
        <w:t>annexe</w:t>
      </w:r>
      <w:r w:rsidR="00D8509F">
        <w:t> </w:t>
      </w:r>
      <w:r w:rsidRPr="003F17DD">
        <w:t>III du présent</w:t>
      </w:r>
      <w:r w:rsidR="004A2010">
        <w:t> </w:t>
      </w:r>
      <w:r w:rsidRPr="003F17DD">
        <w:t>additif la liste des membres des comités des choix techniques dont le mandat expire fin 2026 et dont la reconduction ne requiert pas de décision de la trente</w:t>
      </w:r>
      <w:r w:rsidR="00BD6F8A">
        <w:noBreakHyphen/>
      </w:r>
      <w:r w:rsidRPr="003F17DD">
        <w:t>huitième</w:t>
      </w:r>
      <w:r w:rsidR="002627E3">
        <w:t> </w:t>
      </w:r>
      <w:r w:rsidRPr="003F17DD">
        <w:t>Réunion des Parties.</w:t>
      </w:r>
    </w:p>
    <w:p w14:paraId="56B05115" w14:textId="76EA5679" w:rsidR="00B94C90" w:rsidRPr="003F17DD" w:rsidRDefault="00B94C90" w:rsidP="00B94C90">
      <w:pPr>
        <w:pStyle w:val="Titletable"/>
        <w:spacing w:before="120"/>
      </w:pPr>
      <w:r w:rsidRPr="003F17DD">
        <w:rPr>
          <w:b w:val="0"/>
          <w:bCs w:val="0"/>
        </w:rPr>
        <w:t>Tableau</w:t>
      </w:r>
      <w:r w:rsidR="00903FE5">
        <w:rPr>
          <w:b w:val="0"/>
          <w:bCs w:val="0"/>
        </w:rPr>
        <w:t> </w:t>
      </w:r>
      <w:r w:rsidRPr="003F17DD">
        <w:rPr>
          <w:b w:val="0"/>
          <w:bCs w:val="0"/>
        </w:rPr>
        <w:t>3</w:t>
      </w:r>
      <w:r w:rsidR="000451F5">
        <w:rPr>
          <w:b w:val="0"/>
          <w:bCs w:val="0"/>
        </w:rPr>
        <w:br/>
      </w:r>
      <w:r w:rsidRPr="003F17DD">
        <w:t>Membres du Groupe de l</w:t>
      </w:r>
      <w:r w:rsidR="007175B8">
        <w:t>’</w:t>
      </w:r>
      <w:r w:rsidRPr="003F17DD">
        <w:t>évaluation technique et économique dont le mandat expire fin 2026 et</w:t>
      </w:r>
      <w:r w:rsidR="004A29C6">
        <w:t> </w:t>
      </w:r>
      <w:r w:rsidRPr="003F17DD">
        <w:t>dont la reconduction requiert une décision de la trente-huitième</w:t>
      </w:r>
      <w:r w:rsidR="00CA42E5">
        <w:t> </w:t>
      </w:r>
      <w:r w:rsidRPr="003F17DD">
        <w:t>Réunion des Parties</w:t>
      </w:r>
    </w:p>
    <w:tbl>
      <w:tblPr>
        <w:tblW w:w="7881" w:type="dxa"/>
        <w:jc w:val="right"/>
        <w:tblLayout w:type="fixed"/>
        <w:tblLook w:val="04A0" w:firstRow="1" w:lastRow="0" w:firstColumn="1" w:lastColumn="0" w:noHBand="0" w:noVBand="1"/>
      </w:tblPr>
      <w:tblGrid>
        <w:gridCol w:w="2079"/>
        <w:gridCol w:w="3591"/>
        <w:gridCol w:w="2211"/>
      </w:tblGrid>
      <w:tr w:rsidR="00B94C90" w:rsidRPr="003F17DD" w14:paraId="32806639" w14:textId="77777777" w:rsidTr="00141423">
        <w:trPr>
          <w:trHeight w:val="57"/>
          <w:tblHeader/>
          <w:jc w:val="right"/>
        </w:trPr>
        <w:tc>
          <w:tcPr>
            <w:tcW w:w="2079" w:type="dxa"/>
            <w:tcBorders>
              <w:top w:val="single" w:sz="4" w:space="0" w:color="auto"/>
              <w:bottom w:val="single" w:sz="12" w:space="0" w:color="auto"/>
            </w:tcBorders>
            <w:vAlign w:val="bottom"/>
          </w:tcPr>
          <w:p w14:paraId="45237CCD" w14:textId="77777777" w:rsidR="00B94C90" w:rsidRPr="003F17DD" w:rsidRDefault="00B94C90" w:rsidP="00B64331">
            <w:pPr>
              <w:pStyle w:val="Normal-pool-Table"/>
              <w:keepNext/>
              <w:keepLines/>
              <w:rPr>
                <w:i/>
              </w:rPr>
            </w:pPr>
            <w:r w:rsidRPr="003F17DD">
              <w:rPr>
                <w:i/>
                <w:iCs/>
                <w:color w:val="000000"/>
              </w:rPr>
              <w:t>Nom</w:t>
            </w:r>
          </w:p>
        </w:tc>
        <w:tc>
          <w:tcPr>
            <w:tcW w:w="3591" w:type="dxa"/>
            <w:tcBorders>
              <w:top w:val="single" w:sz="4" w:space="0" w:color="auto"/>
              <w:bottom w:val="single" w:sz="12" w:space="0" w:color="auto"/>
            </w:tcBorders>
            <w:vAlign w:val="bottom"/>
          </w:tcPr>
          <w:p w14:paraId="7D77AD12" w14:textId="77777777" w:rsidR="00B94C90" w:rsidRPr="003F17DD" w:rsidRDefault="00B94C90" w:rsidP="00B64331">
            <w:pPr>
              <w:pStyle w:val="Normal-pool-Table"/>
              <w:keepNext/>
              <w:keepLines/>
              <w:ind w:left="-612" w:firstLine="612"/>
              <w:rPr>
                <w:i/>
              </w:rPr>
            </w:pPr>
            <w:r w:rsidRPr="003F17DD">
              <w:rPr>
                <w:i/>
                <w:iCs/>
                <w:color w:val="000000"/>
              </w:rPr>
              <w:t>Poste</w:t>
            </w:r>
          </w:p>
        </w:tc>
        <w:tc>
          <w:tcPr>
            <w:tcW w:w="2211" w:type="dxa"/>
            <w:tcBorders>
              <w:top w:val="single" w:sz="4" w:space="0" w:color="auto"/>
              <w:bottom w:val="single" w:sz="12" w:space="0" w:color="auto"/>
            </w:tcBorders>
            <w:vAlign w:val="bottom"/>
          </w:tcPr>
          <w:p w14:paraId="73377B41" w14:textId="77777777" w:rsidR="00B94C90" w:rsidRPr="003F17DD" w:rsidRDefault="00B94C90" w:rsidP="00B64331">
            <w:pPr>
              <w:pStyle w:val="Normal-pool-Table"/>
              <w:keepNext/>
              <w:keepLines/>
              <w:ind w:left="-107"/>
              <w:rPr>
                <w:i/>
              </w:rPr>
            </w:pPr>
            <w:r w:rsidRPr="003F17DD">
              <w:rPr>
                <w:i/>
                <w:iCs/>
                <w:color w:val="000000"/>
              </w:rPr>
              <w:t>Pays</w:t>
            </w:r>
          </w:p>
        </w:tc>
      </w:tr>
      <w:tr w:rsidR="00B94C90" w:rsidRPr="003F17DD" w14:paraId="5D979B0F" w14:textId="77777777" w:rsidTr="00141423">
        <w:trPr>
          <w:trHeight w:val="57"/>
          <w:jc w:val="right"/>
        </w:trPr>
        <w:tc>
          <w:tcPr>
            <w:tcW w:w="2079" w:type="dxa"/>
          </w:tcPr>
          <w:p w14:paraId="02DE6B0F" w14:textId="77777777" w:rsidR="00B94C90" w:rsidRPr="003F17DD" w:rsidRDefault="00B94C90" w:rsidP="00B64331">
            <w:pPr>
              <w:pStyle w:val="Normal-pool-Table"/>
              <w:keepNext/>
              <w:keepLines/>
              <w:rPr>
                <w:szCs w:val="18"/>
              </w:rPr>
            </w:pPr>
            <w:r w:rsidRPr="003F17DD">
              <w:rPr>
                <w:color w:val="000000"/>
              </w:rPr>
              <w:t>Marta Pizano</w:t>
            </w:r>
          </w:p>
        </w:tc>
        <w:tc>
          <w:tcPr>
            <w:tcW w:w="3591" w:type="dxa"/>
          </w:tcPr>
          <w:p w14:paraId="29BDC377" w14:textId="77777777" w:rsidR="00B94C90" w:rsidRPr="003F17DD" w:rsidRDefault="00B94C90" w:rsidP="00B64331">
            <w:pPr>
              <w:pStyle w:val="Normal-pool-Table"/>
              <w:keepNext/>
              <w:keepLines/>
              <w:ind w:left="-612" w:firstLine="612"/>
              <w:rPr>
                <w:szCs w:val="18"/>
              </w:rPr>
            </w:pPr>
            <w:r w:rsidRPr="003F17DD">
              <w:rPr>
                <w:color w:val="000000"/>
              </w:rPr>
              <w:t>Coprésidente du Groupe</w:t>
            </w:r>
          </w:p>
        </w:tc>
        <w:tc>
          <w:tcPr>
            <w:tcW w:w="2211" w:type="dxa"/>
          </w:tcPr>
          <w:p w14:paraId="70007BBB" w14:textId="77777777" w:rsidR="00B94C90" w:rsidRPr="003F17DD" w:rsidRDefault="00B94C90" w:rsidP="00B64331">
            <w:pPr>
              <w:pStyle w:val="Normal-pool-Table"/>
              <w:keepNext/>
              <w:keepLines/>
              <w:ind w:left="-107"/>
              <w:rPr>
                <w:szCs w:val="18"/>
              </w:rPr>
            </w:pPr>
            <w:r w:rsidRPr="003F17DD">
              <w:rPr>
                <w:color w:val="000000"/>
              </w:rPr>
              <w:t>Colombie</w:t>
            </w:r>
          </w:p>
        </w:tc>
      </w:tr>
      <w:tr w:rsidR="00B94C90" w:rsidRPr="003F17DD" w14:paraId="1197D111" w14:textId="77777777" w:rsidTr="00141423">
        <w:trPr>
          <w:trHeight w:val="57"/>
          <w:jc w:val="right"/>
        </w:trPr>
        <w:tc>
          <w:tcPr>
            <w:tcW w:w="2079" w:type="dxa"/>
          </w:tcPr>
          <w:p w14:paraId="1C247E78" w14:textId="77777777" w:rsidR="00B94C90" w:rsidRPr="003F17DD" w:rsidRDefault="00B94C90" w:rsidP="00B64331">
            <w:pPr>
              <w:pStyle w:val="Normal-pool-Table"/>
              <w:keepNext/>
              <w:keepLines/>
              <w:rPr>
                <w:szCs w:val="18"/>
              </w:rPr>
            </w:pPr>
            <w:r w:rsidRPr="003F17DD">
              <w:rPr>
                <w:color w:val="000000"/>
                <w:szCs w:val="18"/>
              </w:rPr>
              <w:t>Ashley Woodcock</w:t>
            </w:r>
          </w:p>
        </w:tc>
        <w:tc>
          <w:tcPr>
            <w:tcW w:w="3591" w:type="dxa"/>
          </w:tcPr>
          <w:p w14:paraId="3F148A46" w14:textId="77777777" w:rsidR="00B94C90" w:rsidRPr="003F17DD" w:rsidRDefault="00B94C90" w:rsidP="00B64331">
            <w:pPr>
              <w:pStyle w:val="Normal-pool-Table"/>
              <w:keepNext/>
              <w:keepLines/>
              <w:ind w:left="-612" w:firstLine="612"/>
              <w:rPr>
                <w:szCs w:val="18"/>
              </w:rPr>
            </w:pPr>
            <w:r w:rsidRPr="003F17DD">
              <w:rPr>
                <w:color w:val="000000"/>
              </w:rPr>
              <w:t>Coprésidente du Groupe</w:t>
            </w:r>
          </w:p>
        </w:tc>
        <w:tc>
          <w:tcPr>
            <w:tcW w:w="2211" w:type="dxa"/>
          </w:tcPr>
          <w:p w14:paraId="1209809D" w14:textId="689F3CA3" w:rsidR="00B94C90" w:rsidRPr="003F17DD" w:rsidRDefault="00B94C90" w:rsidP="00B64331">
            <w:pPr>
              <w:pStyle w:val="Normal-pool-Table"/>
              <w:keepNext/>
              <w:keepLines/>
              <w:ind w:left="-107"/>
              <w:rPr>
                <w:szCs w:val="18"/>
              </w:rPr>
            </w:pPr>
            <w:r w:rsidRPr="003F17DD">
              <w:rPr>
                <w:color w:val="000000"/>
              </w:rPr>
              <w:t>Royaume-Uni de Grande</w:t>
            </w:r>
            <w:r w:rsidR="00755ACE">
              <w:rPr>
                <w:color w:val="000000"/>
              </w:rPr>
              <w:noBreakHyphen/>
            </w:r>
            <w:r w:rsidRPr="003F17DD">
              <w:rPr>
                <w:color w:val="000000"/>
              </w:rPr>
              <w:t>Bretagne et</w:t>
            </w:r>
            <w:r w:rsidR="00755ACE">
              <w:rPr>
                <w:color w:val="000000"/>
              </w:rPr>
              <w:t> </w:t>
            </w:r>
            <w:r w:rsidRPr="003F17DD">
              <w:rPr>
                <w:color w:val="000000"/>
              </w:rPr>
              <w:t>d</w:t>
            </w:r>
            <w:r w:rsidR="007175B8">
              <w:rPr>
                <w:color w:val="000000"/>
              </w:rPr>
              <w:t>’</w:t>
            </w:r>
            <w:r w:rsidRPr="003F17DD">
              <w:rPr>
                <w:color w:val="000000"/>
              </w:rPr>
              <w:t xml:space="preserve">Irlande du Nord </w:t>
            </w:r>
          </w:p>
        </w:tc>
      </w:tr>
      <w:tr w:rsidR="00B94C90" w:rsidRPr="003F17DD" w14:paraId="2E3B82B7" w14:textId="77777777" w:rsidTr="00141423">
        <w:trPr>
          <w:trHeight w:val="57"/>
          <w:jc w:val="right"/>
        </w:trPr>
        <w:tc>
          <w:tcPr>
            <w:tcW w:w="2079" w:type="dxa"/>
          </w:tcPr>
          <w:p w14:paraId="083C3E57" w14:textId="77777777" w:rsidR="00B94C90" w:rsidRPr="003F17DD" w:rsidRDefault="00B94C90" w:rsidP="00B64331">
            <w:pPr>
              <w:pStyle w:val="Normal-pool-Table"/>
              <w:keepNext/>
              <w:keepLines/>
              <w:rPr>
                <w:szCs w:val="18"/>
              </w:rPr>
            </w:pPr>
            <w:r w:rsidRPr="003F17DD">
              <w:rPr>
                <w:color w:val="000000"/>
                <w:szCs w:val="18"/>
              </w:rPr>
              <w:t>Fabio Polonara</w:t>
            </w:r>
          </w:p>
        </w:tc>
        <w:tc>
          <w:tcPr>
            <w:tcW w:w="3591" w:type="dxa"/>
          </w:tcPr>
          <w:p w14:paraId="0A3035D3" w14:textId="0B751E9F" w:rsidR="00B94C90" w:rsidRPr="00755ACE" w:rsidRDefault="00755ACE" w:rsidP="00755ACE">
            <w:pPr>
              <w:pStyle w:val="Normal-pool-Table"/>
              <w:keepNext/>
              <w:keepLines/>
              <w:rPr>
                <w:szCs w:val="18"/>
              </w:rPr>
            </w:pPr>
            <w:r w:rsidRPr="00755ACE">
              <w:rPr>
                <w:color w:val="000000"/>
                <w:szCs w:val="18"/>
              </w:rPr>
              <w:t xml:space="preserve">Coprésident du Comité des choix techniques </w:t>
            </w:r>
            <w:r w:rsidR="00A81A54">
              <w:rPr>
                <w:color w:val="000000"/>
                <w:szCs w:val="18"/>
              </w:rPr>
              <w:br/>
            </w:r>
            <w:r w:rsidRPr="00755ACE">
              <w:rPr>
                <w:color w:val="000000"/>
                <w:szCs w:val="18"/>
              </w:rPr>
              <w:t xml:space="preserve">pour la réfrigération, la climatisation </w:t>
            </w:r>
            <w:r w:rsidR="00A81A54">
              <w:rPr>
                <w:color w:val="000000"/>
                <w:szCs w:val="18"/>
              </w:rPr>
              <w:br/>
            </w:r>
            <w:r w:rsidRPr="00755ACE">
              <w:rPr>
                <w:color w:val="000000"/>
                <w:szCs w:val="18"/>
              </w:rPr>
              <w:t>et les pompes à chaleur</w:t>
            </w:r>
          </w:p>
        </w:tc>
        <w:tc>
          <w:tcPr>
            <w:tcW w:w="2211" w:type="dxa"/>
          </w:tcPr>
          <w:p w14:paraId="768D8530" w14:textId="77777777" w:rsidR="00B94C90" w:rsidRPr="003F17DD" w:rsidRDefault="00B94C90" w:rsidP="00B64331">
            <w:pPr>
              <w:pStyle w:val="Normal-pool-Table"/>
              <w:keepNext/>
              <w:keepLines/>
              <w:ind w:left="-107"/>
              <w:rPr>
                <w:szCs w:val="18"/>
              </w:rPr>
            </w:pPr>
            <w:r w:rsidRPr="003F17DD">
              <w:rPr>
                <w:color w:val="000000"/>
              </w:rPr>
              <w:t>Italie</w:t>
            </w:r>
          </w:p>
        </w:tc>
      </w:tr>
      <w:tr w:rsidR="00B94C90" w:rsidRPr="003F17DD" w14:paraId="5D9AC9F5" w14:textId="77777777" w:rsidTr="00141423">
        <w:trPr>
          <w:trHeight w:val="315"/>
          <w:jc w:val="right"/>
        </w:trPr>
        <w:tc>
          <w:tcPr>
            <w:tcW w:w="2079" w:type="dxa"/>
          </w:tcPr>
          <w:p w14:paraId="3C127F1F" w14:textId="77777777" w:rsidR="00B94C90" w:rsidRPr="003F17DD" w:rsidRDefault="00B94C90" w:rsidP="00B64331">
            <w:pPr>
              <w:pStyle w:val="Normal-pool-Table"/>
              <w:keepNext/>
              <w:keepLines/>
              <w:rPr>
                <w:szCs w:val="18"/>
              </w:rPr>
            </w:pPr>
            <w:r w:rsidRPr="003F17DD">
              <w:rPr>
                <w:color w:val="000000"/>
              </w:rPr>
              <w:t xml:space="preserve">Suely Machado Carvalho </w:t>
            </w:r>
          </w:p>
        </w:tc>
        <w:tc>
          <w:tcPr>
            <w:tcW w:w="3591" w:type="dxa"/>
          </w:tcPr>
          <w:p w14:paraId="2CA39D88" w14:textId="77777777" w:rsidR="00B94C90" w:rsidRPr="003F17DD" w:rsidRDefault="00B94C90" w:rsidP="00B64331">
            <w:pPr>
              <w:pStyle w:val="Normal-pool-Table"/>
              <w:keepNext/>
              <w:keepLines/>
              <w:ind w:left="-612" w:firstLine="612"/>
              <w:rPr>
                <w:szCs w:val="18"/>
              </w:rPr>
            </w:pPr>
            <w:r w:rsidRPr="003F17DD">
              <w:rPr>
                <w:color w:val="000000"/>
              </w:rPr>
              <w:t>Experte de haut niveau du Groupe</w:t>
            </w:r>
          </w:p>
        </w:tc>
        <w:tc>
          <w:tcPr>
            <w:tcW w:w="2211" w:type="dxa"/>
          </w:tcPr>
          <w:p w14:paraId="1BDF3902" w14:textId="77777777" w:rsidR="00B94C90" w:rsidRPr="003F17DD" w:rsidRDefault="00B94C90" w:rsidP="00B64331">
            <w:pPr>
              <w:pStyle w:val="Normal-pool-Table"/>
              <w:keepNext/>
              <w:keepLines/>
              <w:ind w:left="-107"/>
              <w:rPr>
                <w:szCs w:val="18"/>
              </w:rPr>
            </w:pPr>
            <w:r w:rsidRPr="003F17DD">
              <w:rPr>
                <w:color w:val="000000"/>
              </w:rPr>
              <w:t>Brésil</w:t>
            </w:r>
          </w:p>
        </w:tc>
      </w:tr>
      <w:tr w:rsidR="00B94C90" w:rsidRPr="003F17DD" w14:paraId="1713335E" w14:textId="77777777" w:rsidTr="00141423">
        <w:trPr>
          <w:trHeight w:val="344"/>
          <w:jc w:val="right"/>
        </w:trPr>
        <w:tc>
          <w:tcPr>
            <w:tcW w:w="2079" w:type="dxa"/>
          </w:tcPr>
          <w:p w14:paraId="164299BE" w14:textId="77777777" w:rsidR="00B94C90" w:rsidRPr="003F17DD" w:rsidRDefault="00B94C90" w:rsidP="00B64331">
            <w:pPr>
              <w:pStyle w:val="Normal-pool-Table"/>
              <w:keepNext/>
              <w:keepLines/>
              <w:rPr>
                <w:szCs w:val="18"/>
              </w:rPr>
            </w:pPr>
            <w:r w:rsidRPr="003F17DD">
              <w:rPr>
                <w:color w:val="000000"/>
              </w:rPr>
              <w:t>Sukumar Devotta</w:t>
            </w:r>
          </w:p>
        </w:tc>
        <w:tc>
          <w:tcPr>
            <w:tcW w:w="3591" w:type="dxa"/>
          </w:tcPr>
          <w:p w14:paraId="1410CA6B" w14:textId="77777777" w:rsidR="00B94C90" w:rsidRPr="003F17DD" w:rsidRDefault="00B94C90" w:rsidP="00B64331">
            <w:pPr>
              <w:pStyle w:val="Normal-pool-Table"/>
              <w:keepNext/>
              <w:keepLines/>
              <w:ind w:left="-612" w:firstLine="612"/>
              <w:rPr>
                <w:szCs w:val="18"/>
              </w:rPr>
            </w:pPr>
            <w:r w:rsidRPr="003F17DD">
              <w:rPr>
                <w:color w:val="000000"/>
              </w:rPr>
              <w:t>Expert de haut niveau du Groupe</w:t>
            </w:r>
          </w:p>
        </w:tc>
        <w:tc>
          <w:tcPr>
            <w:tcW w:w="2211" w:type="dxa"/>
          </w:tcPr>
          <w:p w14:paraId="63322DC8" w14:textId="77777777" w:rsidR="00B94C90" w:rsidRPr="003F17DD" w:rsidRDefault="00B94C90" w:rsidP="00B64331">
            <w:pPr>
              <w:pStyle w:val="Normal-pool-Table"/>
              <w:keepNext/>
              <w:keepLines/>
              <w:ind w:left="-107"/>
              <w:rPr>
                <w:szCs w:val="18"/>
              </w:rPr>
            </w:pPr>
            <w:r w:rsidRPr="003F17DD">
              <w:rPr>
                <w:color w:val="000000"/>
              </w:rPr>
              <w:t>Inde</w:t>
            </w:r>
          </w:p>
        </w:tc>
      </w:tr>
      <w:tr w:rsidR="00B94C90" w:rsidRPr="003F17DD" w14:paraId="7CD3401F" w14:textId="77777777" w:rsidTr="00141423">
        <w:trPr>
          <w:trHeight w:val="344"/>
          <w:jc w:val="right"/>
        </w:trPr>
        <w:tc>
          <w:tcPr>
            <w:tcW w:w="2079" w:type="dxa"/>
          </w:tcPr>
          <w:p w14:paraId="56A64B3A" w14:textId="77777777" w:rsidR="00B94C90" w:rsidRPr="003F17DD" w:rsidRDefault="00B94C90" w:rsidP="00B64331">
            <w:pPr>
              <w:pStyle w:val="Normal-pool-Table"/>
              <w:keepNext/>
              <w:keepLines/>
              <w:rPr>
                <w:szCs w:val="18"/>
              </w:rPr>
            </w:pPr>
            <w:r w:rsidRPr="003F17DD">
              <w:rPr>
                <w:color w:val="000000"/>
              </w:rPr>
              <w:t>Bassam Elassaad</w:t>
            </w:r>
          </w:p>
        </w:tc>
        <w:tc>
          <w:tcPr>
            <w:tcW w:w="3591" w:type="dxa"/>
          </w:tcPr>
          <w:p w14:paraId="44A0E51C" w14:textId="77777777" w:rsidR="00B94C90" w:rsidRPr="003F17DD" w:rsidRDefault="00B94C90" w:rsidP="00B64331">
            <w:pPr>
              <w:pStyle w:val="Normal-pool-Table"/>
              <w:keepNext/>
              <w:keepLines/>
              <w:ind w:left="-612" w:firstLine="612"/>
              <w:rPr>
                <w:szCs w:val="18"/>
              </w:rPr>
            </w:pPr>
            <w:r w:rsidRPr="003F17DD">
              <w:rPr>
                <w:color w:val="000000"/>
              </w:rPr>
              <w:t>Expert de haut niveau du Groupe</w:t>
            </w:r>
          </w:p>
        </w:tc>
        <w:tc>
          <w:tcPr>
            <w:tcW w:w="2211" w:type="dxa"/>
          </w:tcPr>
          <w:p w14:paraId="6B82325E" w14:textId="77777777" w:rsidR="00B94C90" w:rsidRPr="003F17DD" w:rsidRDefault="00B94C90" w:rsidP="00B64331">
            <w:pPr>
              <w:pStyle w:val="Normal-pool-Table"/>
              <w:keepNext/>
              <w:keepLines/>
              <w:ind w:left="-107"/>
              <w:rPr>
                <w:szCs w:val="18"/>
              </w:rPr>
            </w:pPr>
            <w:r w:rsidRPr="003F17DD">
              <w:rPr>
                <w:color w:val="000000"/>
              </w:rPr>
              <w:t>Liban</w:t>
            </w:r>
          </w:p>
        </w:tc>
      </w:tr>
      <w:tr w:rsidR="00B94C90" w:rsidRPr="003F17DD" w14:paraId="0A53F1F6" w14:textId="77777777" w:rsidTr="00141423">
        <w:trPr>
          <w:trHeight w:val="344"/>
          <w:jc w:val="right"/>
        </w:trPr>
        <w:tc>
          <w:tcPr>
            <w:tcW w:w="2079" w:type="dxa"/>
          </w:tcPr>
          <w:p w14:paraId="4F4FEEC1" w14:textId="77777777" w:rsidR="00B94C90" w:rsidRPr="003F17DD" w:rsidRDefault="00B94C90" w:rsidP="00B64331">
            <w:pPr>
              <w:pStyle w:val="Normal-pool-Table"/>
              <w:keepNext/>
              <w:keepLines/>
              <w:rPr>
                <w:szCs w:val="18"/>
              </w:rPr>
            </w:pPr>
            <w:r w:rsidRPr="003F17DD">
              <w:rPr>
                <w:color w:val="000000"/>
              </w:rPr>
              <w:t>Ray Gluckman</w:t>
            </w:r>
          </w:p>
        </w:tc>
        <w:tc>
          <w:tcPr>
            <w:tcW w:w="3591" w:type="dxa"/>
          </w:tcPr>
          <w:p w14:paraId="488747F1" w14:textId="77777777" w:rsidR="00B94C90" w:rsidRPr="003F17DD" w:rsidRDefault="00B94C90" w:rsidP="00B64331">
            <w:pPr>
              <w:pStyle w:val="Normal-pool-Table"/>
              <w:keepNext/>
              <w:keepLines/>
              <w:ind w:left="-612" w:firstLine="612"/>
              <w:rPr>
                <w:szCs w:val="18"/>
              </w:rPr>
            </w:pPr>
            <w:r w:rsidRPr="003F17DD">
              <w:rPr>
                <w:color w:val="000000"/>
              </w:rPr>
              <w:t>Expert de haut niveau du Groupe</w:t>
            </w:r>
          </w:p>
        </w:tc>
        <w:tc>
          <w:tcPr>
            <w:tcW w:w="2211" w:type="dxa"/>
          </w:tcPr>
          <w:p w14:paraId="08DFBCA0" w14:textId="0DE775E6" w:rsidR="00B94C90" w:rsidRPr="003F17DD" w:rsidRDefault="00B94C90" w:rsidP="00A81A54">
            <w:pPr>
              <w:pStyle w:val="Normal-pool-Table"/>
              <w:keepNext/>
              <w:keepLines/>
              <w:ind w:left="-106"/>
              <w:rPr>
                <w:szCs w:val="18"/>
              </w:rPr>
            </w:pPr>
            <w:r w:rsidRPr="003F17DD">
              <w:rPr>
                <w:color w:val="000000"/>
              </w:rPr>
              <w:t>Royaume-Uni de Grande</w:t>
            </w:r>
            <w:r w:rsidR="00755ACE">
              <w:rPr>
                <w:color w:val="000000"/>
              </w:rPr>
              <w:noBreakHyphen/>
            </w:r>
            <w:r w:rsidRPr="003F17DD">
              <w:rPr>
                <w:color w:val="000000"/>
              </w:rPr>
              <w:t>Bretagne et d</w:t>
            </w:r>
            <w:r w:rsidR="007175B8">
              <w:rPr>
                <w:color w:val="000000"/>
              </w:rPr>
              <w:t>’</w:t>
            </w:r>
            <w:r w:rsidRPr="003F17DD">
              <w:rPr>
                <w:color w:val="000000"/>
              </w:rPr>
              <w:t>Irlande du Nord</w:t>
            </w:r>
          </w:p>
        </w:tc>
      </w:tr>
      <w:tr w:rsidR="00B94C90" w:rsidRPr="003F17DD" w14:paraId="247A3BCA" w14:textId="77777777" w:rsidTr="00141423">
        <w:trPr>
          <w:trHeight w:val="344"/>
          <w:jc w:val="right"/>
        </w:trPr>
        <w:tc>
          <w:tcPr>
            <w:tcW w:w="2079" w:type="dxa"/>
          </w:tcPr>
          <w:p w14:paraId="517627CF" w14:textId="77777777" w:rsidR="00B94C90" w:rsidRPr="003F17DD" w:rsidRDefault="00B94C90" w:rsidP="00B64331">
            <w:pPr>
              <w:pStyle w:val="Normal-pool-Table"/>
              <w:keepNext/>
              <w:keepLines/>
              <w:rPr>
                <w:szCs w:val="18"/>
              </w:rPr>
            </w:pPr>
            <w:r w:rsidRPr="003F17DD">
              <w:rPr>
                <w:color w:val="000000"/>
              </w:rPr>
              <w:t>Marco Gonzalez</w:t>
            </w:r>
          </w:p>
        </w:tc>
        <w:tc>
          <w:tcPr>
            <w:tcW w:w="3591" w:type="dxa"/>
          </w:tcPr>
          <w:p w14:paraId="3CE207F1" w14:textId="77777777" w:rsidR="00B94C90" w:rsidRPr="003F17DD" w:rsidRDefault="00B94C90" w:rsidP="00B64331">
            <w:pPr>
              <w:pStyle w:val="Normal-pool-Table"/>
              <w:keepNext/>
              <w:keepLines/>
              <w:ind w:left="-612" w:firstLine="612"/>
              <w:rPr>
                <w:szCs w:val="18"/>
              </w:rPr>
            </w:pPr>
            <w:r w:rsidRPr="003F17DD">
              <w:rPr>
                <w:color w:val="000000"/>
              </w:rPr>
              <w:t>Expert de haut niveau du Groupe</w:t>
            </w:r>
          </w:p>
        </w:tc>
        <w:tc>
          <w:tcPr>
            <w:tcW w:w="2211" w:type="dxa"/>
          </w:tcPr>
          <w:p w14:paraId="465776ED" w14:textId="77777777" w:rsidR="00B94C90" w:rsidRPr="003F17DD" w:rsidRDefault="00B94C90" w:rsidP="00B64331">
            <w:pPr>
              <w:pStyle w:val="Normal-pool-Table"/>
              <w:keepNext/>
              <w:keepLines/>
              <w:ind w:left="-107"/>
              <w:rPr>
                <w:szCs w:val="18"/>
              </w:rPr>
            </w:pPr>
            <w:r w:rsidRPr="003F17DD">
              <w:rPr>
                <w:color w:val="000000"/>
              </w:rPr>
              <w:t>Costa Rica</w:t>
            </w:r>
          </w:p>
        </w:tc>
      </w:tr>
      <w:tr w:rsidR="00B94C90" w:rsidRPr="003F17DD" w14:paraId="7EFB2D48" w14:textId="77777777" w:rsidTr="00141423">
        <w:trPr>
          <w:trHeight w:val="344"/>
          <w:jc w:val="right"/>
        </w:trPr>
        <w:tc>
          <w:tcPr>
            <w:tcW w:w="2079" w:type="dxa"/>
            <w:tcBorders>
              <w:bottom w:val="single" w:sz="12" w:space="0" w:color="auto"/>
            </w:tcBorders>
          </w:tcPr>
          <w:p w14:paraId="0054781F" w14:textId="77777777" w:rsidR="00B94C90" w:rsidRPr="003F17DD" w:rsidRDefault="00B94C90" w:rsidP="00B64331">
            <w:pPr>
              <w:pStyle w:val="Normal-pool-Table"/>
              <w:keepNext/>
              <w:keepLines/>
              <w:rPr>
                <w:szCs w:val="18"/>
              </w:rPr>
            </w:pPr>
            <w:r w:rsidRPr="003F17DD">
              <w:rPr>
                <w:color w:val="000000"/>
              </w:rPr>
              <w:t>Shiqiu Zhang</w:t>
            </w:r>
          </w:p>
        </w:tc>
        <w:tc>
          <w:tcPr>
            <w:tcW w:w="3591" w:type="dxa"/>
            <w:tcBorders>
              <w:bottom w:val="single" w:sz="12" w:space="0" w:color="auto"/>
            </w:tcBorders>
          </w:tcPr>
          <w:p w14:paraId="4390F888" w14:textId="77777777" w:rsidR="00B94C90" w:rsidRPr="003F17DD" w:rsidRDefault="00B94C90" w:rsidP="00B64331">
            <w:pPr>
              <w:pStyle w:val="Normal-pool-Table"/>
              <w:keepNext/>
              <w:keepLines/>
              <w:ind w:left="-612" w:firstLine="612"/>
              <w:rPr>
                <w:szCs w:val="18"/>
              </w:rPr>
            </w:pPr>
            <w:r w:rsidRPr="003F17DD">
              <w:rPr>
                <w:color w:val="000000"/>
              </w:rPr>
              <w:t>Experte de haut niveau du Groupe</w:t>
            </w:r>
          </w:p>
        </w:tc>
        <w:tc>
          <w:tcPr>
            <w:tcW w:w="2211" w:type="dxa"/>
            <w:tcBorders>
              <w:bottom w:val="single" w:sz="12" w:space="0" w:color="auto"/>
            </w:tcBorders>
          </w:tcPr>
          <w:p w14:paraId="2B9B46E3" w14:textId="77777777" w:rsidR="00B94C90" w:rsidRPr="003F17DD" w:rsidRDefault="00B94C90" w:rsidP="00B64331">
            <w:pPr>
              <w:pStyle w:val="Normal-pool-Table"/>
              <w:keepNext/>
              <w:keepLines/>
              <w:ind w:left="-107"/>
              <w:rPr>
                <w:szCs w:val="18"/>
              </w:rPr>
            </w:pPr>
            <w:r w:rsidRPr="003F17DD">
              <w:rPr>
                <w:color w:val="000000"/>
              </w:rPr>
              <w:t>Chine</w:t>
            </w:r>
          </w:p>
        </w:tc>
      </w:tr>
    </w:tbl>
    <w:p w14:paraId="0505138D" w14:textId="02F8CC1E" w:rsidR="00B94C90" w:rsidRPr="003F17DD" w:rsidRDefault="00B94C90" w:rsidP="00B94C90">
      <w:pPr>
        <w:pStyle w:val="Normal-pool"/>
        <w:keepNext/>
        <w:keepLines/>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after="120"/>
        <w:ind w:left="1247"/>
        <w:rPr>
          <w:sz w:val="18"/>
        </w:rPr>
      </w:pPr>
      <w:r w:rsidRPr="003F17DD">
        <w:tab/>
      </w:r>
    </w:p>
    <w:p w14:paraId="2ECBCD62" w14:textId="3AE1E089"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Les Parties souhaitant présenter des candidatures doivent le faire en se conformant au paragraphe</w:t>
      </w:r>
      <w:r w:rsidR="0034209B">
        <w:t> </w:t>
      </w:r>
      <w:r w:rsidRPr="003F17DD">
        <w:t>3 de la décision</w:t>
      </w:r>
      <w:r w:rsidR="0034209B">
        <w:t> </w:t>
      </w:r>
      <w:r w:rsidRPr="003F17DD">
        <w:t>XXXI/8, par lequel les Parties sont priées, «</w:t>
      </w:r>
      <w:r w:rsidR="002D4616">
        <w:t> </w:t>
      </w:r>
      <w:r w:rsidRPr="003F17DD">
        <w:t>lorsqu</w:t>
      </w:r>
      <w:r w:rsidR="007175B8">
        <w:t>’</w:t>
      </w:r>
      <w:r w:rsidRPr="003F17DD">
        <w:t>elles désignent des expert(e)s pour faire partie du Groupe ou de ses comités des choix techniques ou organes subsidiaires temporaires, de se servir du formulaire de présentation des candidatures établi par le Groupe et de se conformer aux directives connexes afin de pouvoir plus facilement présenter des candidatures appropriées, compte tenu du tableau des compétences requises, de l</w:t>
      </w:r>
      <w:r w:rsidR="007175B8">
        <w:t>’</w:t>
      </w:r>
      <w:r w:rsidRPr="003F17DD">
        <w:t>équilibre géographique et de la parité femmes-hommes, en plus des connaissances spécialisées nécessaires face aux nouvelles questions soulevées par l</w:t>
      </w:r>
      <w:r w:rsidR="007175B8">
        <w:t>’</w:t>
      </w:r>
      <w:r w:rsidRPr="003F17DD">
        <w:t>Amendement de Kigali, telles que le rendement énergétique, les normes de sécurité et les bienfaits pour le climat</w:t>
      </w:r>
      <w:r w:rsidR="002D4616">
        <w:t> </w:t>
      </w:r>
      <w:r w:rsidRPr="003F17DD">
        <w:t>». Au paragraphe</w:t>
      </w:r>
      <w:r w:rsidR="002D4616">
        <w:t> </w:t>
      </w:r>
      <w:r w:rsidRPr="003F17DD">
        <w:t>5 de cette même décision, les Parties sont exhortées «</w:t>
      </w:r>
      <w:r w:rsidR="00F47EF1">
        <w:t> </w:t>
      </w:r>
      <w:r w:rsidRPr="003F17DD">
        <w:t>à se conformer au mandat du Groupe, à consulter les coprésident(e)s du Groupe et à se référer au tableau des compétences requises avant de présenter des candidatures au Groupe</w:t>
      </w:r>
      <w:r w:rsidR="00F47EF1">
        <w:t> </w:t>
      </w:r>
      <w:r w:rsidRPr="003F17DD">
        <w:t>».</w:t>
      </w:r>
    </w:p>
    <w:p w14:paraId="5B92F52D" w14:textId="422616F3"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 tableau des compétences requises, déterminé par le Groupe en mai 2026, figure dans l</w:t>
      </w:r>
      <w:r w:rsidR="007175B8">
        <w:t>’</w:t>
      </w:r>
      <w:r w:rsidRPr="003F17DD">
        <w:t>annexe</w:t>
      </w:r>
      <w:r w:rsidR="00AD74EC">
        <w:t> </w:t>
      </w:r>
      <w:r w:rsidRPr="003F17DD">
        <w:t>3 de son rapport d</w:t>
      </w:r>
      <w:r w:rsidR="007175B8">
        <w:t>’</w:t>
      </w:r>
      <w:r w:rsidRPr="003F17DD">
        <w:t>activité, et est reproduit dans l</w:t>
      </w:r>
      <w:r w:rsidR="007175B8">
        <w:t>’</w:t>
      </w:r>
      <w:r w:rsidRPr="003F17DD">
        <w:t>annexe</w:t>
      </w:r>
      <w:r w:rsidR="00681766">
        <w:t> </w:t>
      </w:r>
      <w:r w:rsidRPr="003F17DD">
        <w:t>IV du présent</w:t>
      </w:r>
      <w:r w:rsidR="00B97051">
        <w:t> </w:t>
      </w:r>
      <w:r w:rsidRPr="003F17DD">
        <w:t>additif et peut être consulté sur le site Web du Secrétariat</w:t>
      </w:r>
      <w:r w:rsidRPr="003F17DD">
        <w:rPr>
          <w:rStyle w:val="FootnoteReference"/>
          <w:color w:val="000000" w:themeColor="text1"/>
        </w:rPr>
        <w:footnoteReference w:id="10"/>
      </w:r>
      <w:r w:rsidRPr="003F17DD">
        <w:t xml:space="preserve">. </w:t>
      </w:r>
    </w:p>
    <w:p w14:paraId="2FD4B19D" w14:textId="0724C509" w:rsidR="00B94C90" w:rsidRPr="003F17DD" w:rsidRDefault="00B94C90" w:rsidP="00B94C90">
      <w:pPr>
        <w:pStyle w:val="Normalnumber"/>
      </w:pPr>
      <w:r w:rsidRPr="003F17DD">
        <w:t>Conformément au paragraphe</w:t>
      </w:r>
      <w:r w:rsidR="00193F2B">
        <w:t> </w:t>
      </w:r>
      <w:r w:rsidRPr="003F17DD">
        <w:t>4 de la décision</w:t>
      </w:r>
      <w:r w:rsidR="00193F2B">
        <w:t> </w:t>
      </w:r>
      <w:r w:rsidRPr="003F17DD">
        <w:t>XXXI/8, le Secrétariat publiera tous les formulaires soumis par les Parties présentant des candidatures sur le portail de la quarante</w:t>
      </w:r>
      <w:r w:rsidR="00755ACE">
        <w:noBreakHyphen/>
      </w:r>
      <w:r w:rsidRPr="003F17DD">
        <w:t>huitième</w:t>
      </w:r>
      <w:r w:rsidR="00193F2B">
        <w:t> </w:t>
      </w:r>
      <w:r w:rsidRPr="003F17DD">
        <w:t>réunion du Groupe de travail à composition non limitée et sur le portail de la trente</w:t>
      </w:r>
      <w:r w:rsidR="00755ACE">
        <w:noBreakHyphen/>
      </w:r>
      <w:r w:rsidRPr="003F17DD">
        <w:t>huitième</w:t>
      </w:r>
      <w:r w:rsidR="00076334">
        <w:t> </w:t>
      </w:r>
      <w:r w:rsidRPr="003F17DD">
        <w:t>Réunion des Parties, plus tard en 2026, afin de faciliter l</w:t>
      </w:r>
      <w:r w:rsidR="007175B8">
        <w:t>’</w:t>
      </w:r>
      <w:r w:rsidRPr="003F17DD">
        <w:t>examen par les Parties des candidatures proposées et les consultations à ce sujet.</w:t>
      </w:r>
    </w:p>
    <w:p w14:paraId="0DAEADF4" w14:textId="1547833F"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 xml:space="preserve">Les candidatures aux comités des choix techniques autres que pour les postes de coprésident(e), ainsi que les candidatures aux organes subsidiaires temporaires, peuvent être présentées à tout moment. Les nominations sont faites par </w:t>
      </w:r>
      <w:proofErr w:type="gramStart"/>
      <w:r w:rsidRPr="003F17DD">
        <w:t>les coprésident</w:t>
      </w:r>
      <w:proofErr w:type="gramEnd"/>
      <w:r w:rsidRPr="003F17DD">
        <w:t>(e)s des comités concernés en consultation avec le Groupe de l</w:t>
      </w:r>
      <w:r w:rsidR="007175B8">
        <w:t>’</w:t>
      </w:r>
      <w:r w:rsidRPr="003F17DD">
        <w:t>évaluation technique et économique.</w:t>
      </w:r>
    </w:p>
    <w:p w14:paraId="01541BEC" w14:textId="16BC887A" w:rsidR="00B94C90" w:rsidRPr="003F17DD" w:rsidRDefault="004D613B" w:rsidP="00530701">
      <w:pPr>
        <w:pStyle w:val="CH3"/>
      </w:pPr>
      <w:r>
        <w:rPr>
          <w:bCs/>
        </w:rPr>
        <w:lastRenderedPageBreak/>
        <w:tab/>
      </w:r>
      <w:r w:rsidR="00B94C90" w:rsidRPr="003F17DD">
        <w:rPr>
          <w:bCs/>
        </w:rPr>
        <w:t>e)</w:t>
      </w:r>
      <w:r w:rsidR="00B94C90" w:rsidRPr="003F17DD">
        <w:tab/>
      </w:r>
      <w:r w:rsidR="00B94C90" w:rsidRPr="003F17DD">
        <w:rPr>
          <w:bCs/>
        </w:rPr>
        <w:t>Questions diverses</w:t>
      </w:r>
    </w:p>
    <w:p w14:paraId="12BFDBA5" w14:textId="1AAED2A3" w:rsidR="00B94C90" w:rsidRPr="003F17DD" w:rsidRDefault="00FB55CB" w:rsidP="00530701">
      <w:pPr>
        <w:pStyle w:val="Normalnumber"/>
        <w:keepNext/>
        <w:keepLines/>
        <w:tabs>
          <w:tab w:val="clear" w:pos="1247"/>
          <w:tab w:val="clear" w:pos="1814"/>
          <w:tab w:val="clear" w:pos="2381"/>
          <w:tab w:val="clear" w:pos="2948"/>
          <w:tab w:val="clear" w:pos="3515"/>
          <w:tab w:val="left" w:pos="624"/>
        </w:tabs>
      </w:pPr>
      <w:r w:rsidRPr="003F17DD">
        <w:t>Au titre</w:t>
      </w:r>
      <w:r w:rsidR="00B94C90" w:rsidRPr="003F17DD">
        <w:t xml:space="preserve"> de ce point de l</w:t>
      </w:r>
      <w:r w:rsidR="007175B8">
        <w:t>’</w:t>
      </w:r>
      <w:r w:rsidR="00B94C90" w:rsidRPr="003F17DD">
        <w:t>ordre du jour, le Secrétariat présente, dans les paragraphes suivants, des résumés des informations fournies par le Groupe de l</w:t>
      </w:r>
      <w:r w:rsidR="007175B8">
        <w:t>’</w:t>
      </w:r>
      <w:r w:rsidR="00B94C90" w:rsidRPr="003F17DD">
        <w:t>évaluation technique et économique concernant l</w:t>
      </w:r>
      <w:r w:rsidR="007175B8">
        <w:t>’</w:t>
      </w:r>
      <w:r w:rsidR="00B94C90" w:rsidRPr="003F17DD">
        <w:t>évaluation d</w:t>
      </w:r>
      <w:r w:rsidR="007175B8">
        <w:t>’</w:t>
      </w:r>
      <w:r w:rsidR="00B94C90" w:rsidRPr="003F17DD">
        <w:t xml:space="preserve">une technique de destruction soumise par le Canada, ainsi que des informations actualisées sur les SPFA. </w:t>
      </w:r>
    </w:p>
    <w:p w14:paraId="6559F12D" w14:textId="23200402"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Toute Partie qui souhaiterait discuter de ces questions ou de toute autre question liée au rapport d</w:t>
      </w:r>
      <w:r w:rsidR="007175B8">
        <w:t>’</w:t>
      </w:r>
      <w:r w:rsidRPr="003F17DD">
        <w:t>activité du Groupe pour 2026 lors de la quarante-huitième réunion du Groupe de travail à composition non limitée pourra les soulever au moment de l</w:t>
      </w:r>
      <w:r w:rsidR="007175B8">
        <w:t>’</w:t>
      </w:r>
      <w:r w:rsidRPr="003F17DD">
        <w:t>adoption de l</w:t>
      </w:r>
      <w:r w:rsidR="007175B8">
        <w:t>’</w:t>
      </w:r>
      <w:r w:rsidRPr="003F17DD">
        <w:t>ordre du jour de cette réunion et demander leur inscription à l</w:t>
      </w:r>
      <w:r w:rsidR="007175B8">
        <w:t>’</w:t>
      </w:r>
      <w:r w:rsidRPr="003F17DD">
        <w:t>ordre du jour, selon qu</w:t>
      </w:r>
      <w:r w:rsidR="007175B8">
        <w:t>’</w:t>
      </w:r>
      <w:r w:rsidRPr="003F17DD">
        <w:t xml:space="preserve">il conviendra. </w:t>
      </w:r>
    </w:p>
    <w:p w14:paraId="46864571" w14:textId="4B491E30" w:rsidR="00B94C90" w:rsidRPr="003F17DD" w:rsidRDefault="00B964D5" w:rsidP="00B94C90">
      <w:pPr>
        <w:pStyle w:val="CH4"/>
        <w:rPr>
          <w:rFonts w:eastAsia="MS Mincho"/>
          <w:snapToGrid w:val="0"/>
        </w:rPr>
      </w:pPr>
      <w:r>
        <w:rPr>
          <w:bCs/>
        </w:rPr>
        <w:tab/>
      </w:r>
      <w:r w:rsidR="00B94C90" w:rsidRPr="003F17DD">
        <w:rPr>
          <w:bCs/>
        </w:rPr>
        <w:t>i)</w:t>
      </w:r>
      <w:r w:rsidR="00B94C90" w:rsidRPr="003F17DD">
        <w:tab/>
      </w:r>
      <w:r w:rsidR="00B94C90" w:rsidRPr="003F17DD">
        <w:rPr>
          <w:bCs/>
        </w:rPr>
        <w:t>Évaluation et recommandation concernant une technique de destruction présentée par</w:t>
      </w:r>
      <w:r w:rsidR="00580606">
        <w:rPr>
          <w:bCs/>
        </w:rPr>
        <w:t> </w:t>
      </w:r>
      <w:r w:rsidR="00B94C90" w:rsidRPr="003F17DD">
        <w:rPr>
          <w:bCs/>
        </w:rPr>
        <w:t>le</w:t>
      </w:r>
      <w:r w:rsidR="00580606">
        <w:rPr>
          <w:bCs/>
        </w:rPr>
        <w:t> </w:t>
      </w:r>
      <w:r w:rsidR="00B94C90" w:rsidRPr="003F17DD">
        <w:rPr>
          <w:bCs/>
        </w:rPr>
        <w:t>Canada</w:t>
      </w:r>
    </w:p>
    <w:p w14:paraId="2822EC79" w14:textId="5E90BA5A"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Au fil des ans, les Parties ont adopté plusieurs décisions approuvant des techniques de destruction des substances réglementées aux fins du Protocole de</w:t>
      </w:r>
      <w:r w:rsidR="005E5C30">
        <w:t> </w:t>
      </w:r>
      <w:r w:rsidRPr="003F17DD">
        <w:t>Montréal. La liste actuelle des techniques de destruction approuvées figure à l</w:t>
      </w:r>
      <w:r w:rsidR="007175B8">
        <w:t>’</w:t>
      </w:r>
      <w:r w:rsidRPr="003F17DD">
        <w:t>annexe II du rapport de la trentième Réunion des Parties, telle que modifiée par la trente-cinquième</w:t>
      </w:r>
      <w:r w:rsidR="005E5C30">
        <w:t> </w:t>
      </w:r>
      <w:r w:rsidRPr="003F17DD">
        <w:t>Réunion des Parties dans sa décision</w:t>
      </w:r>
      <w:r w:rsidR="00250BDC">
        <w:t> </w:t>
      </w:r>
      <w:r w:rsidRPr="003F17DD">
        <w:t>XXXV/5</w:t>
      </w:r>
      <w:r w:rsidRPr="003F17DD">
        <w:rPr>
          <w:rStyle w:val="FootnoteReference"/>
          <w:rFonts w:eastAsia="MS Mincho"/>
          <w:snapToGrid w:val="0"/>
        </w:rPr>
        <w:footnoteReference w:id="11"/>
      </w:r>
      <w:r w:rsidRPr="003F17DD">
        <w:t xml:space="preserve">. </w:t>
      </w:r>
    </w:p>
    <w:p w14:paraId="5ED6B16D" w14:textId="3B67D99F" w:rsidR="00B94C90" w:rsidRPr="003F17DD" w:rsidRDefault="00B94C90" w:rsidP="00B94C90">
      <w:pPr>
        <w:pStyle w:val="Normalnumber"/>
        <w:tabs>
          <w:tab w:val="clear" w:pos="1247"/>
          <w:tab w:val="clear" w:pos="1814"/>
          <w:tab w:val="clear" w:pos="2381"/>
          <w:tab w:val="clear" w:pos="2948"/>
          <w:tab w:val="clear" w:pos="3515"/>
          <w:tab w:val="left" w:pos="624"/>
        </w:tabs>
        <w:spacing w:before="120"/>
        <w:rPr>
          <w:rFonts w:eastAsia="MS Mincho"/>
          <w:snapToGrid w:val="0"/>
        </w:rPr>
      </w:pPr>
      <w:r w:rsidRPr="003F17DD">
        <w:t>Dans la décision</w:t>
      </w:r>
      <w:r w:rsidR="0063276E">
        <w:t> </w:t>
      </w:r>
      <w:r w:rsidRPr="003F17DD">
        <w:t>XXXV/5, relative aux techniques de destruction des substances réglementées, les Parties ont été invitées à communiquer au Secrétariat des informations utiles à l</w:t>
      </w:r>
      <w:r w:rsidR="007175B8">
        <w:t>’</w:t>
      </w:r>
      <w:r w:rsidRPr="003F17DD">
        <w:t>examen de ces techniques. Conformément à la décision</w:t>
      </w:r>
      <w:r w:rsidR="00027782">
        <w:t> </w:t>
      </w:r>
      <w:r w:rsidRPr="003F17DD">
        <w:t>IV/11 de la quatrième</w:t>
      </w:r>
      <w:r w:rsidR="00515D11">
        <w:t> </w:t>
      </w:r>
      <w:r w:rsidRPr="003F17DD">
        <w:t>Réunion des Parties, ces examens sont menés par le Groupe de l</w:t>
      </w:r>
      <w:r w:rsidR="007175B8">
        <w:t>’</w:t>
      </w:r>
      <w:r w:rsidRPr="003F17DD">
        <w:t>évaluation technique et économique et des recommandations sont formulées à cet effet pour être soumises à l</w:t>
      </w:r>
      <w:r w:rsidR="007175B8">
        <w:t>’</w:t>
      </w:r>
      <w:r w:rsidRPr="003F17DD">
        <w:t>examen de la Réunion des Parties. Dans le cadre de son évaluation, le</w:t>
      </w:r>
      <w:r w:rsidR="008C52A4">
        <w:t> </w:t>
      </w:r>
      <w:r w:rsidRPr="003F17DD">
        <w:t>Groupe, par l</w:t>
      </w:r>
      <w:r w:rsidR="007175B8">
        <w:t>’</w:t>
      </w:r>
      <w:r w:rsidRPr="003F17DD">
        <w:t>intermédiaire de son Comité des choix techniques pour les produits chimiques et médicaux, fournit également des avis techniques concernant les émissions d</w:t>
      </w:r>
      <w:r w:rsidR="007175B8">
        <w:t>’</w:t>
      </w:r>
      <w:r w:rsidRPr="003F17DD">
        <w:t>autres polluants et les capacités des techniques de destruction, à l</w:t>
      </w:r>
      <w:r w:rsidR="007175B8">
        <w:t>’</w:t>
      </w:r>
      <w:r w:rsidRPr="003F17DD">
        <w:t>intention des Parties. À cet égard, le Secrétariat a reçu des demandes de renseignements de la part de deux Parties concernant leurs techniques de destruction, auxquelles le Comité a répondu par l</w:t>
      </w:r>
      <w:r w:rsidR="007175B8">
        <w:t>’</w:t>
      </w:r>
      <w:r w:rsidRPr="003F17DD">
        <w:t>intermédiaire du Secrétariat.</w:t>
      </w:r>
    </w:p>
    <w:p w14:paraId="6D6189C5" w14:textId="04664FEC"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En novembre 2025, le Canada a transmis au Secrétariat des informations confidentielles et non</w:t>
      </w:r>
      <w:r w:rsidR="00C978A2">
        <w:t> </w:t>
      </w:r>
      <w:r w:rsidRPr="003F17DD">
        <w:t>confidentielles concernant une technique brevetée à arc plasma utilisant de la vapeur, afin qu</w:t>
      </w:r>
      <w:r w:rsidR="007175B8">
        <w:t>’</w:t>
      </w:r>
      <w:r w:rsidRPr="003F17DD">
        <w:t>elles soient examinées par le Groupe de l</w:t>
      </w:r>
      <w:r w:rsidR="007175B8">
        <w:t>’</w:t>
      </w:r>
      <w:r w:rsidRPr="003F17DD">
        <w:t>évaluation technique et économique. Le Comité des choix techniques pour les produits chimiques et médicaux du Groupe a examiné la demande, a sollicité des précisions auprès du Canada et a procédé à une évaluation technique indépendante, comprenant un examen par les pairs et des discussions visant à parvenir à un consensus.</w:t>
      </w:r>
    </w:p>
    <w:p w14:paraId="51EF4F57" w14:textId="2869348F"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w:t>
      </w:r>
      <w:r w:rsidR="007175B8">
        <w:t>’</w:t>
      </w:r>
      <w:r w:rsidRPr="003F17DD">
        <w:t>évaluation du Comité s</w:t>
      </w:r>
      <w:r w:rsidR="007175B8">
        <w:t>’</w:t>
      </w:r>
      <w:r w:rsidRPr="003F17DD">
        <w:t>est appuyée sur les critères établis pour les techniques de destruction, en mettant l</w:t>
      </w:r>
      <w:r w:rsidR="007175B8">
        <w:t>’</w:t>
      </w:r>
      <w:r w:rsidRPr="003F17DD">
        <w:t>accent sur l</w:t>
      </w:r>
      <w:r w:rsidR="007175B8">
        <w:t>’</w:t>
      </w:r>
      <w:r w:rsidRPr="003F17DD">
        <w:t>efficacité démontrée en matière de destruction et d</w:t>
      </w:r>
      <w:r w:rsidR="007175B8">
        <w:t>’</w:t>
      </w:r>
      <w:r w:rsidRPr="003F17DD">
        <w:t>élimination, les limites d</w:t>
      </w:r>
      <w:r w:rsidR="007175B8">
        <w:t>’</w:t>
      </w:r>
      <w:r w:rsidRPr="003F17DD">
        <w:t>émissions (notamment pour les dioxines/furanes, les gaz acides, les particules et le monoxyde de carbone) ainsi que la capacité de traitement minimale. Les données ont été analysées pour plusieurs substances réglementées, notamment le CFC-11, le CFC-12, le HCFC-22 et le HFC</w:t>
      </w:r>
      <w:r w:rsidR="00215CF1">
        <w:noBreakHyphen/>
      </w:r>
      <w:r w:rsidRPr="003F17DD">
        <w:t>134a.</w:t>
      </w:r>
    </w:p>
    <w:p w14:paraId="64C39159" w14:textId="19ED0A70" w:rsidR="00B94C90" w:rsidRPr="0071000E"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3F17DD">
        <w:t>D</w:t>
      </w:r>
      <w:r w:rsidR="007175B8">
        <w:t>’</w:t>
      </w:r>
      <w:r w:rsidRPr="003F17DD">
        <w:t>après l</w:t>
      </w:r>
      <w:r w:rsidR="007175B8">
        <w:t>’</w:t>
      </w:r>
      <w:r w:rsidRPr="003F17DD">
        <w:t>examen par le Comité des données de performance fournies par le Canada, la technique a démontré que les rendements de destruction et d</w:t>
      </w:r>
      <w:r w:rsidR="007175B8">
        <w:t>’</w:t>
      </w:r>
      <w:r w:rsidRPr="003F17DD">
        <w:t>élimination atteints pour la destruction du CFC-12, du CFC-11, du HCFC-22 et du HFC-134a sont supérieurs à 99,99</w:t>
      </w:r>
      <w:r w:rsidR="003B2189">
        <w:t> </w:t>
      </w:r>
      <w:r w:rsidRPr="003F17DD">
        <w:t>%, ce qui satisfait aux critères de performance en matière de rendement de destruction et d</w:t>
      </w:r>
      <w:r w:rsidR="007175B8">
        <w:t>’</w:t>
      </w:r>
      <w:r w:rsidRPr="003F17DD">
        <w:t>élimination</w:t>
      </w:r>
      <w:r w:rsidRPr="003F17DD">
        <w:rPr>
          <w:rFonts w:eastAsia="MS Mincho"/>
          <w:snapToGrid w:val="0"/>
          <w:vertAlign w:val="superscript"/>
        </w:rPr>
        <w:footnoteReference w:id="12"/>
      </w:r>
      <w:r w:rsidRPr="003F17DD">
        <w:t xml:space="preserve"> applicables à ces substances réglementées aux fins de leur destruction en vertu du Protocole de Montréal. Les émissions de polluants se sont également révélées inférieures aux seuils recommandés, et les capacités de traitement ont dépassé les critères minimaux. Sur cette base, le Comité a conclu que cette technique </w:t>
      </w:r>
      <w:r w:rsidRPr="0071000E">
        <w:t>était en mesure de satisfaire aux exigences en matière de destruction des sources concentrées de substances relevant du groupe</w:t>
      </w:r>
      <w:r w:rsidR="0019224E" w:rsidRPr="0071000E">
        <w:t> </w:t>
      </w:r>
      <w:r w:rsidRPr="0071000E">
        <w:t xml:space="preserve">I de </w:t>
      </w:r>
      <w:r w:rsidR="00955F3F" w:rsidRPr="0071000E">
        <w:t>l’Annexe </w:t>
      </w:r>
      <w:r w:rsidRPr="0071000E">
        <w:t>A, du groupe</w:t>
      </w:r>
      <w:r w:rsidR="0019224E" w:rsidRPr="0071000E">
        <w:t> </w:t>
      </w:r>
      <w:r w:rsidRPr="0071000E">
        <w:t xml:space="preserve">I de </w:t>
      </w:r>
      <w:r w:rsidR="00955F3F" w:rsidRPr="0071000E">
        <w:t>l’Annexe </w:t>
      </w:r>
      <w:r w:rsidRPr="0071000E">
        <w:t>C et du groupe</w:t>
      </w:r>
      <w:r w:rsidR="009D6D16" w:rsidRPr="0071000E">
        <w:t> </w:t>
      </w:r>
      <w:r w:rsidRPr="0071000E">
        <w:t xml:space="preserve">I de </w:t>
      </w:r>
      <w:r w:rsidR="00955F3F" w:rsidRPr="0071000E">
        <w:t>l’Annexe </w:t>
      </w:r>
      <w:r w:rsidRPr="0071000E">
        <w:t>F.</w:t>
      </w:r>
    </w:p>
    <w:p w14:paraId="3DABEDE1" w14:textId="075606EC" w:rsidR="00B94C90" w:rsidRPr="0071000E" w:rsidRDefault="00B94C90" w:rsidP="00B94C90">
      <w:pPr>
        <w:pStyle w:val="Normalnumber"/>
        <w:tabs>
          <w:tab w:val="clear" w:pos="1247"/>
          <w:tab w:val="clear" w:pos="1814"/>
          <w:tab w:val="clear" w:pos="2381"/>
          <w:tab w:val="clear" w:pos="2948"/>
          <w:tab w:val="clear" w:pos="3515"/>
          <w:tab w:val="left" w:pos="624"/>
        </w:tabs>
        <w:spacing w:before="120"/>
        <w:rPr>
          <w:rFonts w:eastAsia="MS Mincho"/>
          <w:snapToGrid w:val="0"/>
        </w:rPr>
      </w:pPr>
      <w:r w:rsidRPr="0071000E">
        <w:t>Le Comité a également examiné la manière dont cette technique s</w:t>
      </w:r>
      <w:r w:rsidR="007175B8" w:rsidRPr="0071000E">
        <w:t>’</w:t>
      </w:r>
      <w:r w:rsidRPr="0071000E">
        <w:t>inscrivait dans les catégories</w:t>
      </w:r>
      <w:r w:rsidRPr="003F17DD">
        <w:t xml:space="preserve"> existantes d</w:t>
      </w:r>
      <w:r w:rsidR="007175B8">
        <w:t>’</w:t>
      </w:r>
      <w:r w:rsidRPr="003F17DD">
        <w:t>arcs plasma et a conclu que, bien qu</w:t>
      </w:r>
      <w:r w:rsidR="007175B8">
        <w:t>’</w:t>
      </w:r>
      <w:r w:rsidRPr="003F17DD">
        <w:t>elle présente des similitudes avec les systèmes d</w:t>
      </w:r>
      <w:r w:rsidR="007175B8">
        <w:t>’</w:t>
      </w:r>
      <w:r w:rsidRPr="003F17DD">
        <w:t>arc plasma déjà approuvés, elle s</w:t>
      </w:r>
      <w:r w:rsidR="007175B8">
        <w:t>’</w:t>
      </w:r>
      <w:r w:rsidRPr="003F17DD">
        <w:t>en distinguait suffisamment. En conséquence, le Groupe de l</w:t>
      </w:r>
      <w:r w:rsidR="007175B8">
        <w:t>’</w:t>
      </w:r>
      <w:r w:rsidRPr="003F17DD">
        <w:t>évaluation technique et économique recommande que cette technique, classée dans une nouvelle catégorie générique intitulée «</w:t>
      </w:r>
      <w:r w:rsidR="009D6D16">
        <w:t> </w:t>
      </w:r>
      <w:r w:rsidRPr="003F17DD">
        <w:t>arc plasma à vapeur</w:t>
      </w:r>
      <w:r w:rsidR="009D6D16">
        <w:t> </w:t>
      </w:r>
      <w:r w:rsidRPr="003F17DD">
        <w:t xml:space="preserve">», soit approuvée pour la destruction des sources concentrées </w:t>
      </w:r>
      <w:r w:rsidRPr="003F17DD">
        <w:lastRenderedPageBreak/>
        <w:t xml:space="preserve">de </w:t>
      </w:r>
      <w:r w:rsidRPr="0071000E">
        <w:t>substances réglementées relevant du groupe I de l</w:t>
      </w:r>
      <w:r w:rsidR="007175B8" w:rsidRPr="0071000E">
        <w:t>’</w:t>
      </w:r>
      <w:r w:rsidR="00955F3F" w:rsidRPr="0071000E">
        <w:t>A</w:t>
      </w:r>
      <w:r w:rsidRPr="0071000E">
        <w:t>nnexe</w:t>
      </w:r>
      <w:r w:rsidR="009D6D16" w:rsidRPr="0071000E">
        <w:t> </w:t>
      </w:r>
      <w:r w:rsidRPr="0071000E">
        <w:t>A, du groupe</w:t>
      </w:r>
      <w:r w:rsidR="009D6D16" w:rsidRPr="0071000E">
        <w:t> </w:t>
      </w:r>
      <w:r w:rsidRPr="0071000E">
        <w:t xml:space="preserve">I de </w:t>
      </w:r>
      <w:r w:rsidR="00955F3F" w:rsidRPr="0071000E">
        <w:t>l’Annexe </w:t>
      </w:r>
      <w:r w:rsidRPr="0071000E">
        <w:t>C et du groupe</w:t>
      </w:r>
      <w:r w:rsidR="009D6D16" w:rsidRPr="0071000E">
        <w:t> </w:t>
      </w:r>
      <w:r w:rsidRPr="0071000E">
        <w:t xml:space="preserve">I de </w:t>
      </w:r>
      <w:r w:rsidR="00955F3F" w:rsidRPr="0071000E">
        <w:t>l’Annexe </w:t>
      </w:r>
      <w:r w:rsidRPr="0071000E">
        <w:t>F, aux fins du Protocole de</w:t>
      </w:r>
      <w:r w:rsidR="009D6D16" w:rsidRPr="0071000E">
        <w:t> </w:t>
      </w:r>
      <w:r w:rsidRPr="0071000E">
        <w:t>Montréal.</w:t>
      </w:r>
    </w:p>
    <w:p w14:paraId="07D1B5D2" w14:textId="77777777" w:rsidR="00B94C90" w:rsidRPr="003F17DD" w:rsidRDefault="00B94C90" w:rsidP="00B94C90">
      <w:pPr>
        <w:pStyle w:val="Normalnumber"/>
        <w:tabs>
          <w:tab w:val="clear" w:pos="1247"/>
          <w:tab w:val="clear" w:pos="1814"/>
          <w:tab w:val="clear" w:pos="2381"/>
          <w:tab w:val="clear" w:pos="2948"/>
          <w:tab w:val="clear" w:pos="3515"/>
          <w:tab w:val="left" w:pos="624"/>
        </w:tabs>
        <w:rPr>
          <w:rFonts w:eastAsia="MS Mincho"/>
          <w:snapToGrid w:val="0"/>
        </w:rPr>
      </w:pPr>
      <w:r w:rsidRPr="0071000E">
        <w:t>Le Groupe de travail à composition non limitée souhaitera peut-être examiner la question et</w:t>
      </w:r>
      <w:r w:rsidRPr="003F17DD">
        <w:t xml:space="preserve"> recommander une marche à suivre.</w:t>
      </w:r>
    </w:p>
    <w:p w14:paraId="1338EE0B" w14:textId="0C8A7EFA" w:rsidR="00B94C90" w:rsidRPr="003F17DD" w:rsidRDefault="00B964D5" w:rsidP="00B94C90">
      <w:pPr>
        <w:pStyle w:val="CH4"/>
      </w:pPr>
      <w:r>
        <w:rPr>
          <w:bCs/>
        </w:rPr>
        <w:tab/>
      </w:r>
      <w:r w:rsidR="00B94C90" w:rsidRPr="003F17DD">
        <w:rPr>
          <w:bCs/>
        </w:rPr>
        <w:t>ii)</w:t>
      </w:r>
      <w:r w:rsidR="00B94C90" w:rsidRPr="003F17DD">
        <w:tab/>
      </w:r>
      <w:r w:rsidR="00B94C90" w:rsidRPr="003F17DD">
        <w:rPr>
          <w:bCs/>
        </w:rPr>
        <w:t>Politiques émergentes et informations sectorielles relatives aux SPFA</w:t>
      </w:r>
    </w:p>
    <w:p w14:paraId="0A10CAAE" w14:textId="20E992C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Comme dans ses précédents rapports, le Groupe de l</w:t>
      </w:r>
      <w:r w:rsidR="007175B8">
        <w:t>’</w:t>
      </w:r>
      <w:r w:rsidRPr="003F17DD">
        <w:t>évaluation technique et économique fournit, au chapitre</w:t>
      </w:r>
      <w:r w:rsidR="00EF107A">
        <w:t> </w:t>
      </w:r>
      <w:r w:rsidRPr="003F17DD">
        <w:t>7 de son rapport d</w:t>
      </w:r>
      <w:r w:rsidR="007175B8">
        <w:t>’</w:t>
      </w:r>
      <w:r w:rsidRPr="003F17DD">
        <w:t xml:space="preserve">activité de 2026, des informations actualisées utiles pour les politiques concernant les SPFA et un aperçu des </w:t>
      </w:r>
      <w:r w:rsidR="00992E44" w:rsidRPr="003F17DD">
        <w:t>incidences</w:t>
      </w:r>
      <w:r w:rsidRPr="003F17DD">
        <w:t xml:space="preserve"> potentielles de la transition vers des solutions de remplacement des substances réglementées par le Protocole de</w:t>
      </w:r>
      <w:r w:rsidR="00EF107A">
        <w:t> </w:t>
      </w:r>
      <w:r w:rsidRPr="003F17DD">
        <w:t>Montréal dans les secteurs de la lutte anti-incendie, des mousses, des produits médicaux, et de la réfrigération, de la climatisation et des pompes à chaleur.</w:t>
      </w:r>
    </w:p>
    <w:p w14:paraId="413C2EE8" w14:textId="587529A2"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 Groupe souligne que, bien que les SPFA soient souvent regroupés à tort sous l</w:t>
      </w:r>
      <w:r w:rsidR="007175B8">
        <w:t>’</w:t>
      </w:r>
      <w:r w:rsidRPr="003F17DD">
        <w:t>appellation de «</w:t>
      </w:r>
      <w:r w:rsidR="00EF107A">
        <w:t> </w:t>
      </w:r>
      <w:r w:rsidRPr="003F17DD">
        <w:t>polluants éternels</w:t>
      </w:r>
      <w:r w:rsidR="00EF107A">
        <w:t> </w:t>
      </w:r>
      <w:r w:rsidRPr="003F17DD">
        <w:t>», tous les SPFA ne sont en réalité pas persistants, bioaccumulables et toxiques. Les inquiétudes portent principalement sur des substances chimiques telles que l</w:t>
      </w:r>
      <w:r w:rsidR="007175B8">
        <w:t>’</w:t>
      </w:r>
      <w:r w:rsidRPr="003F17DD">
        <w:t xml:space="preserve">acide </w:t>
      </w:r>
      <w:proofErr w:type="spellStart"/>
      <w:r w:rsidRPr="003F17DD">
        <w:t>perfluorooctanoïque</w:t>
      </w:r>
      <w:proofErr w:type="spellEnd"/>
      <w:r w:rsidRPr="003F17DD">
        <w:t xml:space="preserve"> (APFO) et l</w:t>
      </w:r>
      <w:r w:rsidR="007175B8">
        <w:t>’</w:t>
      </w:r>
      <w:r w:rsidRPr="003F17DD">
        <w:t xml:space="preserve">acide </w:t>
      </w:r>
      <w:proofErr w:type="spellStart"/>
      <w:r w:rsidRPr="003F17DD">
        <w:t>perfluorooctane</w:t>
      </w:r>
      <w:proofErr w:type="spellEnd"/>
      <w:r w:rsidRPr="003F17DD">
        <w:t xml:space="preserve"> sulfonique (SPFO), qui sont très persistantes, nocives et déjà soumises à des restrictions strictes dans de nombreux pays.</w:t>
      </w:r>
    </w:p>
    <w:p w14:paraId="3CE04EE0" w14:textId="5B96FCF9"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Comme dans ses rapports précédents, le Groupe constate que les définitions du terme «</w:t>
      </w:r>
      <w:r w:rsidR="0021069B">
        <w:t> </w:t>
      </w:r>
      <w:proofErr w:type="gramStart"/>
      <w:r w:rsidR="00955F3F" w:rsidRPr="00955F3F">
        <w:t>SPFA</w:t>
      </w:r>
      <w:r w:rsidRPr="003F17DD">
        <w:t>»</w:t>
      </w:r>
      <w:proofErr w:type="gramEnd"/>
      <w:r w:rsidRPr="003F17DD">
        <w:t xml:space="preserve"> varient considérablement d</w:t>
      </w:r>
      <w:r w:rsidR="007175B8">
        <w:t>’</w:t>
      </w:r>
      <w:r w:rsidRPr="003F17DD">
        <w:t>une réglementation internationale, nationale ou régionale à</w:t>
      </w:r>
      <w:r w:rsidR="00D258D6">
        <w:t> </w:t>
      </w:r>
      <w:r w:rsidRPr="003F17DD">
        <w:t>l</w:t>
      </w:r>
      <w:r w:rsidR="007175B8">
        <w:t>’</w:t>
      </w:r>
      <w:r w:rsidRPr="003F17DD">
        <w:t>autre, ce qui entraîne un traitement incohérent des substances relevant du Protocole de</w:t>
      </w:r>
      <w:r w:rsidR="00F171BB">
        <w:t> </w:t>
      </w:r>
      <w:r w:rsidRPr="003F17DD">
        <w:t>Montréal. Les différents organismes et gouvernements appliquent des critères variés, et certaines définitions sont suffisamment larges pour inclure les réfrigérants, les agents d</w:t>
      </w:r>
      <w:r w:rsidR="007175B8">
        <w:t>’</w:t>
      </w:r>
      <w:r w:rsidRPr="003F17DD">
        <w:t xml:space="preserve">extinction, les agents gonflants pour mousses, les </w:t>
      </w:r>
      <w:proofErr w:type="spellStart"/>
      <w:r w:rsidRPr="003F17DD">
        <w:t>fluoropolymères</w:t>
      </w:r>
      <w:proofErr w:type="spellEnd"/>
      <w:r w:rsidRPr="003F17DD">
        <w:t xml:space="preserve"> et les propulseurs d</w:t>
      </w:r>
      <w:r w:rsidR="007175B8">
        <w:t>’</w:t>
      </w:r>
      <w:r w:rsidRPr="003F17DD">
        <w:t>aérosols médicaux réglementés par le Protocole de Montréal, ainsi que les substances utilisées pour les remplacer. Des réglementations fondées uniquement sur la structure chimique plutôt que sur les risques réels pour l</w:t>
      </w:r>
      <w:r w:rsidR="007175B8">
        <w:t>’</w:t>
      </w:r>
      <w:r w:rsidRPr="003F17DD">
        <w:t>environnement ou la santé pourraient entraîner l</w:t>
      </w:r>
      <w:r w:rsidR="007175B8">
        <w:t>’</w:t>
      </w:r>
      <w:r w:rsidRPr="003F17DD">
        <w:t>interdiction involontaire de substances qui ne sont ni très toxiques ni persistantes.</w:t>
      </w:r>
    </w:p>
    <w:p w14:paraId="043EC3FE" w14:textId="099E4BA3"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Les approches de la réglementation varient également de façon considérable. La Convention de</w:t>
      </w:r>
      <w:r w:rsidR="00F171BB">
        <w:t> </w:t>
      </w:r>
      <w:r w:rsidRPr="003F17DD">
        <w:t>Stockholm sur les polluants organiques persistants ne vise que certaines SPFA spécifiques, telles que le SPFO et l</w:t>
      </w:r>
      <w:r w:rsidR="007175B8">
        <w:t>’</w:t>
      </w:r>
      <w:r w:rsidRPr="003F17DD">
        <w:t>APFO, et non les substances qui relèvent du Protocole de</w:t>
      </w:r>
      <w:r w:rsidR="00090342">
        <w:t> </w:t>
      </w:r>
      <w:r w:rsidRPr="003F17DD">
        <w:t>Montréal. En revanche, les restrictions proposées par l</w:t>
      </w:r>
      <w:r w:rsidR="007175B8">
        <w:t>’</w:t>
      </w:r>
      <w:r w:rsidRPr="003F17DD">
        <w:t xml:space="preserve">Union européenne concernant les SPFA dans le cadre de la réglementation REACH (Enregistrement, évaluation, autorisation et restriction des substances chimiques) pourraient </w:t>
      </w:r>
      <w:proofErr w:type="gramStart"/>
      <w:r w:rsidRPr="003F17DD">
        <w:t>avoir</w:t>
      </w:r>
      <w:proofErr w:type="gramEnd"/>
      <w:r w:rsidRPr="003F17DD">
        <w:t xml:space="preserve"> des répercussions sur les solutions de remplacement des substances appauvrissant la couche d</w:t>
      </w:r>
      <w:r w:rsidR="007175B8">
        <w:t>’</w:t>
      </w:r>
      <w:r w:rsidRPr="003F17DD">
        <w:t xml:space="preserve">ozone et à fort potentiel de réchauffement global. Le Canada envisage de renforcer les mesures de contrôle relatives aux SPFA, qui pourraient inclure certains produits chimiques relevant du Protocole de Montréal, tout en excluant les </w:t>
      </w:r>
      <w:proofErr w:type="spellStart"/>
      <w:r w:rsidRPr="003F17DD">
        <w:t>fluoropolymères</w:t>
      </w:r>
      <w:proofErr w:type="spellEnd"/>
      <w:r w:rsidRPr="003F17DD">
        <w:t>. Aux États-Unis, l</w:t>
      </w:r>
      <w:r w:rsidR="007175B8">
        <w:t>’</w:t>
      </w:r>
      <w:r w:rsidRPr="003F17DD">
        <w:t>Agence de protection de l</w:t>
      </w:r>
      <w:r w:rsidR="007175B8">
        <w:t>’</w:t>
      </w:r>
      <w:r w:rsidRPr="003F17DD">
        <w:t>environnement applique une approche fondée sur les risques, axée sur la toxicité et l</w:t>
      </w:r>
      <w:r w:rsidR="007175B8">
        <w:t>’</w:t>
      </w:r>
      <w:r w:rsidRPr="003F17DD">
        <w:t xml:space="preserve">exposition, et certains États ont adopté des définitions et des restrictions plus larges concernant les SPFA. </w:t>
      </w:r>
    </w:p>
    <w:p w14:paraId="76F187DD" w14:textId="47117E74"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L</w:t>
      </w:r>
      <w:r w:rsidR="007175B8">
        <w:t>’</w:t>
      </w:r>
      <w:r w:rsidRPr="003F17DD">
        <w:t>incertitude entourant la future réglementation sur les SPFA freine déjà les investissements dans les technologies de remplacement. Les entreprises hésitent à investir dans des solutions qui pourraient être interdites par la suite. Cette incertitude pourrait retarder la réalisation des objectifs du Protocole de</w:t>
      </w:r>
      <w:r w:rsidR="00840192">
        <w:t> </w:t>
      </w:r>
      <w:r w:rsidRPr="003F17DD">
        <w:t>Montréal et de l</w:t>
      </w:r>
      <w:r w:rsidR="007175B8">
        <w:t>’</w:t>
      </w:r>
      <w:r w:rsidRPr="003F17DD">
        <w:t>Amendement de</w:t>
      </w:r>
      <w:r w:rsidR="00090342">
        <w:t> </w:t>
      </w:r>
      <w:r w:rsidRPr="003F17DD">
        <w:t>Kigali, en limitant l</w:t>
      </w:r>
      <w:r w:rsidR="007175B8">
        <w:t>’</w:t>
      </w:r>
      <w:r w:rsidRPr="003F17DD">
        <w:t>accès à des solutions de remplacement à faible potentiel de réchauffement global et en freinant l</w:t>
      </w:r>
      <w:r w:rsidR="007175B8">
        <w:t>’</w:t>
      </w:r>
      <w:r w:rsidRPr="003F17DD">
        <w:t>innovation.</w:t>
      </w:r>
    </w:p>
    <w:p w14:paraId="2AF62A03" w14:textId="41DF7C92"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 xml:space="preserve">Dans le secteur de la lutte contre les incendies, les systèmes de protection contre les incendies des aéronefs reposent encore largement sur les halons, car les solutions de remplacement pour certaines applications, notamment les </w:t>
      </w:r>
      <w:proofErr w:type="spellStart"/>
      <w:r w:rsidRPr="003F17DD">
        <w:t>soutes</w:t>
      </w:r>
      <w:proofErr w:type="spellEnd"/>
      <w:r w:rsidRPr="003F17DD">
        <w:t xml:space="preserve"> à fret et les nacelles de moteurs, restent techniquement insuffisantes malgré des décennies de recherche. Les solutions de remplacement potentielles, telles que le 2-BTP et les </w:t>
      </w:r>
      <w:proofErr w:type="spellStart"/>
      <w:r w:rsidRPr="003F17DD">
        <w:t>fluorocétones</w:t>
      </w:r>
      <w:proofErr w:type="spellEnd"/>
      <w:r w:rsidRPr="003F17DD">
        <w:t>, pourraient elles-mêmes être classées parmi les SPFA selon des définitions larges, ce qui soulève des incertitudes quant à leur viabilité à long terme. Les acteurs du secteur de l</w:t>
      </w:r>
      <w:r w:rsidR="007175B8">
        <w:t>’</w:t>
      </w:r>
      <w:r w:rsidRPr="003F17DD">
        <w:t>aviation civile réexaminent donc la poursuite de l</w:t>
      </w:r>
      <w:r w:rsidR="007175B8">
        <w:t>’</w:t>
      </w:r>
      <w:r w:rsidRPr="003F17DD">
        <w:t xml:space="preserve">utilisation à long terme </w:t>
      </w:r>
      <w:proofErr w:type="gramStart"/>
      <w:r w:rsidRPr="003F17DD">
        <w:t>du halon</w:t>
      </w:r>
      <w:proofErr w:type="gramEnd"/>
      <w:r w:rsidR="000F04AC">
        <w:t> </w:t>
      </w:r>
      <w:r w:rsidRPr="003F17DD">
        <w:t>1301,</w:t>
      </w:r>
      <w:r w:rsidR="006A2A1D">
        <w:t> </w:t>
      </w:r>
      <w:r w:rsidRPr="003F17DD">
        <w:t>qui pourrait prolonger la dépendance vis-à-vis des substances appauvrissant la couche d</w:t>
      </w:r>
      <w:r w:rsidR="007175B8">
        <w:t>’</w:t>
      </w:r>
      <w:r w:rsidRPr="003F17DD">
        <w:t>ozone pendant plusieurs décennies, les systèmes aéronautiques étant conçus et certifiés selon des délais extrêmement longs.</w:t>
      </w:r>
    </w:p>
    <w:p w14:paraId="40B6912D" w14:textId="04EB8331"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Dans le secteur de l</w:t>
      </w:r>
      <w:r w:rsidR="007175B8">
        <w:t>’</w:t>
      </w:r>
      <w:r w:rsidRPr="003F17DD">
        <w:t>isolation en mousse, qui joue un rôle important dans la réduction de la consommation d</w:t>
      </w:r>
      <w:r w:rsidR="007175B8">
        <w:t>’</w:t>
      </w:r>
      <w:r w:rsidRPr="003F17DD">
        <w:t>énergie des bâtiments et des systèmes de réfrigération, les fabricants ont déjà reporté leurs décisions concernant les agents gonflants pour mousse en raison des incertitudes entourant les alternatives fluorées et d</w:t>
      </w:r>
      <w:r w:rsidR="007175B8">
        <w:t>’</w:t>
      </w:r>
      <w:r w:rsidRPr="003F17DD">
        <w:t>éventuelles interdictions futures. Étant donné qu</w:t>
      </w:r>
      <w:r w:rsidR="007175B8">
        <w:t>’</w:t>
      </w:r>
      <w:r w:rsidRPr="003F17DD">
        <w:t>aucun agent gonflant ne convient de manière optimale à toutes les applications, réduire le nombre d</w:t>
      </w:r>
      <w:r w:rsidR="007175B8">
        <w:t>’</w:t>
      </w:r>
      <w:r w:rsidRPr="003F17DD">
        <w:t>options disponibles pourrait entraîner des difficultés techniques et économiques.</w:t>
      </w:r>
    </w:p>
    <w:p w14:paraId="36EC4E41" w14:textId="4763F0AC"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lastRenderedPageBreak/>
        <w:t xml:space="preserve">Dans le secteur médical, les inhalateurs-doseurs </w:t>
      </w:r>
      <w:r w:rsidR="00490E9E" w:rsidRPr="003F17DD">
        <w:t>pressurisés</w:t>
      </w:r>
      <w:r w:rsidRPr="003F17DD">
        <w:t xml:space="preserve"> utilisés pour traiter l</w:t>
      </w:r>
      <w:r w:rsidR="007175B8">
        <w:t>’</w:t>
      </w:r>
      <w:r w:rsidRPr="003F17DD">
        <w:t>asthme et la bronchopneumopathie chronique obstructive pourraient également être concernés. Le secteur est en</w:t>
      </w:r>
      <w:r w:rsidR="00803583">
        <w:t> </w:t>
      </w:r>
      <w:r w:rsidRPr="003F17DD">
        <w:t>train d</w:t>
      </w:r>
      <w:r w:rsidR="007175B8">
        <w:t>’</w:t>
      </w:r>
      <w:r w:rsidRPr="003F17DD">
        <w:t>abandonner les agents propulseurs à fort potentiel de réchauffement global au profit de solutions de remplacement à plus faible potentiel, telles que le HFC-152a et le HFO-1234ze(E). Cependant, certaines propositions de réglementation relatives aux SPFA pourraient restreindre l</w:t>
      </w:r>
      <w:r w:rsidR="007175B8">
        <w:t>’</w:t>
      </w:r>
      <w:r w:rsidRPr="003F17DD">
        <w:t>utilisation du HFO-1234ze(E) malgré son potentiel de réchauffement global extrêmement faible. Étant donné que la mise au point de nouveaux inhalateurs prend de nombreuses années et que des centaines de millions de patient(e)s dépendent de ces médicaments, l</w:t>
      </w:r>
      <w:r w:rsidR="007175B8">
        <w:t>’</w:t>
      </w:r>
      <w:r w:rsidRPr="003F17DD">
        <w:t>incertitude quant à la réglementation future suscite des inquiétudes dans les secteurs de la santé et de l</w:t>
      </w:r>
      <w:r w:rsidR="007175B8">
        <w:t>’</w:t>
      </w:r>
      <w:r w:rsidRPr="003F17DD">
        <w:t>industrie pharmaceutique.</w:t>
      </w:r>
    </w:p>
    <w:p w14:paraId="2282E477" w14:textId="0C8E1F33" w:rsidR="00B94C90" w:rsidRPr="003F17DD" w:rsidRDefault="00B94C90" w:rsidP="00B94C90">
      <w:pPr>
        <w:pStyle w:val="Normalnumber"/>
        <w:tabs>
          <w:tab w:val="clear" w:pos="1247"/>
          <w:tab w:val="clear" w:pos="1814"/>
          <w:tab w:val="clear" w:pos="2381"/>
          <w:tab w:val="clear" w:pos="2948"/>
          <w:tab w:val="clear" w:pos="3515"/>
          <w:tab w:val="left" w:pos="624"/>
        </w:tabs>
      </w:pPr>
      <w:r w:rsidRPr="0002684D">
        <w:t>Le secteur de la</w:t>
      </w:r>
      <w:r w:rsidRPr="003F17DD">
        <w:t xml:space="preserve"> réfrigération, de la climatisation et des pompes à chaleur est considéré comme particulièrement important, car il représente la majeure partie de la consommation mondiale </w:t>
      </w:r>
      <w:r w:rsidR="00AC5453" w:rsidRPr="003F17DD">
        <w:t>d</w:t>
      </w:r>
      <w:r w:rsidR="007175B8">
        <w:t>’</w:t>
      </w:r>
      <w:r w:rsidRPr="003F17DD">
        <w:t>HFC au</w:t>
      </w:r>
      <w:r w:rsidR="00592129">
        <w:t> </w:t>
      </w:r>
      <w:r w:rsidRPr="003F17DD">
        <w:t>titre de l</w:t>
      </w:r>
      <w:r w:rsidR="007175B8">
        <w:t>’</w:t>
      </w:r>
      <w:r w:rsidRPr="003F17DD">
        <w:t>Amendement de Kigali. Selon le Groupe de l</w:t>
      </w:r>
      <w:r w:rsidR="007175B8">
        <w:t>’</w:t>
      </w:r>
      <w:r w:rsidRPr="003F17DD">
        <w:t>évaluation technique et économique, presque tous les réfrigérants fluorés couramment utilisés, à l</w:t>
      </w:r>
      <w:r w:rsidR="007175B8">
        <w:t>’</w:t>
      </w:r>
      <w:r w:rsidRPr="003F17DD">
        <w:t>exception du HFC-32, pourraient potentiellement entrer dans le champ d</w:t>
      </w:r>
      <w:r w:rsidR="007175B8">
        <w:t>’</w:t>
      </w:r>
      <w:r w:rsidRPr="003F17DD">
        <w:t>application des définitions générales des SPFA. Si les solutions de remplacement non fluorées telles que les hydrocarbures, l</w:t>
      </w:r>
      <w:r w:rsidR="007175B8">
        <w:t>’</w:t>
      </w:r>
      <w:r w:rsidRPr="003F17DD">
        <w:t>ammoniac et le dioxyde de carbone conviennent à certaines applications, elles présentent toutefois des limites en matière d</w:t>
      </w:r>
      <w:r w:rsidR="007175B8">
        <w:t>’</w:t>
      </w:r>
      <w:r w:rsidRPr="003F17DD">
        <w:t>inflammabilité, de toxicité, de pression, d</w:t>
      </w:r>
      <w:r w:rsidR="007175B8">
        <w:t>’</w:t>
      </w:r>
      <w:r w:rsidRPr="003F17DD">
        <w:t>efficacité et d</w:t>
      </w:r>
      <w:r w:rsidR="007175B8">
        <w:t>’</w:t>
      </w:r>
      <w:r w:rsidRPr="003F17DD">
        <w:t>adéquation à certains climats et types de bâtiments. Des interdictions générales des SPFA pourraient donc réduire le choix de réfrigérants, ralentir l</w:t>
      </w:r>
      <w:r w:rsidR="007175B8">
        <w:t>’</w:t>
      </w:r>
      <w:r w:rsidRPr="003F17DD">
        <w:t>adoption des pompes à chaleur, diminuer l</w:t>
      </w:r>
      <w:r w:rsidR="007175B8">
        <w:t>’</w:t>
      </w:r>
      <w:r w:rsidRPr="003F17DD">
        <w:t>efficacité énergétique et, en fin de compte, augmenter les émissions de gaz à effet de serre.</w:t>
      </w:r>
    </w:p>
    <w:p w14:paraId="12835C56" w14:textId="5C647C9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 xml:space="preserve">Une autre préoccupation majeure soulevée dans le rapport concerne les </w:t>
      </w:r>
      <w:proofErr w:type="spellStart"/>
      <w:r w:rsidRPr="003F17DD">
        <w:t>fluoropolymères</w:t>
      </w:r>
      <w:proofErr w:type="spellEnd"/>
      <w:r w:rsidRPr="003F17DD">
        <w:t xml:space="preserve"> utilisés dans les équipements de réfrigération, de climatisation et de pompes à chaleur. Ces matériaux sont indispensables pour la fabrication de joints, de compresseurs, de vannes, d</w:t>
      </w:r>
      <w:r w:rsidR="007175B8">
        <w:t>’</w:t>
      </w:r>
      <w:r w:rsidRPr="003F17DD">
        <w:t>isolants électriques, d</w:t>
      </w:r>
      <w:r w:rsidR="007175B8">
        <w:t>’</w:t>
      </w:r>
      <w:r w:rsidRPr="003F17DD">
        <w:t xml:space="preserve">échangeurs de chaleur, de revêtements et de composants électroniques, en raison de leur durabilité et de leur résistance chimique. Les restrictions concernant les </w:t>
      </w:r>
      <w:proofErr w:type="spellStart"/>
      <w:r w:rsidRPr="003F17DD">
        <w:t>fluoropolymères</w:t>
      </w:r>
      <w:proofErr w:type="spellEnd"/>
      <w:r w:rsidRPr="003F17DD">
        <w:t xml:space="preserve"> pourraient donc perturber la production dans l</w:t>
      </w:r>
      <w:r w:rsidR="007175B8">
        <w:t>’</w:t>
      </w:r>
      <w:r w:rsidRPr="003F17DD">
        <w:t>ensemble de ce secteur, quel que soit le type de réfrigérant utilisé, car de nombreux systèmes fonctionnant au dioxyde de carbone, à l</w:t>
      </w:r>
      <w:r w:rsidR="007175B8">
        <w:t>’</w:t>
      </w:r>
      <w:r w:rsidRPr="003F17DD">
        <w:t>ammoniac ou aux hydrocarbures dépendent également de ces polymères.</w:t>
      </w:r>
    </w:p>
    <w:p w14:paraId="5479FE12" w14:textId="5D1A1852"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Conformément à la décision</w:t>
      </w:r>
      <w:r w:rsidR="00BC1567">
        <w:t> </w:t>
      </w:r>
      <w:r w:rsidRPr="003F17DD">
        <w:t>XXXV/3, relative aux domaines d</w:t>
      </w:r>
      <w:r w:rsidR="007175B8">
        <w:t>’</w:t>
      </w:r>
      <w:r w:rsidRPr="003F17DD">
        <w:t>intérêt potentiels pour les rapports quadriennaux de 2026 du Groupe de l</w:t>
      </w:r>
      <w:r w:rsidR="007175B8">
        <w:t>’</w:t>
      </w:r>
      <w:r w:rsidRPr="003F17DD">
        <w:t>évaluation des effets sur l</w:t>
      </w:r>
      <w:r w:rsidR="007175B8">
        <w:t>’</w:t>
      </w:r>
      <w:r w:rsidRPr="003F17DD">
        <w:t>environnement, du Groupe de l</w:t>
      </w:r>
      <w:r w:rsidR="007175B8">
        <w:t>’</w:t>
      </w:r>
      <w:r w:rsidRPr="003F17DD">
        <w:t>évaluation scientifique et du Groupe de l</w:t>
      </w:r>
      <w:r w:rsidR="007175B8">
        <w:t>’</w:t>
      </w:r>
      <w:r w:rsidRPr="003F17DD">
        <w:t>évaluation technique et économique, tous les Groupes ont été invités à inclure dans leurs rapports d</w:t>
      </w:r>
      <w:r w:rsidR="007175B8">
        <w:t>’</w:t>
      </w:r>
      <w:r w:rsidRPr="003F17DD">
        <w:t>évaluation quadriennaux de 2026 des informations sur les substances réglementées, leurs substituts et leurs produits de dégradation, en particulier les SPFA. Le Groupe de l</w:t>
      </w:r>
      <w:r w:rsidR="007175B8">
        <w:t>’</w:t>
      </w:r>
      <w:r w:rsidRPr="003F17DD">
        <w:t>évaluation technique et économique coordonne ses travaux avec les deux autres Groupes afin de définir l</w:t>
      </w:r>
      <w:r w:rsidR="007175B8">
        <w:t>’</w:t>
      </w:r>
      <w:r w:rsidRPr="003F17DD">
        <w:t>étendue des informations relatives à ce sujet qui seront abordées dans leurs rapports d</w:t>
      </w:r>
      <w:r w:rsidR="007175B8">
        <w:t>’</w:t>
      </w:r>
      <w:r w:rsidRPr="003F17DD">
        <w:t>évaluation quadriennaux respectifs.</w:t>
      </w:r>
    </w:p>
    <w:p w14:paraId="6714E688" w14:textId="03AA049B" w:rsidR="00B94C90" w:rsidRPr="003F17DD" w:rsidRDefault="00B94C90" w:rsidP="00BC1567">
      <w:pPr>
        <w:pStyle w:val="CH2"/>
        <w:ind w:firstLine="0"/>
      </w:pPr>
      <w:r w:rsidRPr="003F17DD">
        <w:rPr>
          <w:bCs/>
        </w:rPr>
        <w:t>Point</w:t>
      </w:r>
      <w:r w:rsidR="00BC1567">
        <w:rPr>
          <w:bCs/>
        </w:rPr>
        <w:t> </w:t>
      </w:r>
      <w:r w:rsidRPr="003F17DD">
        <w:rPr>
          <w:bCs/>
        </w:rPr>
        <w:t>5 de l</w:t>
      </w:r>
      <w:r w:rsidR="007175B8">
        <w:rPr>
          <w:bCs/>
        </w:rPr>
        <w:t>’</w:t>
      </w:r>
      <w:r w:rsidRPr="003F17DD">
        <w:rPr>
          <w:bCs/>
        </w:rPr>
        <w:t>ordre du jour</w:t>
      </w:r>
    </w:p>
    <w:p w14:paraId="27DCE220" w14:textId="6FD287A5" w:rsidR="00B94C90" w:rsidRPr="003F17DD" w:rsidRDefault="00B94C90" w:rsidP="00B94C90">
      <w:pPr>
        <w:pStyle w:val="CH2"/>
        <w:spacing w:before="120"/>
      </w:pPr>
      <w:r w:rsidRPr="003F17DD">
        <w:tab/>
      </w:r>
      <w:r w:rsidRPr="003F17DD">
        <w:tab/>
      </w:r>
      <w:r w:rsidRPr="003F17DD">
        <w:rPr>
          <w:bCs/>
        </w:rPr>
        <w:t>Amélioration de la surveillance atmosphérique régionale des substances réglementées par le Protocole de</w:t>
      </w:r>
      <w:r w:rsidR="00512F9D">
        <w:rPr>
          <w:bCs/>
        </w:rPr>
        <w:t> </w:t>
      </w:r>
      <w:r w:rsidRPr="003F17DD">
        <w:rPr>
          <w:bCs/>
        </w:rPr>
        <w:t>Montréal (décision</w:t>
      </w:r>
      <w:r w:rsidR="00512F9D">
        <w:rPr>
          <w:bCs/>
        </w:rPr>
        <w:t> </w:t>
      </w:r>
      <w:r w:rsidRPr="003F17DD">
        <w:rPr>
          <w:bCs/>
        </w:rPr>
        <w:t>XXXVII/1)</w:t>
      </w:r>
    </w:p>
    <w:p w14:paraId="5FDB9C9F" w14:textId="4A73B060"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Comme indiqué dans la note du Secrétariat (UNEP/OzL.Pro.WG.1/48/2, par.</w:t>
      </w:r>
      <w:r w:rsidR="00E358ED">
        <w:t> </w:t>
      </w:r>
      <w:r w:rsidRPr="003F17DD">
        <w:t>26 à 30), dans la décision</w:t>
      </w:r>
      <w:r w:rsidR="00E358ED">
        <w:t> </w:t>
      </w:r>
      <w:r w:rsidRPr="003F17DD">
        <w:t>XXXVII/1, le Secrétariat de l</w:t>
      </w:r>
      <w:r w:rsidR="007175B8">
        <w:t>’</w:t>
      </w:r>
      <w:r w:rsidR="00BF24BB">
        <w:t>o</w:t>
      </w:r>
      <w:r w:rsidRPr="003F17DD">
        <w:t>zone était prié de faire rapport au Groupe de travail à composition non limitée à sa quarante-huitième</w:t>
      </w:r>
      <w:r w:rsidR="00E358ED">
        <w:t> </w:t>
      </w:r>
      <w:r w:rsidRPr="003F17DD">
        <w:t>réunion et à la trente-huitième</w:t>
      </w:r>
      <w:r w:rsidR="00E358ED">
        <w:t> </w:t>
      </w:r>
      <w:r w:rsidRPr="003F17DD">
        <w:t>Réunion des Parties sur l</w:t>
      </w:r>
      <w:r w:rsidR="007175B8">
        <w:t>’</w:t>
      </w:r>
      <w:r w:rsidRPr="003F17DD">
        <w:t>état d</w:t>
      </w:r>
      <w:r w:rsidR="007175B8">
        <w:t>’</w:t>
      </w:r>
      <w:r w:rsidRPr="003F17DD">
        <w:t>avancement et les résultats éventuels des activités suivantes</w:t>
      </w:r>
      <w:r w:rsidR="00D34006">
        <w:t> </w:t>
      </w:r>
      <w:r w:rsidRPr="003F17DD">
        <w:t>: évaluation de l</w:t>
      </w:r>
      <w:r w:rsidR="007175B8">
        <w:t>’</w:t>
      </w:r>
      <w:r w:rsidRPr="003F17DD">
        <w:t>adéquation des sites potentiels pour la surveillance des émissions de substances réglementées situés dans les régions et les emplacements identifiés dans les informations fournies par le Comité</w:t>
      </w:r>
      <w:r w:rsidR="00E358ED">
        <w:t> </w:t>
      </w:r>
      <w:r w:rsidRPr="003F17DD">
        <w:t>consultatif du fonds d</w:t>
      </w:r>
      <w:r w:rsidR="007175B8">
        <w:t>’</w:t>
      </w:r>
      <w:r w:rsidRPr="003F17DD">
        <w:t>affectation spéciale général destiné à financer des activités de recherche et d</w:t>
      </w:r>
      <w:r w:rsidR="007175B8">
        <w:t>’</w:t>
      </w:r>
      <w:r w:rsidRPr="003F17DD">
        <w:t>observations systématiques au titre de la Convention de</w:t>
      </w:r>
      <w:r w:rsidR="00E358ED">
        <w:t> </w:t>
      </w:r>
      <w:r w:rsidRPr="003F17DD">
        <w:t>Vienne</w:t>
      </w:r>
      <w:r w:rsidR="003E275D">
        <w:t xml:space="preserve"> pour la protection de la couche d’ozone</w:t>
      </w:r>
      <w:r w:rsidRPr="003F17DD">
        <w:t>, avec la participation volontaire des Parties concernées et en consultation avec elles</w:t>
      </w:r>
      <w:r w:rsidR="003567A0">
        <w:t> </w:t>
      </w:r>
      <w:r w:rsidRPr="003F17DD">
        <w:t>; préparation, en consultation avec les Parties concernées qui avaient manifesté leur intérêt, les prochaines étapes possibles en vue de la mise en place d</w:t>
      </w:r>
      <w:r w:rsidR="007175B8">
        <w:t>’</w:t>
      </w:r>
      <w:r w:rsidRPr="003F17DD">
        <w:t>activités de surveillance sur les sites potentiels, en tenant compte des priorités présentées par le Comité consultatif lors de la trente-septième Réunion des Parties et de l</w:t>
      </w:r>
      <w:r w:rsidR="007175B8">
        <w:t>’</w:t>
      </w:r>
      <w:r w:rsidRPr="003F17DD">
        <w:t>approche d</w:t>
      </w:r>
      <w:r w:rsidR="007175B8">
        <w:t>’</w:t>
      </w:r>
      <w:r w:rsidRPr="003F17DD">
        <w:t>échantillonnage progressif présentée dans l</w:t>
      </w:r>
      <w:r w:rsidR="007175B8">
        <w:t>’</w:t>
      </w:r>
      <w:r w:rsidRPr="003F17DD">
        <w:t>additif à la note du Secrétariat sur les questions portées à l</w:t>
      </w:r>
      <w:r w:rsidR="007175B8">
        <w:t>’</w:t>
      </w:r>
      <w:r w:rsidRPr="003F17DD">
        <w:t>attention de la trente</w:t>
      </w:r>
      <w:r w:rsidR="004B1459">
        <w:noBreakHyphen/>
      </w:r>
      <w:r w:rsidRPr="003F17DD">
        <w:t>septième</w:t>
      </w:r>
      <w:r w:rsidR="004B1459">
        <w:t> </w:t>
      </w:r>
      <w:r w:rsidRPr="003F17DD">
        <w:t>Réunion des Parties au Protocole de</w:t>
      </w:r>
      <w:r w:rsidR="009F4590">
        <w:t> </w:t>
      </w:r>
      <w:r w:rsidRPr="003F17DD">
        <w:t>Montréal, pour examen et information (UNEP/OzL.Pro.37/2/Add.1). Pour mener à bien ces activités, le Secrétariat a été autorisé à utiliser une ligne budgétaire de 100</w:t>
      </w:r>
      <w:r w:rsidR="009F4590">
        <w:t> </w:t>
      </w:r>
      <w:r w:rsidRPr="003F17DD">
        <w:t>000</w:t>
      </w:r>
      <w:r w:rsidR="009F4590">
        <w:t> </w:t>
      </w:r>
      <w:r w:rsidRPr="003F17DD">
        <w:t>dollars des États-Unis pour 2026, prélevée à titre exceptionnel sur le solde de trésorerie du fonds d</w:t>
      </w:r>
      <w:r w:rsidR="007175B8">
        <w:t>’</w:t>
      </w:r>
      <w:r w:rsidRPr="003F17DD">
        <w:t>affectation spéciale pour le Protocole de</w:t>
      </w:r>
      <w:r w:rsidR="009F4590">
        <w:t> </w:t>
      </w:r>
      <w:r w:rsidRPr="003F17DD">
        <w:t>Montréal. Le rapport d</w:t>
      </w:r>
      <w:r w:rsidR="007175B8">
        <w:t>’</w:t>
      </w:r>
      <w:r w:rsidRPr="003F17DD">
        <w:t>étape du Secrétariat est résumé dans les paragraphes suivants.</w:t>
      </w:r>
    </w:p>
    <w:p w14:paraId="0714660B" w14:textId="766B42C3"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lastRenderedPageBreak/>
        <w:t>Conformément à la décision</w:t>
      </w:r>
      <w:r w:rsidR="009F4590">
        <w:t> </w:t>
      </w:r>
      <w:r w:rsidRPr="003F17DD">
        <w:t>XXXVII/1 et à la suite de la trente-septième</w:t>
      </w:r>
      <w:r w:rsidR="00E246A1">
        <w:t> </w:t>
      </w:r>
      <w:r w:rsidRPr="003F17DD">
        <w:t>Réunion des Parties, le Secrétariat a poursuivi l</w:t>
      </w:r>
      <w:r w:rsidR="007175B8">
        <w:t>’</w:t>
      </w:r>
      <w:r w:rsidRPr="003F17DD">
        <w:t>examen des sites de surveillance existants et des infrastructures disponibles, en mettant l</w:t>
      </w:r>
      <w:r w:rsidR="007175B8">
        <w:t>’</w:t>
      </w:r>
      <w:r w:rsidRPr="003F17DD">
        <w:t>accent sur les cinq</w:t>
      </w:r>
      <w:r w:rsidR="00974135">
        <w:t> </w:t>
      </w:r>
      <w:r w:rsidRPr="003F17DD">
        <w:t>régions jugées prioritaires par le Comité</w:t>
      </w:r>
      <w:r w:rsidR="00B45E31">
        <w:t> </w:t>
      </w:r>
      <w:r w:rsidRPr="003F17DD">
        <w:t>consultatif. En collaboration avec le secrétariat de l</w:t>
      </w:r>
      <w:r w:rsidR="007175B8">
        <w:t>’</w:t>
      </w:r>
      <w:r w:rsidRPr="003F17DD">
        <w:t>Organisation météorologique mondiale (OMM), un membre du Secrétariat de l</w:t>
      </w:r>
      <w:r w:rsidR="007175B8">
        <w:t>’</w:t>
      </w:r>
      <w:r w:rsidRPr="003F17DD">
        <w:t>ozone s</w:t>
      </w:r>
      <w:r w:rsidR="007175B8">
        <w:t>’</w:t>
      </w:r>
      <w:r w:rsidRPr="003F17DD">
        <w:t>est rendu au siège de l</w:t>
      </w:r>
      <w:r w:rsidR="007175B8">
        <w:t>’</w:t>
      </w:r>
      <w:r w:rsidRPr="003F17DD">
        <w:t>OMM à Genève à la fin de l</w:t>
      </w:r>
      <w:r w:rsidR="007175B8">
        <w:t>’</w:t>
      </w:r>
      <w:r w:rsidRPr="003F17DD">
        <w:t xml:space="preserve">année 2025 et a travaillé en étroite collaboration avec </w:t>
      </w:r>
      <w:proofErr w:type="gramStart"/>
      <w:r w:rsidRPr="003F17DD">
        <w:t>les expert</w:t>
      </w:r>
      <w:proofErr w:type="gramEnd"/>
      <w:r w:rsidRPr="003F17DD">
        <w:t>(e)s de l</w:t>
      </w:r>
      <w:r w:rsidR="007175B8">
        <w:t>’</w:t>
      </w:r>
      <w:r w:rsidRPr="003F17DD">
        <w:t>OMM afin d</w:t>
      </w:r>
      <w:r w:rsidR="007175B8">
        <w:t>’</w:t>
      </w:r>
      <w:r w:rsidRPr="003F17DD">
        <w:t>identifier les stations existantes adaptées et les infrastructures connexes au sein du réseau de la Veille de l</w:t>
      </w:r>
      <w:r w:rsidR="007175B8">
        <w:t>’</w:t>
      </w:r>
      <w:r w:rsidRPr="003F17DD">
        <w:t>atmosphère globale et d</w:t>
      </w:r>
      <w:r w:rsidR="007175B8">
        <w:t>’</w:t>
      </w:r>
      <w:r w:rsidRPr="003F17DD">
        <w:t>autres réseaux coordonnés par l</w:t>
      </w:r>
      <w:r w:rsidR="007175B8">
        <w:t>’</w:t>
      </w:r>
      <w:r w:rsidRPr="003F17DD">
        <w:t>OMM. L</w:t>
      </w:r>
      <w:r w:rsidR="007175B8">
        <w:t>’</w:t>
      </w:r>
      <w:r w:rsidRPr="003F17DD">
        <w:t>évaluation a également pris en compte la disponibilité des compétences techniques et scientifiques locales nécessaires pour soutenir les activités de mesure. Les résultats de ces travaux ont été présentés au Comité consultatif lors de sa vingtième</w:t>
      </w:r>
      <w:r w:rsidR="00FD4C14">
        <w:t> </w:t>
      </w:r>
      <w:r w:rsidRPr="003F17DD">
        <w:t>réunion en ligne, organisée par le Secrétariat le 9</w:t>
      </w:r>
      <w:r w:rsidR="00C074A1">
        <w:t> </w:t>
      </w:r>
      <w:r w:rsidRPr="003F17DD">
        <w:t xml:space="preserve">mars 2026. </w:t>
      </w:r>
    </w:p>
    <w:p w14:paraId="349B6526" w14:textId="77953FB5"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Prenant note des conclusions du Secrétariat et de la contribution de l</w:t>
      </w:r>
      <w:r w:rsidR="007175B8">
        <w:t>’</w:t>
      </w:r>
      <w:r w:rsidRPr="003F17DD">
        <w:t>OMM, le Comité consultatif a notamment souligné l</w:t>
      </w:r>
      <w:r w:rsidR="007175B8">
        <w:t>’</w:t>
      </w:r>
      <w:r w:rsidRPr="003F17DD">
        <w:t>importance de garantir des compétences scientifiques durables pour assurer la maintenance des instruments de surveillance, en particulier pour les mesures à long terme effectuées dans les stations de surveillance. Le Comité est également convenu que la prochaine phase des travaux devrait viser à évaluer l</w:t>
      </w:r>
      <w:r w:rsidR="007175B8">
        <w:t>’</w:t>
      </w:r>
      <w:r w:rsidRPr="003F17DD">
        <w:t xml:space="preserve">intérêt des Parties concernées dans les régions prioritaires pour accueillir de telles activités de surveillance. </w:t>
      </w:r>
    </w:p>
    <w:p w14:paraId="488442A3" w14:textId="3B1249BC"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En concertation avec le Secrétariat, un Coprésident du Comité</w:t>
      </w:r>
      <w:r w:rsidR="00931869">
        <w:t> </w:t>
      </w:r>
      <w:r w:rsidRPr="003F17DD">
        <w:t>consultatif a mené des consultations informelles avec des représentant(e)s nationaux(les) et des scientifiques dans cinq pays situés dans les cinq</w:t>
      </w:r>
      <w:r w:rsidR="00B736B3">
        <w:t> </w:t>
      </w:r>
      <w:r w:rsidRPr="003F17DD">
        <w:t>régions prioritaires. Ces discussions avaient pour objectif de clarifier les questions techniques et scientifiques liées à la mise en place éventuelle de stations de surveillance, sur la base des documents élaborés précédemment, et de mieux cerner les spécificités nationales en la matière. À</w:t>
      </w:r>
      <w:r w:rsidR="0020507D">
        <w:t> </w:t>
      </w:r>
      <w:r w:rsidRPr="003F17DD">
        <w:t>l</w:t>
      </w:r>
      <w:r w:rsidR="007175B8">
        <w:t>’</w:t>
      </w:r>
      <w:r w:rsidRPr="003F17DD">
        <w:t>issue des consultations, et au moment de la rédaction du présent additif, le Secrétariat avait reçu des manifestations d</w:t>
      </w:r>
      <w:r w:rsidR="007175B8">
        <w:t>’</w:t>
      </w:r>
      <w:r w:rsidRPr="003F17DD">
        <w:t>intérêt de la part de deux Parties souhaitant poursuivre les discussions sur la possibilité d</w:t>
      </w:r>
      <w:r w:rsidR="007175B8">
        <w:t>’</w:t>
      </w:r>
      <w:r w:rsidRPr="003F17DD">
        <w:t xml:space="preserve">implanter une station de surveillance dans leur pays. </w:t>
      </w:r>
    </w:p>
    <w:p w14:paraId="14FD4D45" w14:textId="23E26DC4"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Par ailleurs, à la suite de l</w:t>
      </w:r>
      <w:r w:rsidR="007175B8">
        <w:t>’</w:t>
      </w:r>
      <w:r w:rsidRPr="003F17DD">
        <w:t>annonce faite par le Secrétariat lors de la trente-septième</w:t>
      </w:r>
      <w:r w:rsidR="00574CBD">
        <w:t> </w:t>
      </w:r>
      <w:r w:rsidRPr="003F17DD">
        <w:t>Réunion des Parties concernant son intention de mettre au point un outil en ligne interactif et convivial permettant d</w:t>
      </w:r>
      <w:r w:rsidR="007175B8">
        <w:t>’</w:t>
      </w:r>
      <w:r w:rsidRPr="003F17DD">
        <w:t>estimer les coûts liés à la mise en place et au fonctionnement d</w:t>
      </w:r>
      <w:r w:rsidR="007175B8">
        <w:t>’</w:t>
      </w:r>
      <w:r w:rsidRPr="003F17DD">
        <w:t>une station de surveillance, une première version de cet outil sera mise à disposition lors de la quarante</w:t>
      </w:r>
      <w:r w:rsidR="000C55CC">
        <w:noBreakHyphen/>
      </w:r>
      <w:r w:rsidRPr="003F17DD">
        <w:t>huitième</w:t>
      </w:r>
      <w:r w:rsidR="00574CBD">
        <w:t> </w:t>
      </w:r>
      <w:r w:rsidRPr="003F17DD">
        <w:t>réunion du Groupe de travail à composition non limitée afin d</w:t>
      </w:r>
      <w:r w:rsidR="007175B8">
        <w:t>’</w:t>
      </w:r>
      <w:r w:rsidRPr="003F17DD">
        <w:t>inviter les Parties à</w:t>
      </w:r>
      <w:r w:rsidR="00E97AA7">
        <w:t> </w:t>
      </w:r>
      <w:r w:rsidRPr="003F17DD">
        <w:t>le</w:t>
      </w:r>
      <w:r w:rsidR="00E97AA7">
        <w:t> </w:t>
      </w:r>
      <w:r w:rsidRPr="003F17DD">
        <w:t>tester et à faire part de leurs commentaires et suggestions au Secrétariat pour faciliter la</w:t>
      </w:r>
      <w:r w:rsidR="00E97AA7">
        <w:t> </w:t>
      </w:r>
      <w:r w:rsidRPr="003F17DD">
        <w:t>préparation d</w:t>
      </w:r>
      <w:r w:rsidR="007175B8">
        <w:t>’</w:t>
      </w:r>
      <w:r w:rsidRPr="003F17DD">
        <w:t>une version finale</w:t>
      </w:r>
      <w:r w:rsidR="0072052C" w:rsidRPr="003F17DD">
        <w:t>,</w:t>
      </w:r>
      <w:r w:rsidRPr="003F17DD">
        <w:t xml:space="preserve"> qui sera lancée lors de la trente-huitième</w:t>
      </w:r>
      <w:r w:rsidR="00574CBD">
        <w:t> </w:t>
      </w:r>
      <w:r w:rsidRPr="003F17DD">
        <w:t xml:space="preserve">Réunion des Parties. </w:t>
      </w:r>
    </w:p>
    <w:p w14:paraId="548A12AD" w14:textId="77777777" w:rsidR="00B94C90" w:rsidRPr="003F17DD" w:rsidRDefault="00B94C90" w:rsidP="00B94C90">
      <w:pPr>
        <w:pStyle w:val="Normalnumber"/>
        <w:tabs>
          <w:tab w:val="clear" w:pos="1247"/>
          <w:tab w:val="clear" w:pos="1814"/>
          <w:tab w:val="clear" w:pos="2381"/>
          <w:tab w:val="clear" w:pos="2948"/>
          <w:tab w:val="clear" w:pos="3515"/>
          <w:tab w:val="left" w:pos="624"/>
        </w:tabs>
        <w:rPr>
          <w:color w:val="000000" w:themeColor="text1"/>
        </w:rPr>
      </w:pPr>
      <w:r w:rsidRPr="003F17DD">
        <w:t>Le Groupe de travail à composition non limitée souhaitera peut-être examiner ledit rapport et recommander une marche à suivre.</w:t>
      </w:r>
    </w:p>
    <w:p w14:paraId="4FFB630B" w14:textId="7B0EEFA8" w:rsidR="00B94C90" w:rsidRPr="003F17DD" w:rsidRDefault="00D841E7" w:rsidP="00B94C90">
      <w:pPr>
        <w:pStyle w:val="CH1"/>
        <w:tabs>
          <w:tab w:val="clear" w:pos="1871"/>
        </w:tabs>
      </w:pPr>
      <w:r>
        <w:rPr>
          <w:bCs/>
        </w:rPr>
        <w:tab/>
      </w:r>
      <w:r w:rsidR="00B94C90" w:rsidRPr="003F17DD">
        <w:rPr>
          <w:bCs/>
        </w:rPr>
        <w:t>III.</w:t>
      </w:r>
      <w:r w:rsidR="00B94C90" w:rsidRPr="003F17DD">
        <w:tab/>
      </w:r>
      <w:r w:rsidR="00B94C90" w:rsidRPr="003F17DD">
        <w:rPr>
          <w:bCs/>
        </w:rPr>
        <w:t>Questions intéressant la trente-huitième</w:t>
      </w:r>
      <w:r w:rsidR="0006752E">
        <w:rPr>
          <w:bCs/>
        </w:rPr>
        <w:t> </w:t>
      </w:r>
      <w:r w:rsidR="00B94C90" w:rsidRPr="003F17DD">
        <w:rPr>
          <w:bCs/>
        </w:rPr>
        <w:t>Réunion des Parties, y</w:t>
      </w:r>
      <w:r w:rsidR="00F97DAB">
        <w:rPr>
          <w:bCs/>
        </w:rPr>
        <w:t> </w:t>
      </w:r>
      <w:r w:rsidR="00B94C90" w:rsidRPr="003F17DD">
        <w:rPr>
          <w:bCs/>
        </w:rPr>
        <w:t>compris l</w:t>
      </w:r>
      <w:r w:rsidR="007175B8">
        <w:rPr>
          <w:bCs/>
        </w:rPr>
        <w:t>’</w:t>
      </w:r>
      <w:r w:rsidR="00B94C90" w:rsidRPr="003F17DD">
        <w:rPr>
          <w:bCs/>
        </w:rPr>
        <w:t>état d</w:t>
      </w:r>
      <w:r w:rsidR="007175B8">
        <w:rPr>
          <w:bCs/>
        </w:rPr>
        <w:t>’</w:t>
      </w:r>
      <w:r w:rsidR="00B94C90" w:rsidRPr="003F17DD">
        <w:rPr>
          <w:bCs/>
        </w:rPr>
        <w:t>avancement de la mise en œuvre des décisions antérieures</w:t>
      </w:r>
    </w:p>
    <w:p w14:paraId="7A1381EC" w14:textId="05A9E411" w:rsidR="00B94C90" w:rsidRPr="003F17DD" w:rsidRDefault="00D841E7" w:rsidP="00B94C90">
      <w:pPr>
        <w:pStyle w:val="CH2"/>
      </w:pPr>
      <w:r>
        <w:rPr>
          <w:bCs/>
        </w:rPr>
        <w:tab/>
      </w:r>
      <w:r w:rsidR="00B94C90" w:rsidRPr="003F17DD">
        <w:rPr>
          <w:bCs/>
        </w:rPr>
        <w:t>A.</w:t>
      </w:r>
      <w:r w:rsidR="00B94C90" w:rsidRPr="003F17DD">
        <w:tab/>
      </w:r>
      <w:r w:rsidR="00B94C90" w:rsidRPr="003F17DD">
        <w:rPr>
          <w:bCs/>
        </w:rPr>
        <w:t>Substances réglementées recyclées, usagées ou non désirées (décisions</w:t>
      </w:r>
      <w:r w:rsidR="0006752E">
        <w:rPr>
          <w:bCs/>
        </w:rPr>
        <w:t> </w:t>
      </w:r>
      <w:r w:rsidR="00B94C90" w:rsidRPr="003F17DD">
        <w:rPr>
          <w:bCs/>
        </w:rPr>
        <w:t>XXXVII/3, par.</w:t>
      </w:r>
      <w:r w:rsidR="0006752E">
        <w:rPr>
          <w:bCs/>
        </w:rPr>
        <w:t> </w:t>
      </w:r>
      <w:r w:rsidR="00B94C90" w:rsidRPr="003F17DD">
        <w:rPr>
          <w:bCs/>
        </w:rPr>
        <w:t>3, XXXVII/4, par.</w:t>
      </w:r>
      <w:r w:rsidR="0006752E">
        <w:rPr>
          <w:bCs/>
        </w:rPr>
        <w:t> </w:t>
      </w:r>
      <w:r w:rsidR="00B94C90" w:rsidRPr="003F17DD">
        <w:rPr>
          <w:bCs/>
        </w:rPr>
        <w:t>3, et XXXVI/7, par.</w:t>
      </w:r>
      <w:r w:rsidR="0006752E">
        <w:rPr>
          <w:bCs/>
        </w:rPr>
        <w:t> </w:t>
      </w:r>
      <w:r w:rsidR="00B94C90" w:rsidRPr="003F17DD">
        <w:rPr>
          <w:bCs/>
        </w:rPr>
        <w:t>5)</w:t>
      </w:r>
    </w:p>
    <w:p w14:paraId="596C2E46" w14:textId="53423D7F"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 xml:space="preserve">Comme indiqué dans </w:t>
      </w:r>
      <w:r w:rsidR="003E275D">
        <w:t xml:space="preserve">la </w:t>
      </w:r>
      <w:r w:rsidRPr="003F17DD">
        <w:t>note du Secrétariat (UNEP/OzL.Pro.WG.1/48/2, par.</w:t>
      </w:r>
      <w:r w:rsidR="00BC6D1F">
        <w:t> </w:t>
      </w:r>
      <w:r w:rsidRPr="003F17DD">
        <w:t>47 et 48), au paragraphe</w:t>
      </w:r>
      <w:r w:rsidR="00BC6D1F">
        <w:t> </w:t>
      </w:r>
      <w:r w:rsidRPr="003F17DD">
        <w:t>3 de la décision</w:t>
      </w:r>
      <w:r w:rsidR="00C90C7C">
        <w:t> </w:t>
      </w:r>
      <w:r w:rsidRPr="003F17DD">
        <w:t>XXXVII/3, la trente-septième</w:t>
      </w:r>
      <w:r w:rsidR="003C7466">
        <w:t> </w:t>
      </w:r>
      <w:r w:rsidRPr="003F17DD">
        <w:t>Réunion des Parties a invité les Parties à communiquer au Secrétariat de l</w:t>
      </w:r>
      <w:r w:rsidR="007175B8">
        <w:t>’</w:t>
      </w:r>
      <w:r w:rsidRPr="003F17DD">
        <w:t>ozone, avant le 31</w:t>
      </w:r>
      <w:r w:rsidR="00455693">
        <w:t> </w:t>
      </w:r>
      <w:r w:rsidR="003E275D">
        <w:t>mai</w:t>
      </w:r>
      <w:r w:rsidR="003E275D" w:rsidRPr="003F17DD">
        <w:t xml:space="preserve"> </w:t>
      </w:r>
      <w:r w:rsidRPr="003F17DD">
        <w:t>2026, des informations sur les installations de récupération et de destruction existant dans leurs pays respectifs et, le cas échéant, sur les capacités respectives de ces installations, y</w:t>
      </w:r>
      <w:r w:rsidR="00F97DAB">
        <w:t> </w:t>
      </w:r>
      <w:r w:rsidRPr="003F17DD">
        <w:t>compris des informations sur les installations de destruction et de récupération existantes qui peuvent accepter des réfrigérants usagés provenant d</w:t>
      </w:r>
      <w:r w:rsidR="007175B8">
        <w:t>’</w:t>
      </w:r>
      <w:r w:rsidRPr="003F17DD">
        <w:t>autres pays, et les conditions associées à l</w:t>
      </w:r>
      <w:r w:rsidR="007175B8">
        <w:t>’</w:t>
      </w:r>
      <w:r w:rsidRPr="003F17DD">
        <w:t xml:space="preserve">exportation de réfrigérants usagés en vue de leur élimination dans ces installations, en tenant compte de tout obstacle législatif aux mouvements transfrontières. Dans ce même paragraphe, le Secrétariat était prié de mettre ces informations à la disposition des Parties. </w:t>
      </w:r>
    </w:p>
    <w:p w14:paraId="263810B8" w14:textId="60D287DB"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Au moment de la rédaction du présent</w:t>
      </w:r>
      <w:r w:rsidR="002B615A">
        <w:t> </w:t>
      </w:r>
      <w:r w:rsidRPr="003F17DD">
        <w:t>rapport, six</w:t>
      </w:r>
      <w:r w:rsidR="000A4DB2">
        <w:t> </w:t>
      </w:r>
      <w:r w:rsidRPr="003F17DD">
        <w:t>Parties – l</w:t>
      </w:r>
      <w:r w:rsidR="007175B8">
        <w:t>’</w:t>
      </w:r>
      <w:r w:rsidRPr="003F17DD">
        <w:t>Argentine, l</w:t>
      </w:r>
      <w:r w:rsidR="007175B8">
        <w:t>’</w:t>
      </w:r>
      <w:r w:rsidRPr="003F17DD">
        <w:t xml:space="preserve">Australie, le Canada, </w:t>
      </w:r>
      <w:r w:rsidR="009B127F" w:rsidRPr="003F17DD">
        <w:t>les États-Unis d</w:t>
      </w:r>
      <w:r w:rsidR="009B127F">
        <w:t>’</w:t>
      </w:r>
      <w:r w:rsidR="009B127F" w:rsidRPr="003F17DD">
        <w:t>Amérique</w:t>
      </w:r>
      <w:r w:rsidR="009B127F">
        <w:t xml:space="preserve">, </w:t>
      </w:r>
      <w:r w:rsidR="009B127F" w:rsidRPr="003F17DD">
        <w:t xml:space="preserve">le Pérou et </w:t>
      </w:r>
      <w:r w:rsidRPr="003F17DD">
        <w:t>l</w:t>
      </w:r>
      <w:r w:rsidR="007175B8">
        <w:t>’</w:t>
      </w:r>
      <w:r w:rsidRPr="003F17DD">
        <w:t>Union européenne – avaient répondu au paragraphe</w:t>
      </w:r>
      <w:r w:rsidR="00922E2D">
        <w:t> </w:t>
      </w:r>
      <w:r w:rsidRPr="003F17DD">
        <w:t>3 de la décision. Les commentaires reçus ont été transmis au Comité de l</w:t>
      </w:r>
      <w:r w:rsidR="007175B8">
        <w:t>’</w:t>
      </w:r>
      <w:r w:rsidRPr="003F17DD">
        <w:t>évaluation technique et économique pour examen. Comme le prévoit également la décision, les informations fournies seront publiées en temps voulu sur le site Web du Secrétariat.</w:t>
      </w:r>
    </w:p>
    <w:p w14:paraId="4FE61BCA" w14:textId="5D18F1A9" w:rsidR="00B94C90" w:rsidRPr="003F17DD" w:rsidRDefault="00BA660C" w:rsidP="00B94C90">
      <w:pPr>
        <w:pStyle w:val="CH2"/>
      </w:pPr>
      <w:r>
        <w:rPr>
          <w:bCs/>
        </w:rPr>
        <w:lastRenderedPageBreak/>
        <w:tab/>
      </w:r>
      <w:r w:rsidR="00B94C90" w:rsidRPr="003F17DD">
        <w:rPr>
          <w:bCs/>
        </w:rPr>
        <w:t>B.</w:t>
      </w:r>
      <w:r w:rsidR="00B94C90" w:rsidRPr="003F17DD">
        <w:tab/>
      </w:r>
      <w:r w:rsidR="00B94C90" w:rsidRPr="003F17DD">
        <w:rPr>
          <w:bCs/>
        </w:rPr>
        <w:t>Initiatives nationales et régionales à l</w:t>
      </w:r>
      <w:r w:rsidR="007175B8">
        <w:rPr>
          <w:bCs/>
        </w:rPr>
        <w:t>’</w:t>
      </w:r>
      <w:r w:rsidR="00B94C90" w:rsidRPr="003F17DD">
        <w:rPr>
          <w:bCs/>
        </w:rPr>
        <w:t>appui de la mise en œuvre de</w:t>
      </w:r>
      <w:r w:rsidR="00BA1C70">
        <w:rPr>
          <w:bCs/>
        </w:rPr>
        <w:t> </w:t>
      </w:r>
      <w:r w:rsidR="00B94C90" w:rsidRPr="003F17DD">
        <w:rPr>
          <w:bCs/>
        </w:rPr>
        <w:t>l</w:t>
      </w:r>
      <w:r w:rsidR="007175B8">
        <w:rPr>
          <w:bCs/>
        </w:rPr>
        <w:t>’</w:t>
      </w:r>
      <w:r w:rsidR="00B94C90" w:rsidRPr="003F17DD">
        <w:rPr>
          <w:bCs/>
        </w:rPr>
        <w:t>Amendement de</w:t>
      </w:r>
      <w:r w:rsidR="00922E2D">
        <w:rPr>
          <w:bCs/>
        </w:rPr>
        <w:t> </w:t>
      </w:r>
      <w:r w:rsidR="00B94C90" w:rsidRPr="003F17DD">
        <w:rPr>
          <w:bCs/>
        </w:rPr>
        <w:t>Kigali au Protocole de</w:t>
      </w:r>
      <w:r w:rsidR="004A72B9">
        <w:rPr>
          <w:bCs/>
        </w:rPr>
        <w:t> </w:t>
      </w:r>
      <w:r w:rsidR="00B94C90" w:rsidRPr="003F17DD">
        <w:rPr>
          <w:bCs/>
        </w:rPr>
        <w:t>Montréal (décision</w:t>
      </w:r>
      <w:r w:rsidR="00D7131F">
        <w:rPr>
          <w:bCs/>
        </w:rPr>
        <w:t> </w:t>
      </w:r>
      <w:r w:rsidR="00B94C90" w:rsidRPr="003F17DD">
        <w:rPr>
          <w:bCs/>
        </w:rPr>
        <w:t>XXXVII/5)</w:t>
      </w:r>
    </w:p>
    <w:p w14:paraId="49C4F005" w14:textId="45D71B21"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Comme indiqué dans</w:t>
      </w:r>
      <w:r w:rsidR="003E275D">
        <w:t xml:space="preserve"> la</w:t>
      </w:r>
      <w:r w:rsidRPr="003F17DD">
        <w:t xml:space="preserve"> note du Secrétariat (UNEP/OzL.Pro.WG.1/48/2, par.</w:t>
      </w:r>
      <w:r w:rsidR="00F01D07">
        <w:t> </w:t>
      </w:r>
      <w:r w:rsidRPr="003F17DD">
        <w:t>45 et 46), au paragraphe</w:t>
      </w:r>
      <w:r w:rsidR="00F01D07">
        <w:t> </w:t>
      </w:r>
      <w:r w:rsidRPr="003F17DD">
        <w:t>1 de sa décision</w:t>
      </w:r>
      <w:r w:rsidR="00857900">
        <w:t> </w:t>
      </w:r>
      <w:r w:rsidRPr="003F17DD">
        <w:t>XXXVII/5, la trente-septième</w:t>
      </w:r>
      <w:r w:rsidR="00617F2E">
        <w:t> </w:t>
      </w:r>
      <w:r w:rsidRPr="003F17DD">
        <w:t>Réunion des Parties a invité les Parties à communiquer au Secrétariat de l</w:t>
      </w:r>
      <w:r w:rsidR="007175B8">
        <w:t>’</w:t>
      </w:r>
      <w:r w:rsidRPr="003F17DD">
        <w:t>ozone, le 1</w:t>
      </w:r>
      <w:r w:rsidRPr="00C91765">
        <w:rPr>
          <w:vertAlign w:val="superscript"/>
        </w:rPr>
        <w:t>er</w:t>
      </w:r>
      <w:r w:rsidR="00C91765">
        <w:t> </w:t>
      </w:r>
      <w:r w:rsidRPr="003F17DD">
        <w:t>juin 2026 au plus tard, des informations, notamment sur les politiques, les activités et les principaux enseignements retenus concernant les centres d</w:t>
      </w:r>
      <w:r w:rsidR="007175B8">
        <w:t>’</w:t>
      </w:r>
      <w:r w:rsidRPr="003F17DD">
        <w:t>excellence pour la réfrigération durable et les centres d</w:t>
      </w:r>
      <w:r w:rsidR="007175B8">
        <w:t>’</w:t>
      </w:r>
      <w:r w:rsidRPr="003F17DD">
        <w:t>essai en matière d</w:t>
      </w:r>
      <w:r w:rsidR="007175B8">
        <w:t>’</w:t>
      </w:r>
      <w:r w:rsidRPr="003F17DD">
        <w:t>efficacité énergétique, dans le cadre de la mise en œuvre de l</w:t>
      </w:r>
      <w:r w:rsidR="007175B8">
        <w:t>’</w:t>
      </w:r>
      <w:r w:rsidRPr="003F17DD">
        <w:t>Amendement de</w:t>
      </w:r>
      <w:r w:rsidR="00C91765">
        <w:t> </w:t>
      </w:r>
      <w:r w:rsidRPr="003F17DD">
        <w:t xml:space="preserve">Kigali. </w:t>
      </w:r>
    </w:p>
    <w:p w14:paraId="2338CF47" w14:textId="7B024097" w:rsidR="00B94C90" w:rsidRPr="003F17DD" w:rsidRDefault="00B94C90" w:rsidP="00B94C90">
      <w:pPr>
        <w:pStyle w:val="Normalnumber"/>
        <w:tabs>
          <w:tab w:val="clear" w:pos="1247"/>
          <w:tab w:val="clear" w:pos="1814"/>
          <w:tab w:val="clear" w:pos="2381"/>
          <w:tab w:val="clear" w:pos="2948"/>
          <w:tab w:val="clear" w:pos="3515"/>
          <w:tab w:val="left" w:pos="624"/>
        </w:tabs>
      </w:pPr>
      <w:r w:rsidRPr="003F17DD">
        <w:t>Au moment de la rédaction du présent</w:t>
      </w:r>
      <w:r w:rsidR="00085E12">
        <w:t> </w:t>
      </w:r>
      <w:r w:rsidRPr="003F17DD">
        <w:t>additif, 21</w:t>
      </w:r>
      <w:r w:rsidR="00E12B73">
        <w:t> </w:t>
      </w:r>
      <w:r w:rsidRPr="003F17DD">
        <w:t>Parties</w:t>
      </w:r>
      <w:r w:rsidR="003E275D">
        <w:t xml:space="preserve"> (</w:t>
      </w:r>
      <w:r w:rsidR="00CF71C9" w:rsidRPr="008D2160">
        <w:t>Arménie, Burkina Faso, Chine, Colombie, Équateur, Géorgie, Haïti, Jordanie, Kenya, Libéria, Mali, Nigéria, Oman, Pérou, Qatar, Royaume-Uni de Grande-Bretagne et d’Irlande du Nord, Slovaquie, Somalie, Tuvalu, Vanuatu et Zimbabwe</w:t>
      </w:r>
      <w:r w:rsidR="003E275D">
        <w:t>)</w:t>
      </w:r>
      <w:r w:rsidR="003E275D" w:rsidRPr="008D2160">
        <w:t xml:space="preserve"> </w:t>
      </w:r>
      <w:r w:rsidRPr="008D2160">
        <w:t xml:space="preserve">avaient fourni ces informations. Le Secrétariat rassemblera </w:t>
      </w:r>
      <w:r w:rsidR="0072052C" w:rsidRPr="008D2160">
        <w:t xml:space="preserve">et récapitulera </w:t>
      </w:r>
      <w:r w:rsidRPr="008D2160">
        <w:t>les</w:t>
      </w:r>
      <w:r w:rsidRPr="003F17DD">
        <w:t xml:space="preserve"> informations transmises et les mettra à la disposition de la trente-huitième</w:t>
      </w:r>
      <w:r w:rsidR="008658C9">
        <w:t> </w:t>
      </w:r>
      <w:r w:rsidRPr="003F17DD">
        <w:t>Réunion des Parties pour examen.</w:t>
      </w:r>
    </w:p>
    <w:p w14:paraId="55749A01" w14:textId="77777777" w:rsidR="00B94C90" w:rsidRPr="003F17DD" w:rsidRDefault="00B94C90" w:rsidP="00B94C90">
      <w:pPr>
        <w:pStyle w:val="Normalpool"/>
      </w:pPr>
    </w:p>
    <w:p w14:paraId="7544EF94" w14:textId="77777777" w:rsidR="00B94C90" w:rsidRPr="003F17DD" w:rsidRDefault="00B94C90" w:rsidP="00B94C90">
      <w:pPr>
        <w:pStyle w:val="Normalpool"/>
        <w:sectPr w:rsidR="00B94C90" w:rsidRPr="003F17DD" w:rsidSect="003F17DD">
          <w:headerReference w:type="even" r:id="rId12"/>
          <w:headerReference w:type="default" r:id="rId13"/>
          <w:footerReference w:type="even" r:id="rId14"/>
          <w:footerReference w:type="default" r:id="rId15"/>
          <w:footerReference w:type="first" r:id="rId16"/>
          <w:footnotePr>
            <w:numRestart w:val="eachSect"/>
          </w:footnotePr>
          <w:pgSz w:w="11907" w:h="16839"/>
          <w:pgMar w:top="907" w:right="992" w:bottom="1418" w:left="1418" w:header="539" w:footer="975" w:gutter="0"/>
          <w:cols w:space="708"/>
          <w:titlePg/>
          <w:docGrid w:linePitch="360"/>
        </w:sectPr>
      </w:pPr>
    </w:p>
    <w:p w14:paraId="70A7EB16" w14:textId="77777777" w:rsidR="00B94C90" w:rsidRPr="003F17DD" w:rsidRDefault="00B94C90" w:rsidP="00B94C90">
      <w:pPr>
        <w:pStyle w:val="ZZAnxheader"/>
      </w:pPr>
      <w:r w:rsidRPr="003F17DD">
        <w:lastRenderedPageBreak/>
        <w:t>Annexe I</w:t>
      </w:r>
      <w:r w:rsidRPr="003F17DD">
        <w:rPr>
          <w:b w:val="0"/>
          <w:bCs w:val="0"/>
        </w:rPr>
        <w:footnoteReference w:customMarkFollows="1" w:id="13"/>
        <w:t>*</w:t>
      </w:r>
    </w:p>
    <w:p w14:paraId="74F2A19A" w14:textId="052E7854" w:rsidR="00B94C90" w:rsidRPr="003F17DD" w:rsidRDefault="00B94C90" w:rsidP="00B94C90">
      <w:pPr>
        <w:pStyle w:val="ZZAnxtitle"/>
      </w:pPr>
      <w:r w:rsidRPr="003F17DD">
        <w:t>Rapport de 2026 du Groupe de l</w:t>
      </w:r>
      <w:r w:rsidR="007175B8">
        <w:t>’</w:t>
      </w:r>
      <w:r w:rsidRPr="003F17DD">
        <w:t>évaluation technique et économique (Volume</w:t>
      </w:r>
      <w:r w:rsidR="00700A6D">
        <w:t> </w:t>
      </w:r>
      <w:r w:rsidRPr="003F17DD">
        <w:t xml:space="preserve">2) </w:t>
      </w:r>
    </w:p>
    <w:p w14:paraId="1B2E7F78" w14:textId="77777777" w:rsidR="00B94C90" w:rsidRPr="003F17DD" w:rsidRDefault="00B94C90" w:rsidP="00B94C90">
      <w:pPr>
        <w:pStyle w:val="CH2"/>
      </w:pPr>
      <w:r w:rsidRPr="003F17DD">
        <w:tab/>
      </w:r>
      <w:r w:rsidRPr="003F17DD">
        <w:tab/>
      </w:r>
      <w:r w:rsidRPr="003F17DD">
        <w:rPr>
          <w:bCs/>
        </w:rPr>
        <w:t>Évaluation des besoins de financement pour la reconstitution du Fonds multilatéral pour la période 2027-2029</w:t>
      </w:r>
      <w:r w:rsidRPr="003F17DD">
        <w:t xml:space="preserve"> </w:t>
      </w:r>
      <w:bookmarkStart w:id="16" w:name="_Toc40696034"/>
      <w:bookmarkStart w:id="17" w:name="_Toc41335671"/>
      <w:bookmarkEnd w:id="16"/>
      <w:bookmarkEnd w:id="17"/>
    </w:p>
    <w:p w14:paraId="61DCCF12" w14:textId="77777777" w:rsidR="00B94C90" w:rsidRPr="003F17DD" w:rsidRDefault="00B94C90" w:rsidP="00B94C90">
      <w:pPr>
        <w:pStyle w:val="CH1"/>
      </w:pPr>
      <w:r w:rsidRPr="003F17DD">
        <w:tab/>
      </w:r>
      <w:r w:rsidRPr="003F17DD">
        <w:tab/>
      </w:r>
      <w:r w:rsidRPr="003F17DD">
        <w:rPr>
          <w:bCs/>
        </w:rPr>
        <w:t>Résumé</w:t>
      </w:r>
    </w:p>
    <w:p w14:paraId="6F00D362" w14:textId="386FB970" w:rsidR="00B94C90" w:rsidRPr="003F17DD" w:rsidRDefault="00B94C90" w:rsidP="00B94C90">
      <w:pPr>
        <w:pStyle w:val="NormalNonumber"/>
      </w:pPr>
      <w:r w:rsidRPr="003F17DD">
        <w:t>Le Fonds multilatéral aux fins d</w:t>
      </w:r>
      <w:r w:rsidR="007175B8">
        <w:t>’</w:t>
      </w:r>
      <w:r w:rsidRPr="003F17DD">
        <w:t>application du Protocole de</w:t>
      </w:r>
      <w:r w:rsidR="00445E47">
        <w:t> </w:t>
      </w:r>
      <w:r w:rsidRPr="003F17DD">
        <w:t>Montréal a été reconstitué à onze</w:t>
      </w:r>
      <w:r w:rsidR="001E0697">
        <w:t> </w:t>
      </w:r>
      <w:r w:rsidRPr="003F17DD">
        <w:t>reprises depuis sa dotation initiale de 240</w:t>
      </w:r>
      <w:r w:rsidR="00371A8C">
        <w:t> </w:t>
      </w:r>
      <w:r w:rsidRPr="003F17DD">
        <w:t>millions de dollars des États-Unis pour la période 1991-1993. Les reconstitutions du Fonds sont indiquées dans le tableau</w:t>
      </w:r>
      <w:r w:rsidR="00330188">
        <w:t> </w:t>
      </w:r>
      <w:r w:rsidRPr="003F17DD">
        <w:t>ES.1</w:t>
      </w:r>
      <w:r w:rsidR="0072052C" w:rsidRPr="003F17DD">
        <w:t>. E</w:t>
      </w:r>
      <w:r w:rsidRPr="003F17DD">
        <w:t>lles comprennent les contributions prévues provenant du Fonds et d</w:t>
      </w:r>
      <w:r w:rsidR="007175B8">
        <w:t>’</w:t>
      </w:r>
      <w:r w:rsidRPr="003F17DD">
        <w:t>autres sources de la période triennale précédente, appelées «</w:t>
      </w:r>
      <w:r w:rsidR="0022140D">
        <w:t> </w:t>
      </w:r>
      <w:r w:rsidRPr="003F17DD">
        <w:t>reports</w:t>
      </w:r>
      <w:r w:rsidR="00941ADD">
        <w:t> </w:t>
      </w:r>
      <w:r w:rsidRPr="003F17DD">
        <w:t>», ainsi que les intérêts courus au profit du Fonds au cours de cette période</w:t>
      </w:r>
      <w:r w:rsidR="00724105">
        <w:t> </w:t>
      </w:r>
      <w:r w:rsidRPr="003F17DD">
        <w:t>triennale.</w:t>
      </w:r>
    </w:p>
    <w:p w14:paraId="3A037C6B" w14:textId="0CA2AACB" w:rsidR="0072052C" w:rsidRPr="003F17DD" w:rsidRDefault="00B94C90" w:rsidP="00B94C90">
      <w:pPr>
        <w:pStyle w:val="Titletable"/>
      </w:pPr>
      <w:r w:rsidRPr="00141423">
        <w:rPr>
          <w:rFonts w:eastAsiaTheme="minorEastAsia"/>
          <w:b w:val="0"/>
          <w:bCs w:val="0"/>
          <w:lang w:eastAsia="en-US"/>
        </w:rPr>
        <w:t>Tableau</w:t>
      </w:r>
      <w:r w:rsidR="006532AF" w:rsidRPr="00141423">
        <w:rPr>
          <w:rFonts w:eastAsiaTheme="minorEastAsia"/>
          <w:b w:val="0"/>
          <w:bCs w:val="0"/>
          <w:lang w:eastAsia="en-US"/>
        </w:rPr>
        <w:t> </w:t>
      </w:r>
      <w:r w:rsidRPr="00141423">
        <w:rPr>
          <w:rFonts w:eastAsiaTheme="minorEastAsia"/>
          <w:b w:val="0"/>
          <w:bCs w:val="0"/>
          <w:lang w:eastAsia="en-US"/>
        </w:rPr>
        <w:t xml:space="preserve">ES.1 </w:t>
      </w:r>
      <w:r w:rsidR="00BF68B9" w:rsidRPr="00C86618">
        <w:rPr>
          <w:rFonts w:eastAsiaTheme="minorEastAsia"/>
          <w:lang w:eastAsia="en-US"/>
        </w:rPr>
        <w:br/>
      </w:r>
      <w:r w:rsidRPr="003F17DD">
        <w:t>Reconstitutions du Fonds multilatéral aux fins d</w:t>
      </w:r>
      <w:r w:rsidR="007175B8">
        <w:t>’</w:t>
      </w:r>
      <w:r w:rsidRPr="003F17DD">
        <w:t>application du Protocole de</w:t>
      </w:r>
      <w:r w:rsidR="002A6E7E">
        <w:t> </w:t>
      </w:r>
      <w:r w:rsidRPr="003F17DD">
        <w:t xml:space="preserve">Montréal </w:t>
      </w:r>
    </w:p>
    <w:p w14:paraId="0DBA3B62" w14:textId="4E9C6036" w:rsidR="00B94C90" w:rsidRPr="003F17DD" w:rsidRDefault="00B94C90" w:rsidP="00B94C90">
      <w:pPr>
        <w:pStyle w:val="Titletable"/>
        <w:rPr>
          <w:rFonts w:eastAsiaTheme="minorEastAsia"/>
          <w:b w:val="0"/>
          <w:bCs w:val="0"/>
        </w:rPr>
      </w:pPr>
      <w:r w:rsidRPr="003F17DD">
        <w:rPr>
          <w:b w:val="0"/>
          <w:bCs w:val="0"/>
        </w:rPr>
        <w:t>(</w:t>
      </w:r>
      <w:r w:rsidR="007962F7">
        <w:rPr>
          <w:b w:val="0"/>
          <w:bCs w:val="0"/>
        </w:rPr>
        <w:t>E</w:t>
      </w:r>
      <w:r w:rsidRPr="003F17DD">
        <w:rPr>
          <w:b w:val="0"/>
          <w:bCs w:val="0"/>
        </w:rPr>
        <w:t>n dollars des États-</w:t>
      </w:r>
      <w:proofErr w:type="gramStart"/>
      <w:r w:rsidRPr="003F17DD">
        <w:rPr>
          <w:b w:val="0"/>
          <w:bCs w:val="0"/>
        </w:rPr>
        <w:t>Unis)</w:t>
      </w:r>
      <w:r w:rsidRPr="007962F7">
        <w:rPr>
          <w:b w:val="0"/>
          <w:bCs w:val="0"/>
          <w:sz w:val="16"/>
          <w:szCs w:val="16"/>
        </w:rPr>
        <w:t>*</w:t>
      </w:r>
      <w:proofErr w:type="gramEnd"/>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1"/>
        <w:gridCol w:w="1661"/>
        <w:gridCol w:w="1661"/>
        <w:gridCol w:w="1662"/>
        <w:gridCol w:w="1662"/>
      </w:tblGrid>
      <w:tr w:rsidR="00B94C90" w:rsidRPr="003F17DD" w14:paraId="7B4E6CBC" w14:textId="77777777" w:rsidTr="00B64331">
        <w:trPr>
          <w:jc w:val="right"/>
        </w:trPr>
        <w:tc>
          <w:tcPr>
            <w:tcW w:w="1661" w:type="dxa"/>
            <w:tcBorders>
              <w:top w:val="single" w:sz="4" w:space="0" w:color="auto"/>
              <w:bottom w:val="single" w:sz="12" w:space="0" w:color="auto"/>
            </w:tcBorders>
            <w:vAlign w:val="center"/>
          </w:tcPr>
          <w:p w14:paraId="3C84DDEB" w14:textId="77777777" w:rsidR="00B94C90" w:rsidRPr="003F17DD" w:rsidRDefault="00B94C90" w:rsidP="00B64331">
            <w:pPr>
              <w:pStyle w:val="Normal-pool-Table"/>
              <w:rPr>
                <w:rFonts w:eastAsiaTheme="minorEastAsia"/>
                <w:i/>
                <w:iCs/>
              </w:rPr>
            </w:pPr>
            <w:r w:rsidRPr="003F17DD">
              <w:rPr>
                <w:i/>
                <w:iCs/>
                <w:color w:val="000000"/>
              </w:rPr>
              <w:t>Triennat</w:t>
            </w:r>
          </w:p>
        </w:tc>
        <w:tc>
          <w:tcPr>
            <w:tcW w:w="1661" w:type="dxa"/>
            <w:tcBorders>
              <w:top w:val="single" w:sz="4" w:space="0" w:color="auto"/>
              <w:bottom w:val="single" w:sz="12" w:space="0" w:color="auto"/>
            </w:tcBorders>
            <w:vAlign w:val="center"/>
          </w:tcPr>
          <w:p w14:paraId="50424681" w14:textId="77777777" w:rsidR="00B94C90" w:rsidRPr="003F17DD" w:rsidRDefault="00B94C90" w:rsidP="00B64331">
            <w:pPr>
              <w:pStyle w:val="Normal-pool-Table"/>
              <w:jc w:val="right"/>
              <w:rPr>
                <w:rFonts w:eastAsiaTheme="minorEastAsia"/>
                <w:i/>
                <w:iCs/>
              </w:rPr>
            </w:pPr>
            <w:r w:rsidRPr="003F17DD">
              <w:rPr>
                <w:i/>
                <w:iCs/>
                <w:color w:val="000000"/>
              </w:rPr>
              <w:t>Budget approuvé</w:t>
            </w:r>
            <w:r w:rsidRPr="003F17DD">
              <w:rPr>
                <w:color w:val="000000"/>
              </w:rPr>
              <w:t xml:space="preserve"> </w:t>
            </w:r>
          </w:p>
        </w:tc>
        <w:tc>
          <w:tcPr>
            <w:tcW w:w="1661" w:type="dxa"/>
            <w:tcBorders>
              <w:top w:val="single" w:sz="4" w:space="0" w:color="auto"/>
              <w:bottom w:val="single" w:sz="12" w:space="0" w:color="auto"/>
            </w:tcBorders>
            <w:vAlign w:val="center"/>
          </w:tcPr>
          <w:p w14:paraId="19979D4E" w14:textId="77777777" w:rsidR="00B94C90" w:rsidRPr="003F17DD" w:rsidRDefault="00B94C90" w:rsidP="00B64331">
            <w:pPr>
              <w:pStyle w:val="Normal-pool-Table"/>
              <w:jc w:val="right"/>
              <w:rPr>
                <w:rFonts w:eastAsiaTheme="minorEastAsia"/>
                <w:i/>
                <w:iCs/>
              </w:rPr>
            </w:pPr>
            <w:r w:rsidRPr="003F17DD">
              <w:rPr>
                <w:i/>
                <w:iCs/>
                <w:color w:val="000000"/>
              </w:rPr>
              <w:t>Reports</w:t>
            </w:r>
          </w:p>
        </w:tc>
        <w:tc>
          <w:tcPr>
            <w:tcW w:w="1662" w:type="dxa"/>
            <w:tcBorders>
              <w:top w:val="single" w:sz="4" w:space="0" w:color="auto"/>
              <w:bottom w:val="single" w:sz="12" w:space="0" w:color="auto"/>
            </w:tcBorders>
            <w:vAlign w:val="center"/>
          </w:tcPr>
          <w:p w14:paraId="687A7607" w14:textId="77777777" w:rsidR="00B94C90" w:rsidRPr="003F17DD" w:rsidRDefault="00B94C90" w:rsidP="00B64331">
            <w:pPr>
              <w:pStyle w:val="Normal-pool-Table"/>
              <w:jc w:val="right"/>
              <w:rPr>
                <w:rFonts w:eastAsiaTheme="minorEastAsia"/>
                <w:i/>
                <w:iCs/>
              </w:rPr>
            </w:pPr>
            <w:r w:rsidRPr="003F17DD">
              <w:rPr>
                <w:i/>
                <w:iCs/>
                <w:color w:val="000000"/>
              </w:rPr>
              <w:t>Intérêts courus</w:t>
            </w:r>
          </w:p>
        </w:tc>
        <w:tc>
          <w:tcPr>
            <w:tcW w:w="1662" w:type="dxa"/>
            <w:tcBorders>
              <w:top w:val="single" w:sz="4" w:space="0" w:color="auto"/>
              <w:bottom w:val="single" w:sz="12" w:space="0" w:color="auto"/>
            </w:tcBorders>
            <w:vAlign w:val="center"/>
          </w:tcPr>
          <w:p w14:paraId="3D0EC954" w14:textId="77777777" w:rsidR="00B94C90" w:rsidRPr="003F17DD" w:rsidRDefault="00B94C90" w:rsidP="00B64331">
            <w:pPr>
              <w:pStyle w:val="Normal-pool-Table"/>
              <w:jc w:val="right"/>
              <w:rPr>
                <w:rFonts w:eastAsiaTheme="minorEastAsia"/>
                <w:i/>
                <w:iCs/>
              </w:rPr>
            </w:pPr>
            <w:r w:rsidRPr="003F17DD">
              <w:rPr>
                <w:i/>
                <w:iCs/>
                <w:color w:val="000000"/>
              </w:rPr>
              <w:t>Budget total du Fonds</w:t>
            </w:r>
          </w:p>
        </w:tc>
      </w:tr>
      <w:tr w:rsidR="00B94C90" w:rsidRPr="00DA25D0" w14:paraId="2E6BF3BD" w14:textId="77777777" w:rsidTr="00B64331">
        <w:trPr>
          <w:jc w:val="right"/>
        </w:trPr>
        <w:tc>
          <w:tcPr>
            <w:tcW w:w="1661" w:type="dxa"/>
            <w:tcBorders>
              <w:top w:val="single" w:sz="12" w:space="0" w:color="auto"/>
            </w:tcBorders>
            <w:vAlign w:val="center"/>
          </w:tcPr>
          <w:p w14:paraId="0AAE649B" w14:textId="77777777" w:rsidR="00B94C90" w:rsidRPr="00DA25D0" w:rsidRDefault="00B94C90" w:rsidP="00B64331">
            <w:pPr>
              <w:pStyle w:val="Normal-pool-Table"/>
              <w:rPr>
                <w:rFonts w:eastAsiaTheme="minorEastAsia"/>
                <w:szCs w:val="18"/>
              </w:rPr>
            </w:pPr>
            <w:r w:rsidRPr="00DA25D0">
              <w:rPr>
                <w:color w:val="000000"/>
                <w:szCs w:val="18"/>
              </w:rPr>
              <w:t>1994-1996</w:t>
            </w:r>
          </w:p>
        </w:tc>
        <w:tc>
          <w:tcPr>
            <w:tcW w:w="1661" w:type="dxa"/>
            <w:tcBorders>
              <w:top w:val="single" w:sz="12" w:space="0" w:color="auto"/>
            </w:tcBorders>
            <w:vAlign w:val="center"/>
          </w:tcPr>
          <w:p w14:paraId="5F564EF8" w14:textId="1EFC6C48" w:rsidR="00B94C90" w:rsidRPr="00DA25D0" w:rsidRDefault="00B94C90" w:rsidP="00B64331">
            <w:pPr>
              <w:pStyle w:val="Normal-pool-Table"/>
              <w:jc w:val="right"/>
              <w:rPr>
                <w:rFonts w:eastAsiaTheme="minorEastAsia"/>
                <w:szCs w:val="18"/>
              </w:rPr>
            </w:pPr>
            <w:r w:rsidRPr="00DA25D0">
              <w:rPr>
                <w:color w:val="000000"/>
                <w:szCs w:val="18"/>
              </w:rPr>
              <w:t>455</w:t>
            </w:r>
            <w:r w:rsidR="009E79A4" w:rsidRPr="00DA25D0">
              <w:rPr>
                <w:color w:val="000000"/>
                <w:szCs w:val="18"/>
              </w:rPr>
              <w:t> </w:t>
            </w:r>
            <w:r w:rsidRPr="00DA25D0">
              <w:rPr>
                <w:color w:val="000000"/>
                <w:szCs w:val="18"/>
              </w:rPr>
              <w:t>000</w:t>
            </w:r>
            <w:r w:rsidR="009E79A4" w:rsidRPr="00DA25D0">
              <w:rPr>
                <w:color w:val="000000"/>
                <w:szCs w:val="18"/>
              </w:rPr>
              <w:t> </w:t>
            </w:r>
            <w:r w:rsidRPr="00DA25D0">
              <w:rPr>
                <w:color w:val="000000"/>
                <w:szCs w:val="18"/>
              </w:rPr>
              <w:t>000</w:t>
            </w:r>
          </w:p>
        </w:tc>
        <w:tc>
          <w:tcPr>
            <w:tcW w:w="1661" w:type="dxa"/>
            <w:tcBorders>
              <w:top w:val="single" w:sz="12" w:space="0" w:color="auto"/>
            </w:tcBorders>
            <w:vAlign w:val="center"/>
          </w:tcPr>
          <w:p w14:paraId="0D2076EF" w14:textId="0958D264" w:rsidR="00B94C90" w:rsidRPr="00DA25D0" w:rsidRDefault="00B94C90" w:rsidP="00B64331">
            <w:pPr>
              <w:pStyle w:val="Normal-pool-Table"/>
              <w:jc w:val="right"/>
              <w:rPr>
                <w:rFonts w:eastAsiaTheme="minorEastAsia"/>
                <w:szCs w:val="18"/>
              </w:rPr>
            </w:pPr>
            <w:r w:rsidRPr="00DA25D0">
              <w:rPr>
                <w:color w:val="000000"/>
                <w:szCs w:val="18"/>
              </w:rPr>
              <w:t>55</w:t>
            </w:r>
            <w:r w:rsidR="009E79A4" w:rsidRPr="00DA25D0">
              <w:rPr>
                <w:color w:val="000000"/>
                <w:szCs w:val="18"/>
              </w:rPr>
              <w:t> </w:t>
            </w:r>
            <w:r w:rsidRPr="00DA25D0">
              <w:rPr>
                <w:color w:val="000000"/>
                <w:szCs w:val="18"/>
              </w:rPr>
              <w:t>000</w:t>
            </w:r>
            <w:r w:rsidR="009E79A4" w:rsidRPr="00DA25D0">
              <w:rPr>
                <w:color w:val="000000"/>
                <w:szCs w:val="18"/>
              </w:rPr>
              <w:t> </w:t>
            </w:r>
            <w:r w:rsidRPr="00DA25D0">
              <w:rPr>
                <w:color w:val="000000"/>
                <w:szCs w:val="18"/>
              </w:rPr>
              <w:t>000</w:t>
            </w:r>
          </w:p>
        </w:tc>
        <w:tc>
          <w:tcPr>
            <w:tcW w:w="1662" w:type="dxa"/>
            <w:tcBorders>
              <w:top w:val="single" w:sz="12" w:space="0" w:color="auto"/>
            </w:tcBorders>
            <w:vAlign w:val="center"/>
          </w:tcPr>
          <w:p w14:paraId="317F6573" w14:textId="77777777" w:rsidR="00B94C90" w:rsidRPr="00DA25D0" w:rsidRDefault="00B94C90" w:rsidP="00B64331">
            <w:pPr>
              <w:pStyle w:val="Normal-pool-Table"/>
              <w:jc w:val="right"/>
              <w:rPr>
                <w:rFonts w:eastAsiaTheme="minorEastAsia"/>
                <w:szCs w:val="18"/>
              </w:rPr>
            </w:pPr>
            <w:r w:rsidRPr="00DA25D0">
              <w:rPr>
                <w:color w:val="000000"/>
                <w:szCs w:val="18"/>
              </w:rPr>
              <w:t>S.O.</w:t>
            </w:r>
          </w:p>
        </w:tc>
        <w:tc>
          <w:tcPr>
            <w:tcW w:w="1662" w:type="dxa"/>
            <w:tcBorders>
              <w:top w:val="single" w:sz="12" w:space="0" w:color="auto"/>
            </w:tcBorders>
            <w:vAlign w:val="center"/>
          </w:tcPr>
          <w:p w14:paraId="7F63B036" w14:textId="22981292" w:rsidR="00B94C90" w:rsidRPr="00DA25D0" w:rsidRDefault="00B94C90" w:rsidP="00B64331">
            <w:pPr>
              <w:pStyle w:val="Normal-pool-Table"/>
              <w:jc w:val="right"/>
              <w:rPr>
                <w:rFonts w:eastAsiaTheme="minorEastAsia"/>
                <w:szCs w:val="18"/>
              </w:rPr>
            </w:pPr>
            <w:r w:rsidRPr="00DA25D0">
              <w:rPr>
                <w:color w:val="000000"/>
                <w:szCs w:val="18"/>
              </w:rPr>
              <w:t>510</w:t>
            </w:r>
            <w:r w:rsidR="00B04F45" w:rsidRPr="00DA25D0">
              <w:rPr>
                <w:color w:val="000000"/>
                <w:szCs w:val="18"/>
              </w:rPr>
              <w:t> </w:t>
            </w:r>
            <w:r w:rsidRPr="00DA25D0">
              <w:rPr>
                <w:color w:val="000000"/>
                <w:szCs w:val="18"/>
              </w:rPr>
              <w:t>000</w:t>
            </w:r>
            <w:r w:rsidR="00B04F45" w:rsidRPr="00DA25D0">
              <w:rPr>
                <w:color w:val="000000"/>
                <w:szCs w:val="18"/>
              </w:rPr>
              <w:t> </w:t>
            </w:r>
            <w:r w:rsidRPr="00DA25D0">
              <w:rPr>
                <w:color w:val="000000"/>
                <w:szCs w:val="18"/>
              </w:rPr>
              <w:t>000</w:t>
            </w:r>
          </w:p>
        </w:tc>
      </w:tr>
      <w:tr w:rsidR="00B94C90" w:rsidRPr="00DA25D0" w14:paraId="51818544" w14:textId="77777777" w:rsidTr="00B64331">
        <w:trPr>
          <w:jc w:val="right"/>
        </w:trPr>
        <w:tc>
          <w:tcPr>
            <w:tcW w:w="1661" w:type="dxa"/>
            <w:vAlign w:val="center"/>
          </w:tcPr>
          <w:p w14:paraId="7E7277B1" w14:textId="77777777" w:rsidR="00B94C90" w:rsidRPr="00DA25D0" w:rsidRDefault="00B94C90" w:rsidP="00B64331">
            <w:pPr>
              <w:pStyle w:val="Normal-pool-Table"/>
              <w:rPr>
                <w:rFonts w:eastAsiaTheme="minorEastAsia"/>
                <w:szCs w:val="18"/>
              </w:rPr>
            </w:pPr>
            <w:r w:rsidRPr="00DA25D0">
              <w:rPr>
                <w:color w:val="000000"/>
                <w:szCs w:val="18"/>
              </w:rPr>
              <w:t>1997-1999</w:t>
            </w:r>
          </w:p>
        </w:tc>
        <w:tc>
          <w:tcPr>
            <w:tcW w:w="1661" w:type="dxa"/>
            <w:vAlign w:val="center"/>
          </w:tcPr>
          <w:p w14:paraId="0866BFEF" w14:textId="495E869B" w:rsidR="00B94C90" w:rsidRPr="00DA25D0" w:rsidRDefault="00B94C90" w:rsidP="00B64331">
            <w:pPr>
              <w:pStyle w:val="Normal-pool-Table"/>
              <w:jc w:val="right"/>
              <w:rPr>
                <w:rFonts w:eastAsiaTheme="minorEastAsia"/>
                <w:szCs w:val="18"/>
              </w:rPr>
            </w:pPr>
            <w:r w:rsidRPr="00DA25D0">
              <w:rPr>
                <w:color w:val="000000"/>
                <w:szCs w:val="18"/>
              </w:rPr>
              <w:t>466</w:t>
            </w:r>
            <w:r w:rsidR="00B04F45" w:rsidRPr="00DA25D0">
              <w:rPr>
                <w:color w:val="000000"/>
                <w:szCs w:val="18"/>
              </w:rPr>
              <w:t> </w:t>
            </w:r>
            <w:r w:rsidRPr="00DA25D0">
              <w:rPr>
                <w:color w:val="000000"/>
                <w:szCs w:val="18"/>
              </w:rPr>
              <w:t>000</w:t>
            </w:r>
            <w:r w:rsidR="00B04F45" w:rsidRPr="00DA25D0">
              <w:rPr>
                <w:color w:val="000000"/>
                <w:szCs w:val="18"/>
              </w:rPr>
              <w:t> </w:t>
            </w:r>
            <w:r w:rsidRPr="00DA25D0">
              <w:rPr>
                <w:color w:val="000000"/>
                <w:szCs w:val="18"/>
              </w:rPr>
              <w:t>000</w:t>
            </w:r>
          </w:p>
        </w:tc>
        <w:tc>
          <w:tcPr>
            <w:tcW w:w="1661" w:type="dxa"/>
            <w:vAlign w:val="center"/>
          </w:tcPr>
          <w:p w14:paraId="68DDE640" w14:textId="4591A3D9" w:rsidR="00B94C90" w:rsidRPr="00DA25D0" w:rsidRDefault="00B94C90" w:rsidP="00B64331">
            <w:pPr>
              <w:pStyle w:val="Normal-pool-Table"/>
              <w:jc w:val="right"/>
              <w:rPr>
                <w:rFonts w:eastAsiaTheme="minorEastAsia"/>
                <w:szCs w:val="18"/>
              </w:rPr>
            </w:pPr>
            <w:r w:rsidRPr="00DA25D0">
              <w:rPr>
                <w:color w:val="000000"/>
                <w:szCs w:val="18"/>
              </w:rPr>
              <w:t>74</w:t>
            </w:r>
            <w:r w:rsidR="00B04F45" w:rsidRPr="00DA25D0">
              <w:rPr>
                <w:color w:val="000000"/>
                <w:szCs w:val="18"/>
              </w:rPr>
              <w:t> </w:t>
            </w:r>
            <w:r w:rsidRPr="00DA25D0">
              <w:rPr>
                <w:color w:val="000000"/>
                <w:szCs w:val="18"/>
              </w:rPr>
              <w:t>000</w:t>
            </w:r>
            <w:r w:rsidR="00B04F45" w:rsidRPr="00DA25D0">
              <w:rPr>
                <w:color w:val="000000"/>
                <w:szCs w:val="18"/>
              </w:rPr>
              <w:t> </w:t>
            </w:r>
            <w:r w:rsidRPr="00DA25D0">
              <w:rPr>
                <w:color w:val="000000"/>
                <w:szCs w:val="18"/>
              </w:rPr>
              <w:t>000</w:t>
            </w:r>
          </w:p>
        </w:tc>
        <w:tc>
          <w:tcPr>
            <w:tcW w:w="1662" w:type="dxa"/>
            <w:vAlign w:val="center"/>
          </w:tcPr>
          <w:p w14:paraId="23D70875" w14:textId="77777777" w:rsidR="00B94C90" w:rsidRPr="00DA25D0" w:rsidRDefault="00B94C90" w:rsidP="00B64331">
            <w:pPr>
              <w:pStyle w:val="Normal-pool-Table"/>
              <w:jc w:val="right"/>
              <w:rPr>
                <w:rFonts w:eastAsiaTheme="minorEastAsia"/>
                <w:szCs w:val="18"/>
              </w:rPr>
            </w:pPr>
            <w:r w:rsidRPr="00DA25D0">
              <w:rPr>
                <w:color w:val="000000"/>
                <w:szCs w:val="18"/>
              </w:rPr>
              <w:t>S.O.</w:t>
            </w:r>
          </w:p>
        </w:tc>
        <w:tc>
          <w:tcPr>
            <w:tcW w:w="1662" w:type="dxa"/>
            <w:vAlign w:val="center"/>
          </w:tcPr>
          <w:p w14:paraId="0B6C36DD" w14:textId="1FB7E29A" w:rsidR="00B94C90" w:rsidRPr="00DA25D0" w:rsidRDefault="00B94C90" w:rsidP="00B64331">
            <w:pPr>
              <w:pStyle w:val="Normal-pool-Table"/>
              <w:jc w:val="right"/>
              <w:rPr>
                <w:rFonts w:eastAsiaTheme="minorEastAsia"/>
                <w:szCs w:val="18"/>
              </w:rPr>
            </w:pPr>
            <w:r w:rsidRPr="00DA25D0">
              <w:rPr>
                <w:color w:val="000000"/>
                <w:szCs w:val="18"/>
              </w:rPr>
              <w:t>540</w:t>
            </w:r>
            <w:r w:rsidR="00B04F45" w:rsidRPr="00DA25D0">
              <w:rPr>
                <w:color w:val="000000"/>
                <w:szCs w:val="18"/>
              </w:rPr>
              <w:t> </w:t>
            </w:r>
            <w:r w:rsidRPr="00DA25D0">
              <w:rPr>
                <w:color w:val="000000"/>
                <w:szCs w:val="18"/>
              </w:rPr>
              <w:t>000</w:t>
            </w:r>
            <w:r w:rsidR="00B04F45" w:rsidRPr="00DA25D0">
              <w:rPr>
                <w:color w:val="000000"/>
                <w:szCs w:val="18"/>
              </w:rPr>
              <w:t> </w:t>
            </w:r>
            <w:r w:rsidRPr="00DA25D0">
              <w:rPr>
                <w:color w:val="000000"/>
                <w:szCs w:val="18"/>
              </w:rPr>
              <w:t>000</w:t>
            </w:r>
          </w:p>
        </w:tc>
      </w:tr>
      <w:tr w:rsidR="00B94C90" w:rsidRPr="00DA25D0" w14:paraId="3CD7DA15" w14:textId="77777777" w:rsidTr="00B64331">
        <w:trPr>
          <w:jc w:val="right"/>
        </w:trPr>
        <w:tc>
          <w:tcPr>
            <w:tcW w:w="1661" w:type="dxa"/>
            <w:vAlign w:val="center"/>
          </w:tcPr>
          <w:p w14:paraId="70E25864" w14:textId="77777777" w:rsidR="00B94C90" w:rsidRPr="00DA25D0" w:rsidRDefault="00B94C90" w:rsidP="00B64331">
            <w:pPr>
              <w:pStyle w:val="Normal-pool-Table"/>
              <w:rPr>
                <w:rFonts w:eastAsiaTheme="minorEastAsia"/>
                <w:szCs w:val="18"/>
              </w:rPr>
            </w:pPr>
            <w:r w:rsidRPr="00DA25D0">
              <w:rPr>
                <w:color w:val="000000"/>
                <w:szCs w:val="18"/>
              </w:rPr>
              <w:t>2000-2002</w:t>
            </w:r>
          </w:p>
        </w:tc>
        <w:tc>
          <w:tcPr>
            <w:tcW w:w="1661" w:type="dxa"/>
            <w:vAlign w:val="center"/>
          </w:tcPr>
          <w:p w14:paraId="3665FA9A" w14:textId="161BD044" w:rsidR="00B94C90" w:rsidRPr="00DA25D0" w:rsidRDefault="00B94C90" w:rsidP="00B64331">
            <w:pPr>
              <w:pStyle w:val="Normal-pool-Table"/>
              <w:jc w:val="right"/>
              <w:rPr>
                <w:rFonts w:eastAsiaTheme="minorEastAsia"/>
                <w:szCs w:val="18"/>
              </w:rPr>
            </w:pPr>
            <w:r w:rsidRPr="00DA25D0">
              <w:rPr>
                <w:color w:val="000000"/>
                <w:szCs w:val="18"/>
              </w:rPr>
              <w:t>440</w:t>
            </w:r>
            <w:r w:rsidR="00DE05A4" w:rsidRPr="00DA25D0">
              <w:rPr>
                <w:color w:val="000000"/>
                <w:szCs w:val="18"/>
              </w:rPr>
              <w:t> </w:t>
            </w:r>
            <w:r w:rsidRPr="00DA25D0">
              <w:rPr>
                <w:color w:val="000000"/>
                <w:szCs w:val="18"/>
              </w:rPr>
              <w:t>000</w:t>
            </w:r>
            <w:r w:rsidR="001F7667" w:rsidRPr="00DA25D0">
              <w:rPr>
                <w:color w:val="000000"/>
                <w:szCs w:val="18"/>
              </w:rPr>
              <w:t> </w:t>
            </w:r>
            <w:r w:rsidRPr="00DA25D0">
              <w:rPr>
                <w:color w:val="000000"/>
                <w:szCs w:val="18"/>
              </w:rPr>
              <w:t>000</w:t>
            </w:r>
          </w:p>
        </w:tc>
        <w:tc>
          <w:tcPr>
            <w:tcW w:w="1661" w:type="dxa"/>
            <w:vAlign w:val="center"/>
          </w:tcPr>
          <w:p w14:paraId="014BAC9B" w14:textId="0D84C08E" w:rsidR="00B94C90" w:rsidRPr="00DA25D0" w:rsidRDefault="00B94C90" w:rsidP="00B64331">
            <w:pPr>
              <w:pStyle w:val="Normal-pool-Table"/>
              <w:jc w:val="right"/>
              <w:rPr>
                <w:rFonts w:eastAsiaTheme="minorEastAsia"/>
                <w:szCs w:val="18"/>
              </w:rPr>
            </w:pPr>
            <w:r w:rsidRPr="00DA25D0">
              <w:rPr>
                <w:color w:val="000000"/>
                <w:szCs w:val="18"/>
              </w:rPr>
              <w:t>35</w:t>
            </w:r>
            <w:r w:rsidR="00DE05A4" w:rsidRPr="00DA25D0">
              <w:rPr>
                <w:color w:val="000000"/>
                <w:szCs w:val="18"/>
              </w:rPr>
              <w:t> </w:t>
            </w:r>
            <w:r w:rsidRPr="00DA25D0">
              <w:rPr>
                <w:color w:val="000000"/>
                <w:szCs w:val="18"/>
              </w:rPr>
              <w:t>700</w:t>
            </w:r>
            <w:r w:rsidR="001F7667" w:rsidRPr="00DA25D0">
              <w:rPr>
                <w:color w:val="000000"/>
                <w:szCs w:val="18"/>
              </w:rPr>
              <w:t> </w:t>
            </w:r>
            <w:r w:rsidRPr="00DA25D0">
              <w:rPr>
                <w:color w:val="000000"/>
                <w:szCs w:val="18"/>
              </w:rPr>
              <w:t>000</w:t>
            </w:r>
          </w:p>
        </w:tc>
        <w:tc>
          <w:tcPr>
            <w:tcW w:w="1662" w:type="dxa"/>
            <w:vAlign w:val="center"/>
          </w:tcPr>
          <w:p w14:paraId="4F2974CC" w14:textId="77777777" w:rsidR="00B94C90" w:rsidRPr="00DA25D0" w:rsidRDefault="00B94C90" w:rsidP="00B64331">
            <w:pPr>
              <w:pStyle w:val="Normal-pool-Table"/>
              <w:jc w:val="right"/>
              <w:rPr>
                <w:rFonts w:eastAsiaTheme="minorEastAsia"/>
                <w:szCs w:val="18"/>
              </w:rPr>
            </w:pPr>
            <w:r w:rsidRPr="00DA25D0">
              <w:rPr>
                <w:color w:val="000000"/>
                <w:szCs w:val="18"/>
              </w:rPr>
              <w:t>S.O.</w:t>
            </w:r>
          </w:p>
        </w:tc>
        <w:tc>
          <w:tcPr>
            <w:tcW w:w="1662" w:type="dxa"/>
            <w:vAlign w:val="center"/>
          </w:tcPr>
          <w:p w14:paraId="0472A2B0" w14:textId="6A9BA327" w:rsidR="00B94C90" w:rsidRPr="00DA25D0" w:rsidRDefault="00B94C90" w:rsidP="00B64331">
            <w:pPr>
              <w:pStyle w:val="Normal-pool-Table"/>
              <w:jc w:val="right"/>
              <w:rPr>
                <w:rFonts w:eastAsiaTheme="minorEastAsia"/>
                <w:szCs w:val="18"/>
              </w:rPr>
            </w:pPr>
            <w:r w:rsidRPr="00DA25D0">
              <w:rPr>
                <w:color w:val="000000"/>
                <w:szCs w:val="18"/>
              </w:rPr>
              <w:t>475</w:t>
            </w:r>
            <w:r w:rsidR="00B46BB3" w:rsidRPr="00DA25D0">
              <w:rPr>
                <w:color w:val="000000"/>
                <w:szCs w:val="18"/>
              </w:rPr>
              <w:t> </w:t>
            </w:r>
            <w:r w:rsidRPr="00DA25D0">
              <w:rPr>
                <w:color w:val="000000"/>
                <w:szCs w:val="18"/>
              </w:rPr>
              <w:t>700</w:t>
            </w:r>
            <w:r w:rsidR="00B46BB3" w:rsidRPr="00DA25D0">
              <w:rPr>
                <w:color w:val="000000"/>
                <w:szCs w:val="18"/>
              </w:rPr>
              <w:t> </w:t>
            </w:r>
            <w:r w:rsidRPr="00DA25D0">
              <w:rPr>
                <w:color w:val="000000"/>
                <w:szCs w:val="18"/>
              </w:rPr>
              <w:t>000</w:t>
            </w:r>
          </w:p>
        </w:tc>
      </w:tr>
      <w:tr w:rsidR="00B94C90" w:rsidRPr="00DA25D0" w14:paraId="52F7AFBF" w14:textId="77777777" w:rsidTr="00B64331">
        <w:trPr>
          <w:jc w:val="right"/>
        </w:trPr>
        <w:tc>
          <w:tcPr>
            <w:tcW w:w="1661" w:type="dxa"/>
            <w:vAlign w:val="center"/>
          </w:tcPr>
          <w:p w14:paraId="3FD62E8C" w14:textId="77777777" w:rsidR="00B94C90" w:rsidRPr="00DA25D0" w:rsidRDefault="00B94C90" w:rsidP="00B64331">
            <w:pPr>
              <w:pStyle w:val="Normal-pool-Table"/>
              <w:rPr>
                <w:rFonts w:eastAsiaTheme="minorEastAsia"/>
                <w:szCs w:val="18"/>
              </w:rPr>
            </w:pPr>
            <w:r w:rsidRPr="00DA25D0">
              <w:rPr>
                <w:color w:val="000000"/>
                <w:szCs w:val="18"/>
              </w:rPr>
              <w:t>2003-2005</w:t>
            </w:r>
          </w:p>
        </w:tc>
        <w:tc>
          <w:tcPr>
            <w:tcW w:w="1661" w:type="dxa"/>
            <w:vAlign w:val="center"/>
          </w:tcPr>
          <w:p w14:paraId="16C47F50" w14:textId="5F9F2E8A" w:rsidR="00B94C90" w:rsidRPr="00DA25D0" w:rsidRDefault="00B94C90" w:rsidP="00B64331">
            <w:pPr>
              <w:pStyle w:val="Normal-pool-Table"/>
              <w:jc w:val="right"/>
              <w:rPr>
                <w:rFonts w:eastAsiaTheme="minorEastAsia"/>
                <w:szCs w:val="18"/>
              </w:rPr>
            </w:pPr>
            <w:r w:rsidRPr="00DA25D0">
              <w:rPr>
                <w:color w:val="000000"/>
                <w:szCs w:val="18"/>
              </w:rPr>
              <w:t>474</w:t>
            </w:r>
            <w:r w:rsidR="00B46BB3" w:rsidRPr="00DA25D0">
              <w:rPr>
                <w:color w:val="000000"/>
                <w:szCs w:val="18"/>
              </w:rPr>
              <w:t> </w:t>
            </w:r>
            <w:r w:rsidRPr="00DA25D0">
              <w:rPr>
                <w:color w:val="000000"/>
                <w:szCs w:val="18"/>
              </w:rPr>
              <w:t>000</w:t>
            </w:r>
            <w:r w:rsidR="001F7667" w:rsidRPr="00DA25D0">
              <w:rPr>
                <w:color w:val="000000"/>
                <w:szCs w:val="18"/>
              </w:rPr>
              <w:t> </w:t>
            </w:r>
            <w:r w:rsidRPr="00DA25D0">
              <w:rPr>
                <w:color w:val="000000"/>
                <w:szCs w:val="18"/>
              </w:rPr>
              <w:t>000</w:t>
            </w:r>
          </w:p>
        </w:tc>
        <w:tc>
          <w:tcPr>
            <w:tcW w:w="1661" w:type="dxa"/>
            <w:vAlign w:val="center"/>
          </w:tcPr>
          <w:p w14:paraId="0B54DA5C" w14:textId="53BBA6FC" w:rsidR="00B94C90" w:rsidRPr="00DA25D0" w:rsidRDefault="00B94C90" w:rsidP="00B64331">
            <w:pPr>
              <w:pStyle w:val="Normal-pool-Table"/>
              <w:jc w:val="right"/>
              <w:rPr>
                <w:rFonts w:eastAsiaTheme="minorEastAsia"/>
                <w:szCs w:val="18"/>
              </w:rPr>
            </w:pPr>
            <w:r w:rsidRPr="00DA25D0">
              <w:rPr>
                <w:color w:val="000000"/>
                <w:szCs w:val="18"/>
              </w:rPr>
              <w:t>76</w:t>
            </w:r>
            <w:r w:rsidR="00B46BB3" w:rsidRPr="00DA25D0">
              <w:rPr>
                <w:color w:val="000000"/>
                <w:szCs w:val="18"/>
              </w:rPr>
              <w:t> </w:t>
            </w:r>
            <w:r w:rsidRPr="00DA25D0">
              <w:rPr>
                <w:color w:val="000000"/>
                <w:szCs w:val="18"/>
              </w:rPr>
              <w:t>000</w:t>
            </w:r>
            <w:r w:rsidR="001F7667" w:rsidRPr="00DA25D0">
              <w:rPr>
                <w:color w:val="000000"/>
                <w:szCs w:val="18"/>
              </w:rPr>
              <w:t> </w:t>
            </w:r>
            <w:r w:rsidRPr="00DA25D0">
              <w:rPr>
                <w:color w:val="000000"/>
                <w:szCs w:val="18"/>
              </w:rPr>
              <w:t>000</w:t>
            </w:r>
          </w:p>
        </w:tc>
        <w:tc>
          <w:tcPr>
            <w:tcW w:w="1662" w:type="dxa"/>
            <w:vAlign w:val="center"/>
          </w:tcPr>
          <w:p w14:paraId="5149BB09" w14:textId="59FB3B9B" w:rsidR="00B94C90" w:rsidRPr="00DA25D0" w:rsidRDefault="00B94C90" w:rsidP="00B64331">
            <w:pPr>
              <w:pStyle w:val="Normal-pool-Table"/>
              <w:jc w:val="right"/>
              <w:rPr>
                <w:rFonts w:eastAsiaTheme="minorEastAsia"/>
                <w:szCs w:val="18"/>
              </w:rPr>
            </w:pPr>
            <w:r w:rsidRPr="00DA25D0">
              <w:rPr>
                <w:color w:val="000000"/>
                <w:szCs w:val="18"/>
              </w:rPr>
              <w:t>23</w:t>
            </w:r>
            <w:r w:rsidR="00B46BB3" w:rsidRPr="00DA25D0">
              <w:rPr>
                <w:color w:val="000000"/>
                <w:szCs w:val="18"/>
              </w:rPr>
              <w:t> </w:t>
            </w:r>
            <w:r w:rsidRPr="00DA25D0">
              <w:rPr>
                <w:color w:val="000000"/>
                <w:szCs w:val="18"/>
              </w:rPr>
              <w:t>000</w:t>
            </w:r>
            <w:r w:rsidR="006C592F" w:rsidRPr="00DA25D0">
              <w:rPr>
                <w:color w:val="000000"/>
                <w:szCs w:val="18"/>
              </w:rPr>
              <w:t> </w:t>
            </w:r>
            <w:r w:rsidRPr="00DA25D0">
              <w:rPr>
                <w:color w:val="000000"/>
                <w:szCs w:val="18"/>
              </w:rPr>
              <w:t>000</w:t>
            </w:r>
          </w:p>
        </w:tc>
        <w:tc>
          <w:tcPr>
            <w:tcW w:w="1662" w:type="dxa"/>
            <w:vAlign w:val="center"/>
          </w:tcPr>
          <w:p w14:paraId="14992A47" w14:textId="265ADF32" w:rsidR="00B94C90" w:rsidRPr="00DA25D0" w:rsidRDefault="00B94C90" w:rsidP="00B64331">
            <w:pPr>
              <w:pStyle w:val="Normal-pool-Table"/>
              <w:jc w:val="right"/>
              <w:rPr>
                <w:rFonts w:eastAsiaTheme="minorEastAsia"/>
                <w:szCs w:val="18"/>
              </w:rPr>
            </w:pPr>
            <w:r w:rsidRPr="00DA25D0">
              <w:rPr>
                <w:color w:val="000000"/>
                <w:szCs w:val="18"/>
              </w:rPr>
              <w:t>573</w:t>
            </w:r>
            <w:r w:rsidR="00B46BB3" w:rsidRPr="00DA25D0">
              <w:rPr>
                <w:color w:val="000000"/>
                <w:szCs w:val="18"/>
              </w:rPr>
              <w:t> </w:t>
            </w:r>
            <w:r w:rsidRPr="00DA25D0">
              <w:rPr>
                <w:color w:val="000000"/>
                <w:szCs w:val="18"/>
              </w:rPr>
              <w:t>000</w:t>
            </w:r>
            <w:r w:rsidR="00B46BB3" w:rsidRPr="00DA25D0">
              <w:rPr>
                <w:color w:val="000000"/>
                <w:szCs w:val="18"/>
              </w:rPr>
              <w:t> </w:t>
            </w:r>
            <w:r w:rsidRPr="00DA25D0">
              <w:rPr>
                <w:color w:val="000000"/>
                <w:szCs w:val="18"/>
              </w:rPr>
              <w:t>000</w:t>
            </w:r>
          </w:p>
        </w:tc>
      </w:tr>
      <w:tr w:rsidR="00B94C90" w:rsidRPr="00DA25D0" w14:paraId="0A243AC3" w14:textId="77777777" w:rsidTr="00B64331">
        <w:trPr>
          <w:jc w:val="right"/>
        </w:trPr>
        <w:tc>
          <w:tcPr>
            <w:tcW w:w="1661" w:type="dxa"/>
            <w:vAlign w:val="center"/>
          </w:tcPr>
          <w:p w14:paraId="031E16F2" w14:textId="77777777" w:rsidR="00B94C90" w:rsidRPr="00DA25D0" w:rsidRDefault="00B94C90" w:rsidP="00B64331">
            <w:pPr>
              <w:pStyle w:val="Normal-pool-Table"/>
              <w:rPr>
                <w:rFonts w:eastAsiaTheme="minorEastAsia"/>
                <w:szCs w:val="18"/>
              </w:rPr>
            </w:pPr>
            <w:r w:rsidRPr="00DA25D0">
              <w:rPr>
                <w:color w:val="000000"/>
                <w:szCs w:val="18"/>
              </w:rPr>
              <w:t>2006-2008</w:t>
            </w:r>
          </w:p>
        </w:tc>
        <w:tc>
          <w:tcPr>
            <w:tcW w:w="1661" w:type="dxa"/>
            <w:vAlign w:val="center"/>
          </w:tcPr>
          <w:p w14:paraId="3462EC40" w14:textId="529D8DFA" w:rsidR="00B94C90" w:rsidRPr="00DA25D0" w:rsidRDefault="00B94C90" w:rsidP="00B64331">
            <w:pPr>
              <w:pStyle w:val="Normal-pool-Table"/>
              <w:jc w:val="right"/>
              <w:rPr>
                <w:rFonts w:eastAsiaTheme="minorEastAsia"/>
                <w:szCs w:val="18"/>
              </w:rPr>
            </w:pPr>
            <w:r w:rsidRPr="00DA25D0">
              <w:rPr>
                <w:color w:val="000000"/>
                <w:szCs w:val="18"/>
              </w:rPr>
              <w:t>400</w:t>
            </w:r>
            <w:r w:rsidR="00B46BB3" w:rsidRPr="00DA25D0">
              <w:rPr>
                <w:color w:val="000000"/>
                <w:szCs w:val="18"/>
              </w:rPr>
              <w:t> </w:t>
            </w:r>
            <w:r w:rsidRPr="00DA25D0">
              <w:rPr>
                <w:color w:val="000000"/>
                <w:szCs w:val="18"/>
              </w:rPr>
              <w:t>400</w:t>
            </w:r>
            <w:r w:rsidR="00B46BB3" w:rsidRPr="00DA25D0">
              <w:rPr>
                <w:color w:val="000000"/>
                <w:szCs w:val="18"/>
              </w:rPr>
              <w:t> </w:t>
            </w:r>
            <w:r w:rsidRPr="00DA25D0">
              <w:rPr>
                <w:color w:val="000000"/>
                <w:szCs w:val="18"/>
              </w:rPr>
              <w:t>000</w:t>
            </w:r>
          </w:p>
        </w:tc>
        <w:tc>
          <w:tcPr>
            <w:tcW w:w="1661" w:type="dxa"/>
            <w:vAlign w:val="center"/>
          </w:tcPr>
          <w:p w14:paraId="520E1EC7" w14:textId="2B8D19A8" w:rsidR="00B94C90" w:rsidRPr="00DA25D0" w:rsidRDefault="00B94C90" w:rsidP="00B64331">
            <w:pPr>
              <w:pStyle w:val="Normal-pool-Table"/>
              <w:jc w:val="right"/>
              <w:rPr>
                <w:rFonts w:eastAsiaTheme="minorEastAsia"/>
                <w:szCs w:val="18"/>
              </w:rPr>
            </w:pPr>
            <w:r w:rsidRPr="00DA25D0">
              <w:rPr>
                <w:color w:val="000000"/>
                <w:szCs w:val="18"/>
              </w:rPr>
              <w:t>59</w:t>
            </w:r>
            <w:r w:rsidR="00B46BB3" w:rsidRPr="00DA25D0">
              <w:rPr>
                <w:color w:val="000000"/>
                <w:szCs w:val="18"/>
              </w:rPr>
              <w:t> </w:t>
            </w:r>
            <w:r w:rsidRPr="00DA25D0">
              <w:rPr>
                <w:color w:val="000000"/>
                <w:szCs w:val="18"/>
              </w:rPr>
              <w:t>600</w:t>
            </w:r>
            <w:r w:rsidR="00B46BB3" w:rsidRPr="00DA25D0">
              <w:rPr>
                <w:color w:val="000000"/>
                <w:szCs w:val="18"/>
              </w:rPr>
              <w:t> </w:t>
            </w:r>
            <w:r w:rsidRPr="00DA25D0">
              <w:rPr>
                <w:color w:val="000000"/>
                <w:szCs w:val="18"/>
              </w:rPr>
              <w:t>000</w:t>
            </w:r>
          </w:p>
        </w:tc>
        <w:tc>
          <w:tcPr>
            <w:tcW w:w="1662" w:type="dxa"/>
            <w:vAlign w:val="center"/>
          </w:tcPr>
          <w:p w14:paraId="02BFACBC" w14:textId="58F4DA09" w:rsidR="00B94C90" w:rsidRPr="00DA25D0" w:rsidRDefault="00B94C90" w:rsidP="00B64331">
            <w:pPr>
              <w:pStyle w:val="Normal-pool-Table"/>
              <w:jc w:val="right"/>
              <w:rPr>
                <w:rFonts w:eastAsiaTheme="minorEastAsia"/>
                <w:szCs w:val="18"/>
              </w:rPr>
            </w:pPr>
            <w:r w:rsidRPr="00DA25D0">
              <w:rPr>
                <w:color w:val="000000"/>
                <w:szCs w:val="18"/>
              </w:rPr>
              <w:t>10 </w:t>
            </w:r>
            <w:r w:rsidR="004E6ECD" w:rsidRPr="00DA25D0">
              <w:rPr>
                <w:color w:val="000000"/>
                <w:szCs w:val="18"/>
              </w:rPr>
              <w:t>000</w:t>
            </w:r>
            <w:r w:rsidRPr="00DA25D0">
              <w:rPr>
                <w:color w:val="000000"/>
                <w:szCs w:val="18"/>
              </w:rPr>
              <w:t> 000</w:t>
            </w:r>
          </w:p>
        </w:tc>
        <w:tc>
          <w:tcPr>
            <w:tcW w:w="1662" w:type="dxa"/>
            <w:vAlign w:val="center"/>
          </w:tcPr>
          <w:p w14:paraId="0E52661E" w14:textId="09BCA5DD" w:rsidR="00B94C90" w:rsidRPr="00DA25D0" w:rsidRDefault="00B94C90" w:rsidP="00B64331">
            <w:pPr>
              <w:pStyle w:val="Normal-pool-Table"/>
              <w:jc w:val="right"/>
              <w:rPr>
                <w:rFonts w:eastAsiaTheme="minorEastAsia"/>
                <w:szCs w:val="18"/>
              </w:rPr>
            </w:pPr>
            <w:r w:rsidRPr="00DA25D0">
              <w:rPr>
                <w:color w:val="000000"/>
                <w:szCs w:val="18"/>
              </w:rPr>
              <w:t>470</w:t>
            </w:r>
            <w:r w:rsidR="00B46BB3" w:rsidRPr="00DA25D0">
              <w:rPr>
                <w:color w:val="000000"/>
                <w:szCs w:val="18"/>
              </w:rPr>
              <w:t> </w:t>
            </w:r>
            <w:r w:rsidRPr="00DA25D0">
              <w:rPr>
                <w:color w:val="000000"/>
                <w:szCs w:val="18"/>
              </w:rPr>
              <w:t>000</w:t>
            </w:r>
            <w:r w:rsidR="00B46BB3" w:rsidRPr="00DA25D0">
              <w:rPr>
                <w:color w:val="000000"/>
                <w:szCs w:val="18"/>
              </w:rPr>
              <w:t> </w:t>
            </w:r>
            <w:r w:rsidRPr="00DA25D0">
              <w:rPr>
                <w:color w:val="000000"/>
                <w:szCs w:val="18"/>
              </w:rPr>
              <w:t>000</w:t>
            </w:r>
          </w:p>
        </w:tc>
      </w:tr>
      <w:tr w:rsidR="00B94C90" w:rsidRPr="00DA25D0" w14:paraId="53194250" w14:textId="77777777" w:rsidTr="00B64331">
        <w:trPr>
          <w:jc w:val="right"/>
        </w:trPr>
        <w:tc>
          <w:tcPr>
            <w:tcW w:w="1661" w:type="dxa"/>
            <w:vAlign w:val="center"/>
          </w:tcPr>
          <w:p w14:paraId="2AEEF540" w14:textId="77777777" w:rsidR="00B94C90" w:rsidRPr="00DA25D0" w:rsidRDefault="00B94C90" w:rsidP="00B64331">
            <w:pPr>
              <w:pStyle w:val="Normal-pool-Table"/>
              <w:rPr>
                <w:rFonts w:eastAsiaTheme="minorEastAsia"/>
                <w:szCs w:val="18"/>
              </w:rPr>
            </w:pPr>
            <w:r w:rsidRPr="00DA25D0">
              <w:rPr>
                <w:color w:val="000000"/>
                <w:szCs w:val="18"/>
              </w:rPr>
              <w:t>2009-2011</w:t>
            </w:r>
          </w:p>
        </w:tc>
        <w:tc>
          <w:tcPr>
            <w:tcW w:w="1661" w:type="dxa"/>
            <w:vAlign w:val="center"/>
          </w:tcPr>
          <w:p w14:paraId="2C436ABF" w14:textId="48B26F6A" w:rsidR="00B94C90" w:rsidRPr="00DA25D0" w:rsidRDefault="00B94C90" w:rsidP="00B64331">
            <w:pPr>
              <w:pStyle w:val="Normal-pool-Table"/>
              <w:jc w:val="right"/>
              <w:rPr>
                <w:rFonts w:eastAsiaTheme="minorEastAsia"/>
                <w:szCs w:val="18"/>
              </w:rPr>
            </w:pPr>
            <w:r w:rsidRPr="00DA25D0">
              <w:rPr>
                <w:color w:val="000000"/>
                <w:szCs w:val="18"/>
              </w:rPr>
              <w:t>400</w:t>
            </w:r>
            <w:r w:rsidR="00B46BB3" w:rsidRPr="00DA25D0">
              <w:rPr>
                <w:color w:val="000000"/>
                <w:szCs w:val="18"/>
              </w:rPr>
              <w:t> </w:t>
            </w:r>
            <w:r w:rsidRPr="00DA25D0">
              <w:rPr>
                <w:color w:val="000000"/>
                <w:szCs w:val="18"/>
              </w:rPr>
              <w:t>000</w:t>
            </w:r>
            <w:r w:rsidR="00B46BB3" w:rsidRPr="00DA25D0">
              <w:rPr>
                <w:color w:val="000000"/>
                <w:szCs w:val="18"/>
              </w:rPr>
              <w:t> </w:t>
            </w:r>
            <w:r w:rsidRPr="00DA25D0">
              <w:rPr>
                <w:color w:val="000000"/>
                <w:szCs w:val="18"/>
              </w:rPr>
              <w:t>000</w:t>
            </w:r>
          </w:p>
        </w:tc>
        <w:tc>
          <w:tcPr>
            <w:tcW w:w="1661" w:type="dxa"/>
            <w:vAlign w:val="center"/>
          </w:tcPr>
          <w:p w14:paraId="3162FAB4" w14:textId="5D79E269" w:rsidR="00B94C90" w:rsidRPr="00DA25D0" w:rsidRDefault="00B94C90" w:rsidP="00B64331">
            <w:pPr>
              <w:pStyle w:val="Normal-pool-Table"/>
              <w:jc w:val="right"/>
              <w:rPr>
                <w:rFonts w:eastAsiaTheme="minorEastAsia"/>
                <w:szCs w:val="18"/>
              </w:rPr>
            </w:pPr>
            <w:r w:rsidRPr="00DA25D0">
              <w:rPr>
                <w:color w:val="000000"/>
                <w:szCs w:val="18"/>
              </w:rPr>
              <w:t>73</w:t>
            </w:r>
            <w:r w:rsidR="0076684B" w:rsidRPr="00DA25D0">
              <w:rPr>
                <w:color w:val="000000"/>
                <w:szCs w:val="18"/>
              </w:rPr>
              <w:t> </w:t>
            </w:r>
            <w:r w:rsidRPr="00DA25D0">
              <w:rPr>
                <w:color w:val="000000"/>
                <w:szCs w:val="18"/>
              </w:rPr>
              <w:t>900</w:t>
            </w:r>
            <w:r w:rsidR="00AB132B" w:rsidRPr="00DA25D0">
              <w:rPr>
                <w:color w:val="000000"/>
                <w:szCs w:val="18"/>
              </w:rPr>
              <w:t> </w:t>
            </w:r>
            <w:r w:rsidRPr="00DA25D0">
              <w:rPr>
                <w:color w:val="000000"/>
                <w:szCs w:val="18"/>
              </w:rPr>
              <w:t>000</w:t>
            </w:r>
          </w:p>
        </w:tc>
        <w:tc>
          <w:tcPr>
            <w:tcW w:w="1662" w:type="dxa"/>
            <w:vAlign w:val="center"/>
          </w:tcPr>
          <w:p w14:paraId="3D3892A6" w14:textId="1718E1B2" w:rsidR="00B94C90" w:rsidRPr="00DA25D0" w:rsidRDefault="00360C2B" w:rsidP="00B64331">
            <w:pPr>
              <w:pStyle w:val="Normal-pool-Table"/>
              <w:jc w:val="right"/>
              <w:rPr>
                <w:rFonts w:eastAsiaTheme="minorEastAsia"/>
                <w:szCs w:val="18"/>
              </w:rPr>
            </w:pPr>
            <w:r w:rsidRPr="00DA25D0">
              <w:rPr>
                <w:color w:val="000000"/>
                <w:szCs w:val="18"/>
              </w:rPr>
              <w:t>1</w:t>
            </w:r>
            <w:r w:rsidR="004E6ECD" w:rsidRPr="00DA25D0">
              <w:rPr>
                <w:color w:val="000000"/>
                <w:szCs w:val="18"/>
              </w:rPr>
              <w:t>6</w:t>
            </w:r>
            <w:r w:rsidRPr="00DA25D0">
              <w:rPr>
                <w:color w:val="000000"/>
                <w:szCs w:val="18"/>
              </w:rPr>
              <w:t> </w:t>
            </w:r>
            <w:r w:rsidR="004E6ECD" w:rsidRPr="00DA25D0">
              <w:rPr>
                <w:color w:val="000000"/>
                <w:szCs w:val="18"/>
              </w:rPr>
              <w:t>1</w:t>
            </w:r>
            <w:r w:rsidRPr="00DA25D0">
              <w:rPr>
                <w:color w:val="000000"/>
                <w:szCs w:val="18"/>
              </w:rPr>
              <w:t>00 000</w:t>
            </w:r>
          </w:p>
        </w:tc>
        <w:tc>
          <w:tcPr>
            <w:tcW w:w="1662" w:type="dxa"/>
            <w:vAlign w:val="center"/>
          </w:tcPr>
          <w:p w14:paraId="3E5EBA2E" w14:textId="2F53043B" w:rsidR="00B94C90" w:rsidRPr="00DA25D0" w:rsidRDefault="00B94C90" w:rsidP="00B64331">
            <w:pPr>
              <w:pStyle w:val="Normal-pool-Table"/>
              <w:jc w:val="right"/>
              <w:rPr>
                <w:rFonts w:eastAsiaTheme="minorEastAsia"/>
                <w:szCs w:val="18"/>
              </w:rPr>
            </w:pPr>
            <w:r w:rsidRPr="00DA25D0">
              <w:rPr>
                <w:color w:val="000000"/>
                <w:szCs w:val="18"/>
              </w:rPr>
              <w:t>490</w:t>
            </w:r>
            <w:r w:rsidR="000F15E8" w:rsidRPr="00DA25D0">
              <w:rPr>
                <w:color w:val="000000"/>
                <w:szCs w:val="18"/>
              </w:rPr>
              <w:t> </w:t>
            </w:r>
            <w:r w:rsidRPr="00DA25D0">
              <w:rPr>
                <w:color w:val="000000"/>
                <w:szCs w:val="18"/>
              </w:rPr>
              <w:t>000</w:t>
            </w:r>
            <w:r w:rsidR="001438F8" w:rsidRPr="00DA25D0">
              <w:rPr>
                <w:color w:val="000000"/>
                <w:szCs w:val="18"/>
              </w:rPr>
              <w:t> </w:t>
            </w:r>
            <w:r w:rsidRPr="00DA25D0">
              <w:rPr>
                <w:color w:val="000000"/>
                <w:szCs w:val="18"/>
              </w:rPr>
              <w:t>000</w:t>
            </w:r>
          </w:p>
        </w:tc>
      </w:tr>
      <w:tr w:rsidR="00B94C90" w:rsidRPr="00DA25D0" w14:paraId="3698D8AB" w14:textId="77777777" w:rsidTr="00B64331">
        <w:trPr>
          <w:jc w:val="right"/>
        </w:trPr>
        <w:tc>
          <w:tcPr>
            <w:tcW w:w="1661" w:type="dxa"/>
            <w:vAlign w:val="center"/>
          </w:tcPr>
          <w:p w14:paraId="0B11DB78" w14:textId="77777777" w:rsidR="00B94C90" w:rsidRPr="00DA25D0" w:rsidRDefault="00B94C90" w:rsidP="00B64331">
            <w:pPr>
              <w:pStyle w:val="Normal-pool-Table"/>
              <w:rPr>
                <w:rFonts w:eastAsiaTheme="minorEastAsia"/>
                <w:szCs w:val="18"/>
              </w:rPr>
            </w:pPr>
            <w:r w:rsidRPr="00DA25D0">
              <w:rPr>
                <w:color w:val="000000"/>
                <w:szCs w:val="18"/>
              </w:rPr>
              <w:t>2012-2014</w:t>
            </w:r>
          </w:p>
        </w:tc>
        <w:tc>
          <w:tcPr>
            <w:tcW w:w="1661" w:type="dxa"/>
            <w:vAlign w:val="center"/>
          </w:tcPr>
          <w:p w14:paraId="471D4D5B" w14:textId="503CBA4A" w:rsidR="00B94C90" w:rsidRPr="00DA25D0" w:rsidRDefault="00B94C90" w:rsidP="00B64331">
            <w:pPr>
              <w:pStyle w:val="Normal-pool-Table"/>
              <w:jc w:val="right"/>
              <w:rPr>
                <w:rFonts w:eastAsiaTheme="minorEastAsia"/>
                <w:szCs w:val="18"/>
              </w:rPr>
            </w:pPr>
            <w:r w:rsidRPr="00DA25D0">
              <w:rPr>
                <w:color w:val="000000"/>
                <w:szCs w:val="18"/>
              </w:rPr>
              <w:t>400</w:t>
            </w:r>
            <w:r w:rsidR="00557A3F" w:rsidRPr="00DA25D0">
              <w:rPr>
                <w:color w:val="000000"/>
                <w:szCs w:val="18"/>
              </w:rPr>
              <w:t> </w:t>
            </w:r>
            <w:r w:rsidRPr="00DA25D0">
              <w:rPr>
                <w:color w:val="000000"/>
                <w:szCs w:val="18"/>
              </w:rPr>
              <w:t>000</w:t>
            </w:r>
            <w:r w:rsidR="00770004" w:rsidRPr="00DA25D0">
              <w:rPr>
                <w:color w:val="000000"/>
                <w:szCs w:val="18"/>
              </w:rPr>
              <w:t> </w:t>
            </w:r>
            <w:r w:rsidRPr="00DA25D0">
              <w:rPr>
                <w:color w:val="000000"/>
                <w:szCs w:val="18"/>
              </w:rPr>
              <w:t>000</w:t>
            </w:r>
          </w:p>
        </w:tc>
        <w:tc>
          <w:tcPr>
            <w:tcW w:w="1661" w:type="dxa"/>
            <w:vAlign w:val="center"/>
          </w:tcPr>
          <w:p w14:paraId="4A2D6FD4" w14:textId="3A77FE8D" w:rsidR="00B94C90" w:rsidRPr="00DA25D0" w:rsidRDefault="00B94C90" w:rsidP="00B64331">
            <w:pPr>
              <w:pStyle w:val="Normal-pool-Table"/>
              <w:jc w:val="right"/>
              <w:rPr>
                <w:rFonts w:eastAsiaTheme="minorEastAsia"/>
                <w:szCs w:val="18"/>
              </w:rPr>
            </w:pPr>
            <w:r w:rsidRPr="00DA25D0">
              <w:rPr>
                <w:color w:val="000000"/>
                <w:szCs w:val="18"/>
              </w:rPr>
              <w:t>34</w:t>
            </w:r>
            <w:r w:rsidR="002F1E3B" w:rsidRPr="00DA25D0">
              <w:rPr>
                <w:color w:val="000000"/>
                <w:szCs w:val="18"/>
              </w:rPr>
              <w:t> </w:t>
            </w:r>
            <w:r w:rsidRPr="00DA25D0">
              <w:rPr>
                <w:color w:val="000000"/>
                <w:szCs w:val="18"/>
              </w:rPr>
              <w:t>9</w:t>
            </w:r>
            <w:r w:rsidR="00C46D93" w:rsidRPr="00DA25D0">
              <w:rPr>
                <w:color w:val="000000"/>
                <w:szCs w:val="18"/>
              </w:rPr>
              <w:t>00</w:t>
            </w:r>
            <w:r w:rsidR="005A5DE5" w:rsidRPr="00DA25D0">
              <w:rPr>
                <w:color w:val="000000"/>
                <w:szCs w:val="18"/>
              </w:rPr>
              <w:t> </w:t>
            </w:r>
            <w:r w:rsidRPr="00DA25D0">
              <w:rPr>
                <w:color w:val="000000"/>
                <w:szCs w:val="18"/>
              </w:rPr>
              <w:t>000</w:t>
            </w:r>
          </w:p>
        </w:tc>
        <w:tc>
          <w:tcPr>
            <w:tcW w:w="1662" w:type="dxa"/>
            <w:vAlign w:val="center"/>
          </w:tcPr>
          <w:p w14:paraId="4C27F4B4" w14:textId="618B1A5F" w:rsidR="00B94C90" w:rsidRPr="00DA25D0" w:rsidRDefault="00B94C90" w:rsidP="00B64331">
            <w:pPr>
              <w:pStyle w:val="Normal-pool-Table"/>
              <w:jc w:val="right"/>
              <w:rPr>
                <w:rFonts w:eastAsiaTheme="minorEastAsia"/>
                <w:szCs w:val="18"/>
              </w:rPr>
            </w:pPr>
            <w:r w:rsidRPr="00DA25D0">
              <w:rPr>
                <w:color w:val="000000"/>
                <w:szCs w:val="18"/>
              </w:rPr>
              <w:t>1</w:t>
            </w:r>
            <w:r w:rsidR="00C66F9D" w:rsidRPr="00DA25D0">
              <w:rPr>
                <w:color w:val="000000"/>
                <w:szCs w:val="18"/>
              </w:rPr>
              <w:t>5</w:t>
            </w:r>
            <w:r w:rsidR="00046DE2" w:rsidRPr="00DA25D0">
              <w:rPr>
                <w:color w:val="000000"/>
                <w:szCs w:val="18"/>
              </w:rPr>
              <w:t> </w:t>
            </w:r>
            <w:r w:rsidRPr="00DA25D0">
              <w:rPr>
                <w:color w:val="000000"/>
                <w:szCs w:val="18"/>
              </w:rPr>
              <w:t>100</w:t>
            </w:r>
            <w:r w:rsidR="00046DE2" w:rsidRPr="00DA25D0">
              <w:rPr>
                <w:color w:val="000000"/>
                <w:szCs w:val="18"/>
              </w:rPr>
              <w:t> </w:t>
            </w:r>
            <w:r w:rsidRPr="00DA25D0">
              <w:rPr>
                <w:color w:val="000000"/>
                <w:szCs w:val="18"/>
              </w:rPr>
              <w:t>000</w:t>
            </w:r>
          </w:p>
        </w:tc>
        <w:tc>
          <w:tcPr>
            <w:tcW w:w="1662" w:type="dxa"/>
            <w:vAlign w:val="center"/>
          </w:tcPr>
          <w:p w14:paraId="33E36B51" w14:textId="0D947A92" w:rsidR="00B94C90" w:rsidRPr="00DA25D0" w:rsidRDefault="00B94C90" w:rsidP="00B64331">
            <w:pPr>
              <w:pStyle w:val="Normal-pool-Table"/>
              <w:jc w:val="right"/>
              <w:rPr>
                <w:rFonts w:eastAsiaTheme="minorEastAsia"/>
                <w:szCs w:val="18"/>
              </w:rPr>
            </w:pPr>
            <w:r w:rsidRPr="00DA25D0">
              <w:rPr>
                <w:color w:val="000000"/>
                <w:szCs w:val="18"/>
              </w:rPr>
              <w:t>450</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r>
      <w:tr w:rsidR="00B94C90" w:rsidRPr="00DA25D0" w14:paraId="3F2AA358" w14:textId="77777777" w:rsidTr="00B64331">
        <w:trPr>
          <w:jc w:val="right"/>
        </w:trPr>
        <w:tc>
          <w:tcPr>
            <w:tcW w:w="1661" w:type="dxa"/>
            <w:vAlign w:val="center"/>
          </w:tcPr>
          <w:p w14:paraId="20BCF496" w14:textId="77777777" w:rsidR="00B94C90" w:rsidRPr="00DA25D0" w:rsidRDefault="00B94C90" w:rsidP="00B64331">
            <w:pPr>
              <w:pStyle w:val="Normal-pool-Table"/>
              <w:rPr>
                <w:rFonts w:eastAsiaTheme="minorEastAsia"/>
                <w:szCs w:val="18"/>
              </w:rPr>
            </w:pPr>
            <w:r w:rsidRPr="00DA25D0">
              <w:rPr>
                <w:color w:val="000000"/>
                <w:szCs w:val="18"/>
              </w:rPr>
              <w:t>2015-2017</w:t>
            </w:r>
          </w:p>
        </w:tc>
        <w:tc>
          <w:tcPr>
            <w:tcW w:w="1661" w:type="dxa"/>
            <w:vAlign w:val="center"/>
          </w:tcPr>
          <w:p w14:paraId="0BFFD784" w14:textId="048F97E2" w:rsidR="00B94C90" w:rsidRPr="00DA25D0" w:rsidRDefault="00B94C90" w:rsidP="00B64331">
            <w:pPr>
              <w:pStyle w:val="Normal-pool-Table"/>
              <w:jc w:val="right"/>
              <w:rPr>
                <w:rFonts w:eastAsiaTheme="minorEastAsia"/>
                <w:szCs w:val="18"/>
              </w:rPr>
            </w:pPr>
            <w:r w:rsidRPr="00DA25D0">
              <w:rPr>
                <w:color w:val="000000"/>
                <w:szCs w:val="18"/>
              </w:rPr>
              <w:t>437</w:t>
            </w:r>
            <w:r w:rsidR="005B2442" w:rsidRPr="00DA25D0">
              <w:rPr>
                <w:color w:val="000000"/>
                <w:szCs w:val="18"/>
              </w:rPr>
              <w:t> </w:t>
            </w:r>
            <w:r w:rsidRPr="00DA25D0">
              <w:rPr>
                <w:color w:val="000000"/>
                <w:szCs w:val="18"/>
              </w:rPr>
              <w:t>500</w:t>
            </w:r>
            <w:r w:rsidR="005B2442" w:rsidRPr="00DA25D0">
              <w:rPr>
                <w:color w:val="000000"/>
                <w:szCs w:val="18"/>
              </w:rPr>
              <w:t> </w:t>
            </w:r>
            <w:r w:rsidRPr="00DA25D0">
              <w:rPr>
                <w:color w:val="000000"/>
                <w:szCs w:val="18"/>
              </w:rPr>
              <w:t>000</w:t>
            </w:r>
          </w:p>
        </w:tc>
        <w:tc>
          <w:tcPr>
            <w:tcW w:w="1661" w:type="dxa"/>
            <w:vAlign w:val="center"/>
          </w:tcPr>
          <w:p w14:paraId="70FB9F31" w14:textId="3589565C" w:rsidR="00B94C90" w:rsidRPr="00DA25D0" w:rsidRDefault="00B94C90" w:rsidP="00B64331">
            <w:pPr>
              <w:pStyle w:val="Normal-pool-Table"/>
              <w:jc w:val="right"/>
              <w:rPr>
                <w:rFonts w:eastAsiaTheme="minorEastAsia"/>
                <w:szCs w:val="18"/>
              </w:rPr>
            </w:pPr>
            <w:r w:rsidRPr="00DA25D0">
              <w:rPr>
                <w:color w:val="000000"/>
                <w:szCs w:val="18"/>
              </w:rPr>
              <w:t>64</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c>
          <w:tcPr>
            <w:tcW w:w="1662" w:type="dxa"/>
            <w:vAlign w:val="center"/>
          </w:tcPr>
          <w:p w14:paraId="00171C82" w14:textId="069E0E7F" w:rsidR="00B94C90" w:rsidRPr="00DA25D0" w:rsidRDefault="00B94C90" w:rsidP="00B64331">
            <w:pPr>
              <w:pStyle w:val="Normal-pool-Table"/>
              <w:jc w:val="right"/>
              <w:rPr>
                <w:rFonts w:eastAsiaTheme="minorEastAsia"/>
                <w:szCs w:val="18"/>
              </w:rPr>
            </w:pPr>
            <w:r w:rsidRPr="00DA25D0">
              <w:rPr>
                <w:color w:val="000000"/>
                <w:szCs w:val="18"/>
              </w:rPr>
              <w:t xml:space="preserve">   6</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c>
          <w:tcPr>
            <w:tcW w:w="1662" w:type="dxa"/>
            <w:vAlign w:val="center"/>
          </w:tcPr>
          <w:p w14:paraId="11AD4487" w14:textId="64149F38" w:rsidR="00B94C90" w:rsidRPr="00DA25D0" w:rsidRDefault="00B94C90" w:rsidP="00B64331">
            <w:pPr>
              <w:pStyle w:val="Normal-pool-Table"/>
              <w:jc w:val="right"/>
              <w:rPr>
                <w:rFonts w:eastAsiaTheme="minorEastAsia"/>
                <w:szCs w:val="18"/>
              </w:rPr>
            </w:pPr>
            <w:r w:rsidRPr="00DA25D0">
              <w:rPr>
                <w:color w:val="000000"/>
                <w:szCs w:val="18"/>
              </w:rPr>
              <w:t>507</w:t>
            </w:r>
            <w:r w:rsidR="005B2442" w:rsidRPr="00DA25D0">
              <w:rPr>
                <w:color w:val="000000"/>
                <w:szCs w:val="18"/>
              </w:rPr>
              <w:t> </w:t>
            </w:r>
            <w:r w:rsidRPr="00DA25D0">
              <w:rPr>
                <w:color w:val="000000"/>
                <w:szCs w:val="18"/>
              </w:rPr>
              <w:t>500</w:t>
            </w:r>
            <w:r w:rsidR="005B2442" w:rsidRPr="00DA25D0">
              <w:rPr>
                <w:color w:val="000000"/>
                <w:szCs w:val="18"/>
              </w:rPr>
              <w:t> </w:t>
            </w:r>
            <w:r w:rsidRPr="00DA25D0">
              <w:rPr>
                <w:color w:val="000000"/>
                <w:szCs w:val="18"/>
              </w:rPr>
              <w:t>000</w:t>
            </w:r>
          </w:p>
        </w:tc>
      </w:tr>
      <w:tr w:rsidR="00B94C90" w:rsidRPr="00DA25D0" w14:paraId="3AE2F101" w14:textId="77777777" w:rsidTr="00B64331">
        <w:trPr>
          <w:jc w:val="right"/>
        </w:trPr>
        <w:tc>
          <w:tcPr>
            <w:tcW w:w="1661" w:type="dxa"/>
            <w:vAlign w:val="center"/>
          </w:tcPr>
          <w:p w14:paraId="61C94638" w14:textId="77777777" w:rsidR="00B94C90" w:rsidRPr="00DA25D0" w:rsidRDefault="00B94C90" w:rsidP="00B64331">
            <w:pPr>
              <w:pStyle w:val="Normal-pool-Table"/>
              <w:rPr>
                <w:rFonts w:eastAsiaTheme="minorEastAsia"/>
                <w:szCs w:val="18"/>
              </w:rPr>
            </w:pPr>
            <w:r w:rsidRPr="00DA25D0">
              <w:rPr>
                <w:bCs/>
                <w:color w:val="000000"/>
                <w:szCs w:val="18"/>
              </w:rPr>
              <w:t>2018-2020</w:t>
            </w:r>
            <w:r w:rsidRPr="00DA25D0">
              <w:rPr>
                <w:rFonts w:eastAsia="Times New Roman"/>
                <w:bCs/>
                <w:szCs w:val="18"/>
                <w:lang w:val="en-GB" w:eastAsia="en-US"/>
              </w:rPr>
              <w:t>**</w:t>
            </w:r>
          </w:p>
        </w:tc>
        <w:tc>
          <w:tcPr>
            <w:tcW w:w="1661" w:type="dxa"/>
            <w:vAlign w:val="center"/>
          </w:tcPr>
          <w:p w14:paraId="0197C583" w14:textId="09F0AA30" w:rsidR="00B94C90" w:rsidRPr="00DA25D0" w:rsidRDefault="00B94C90" w:rsidP="00B64331">
            <w:pPr>
              <w:pStyle w:val="Normal-pool-Table"/>
              <w:jc w:val="right"/>
              <w:rPr>
                <w:rFonts w:eastAsiaTheme="minorEastAsia"/>
                <w:szCs w:val="18"/>
              </w:rPr>
            </w:pPr>
            <w:r w:rsidRPr="00DA25D0">
              <w:rPr>
                <w:color w:val="000000"/>
                <w:szCs w:val="18"/>
              </w:rPr>
              <w:t>500</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c>
          <w:tcPr>
            <w:tcW w:w="1661" w:type="dxa"/>
            <w:vAlign w:val="center"/>
          </w:tcPr>
          <w:p w14:paraId="3680ED09" w14:textId="7CE4840E" w:rsidR="00B94C90" w:rsidRPr="00DA25D0" w:rsidRDefault="00B94C90" w:rsidP="00B64331">
            <w:pPr>
              <w:pStyle w:val="Normal-pool-Table"/>
              <w:jc w:val="right"/>
              <w:rPr>
                <w:rFonts w:eastAsiaTheme="minorEastAsia"/>
                <w:szCs w:val="18"/>
              </w:rPr>
            </w:pPr>
            <w:r w:rsidRPr="00DA25D0">
              <w:rPr>
                <w:color w:val="000000"/>
                <w:szCs w:val="18"/>
              </w:rPr>
              <w:t>34</w:t>
            </w:r>
            <w:r w:rsidR="005B2442" w:rsidRPr="00DA25D0">
              <w:rPr>
                <w:color w:val="000000"/>
                <w:szCs w:val="18"/>
              </w:rPr>
              <w:t> </w:t>
            </w:r>
            <w:r w:rsidRPr="00DA25D0">
              <w:rPr>
                <w:color w:val="000000"/>
                <w:szCs w:val="18"/>
              </w:rPr>
              <w:t>000</w:t>
            </w:r>
            <w:r w:rsidR="001F7667" w:rsidRPr="00DA25D0">
              <w:rPr>
                <w:color w:val="000000"/>
                <w:szCs w:val="18"/>
              </w:rPr>
              <w:t> </w:t>
            </w:r>
            <w:r w:rsidRPr="00DA25D0">
              <w:rPr>
                <w:color w:val="000000"/>
                <w:szCs w:val="18"/>
              </w:rPr>
              <w:t>000</w:t>
            </w:r>
          </w:p>
        </w:tc>
        <w:tc>
          <w:tcPr>
            <w:tcW w:w="1662" w:type="dxa"/>
            <w:vAlign w:val="center"/>
          </w:tcPr>
          <w:p w14:paraId="0B123FD3" w14:textId="4F912D01" w:rsidR="00B94C90" w:rsidRPr="00DA25D0" w:rsidRDefault="00B94C90" w:rsidP="00B64331">
            <w:pPr>
              <w:pStyle w:val="Normal-pool-Table"/>
              <w:jc w:val="right"/>
              <w:rPr>
                <w:rFonts w:eastAsiaTheme="minorEastAsia"/>
                <w:szCs w:val="18"/>
              </w:rPr>
            </w:pPr>
            <w:r w:rsidRPr="00DA25D0">
              <w:rPr>
                <w:color w:val="000000"/>
                <w:szCs w:val="18"/>
              </w:rPr>
              <w:t xml:space="preserve">   6</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c>
          <w:tcPr>
            <w:tcW w:w="1662" w:type="dxa"/>
            <w:vAlign w:val="center"/>
          </w:tcPr>
          <w:p w14:paraId="56274084" w14:textId="1751D143" w:rsidR="00B94C90" w:rsidRPr="00DA25D0" w:rsidRDefault="00B94C90" w:rsidP="00B64331">
            <w:pPr>
              <w:pStyle w:val="Normal-pool-Table"/>
              <w:jc w:val="right"/>
              <w:rPr>
                <w:rFonts w:eastAsiaTheme="minorEastAsia"/>
                <w:szCs w:val="18"/>
              </w:rPr>
            </w:pPr>
            <w:r w:rsidRPr="00DA25D0">
              <w:rPr>
                <w:color w:val="000000"/>
                <w:szCs w:val="18"/>
              </w:rPr>
              <w:t>540</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r>
      <w:tr w:rsidR="00B94C90" w:rsidRPr="00DA25D0" w14:paraId="5DA4AE2F" w14:textId="77777777" w:rsidTr="00B64331">
        <w:trPr>
          <w:jc w:val="right"/>
        </w:trPr>
        <w:tc>
          <w:tcPr>
            <w:tcW w:w="1661" w:type="dxa"/>
            <w:vAlign w:val="center"/>
          </w:tcPr>
          <w:p w14:paraId="2F44802B" w14:textId="77777777" w:rsidR="00B94C90" w:rsidRPr="00DA25D0" w:rsidRDefault="00B94C90" w:rsidP="00B64331">
            <w:pPr>
              <w:pStyle w:val="Normal-pool-Table"/>
              <w:rPr>
                <w:rFonts w:eastAsiaTheme="minorEastAsia"/>
                <w:szCs w:val="18"/>
              </w:rPr>
            </w:pPr>
            <w:r w:rsidRPr="00DA25D0">
              <w:rPr>
                <w:color w:val="000000"/>
                <w:szCs w:val="18"/>
              </w:rPr>
              <w:t>2021-2023</w:t>
            </w:r>
          </w:p>
        </w:tc>
        <w:tc>
          <w:tcPr>
            <w:tcW w:w="1661" w:type="dxa"/>
            <w:vAlign w:val="center"/>
          </w:tcPr>
          <w:p w14:paraId="71F5AC10" w14:textId="6070A7AA" w:rsidR="00B94C90" w:rsidRPr="00DA25D0" w:rsidRDefault="00B94C90" w:rsidP="00B64331">
            <w:pPr>
              <w:pStyle w:val="Normal-pool-Table"/>
              <w:jc w:val="right"/>
              <w:rPr>
                <w:rFonts w:eastAsiaTheme="minorEastAsia"/>
                <w:szCs w:val="18"/>
              </w:rPr>
            </w:pPr>
            <w:r w:rsidRPr="00DA25D0">
              <w:rPr>
                <w:color w:val="000000"/>
                <w:szCs w:val="18"/>
              </w:rPr>
              <w:t>475</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c>
          <w:tcPr>
            <w:tcW w:w="1661" w:type="dxa"/>
            <w:vAlign w:val="center"/>
          </w:tcPr>
          <w:p w14:paraId="78D6D5B9" w14:textId="08E58806" w:rsidR="00B94C90" w:rsidRPr="00DA25D0" w:rsidRDefault="00B94C90" w:rsidP="00B64331">
            <w:pPr>
              <w:pStyle w:val="Normal-pool-Table"/>
              <w:jc w:val="right"/>
              <w:rPr>
                <w:rFonts w:eastAsiaTheme="minorEastAsia"/>
                <w:szCs w:val="18"/>
              </w:rPr>
            </w:pPr>
            <w:r w:rsidRPr="00DA25D0">
              <w:rPr>
                <w:color w:val="000000"/>
                <w:szCs w:val="18"/>
              </w:rPr>
              <w:t>65</w:t>
            </w:r>
            <w:r w:rsidR="005B2442" w:rsidRPr="00DA25D0">
              <w:rPr>
                <w:color w:val="000000"/>
                <w:szCs w:val="18"/>
              </w:rPr>
              <w:t> </w:t>
            </w:r>
            <w:r w:rsidRPr="00DA25D0">
              <w:rPr>
                <w:color w:val="000000"/>
                <w:szCs w:val="18"/>
              </w:rPr>
              <w:t>000</w:t>
            </w:r>
            <w:r w:rsidR="001F7667" w:rsidRPr="00DA25D0">
              <w:rPr>
                <w:color w:val="000000"/>
                <w:szCs w:val="18"/>
              </w:rPr>
              <w:t> </w:t>
            </w:r>
            <w:r w:rsidRPr="00DA25D0">
              <w:rPr>
                <w:color w:val="000000"/>
                <w:szCs w:val="18"/>
              </w:rPr>
              <w:t>000</w:t>
            </w:r>
          </w:p>
        </w:tc>
        <w:tc>
          <w:tcPr>
            <w:tcW w:w="1662" w:type="dxa"/>
            <w:vAlign w:val="center"/>
          </w:tcPr>
          <w:p w14:paraId="64D21A68" w14:textId="77777777" w:rsidR="00B94C90" w:rsidRPr="00DA25D0" w:rsidRDefault="00B94C90" w:rsidP="00B64331">
            <w:pPr>
              <w:pStyle w:val="Normal-pool-Table"/>
              <w:jc w:val="right"/>
              <w:rPr>
                <w:rFonts w:eastAsiaTheme="minorEastAsia"/>
                <w:szCs w:val="18"/>
              </w:rPr>
            </w:pPr>
            <w:r w:rsidRPr="00DA25D0">
              <w:rPr>
                <w:color w:val="000000"/>
                <w:szCs w:val="18"/>
              </w:rPr>
              <w:t>S.O.</w:t>
            </w:r>
          </w:p>
        </w:tc>
        <w:tc>
          <w:tcPr>
            <w:tcW w:w="1662" w:type="dxa"/>
            <w:vAlign w:val="center"/>
          </w:tcPr>
          <w:p w14:paraId="6B4BFFE4" w14:textId="2388DD62" w:rsidR="00B94C90" w:rsidRPr="00DA25D0" w:rsidRDefault="00B94C90" w:rsidP="00B64331">
            <w:pPr>
              <w:pStyle w:val="Normal-pool-Table"/>
              <w:jc w:val="right"/>
              <w:rPr>
                <w:rFonts w:eastAsiaTheme="minorEastAsia"/>
                <w:szCs w:val="18"/>
              </w:rPr>
            </w:pPr>
            <w:r w:rsidRPr="00DA25D0">
              <w:rPr>
                <w:color w:val="000000"/>
                <w:szCs w:val="18"/>
              </w:rPr>
              <w:t>540</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r>
      <w:tr w:rsidR="00B94C90" w:rsidRPr="00DA25D0" w14:paraId="4D06A562" w14:textId="77777777" w:rsidTr="00B64331">
        <w:trPr>
          <w:jc w:val="right"/>
        </w:trPr>
        <w:tc>
          <w:tcPr>
            <w:tcW w:w="1661" w:type="dxa"/>
            <w:tcBorders>
              <w:bottom w:val="single" w:sz="12" w:space="0" w:color="auto"/>
            </w:tcBorders>
            <w:vAlign w:val="center"/>
          </w:tcPr>
          <w:p w14:paraId="11BB318B" w14:textId="77777777" w:rsidR="00B94C90" w:rsidRPr="00DA25D0" w:rsidRDefault="00B94C90" w:rsidP="00B64331">
            <w:pPr>
              <w:pStyle w:val="Normal-pool-Table"/>
              <w:rPr>
                <w:rFonts w:eastAsiaTheme="minorEastAsia"/>
                <w:szCs w:val="18"/>
              </w:rPr>
            </w:pPr>
            <w:r w:rsidRPr="00DA25D0">
              <w:rPr>
                <w:color w:val="000000"/>
                <w:szCs w:val="18"/>
              </w:rPr>
              <w:t>2024-2026</w:t>
            </w:r>
          </w:p>
        </w:tc>
        <w:tc>
          <w:tcPr>
            <w:tcW w:w="1661" w:type="dxa"/>
            <w:tcBorders>
              <w:bottom w:val="single" w:sz="12" w:space="0" w:color="auto"/>
            </w:tcBorders>
            <w:vAlign w:val="center"/>
          </w:tcPr>
          <w:p w14:paraId="55686D9F" w14:textId="3ACF5C98" w:rsidR="00B94C90" w:rsidRPr="00DA25D0" w:rsidRDefault="00B94C90" w:rsidP="00B64331">
            <w:pPr>
              <w:pStyle w:val="Normal-pool-Table"/>
              <w:jc w:val="right"/>
              <w:rPr>
                <w:rFonts w:eastAsiaTheme="minorEastAsia"/>
                <w:szCs w:val="18"/>
              </w:rPr>
            </w:pPr>
            <w:r w:rsidRPr="00DA25D0">
              <w:rPr>
                <w:color w:val="000000"/>
                <w:szCs w:val="18"/>
              </w:rPr>
              <w:t>525</w:t>
            </w:r>
            <w:r w:rsidR="005B2442" w:rsidRPr="00DA25D0">
              <w:rPr>
                <w:color w:val="000000"/>
                <w:szCs w:val="18"/>
              </w:rPr>
              <w:t> </w:t>
            </w:r>
            <w:r w:rsidRPr="00DA25D0">
              <w:rPr>
                <w:color w:val="000000"/>
                <w:szCs w:val="18"/>
              </w:rPr>
              <w:t>600</w:t>
            </w:r>
            <w:r w:rsidR="005B2442" w:rsidRPr="00DA25D0">
              <w:rPr>
                <w:color w:val="000000"/>
                <w:szCs w:val="18"/>
              </w:rPr>
              <w:t> </w:t>
            </w:r>
            <w:r w:rsidRPr="00DA25D0">
              <w:rPr>
                <w:color w:val="000000"/>
                <w:szCs w:val="18"/>
              </w:rPr>
              <w:t>000</w:t>
            </w:r>
          </w:p>
        </w:tc>
        <w:tc>
          <w:tcPr>
            <w:tcW w:w="1661" w:type="dxa"/>
            <w:tcBorders>
              <w:bottom w:val="single" w:sz="12" w:space="0" w:color="auto"/>
            </w:tcBorders>
            <w:vAlign w:val="center"/>
          </w:tcPr>
          <w:p w14:paraId="22425B95" w14:textId="510EFDF7" w:rsidR="00B94C90" w:rsidRPr="00DA25D0" w:rsidRDefault="00B94C90" w:rsidP="00B64331">
            <w:pPr>
              <w:pStyle w:val="Normal-pool-Table"/>
              <w:jc w:val="right"/>
              <w:rPr>
                <w:rFonts w:eastAsiaTheme="minorEastAsia"/>
                <w:szCs w:val="18"/>
              </w:rPr>
            </w:pPr>
            <w:r w:rsidRPr="00DA25D0">
              <w:rPr>
                <w:color w:val="000000"/>
                <w:szCs w:val="18"/>
              </w:rPr>
              <w:t>428</w:t>
            </w:r>
            <w:r w:rsidR="005B2442" w:rsidRPr="00DA25D0">
              <w:rPr>
                <w:color w:val="000000"/>
                <w:szCs w:val="18"/>
              </w:rPr>
              <w:t> </w:t>
            </w:r>
            <w:r w:rsidRPr="00DA25D0">
              <w:rPr>
                <w:color w:val="000000"/>
                <w:szCs w:val="18"/>
              </w:rPr>
              <w:t>699</w:t>
            </w:r>
            <w:r w:rsidR="005B2442" w:rsidRPr="00DA25D0">
              <w:rPr>
                <w:color w:val="000000"/>
                <w:szCs w:val="18"/>
              </w:rPr>
              <w:t> </w:t>
            </w:r>
            <w:r w:rsidRPr="00DA25D0">
              <w:rPr>
                <w:color w:val="000000"/>
                <w:szCs w:val="18"/>
              </w:rPr>
              <w:t>680</w:t>
            </w:r>
          </w:p>
        </w:tc>
        <w:tc>
          <w:tcPr>
            <w:tcW w:w="1662" w:type="dxa"/>
            <w:tcBorders>
              <w:bottom w:val="single" w:sz="12" w:space="0" w:color="auto"/>
            </w:tcBorders>
            <w:vAlign w:val="center"/>
          </w:tcPr>
          <w:p w14:paraId="66C02F67" w14:textId="18D9D384" w:rsidR="00B94C90" w:rsidRPr="00DA25D0" w:rsidRDefault="00B94C90" w:rsidP="00B64331">
            <w:pPr>
              <w:pStyle w:val="Normal-pool-Table"/>
              <w:jc w:val="right"/>
              <w:rPr>
                <w:rFonts w:eastAsiaTheme="minorEastAsia"/>
                <w:szCs w:val="18"/>
              </w:rPr>
            </w:pPr>
            <w:r w:rsidRPr="00DA25D0">
              <w:rPr>
                <w:color w:val="000000"/>
                <w:szCs w:val="18"/>
              </w:rPr>
              <w:t>10</w:t>
            </w:r>
            <w:r w:rsidR="005B2442" w:rsidRPr="00DA25D0">
              <w:rPr>
                <w:color w:val="000000"/>
                <w:szCs w:val="18"/>
              </w:rPr>
              <w:t> </w:t>
            </w:r>
            <w:r w:rsidRPr="00DA25D0">
              <w:rPr>
                <w:color w:val="000000"/>
                <w:szCs w:val="18"/>
              </w:rPr>
              <w:t>700</w:t>
            </w:r>
            <w:r w:rsidR="005B2442" w:rsidRPr="00DA25D0">
              <w:rPr>
                <w:color w:val="000000"/>
                <w:szCs w:val="18"/>
              </w:rPr>
              <w:t> </w:t>
            </w:r>
            <w:r w:rsidRPr="00DA25D0">
              <w:rPr>
                <w:color w:val="000000"/>
                <w:szCs w:val="18"/>
              </w:rPr>
              <w:t>320</w:t>
            </w:r>
          </w:p>
        </w:tc>
        <w:tc>
          <w:tcPr>
            <w:tcW w:w="1662" w:type="dxa"/>
            <w:tcBorders>
              <w:bottom w:val="single" w:sz="12" w:space="0" w:color="auto"/>
            </w:tcBorders>
            <w:vAlign w:val="center"/>
          </w:tcPr>
          <w:p w14:paraId="75E77F2C" w14:textId="0CD21F63" w:rsidR="00B94C90" w:rsidRPr="00DA25D0" w:rsidRDefault="00B94C90" w:rsidP="00B64331">
            <w:pPr>
              <w:pStyle w:val="Normal-pool-Table"/>
              <w:jc w:val="right"/>
              <w:rPr>
                <w:rFonts w:eastAsiaTheme="minorEastAsia"/>
                <w:szCs w:val="18"/>
              </w:rPr>
            </w:pPr>
            <w:r w:rsidRPr="00DA25D0">
              <w:rPr>
                <w:color w:val="000000"/>
                <w:szCs w:val="18"/>
              </w:rPr>
              <w:t>965</w:t>
            </w:r>
            <w:r w:rsidR="005B2442" w:rsidRPr="00DA25D0">
              <w:rPr>
                <w:color w:val="000000"/>
                <w:szCs w:val="18"/>
              </w:rPr>
              <w:t> </w:t>
            </w:r>
            <w:r w:rsidRPr="00DA25D0">
              <w:rPr>
                <w:color w:val="000000"/>
                <w:szCs w:val="18"/>
              </w:rPr>
              <w:t>000</w:t>
            </w:r>
            <w:r w:rsidR="005B2442" w:rsidRPr="00DA25D0">
              <w:rPr>
                <w:color w:val="000000"/>
                <w:szCs w:val="18"/>
              </w:rPr>
              <w:t> </w:t>
            </w:r>
            <w:r w:rsidRPr="00DA25D0">
              <w:rPr>
                <w:color w:val="000000"/>
                <w:szCs w:val="18"/>
              </w:rPr>
              <w:t>000</w:t>
            </w:r>
          </w:p>
        </w:tc>
      </w:tr>
    </w:tbl>
    <w:p w14:paraId="130377BF" w14:textId="1D1B8459" w:rsidR="00B94C90" w:rsidRPr="003F17DD" w:rsidRDefault="00B94C90" w:rsidP="00B94C90">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ind w:left="1247"/>
        <w:rPr>
          <w:rFonts w:eastAsiaTheme="minorEastAsia"/>
          <w:i/>
        </w:rPr>
      </w:pPr>
      <w:r w:rsidRPr="003F17DD">
        <w:tab/>
        <w:t>* Ne tient pas compte de la dotation initiale de 240</w:t>
      </w:r>
      <w:r w:rsidR="0048563A">
        <w:t> </w:t>
      </w:r>
      <w:r w:rsidRPr="003F17DD">
        <w:t>millions de dollars des États-Unis pour la</w:t>
      </w:r>
      <w:r w:rsidR="00F93833">
        <w:t> </w:t>
      </w:r>
      <w:r w:rsidRPr="003F17DD">
        <w:t>période 1991-1993.</w:t>
      </w:r>
    </w:p>
    <w:p w14:paraId="07159762" w14:textId="51B9ADC5" w:rsidR="00B94C90" w:rsidRPr="003F17DD" w:rsidRDefault="00B94C90" w:rsidP="00B94C90">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after="120"/>
        <w:ind w:left="1247"/>
        <w:rPr>
          <w:rFonts w:eastAsiaTheme="minorEastAsia"/>
          <w:i/>
        </w:rPr>
      </w:pPr>
      <w:r w:rsidRPr="003F17DD">
        <w:tab/>
        <w:t>** Par ailleurs, la cinquième</w:t>
      </w:r>
      <w:r w:rsidR="0048563A">
        <w:t> </w:t>
      </w:r>
      <w:r w:rsidRPr="003F17DD">
        <w:t>Réunion extraordinaire des Parties a également noté que les 246</w:t>
      </w:r>
      <w:r w:rsidR="0048563A">
        <w:t> </w:t>
      </w:r>
      <w:r w:rsidRPr="003F17DD">
        <w:t>millions de dollars des États-Unis de fonds restants dus au Fonds multilatéral au cours de la période triennale 2018-2020 seront utilisés après 2023 pour soutenir la mise en œuvre du Protocole de</w:t>
      </w:r>
      <w:r w:rsidR="00FF44FB">
        <w:t> </w:t>
      </w:r>
      <w:r w:rsidRPr="003F17DD">
        <w:t>Montréal (décision</w:t>
      </w:r>
      <w:r w:rsidR="00391CE4">
        <w:t> </w:t>
      </w:r>
      <w:proofErr w:type="spellStart"/>
      <w:proofErr w:type="gramStart"/>
      <w:r w:rsidRPr="003F17DD">
        <w:t>Ex.V</w:t>
      </w:r>
      <w:proofErr w:type="spellEnd"/>
      <w:proofErr w:type="gramEnd"/>
      <w:r w:rsidRPr="003F17DD">
        <w:t>/1).</w:t>
      </w:r>
    </w:p>
    <w:p w14:paraId="625D3888" w14:textId="051A778E" w:rsidR="00B94C90" w:rsidRPr="003F17DD" w:rsidRDefault="00B94C90" w:rsidP="00B94C90">
      <w:pPr>
        <w:pStyle w:val="NormalNonumber"/>
      </w:pPr>
      <w:r w:rsidRPr="003F17DD">
        <w:t>Depuis sa création et jusqu</w:t>
      </w:r>
      <w:r w:rsidR="007175B8">
        <w:t>’</w:t>
      </w:r>
      <w:r w:rsidRPr="003F17DD">
        <w:t xml:space="preserve">à la </w:t>
      </w:r>
      <w:r w:rsidR="0072052C" w:rsidRPr="003F17DD">
        <w:t>quatre-</w:t>
      </w:r>
      <w:r w:rsidR="003E275D">
        <w:t>vingt-</w:t>
      </w:r>
      <w:r w:rsidR="0072052C" w:rsidRPr="003F17DD">
        <w:t>dix-septième</w:t>
      </w:r>
      <w:r w:rsidR="000604CC">
        <w:t> </w:t>
      </w:r>
      <w:r w:rsidRPr="003F17DD">
        <w:t>réunion du Comité</w:t>
      </w:r>
      <w:r w:rsidR="00F153CB">
        <w:t> </w:t>
      </w:r>
      <w:r w:rsidRPr="003F17DD">
        <w:t>exécutif (ExCom-97), le Fonds a apporté son soutien à 144</w:t>
      </w:r>
      <w:r w:rsidR="000604CC">
        <w:t> </w:t>
      </w:r>
      <w:r w:rsidRPr="003F17DD">
        <w:t>Parties visées à l</w:t>
      </w:r>
      <w:r w:rsidR="007175B8">
        <w:t>’</w:t>
      </w:r>
      <w:r w:rsidRPr="003F17DD">
        <w:t>article</w:t>
      </w:r>
      <w:r w:rsidR="00AB4DD0">
        <w:t> </w:t>
      </w:r>
      <w:r w:rsidRPr="003F17DD">
        <w:t>5 en approuvant 4,38</w:t>
      </w:r>
      <w:r w:rsidR="00AB4DD0">
        <w:t> </w:t>
      </w:r>
      <w:r w:rsidRPr="003F17DD">
        <w:t>milliards de dollars (frais d</w:t>
      </w:r>
      <w:r w:rsidR="007175B8">
        <w:t>’</w:t>
      </w:r>
      <w:r w:rsidRPr="003F17DD">
        <w:t>appui compris) pour un total de 10</w:t>
      </w:r>
      <w:r w:rsidR="00864C78">
        <w:t> </w:t>
      </w:r>
      <w:r w:rsidRPr="003F17DD">
        <w:t>363</w:t>
      </w:r>
      <w:r w:rsidR="00864C78">
        <w:t> </w:t>
      </w:r>
      <w:r w:rsidRPr="003F17DD">
        <w:t>projets, dont 87</w:t>
      </w:r>
      <w:r w:rsidR="003D24F5">
        <w:t> </w:t>
      </w:r>
      <w:r w:rsidRPr="003F17DD">
        <w:t>% ont été menés à bien</w:t>
      </w:r>
      <w:r w:rsidRPr="003F17DD">
        <w:rPr>
          <w:rStyle w:val="FootnoteReference"/>
          <w:rFonts w:eastAsia="SimSun"/>
        </w:rPr>
        <w:footnoteReference w:id="14"/>
      </w:r>
      <w:r w:rsidRPr="003F17DD">
        <w:t xml:space="preserve">. </w:t>
      </w:r>
    </w:p>
    <w:p w14:paraId="2D4EA082" w14:textId="2997AE6F" w:rsidR="00B94C90" w:rsidRPr="003F17DD" w:rsidRDefault="00B94C90" w:rsidP="00B94C90">
      <w:pPr>
        <w:pStyle w:val="NormalNonumber"/>
      </w:pPr>
      <w:r w:rsidRPr="003F17DD">
        <w:t>La reconstitution du Fonds pour la période triennale</w:t>
      </w:r>
      <w:r w:rsidR="00864C78">
        <w:t> </w:t>
      </w:r>
      <w:r w:rsidRPr="003F17DD">
        <w:t xml:space="preserve">2027-2029 permettra de financer, pour les Parties visées à </w:t>
      </w:r>
      <w:r w:rsidR="0072052C" w:rsidRPr="003F17DD">
        <w:t>l</w:t>
      </w:r>
      <w:r w:rsidR="007175B8">
        <w:t>’</w:t>
      </w:r>
      <w:r w:rsidR="0072052C" w:rsidRPr="003F17DD">
        <w:t>article</w:t>
      </w:r>
      <w:r w:rsidR="00864C78">
        <w:t> </w:t>
      </w:r>
      <w:r w:rsidRPr="003F17DD">
        <w:t>5, les coûts supplémentaires liés à l</w:t>
      </w:r>
      <w:r w:rsidR="007175B8">
        <w:t>’</w:t>
      </w:r>
      <w:r w:rsidRPr="003F17DD">
        <w:t>achèvement de l</w:t>
      </w:r>
      <w:r w:rsidR="007175B8">
        <w:t>’</w:t>
      </w:r>
      <w:r w:rsidRPr="003F17DD">
        <w:t xml:space="preserve">élimination </w:t>
      </w:r>
      <w:r w:rsidR="0072052C" w:rsidRPr="003F17DD">
        <w:t>totale</w:t>
      </w:r>
      <w:r w:rsidRPr="003F17DD">
        <w:t xml:space="preserve"> des substances appauvrissant la couche d</w:t>
      </w:r>
      <w:r w:rsidR="007175B8">
        <w:t>’</w:t>
      </w:r>
      <w:r w:rsidRPr="003F17DD">
        <w:t xml:space="preserve">ozone et à la poursuite de la mise en œuvre de la réduction progressive des </w:t>
      </w:r>
      <w:proofErr w:type="spellStart"/>
      <w:r w:rsidRPr="003F17DD">
        <w:t>hydrofluorocarbones</w:t>
      </w:r>
      <w:proofErr w:type="spellEnd"/>
      <w:r w:rsidRPr="003F17DD">
        <w:t xml:space="preserve"> (HFC). Les substances relevant du groupe</w:t>
      </w:r>
      <w:r w:rsidR="00864C78">
        <w:t> </w:t>
      </w:r>
      <w:r w:rsidRPr="003F17DD">
        <w:t xml:space="preserve">I de </w:t>
      </w:r>
      <w:r w:rsidR="003E275D" w:rsidRPr="003F17DD">
        <w:t>l</w:t>
      </w:r>
      <w:r w:rsidR="003E275D">
        <w:t>’A</w:t>
      </w:r>
      <w:r w:rsidR="003E275D" w:rsidRPr="003F17DD">
        <w:t>nnex</w:t>
      </w:r>
      <w:r w:rsidRPr="003F17DD">
        <w:t>e</w:t>
      </w:r>
      <w:r w:rsidR="00864C78">
        <w:t> </w:t>
      </w:r>
      <w:r w:rsidRPr="003F17DD">
        <w:t xml:space="preserve">C </w:t>
      </w:r>
      <w:r w:rsidR="0072052C" w:rsidRPr="003F17DD">
        <w:t>[</w:t>
      </w:r>
      <w:proofErr w:type="spellStart"/>
      <w:r w:rsidRPr="003F17DD">
        <w:t>hydrochlorofluorocarb</w:t>
      </w:r>
      <w:r w:rsidR="0072052C" w:rsidRPr="003F17DD">
        <w:t>on</w:t>
      </w:r>
      <w:r w:rsidRPr="003F17DD">
        <w:t>es</w:t>
      </w:r>
      <w:proofErr w:type="spellEnd"/>
      <w:r w:rsidRPr="003F17DD">
        <w:t>, (HCFC)</w:t>
      </w:r>
      <w:r w:rsidR="0072052C" w:rsidRPr="003F17DD">
        <w:t>]</w:t>
      </w:r>
      <w:r w:rsidRPr="003F17DD">
        <w:t xml:space="preserve"> et de l</w:t>
      </w:r>
      <w:r w:rsidR="003E275D">
        <w:t>’A</w:t>
      </w:r>
      <w:r w:rsidR="003E275D" w:rsidRPr="003F17DD">
        <w:t xml:space="preserve">nnexe </w:t>
      </w:r>
      <w:r w:rsidRPr="003F17DD">
        <w:t>F (HFC) sont les seules substances visées par le Protocole de</w:t>
      </w:r>
      <w:r w:rsidR="000C4FAB">
        <w:t> </w:t>
      </w:r>
      <w:r w:rsidRPr="003F17DD">
        <w:t>Montréal dont la consommation et la production sont encore autorisées.</w:t>
      </w:r>
    </w:p>
    <w:p w14:paraId="3C7072AB" w14:textId="3B0B93E5"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268" w:hanging="624"/>
      </w:pPr>
      <w:r w:rsidRPr="003F17DD">
        <w:t>En ce qui concerne les substances réglementées du groupe</w:t>
      </w:r>
      <w:r w:rsidR="000C4FAB">
        <w:t> </w:t>
      </w:r>
      <w:r w:rsidRPr="003F17DD">
        <w:t xml:space="preserve">I </w:t>
      </w:r>
      <w:r w:rsidRPr="00CF3ECA">
        <w:t>de l</w:t>
      </w:r>
      <w:r w:rsidR="007175B8" w:rsidRPr="00CF3ECA">
        <w:t>’</w:t>
      </w:r>
      <w:r w:rsidR="003E275D" w:rsidRPr="00CF3ECA">
        <w:t>A</w:t>
      </w:r>
      <w:r w:rsidRPr="00CF3ECA">
        <w:t>nnexe</w:t>
      </w:r>
      <w:r w:rsidR="000C4FAB" w:rsidRPr="00CF3ECA">
        <w:t> </w:t>
      </w:r>
      <w:r w:rsidRPr="00CF3ECA">
        <w:t>C (HCFC</w:t>
      </w:r>
      <w:r w:rsidRPr="003F17DD">
        <w:t>), l</w:t>
      </w:r>
      <w:r w:rsidR="007175B8">
        <w:t>’</w:t>
      </w:r>
      <w:r w:rsidRPr="003F17DD">
        <w:t xml:space="preserve">objectif de respect des </w:t>
      </w:r>
      <w:r w:rsidR="0072052C" w:rsidRPr="003F17DD">
        <w:t>dispositions</w:t>
      </w:r>
      <w:r w:rsidRPr="003F17DD">
        <w:t xml:space="preserve"> pour la période triennale</w:t>
      </w:r>
      <w:r w:rsidR="000C4FAB">
        <w:t> </w:t>
      </w:r>
      <w:r w:rsidRPr="003F17DD">
        <w:t>2027-2029 est une réduction de 97,5</w:t>
      </w:r>
      <w:r w:rsidR="003D24F5">
        <w:t> </w:t>
      </w:r>
      <w:r w:rsidRPr="003F17DD">
        <w:t>% par rapport au niveau de référence au 1</w:t>
      </w:r>
      <w:r w:rsidRPr="003F17DD">
        <w:rPr>
          <w:vertAlign w:val="superscript"/>
        </w:rPr>
        <w:t>er</w:t>
      </w:r>
      <w:r w:rsidR="000C4FAB">
        <w:rPr>
          <w:vertAlign w:val="superscript"/>
        </w:rPr>
        <w:t> </w:t>
      </w:r>
      <w:r w:rsidRPr="003F17DD">
        <w:t>janvier 2030.</w:t>
      </w:r>
    </w:p>
    <w:p w14:paraId="40EBE2FC" w14:textId="23CDC3FF" w:rsidR="00B94C90" w:rsidRPr="003F17DD" w:rsidRDefault="00B94C90" w:rsidP="00416520">
      <w:pPr>
        <w:pStyle w:val="NormalNonumber"/>
        <w:tabs>
          <w:tab w:val="clear" w:pos="1247"/>
          <w:tab w:val="clear" w:pos="1871"/>
          <w:tab w:val="clear" w:pos="2495"/>
          <w:tab w:val="clear" w:pos="3119"/>
          <w:tab w:val="clear" w:pos="3742"/>
          <w:tab w:val="clear" w:pos="4366"/>
        </w:tabs>
        <w:ind w:left="2693"/>
      </w:pPr>
      <w:r w:rsidRPr="003F17DD">
        <w:lastRenderedPageBreak/>
        <w:t>Un taux annuel moyen de 2,5</w:t>
      </w:r>
      <w:r w:rsidR="003D24F5">
        <w:t> </w:t>
      </w:r>
      <w:r w:rsidRPr="003F17DD">
        <w:t>% est réservé à l</w:t>
      </w:r>
      <w:r w:rsidR="007175B8">
        <w:t>’</w:t>
      </w:r>
      <w:r w:rsidRPr="003F17DD">
        <w:t>entretien des équipements de réfrigération et de climatisation existants au cours de la période 2030-2040. La</w:t>
      </w:r>
      <w:r w:rsidR="0060162F">
        <w:t> </w:t>
      </w:r>
      <w:r w:rsidRPr="003F17DD">
        <w:t>décision XXX/2, se référant à l</w:t>
      </w:r>
      <w:r w:rsidR="007175B8">
        <w:t>’</w:t>
      </w:r>
      <w:r w:rsidRPr="003F17DD">
        <w:t>annexe</w:t>
      </w:r>
      <w:r w:rsidR="00CB0D8B">
        <w:t> </w:t>
      </w:r>
      <w:r w:rsidRPr="003F17DD">
        <w:t xml:space="preserve">I du rapport de la </w:t>
      </w:r>
      <w:r w:rsidR="0072052C" w:rsidRPr="003F17DD">
        <w:t>trentième</w:t>
      </w:r>
      <w:r w:rsidRPr="003F17DD">
        <w:t xml:space="preserve"> Réunion des Parties</w:t>
      </w:r>
      <w:r w:rsidRPr="003F17DD">
        <w:rPr>
          <w:rStyle w:val="FootnoteReference"/>
          <w:rFonts w:eastAsia="SimSun"/>
        </w:rPr>
        <w:footnoteReference w:id="15"/>
      </w:r>
      <w:r w:rsidRPr="003F17DD">
        <w:t>, a modifié cette partie de l</w:t>
      </w:r>
      <w:r w:rsidR="007175B8">
        <w:t>’</w:t>
      </w:r>
      <w:r w:rsidRPr="003F17DD">
        <w:t>article</w:t>
      </w:r>
      <w:r w:rsidR="00CB0D8B">
        <w:t> </w:t>
      </w:r>
      <w:r w:rsidRPr="003F17DD">
        <w:t>5 (ainsi que l</w:t>
      </w:r>
      <w:r w:rsidR="007175B8">
        <w:t>’</w:t>
      </w:r>
      <w:r w:rsidR="0072052C" w:rsidRPr="003F17DD">
        <w:t>A</w:t>
      </w:r>
      <w:r w:rsidRPr="003F17DD">
        <w:t>nnexe</w:t>
      </w:r>
      <w:r w:rsidR="00CB0D8B">
        <w:t> </w:t>
      </w:r>
      <w:r w:rsidRPr="003F17DD">
        <w:t>2F) afin d</w:t>
      </w:r>
      <w:r w:rsidR="007175B8">
        <w:t>’</w:t>
      </w:r>
      <w:r w:rsidRPr="003F17DD">
        <w:t>y inclure d</w:t>
      </w:r>
      <w:r w:rsidR="007175B8">
        <w:t>’</w:t>
      </w:r>
      <w:r w:rsidRPr="003F17DD">
        <w:t>autres utilisations, à savoir l</w:t>
      </w:r>
      <w:r w:rsidR="007175B8">
        <w:t>’</w:t>
      </w:r>
      <w:r w:rsidRPr="003F17DD">
        <w:t>entretien des équipements de lutte contre l</w:t>
      </w:r>
      <w:r w:rsidR="007175B8">
        <w:t>’</w:t>
      </w:r>
      <w:r w:rsidRPr="003F17DD">
        <w:t>incendie et de protection contre l</w:t>
      </w:r>
      <w:r w:rsidR="007175B8">
        <w:t>’</w:t>
      </w:r>
      <w:r w:rsidRPr="003F17DD">
        <w:t>incendie existant au 1</w:t>
      </w:r>
      <w:r w:rsidRPr="003F17DD">
        <w:rPr>
          <w:vertAlign w:val="superscript"/>
        </w:rPr>
        <w:t>er</w:t>
      </w:r>
      <w:r w:rsidR="00CB0D8B">
        <w:rPr>
          <w:vertAlign w:val="superscript"/>
        </w:rPr>
        <w:t> </w:t>
      </w:r>
      <w:r w:rsidRPr="003F17DD">
        <w:t>janvier 2030</w:t>
      </w:r>
      <w:r w:rsidR="00095277">
        <w:t> </w:t>
      </w:r>
      <w:r w:rsidRPr="003F17DD">
        <w:t>; les applications des solvants dans la fabrication de moteurs de fusée</w:t>
      </w:r>
      <w:r w:rsidR="00095277">
        <w:t> </w:t>
      </w:r>
      <w:r w:rsidRPr="003F17DD">
        <w:t>; et un aérosol médical à usage topique destiné au traitement spécialisé des brûlures.</w:t>
      </w:r>
    </w:p>
    <w:p w14:paraId="346FC7B9" w14:textId="584220CA"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268" w:hanging="624"/>
      </w:pPr>
      <w:r w:rsidRPr="003F17DD">
        <w:t>Pour les substances réglementées de l</w:t>
      </w:r>
      <w:r w:rsidR="007175B8">
        <w:t>’</w:t>
      </w:r>
      <w:r w:rsidR="0072052C" w:rsidRPr="003F17DD">
        <w:t>A</w:t>
      </w:r>
      <w:r w:rsidRPr="003F17DD">
        <w:t>nnexe</w:t>
      </w:r>
      <w:r w:rsidR="00CB0D8B">
        <w:t> </w:t>
      </w:r>
      <w:r w:rsidRPr="003F17DD">
        <w:t xml:space="preserve">F (HFC), les objectifs de respect des </w:t>
      </w:r>
      <w:r w:rsidR="0072052C" w:rsidRPr="003F17DD">
        <w:t>dispositions</w:t>
      </w:r>
      <w:r w:rsidRPr="003F17DD">
        <w:t xml:space="preserve"> pour la période 2027-2029 et les deux</w:t>
      </w:r>
      <w:r w:rsidR="00CB0D8B">
        <w:t> </w:t>
      </w:r>
      <w:r w:rsidRPr="003F17DD">
        <w:t>triennats suivants sont les suivants</w:t>
      </w:r>
      <w:r w:rsidR="00D34006">
        <w:t> </w:t>
      </w:r>
      <w:r w:rsidRPr="003F17DD">
        <w:t>:</w:t>
      </w:r>
    </w:p>
    <w:p w14:paraId="3F4DC672" w14:textId="7E7234EE" w:rsidR="00B94C90" w:rsidRPr="003F17DD" w:rsidRDefault="00B94C90" w:rsidP="00416520">
      <w:pPr>
        <w:pStyle w:val="NormalNonumber"/>
        <w:ind w:left="2693"/>
        <w:rPr>
          <w:strike/>
        </w:rPr>
      </w:pPr>
      <w:bookmarkStart w:id="18" w:name="_Hlk135754197"/>
      <w:r w:rsidRPr="003F17DD">
        <w:t>Parties du groupe 1</w:t>
      </w:r>
      <w:r w:rsidR="00D34006">
        <w:t> </w:t>
      </w:r>
      <w:r w:rsidRPr="003F17DD">
        <w:t>: une réduction de 10</w:t>
      </w:r>
      <w:r w:rsidR="003D24F5">
        <w:t> </w:t>
      </w:r>
      <w:r w:rsidRPr="003F17DD">
        <w:t>% par rapport au niveau de référence d</w:t>
      </w:r>
      <w:r w:rsidR="007175B8">
        <w:t>’</w:t>
      </w:r>
      <w:r w:rsidRPr="003F17DD">
        <w:t>ici au</w:t>
      </w:r>
      <w:r w:rsidR="00256AFA">
        <w:t> </w:t>
      </w:r>
      <w:r w:rsidRPr="003F17DD">
        <w:t>1</w:t>
      </w:r>
      <w:r w:rsidRPr="003F17DD">
        <w:rPr>
          <w:vertAlign w:val="superscript"/>
        </w:rPr>
        <w:t>er</w:t>
      </w:r>
      <w:r w:rsidR="00CB0D8B">
        <w:rPr>
          <w:vertAlign w:val="superscript"/>
        </w:rPr>
        <w:t> </w:t>
      </w:r>
      <w:r w:rsidRPr="003F17DD">
        <w:t>janvier 2029, et pour les triennats à venir 2030-2032 et 2033-2035, une réduction de 30</w:t>
      </w:r>
      <w:r w:rsidR="003D24F5">
        <w:t> </w:t>
      </w:r>
      <w:r w:rsidRPr="003F17DD">
        <w:t>% par rapport au niveau de référence d</w:t>
      </w:r>
      <w:r w:rsidR="007175B8">
        <w:t>’</w:t>
      </w:r>
      <w:r w:rsidRPr="003F17DD">
        <w:t>ici au 1</w:t>
      </w:r>
      <w:r w:rsidRPr="003F17DD">
        <w:rPr>
          <w:vertAlign w:val="superscript"/>
        </w:rPr>
        <w:t>er</w:t>
      </w:r>
      <w:r w:rsidR="00CB0D8B">
        <w:rPr>
          <w:vertAlign w:val="superscript"/>
        </w:rPr>
        <w:t> </w:t>
      </w:r>
      <w:r w:rsidRPr="003F17DD">
        <w:t>janvier 2035.</w:t>
      </w:r>
    </w:p>
    <w:p w14:paraId="25C2CCC5" w14:textId="41255197" w:rsidR="00B94C90" w:rsidRPr="003F17DD" w:rsidRDefault="00B94C90" w:rsidP="00416520">
      <w:pPr>
        <w:pStyle w:val="NormalNonumber"/>
        <w:ind w:left="2693"/>
        <w:rPr>
          <w:strike/>
        </w:rPr>
      </w:pPr>
      <w:r w:rsidRPr="003F17DD">
        <w:t>Parties du groupe 2</w:t>
      </w:r>
      <w:r w:rsidRPr="003F17DD">
        <w:rPr>
          <w:rStyle w:val="FootnoteReference"/>
          <w:rFonts w:eastAsia="SimSun"/>
        </w:rPr>
        <w:footnoteReference w:id="16"/>
      </w:r>
      <w:r w:rsidR="00DC36AD">
        <w:t> </w:t>
      </w:r>
      <w:r w:rsidRPr="003F17DD">
        <w:t>: un gel de la production et de la consommation au 1</w:t>
      </w:r>
      <w:r w:rsidRPr="003F17DD">
        <w:rPr>
          <w:vertAlign w:val="superscript"/>
        </w:rPr>
        <w:t>er</w:t>
      </w:r>
      <w:r w:rsidR="00CB0D8B">
        <w:rPr>
          <w:vertAlign w:val="superscript"/>
        </w:rPr>
        <w:t> </w:t>
      </w:r>
      <w:r w:rsidRPr="003F17DD">
        <w:t>janvier 2028, ainsi que pour les triennats à venir 2030-2032 et 2033-2035, une réduction de</w:t>
      </w:r>
      <w:r w:rsidR="003411E5">
        <w:t> </w:t>
      </w:r>
      <w:r w:rsidRPr="003F17DD">
        <w:t>10</w:t>
      </w:r>
      <w:r w:rsidR="003D24F5">
        <w:t> </w:t>
      </w:r>
      <w:r w:rsidRPr="003F17DD">
        <w:t>% par rapport au niveau de référence d</w:t>
      </w:r>
      <w:r w:rsidR="007175B8">
        <w:t>’</w:t>
      </w:r>
      <w:r w:rsidRPr="003F17DD">
        <w:t>ici le 1</w:t>
      </w:r>
      <w:r w:rsidRPr="003F17DD">
        <w:rPr>
          <w:vertAlign w:val="superscript"/>
        </w:rPr>
        <w:t>er</w:t>
      </w:r>
      <w:r w:rsidR="00B86356">
        <w:rPr>
          <w:vertAlign w:val="superscript"/>
        </w:rPr>
        <w:t> </w:t>
      </w:r>
      <w:r w:rsidRPr="003F17DD">
        <w:t>janvier 2032, et une réduction de</w:t>
      </w:r>
      <w:r w:rsidR="003411E5">
        <w:t> </w:t>
      </w:r>
      <w:r w:rsidRPr="003F17DD">
        <w:t>20</w:t>
      </w:r>
      <w:r w:rsidR="00D1789F">
        <w:t> </w:t>
      </w:r>
      <w:r w:rsidRPr="003F17DD">
        <w:t>% d</w:t>
      </w:r>
      <w:r w:rsidR="007175B8">
        <w:t>’</w:t>
      </w:r>
      <w:r w:rsidRPr="003F17DD">
        <w:t>ici le 1</w:t>
      </w:r>
      <w:r w:rsidRPr="003F17DD">
        <w:rPr>
          <w:vertAlign w:val="superscript"/>
        </w:rPr>
        <w:t>er</w:t>
      </w:r>
      <w:r w:rsidR="00A90BA9">
        <w:rPr>
          <w:vertAlign w:val="superscript"/>
        </w:rPr>
        <w:t> </w:t>
      </w:r>
      <w:r w:rsidRPr="003F17DD">
        <w:t xml:space="preserve">janvier 2037. </w:t>
      </w:r>
    </w:p>
    <w:bookmarkEnd w:id="18"/>
    <w:p w14:paraId="3D3674BD" w14:textId="474D1521" w:rsidR="00B94C90" w:rsidRPr="003F17DD" w:rsidRDefault="00B94C90" w:rsidP="00B94C90">
      <w:pPr>
        <w:pStyle w:val="CH2"/>
      </w:pPr>
      <w:r w:rsidRPr="003F17DD">
        <w:tab/>
      </w:r>
      <w:r w:rsidRPr="003F17DD">
        <w:tab/>
      </w:r>
      <w:r w:rsidRPr="003F17DD">
        <w:rPr>
          <w:bCs/>
        </w:rPr>
        <w:t>Décision</w:t>
      </w:r>
      <w:r w:rsidR="00FD0E92">
        <w:rPr>
          <w:bCs/>
        </w:rPr>
        <w:t> </w:t>
      </w:r>
      <w:r w:rsidRPr="003F17DD">
        <w:rPr>
          <w:bCs/>
        </w:rPr>
        <w:t>XXXVII/6 et l</w:t>
      </w:r>
      <w:r w:rsidR="007175B8">
        <w:rPr>
          <w:bCs/>
        </w:rPr>
        <w:t>’</w:t>
      </w:r>
      <w:r w:rsidRPr="003F17DD">
        <w:rPr>
          <w:bCs/>
        </w:rPr>
        <w:t>approche du Groupe de l</w:t>
      </w:r>
      <w:r w:rsidR="007175B8">
        <w:rPr>
          <w:bCs/>
        </w:rPr>
        <w:t>’</w:t>
      </w:r>
      <w:r w:rsidRPr="003F17DD">
        <w:rPr>
          <w:bCs/>
        </w:rPr>
        <w:t>évaluation technique et</w:t>
      </w:r>
      <w:r w:rsidR="00253C74">
        <w:rPr>
          <w:bCs/>
        </w:rPr>
        <w:t> </w:t>
      </w:r>
      <w:r w:rsidRPr="003F17DD">
        <w:rPr>
          <w:bCs/>
        </w:rPr>
        <w:t>économique</w:t>
      </w:r>
    </w:p>
    <w:p w14:paraId="6D2941F6" w14:textId="49D2DDD7" w:rsidR="00B94C90" w:rsidRPr="003F17DD" w:rsidRDefault="00B94C90" w:rsidP="00B94C90">
      <w:pPr>
        <w:pStyle w:val="NormalNonumber"/>
      </w:pPr>
      <w:r w:rsidRPr="003F17DD">
        <w:t>Lors de la trente-septième</w:t>
      </w:r>
      <w:r w:rsidR="0054155B">
        <w:t> </w:t>
      </w:r>
      <w:r w:rsidRPr="003F17DD">
        <w:t>Réunion des Parties, les Parties ont adopté la décision</w:t>
      </w:r>
      <w:r w:rsidR="0054155B">
        <w:t> </w:t>
      </w:r>
      <w:r w:rsidRPr="003F17DD">
        <w:t>XXXVII/6 qui définit le mandat du Groupe de l</w:t>
      </w:r>
      <w:r w:rsidR="007175B8">
        <w:t>’</w:t>
      </w:r>
      <w:r w:rsidRPr="003F17DD">
        <w:t>évaluation technique et économique chargé d</w:t>
      </w:r>
      <w:r w:rsidR="007175B8">
        <w:t>’</w:t>
      </w:r>
      <w:r w:rsidRPr="003F17DD">
        <w:t>élaborer un rapport sur le niveau approprié de reconstitution du Fonds multilatéral pour la période triennale 2027-2029. Les Parties ont demandé au Groupe de l</w:t>
      </w:r>
      <w:r w:rsidR="007175B8">
        <w:t>’</w:t>
      </w:r>
      <w:r w:rsidRPr="003F17DD">
        <w:t>évaluation technique et économique de rédiger un rapport destiné à être soumis à la trente-huitième</w:t>
      </w:r>
      <w:r w:rsidR="0054155B">
        <w:t> </w:t>
      </w:r>
      <w:r w:rsidRPr="003F17DD">
        <w:t>Réunion des Parties et présenté au Groupe de travail à composition non limitée lors de sa quarante-huitième réunion, afin de permettre aux Parties présentes à la trente</w:t>
      </w:r>
      <w:r w:rsidR="00F82393">
        <w:noBreakHyphen/>
      </w:r>
      <w:r w:rsidRPr="003F17DD">
        <w:t xml:space="preserve">huitième Réunion des Parties de prendre une décision. </w:t>
      </w:r>
    </w:p>
    <w:p w14:paraId="62D46942" w14:textId="00D1F47F" w:rsidR="00B94C90" w:rsidRPr="003F17DD" w:rsidRDefault="00B94C90" w:rsidP="00B94C90">
      <w:pPr>
        <w:pStyle w:val="NormalNonumber"/>
      </w:pPr>
      <w:r w:rsidRPr="003F17DD">
        <w:t>Le Groupe a mis en place une équipe spéciale sur la reconstitution des ressources en vertu de la décision</w:t>
      </w:r>
      <w:r w:rsidR="00D6101E">
        <w:t> </w:t>
      </w:r>
      <w:r w:rsidRPr="003F17DD">
        <w:t>XXXVII/6, composé de membres du Groupe, de ses comités des choix techniques et d</w:t>
      </w:r>
      <w:r w:rsidR="007175B8">
        <w:t>’</w:t>
      </w:r>
      <w:r w:rsidRPr="003F17DD">
        <w:t>autres expert(e)s externes. En décembre 2025, un expert principal du Groupe a participé à la quatre</w:t>
      </w:r>
      <w:r w:rsidR="00F82393">
        <w:noBreakHyphen/>
      </w:r>
      <w:r w:rsidRPr="003F17DD">
        <w:t>vingt</w:t>
      </w:r>
      <w:r w:rsidR="00F82393">
        <w:noBreakHyphen/>
      </w:r>
      <w:r w:rsidRPr="003F17DD">
        <w:t>dix-septième</w:t>
      </w:r>
      <w:r w:rsidR="00AB3242">
        <w:t> </w:t>
      </w:r>
      <w:r w:rsidRPr="003F17DD">
        <w:t>réunion du Comité</w:t>
      </w:r>
      <w:r w:rsidR="00E1531F">
        <w:t> </w:t>
      </w:r>
      <w:r w:rsidRPr="003F17DD">
        <w:t>exécutif afin de mener des discussions informelles avec les membres du Comité</w:t>
      </w:r>
      <w:r w:rsidR="0054155B">
        <w:t> </w:t>
      </w:r>
      <w:r w:rsidRPr="003F17DD">
        <w:t>exécutif ainsi qu</w:t>
      </w:r>
      <w:r w:rsidR="007175B8">
        <w:t>’</w:t>
      </w:r>
      <w:r w:rsidRPr="003F17DD">
        <w:t xml:space="preserve">avec </w:t>
      </w:r>
      <w:proofErr w:type="gramStart"/>
      <w:r w:rsidRPr="003F17DD">
        <w:t>les représentant</w:t>
      </w:r>
      <w:proofErr w:type="gramEnd"/>
      <w:r w:rsidRPr="003F17DD">
        <w:t xml:space="preserve">(e)s des pays et les organismes internationaux présents à cette réunion. </w:t>
      </w:r>
    </w:p>
    <w:p w14:paraId="09D70297" w14:textId="532C3625" w:rsidR="00B94C90" w:rsidRPr="003F17DD" w:rsidRDefault="00B94C90" w:rsidP="00B94C90">
      <w:pPr>
        <w:pStyle w:val="NormalNonumber"/>
      </w:pPr>
      <w:r w:rsidRPr="003F17DD">
        <w:t>Dans ce rapport, l</w:t>
      </w:r>
      <w:r w:rsidR="007175B8">
        <w:t>’</w:t>
      </w:r>
      <w:r w:rsidRPr="003F17DD">
        <w:t>équipe spéciale sur la reconstitution des ressources a estimé les besoins de financement pour la période triennale</w:t>
      </w:r>
      <w:r w:rsidR="0062602F">
        <w:t> </w:t>
      </w:r>
      <w:r w:rsidRPr="003F17DD">
        <w:t>2027-2029 et les périodes triennales suivantes, en se fondant sur les données officielles communiquées au titre de l</w:t>
      </w:r>
      <w:r w:rsidR="007175B8">
        <w:t>’</w:t>
      </w:r>
      <w:r w:rsidRPr="003F17DD">
        <w:t>article</w:t>
      </w:r>
      <w:r w:rsidR="00DE43AB">
        <w:t> </w:t>
      </w:r>
      <w:r w:rsidRPr="003F17DD">
        <w:t>7, sur le plan d</w:t>
      </w:r>
      <w:r w:rsidR="007175B8">
        <w:t>’</w:t>
      </w:r>
      <w:r w:rsidRPr="003F17DD">
        <w:t>activité consolidé du Fonds multilatéral pour 2026-2028</w:t>
      </w:r>
      <w:r w:rsidRPr="003F17DD">
        <w:rPr>
          <w:vertAlign w:val="superscript"/>
        </w:rPr>
        <w:footnoteReference w:id="17"/>
      </w:r>
      <w:r w:rsidRPr="003F17DD">
        <w:t>, sur les décisions pertinentes du Comité</w:t>
      </w:r>
      <w:r w:rsidR="00792206">
        <w:t> </w:t>
      </w:r>
      <w:r w:rsidRPr="003F17DD">
        <w:t>exécutif jusqu</w:t>
      </w:r>
      <w:r w:rsidR="007175B8">
        <w:t>’</w:t>
      </w:r>
      <w:r w:rsidRPr="003F17DD">
        <w:t>à sa quatre</w:t>
      </w:r>
      <w:r w:rsidR="00F82393">
        <w:noBreakHyphen/>
      </w:r>
      <w:r w:rsidRPr="003F17DD">
        <w:t>vingt</w:t>
      </w:r>
      <w:r w:rsidR="00F82393">
        <w:noBreakHyphen/>
      </w:r>
      <w:r w:rsidRPr="003F17DD">
        <w:t>dix-septième</w:t>
      </w:r>
      <w:r w:rsidR="00634B93">
        <w:t> </w:t>
      </w:r>
      <w:r w:rsidRPr="003F17DD">
        <w:t>réunion, ainsi que sur les informations recueillies auprès du secrétariat du Fonds multilatéral et du Secrétariat de l</w:t>
      </w:r>
      <w:r w:rsidR="007175B8">
        <w:t>’</w:t>
      </w:r>
      <w:r w:rsidRPr="003F17DD">
        <w:t xml:space="preserve">ozone. </w:t>
      </w:r>
      <w:r w:rsidR="00073D42" w:rsidRPr="003F17DD">
        <w:t>Elle</w:t>
      </w:r>
      <w:r w:rsidRPr="003F17DD">
        <w:t xml:space="preserve"> a principalement travaillé en ligne et a tenu une réunion à Montréal en février 2026, au cours de laquelle elle a également eu des échanges avec le secrétariat du Fonds multilatéral. Elle a établi son projet de rapport, qui a été examiné lors de la réunion du Groupe de l</w:t>
      </w:r>
      <w:r w:rsidR="007175B8">
        <w:t>’</w:t>
      </w:r>
      <w:r w:rsidRPr="003F17DD">
        <w:t>évaluation technique et économique qui s</w:t>
      </w:r>
      <w:r w:rsidR="007175B8">
        <w:t>’</w:t>
      </w:r>
      <w:r w:rsidRPr="003F17DD">
        <w:t>est tenue en avril 2026 à Bruxelles. Après avoir répondu à toutes les observations, le Groupe a transmis le rapport de l</w:t>
      </w:r>
      <w:r w:rsidR="007175B8">
        <w:t>’</w:t>
      </w:r>
      <w:r w:rsidRPr="003F17DD">
        <w:t>équipe spéciale au Secrétariat de l</w:t>
      </w:r>
      <w:r w:rsidR="007175B8">
        <w:t>’</w:t>
      </w:r>
      <w:r w:rsidRPr="003F17DD">
        <w:t>ozone en mai 2026 afin qu</w:t>
      </w:r>
      <w:r w:rsidR="007175B8">
        <w:t>’</w:t>
      </w:r>
      <w:r w:rsidRPr="003F17DD">
        <w:t>il soit publié et examiné par les Parties.</w:t>
      </w:r>
    </w:p>
    <w:p w14:paraId="188B06C4" w14:textId="474431E0" w:rsidR="00B94C90" w:rsidRPr="003F17DD" w:rsidRDefault="00B94C90" w:rsidP="00B94C90">
      <w:pPr>
        <w:pStyle w:val="CH2"/>
      </w:pPr>
      <w:r w:rsidRPr="003F17DD">
        <w:tab/>
      </w:r>
      <w:r w:rsidRPr="003F17DD">
        <w:tab/>
      </w:r>
      <w:r w:rsidRPr="003F17DD">
        <w:rPr>
          <w:bCs/>
        </w:rPr>
        <w:t>Élimination progressive des HCFC dans les secteurs de la consommation et</w:t>
      </w:r>
      <w:r w:rsidR="00F82393">
        <w:rPr>
          <w:bCs/>
        </w:rPr>
        <w:t> </w:t>
      </w:r>
      <w:r w:rsidRPr="003F17DD">
        <w:rPr>
          <w:bCs/>
        </w:rPr>
        <w:t>de la production</w:t>
      </w:r>
    </w:p>
    <w:p w14:paraId="288F519D" w14:textId="77777777" w:rsidR="00B94C90" w:rsidRPr="003F17DD" w:rsidRDefault="00B94C90" w:rsidP="00B94C90">
      <w:pPr>
        <w:pStyle w:val="CH3"/>
        <w:rPr>
          <w:i/>
          <w:iCs/>
        </w:rPr>
      </w:pPr>
      <w:r w:rsidRPr="003F17DD">
        <w:tab/>
      </w:r>
      <w:r w:rsidRPr="003F17DD">
        <w:tab/>
      </w:r>
      <w:r w:rsidRPr="003F17DD">
        <w:rPr>
          <w:bCs/>
          <w:i/>
          <w:iCs/>
        </w:rPr>
        <w:t>Secteur de la consommation</w:t>
      </w:r>
    </w:p>
    <w:p w14:paraId="1D3AC7A8" w14:textId="3ECB6AF6" w:rsidR="00B94C90" w:rsidRPr="003F17DD" w:rsidRDefault="00B94C90" w:rsidP="00B94C90">
      <w:pPr>
        <w:pStyle w:val="NormalNonumber"/>
      </w:pPr>
      <w:r w:rsidRPr="003F17DD">
        <w:t>La plupart des Parties visées à l</w:t>
      </w:r>
      <w:r w:rsidR="007175B8">
        <w:t>’</w:t>
      </w:r>
      <w:r w:rsidRPr="003F17DD">
        <w:t>article</w:t>
      </w:r>
      <w:r w:rsidR="00CF716E">
        <w:t> </w:t>
      </w:r>
      <w:r w:rsidRPr="003F17DD">
        <w:t>5 ont présenté leurs dernières étapes (ou tranches) en vue de l</w:t>
      </w:r>
      <w:r w:rsidR="007175B8">
        <w:t>’</w:t>
      </w:r>
      <w:r w:rsidRPr="003F17DD">
        <w:t>élimination totale des HCFC d</w:t>
      </w:r>
      <w:r w:rsidR="007175B8">
        <w:t>’</w:t>
      </w:r>
      <w:r w:rsidRPr="003F17DD">
        <w:t>ici 2030. Ainsi, à la fin de la période triennale</w:t>
      </w:r>
      <w:r w:rsidR="00F72862">
        <w:t> </w:t>
      </w:r>
      <w:r w:rsidRPr="003F17DD">
        <w:t xml:space="preserve">2027-2029, le Fonds </w:t>
      </w:r>
      <w:r w:rsidRPr="003F17DD">
        <w:lastRenderedPageBreak/>
        <w:t xml:space="preserve">multilatéral se félicitera du passage aux travaux concernant les consommations </w:t>
      </w:r>
      <w:r w:rsidR="00073D42" w:rsidRPr="003F17DD">
        <w:t>résiduelles</w:t>
      </w:r>
      <w:r w:rsidRPr="003F17DD">
        <w:t xml:space="preserve"> d</w:t>
      </w:r>
      <w:r w:rsidR="007175B8">
        <w:t>’</w:t>
      </w:r>
      <w:r w:rsidRPr="003F17DD">
        <w:t xml:space="preserve">HCFC pour les quelques Parties qui soumettront </w:t>
      </w:r>
      <w:r w:rsidR="00073D42" w:rsidRPr="003F17DD">
        <w:t>les</w:t>
      </w:r>
      <w:r w:rsidRPr="003F17DD">
        <w:t xml:space="preserve"> dernières tranches de leurs plans de gestion de l</w:t>
      </w:r>
      <w:r w:rsidR="007175B8">
        <w:t>’</w:t>
      </w:r>
      <w:r w:rsidRPr="003F17DD">
        <w:t xml:space="preserve">élimination </w:t>
      </w:r>
      <w:r w:rsidR="00073D42" w:rsidRPr="003F17DD">
        <w:t>totale</w:t>
      </w:r>
      <w:r w:rsidRPr="003F17DD">
        <w:t xml:space="preserve"> des HCFC et leurs demandes à ce titre.</w:t>
      </w:r>
    </w:p>
    <w:p w14:paraId="730A46C7" w14:textId="4B9259B5" w:rsidR="00B94C90" w:rsidRPr="003F17DD" w:rsidRDefault="00B94C90" w:rsidP="00B94C90">
      <w:pPr>
        <w:pStyle w:val="NormalNonumber"/>
      </w:pPr>
      <w:r w:rsidRPr="003F17DD">
        <w:t>Cela dit, les besoins de financement pour l</w:t>
      </w:r>
      <w:r w:rsidR="007175B8">
        <w:t>’</w:t>
      </w:r>
      <w:r w:rsidRPr="003F17DD">
        <w:t xml:space="preserve">élimination </w:t>
      </w:r>
      <w:r w:rsidR="00073D42" w:rsidRPr="003F17DD">
        <w:t>totale</w:t>
      </w:r>
      <w:r w:rsidRPr="003F17DD">
        <w:t xml:space="preserve"> des HCFC au cours de cette période triennale ont été calculés en tenant compte du fait que </w:t>
      </w:r>
      <w:r w:rsidRPr="000E5667">
        <w:t>la grande majorité des plans de gestion de l</w:t>
      </w:r>
      <w:r w:rsidR="007175B8" w:rsidRPr="000E5667">
        <w:t>’</w:t>
      </w:r>
      <w:r w:rsidRPr="000E5667">
        <w:t xml:space="preserve">élimination </w:t>
      </w:r>
      <w:r w:rsidR="00073D42" w:rsidRPr="000E5667">
        <w:t xml:space="preserve">totale </w:t>
      </w:r>
      <w:r w:rsidRPr="000E5667">
        <w:t xml:space="preserve">des HCFC prévoient une élimination </w:t>
      </w:r>
      <w:r w:rsidR="00073D42" w:rsidRPr="000E5667">
        <w:t>complète</w:t>
      </w:r>
      <w:r w:rsidRPr="000E5667">
        <w:t xml:space="preserve"> d</w:t>
      </w:r>
      <w:r w:rsidR="007175B8" w:rsidRPr="000E5667">
        <w:t>’</w:t>
      </w:r>
      <w:r w:rsidRPr="000E5667">
        <w:t xml:space="preserve">ici </w:t>
      </w:r>
      <w:r w:rsidR="00B76337" w:rsidRPr="000E5667">
        <w:t xml:space="preserve">à </w:t>
      </w:r>
      <w:r w:rsidRPr="000E5667">
        <w:t>2030. Les</w:t>
      </w:r>
      <w:r w:rsidRPr="003F17DD">
        <w:t xml:space="preserve"> Parties qui souhaitent éliminer complètement les HCFC d</w:t>
      </w:r>
      <w:r w:rsidR="007175B8">
        <w:t>’</w:t>
      </w:r>
      <w:r w:rsidRPr="003F17DD">
        <w:t>ici au 1</w:t>
      </w:r>
      <w:r w:rsidRPr="003F17DD">
        <w:rPr>
          <w:vertAlign w:val="superscript"/>
        </w:rPr>
        <w:t>er</w:t>
      </w:r>
      <w:r w:rsidR="0022413C">
        <w:rPr>
          <w:vertAlign w:val="superscript"/>
        </w:rPr>
        <w:t> </w:t>
      </w:r>
      <w:r w:rsidRPr="003F17DD">
        <w:t>janvier 2030 peuvent le faire, mais doivent veiller, par des réglementations et des politiques, à ce qu</w:t>
      </w:r>
      <w:r w:rsidR="007175B8">
        <w:t>’</w:t>
      </w:r>
      <w:r w:rsidRPr="003F17DD">
        <w:t>aucun HCFC ne soit importé après cette date, à l</w:t>
      </w:r>
      <w:r w:rsidR="007175B8">
        <w:t>’</w:t>
      </w:r>
      <w:r w:rsidRPr="003F17DD">
        <w:t>exception de ceux autorisés pour l</w:t>
      </w:r>
      <w:r w:rsidR="007175B8">
        <w:t>’</w:t>
      </w:r>
      <w:r w:rsidRPr="003F17DD">
        <w:t>entretien entre 2030 et 2040, si nécessaire, conformément aux dispositions du Protocole de</w:t>
      </w:r>
      <w:r w:rsidR="0022413C">
        <w:t> </w:t>
      </w:r>
      <w:r w:rsidRPr="003F17DD">
        <w:t>Montréal.</w:t>
      </w:r>
    </w:p>
    <w:p w14:paraId="6C4A3CD2" w14:textId="0CC35607" w:rsidR="00B94C90" w:rsidRPr="003F17DD" w:rsidRDefault="00B94C90" w:rsidP="00B94C90">
      <w:pPr>
        <w:pStyle w:val="NormalNonumber"/>
      </w:pPr>
      <w:r w:rsidRPr="003F17DD">
        <w:t>Le Comité</w:t>
      </w:r>
      <w:r w:rsidR="0022413C">
        <w:t> </w:t>
      </w:r>
      <w:r w:rsidRPr="003F17DD">
        <w:t>exécutif a décidé (décision</w:t>
      </w:r>
      <w:r w:rsidR="0022413C">
        <w:t> </w:t>
      </w:r>
      <w:r w:rsidRPr="003F17DD">
        <w:t>86/51) que, pour permettre l</w:t>
      </w:r>
      <w:r w:rsidR="007175B8">
        <w:t>’</w:t>
      </w:r>
      <w:r w:rsidRPr="003F17DD">
        <w:t>examen des dernières tranches des plans de gestion de l</w:t>
      </w:r>
      <w:r w:rsidR="007175B8">
        <w:t>’</w:t>
      </w:r>
      <w:r w:rsidRPr="003F17DD">
        <w:t xml:space="preserve">élimination </w:t>
      </w:r>
      <w:r w:rsidR="00073D42" w:rsidRPr="003F17DD">
        <w:t>totale</w:t>
      </w:r>
      <w:r w:rsidRPr="003F17DD">
        <w:t xml:space="preserve"> des HCFC pour tout pays consommateur sollicitant un financement en vue de l</w:t>
      </w:r>
      <w:r w:rsidR="007175B8">
        <w:t>’</w:t>
      </w:r>
      <w:r w:rsidRPr="003F17DD">
        <w:t xml:space="preserve">élimination </w:t>
      </w:r>
      <w:r w:rsidR="00073D42" w:rsidRPr="003F17DD">
        <w:t xml:space="preserve">totale </w:t>
      </w:r>
      <w:r w:rsidRPr="003F17DD">
        <w:t>des HCFC, le gouvernement concerné devait soumettre une description détaillée du cadre réglementaire et des politiques en place pour mettre en œuvre les mesures visant à garantir que la consommation de HCFC soit conforme au paragraphe 8 ter e) i) de l</w:t>
      </w:r>
      <w:r w:rsidR="007175B8">
        <w:t>’</w:t>
      </w:r>
      <w:r w:rsidRPr="003F17DD">
        <w:t>article</w:t>
      </w:r>
      <w:r w:rsidR="0022413C">
        <w:t> </w:t>
      </w:r>
      <w:r w:rsidRPr="003F17DD">
        <w:t>5 du Protocole de</w:t>
      </w:r>
      <w:r w:rsidR="0022413C">
        <w:t> </w:t>
      </w:r>
      <w:r w:rsidRPr="003F17DD">
        <w:t>Montréal pour la période</w:t>
      </w:r>
      <w:r w:rsidR="0022413C">
        <w:t> </w:t>
      </w:r>
      <w:r w:rsidRPr="003F17DD">
        <w:t>2030-2040. Si le pays prévoit de maintenir sa consommation au cours de la période 2030</w:t>
      </w:r>
      <w:r w:rsidR="00F41B88">
        <w:t>-</w:t>
      </w:r>
      <w:r w:rsidRPr="003F17DD">
        <w:t>2040, il devra apporter des modifications à son accord avec le Comité</w:t>
      </w:r>
      <w:r w:rsidR="0022413C">
        <w:t> </w:t>
      </w:r>
      <w:r w:rsidRPr="003F17DD">
        <w:t>exécutif portant sur la période postérieure à 2030. Il import</w:t>
      </w:r>
      <w:r w:rsidR="00073D42" w:rsidRPr="003F17DD">
        <w:t>e</w:t>
      </w:r>
      <w:r w:rsidRPr="003F17DD">
        <w:t xml:space="preserve"> de souligner que les </w:t>
      </w:r>
      <w:r w:rsidR="003E275D">
        <w:t>Parties</w:t>
      </w:r>
      <w:r w:rsidR="003E275D" w:rsidRPr="003F17DD">
        <w:t xml:space="preserve"> </w:t>
      </w:r>
      <w:r w:rsidRPr="003F17DD">
        <w:t>ayant mis en place des plans de gestion de l</w:t>
      </w:r>
      <w:r w:rsidR="007175B8">
        <w:t>’</w:t>
      </w:r>
      <w:r w:rsidRPr="003F17DD">
        <w:t>élimination totale des HCFC n</w:t>
      </w:r>
      <w:r w:rsidR="007175B8">
        <w:t>’</w:t>
      </w:r>
      <w:r w:rsidRPr="003F17DD">
        <w:t xml:space="preserve">ont plus de consommation </w:t>
      </w:r>
      <w:r w:rsidR="00073D42" w:rsidRPr="003F17DD">
        <w:t>d</w:t>
      </w:r>
      <w:r w:rsidR="007175B8">
        <w:t>’</w:t>
      </w:r>
      <w:r w:rsidRPr="003F17DD">
        <w:t>HCFC ouvrant droit à un financement. Par conséquent, les modifications apportées à l</w:t>
      </w:r>
      <w:r w:rsidR="007175B8">
        <w:t>’</w:t>
      </w:r>
      <w:r w:rsidRPr="003F17DD">
        <w:t>accord pourraient avoir une incidence sur les objectifs, mais pas sur les niveaux de financement.</w:t>
      </w:r>
    </w:p>
    <w:p w14:paraId="770C4024" w14:textId="27ADEEC4" w:rsidR="00B94C90" w:rsidRPr="003F17DD" w:rsidRDefault="00B94C90" w:rsidP="00B94C90">
      <w:pPr>
        <w:pStyle w:val="NormalNonumber"/>
      </w:pPr>
      <w:r w:rsidRPr="003F17DD">
        <w:t>Dans le mandat du Groupe, approuvé par les Parties dans la décision</w:t>
      </w:r>
      <w:r w:rsidR="0022413C">
        <w:t> </w:t>
      </w:r>
      <w:r w:rsidRPr="003F17DD">
        <w:t>XXXVII/6, il est indiqué que, pour estimer les besoins de financement associés aux objectifs de réduction, le Groupe appliquera une méthode clairement expliquée, fondée sur le respect des dispositions, qui s</w:t>
      </w:r>
      <w:r w:rsidR="007175B8">
        <w:t>’</w:t>
      </w:r>
      <w:r w:rsidRPr="003F17DD">
        <w:t>inspire du plan d</w:t>
      </w:r>
      <w:r w:rsidR="007175B8">
        <w:t>’</w:t>
      </w:r>
      <w:r w:rsidRPr="003F17DD">
        <w:t>activité du Fonds multilatéral tout en restant indépendante, et qui applique aux secteurs manufacturiers une fourchette de chiffres de rentabilité fondés sur l</w:t>
      </w:r>
      <w:r w:rsidR="007175B8">
        <w:t>’</w:t>
      </w:r>
      <w:r w:rsidRPr="003F17DD">
        <w:t>expérience historique plutôt que sur les seu</w:t>
      </w:r>
      <w:r w:rsidR="003E275D">
        <w:t>i</w:t>
      </w:r>
      <w:r w:rsidRPr="003F17DD">
        <w:t>ls de coût</w:t>
      </w:r>
      <w:r w:rsidR="009075ED">
        <w:noBreakHyphen/>
      </w:r>
      <w:r w:rsidRPr="003F17DD">
        <w:t>efficacité approuvés par le Comité exécutif. En réponse à cela, l</w:t>
      </w:r>
      <w:r w:rsidR="007175B8">
        <w:t>’</w:t>
      </w:r>
      <w:r w:rsidRPr="003F17DD">
        <w:t>équipe spéciale sur la reconstitution des ressources a examiné une fourchette des besoins de financement estimés pour le</w:t>
      </w:r>
      <w:r w:rsidR="00FE1298">
        <w:t> </w:t>
      </w:r>
      <w:r w:rsidRPr="003F17DD">
        <w:t xml:space="preserve">secteur de la consommation </w:t>
      </w:r>
      <w:r w:rsidR="00073D42" w:rsidRPr="003F17DD">
        <w:t>d</w:t>
      </w:r>
      <w:r w:rsidR="007175B8">
        <w:t>’</w:t>
      </w:r>
      <w:r w:rsidRPr="003F17DD">
        <w:t>HCFC, sur la base de deux</w:t>
      </w:r>
      <w:r w:rsidR="00A038E7">
        <w:t> </w:t>
      </w:r>
      <w:r w:rsidRPr="003F17DD">
        <w:t>scénarios de rapport coût-efficacité, et l</w:t>
      </w:r>
      <w:r w:rsidR="007175B8">
        <w:t>’</w:t>
      </w:r>
      <w:r w:rsidRPr="003F17DD">
        <w:t>a</w:t>
      </w:r>
      <w:r w:rsidR="00FE1298">
        <w:t> </w:t>
      </w:r>
      <w:r w:rsidRPr="003F17DD">
        <w:t>appliquée à 15</w:t>
      </w:r>
      <w:r w:rsidR="0022413C">
        <w:t> </w:t>
      </w:r>
      <w:r w:rsidRPr="003F17DD">
        <w:t>Parties n</w:t>
      </w:r>
      <w:r w:rsidR="007175B8">
        <w:t>’</w:t>
      </w:r>
      <w:r w:rsidRPr="003F17DD">
        <w:t xml:space="preserve">étant pas des pays à faible consommation (dont la Chine, première grande consommatrice) présentant encore une consommation </w:t>
      </w:r>
      <w:r w:rsidR="00073D42" w:rsidRPr="003F17DD">
        <w:t>pertinente</w:t>
      </w:r>
      <w:r w:rsidRPr="003F17DD">
        <w:t xml:space="preserve"> dans les secteurs manufacturiers, comme suit</w:t>
      </w:r>
      <w:r w:rsidR="00DC36AD">
        <w:t> </w:t>
      </w:r>
      <w:r w:rsidRPr="003F17DD">
        <w:t>:</w:t>
      </w:r>
    </w:p>
    <w:p w14:paraId="2C05AF06" w14:textId="2688CC69" w:rsidR="00B94C90" w:rsidRPr="00416520"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225424">
        <w:rPr>
          <w:b/>
          <w:bCs/>
        </w:rPr>
        <w:t>Scénario</w:t>
      </w:r>
      <w:r w:rsidR="008E1EC3" w:rsidRPr="00225424">
        <w:rPr>
          <w:b/>
          <w:bCs/>
        </w:rPr>
        <w:t> </w:t>
      </w:r>
      <w:r w:rsidRPr="00225424">
        <w:rPr>
          <w:b/>
          <w:bCs/>
        </w:rPr>
        <w:t>1 pour les HCFC</w:t>
      </w:r>
      <w:r w:rsidR="00DC36AD" w:rsidRPr="00416520">
        <w:t> </w:t>
      </w:r>
      <w:r w:rsidRPr="00225424">
        <w:t xml:space="preserve">: application des seuils </w:t>
      </w:r>
      <w:r w:rsidRPr="00416520">
        <w:t>historiques</w:t>
      </w:r>
      <w:r w:rsidRPr="00225424">
        <w:t xml:space="preserve"> moyens de coût-efficacité, dans les secteurs manufacturiers pour les pays à consommation non faible qui présentent encore une consommation pertinente</w:t>
      </w:r>
      <w:r w:rsidR="00095277" w:rsidRPr="00225424">
        <w:t> </w:t>
      </w:r>
      <w:r w:rsidRPr="00225424">
        <w:t xml:space="preserve">; </w:t>
      </w:r>
    </w:p>
    <w:p w14:paraId="71183C17" w14:textId="5CD4CF57" w:rsidR="00B94C90" w:rsidRPr="00416520"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225424">
        <w:rPr>
          <w:b/>
          <w:bCs/>
        </w:rPr>
        <w:t>Scénario</w:t>
      </w:r>
      <w:r w:rsidR="008E1EC3" w:rsidRPr="00225424">
        <w:rPr>
          <w:b/>
          <w:bCs/>
        </w:rPr>
        <w:t> </w:t>
      </w:r>
      <w:r w:rsidRPr="00225424">
        <w:rPr>
          <w:b/>
          <w:bCs/>
        </w:rPr>
        <w:t>2 pour les HCFC</w:t>
      </w:r>
      <w:r w:rsidR="00DC36AD" w:rsidRPr="00225424">
        <w:rPr>
          <w:b/>
          <w:bCs/>
        </w:rPr>
        <w:t> </w:t>
      </w:r>
      <w:r w:rsidRPr="00416520">
        <w:rPr>
          <w:b/>
          <w:bCs/>
        </w:rPr>
        <w:t>:</w:t>
      </w:r>
      <w:r w:rsidRPr="00225424">
        <w:t xml:space="preserve"> application de </w:t>
      </w:r>
      <w:r w:rsidR="00073D42" w:rsidRPr="00416520">
        <w:t>seuils de</w:t>
      </w:r>
      <w:r w:rsidRPr="00416520">
        <w:t xml:space="preserve"> coût-efficacité dans les lignes directrices en matière de coûts</w:t>
      </w:r>
      <w:r w:rsidRPr="00225424">
        <w:t>, dans les secteurs manufacturiers, pour les pays à consommation non faible qui présentent encore une consommation pertinente.</w:t>
      </w:r>
    </w:p>
    <w:p w14:paraId="49C62010" w14:textId="20A8E021" w:rsidR="00B94C90" w:rsidRPr="003F17DD" w:rsidRDefault="00B94C90" w:rsidP="00B94C90">
      <w:pPr>
        <w:pStyle w:val="NormalNonumber"/>
      </w:pPr>
      <w:r w:rsidRPr="003F17DD">
        <w:t>Lors du calcul des besoins de financement, l</w:t>
      </w:r>
      <w:r w:rsidR="007175B8">
        <w:t>’</w:t>
      </w:r>
      <w:r w:rsidRPr="003F17DD">
        <w:t>équipe spéciale a appliqué une réduction de 15</w:t>
      </w:r>
      <w:r w:rsidR="00D1789F">
        <w:t> </w:t>
      </w:r>
      <w:r w:rsidRPr="003F17DD">
        <w:t xml:space="preserve">% aux secteurs manufacturiers afin de tenir compte de la possibilité que certaines entreprises soient détenues par des capitaux étrangers ne donnant pas droit au financement. </w:t>
      </w:r>
    </w:p>
    <w:p w14:paraId="50C8DA42" w14:textId="200928D6" w:rsidR="00B94C90" w:rsidRPr="003F17DD" w:rsidRDefault="00B94C90" w:rsidP="00B94C90">
      <w:pPr>
        <w:pStyle w:val="NormalNonumber"/>
      </w:pPr>
      <w:r w:rsidRPr="003F17DD">
        <w:t>L</w:t>
      </w:r>
      <w:r w:rsidR="007175B8">
        <w:t>’</w:t>
      </w:r>
      <w:r w:rsidRPr="003F17DD">
        <w:t>équipe spéciale a examiné différentes options pour les scénarios de fourchette de financement dans le cadre de son mandat, notamment la question de savoir s</w:t>
      </w:r>
      <w:r w:rsidR="007175B8">
        <w:t>’</w:t>
      </w:r>
      <w:r w:rsidRPr="003F17DD">
        <w:t>il convenait d</w:t>
      </w:r>
      <w:r w:rsidR="007175B8">
        <w:t>’</w:t>
      </w:r>
      <w:r w:rsidRPr="003F17DD">
        <w:t xml:space="preserve">appliquer les derniers </w:t>
      </w:r>
      <w:r w:rsidR="00073D42" w:rsidRPr="003F17DD">
        <w:t>seuils de</w:t>
      </w:r>
      <w:r w:rsidRPr="003F17DD">
        <w:t xml:space="preserve"> coût-efficacité approuvés pour la Partie présentant la plus forte consommation </w:t>
      </w:r>
      <w:r w:rsidR="00073D42" w:rsidRPr="003F17DD">
        <w:t>d</w:t>
      </w:r>
      <w:r w:rsidR="007175B8">
        <w:t>’</w:t>
      </w:r>
      <w:r w:rsidRPr="003F17DD">
        <w:t>HCFC</w:t>
      </w:r>
      <w:r w:rsidR="00095277">
        <w:t> </w:t>
      </w:r>
      <w:r w:rsidRPr="003F17DD">
        <w:t>; toutefois, elle aurait besoin de l</w:t>
      </w:r>
      <w:r w:rsidR="007175B8">
        <w:t>’</w:t>
      </w:r>
      <w:r w:rsidRPr="003F17DD">
        <w:t>avis des Parties sur l</w:t>
      </w:r>
      <w:r w:rsidR="007175B8">
        <w:t>’</w:t>
      </w:r>
      <w:r w:rsidRPr="003F17DD">
        <w:t>application de cette approche ou d</w:t>
      </w:r>
      <w:r w:rsidR="007175B8">
        <w:t>’</w:t>
      </w:r>
      <w:r w:rsidRPr="003F17DD">
        <w:t>autres approches susceptibles de modifier considérablement la fourchette de financement.</w:t>
      </w:r>
    </w:p>
    <w:p w14:paraId="4469E4A7" w14:textId="3A05F66E" w:rsidR="00B94C90" w:rsidRPr="003F17DD" w:rsidRDefault="00B94C90" w:rsidP="00B94C90">
      <w:pPr>
        <w:pStyle w:val="NormalNonumber"/>
      </w:pPr>
      <w:r w:rsidRPr="003F17DD">
        <w:t>L</w:t>
      </w:r>
      <w:r w:rsidR="007175B8">
        <w:t>’</w:t>
      </w:r>
      <w:r w:rsidRPr="003F17DD">
        <w:t>équipe spéciale a estimé que l</w:t>
      </w:r>
      <w:r w:rsidR="007175B8">
        <w:t>’</w:t>
      </w:r>
      <w:r w:rsidRPr="003F17DD">
        <w:t xml:space="preserve">élimination totale serait </w:t>
      </w:r>
      <w:r w:rsidRPr="00953CBC">
        <w:t>effective d</w:t>
      </w:r>
      <w:r w:rsidR="007175B8" w:rsidRPr="00953CBC">
        <w:t>’</w:t>
      </w:r>
      <w:r w:rsidRPr="00953CBC">
        <w:t xml:space="preserve">ici </w:t>
      </w:r>
      <w:r w:rsidR="00953CBC" w:rsidRPr="00953CBC">
        <w:t xml:space="preserve">à </w:t>
      </w:r>
      <w:r w:rsidRPr="00953CBC">
        <w:t>2030, compte tenu des dérogations prévues par le Protocole de</w:t>
      </w:r>
      <w:r w:rsidR="008E1EC3" w:rsidRPr="00953CBC">
        <w:t> </w:t>
      </w:r>
      <w:r w:rsidRPr="00953CBC">
        <w:t>Montréal, comme indiqué précédemment, en</w:t>
      </w:r>
      <w:r w:rsidRPr="003F17DD">
        <w:t xml:space="preserve"> ce qui concerne les activités d</w:t>
      </w:r>
      <w:r w:rsidR="007175B8">
        <w:t>’</w:t>
      </w:r>
      <w:r w:rsidRPr="003F17DD">
        <w:t>entretien. Dans sa décision</w:t>
      </w:r>
      <w:r w:rsidR="008E1EC3">
        <w:t> </w:t>
      </w:r>
      <w:r w:rsidRPr="003F17DD">
        <w:t>62/17, le Comité</w:t>
      </w:r>
      <w:r w:rsidR="008E1EC3">
        <w:t> </w:t>
      </w:r>
      <w:r w:rsidRPr="003F17DD">
        <w:t>exécutif demandait aux autorités bilatérales et aux organismes internationaux, lors de l</w:t>
      </w:r>
      <w:r w:rsidR="007175B8">
        <w:t>’</w:t>
      </w:r>
      <w:r w:rsidRPr="003F17DD">
        <w:t>élaboration des plans pluriannuels de gestion de l</w:t>
      </w:r>
      <w:r w:rsidR="007175B8">
        <w:t>’</w:t>
      </w:r>
      <w:r w:rsidRPr="003F17DD">
        <w:t>élimination progressive, de veiller à ce que la dernière tranche représente 10</w:t>
      </w:r>
      <w:r w:rsidR="00D1789F">
        <w:t> </w:t>
      </w:r>
      <w:r w:rsidRPr="003F17DD">
        <w:t>% du financement total alloué au secteur de l</w:t>
      </w:r>
      <w:r w:rsidR="007175B8">
        <w:t>’</w:t>
      </w:r>
      <w:r w:rsidRPr="003F17DD">
        <w:t>entretien des équipements de réfrigération dans le cadre de l</w:t>
      </w:r>
      <w:r w:rsidR="007175B8">
        <w:t>’</w:t>
      </w:r>
      <w:r w:rsidRPr="003F17DD">
        <w:t>accord et soit prévue pour la dernière année du plan. L</w:t>
      </w:r>
      <w:r w:rsidR="007175B8">
        <w:t>’</w:t>
      </w:r>
      <w:r w:rsidRPr="003F17DD">
        <w:t>équipe spéciale a estimé que la dernière tranche des plans de gestion de l</w:t>
      </w:r>
      <w:r w:rsidR="007175B8">
        <w:t>’</w:t>
      </w:r>
      <w:r w:rsidRPr="003F17DD">
        <w:t>élimination progressive des HCFC appauvrissant la couche d</w:t>
      </w:r>
      <w:r w:rsidR="007175B8">
        <w:t>’</w:t>
      </w:r>
      <w:r w:rsidRPr="003F17DD">
        <w:t>ozone serait exécutée en 2030. En conséquence, 90</w:t>
      </w:r>
      <w:r w:rsidR="00D1789F">
        <w:t> </w:t>
      </w:r>
      <w:r w:rsidRPr="003F17DD">
        <w:t>% de l</w:t>
      </w:r>
      <w:r w:rsidR="007175B8">
        <w:t>’</w:t>
      </w:r>
      <w:r w:rsidRPr="003F17DD">
        <w:t>allocation totale des ressources destinées à l</w:t>
      </w:r>
      <w:r w:rsidR="007175B8">
        <w:t>’</w:t>
      </w:r>
      <w:r w:rsidRPr="003F17DD">
        <w:t>élimination totale seraient affectés à la période triennale 2027-2029, tandis que les 10</w:t>
      </w:r>
      <w:r w:rsidR="00D1789F">
        <w:t> </w:t>
      </w:r>
      <w:r w:rsidRPr="003F17DD">
        <w:t>% restants, correspondant à la dernière tranche, seraient alloués à la période triennale suivante, 2030-2032, conformément à l</w:t>
      </w:r>
      <w:r w:rsidR="007175B8">
        <w:t>’</w:t>
      </w:r>
      <w:r w:rsidRPr="003F17DD">
        <w:t>esprit de la décision</w:t>
      </w:r>
      <w:r w:rsidR="00BA7335">
        <w:t> </w:t>
      </w:r>
      <w:r w:rsidRPr="003F17DD">
        <w:t>62/17 du Comité</w:t>
      </w:r>
      <w:r w:rsidR="00BA7335">
        <w:t> </w:t>
      </w:r>
      <w:r w:rsidRPr="003F17DD">
        <w:t>exécutif.</w:t>
      </w:r>
    </w:p>
    <w:p w14:paraId="2D75A9DE" w14:textId="77777777" w:rsidR="00B94C90" w:rsidRPr="003F17DD" w:rsidRDefault="00B94C90" w:rsidP="00B94C90">
      <w:pPr>
        <w:pStyle w:val="CH3"/>
        <w:rPr>
          <w:b w:val="0"/>
          <w:bCs/>
          <w:i/>
          <w:iCs/>
        </w:rPr>
      </w:pPr>
      <w:r w:rsidRPr="003F17DD">
        <w:lastRenderedPageBreak/>
        <w:tab/>
      </w:r>
      <w:r w:rsidRPr="003F17DD">
        <w:tab/>
      </w:r>
      <w:r w:rsidRPr="003F17DD">
        <w:rPr>
          <w:bCs/>
          <w:i/>
          <w:iCs/>
        </w:rPr>
        <w:t>Secteur de la production</w:t>
      </w:r>
    </w:p>
    <w:p w14:paraId="16028344" w14:textId="0EAD745C" w:rsidR="00B94C90" w:rsidRPr="003F17DD" w:rsidRDefault="00B94C90" w:rsidP="00B94C90">
      <w:pPr>
        <w:pStyle w:val="NormalNonumber"/>
      </w:pPr>
      <w:r w:rsidRPr="003F17DD">
        <w:t>La production totale de HCFC est nettement inférieure au niveau de référence cumulé. Un seul projet relevant du secteur de la production (le plan de gestion de l</w:t>
      </w:r>
      <w:r w:rsidR="007175B8">
        <w:t>’</w:t>
      </w:r>
      <w:r w:rsidRPr="003F17DD">
        <w:t xml:space="preserve">élimination </w:t>
      </w:r>
      <w:r w:rsidR="00073D42" w:rsidRPr="003F17DD">
        <w:t>totale</w:t>
      </w:r>
      <w:r w:rsidRPr="003F17DD">
        <w:t xml:space="preserve"> de la production de HCFC en Chine – phase III) avait été inclus dans le plan d</w:t>
      </w:r>
      <w:r w:rsidR="007175B8">
        <w:t>’</w:t>
      </w:r>
      <w:r w:rsidRPr="003F17DD">
        <w:t>activité consolidé du Fonds multilatéral pour 2026-2028 et nécessiterait un financement au cours de la période triennale 2027-2029.</w:t>
      </w:r>
    </w:p>
    <w:p w14:paraId="79728477" w14:textId="04DC1448" w:rsidR="00B94C90" w:rsidRPr="003F17DD" w:rsidRDefault="00B94C90" w:rsidP="00B94C90">
      <w:pPr>
        <w:pStyle w:val="CH2"/>
      </w:pPr>
      <w:r w:rsidRPr="003F17DD">
        <w:tab/>
      </w:r>
      <w:r w:rsidRPr="003F17DD">
        <w:tab/>
      </w:r>
      <w:r w:rsidRPr="003F17DD">
        <w:rPr>
          <w:bCs/>
        </w:rPr>
        <w:t>Résumé des estimations des besoins de financement pour l</w:t>
      </w:r>
      <w:r w:rsidR="007175B8">
        <w:rPr>
          <w:bCs/>
        </w:rPr>
        <w:t>’</w:t>
      </w:r>
      <w:r w:rsidRPr="003F17DD">
        <w:rPr>
          <w:bCs/>
        </w:rPr>
        <w:t xml:space="preserve">élimination </w:t>
      </w:r>
      <w:r w:rsidR="00073D42" w:rsidRPr="003F17DD">
        <w:rPr>
          <w:bCs/>
        </w:rPr>
        <w:t>totale</w:t>
      </w:r>
      <w:r w:rsidRPr="003F17DD">
        <w:rPr>
          <w:bCs/>
        </w:rPr>
        <w:t xml:space="preserve"> des HCFC dans les secteurs de la consommation et de la production</w:t>
      </w:r>
    </w:p>
    <w:p w14:paraId="3950D559" w14:textId="381C925B" w:rsidR="00B94C90" w:rsidRPr="003F17DD" w:rsidRDefault="00B94C90" w:rsidP="00B94C90">
      <w:pPr>
        <w:pStyle w:val="NormalNonumber"/>
      </w:pPr>
      <w:r w:rsidRPr="003F17DD">
        <w:t xml:space="preserve">Les fourchettes estimées des besoins de financement totaux pour les triennats 2027-2029 et 2030-2032 concernant les secteurs de la consommation et de la production </w:t>
      </w:r>
      <w:r w:rsidR="00073D42" w:rsidRPr="003F17DD">
        <w:t>d</w:t>
      </w:r>
      <w:r w:rsidR="007175B8">
        <w:t>’</w:t>
      </w:r>
      <w:r w:rsidRPr="003F17DD">
        <w:t>HCFC sont récapitulées ci-dessous et dans le tableau ES.2</w:t>
      </w:r>
      <w:r w:rsidR="00DC36AD">
        <w:t> </w:t>
      </w:r>
      <w:r w:rsidRPr="003F17DD">
        <w:t>:</w:t>
      </w:r>
    </w:p>
    <w:p w14:paraId="6D15846E" w14:textId="475C34E4" w:rsidR="00B94C90" w:rsidRPr="00225424"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rPr>
          <w:b/>
          <w:bCs/>
        </w:rPr>
      </w:pPr>
      <w:r w:rsidRPr="00225424">
        <w:rPr>
          <w:b/>
          <w:bCs/>
        </w:rPr>
        <w:t>2027-2029</w:t>
      </w:r>
      <w:r w:rsidR="00DC36AD" w:rsidRPr="00225424">
        <w:rPr>
          <w:b/>
          <w:bCs/>
        </w:rPr>
        <w:t> </w:t>
      </w:r>
      <w:r w:rsidRPr="00225424">
        <w:rPr>
          <w:b/>
          <w:bCs/>
        </w:rPr>
        <w:t>: entre 451 et 573</w:t>
      </w:r>
      <w:r w:rsidR="00631D62" w:rsidRPr="00225424">
        <w:rPr>
          <w:b/>
          <w:bCs/>
        </w:rPr>
        <w:t> </w:t>
      </w:r>
      <w:r w:rsidRPr="00225424">
        <w:rPr>
          <w:b/>
          <w:bCs/>
        </w:rPr>
        <w:t>millions de dollars des États-Unis</w:t>
      </w:r>
    </w:p>
    <w:p w14:paraId="6D866CA4" w14:textId="6CFA3485" w:rsidR="00B94C90" w:rsidRPr="00225424"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rPr>
          <w:b/>
          <w:bCs/>
        </w:rPr>
      </w:pPr>
      <w:r w:rsidRPr="00225424">
        <w:rPr>
          <w:b/>
          <w:bCs/>
        </w:rPr>
        <w:t>2030-2032</w:t>
      </w:r>
      <w:r w:rsidR="00DC36AD" w:rsidRPr="00225424">
        <w:rPr>
          <w:b/>
          <w:bCs/>
        </w:rPr>
        <w:t> </w:t>
      </w:r>
      <w:r w:rsidRPr="00225424">
        <w:rPr>
          <w:b/>
          <w:bCs/>
        </w:rPr>
        <w:t>: entre 83 et 96</w:t>
      </w:r>
      <w:r w:rsidR="00631D62" w:rsidRPr="00225424">
        <w:rPr>
          <w:b/>
          <w:bCs/>
        </w:rPr>
        <w:t> </w:t>
      </w:r>
      <w:r w:rsidRPr="00225424">
        <w:rPr>
          <w:b/>
          <w:bCs/>
        </w:rPr>
        <w:t>millions de dollars des États-Unis</w:t>
      </w:r>
    </w:p>
    <w:p w14:paraId="1FB07EA2" w14:textId="6DA57E93" w:rsidR="00073D42" w:rsidRPr="003F17DD" w:rsidRDefault="00B94C90" w:rsidP="00B94C90">
      <w:pPr>
        <w:pStyle w:val="Titletable"/>
      </w:pPr>
      <w:r w:rsidRPr="003F17DD">
        <w:rPr>
          <w:b w:val="0"/>
          <w:bCs w:val="0"/>
        </w:rPr>
        <w:t>Tableau</w:t>
      </w:r>
      <w:r w:rsidR="00EC160F">
        <w:rPr>
          <w:b w:val="0"/>
          <w:bCs w:val="0"/>
        </w:rPr>
        <w:t> </w:t>
      </w:r>
      <w:r w:rsidRPr="003F17DD">
        <w:rPr>
          <w:b w:val="0"/>
          <w:bCs w:val="0"/>
        </w:rPr>
        <w:t>ES</w:t>
      </w:r>
      <w:r w:rsidR="00A12BD0">
        <w:rPr>
          <w:b w:val="0"/>
          <w:bCs w:val="0"/>
        </w:rPr>
        <w:t>.</w:t>
      </w:r>
      <w:r w:rsidRPr="003F17DD">
        <w:rPr>
          <w:b w:val="0"/>
          <w:bCs w:val="0"/>
        </w:rPr>
        <w:t>2</w:t>
      </w:r>
      <w:r w:rsidR="003A3438">
        <w:rPr>
          <w:b w:val="0"/>
          <w:bCs w:val="0"/>
        </w:rPr>
        <w:br/>
      </w:r>
      <w:r w:rsidRPr="003F17DD">
        <w:t>Estimation des besoins de financement pour l</w:t>
      </w:r>
      <w:r w:rsidR="007175B8">
        <w:t>’</w:t>
      </w:r>
      <w:r w:rsidRPr="003F17DD">
        <w:t>élimination totale des HCFC pour les périodes 2027-2029 et 2030-2032</w:t>
      </w:r>
    </w:p>
    <w:p w14:paraId="5902B302" w14:textId="067E3AB0" w:rsidR="00B94C90" w:rsidRPr="003F17DD" w:rsidRDefault="00B94C90" w:rsidP="00B94C90">
      <w:pPr>
        <w:pStyle w:val="Titletable"/>
        <w:rPr>
          <w:b w:val="0"/>
          <w:bCs w:val="0"/>
        </w:rPr>
      </w:pPr>
      <w:r w:rsidRPr="003F17DD">
        <w:rPr>
          <w:b w:val="0"/>
          <w:bCs w:val="0"/>
        </w:rPr>
        <w:t>(</w:t>
      </w:r>
      <w:r w:rsidR="006E0C18">
        <w:rPr>
          <w:b w:val="0"/>
          <w:bCs w:val="0"/>
        </w:rPr>
        <w:t>E</w:t>
      </w:r>
      <w:r w:rsidRPr="003F17DD">
        <w:rPr>
          <w:b w:val="0"/>
          <w:bCs w:val="0"/>
        </w:rPr>
        <w:t>n millions de dollars des États-Unis)</w:t>
      </w:r>
    </w:p>
    <w:tbl>
      <w:tblPr>
        <w:tblW w:w="8307" w:type="dxa"/>
        <w:jc w:val="right"/>
        <w:tblLayout w:type="fixed"/>
        <w:tblCellMar>
          <w:left w:w="0" w:type="dxa"/>
          <w:right w:w="0" w:type="dxa"/>
        </w:tblCellMar>
        <w:tblLook w:val="04A0" w:firstRow="1" w:lastRow="0" w:firstColumn="1" w:lastColumn="0" w:noHBand="0" w:noVBand="1"/>
      </w:tblPr>
      <w:tblGrid>
        <w:gridCol w:w="1982"/>
        <w:gridCol w:w="2407"/>
        <w:gridCol w:w="1959"/>
        <w:gridCol w:w="1959"/>
      </w:tblGrid>
      <w:tr w:rsidR="00B94C90" w:rsidRPr="003F17DD" w14:paraId="1C42AB7D" w14:textId="77777777" w:rsidTr="00B64331">
        <w:trPr>
          <w:trHeight w:val="307"/>
          <w:jc w:val="right"/>
        </w:trPr>
        <w:tc>
          <w:tcPr>
            <w:tcW w:w="1193" w:type="pct"/>
            <w:vMerge w:val="restart"/>
            <w:tcBorders>
              <w:top w:val="single" w:sz="4" w:space="0" w:color="auto"/>
              <w:bottom w:val="single" w:sz="12" w:space="0" w:color="auto"/>
            </w:tcBorders>
            <w:vAlign w:val="bottom"/>
          </w:tcPr>
          <w:p w14:paraId="579A2F10" w14:textId="77777777" w:rsidR="00B94C90" w:rsidRPr="003F17DD" w:rsidRDefault="00B94C90" w:rsidP="00B64331">
            <w:pPr>
              <w:pStyle w:val="Normal-pool-Table"/>
              <w:rPr>
                <w:i/>
                <w:iCs/>
              </w:rPr>
            </w:pPr>
            <w:r w:rsidRPr="003F17DD">
              <w:rPr>
                <w:i/>
                <w:iCs/>
                <w:color w:val="000000"/>
              </w:rPr>
              <w:t>Triennat</w:t>
            </w:r>
          </w:p>
        </w:tc>
        <w:tc>
          <w:tcPr>
            <w:tcW w:w="1449" w:type="pct"/>
            <w:vMerge w:val="restart"/>
            <w:tcBorders>
              <w:top w:val="single" w:sz="4" w:space="0" w:color="auto"/>
              <w:bottom w:val="single" w:sz="12" w:space="0" w:color="auto"/>
            </w:tcBorders>
            <w:vAlign w:val="bottom"/>
            <w:hideMark/>
          </w:tcPr>
          <w:p w14:paraId="510C62C3" w14:textId="77777777" w:rsidR="00B94C90" w:rsidRPr="003F17DD" w:rsidRDefault="00B94C90" w:rsidP="00B64331">
            <w:pPr>
              <w:pStyle w:val="Normal-pool-Table"/>
              <w:rPr>
                <w:rFonts w:ascii="Segoe UI" w:hAnsi="Segoe UI" w:cs="Segoe UI"/>
                <w:i/>
                <w:iCs/>
                <w:szCs w:val="18"/>
              </w:rPr>
            </w:pPr>
            <w:r w:rsidRPr="003F17DD">
              <w:rPr>
                <w:i/>
                <w:iCs/>
                <w:color w:val="000000"/>
              </w:rPr>
              <w:t>Secteur</w:t>
            </w:r>
          </w:p>
        </w:tc>
        <w:tc>
          <w:tcPr>
            <w:tcW w:w="2358" w:type="pct"/>
            <w:gridSpan w:val="2"/>
            <w:tcBorders>
              <w:top w:val="single" w:sz="4" w:space="0" w:color="auto"/>
              <w:bottom w:val="single" w:sz="4" w:space="0" w:color="auto"/>
            </w:tcBorders>
            <w:vAlign w:val="bottom"/>
            <w:hideMark/>
          </w:tcPr>
          <w:p w14:paraId="6335A688" w14:textId="77777777" w:rsidR="00B94C90" w:rsidRPr="003F17DD" w:rsidRDefault="00B94C90" w:rsidP="00B64331">
            <w:pPr>
              <w:pStyle w:val="Normal-pool-Table"/>
              <w:jc w:val="center"/>
              <w:rPr>
                <w:rFonts w:ascii="Segoe UI" w:hAnsi="Segoe UI" w:cs="Segoe UI"/>
                <w:i/>
                <w:iCs/>
                <w:szCs w:val="18"/>
              </w:rPr>
            </w:pPr>
            <w:r w:rsidRPr="003F17DD">
              <w:rPr>
                <w:i/>
                <w:iCs/>
                <w:color w:val="000000"/>
              </w:rPr>
              <w:t>FOURCHETTE DE FINANCEMENT ESTIMÉE POUR LES HCFC</w:t>
            </w:r>
          </w:p>
        </w:tc>
      </w:tr>
      <w:tr w:rsidR="00B94C90" w:rsidRPr="003F17DD" w14:paraId="6A1EB892" w14:textId="77777777" w:rsidTr="00B64331">
        <w:trPr>
          <w:trHeight w:val="61"/>
          <w:jc w:val="right"/>
        </w:trPr>
        <w:tc>
          <w:tcPr>
            <w:tcW w:w="1193" w:type="pct"/>
            <w:vMerge/>
            <w:tcBorders>
              <w:bottom w:val="single" w:sz="12" w:space="0" w:color="auto"/>
            </w:tcBorders>
            <w:vAlign w:val="bottom"/>
          </w:tcPr>
          <w:p w14:paraId="44B9AC75" w14:textId="77777777" w:rsidR="00B94C90" w:rsidRPr="003F17DD" w:rsidRDefault="00B94C90" w:rsidP="00B64331">
            <w:pPr>
              <w:pStyle w:val="Normal-pool-Table"/>
              <w:rPr>
                <w:rFonts w:ascii="Segoe UI" w:hAnsi="Segoe UI" w:cs="Segoe UI"/>
                <w:i/>
                <w:iCs/>
                <w:szCs w:val="18"/>
              </w:rPr>
            </w:pPr>
          </w:p>
        </w:tc>
        <w:tc>
          <w:tcPr>
            <w:tcW w:w="1449" w:type="pct"/>
            <w:vMerge/>
            <w:tcBorders>
              <w:bottom w:val="single" w:sz="12" w:space="0" w:color="auto"/>
            </w:tcBorders>
            <w:vAlign w:val="bottom"/>
            <w:hideMark/>
          </w:tcPr>
          <w:p w14:paraId="2219DA60" w14:textId="77777777" w:rsidR="00B94C90" w:rsidRPr="003F17DD" w:rsidRDefault="00B94C90" w:rsidP="00B64331">
            <w:pPr>
              <w:pStyle w:val="Normal-pool-Table"/>
              <w:rPr>
                <w:rFonts w:ascii="Segoe UI" w:hAnsi="Segoe UI" w:cs="Segoe UI"/>
                <w:i/>
                <w:iCs/>
                <w:szCs w:val="18"/>
              </w:rPr>
            </w:pPr>
          </w:p>
        </w:tc>
        <w:tc>
          <w:tcPr>
            <w:tcW w:w="1179" w:type="pct"/>
            <w:tcBorders>
              <w:top w:val="single" w:sz="4" w:space="0" w:color="auto"/>
              <w:bottom w:val="single" w:sz="12" w:space="0" w:color="auto"/>
            </w:tcBorders>
            <w:vAlign w:val="bottom"/>
            <w:hideMark/>
          </w:tcPr>
          <w:p w14:paraId="54DB4E7E" w14:textId="160B262F" w:rsidR="00B94C90" w:rsidRPr="003F17DD" w:rsidRDefault="00B94C90" w:rsidP="00B64331">
            <w:pPr>
              <w:pStyle w:val="Normal-pool-Table"/>
              <w:jc w:val="right"/>
              <w:rPr>
                <w:rFonts w:ascii="Segoe UI" w:hAnsi="Segoe UI" w:cs="Segoe UI"/>
                <w:i/>
                <w:iCs/>
                <w:szCs w:val="18"/>
              </w:rPr>
            </w:pPr>
            <w:r w:rsidRPr="003F17DD">
              <w:rPr>
                <w:i/>
                <w:iCs/>
                <w:color w:val="000000"/>
              </w:rPr>
              <w:t>Scénario</w:t>
            </w:r>
            <w:r w:rsidR="007E6F61">
              <w:rPr>
                <w:i/>
                <w:iCs/>
                <w:color w:val="000000"/>
              </w:rPr>
              <w:t> </w:t>
            </w:r>
            <w:r w:rsidRPr="003F17DD">
              <w:rPr>
                <w:i/>
                <w:iCs/>
                <w:color w:val="000000"/>
              </w:rPr>
              <w:t>1 pour les HCFC avec une répartition de 90</w:t>
            </w:r>
            <w:r w:rsidR="00D1789F">
              <w:rPr>
                <w:i/>
                <w:iCs/>
                <w:color w:val="000000"/>
              </w:rPr>
              <w:t> </w:t>
            </w:r>
            <w:r w:rsidRPr="003F17DD">
              <w:rPr>
                <w:i/>
                <w:iCs/>
                <w:color w:val="000000"/>
              </w:rPr>
              <w:t>%/10</w:t>
            </w:r>
            <w:r w:rsidR="00D1789F">
              <w:rPr>
                <w:i/>
                <w:iCs/>
                <w:color w:val="000000"/>
              </w:rPr>
              <w:t> </w:t>
            </w:r>
            <w:r w:rsidRPr="003F17DD">
              <w:rPr>
                <w:i/>
                <w:iCs/>
                <w:color w:val="000000"/>
              </w:rPr>
              <w:t>%</w:t>
            </w:r>
          </w:p>
        </w:tc>
        <w:tc>
          <w:tcPr>
            <w:tcW w:w="1179" w:type="pct"/>
            <w:tcBorders>
              <w:top w:val="single" w:sz="4" w:space="0" w:color="auto"/>
              <w:bottom w:val="single" w:sz="12" w:space="0" w:color="auto"/>
            </w:tcBorders>
            <w:vAlign w:val="bottom"/>
            <w:hideMark/>
          </w:tcPr>
          <w:p w14:paraId="7C5F2BC2" w14:textId="3D2E1638" w:rsidR="00B94C90" w:rsidRPr="003F17DD" w:rsidRDefault="00B94C90" w:rsidP="00B64331">
            <w:pPr>
              <w:pStyle w:val="Normal-pool-Table"/>
              <w:jc w:val="right"/>
              <w:rPr>
                <w:rFonts w:ascii="Segoe UI" w:hAnsi="Segoe UI" w:cs="Segoe UI"/>
                <w:i/>
                <w:iCs/>
                <w:szCs w:val="18"/>
              </w:rPr>
            </w:pPr>
            <w:r w:rsidRPr="003F17DD">
              <w:rPr>
                <w:i/>
                <w:iCs/>
                <w:color w:val="000000"/>
              </w:rPr>
              <w:t>Scénario</w:t>
            </w:r>
            <w:r w:rsidR="007E6F61">
              <w:rPr>
                <w:i/>
                <w:iCs/>
                <w:color w:val="000000"/>
              </w:rPr>
              <w:t> </w:t>
            </w:r>
            <w:r w:rsidRPr="003F17DD">
              <w:rPr>
                <w:i/>
                <w:iCs/>
                <w:color w:val="000000"/>
              </w:rPr>
              <w:t>2 pour les HCFC avec une répartition de 90</w:t>
            </w:r>
            <w:r w:rsidR="00D1789F">
              <w:rPr>
                <w:i/>
                <w:iCs/>
                <w:color w:val="000000"/>
              </w:rPr>
              <w:t> </w:t>
            </w:r>
            <w:r w:rsidRPr="003F17DD">
              <w:rPr>
                <w:i/>
                <w:iCs/>
                <w:color w:val="000000"/>
              </w:rPr>
              <w:t>%/10</w:t>
            </w:r>
            <w:r w:rsidR="00D1789F">
              <w:rPr>
                <w:i/>
                <w:iCs/>
                <w:color w:val="000000"/>
              </w:rPr>
              <w:t> </w:t>
            </w:r>
            <w:r w:rsidRPr="003F17DD">
              <w:rPr>
                <w:i/>
                <w:iCs/>
                <w:color w:val="000000"/>
              </w:rPr>
              <w:t>%</w:t>
            </w:r>
          </w:p>
        </w:tc>
      </w:tr>
      <w:tr w:rsidR="00B94C90" w:rsidRPr="003F17DD" w14:paraId="23E71DDB" w14:textId="77777777" w:rsidTr="00B64331">
        <w:trPr>
          <w:trHeight w:val="291"/>
          <w:jc w:val="right"/>
        </w:trPr>
        <w:tc>
          <w:tcPr>
            <w:tcW w:w="1193" w:type="pct"/>
            <w:vMerge w:val="restart"/>
            <w:tcBorders>
              <w:top w:val="single" w:sz="12" w:space="0" w:color="auto"/>
            </w:tcBorders>
            <w:vAlign w:val="center"/>
          </w:tcPr>
          <w:p w14:paraId="379BA610" w14:textId="77777777" w:rsidR="00B94C90" w:rsidRPr="003F17DD" w:rsidRDefault="00B94C90" w:rsidP="00B64331">
            <w:pPr>
              <w:pStyle w:val="Normal-pool-Table"/>
            </w:pPr>
            <w:r w:rsidRPr="003F17DD">
              <w:rPr>
                <w:color w:val="000000"/>
              </w:rPr>
              <w:t>2027-2029</w:t>
            </w:r>
          </w:p>
        </w:tc>
        <w:tc>
          <w:tcPr>
            <w:tcW w:w="1449" w:type="pct"/>
            <w:tcBorders>
              <w:top w:val="single" w:sz="12" w:space="0" w:color="auto"/>
            </w:tcBorders>
            <w:vAlign w:val="bottom"/>
            <w:hideMark/>
          </w:tcPr>
          <w:p w14:paraId="693E724D" w14:textId="7188C7D0" w:rsidR="00B94C90" w:rsidRPr="003F17DD" w:rsidRDefault="00B94C90" w:rsidP="00B64331">
            <w:pPr>
              <w:pStyle w:val="Normal-pool-Table"/>
              <w:rPr>
                <w:rFonts w:ascii="Segoe UI" w:hAnsi="Segoe UI" w:cs="Segoe UI"/>
                <w:szCs w:val="18"/>
              </w:rPr>
            </w:pPr>
            <w:r w:rsidRPr="003F17DD">
              <w:rPr>
                <w:color w:val="000000"/>
              </w:rPr>
              <w:t>Secteur de la consommation d</w:t>
            </w:r>
            <w:r w:rsidR="007175B8">
              <w:rPr>
                <w:color w:val="000000"/>
              </w:rPr>
              <w:t>’</w:t>
            </w:r>
            <w:r w:rsidRPr="003F17DD">
              <w:rPr>
                <w:color w:val="000000"/>
              </w:rPr>
              <w:t xml:space="preserve">HCFC </w:t>
            </w:r>
          </w:p>
        </w:tc>
        <w:tc>
          <w:tcPr>
            <w:tcW w:w="1179" w:type="pct"/>
            <w:tcBorders>
              <w:top w:val="single" w:sz="12" w:space="0" w:color="auto"/>
            </w:tcBorders>
            <w:vAlign w:val="center"/>
            <w:hideMark/>
          </w:tcPr>
          <w:p w14:paraId="1BB3E08C" w14:textId="77777777" w:rsidR="00B94C90" w:rsidRPr="003F17DD" w:rsidRDefault="00B94C90" w:rsidP="00B64331">
            <w:pPr>
              <w:pStyle w:val="Normal-pool-Table"/>
              <w:jc w:val="right"/>
              <w:rPr>
                <w:rFonts w:ascii="Segoe UI" w:hAnsi="Segoe UI" w:cs="Segoe UI"/>
                <w:szCs w:val="18"/>
              </w:rPr>
            </w:pPr>
            <w:r w:rsidRPr="003F17DD">
              <w:rPr>
                <w:color w:val="000000"/>
              </w:rPr>
              <w:t>427,56</w:t>
            </w:r>
          </w:p>
        </w:tc>
        <w:tc>
          <w:tcPr>
            <w:tcW w:w="1179" w:type="pct"/>
            <w:tcBorders>
              <w:top w:val="single" w:sz="12" w:space="0" w:color="auto"/>
            </w:tcBorders>
            <w:vAlign w:val="center"/>
            <w:hideMark/>
          </w:tcPr>
          <w:p w14:paraId="5EBA15E7" w14:textId="77777777" w:rsidR="00B94C90" w:rsidRPr="003F17DD" w:rsidRDefault="00B94C90" w:rsidP="00B64331">
            <w:pPr>
              <w:pStyle w:val="Normal-pool-Table"/>
              <w:jc w:val="right"/>
              <w:rPr>
                <w:rFonts w:ascii="Segoe UI" w:hAnsi="Segoe UI" w:cs="Segoe UI"/>
                <w:szCs w:val="18"/>
              </w:rPr>
            </w:pPr>
            <w:r w:rsidRPr="003F17DD">
              <w:rPr>
                <w:color w:val="000000"/>
              </w:rPr>
              <w:t>549,44</w:t>
            </w:r>
          </w:p>
        </w:tc>
      </w:tr>
      <w:tr w:rsidR="00B94C90" w:rsidRPr="003F17DD" w14:paraId="0FC88823" w14:textId="77777777" w:rsidTr="00B64331">
        <w:trPr>
          <w:trHeight w:val="291"/>
          <w:jc w:val="right"/>
        </w:trPr>
        <w:tc>
          <w:tcPr>
            <w:tcW w:w="1193" w:type="pct"/>
            <w:vMerge/>
          </w:tcPr>
          <w:p w14:paraId="7471135A" w14:textId="77777777" w:rsidR="00B94C90" w:rsidRPr="003F17DD" w:rsidRDefault="00B94C90" w:rsidP="00B64331">
            <w:pPr>
              <w:pStyle w:val="Normal-pool-Table"/>
            </w:pPr>
          </w:p>
        </w:tc>
        <w:tc>
          <w:tcPr>
            <w:tcW w:w="1449" w:type="pct"/>
            <w:tcBorders>
              <w:bottom w:val="single" w:sz="4" w:space="0" w:color="auto"/>
            </w:tcBorders>
            <w:vAlign w:val="bottom"/>
          </w:tcPr>
          <w:p w14:paraId="310057C3" w14:textId="1FEFDA13" w:rsidR="00B94C90" w:rsidRPr="003F17DD" w:rsidRDefault="00B94C90" w:rsidP="00B64331">
            <w:pPr>
              <w:pStyle w:val="Normal-pool-Table"/>
            </w:pPr>
            <w:r w:rsidRPr="003F17DD">
              <w:rPr>
                <w:color w:val="000000"/>
              </w:rPr>
              <w:t>Secteur de la production d</w:t>
            </w:r>
            <w:r w:rsidR="007175B8">
              <w:rPr>
                <w:color w:val="000000"/>
              </w:rPr>
              <w:t>’</w:t>
            </w:r>
            <w:r w:rsidRPr="003F17DD">
              <w:rPr>
                <w:color w:val="000000"/>
              </w:rPr>
              <w:t>HCFC</w:t>
            </w:r>
          </w:p>
        </w:tc>
        <w:tc>
          <w:tcPr>
            <w:tcW w:w="1179" w:type="pct"/>
            <w:tcBorders>
              <w:bottom w:val="single" w:sz="4" w:space="0" w:color="auto"/>
            </w:tcBorders>
            <w:vAlign w:val="center"/>
          </w:tcPr>
          <w:p w14:paraId="75339540" w14:textId="77777777" w:rsidR="00B94C90" w:rsidRPr="003F17DD" w:rsidRDefault="00B94C90" w:rsidP="00B64331">
            <w:pPr>
              <w:pStyle w:val="Normal-pool-Table"/>
              <w:jc w:val="right"/>
            </w:pPr>
            <w:r w:rsidRPr="003F17DD">
              <w:rPr>
                <w:color w:val="000000"/>
              </w:rPr>
              <w:t>23,54</w:t>
            </w:r>
          </w:p>
        </w:tc>
        <w:tc>
          <w:tcPr>
            <w:tcW w:w="1179" w:type="pct"/>
            <w:tcBorders>
              <w:bottom w:val="single" w:sz="4" w:space="0" w:color="auto"/>
            </w:tcBorders>
            <w:vAlign w:val="center"/>
          </w:tcPr>
          <w:p w14:paraId="56F1A80B" w14:textId="77777777" w:rsidR="00B94C90" w:rsidRPr="003F17DD" w:rsidRDefault="00B94C90" w:rsidP="00B64331">
            <w:pPr>
              <w:pStyle w:val="Normal-pool-Table"/>
              <w:jc w:val="right"/>
            </w:pPr>
            <w:r w:rsidRPr="003F17DD">
              <w:rPr>
                <w:color w:val="000000"/>
              </w:rPr>
              <w:t>23,54</w:t>
            </w:r>
          </w:p>
        </w:tc>
      </w:tr>
      <w:tr w:rsidR="00B94C90" w:rsidRPr="003F17DD" w14:paraId="08CFE9C0" w14:textId="77777777" w:rsidTr="00B64331">
        <w:trPr>
          <w:trHeight w:val="291"/>
          <w:jc w:val="right"/>
        </w:trPr>
        <w:tc>
          <w:tcPr>
            <w:tcW w:w="1193" w:type="pct"/>
            <w:vMerge/>
          </w:tcPr>
          <w:p w14:paraId="1B1B6DE6" w14:textId="77777777" w:rsidR="00B94C90" w:rsidRPr="003F17DD" w:rsidRDefault="00B94C90" w:rsidP="00B64331">
            <w:pPr>
              <w:pStyle w:val="Normal-pool-Table"/>
            </w:pPr>
          </w:p>
        </w:tc>
        <w:tc>
          <w:tcPr>
            <w:tcW w:w="1449" w:type="pct"/>
            <w:tcBorders>
              <w:top w:val="single" w:sz="4" w:space="0" w:color="auto"/>
              <w:bottom w:val="single" w:sz="4" w:space="0" w:color="auto"/>
            </w:tcBorders>
            <w:vAlign w:val="bottom"/>
          </w:tcPr>
          <w:p w14:paraId="0653D977" w14:textId="77777777" w:rsidR="00B94C90" w:rsidRPr="003F17DD" w:rsidRDefault="00B94C90" w:rsidP="00B64331">
            <w:pPr>
              <w:pStyle w:val="Normal-pool-Table"/>
              <w:rPr>
                <w:b/>
                <w:bCs/>
              </w:rPr>
            </w:pPr>
            <w:r w:rsidRPr="003F17DD">
              <w:rPr>
                <w:b/>
                <w:bCs/>
                <w:color w:val="000000"/>
              </w:rPr>
              <w:t>FOURCHETTE TOTALE</w:t>
            </w:r>
          </w:p>
        </w:tc>
        <w:tc>
          <w:tcPr>
            <w:tcW w:w="1179" w:type="pct"/>
            <w:tcBorders>
              <w:top w:val="single" w:sz="4" w:space="0" w:color="auto"/>
              <w:bottom w:val="single" w:sz="4" w:space="0" w:color="auto"/>
            </w:tcBorders>
            <w:vAlign w:val="center"/>
          </w:tcPr>
          <w:p w14:paraId="59CA5397" w14:textId="77777777" w:rsidR="00B94C90" w:rsidRPr="003F17DD" w:rsidRDefault="00B94C90" w:rsidP="00B64331">
            <w:pPr>
              <w:pStyle w:val="Normal-pool-Table"/>
              <w:jc w:val="right"/>
              <w:rPr>
                <w:b/>
                <w:bCs/>
              </w:rPr>
            </w:pPr>
            <w:r w:rsidRPr="003F17DD">
              <w:rPr>
                <w:b/>
                <w:bCs/>
                <w:color w:val="000000"/>
              </w:rPr>
              <w:t>451,10</w:t>
            </w:r>
          </w:p>
        </w:tc>
        <w:tc>
          <w:tcPr>
            <w:tcW w:w="1179" w:type="pct"/>
            <w:tcBorders>
              <w:top w:val="single" w:sz="4" w:space="0" w:color="auto"/>
              <w:bottom w:val="single" w:sz="4" w:space="0" w:color="auto"/>
            </w:tcBorders>
            <w:vAlign w:val="center"/>
          </w:tcPr>
          <w:p w14:paraId="41F5ABE3" w14:textId="77777777" w:rsidR="00B94C90" w:rsidRPr="003F17DD" w:rsidRDefault="00B94C90" w:rsidP="00B64331">
            <w:pPr>
              <w:pStyle w:val="Normal-pool-Table"/>
              <w:jc w:val="right"/>
              <w:rPr>
                <w:b/>
                <w:bCs/>
              </w:rPr>
            </w:pPr>
            <w:r w:rsidRPr="003F17DD">
              <w:rPr>
                <w:b/>
                <w:bCs/>
                <w:color w:val="000000"/>
              </w:rPr>
              <w:t>572,98</w:t>
            </w:r>
          </w:p>
        </w:tc>
      </w:tr>
      <w:tr w:rsidR="00B94C90" w:rsidRPr="003F17DD" w14:paraId="6CB087A2" w14:textId="77777777" w:rsidTr="00B64331">
        <w:trPr>
          <w:trHeight w:val="291"/>
          <w:jc w:val="right"/>
        </w:trPr>
        <w:tc>
          <w:tcPr>
            <w:tcW w:w="1193" w:type="pct"/>
            <w:vMerge w:val="restart"/>
            <w:tcBorders>
              <w:bottom w:val="single" w:sz="12" w:space="0" w:color="auto"/>
            </w:tcBorders>
            <w:vAlign w:val="center"/>
          </w:tcPr>
          <w:p w14:paraId="2B472CC3" w14:textId="77777777" w:rsidR="00B94C90" w:rsidRPr="003F17DD" w:rsidRDefault="00B94C90" w:rsidP="00B64331">
            <w:pPr>
              <w:pStyle w:val="Normal-pool-Table"/>
            </w:pPr>
            <w:r w:rsidRPr="003F17DD">
              <w:rPr>
                <w:color w:val="000000"/>
              </w:rPr>
              <w:t>2030-2032</w:t>
            </w:r>
          </w:p>
        </w:tc>
        <w:tc>
          <w:tcPr>
            <w:tcW w:w="1449" w:type="pct"/>
            <w:tcBorders>
              <w:top w:val="single" w:sz="4" w:space="0" w:color="auto"/>
            </w:tcBorders>
            <w:vAlign w:val="bottom"/>
          </w:tcPr>
          <w:p w14:paraId="648D0FA7" w14:textId="0E2625E2" w:rsidR="00B94C90" w:rsidRPr="003F17DD" w:rsidRDefault="00B94C90" w:rsidP="00B64331">
            <w:pPr>
              <w:pStyle w:val="Normal-pool-Table"/>
            </w:pPr>
            <w:r w:rsidRPr="003F17DD">
              <w:rPr>
                <w:color w:val="000000"/>
              </w:rPr>
              <w:t>Secteur de la consommation d</w:t>
            </w:r>
            <w:r w:rsidR="007175B8">
              <w:rPr>
                <w:color w:val="000000"/>
              </w:rPr>
              <w:t>’</w:t>
            </w:r>
            <w:r w:rsidRPr="003F17DD">
              <w:rPr>
                <w:color w:val="000000"/>
              </w:rPr>
              <w:t xml:space="preserve">HCFC </w:t>
            </w:r>
          </w:p>
        </w:tc>
        <w:tc>
          <w:tcPr>
            <w:tcW w:w="1179" w:type="pct"/>
            <w:tcBorders>
              <w:top w:val="single" w:sz="4" w:space="0" w:color="auto"/>
            </w:tcBorders>
            <w:vAlign w:val="center"/>
          </w:tcPr>
          <w:p w14:paraId="129E5934" w14:textId="77777777" w:rsidR="00B94C90" w:rsidRPr="003F17DD" w:rsidRDefault="00B94C90" w:rsidP="00B64331">
            <w:pPr>
              <w:pStyle w:val="Normal-pool-Table"/>
              <w:jc w:val="right"/>
            </w:pPr>
            <w:r w:rsidRPr="003F17DD">
              <w:rPr>
                <w:color w:val="000000"/>
              </w:rPr>
              <w:t>58,96</w:t>
            </w:r>
          </w:p>
        </w:tc>
        <w:tc>
          <w:tcPr>
            <w:tcW w:w="1179" w:type="pct"/>
            <w:tcBorders>
              <w:top w:val="single" w:sz="4" w:space="0" w:color="auto"/>
            </w:tcBorders>
            <w:vAlign w:val="center"/>
          </w:tcPr>
          <w:p w14:paraId="5FD0EA11" w14:textId="77777777" w:rsidR="00B94C90" w:rsidRPr="003F17DD" w:rsidRDefault="00B94C90" w:rsidP="00B64331">
            <w:pPr>
              <w:pStyle w:val="Normal-pool-Table"/>
              <w:jc w:val="right"/>
            </w:pPr>
            <w:r w:rsidRPr="003F17DD">
              <w:rPr>
                <w:color w:val="000000"/>
              </w:rPr>
              <w:t>72,50</w:t>
            </w:r>
          </w:p>
        </w:tc>
      </w:tr>
      <w:tr w:rsidR="00B94C90" w:rsidRPr="003F17DD" w14:paraId="18597B3A" w14:textId="77777777" w:rsidTr="00B64331">
        <w:trPr>
          <w:trHeight w:val="291"/>
          <w:jc w:val="right"/>
        </w:trPr>
        <w:tc>
          <w:tcPr>
            <w:tcW w:w="1193" w:type="pct"/>
            <w:vMerge/>
            <w:tcBorders>
              <w:bottom w:val="single" w:sz="12" w:space="0" w:color="auto"/>
            </w:tcBorders>
          </w:tcPr>
          <w:p w14:paraId="4B503C8D" w14:textId="77777777" w:rsidR="00B94C90" w:rsidRPr="003F17DD" w:rsidRDefault="00B94C90" w:rsidP="00B64331">
            <w:pPr>
              <w:pStyle w:val="Normal-pool-Table"/>
            </w:pPr>
          </w:p>
        </w:tc>
        <w:tc>
          <w:tcPr>
            <w:tcW w:w="1449" w:type="pct"/>
            <w:tcBorders>
              <w:bottom w:val="single" w:sz="4" w:space="0" w:color="auto"/>
            </w:tcBorders>
            <w:vAlign w:val="bottom"/>
          </w:tcPr>
          <w:p w14:paraId="602FB9DF" w14:textId="47EE35DF" w:rsidR="00B94C90" w:rsidRPr="003F17DD" w:rsidRDefault="00B94C90" w:rsidP="00B64331">
            <w:pPr>
              <w:pStyle w:val="Normal-pool-Table"/>
            </w:pPr>
            <w:r w:rsidRPr="003F17DD">
              <w:rPr>
                <w:color w:val="000000"/>
              </w:rPr>
              <w:t>Secteur de la production d</w:t>
            </w:r>
            <w:r w:rsidR="007175B8">
              <w:rPr>
                <w:color w:val="000000"/>
              </w:rPr>
              <w:t>’</w:t>
            </w:r>
            <w:r w:rsidRPr="003F17DD">
              <w:rPr>
                <w:color w:val="000000"/>
              </w:rPr>
              <w:t>HCFC</w:t>
            </w:r>
          </w:p>
        </w:tc>
        <w:tc>
          <w:tcPr>
            <w:tcW w:w="1179" w:type="pct"/>
            <w:tcBorders>
              <w:bottom w:val="single" w:sz="4" w:space="0" w:color="auto"/>
            </w:tcBorders>
            <w:vAlign w:val="center"/>
          </w:tcPr>
          <w:p w14:paraId="21FA993F" w14:textId="77777777" w:rsidR="00B94C90" w:rsidRPr="003F17DD" w:rsidRDefault="00B94C90" w:rsidP="00B64331">
            <w:pPr>
              <w:pStyle w:val="Normal-pool-Table"/>
              <w:jc w:val="right"/>
            </w:pPr>
            <w:r w:rsidRPr="003F17DD">
              <w:rPr>
                <w:color w:val="000000"/>
              </w:rPr>
              <w:t>23,54</w:t>
            </w:r>
          </w:p>
        </w:tc>
        <w:tc>
          <w:tcPr>
            <w:tcW w:w="1179" w:type="pct"/>
            <w:tcBorders>
              <w:bottom w:val="single" w:sz="4" w:space="0" w:color="auto"/>
            </w:tcBorders>
            <w:vAlign w:val="center"/>
          </w:tcPr>
          <w:p w14:paraId="25D5DBAE" w14:textId="77777777" w:rsidR="00B94C90" w:rsidRPr="003F17DD" w:rsidRDefault="00B94C90" w:rsidP="00B64331">
            <w:pPr>
              <w:pStyle w:val="Normal-pool-Table"/>
              <w:jc w:val="right"/>
            </w:pPr>
            <w:r w:rsidRPr="003F17DD">
              <w:rPr>
                <w:color w:val="000000"/>
              </w:rPr>
              <w:t>23,54</w:t>
            </w:r>
          </w:p>
        </w:tc>
      </w:tr>
      <w:tr w:rsidR="00B94C90" w:rsidRPr="003F17DD" w14:paraId="20BE7912" w14:textId="77777777" w:rsidTr="00B64331">
        <w:trPr>
          <w:trHeight w:val="291"/>
          <w:jc w:val="right"/>
        </w:trPr>
        <w:tc>
          <w:tcPr>
            <w:tcW w:w="1193" w:type="pct"/>
            <w:vMerge/>
            <w:tcBorders>
              <w:bottom w:val="single" w:sz="12" w:space="0" w:color="auto"/>
            </w:tcBorders>
          </w:tcPr>
          <w:p w14:paraId="3BD931D1" w14:textId="77777777" w:rsidR="00B94C90" w:rsidRPr="003F17DD" w:rsidRDefault="00B94C90" w:rsidP="00B64331">
            <w:pPr>
              <w:pStyle w:val="Normal-pool-Table"/>
            </w:pPr>
          </w:p>
        </w:tc>
        <w:tc>
          <w:tcPr>
            <w:tcW w:w="1449" w:type="pct"/>
            <w:tcBorders>
              <w:top w:val="single" w:sz="4" w:space="0" w:color="auto"/>
              <w:bottom w:val="single" w:sz="12" w:space="0" w:color="auto"/>
            </w:tcBorders>
            <w:vAlign w:val="bottom"/>
          </w:tcPr>
          <w:p w14:paraId="1658FF49" w14:textId="77777777" w:rsidR="00B94C90" w:rsidRPr="003F17DD" w:rsidRDefault="00B94C90" w:rsidP="00B64331">
            <w:pPr>
              <w:pStyle w:val="Normal-pool-Table"/>
              <w:rPr>
                <w:b/>
                <w:bCs/>
              </w:rPr>
            </w:pPr>
            <w:r w:rsidRPr="003F17DD">
              <w:rPr>
                <w:b/>
                <w:bCs/>
                <w:color w:val="000000"/>
              </w:rPr>
              <w:t>FOURCHETTE TOTALE</w:t>
            </w:r>
          </w:p>
        </w:tc>
        <w:tc>
          <w:tcPr>
            <w:tcW w:w="1179" w:type="pct"/>
            <w:tcBorders>
              <w:top w:val="single" w:sz="4" w:space="0" w:color="auto"/>
              <w:bottom w:val="single" w:sz="12" w:space="0" w:color="auto"/>
            </w:tcBorders>
            <w:vAlign w:val="center"/>
          </w:tcPr>
          <w:p w14:paraId="6F465D9F" w14:textId="77777777" w:rsidR="00B94C90" w:rsidRPr="003F17DD" w:rsidRDefault="00B94C90" w:rsidP="00B64331">
            <w:pPr>
              <w:pStyle w:val="Normal-pool-Table"/>
              <w:ind w:right="85"/>
              <w:jc w:val="right"/>
              <w:rPr>
                <w:b/>
                <w:bCs/>
              </w:rPr>
            </w:pPr>
            <w:r w:rsidRPr="003F17DD">
              <w:rPr>
                <w:b/>
                <w:bCs/>
                <w:color w:val="000000"/>
              </w:rPr>
              <w:t>82,5</w:t>
            </w:r>
          </w:p>
        </w:tc>
        <w:tc>
          <w:tcPr>
            <w:tcW w:w="1179" w:type="pct"/>
            <w:tcBorders>
              <w:top w:val="single" w:sz="4" w:space="0" w:color="auto"/>
              <w:bottom w:val="single" w:sz="12" w:space="0" w:color="auto"/>
            </w:tcBorders>
            <w:vAlign w:val="center"/>
          </w:tcPr>
          <w:p w14:paraId="79828F40" w14:textId="77777777" w:rsidR="00B94C90" w:rsidRPr="003F17DD" w:rsidRDefault="00B94C90" w:rsidP="00B64331">
            <w:pPr>
              <w:pStyle w:val="Normal-pool-Table"/>
              <w:jc w:val="right"/>
              <w:rPr>
                <w:b/>
                <w:bCs/>
              </w:rPr>
            </w:pPr>
            <w:r w:rsidRPr="003F17DD">
              <w:rPr>
                <w:b/>
                <w:bCs/>
                <w:color w:val="000000"/>
              </w:rPr>
              <w:t>96,04</w:t>
            </w:r>
          </w:p>
        </w:tc>
      </w:tr>
    </w:tbl>
    <w:p w14:paraId="463773E4" w14:textId="77777777" w:rsidR="00B94C90" w:rsidRPr="003F17DD" w:rsidRDefault="00B94C90" w:rsidP="00B94C90">
      <w:pPr>
        <w:pStyle w:val="Normalpool"/>
      </w:pPr>
    </w:p>
    <w:p w14:paraId="5865CF30" w14:textId="6976DF45" w:rsidR="00B94C90" w:rsidRPr="003F17DD" w:rsidRDefault="00B94C90" w:rsidP="00B94C90">
      <w:pPr>
        <w:pStyle w:val="CH2"/>
      </w:pPr>
      <w:r w:rsidRPr="003F17DD">
        <w:tab/>
      </w:r>
      <w:r w:rsidRPr="003F17DD">
        <w:tab/>
      </w:r>
      <w:r w:rsidR="00073D42" w:rsidRPr="003F17DD">
        <w:rPr>
          <w:bCs/>
        </w:rPr>
        <w:t>Réduction</w:t>
      </w:r>
      <w:r w:rsidRPr="003F17DD">
        <w:rPr>
          <w:bCs/>
        </w:rPr>
        <w:t xml:space="preserve"> progressive des HFC dans les secteurs de la consommation et</w:t>
      </w:r>
      <w:r w:rsidR="00CF46A7">
        <w:rPr>
          <w:bCs/>
        </w:rPr>
        <w:t> </w:t>
      </w:r>
      <w:r w:rsidRPr="003F17DD">
        <w:rPr>
          <w:bCs/>
        </w:rPr>
        <w:t>de</w:t>
      </w:r>
      <w:r w:rsidR="00CF46A7">
        <w:rPr>
          <w:bCs/>
        </w:rPr>
        <w:t> </w:t>
      </w:r>
      <w:r w:rsidRPr="003F17DD">
        <w:rPr>
          <w:bCs/>
        </w:rPr>
        <w:t>la</w:t>
      </w:r>
      <w:r w:rsidR="00CF46A7">
        <w:rPr>
          <w:bCs/>
        </w:rPr>
        <w:t> </w:t>
      </w:r>
      <w:r w:rsidRPr="003F17DD">
        <w:rPr>
          <w:bCs/>
        </w:rPr>
        <w:t>production</w:t>
      </w:r>
    </w:p>
    <w:p w14:paraId="54CA4AB7" w14:textId="77777777" w:rsidR="00B94C90" w:rsidRPr="003F17DD" w:rsidRDefault="00B94C90" w:rsidP="00B94C90">
      <w:pPr>
        <w:pStyle w:val="CH3"/>
        <w:rPr>
          <w:i/>
          <w:iCs/>
        </w:rPr>
      </w:pPr>
      <w:r w:rsidRPr="003F17DD">
        <w:tab/>
      </w:r>
      <w:r w:rsidRPr="003F17DD">
        <w:tab/>
      </w:r>
      <w:r w:rsidRPr="003F17DD">
        <w:rPr>
          <w:bCs/>
          <w:i/>
          <w:iCs/>
        </w:rPr>
        <w:t>Secteur de la consommation des HFC</w:t>
      </w:r>
    </w:p>
    <w:p w14:paraId="6FA125FE" w14:textId="726D9B19" w:rsidR="00B94C90" w:rsidRPr="003F17DD" w:rsidRDefault="00B94C90" w:rsidP="00B94C90">
      <w:pPr>
        <w:pStyle w:val="NormalNonumber"/>
      </w:pPr>
      <w:r w:rsidRPr="003F17DD">
        <w:t>Les estimations des besoins de financement pour la réduction progressive des HFC au cours de la période triennale 2027-2029 et des périodes triennales suivantes, 2030-2032 et 2033-2035, reposent sur l</w:t>
      </w:r>
      <w:r w:rsidR="007175B8">
        <w:t>’</w:t>
      </w:r>
      <w:r w:rsidRPr="003F17DD">
        <w:t xml:space="preserve">hypothèse que les Parties visées à </w:t>
      </w:r>
      <w:r w:rsidR="003E275D">
        <w:t>l’article</w:t>
      </w:r>
      <w:r w:rsidR="001238DF">
        <w:t> </w:t>
      </w:r>
      <w:r w:rsidRPr="003F17DD">
        <w:t>5 atteignent les objectifs de réduction pertinents pour le groupe</w:t>
      </w:r>
      <w:r w:rsidR="000A064E">
        <w:t> </w:t>
      </w:r>
      <w:r w:rsidRPr="003F17DD">
        <w:t>1 ou le groupe</w:t>
      </w:r>
      <w:r w:rsidR="000A064E">
        <w:t> </w:t>
      </w:r>
      <w:r w:rsidRPr="003F17DD">
        <w:t xml:space="preserve">2. </w:t>
      </w:r>
    </w:p>
    <w:p w14:paraId="143B8779" w14:textId="6873A95B" w:rsidR="00B94C90" w:rsidRPr="003F17DD" w:rsidRDefault="00B94C90" w:rsidP="00B94C90">
      <w:pPr>
        <w:pStyle w:val="NormalNonumber"/>
        <w:rPr>
          <w:b/>
        </w:rPr>
      </w:pPr>
      <w:r w:rsidRPr="003F17DD">
        <w:t>Les besoins de financement estimés pour le secteur de la consommation des HFC sont les suivants</w:t>
      </w:r>
      <w:r w:rsidR="004D65FF">
        <w:t> </w:t>
      </w:r>
      <w:r w:rsidRPr="003F17DD">
        <w:t>:</w:t>
      </w:r>
    </w:p>
    <w:p w14:paraId="4AC8ECB8" w14:textId="2B0D31D5"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engagé pour les plans de mise en œuvre de l</w:t>
      </w:r>
      <w:r w:rsidR="007175B8">
        <w:t>’</w:t>
      </w:r>
      <w:r w:rsidRPr="003F17DD">
        <w:t>Amendement de</w:t>
      </w:r>
      <w:r w:rsidR="00C10403">
        <w:t> </w:t>
      </w:r>
      <w:r w:rsidRPr="003F17DD">
        <w:t>Kigali relatifs aux HFC</w:t>
      </w:r>
      <w:r w:rsidR="00095277">
        <w:t> </w:t>
      </w:r>
      <w:r w:rsidRPr="003F17DD">
        <w:t>;</w:t>
      </w:r>
    </w:p>
    <w:p w14:paraId="192E3ECA" w14:textId="222CD108"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estimé pour les nouveaux plans de mise en œuvre de l</w:t>
      </w:r>
      <w:r w:rsidR="007175B8">
        <w:t>’</w:t>
      </w:r>
      <w:r w:rsidRPr="003F17DD">
        <w:t>Amendement de</w:t>
      </w:r>
      <w:r w:rsidR="005C5397">
        <w:t> </w:t>
      </w:r>
      <w:r w:rsidRPr="003F17DD">
        <w:t>Kigali relatifs aux HFC</w:t>
      </w:r>
      <w:r w:rsidR="00095277">
        <w:t> </w:t>
      </w:r>
      <w:r w:rsidRPr="003F17DD">
        <w:t>;</w:t>
      </w:r>
    </w:p>
    <w:p w14:paraId="1E2B8D19" w14:textId="46204276"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Estimation du financement des coûts de préparation des projets</w:t>
      </w:r>
      <w:r w:rsidR="00095277">
        <w:t> </w:t>
      </w:r>
      <w:r w:rsidRPr="003F17DD">
        <w:t>;</w:t>
      </w:r>
    </w:p>
    <w:p w14:paraId="07D0B707" w14:textId="732F87A8"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estimé pour la vérification de la consommation des HFC</w:t>
      </w:r>
      <w:r w:rsidR="00095277">
        <w:t> </w:t>
      </w:r>
      <w:r w:rsidRPr="003F17DD">
        <w:t>;</w:t>
      </w:r>
    </w:p>
    <w:p w14:paraId="6D0A2AD5" w14:textId="02F9955B"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estimé lié aux activités concernant l</w:t>
      </w:r>
      <w:r w:rsidR="007175B8">
        <w:t>’</w:t>
      </w:r>
      <w:r w:rsidRPr="003F17DD">
        <w:t>efficacité énergétique (décision</w:t>
      </w:r>
      <w:r w:rsidR="00181066">
        <w:t> </w:t>
      </w:r>
      <w:r w:rsidRPr="003F17DD">
        <w:t>91/65 du Comité</w:t>
      </w:r>
      <w:r w:rsidR="00181066">
        <w:t> </w:t>
      </w:r>
      <w:r w:rsidRPr="003F17DD">
        <w:t>exécutif pour le secteur de l</w:t>
      </w:r>
      <w:r w:rsidR="007175B8">
        <w:t>’</w:t>
      </w:r>
      <w:r w:rsidRPr="003F17DD">
        <w:t>entretien, décision</w:t>
      </w:r>
      <w:r w:rsidR="00741923">
        <w:t> </w:t>
      </w:r>
      <w:r w:rsidRPr="003F17DD">
        <w:t xml:space="preserve">94/60 du </w:t>
      </w:r>
      <w:r w:rsidRPr="003F17DD">
        <w:lastRenderedPageBreak/>
        <w:t>Comité</w:t>
      </w:r>
      <w:r w:rsidR="00741923">
        <w:t> </w:t>
      </w:r>
      <w:r w:rsidRPr="003F17DD">
        <w:t>exécutif pour les secteurs manufacturiers et décision</w:t>
      </w:r>
      <w:r w:rsidR="006926D3">
        <w:t> </w:t>
      </w:r>
      <w:r w:rsidRPr="003F17DD">
        <w:t>95/87 du Comité</w:t>
      </w:r>
      <w:r w:rsidR="00776006">
        <w:t> </w:t>
      </w:r>
      <w:r w:rsidRPr="003F17DD">
        <w:t xml:space="preserve">exécutif concernant un fonds </w:t>
      </w:r>
      <w:proofErr w:type="spellStart"/>
      <w:r w:rsidRPr="003F17DD">
        <w:t>autorenouvelable</w:t>
      </w:r>
      <w:proofErr w:type="spellEnd"/>
      <w:r w:rsidRPr="003F17DD">
        <w:t>)</w:t>
      </w:r>
      <w:r w:rsidR="00095277">
        <w:t> </w:t>
      </w:r>
      <w:r w:rsidRPr="003F17DD">
        <w:t xml:space="preserve">; </w:t>
      </w:r>
    </w:p>
    <w:p w14:paraId="3A1A1C6C" w14:textId="68D39116"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destiné à renforcer les capacités régionales de surveillance de l</w:t>
      </w:r>
      <w:r w:rsidR="007175B8">
        <w:t>’</w:t>
      </w:r>
      <w:r w:rsidRPr="003F17DD">
        <w:t xml:space="preserve">atmosphère. </w:t>
      </w:r>
    </w:p>
    <w:p w14:paraId="16C13C6B" w14:textId="46AFC8DB" w:rsidR="00B94C90" w:rsidRPr="003F17DD" w:rsidRDefault="00B94C90" w:rsidP="00B94C90">
      <w:pPr>
        <w:pStyle w:val="NormalNonumber"/>
      </w:pPr>
      <w:r w:rsidRPr="003F17DD">
        <w:t>Au 8</w:t>
      </w:r>
      <w:r w:rsidR="001E618D">
        <w:t> </w:t>
      </w:r>
      <w:r w:rsidRPr="003F17DD">
        <w:t>avril 2026, 125 des 144</w:t>
      </w:r>
      <w:r w:rsidR="001E618D">
        <w:t> </w:t>
      </w:r>
      <w:r w:rsidRPr="003F17DD">
        <w:t>Parties visées à l</w:t>
      </w:r>
      <w:r w:rsidR="007175B8">
        <w:t>’</w:t>
      </w:r>
      <w:r w:rsidRPr="003F17DD">
        <w:t>article</w:t>
      </w:r>
      <w:r w:rsidR="00CF6D43">
        <w:t> </w:t>
      </w:r>
      <w:r w:rsidRPr="003F17DD">
        <w:t>5 avaient ratifié l</w:t>
      </w:r>
      <w:r w:rsidR="007175B8">
        <w:t>’</w:t>
      </w:r>
      <w:r w:rsidRPr="003F17DD">
        <w:t>Amendement de</w:t>
      </w:r>
      <w:r w:rsidR="00552B85">
        <w:t> </w:t>
      </w:r>
      <w:r w:rsidRPr="003F17DD">
        <w:t>Kigali. Pour</w:t>
      </w:r>
      <w:r w:rsidR="00993833">
        <w:t> </w:t>
      </w:r>
      <w:r w:rsidRPr="003F17DD">
        <w:t>l</w:t>
      </w:r>
      <w:r w:rsidR="007175B8">
        <w:t>’</w:t>
      </w:r>
      <w:r w:rsidRPr="003F17DD">
        <w:t>analyse des estimations de financement relatives à la réduction progressive des HFC au cours de la période triennale</w:t>
      </w:r>
      <w:r w:rsidR="00F72056">
        <w:t> </w:t>
      </w:r>
      <w:r w:rsidRPr="003F17DD">
        <w:t>2027-2029, l</w:t>
      </w:r>
      <w:r w:rsidR="007175B8">
        <w:t>’</w:t>
      </w:r>
      <w:r w:rsidRPr="003F17DD">
        <w:t>équipe spéciale a supposé que les 19</w:t>
      </w:r>
      <w:r w:rsidR="00AB62E9">
        <w:t> </w:t>
      </w:r>
      <w:r w:rsidRPr="003F17DD">
        <w:t xml:space="preserve">Parties restantes auraient ratifié </w:t>
      </w:r>
      <w:r w:rsidR="003E275D" w:rsidRPr="003F17DD">
        <w:t>l</w:t>
      </w:r>
      <w:r w:rsidR="003E275D">
        <w:t>’</w:t>
      </w:r>
      <w:r w:rsidR="003E275D" w:rsidRPr="003F17DD">
        <w:t xml:space="preserve">Amendement </w:t>
      </w:r>
      <w:r w:rsidRPr="003F17DD">
        <w:t>d</w:t>
      </w:r>
      <w:r w:rsidR="007175B8">
        <w:t>’</w:t>
      </w:r>
      <w:r w:rsidRPr="003F17DD">
        <w:t xml:space="preserve">ici </w:t>
      </w:r>
      <w:r w:rsidR="007E689E">
        <w:t xml:space="preserve">à </w:t>
      </w:r>
      <w:r w:rsidRPr="003F17DD">
        <w:t xml:space="preserve">2029. </w:t>
      </w:r>
    </w:p>
    <w:p w14:paraId="0E379EE7" w14:textId="76DC731E" w:rsidR="00B94C90" w:rsidRPr="003F17DD" w:rsidRDefault="00B94C90" w:rsidP="00B94C90">
      <w:pPr>
        <w:pStyle w:val="NormalNonumber"/>
      </w:pPr>
      <w:r w:rsidRPr="003F17DD">
        <w:t>Étant donné que les plans de mise en œuvre de l</w:t>
      </w:r>
      <w:r w:rsidR="007175B8">
        <w:t>’</w:t>
      </w:r>
      <w:r w:rsidRPr="003F17DD">
        <w:t>Amendement de</w:t>
      </w:r>
      <w:r w:rsidR="005B3F8F">
        <w:t> </w:t>
      </w:r>
      <w:r w:rsidRPr="003F17DD">
        <w:t>Kigali relatifs aux HFC n</w:t>
      </w:r>
      <w:r w:rsidR="007175B8">
        <w:t>’</w:t>
      </w:r>
      <w:r w:rsidRPr="003F17DD">
        <w:t>en sont qu</w:t>
      </w:r>
      <w:r w:rsidR="007175B8">
        <w:t>’</w:t>
      </w:r>
      <w:r w:rsidRPr="003F17DD">
        <w:t>aux premières</w:t>
      </w:r>
      <w:r w:rsidR="003C3A01">
        <w:t> </w:t>
      </w:r>
      <w:r w:rsidRPr="003F17DD">
        <w:t>étapes de leur mise en œuvre, l</w:t>
      </w:r>
      <w:r w:rsidR="007175B8">
        <w:t>’</w:t>
      </w:r>
      <w:r w:rsidRPr="003F17DD">
        <w:t>équipe spéciale n</w:t>
      </w:r>
      <w:r w:rsidR="007175B8">
        <w:t>’</w:t>
      </w:r>
      <w:r w:rsidRPr="003F17DD">
        <w:t>a pas trouvé d</w:t>
      </w:r>
      <w:r w:rsidR="007175B8">
        <w:t>’</w:t>
      </w:r>
      <w:r w:rsidRPr="003F17DD">
        <w:t>analyse historique suffisante des rapports coût-efficacité pour les secteurs manufacturiers dans les plans de mise en œuvre approuvés, et les données disponibles ne fournissaient pas suffisamment d</w:t>
      </w:r>
      <w:r w:rsidR="007175B8">
        <w:t>’</w:t>
      </w:r>
      <w:r w:rsidRPr="003F17DD">
        <w:t xml:space="preserve">informations pour prendre en compte les valeurs historiques au-delà des lignes directrices relatives aux </w:t>
      </w:r>
      <w:r w:rsidR="008D6428" w:rsidRPr="003F17DD">
        <w:t>seuils de</w:t>
      </w:r>
      <w:r w:rsidRPr="003F17DD">
        <w:t xml:space="preserve"> coût</w:t>
      </w:r>
      <w:r w:rsidR="00DD7406">
        <w:noBreakHyphen/>
      </w:r>
      <w:r w:rsidRPr="003F17DD">
        <w:t>efficacité. L</w:t>
      </w:r>
      <w:r w:rsidR="007175B8">
        <w:t>’</w:t>
      </w:r>
      <w:r w:rsidRPr="003F17DD">
        <w:t>équipe spéciale a estimé le financement en se basant sur les lignes directrices relatives aux coûts de la phase</w:t>
      </w:r>
      <w:r w:rsidR="00621232">
        <w:t> </w:t>
      </w:r>
      <w:r w:rsidRPr="003F17DD">
        <w:t>I des plans de mise en œuvre de l</w:t>
      </w:r>
      <w:r w:rsidR="007175B8">
        <w:t>’</w:t>
      </w:r>
      <w:r w:rsidRPr="003F17DD">
        <w:t>Amendement de</w:t>
      </w:r>
      <w:r w:rsidR="00F76C6D">
        <w:t> </w:t>
      </w:r>
      <w:r w:rsidRPr="003F17DD">
        <w:t>Kigali relatifs aux HFC pour les secteurs manufacturiers concernés. Lorsque ces données faisaient défaut pour certains secteurs spécifiques traités au cas par cas, l</w:t>
      </w:r>
      <w:r w:rsidR="007175B8">
        <w:t>’</w:t>
      </w:r>
      <w:r w:rsidRPr="003F17DD">
        <w:t xml:space="preserve">équipe spéciale a utilisé des </w:t>
      </w:r>
      <w:r w:rsidR="008D6428" w:rsidRPr="003F17DD">
        <w:t>seuils de</w:t>
      </w:r>
      <w:r w:rsidRPr="003F17DD">
        <w:t xml:space="preserve"> coût-efficacité fondés sur les avis d</w:t>
      </w:r>
      <w:r w:rsidR="007175B8">
        <w:t>’</w:t>
      </w:r>
      <w:r w:rsidRPr="003F17DD">
        <w:t>expert(e) de secteurs déterminés du Groupe de l</w:t>
      </w:r>
      <w:r w:rsidR="007175B8">
        <w:t>’</w:t>
      </w:r>
      <w:r w:rsidRPr="003F17DD">
        <w:t>évaluation technique et économique, des comités des choix techniques et de l</w:t>
      </w:r>
      <w:r w:rsidR="007175B8">
        <w:t>’</w:t>
      </w:r>
      <w:r w:rsidRPr="003F17DD">
        <w:t>équipe spéciale. Le financement a également été estimé pour la phase II des plans de mise en œuvre de l</w:t>
      </w:r>
      <w:r w:rsidR="007175B8">
        <w:t>’</w:t>
      </w:r>
      <w:r w:rsidRPr="003F17DD">
        <w:t>Amendement de</w:t>
      </w:r>
      <w:r w:rsidR="00AC52A7">
        <w:t> </w:t>
      </w:r>
      <w:r w:rsidRPr="003F17DD">
        <w:t xml:space="preserve">Kigali relatifs aux HFC, sur la base des </w:t>
      </w:r>
      <w:r w:rsidR="008D6428" w:rsidRPr="003F17DD">
        <w:t>seuils</w:t>
      </w:r>
      <w:r w:rsidRPr="003F17DD">
        <w:t xml:space="preserve"> </w:t>
      </w:r>
      <w:r w:rsidR="008D6428" w:rsidRPr="003F17DD">
        <w:t xml:space="preserve">de </w:t>
      </w:r>
      <w:r w:rsidRPr="003F17DD">
        <w:t>coût-efficacité établis pour la phase I, sans tenir compte de l</w:t>
      </w:r>
      <w:r w:rsidR="007175B8">
        <w:t>’</w:t>
      </w:r>
      <w:r w:rsidRPr="003F17DD">
        <w:t xml:space="preserve">impact éventuel de la révision des lignes directrices prévue en 2028. Il est important de noter que le </w:t>
      </w:r>
      <w:r w:rsidR="008D6428" w:rsidRPr="003F17DD">
        <w:t>seuil de</w:t>
      </w:r>
      <w:r w:rsidRPr="003F17DD">
        <w:t xml:space="preserve"> coût-efficacité pour l</w:t>
      </w:r>
      <w:r w:rsidR="007175B8">
        <w:t>’</w:t>
      </w:r>
      <w:r w:rsidRPr="003F17DD">
        <w:t>entretien dans le cadre de la phase I a été pris en compte pour la période durant laquelle le plan de mise en œuvre de l</w:t>
      </w:r>
      <w:r w:rsidR="007175B8">
        <w:t>’</w:t>
      </w:r>
      <w:r w:rsidRPr="003F17DD">
        <w:t>Amendement de Kigali relatifs aux HFC et le plan de gestion de l</w:t>
      </w:r>
      <w:r w:rsidR="007175B8">
        <w:t>’</w:t>
      </w:r>
      <w:r w:rsidRPr="003F17DD">
        <w:t xml:space="preserve">élimination </w:t>
      </w:r>
      <w:r w:rsidR="008D6428" w:rsidRPr="003F17DD">
        <w:t>totale</w:t>
      </w:r>
      <w:r w:rsidRPr="003F17DD">
        <w:t xml:space="preserve"> des HCFC d</w:t>
      </w:r>
      <w:r w:rsidR="007175B8">
        <w:t>’</w:t>
      </w:r>
      <w:r w:rsidRPr="003F17DD">
        <w:t>un pays seraient mis en œuvre simultanément. La phase</w:t>
      </w:r>
      <w:r w:rsidR="00D84783">
        <w:t> </w:t>
      </w:r>
      <w:r w:rsidRPr="003F17DD">
        <w:t xml:space="preserve">II serait principalement </w:t>
      </w:r>
      <w:r w:rsidR="008D6428" w:rsidRPr="003F17DD">
        <w:t>exécutée</w:t>
      </w:r>
      <w:r w:rsidRPr="003F17DD">
        <w:t xml:space="preserve"> dans les cas où cette mise en œuvre simultanée n</w:t>
      </w:r>
      <w:r w:rsidR="007175B8">
        <w:t>’</w:t>
      </w:r>
      <w:r w:rsidRPr="003F17DD">
        <w:t>aurait pas eu lieu.</w:t>
      </w:r>
    </w:p>
    <w:p w14:paraId="06D7C915" w14:textId="005ABBC9" w:rsidR="00B94C90" w:rsidRPr="003F17DD" w:rsidRDefault="00B94C90" w:rsidP="00B94C90">
      <w:pPr>
        <w:pStyle w:val="NormalNonumber"/>
      </w:pPr>
      <w:r w:rsidRPr="003F17DD">
        <w:t>L</w:t>
      </w:r>
      <w:r w:rsidR="007175B8">
        <w:t>’</w:t>
      </w:r>
      <w:r w:rsidRPr="003F17DD">
        <w:t xml:space="preserve">équipe spéciale utilise les </w:t>
      </w:r>
      <w:r w:rsidR="008D6428" w:rsidRPr="003F17DD">
        <w:t>calendriers</w:t>
      </w:r>
      <w:r w:rsidRPr="003F17DD">
        <w:t xml:space="preserve"> de l</w:t>
      </w:r>
      <w:r w:rsidR="007175B8">
        <w:t>’</w:t>
      </w:r>
      <w:r w:rsidRPr="003F17DD">
        <w:t>Amendement de</w:t>
      </w:r>
      <w:r w:rsidR="00934E06">
        <w:t> </w:t>
      </w:r>
      <w:r w:rsidRPr="003F17DD">
        <w:t xml:space="preserve">Kigali pour son modèle de respect des </w:t>
      </w:r>
      <w:r w:rsidR="008D6428" w:rsidRPr="003F17DD">
        <w:t>dispositions</w:t>
      </w:r>
      <w:r w:rsidRPr="003F17DD">
        <w:t xml:space="preserve"> et se base sur les réductions découlant de la définition établie des niveaux de référence. Pour les estimations de financement, la part de 65</w:t>
      </w:r>
      <w:r w:rsidR="00D72CA2">
        <w:t> </w:t>
      </w:r>
      <w:r w:rsidRPr="003F17DD">
        <w:t>% de HCFC du scénario de référence est considérée comme relevant de la consommation du secteur de l</w:t>
      </w:r>
      <w:r w:rsidR="007175B8">
        <w:t>’</w:t>
      </w:r>
      <w:r w:rsidRPr="003F17DD">
        <w:t xml:space="preserve">entretien, et le financement est calculé conformément aux seuils de rapport coût-efficacité approuvés pour ce secteur. </w:t>
      </w:r>
    </w:p>
    <w:p w14:paraId="1F49D0D8" w14:textId="061DCBB2" w:rsidR="00B94C90" w:rsidRPr="003F17DD" w:rsidRDefault="00B94C90" w:rsidP="00B94C90">
      <w:pPr>
        <w:pStyle w:val="NormalNonumber"/>
      </w:pPr>
      <w:r w:rsidRPr="003F17DD">
        <w:t>Comme indiqué au chapitre</w:t>
      </w:r>
      <w:r w:rsidR="00914BA1">
        <w:t> </w:t>
      </w:r>
      <w:r w:rsidRPr="003F17DD">
        <w:t>3 et dans les annexes</w:t>
      </w:r>
      <w:r w:rsidR="00CE48BA">
        <w:t> </w:t>
      </w:r>
      <w:r w:rsidRPr="003F17DD">
        <w:t>3 et 4 du présent</w:t>
      </w:r>
      <w:r w:rsidR="00D46D21">
        <w:t> </w:t>
      </w:r>
      <w:r w:rsidRPr="003F17DD">
        <w:t>rapport, la méthode de l</w:t>
      </w:r>
      <w:r w:rsidR="007175B8">
        <w:t>’</w:t>
      </w:r>
      <w:r w:rsidRPr="003F17DD">
        <w:t xml:space="preserve">équipe spéciale pour établir son modèle de respect des </w:t>
      </w:r>
      <w:r w:rsidR="008D6428" w:rsidRPr="003F17DD">
        <w:t>dispositions</w:t>
      </w:r>
      <w:r w:rsidRPr="003F17DD">
        <w:t xml:space="preserve"> dans le secteur de la consommation calcule le financement nécessaire pour permettre aux Parties de se conformer aux calendriers de réduction progressive prévus par l</w:t>
      </w:r>
      <w:r w:rsidR="007175B8">
        <w:t>’</w:t>
      </w:r>
      <w:r w:rsidRPr="003F17DD">
        <w:t>Amendement de</w:t>
      </w:r>
      <w:r w:rsidR="001D175F">
        <w:t> </w:t>
      </w:r>
      <w:r w:rsidRPr="003F17DD">
        <w:t>Kigali, comme suit</w:t>
      </w:r>
      <w:r w:rsidR="00DC36AD">
        <w:t> </w:t>
      </w:r>
      <w:r w:rsidRPr="003F17DD">
        <w:t>:</w:t>
      </w:r>
    </w:p>
    <w:p w14:paraId="6DDDBA5E" w14:textId="0CFC63B9" w:rsidR="00B94C90" w:rsidRPr="00583D3F"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r w:rsidRPr="00583D3F">
        <w:t>Parties du groupe 1</w:t>
      </w:r>
      <w:r w:rsidR="00DC36AD" w:rsidRPr="00583D3F">
        <w:t> </w:t>
      </w:r>
      <w:r w:rsidRPr="00583D3F">
        <w:t>: réduction de 10</w:t>
      </w:r>
      <w:r w:rsidR="00D72CA2" w:rsidRPr="00583D3F">
        <w:t> </w:t>
      </w:r>
      <w:r w:rsidRPr="00583D3F">
        <w:t>% par rapport au niveau de référence d</w:t>
      </w:r>
      <w:r w:rsidR="007175B8" w:rsidRPr="00583D3F">
        <w:t>’</w:t>
      </w:r>
      <w:r w:rsidRPr="00583D3F">
        <w:t xml:space="preserve">ici </w:t>
      </w:r>
      <w:r w:rsidR="007E689E" w:rsidRPr="00583D3F">
        <w:t xml:space="preserve">à </w:t>
      </w:r>
      <w:r w:rsidRPr="00583D3F">
        <w:t>2029</w:t>
      </w:r>
      <w:r w:rsidR="007F6E42" w:rsidRPr="00583D3F">
        <w:t> </w:t>
      </w:r>
      <w:r w:rsidRPr="00583D3F">
        <w:t>(phase</w:t>
      </w:r>
      <w:r w:rsidR="00924A8D" w:rsidRPr="00583D3F">
        <w:t> </w:t>
      </w:r>
      <w:r w:rsidRPr="00583D3F">
        <w:t>I du plan de mise en œuvre de l</w:t>
      </w:r>
      <w:r w:rsidR="007175B8" w:rsidRPr="00583D3F">
        <w:t>’</w:t>
      </w:r>
      <w:r w:rsidRPr="00583D3F">
        <w:t>Amendement de Kigali relatif aux HFC), réduction de 30</w:t>
      </w:r>
      <w:r w:rsidR="00D72CA2" w:rsidRPr="00583D3F">
        <w:t> </w:t>
      </w:r>
      <w:r w:rsidRPr="00583D3F">
        <w:t>% d</w:t>
      </w:r>
      <w:r w:rsidR="007175B8" w:rsidRPr="00583D3F">
        <w:t>’</w:t>
      </w:r>
      <w:r w:rsidRPr="00583D3F">
        <w:t>ici</w:t>
      </w:r>
      <w:r w:rsidR="007E689E" w:rsidRPr="00583D3F">
        <w:t xml:space="preserve"> à</w:t>
      </w:r>
      <w:r w:rsidRPr="00583D3F">
        <w:t xml:space="preserve"> 2035 (phase</w:t>
      </w:r>
      <w:r w:rsidR="00090881" w:rsidRPr="00583D3F">
        <w:t> </w:t>
      </w:r>
      <w:r w:rsidRPr="00583D3F">
        <w:t xml:space="preserve">II du plan), </w:t>
      </w:r>
    </w:p>
    <w:p w14:paraId="6E43A86C" w14:textId="6D633854" w:rsidR="00B94C90" w:rsidRPr="00583D3F"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r w:rsidRPr="00583D3F">
        <w:t>Parties du groupe 2</w:t>
      </w:r>
      <w:r w:rsidR="00DC36AD" w:rsidRPr="00583D3F">
        <w:t> </w:t>
      </w:r>
      <w:r w:rsidRPr="00583D3F">
        <w:t>: gel d</w:t>
      </w:r>
      <w:r w:rsidR="007175B8" w:rsidRPr="00583D3F">
        <w:t>’</w:t>
      </w:r>
      <w:r w:rsidRPr="00583D3F">
        <w:t xml:space="preserve">ici </w:t>
      </w:r>
      <w:r w:rsidR="007E689E" w:rsidRPr="00583D3F">
        <w:t xml:space="preserve">à </w:t>
      </w:r>
      <w:r w:rsidRPr="00583D3F">
        <w:t>2028</w:t>
      </w:r>
      <w:r w:rsidR="00095277" w:rsidRPr="00583D3F">
        <w:t> </w:t>
      </w:r>
      <w:r w:rsidRPr="00583D3F">
        <w:t>; une réduction de 10</w:t>
      </w:r>
      <w:r w:rsidR="00D72CA2" w:rsidRPr="00583D3F">
        <w:t> </w:t>
      </w:r>
      <w:r w:rsidRPr="00583D3F">
        <w:t>% par rapport au niveau de référence d</w:t>
      </w:r>
      <w:r w:rsidR="007175B8" w:rsidRPr="00583D3F">
        <w:t>’</w:t>
      </w:r>
      <w:r w:rsidRPr="00583D3F">
        <w:t xml:space="preserve">ici </w:t>
      </w:r>
      <w:r w:rsidR="007E689E" w:rsidRPr="00583D3F">
        <w:t xml:space="preserve">à </w:t>
      </w:r>
      <w:r w:rsidRPr="00583D3F">
        <w:t>2032 (phase</w:t>
      </w:r>
      <w:r w:rsidR="005E4E0B" w:rsidRPr="00583D3F">
        <w:t> </w:t>
      </w:r>
      <w:r w:rsidRPr="00583D3F">
        <w:t>I du plan de mise en œuvre de l</w:t>
      </w:r>
      <w:r w:rsidR="007175B8" w:rsidRPr="00583D3F">
        <w:t>’</w:t>
      </w:r>
      <w:r w:rsidRPr="00583D3F">
        <w:t>Amendement de</w:t>
      </w:r>
      <w:r w:rsidR="008F369B" w:rsidRPr="00583D3F">
        <w:t> </w:t>
      </w:r>
      <w:r w:rsidRPr="00583D3F">
        <w:t>Kigali relatif aux HFC).</w:t>
      </w:r>
    </w:p>
    <w:p w14:paraId="34A1363D" w14:textId="0A399587" w:rsidR="00B94C90" w:rsidRPr="003F17DD" w:rsidRDefault="00B94C90" w:rsidP="00B94C90">
      <w:pPr>
        <w:pStyle w:val="NormalNonumber"/>
      </w:pPr>
      <w:r w:rsidRPr="003F17DD">
        <w:t xml:space="preserve">Le modèle de respect </w:t>
      </w:r>
      <w:r w:rsidR="008D6428" w:rsidRPr="003F17DD">
        <w:t>d</w:t>
      </w:r>
      <w:r w:rsidRPr="003F17DD">
        <w:t xml:space="preserve">es </w:t>
      </w:r>
      <w:r w:rsidR="008D6428" w:rsidRPr="003F17DD">
        <w:t>dispositions</w:t>
      </w:r>
      <w:r w:rsidRPr="003F17DD">
        <w:t xml:space="preserve"> que l</w:t>
      </w:r>
      <w:r w:rsidR="007175B8">
        <w:t>’</w:t>
      </w:r>
      <w:r w:rsidRPr="003F17DD">
        <w:t>équipe spéciale a utilisé pour estimer les besoins de financement tient compte du cycle de projet du Fonds multilatéral afin de prendre en considération les progrès variables réalisés par les différentes Parties, ainsi que les réductions qui dépassent les objectifs de réglementation pour certaines d</w:t>
      </w:r>
      <w:r w:rsidR="007175B8">
        <w:t>’</w:t>
      </w:r>
      <w:r w:rsidRPr="003F17DD">
        <w:t>entre elles. Le modèle tient compte des objectifs de réduction fixés pour chaque pays dans le cadre d</w:t>
      </w:r>
      <w:r w:rsidR="007175B8">
        <w:t>’</w:t>
      </w:r>
      <w:r w:rsidRPr="003F17DD">
        <w:t>un plan de mise en œuvre de l</w:t>
      </w:r>
      <w:r w:rsidR="007175B8">
        <w:t>’</w:t>
      </w:r>
      <w:r w:rsidRPr="003F17DD">
        <w:t>Amendement de</w:t>
      </w:r>
      <w:r w:rsidR="00311997">
        <w:t> </w:t>
      </w:r>
      <w:r w:rsidRPr="003F17DD">
        <w:t>Kigali relatif aux HFC. Le modèle estime les besoins de financement du secteur de la consommation de HFC en commençant par calculer le financement total nécessaire pour atteindre les objectifs de réduction de la phase I et de la phase</w:t>
      </w:r>
      <w:r w:rsidR="00311997">
        <w:t> </w:t>
      </w:r>
      <w:r w:rsidRPr="003F17DD">
        <w:t>II (10</w:t>
      </w:r>
      <w:r w:rsidR="00D72CA2">
        <w:t> </w:t>
      </w:r>
      <w:r w:rsidRPr="003F17DD">
        <w:t>% et 30</w:t>
      </w:r>
      <w:r w:rsidR="00D72CA2">
        <w:t> </w:t>
      </w:r>
      <w:r w:rsidRPr="003F17DD">
        <w:t>%) pour les Parties du groupe</w:t>
      </w:r>
      <w:r w:rsidR="00311997">
        <w:t> </w:t>
      </w:r>
      <w:r w:rsidRPr="003F17DD">
        <w:t>1, ainsi que l</w:t>
      </w:r>
      <w:r w:rsidR="007175B8">
        <w:t>’</w:t>
      </w:r>
      <w:r w:rsidRPr="003F17DD">
        <w:t>objectif de gel et l</w:t>
      </w:r>
      <w:r w:rsidR="007175B8">
        <w:t>’</w:t>
      </w:r>
      <w:r w:rsidRPr="003F17DD">
        <w:t>objectif de réduction de la phase</w:t>
      </w:r>
      <w:r w:rsidR="00311997">
        <w:t> </w:t>
      </w:r>
      <w:r w:rsidRPr="003F17DD">
        <w:t>I (10</w:t>
      </w:r>
      <w:r w:rsidR="00D72CA2">
        <w:t> </w:t>
      </w:r>
      <w:r w:rsidRPr="003F17DD">
        <w:t>%) pour les Parties du groupe</w:t>
      </w:r>
      <w:r w:rsidR="00311997">
        <w:t> </w:t>
      </w:r>
      <w:r w:rsidRPr="003F17DD">
        <w:t>2. Ces montants couvrent les besoins de financement pour une période de neuf</w:t>
      </w:r>
      <w:r w:rsidR="00311997">
        <w:t> </w:t>
      </w:r>
      <w:r w:rsidRPr="003F17DD">
        <w:t xml:space="preserve">ans (de 2027 à 2035). </w:t>
      </w:r>
    </w:p>
    <w:p w14:paraId="27AA9781" w14:textId="0B0ABD1E" w:rsidR="00B94C90" w:rsidRPr="003F17DD" w:rsidRDefault="00B94C90" w:rsidP="00B94C90">
      <w:pPr>
        <w:pStyle w:val="NormalNonumber"/>
      </w:pPr>
      <w:r w:rsidRPr="003F17DD">
        <w:t>Ensuite, l</w:t>
      </w:r>
      <w:r w:rsidR="007175B8">
        <w:t>’</w:t>
      </w:r>
      <w:r w:rsidRPr="003F17DD">
        <w:t>équipe spéciale a réparti le montant total estimé des fonds nécessaires (phases</w:t>
      </w:r>
      <w:r w:rsidR="00311997">
        <w:t> </w:t>
      </w:r>
      <w:r w:rsidRPr="003F17DD">
        <w:t>I et II) sur chacune des trois</w:t>
      </w:r>
      <w:r w:rsidR="00805B5D">
        <w:t> </w:t>
      </w:r>
      <w:r w:rsidRPr="003F17DD">
        <w:t>périodes triennales de 2027 à 2035, en utilisant deux</w:t>
      </w:r>
      <w:r w:rsidR="00805B5D">
        <w:t> </w:t>
      </w:r>
      <w:r w:rsidRPr="003F17DD">
        <w:t>propositions d</w:t>
      </w:r>
      <w:r w:rsidR="007175B8">
        <w:t>’</w:t>
      </w:r>
      <w:r w:rsidRPr="003F17DD">
        <w:t>allocation des ressources (A et B), soumises à l</w:t>
      </w:r>
      <w:r w:rsidR="007175B8">
        <w:t>’</w:t>
      </w:r>
      <w:r w:rsidRPr="003F17DD">
        <w:t>examen des Parties, et/ou toute autre instruction relative au rapport complémentaire de l</w:t>
      </w:r>
      <w:r w:rsidR="007175B8">
        <w:t>’</w:t>
      </w:r>
      <w:r w:rsidRPr="003F17DD">
        <w:t xml:space="preserve">équipe spéciale. Cette méthode permet de prendre en compte différents objectifs de respect des </w:t>
      </w:r>
      <w:r w:rsidR="008D6428" w:rsidRPr="003F17DD">
        <w:t>dispositions</w:t>
      </w:r>
      <w:r w:rsidRPr="003F17DD">
        <w:t xml:space="preserve"> pour les Parties des groupes</w:t>
      </w:r>
      <w:r w:rsidR="004D078F">
        <w:t> </w:t>
      </w:r>
      <w:r w:rsidRPr="003F17DD">
        <w:t>1 et 2, tout en tenant compte des spécificités nationales et des différents objectifs de réglementation au sein de ces deux groupes.</w:t>
      </w:r>
    </w:p>
    <w:p w14:paraId="5683056E" w14:textId="19E19EA1" w:rsidR="00B94C90" w:rsidRPr="003F17DD" w:rsidRDefault="00B94C90" w:rsidP="00B94C90">
      <w:pPr>
        <w:pStyle w:val="NormalNonumber"/>
      </w:pPr>
      <w:r w:rsidRPr="003F17DD">
        <w:lastRenderedPageBreak/>
        <w:t>Dans le mandat du Groupe, approuvé par les Parties dans la décision</w:t>
      </w:r>
      <w:r w:rsidR="004D078F">
        <w:t> </w:t>
      </w:r>
      <w:r w:rsidRPr="003F17DD">
        <w:t>XXXVII/6, il est indiqué que, pour estimer les besoins de financement associés aux objectifs de réduction, le Groupe appliquera une méthode clairement expliquée, fondée sur le respect des dispositions, qui s</w:t>
      </w:r>
      <w:r w:rsidR="007175B8">
        <w:t>’</w:t>
      </w:r>
      <w:r w:rsidRPr="003F17DD">
        <w:t>inspire du plan d</w:t>
      </w:r>
      <w:r w:rsidR="007175B8">
        <w:t>’</w:t>
      </w:r>
      <w:r w:rsidRPr="003F17DD">
        <w:t>activité du Fonds multilatéral tout en restant indépendante, et qui applique aux secteurs manufacturiers une fourchette de chiffres de rentabilité fondés sur l</w:t>
      </w:r>
      <w:r w:rsidR="007175B8">
        <w:t>’</w:t>
      </w:r>
      <w:r w:rsidRPr="003F17DD">
        <w:t>expérience historique plutôt que sur les seu</w:t>
      </w:r>
      <w:r w:rsidR="007E689E">
        <w:t>i</w:t>
      </w:r>
      <w:r w:rsidRPr="003F17DD">
        <w:t>ls de coût</w:t>
      </w:r>
      <w:r w:rsidR="00C73855">
        <w:noBreakHyphen/>
      </w:r>
      <w:r w:rsidRPr="003F17DD">
        <w:t>efficacité approuvés par le Comité</w:t>
      </w:r>
      <w:r w:rsidR="004D078F">
        <w:t> </w:t>
      </w:r>
      <w:r w:rsidRPr="003F17DD">
        <w:t>exécutif. En réponse à cette demande, et en l</w:t>
      </w:r>
      <w:r w:rsidR="007175B8">
        <w:t>’</w:t>
      </w:r>
      <w:r w:rsidRPr="003F17DD">
        <w:t>absence de données historiques sur le</w:t>
      </w:r>
      <w:r w:rsidR="008D6428" w:rsidRPr="003F17DD">
        <w:t>s</w:t>
      </w:r>
      <w:r w:rsidRPr="003F17DD">
        <w:t xml:space="preserve"> </w:t>
      </w:r>
      <w:r w:rsidR="008D6428" w:rsidRPr="003F17DD">
        <w:t>seuils de</w:t>
      </w:r>
      <w:r w:rsidRPr="003F17DD">
        <w:t xml:space="preserve"> coût-efficacité en raison de l</w:t>
      </w:r>
      <w:r w:rsidR="007175B8">
        <w:t>’</w:t>
      </w:r>
      <w:r w:rsidRPr="003F17DD">
        <w:t>expérience limitée acquise dans l</w:t>
      </w:r>
      <w:r w:rsidR="007175B8">
        <w:t>’</w:t>
      </w:r>
      <w:r w:rsidRPr="003F17DD">
        <w:t>application des plans de mise en œuvre de l</w:t>
      </w:r>
      <w:r w:rsidR="007175B8">
        <w:t>’</w:t>
      </w:r>
      <w:r w:rsidRPr="003F17DD">
        <w:t>Amendement de</w:t>
      </w:r>
      <w:r w:rsidR="004D078F">
        <w:t> </w:t>
      </w:r>
      <w:r w:rsidRPr="003F17DD">
        <w:t>Kigali relatifs aux HFC, et afin de présenter une fourchette de financement estimative, l</w:t>
      </w:r>
      <w:r w:rsidR="007175B8">
        <w:t>’</w:t>
      </w:r>
      <w:r w:rsidRPr="003F17DD">
        <w:t>équipe spéciale a fondé ses calculs sur deux</w:t>
      </w:r>
      <w:r w:rsidR="004D078F">
        <w:t> </w:t>
      </w:r>
      <w:r w:rsidRPr="003F17DD">
        <w:t>scénarios, comme suit</w:t>
      </w:r>
      <w:r w:rsidR="00DC36AD">
        <w:t> </w:t>
      </w:r>
      <w:r w:rsidRPr="003F17DD">
        <w:t>:</w:t>
      </w:r>
    </w:p>
    <w:p w14:paraId="7B74376E" w14:textId="7579B0D1" w:rsidR="00B94C90" w:rsidRPr="003F17DD"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Scénario</w:t>
      </w:r>
      <w:r w:rsidR="004D078F">
        <w:t> </w:t>
      </w:r>
      <w:r w:rsidRPr="003F17DD">
        <w:t>1 pour les HFC</w:t>
      </w:r>
      <w:r w:rsidR="00DC36AD">
        <w:t> </w:t>
      </w:r>
      <w:r w:rsidRPr="003F17DD">
        <w:t xml:space="preserve">: application des </w:t>
      </w:r>
      <w:r w:rsidR="008D6428" w:rsidRPr="003F17DD">
        <w:t>seuils de</w:t>
      </w:r>
      <w:r w:rsidRPr="003F17DD">
        <w:t xml:space="preserve"> coût-efficacité approuvés pour les différents secteurs, conformément aux lignes directrices en matière de coûts, sans tenir compte des petites et moyennes entreprises</w:t>
      </w:r>
      <w:r w:rsidR="00095277">
        <w:t> </w:t>
      </w:r>
      <w:r w:rsidRPr="003F17DD">
        <w:t xml:space="preserve">; </w:t>
      </w:r>
    </w:p>
    <w:p w14:paraId="347F7B6F" w14:textId="3C9E9A4A" w:rsidR="00B94C90" w:rsidRPr="003F17DD"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Scénario</w:t>
      </w:r>
      <w:r w:rsidR="004D078F">
        <w:t> </w:t>
      </w:r>
      <w:r w:rsidRPr="003F17DD">
        <w:t>2 pour les HFC</w:t>
      </w:r>
      <w:r w:rsidR="00DC36AD">
        <w:t> </w:t>
      </w:r>
      <w:r w:rsidRPr="003F17DD">
        <w:t xml:space="preserve">: application des </w:t>
      </w:r>
      <w:r w:rsidR="008D6428" w:rsidRPr="003F17DD">
        <w:t xml:space="preserve">seuils de </w:t>
      </w:r>
      <w:r w:rsidRPr="003F17DD">
        <w:t>coût-efficacité en fonction du pourcentage de participation des petites et moyennes entreprises dans certains secteurs manufacturiers et utilisation de leurs seuils (plus élevés) de coût-efficacité</w:t>
      </w:r>
      <w:r w:rsidR="00095277">
        <w:t> </w:t>
      </w:r>
      <w:r w:rsidRPr="003F17DD">
        <w:t>;</w:t>
      </w:r>
    </w:p>
    <w:p w14:paraId="19AF3090" w14:textId="4B261D61" w:rsidR="00B94C90" w:rsidRPr="003F17DD" w:rsidRDefault="00B94C90" w:rsidP="00B94C90">
      <w:pPr>
        <w:pStyle w:val="NormalNonumber"/>
      </w:pPr>
      <w:r w:rsidRPr="003F17DD">
        <w:t>Dans les deux</w:t>
      </w:r>
      <w:r w:rsidR="004D078F">
        <w:t> </w:t>
      </w:r>
      <w:r w:rsidRPr="003F17DD">
        <w:t>scénarios</w:t>
      </w:r>
      <w:r w:rsidR="00DC36AD">
        <w:t> </w:t>
      </w:r>
      <w:r w:rsidRPr="003F17DD">
        <w:t>:</w:t>
      </w:r>
    </w:p>
    <w:p w14:paraId="70E6B29E" w14:textId="079B8852" w:rsidR="00B94C90" w:rsidRPr="003F17DD"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L</w:t>
      </w:r>
      <w:r w:rsidR="007175B8">
        <w:t>’</w:t>
      </w:r>
      <w:r w:rsidRPr="003F17DD">
        <w:t>équipe spéciale propose deux</w:t>
      </w:r>
      <w:r w:rsidR="004D078F">
        <w:t> </w:t>
      </w:r>
      <w:r w:rsidRPr="003F17DD">
        <w:t>calendriers d</w:t>
      </w:r>
      <w:r w:rsidR="007175B8">
        <w:t>’</w:t>
      </w:r>
      <w:r w:rsidRPr="003F17DD">
        <w:t>allocation des ressources (A et B) par triennat, comme l</w:t>
      </w:r>
      <w:r w:rsidR="007175B8">
        <w:t>’</w:t>
      </w:r>
      <w:r w:rsidRPr="003F17DD">
        <w:t>indique le tableau</w:t>
      </w:r>
      <w:r w:rsidR="004D078F">
        <w:t> </w:t>
      </w:r>
      <w:r w:rsidRPr="003F17DD">
        <w:t>1.4 du rapport de l</w:t>
      </w:r>
      <w:r w:rsidR="007175B8">
        <w:t>’</w:t>
      </w:r>
      <w:r w:rsidRPr="003F17DD">
        <w:t xml:space="preserve">équipe spéciale. </w:t>
      </w:r>
      <w:r w:rsidRPr="003F17DD">
        <w:rPr>
          <w:u w:val="single"/>
        </w:rPr>
        <w:t>Pour ces deux</w:t>
      </w:r>
      <w:r w:rsidR="004D078F">
        <w:rPr>
          <w:u w:val="single"/>
        </w:rPr>
        <w:t> </w:t>
      </w:r>
      <w:r w:rsidRPr="003F17DD">
        <w:rPr>
          <w:u w:val="single"/>
        </w:rPr>
        <w:t>propositions, l</w:t>
      </w:r>
      <w:r w:rsidR="007175B8">
        <w:rPr>
          <w:u w:val="single"/>
        </w:rPr>
        <w:t>’</w:t>
      </w:r>
      <w:r w:rsidRPr="003F17DD">
        <w:rPr>
          <w:u w:val="single"/>
        </w:rPr>
        <w:t>équipe a tablé sur une ratification complète par les Parties du groupe</w:t>
      </w:r>
      <w:r w:rsidR="00F32D9C">
        <w:rPr>
          <w:u w:val="single"/>
        </w:rPr>
        <w:t> </w:t>
      </w:r>
      <w:r w:rsidRPr="003F17DD">
        <w:rPr>
          <w:u w:val="single"/>
        </w:rPr>
        <w:t xml:space="preserve">1 et du </w:t>
      </w:r>
      <w:r w:rsidRPr="00A4467C">
        <w:rPr>
          <w:u w:val="single"/>
        </w:rPr>
        <w:t>groupe</w:t>
      </w:r>
      <w:r w:rsidR="00F32D9C" w:rsidRPr="00A4467C">
        <w:rPr>
          <w:u w:val="single"/>
        </w:rPr>
        <w:t> </w:t>
      </w:r>
      <w:r w:rsidRPr="00A4467C">
        <w:rPr>
          <w:u w:val="single"/>
        </w:rPr>
        <w:t>2 d</w:t>
      </w:r>
      <w:r w:rsidR="007175B8" w:rsidRPr="00A4467C">
        <w:rPr>
          <w:u w:val="single"/>
        </w:rPr>
        <w:t>’</w:t>
      </w:r>
      <w:r w:rsidRPr="00A4467C">
        <w:rPr>
          <w:u w:val="single"/>
        </w:rPr>
        <w:t>ici</w:t>
      </w:r>
      <w:r w:rsidR="007E689E" w:rsidRPr="00A4467C">
        <w:rPr>
          <w:u w:val="single"/>
        </w:rPr>
        <w:t xml:space="preserve"> à</w:t>
      </w:r>
      <w:r w:rsidRPr="00A4467C">
        <w:rPr>
          <w:u w:val="single"/>
        </w:rPr>
        <w:t xml:space="preserve"> 2029.</w:t>
      </w:r>
      <w:r w:rsidRPr="00A4467C">
        <w:t xml:space="preserve"> Les deux</w:t>
      </w:r>
      <w:r w:rsidR="00F32D9C" w:rsidRPr="00A4467C">
        <w:t> </w:t>
      </w:r>
      <w:r w:rsidRPr="00A4467C">
        <w:t>calendriers d</w:t>
      </w:r>
      <w:r w:rsidR="007175B8" w:rsidRPr="00A4467C">
        <w:t>’</w:t>
      </w:r>
      <w:r w:rsidRPr="00A4467C">
        <w:t>allocation des ressources se distinguent par le pourcentage de financement</w:t>
      </w:r>
      <w:r w:rsidRPr="003F17DD">
        <w:t xml:space="preserve"> des plans de mise en œuvre de l</w:t>
      </w:r>
      <w:r w:rsidR="007175B8">
        <w:t>’</w:t>
      </w:r>
      <w:r w:rsidRPr="003F17DD">
        <w:t>Amendement de</w:t>
      </w:r>
      <w:r w:rsidR="00F32D9C">
        <w:t> </w:t>
      </w:r>
      <w:r w:rsidRPr="003F17DD">
        <w:t>Kigali relatifs aux HFC à affecter à chaque période triennale</w:t>
      </w:r>
      <w:r w:rsidR="00095277">
        <w:t> </w:t>
      </w:r>
      <w:r w:rsidRPr="003F17DD">
        <w:t>;</w:t>
      </w:r>
    </w:p>
    <w:p w14:paraId="5D5F3AFA" w14:textId="7876E406" w:rsidR="00B94C90" w:rsidRPr="003F17DD" w:rsidRDefault="00B94C90">
      <w:pPr>
        <w:pStyle w:val="ListParagraph"/>
        <w:numPr>
          <w:ilvl w:val="1"/>
          <w:numId w:val="19"/>
        </w:numPr>
        <w:tabs>
          <w:tab w:val="clear" w:pos="1247"/>
          <w:tab w:val="clear" w:pos="1814"/>
          <w:tab w:val="clear" w:pos="2381"/>
          <w:tab w:val="clear" w:pos="2948"/>
          <w:tab w:val="clear" w:pos="3515"/>
        </w:tabs>
        <w:spacing w:after="240"/>
        <w:ind w:left="3261"/>
        <w:contextualSpacing w:val="0"/>
      </w:pPr>
      <w:r w:rsidRPr="003F17DD">
        <w:t>Pour les Parties des groupes</w:t>
      </w:r>
      <w:r w:rsidR="00F32D9C">
        <w:t> </w:t>
      </w:r>
      <w:r w:rsidRPr="003F17DD">
        <w:t xml:space="preserve">1 et 2 </w:t>
      </w:r>
      <w:r w:rsidRPr="003F17DD">
        <w:rPr>
          <w:u w:val="single"/>
        </w:rPr>
        <w:t>ne disposant pas de plan de mise en œuvre</w:t>
      </w:r>
      <w:r w:rsidRPr="003F17DD">
        <w:t>, le calendrier</w:t>
      </w:r>
      <w:r w:rsidR="00F32D9C">
        <w:t> </w:t>
      </w:r>
      <w:r w:rsidRPr="003F17DD">
        <w:t>A pour le financement de la phase</w:t>
      </w:r>
      <w:r w:rsidR="00F32D9C">
        <w:t> </w:t>
      </w:r>
      <w:r w:rsidRPr="003F17DD">
        <w:t>I est plus rapide, tandis que les calendriers A et B sont identiques pour le financement de la phase</w:t>
      </w:r>
      <w:r w:rsidR="00F32D9C">
        <w:t> </w:t>
      </w:r>
      <w:r w:rsidRPr="003F17DD">
        <w:t>II des Parties du groupe</w:t>
      </w:r>
      <w:r w:rsidR="00F32D9C">
        <w:t> </w:t>
      </w:r>
      <w:r w:rsidRPr="003F17DD">
        <w:t>1 ne disposant pas de plan de mise en œuvre.</w:t>
      </w:r>
    </w:p>
    <w:p w14:paraId="29667219" w14:textId="0F4348AD" w:rsidR="00B94C90" w:rsidRPr="003F17DD" w:rsidRDefault="00B94C90">
      <w:pPr>
        <w:pStyle w:val="ListParagraph"/>
        <w:numPr>
          <w:ilvl w:val="1"/>
          <w:numId w:val="19"/>
        </w:numPr>
        <w:tabs>
          <w:tab w:val="clear" w:pos="1247"/>
          <w:tab w:val="clear" w:pos="1814"/>
          <w:tab w:val="clear" w:pos="2381"/>
          <w:tab w:val="clear" w:pos="2948"/>
          <w:tab w:val="clear" w:pos="3515"/>
        </w:tabs>
        <w:spacing w:after="240"/>
        <w:ind w:left="3261"/>
        <w:contextualSpacing w:val="0"/>
      </w:pPr>
      <w:r w:rsidRPr="003F17DD">
        <w:t>Pour les Parties du groupe</w:t>
      </w:r>
      <w:r w:rsidR="00F32D9C">
        <w:t> </w:t>
      </w:r>
      <w:r w:rsidRPr="003F17DD">
        <w:t xml:space="preserve">1 </w:t>
      </w:r>
      <w:r w:rsidRPr="003F17DD">
        <w:rPr>
          <w:u w:val="single"/>
        </w:rPr>
        <w:t>ayant des plans de mise en œuvre</w:t>
      </w:r>
      <w:r w:rsidRPr="003F17DD">
        <w:t xml:space="preserve"> pour la phase</w:t>
      </w:r>
      <w:r w:rsidR="00F32D9C">
        <w:t> </w:t>
      </w:r>
      <w:r w:rsidRPr="003F17DD">
        <w:t xml:space="preserve">I, </w:t>
      </w:r>
      <w:r w:rsidR="00F568AD">
        <w:t>le calendrier</w:t>
      </w:r>
      <w:r w:rsidR="007E689E">
        <w:t> </w:t>
      </w:r>
      <w:r w:rsidRPr="003F17DD">
        <w:t xml:space="preserve">A </w:t>
      </w:r>
      <w:proofErr w:type="spellStart"/>
      <w:r w:rsidRPr="003F17DD">
        <w:t>propose</w:t>
      </w:r>
      <w:proofErr w:type="spellEnd"/>
      <w:r w:rsidRPr="003F17DD">
        <w:t xml:space="preserve"> un financement plus rapide pour la phase</w:t>
      </w:r>
      <w:r w:rsidR="00F32D9C">
        <w:t> </w:t>
      </w:r>
      <w:r w:rsidRPr="003F17DD">
        <w:t>II.</w:t>
      </w:r>
    </w:p>
    <w:p w14:paraId="5A33E46D" w14:textId="69E61AA4" w:rsidR="00B94C90" w:rsidRPr="003F17DD"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proofErr w:type="gramStart"/>
      <w:r w:rsidRPr="003F17DD">
        <w:t>une</w:t>
      </w:r>
      <w:proofErr w:type="gramEnd"/>
      <w:r w:rsidRPr="003F17DD">
        <w:t xml:space="preserve"> déduction de 15</w:t>
      </w:r>
      <w:r w:rsidR="00D72CA2">
        <w:t> </w:t>
      </w:r>
      <w:r w:rsidRPr="003F17DD">
        <w:t>% a été appliquée pour tenir compte des capitaux étrangers non</w:t>
      </w:r>
      <w:r w:rsidR="00887E9C">
        <w:t> </w:t>
      </w:r>
      <w:r w:rsidRPr="003F17DD">
        <w:t>éligibles dans les secteurs manufacturiers (voir la note ci-dessous)</w:t>
      </w:r>
      <w:r w:rsidR="00095277">
        <w:t> </w:t>
      </w:r>
      <w:r w:rsidRPr="003F17DD">
        <w:t xml:space="preserve">; </w:t>
      </w:r>
    </w:p>
    <w:p w14:paraId="13CEFE0B" w14:textId="66E5D7DB" w:rsidR="00B94C90" w:rsidRPr="003F17DD" w:rsidRDefault="00B94C9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 xml:space="preserve">Les </w:t>
      </w:r>
      <w:r w:rsidR="008D6428" w:rsidRPr="003F17DD">
        <w:t>seuils de</w:t>
      </w:r>
      <w:r w:rsidRPr="003F17DD">
        <w:t xml:space="preserve"> coût-efficacité retenus dans les directives relatives aux coûts de la phase</w:t>
      </w:r>
      <w:r w:rsidR="00F32D9C">
        <w:t> </w:t>
      </w:r>
      <w:r w:rsidRPr="003F17DD">
        <w:t>I ont été appliqués aux calculs de financement de la phase</w:t>
      </w:r>
      <w:r w:rsidR="00F32D9C">
        <w:t> </w:t>
      </w:r>
      <w:r w:rsidRPr="003F17DD">
        <w:t>II. L</w:t>
      </w:r>
      <w:r w:rsidR="007175B8">
        <w:t>’</w:t>
      </w:r>
      <w:r w:rsidRPr="003F17DD">
        <w:t>impact potentiel d</w:t>
      </w:r>
      <w:r w:rsidR="007175B8">
        <w:t>’</w:t>
      </w:r>
      <w:r w:rsidRPr="003F17DD">
        <w:t>une éventuelle révision des lignes directrices en 2028 n</w:t>
      </w:r>
      <w:r w:rsidR="007175B8">
        <w:t>’</w:t>
      </w:r>
      <w:r w:rsidRPr="003F17DD">
        <w:t>a pas été pris en compte.</w:t>
      </w:r>
    </w:p>
    <w:p w14:paraId="06F4BAAD" w14:textId="1BF60EBB" w:rsidR="00B94C90" w:rsidRPr="003F17DD" w:rsidRDefault="00B94C90" w:rsidP="00B94C90">
      <w:pPr>
        <w:pStyle w:val="NormalNonumber"/>
        <w:spacing w:after="240"/>
      </w:pPr>
      <w:r w:rsidRPr="003F17DD">
        <w:t>Dans la section</w:t>
      </w:r>
      <w:r w:rsidR="001B0D2F">
        <w:t> </w:t>
      </w:r>
      <w:r w:rsidRPr="003F17DD">
        <w:t>1.6.10, deux</w:t>
      </w:r>
      <w:r w:rsidR="001B0D2F">
        <w:t> </w:t>
      </w:r>
      <w:r w:rsidRPr="003F17DD">
        <w:t>points sont mentionnés à la rubrique des réserves concernant les coûts supplémentaires liés aux unités de gestion de projet, qui n</w:t>
      </w:r>
      <w:r w:rsidR="007175B8">
        <w:t>’</w:t>
      </w:r>
      <w:r w:rsidRPr="003F17DD">
        <w:t>ont pas été pris en compte dans la modélisation, ainsi que la déduction de 15</w:t>
      </w:r>
      <w:r w:rsidR="00D72CA2">
        <w:t> </w:t>
      </w:r>
      <w:r w:rsidRPr="003F17DD">
        <w:t>% liée aux capitaux étrangers dans les secteurs manufacturiers, qui a été prise en compte. L</w:t>
      </w:r>
      <w:r w:rsidR="007175B8">
        <w:t>’</w:t>
      </w:r>
      <w:r w:rsidRPr="003F17DD">
        <w:t>effet combiné de ces deux facteurs pourrait entraîner une augmentation d</w:t>
      </w:r>
      <w:r w:rsidR="007175B8">
        <w:t>’</w:t>
      </w:r>
      <w:r w:rsidRPr="003F17DD">
        <w:t>environ 15</w:t>
      </w:r>
      <w:r w:rsidR="00D72CA2">
        <w:t> </w:t>
      </w:r>
      <w:r w:rsidRPr="003F17DD">
        <w:t>% du montant total des besoins de financement estimés. L</w:t>
      </w:r>
      <w:r w:rsidR="007175B8">
        <w:t>’</w:t>
      </w:r>
      <w:r w:rsidRPr="003F17DD">
        <w:t>équipe spéciale a procédé à ces ajustements pour les raisons exposées à la section</w:t>
      </w:r>
      <w:r w:rsidR="001B0D2F">
        <w:t> </w:t>
      </w:r>
      <w:r w:rsidRPr="003F17DD">
        <w:t>1.6.10 et remercie les Parties de l</w:t>
      </w:r>
      <w:r w:rsidR="007175B8">
        <w:t>’</w:t>
      </w:r>
      <w:r w:rsidRPr="003F17DD">
        <w:t>avoir informé de la nécessité d</w:t>
      </w:r>
      <w:r w:rsidR="007175B8">
        <w:t>’</w:t>
      </w:r>
      <w:r w:rsidRPr="003F17DD">
        <w:t>adapter ses estimations en conséquence dans le rapport complémentaire de l</w:t>
      </w:r>
      <w:r w:rsidR="007175B8">
        <w:t>’</w:t>
      </w:r>
      <w:r w:rsidRPr="003F17DD">
        <w:t>équipe spéciale.</w:t>
      </w:r>
    </w:p>
    <w:p w14:paraId="75AA27AE" w14:textId="0CB0E745" w:rsidR="00B94C90" w:rsidRPr="003F17DD" w:rsidRDefault="00B94C90" w:rsidP="00B94C90">
      <w:pPr>
        <w:keepNext/>
        <w:keepLines/>
        <w:spacing w:after="120"/>
        <w:contextualSpacing/>
        <w:rPr>
          <w:b/>
          <w:bCs/>
          <w:i/>
          <w:iCs/>
        </w:rPr>
      </w:pPr>
      <w:r w:rsidRPr="003F17DD">
        <w:tab/>
      </w:r>
      <w:r w:rsidRPr="003F17DD">
        <w:rPr>
          <w:b/>
          <w:bCs/>
          <w:i/>
          <w:iCs/>
        </w:rPr>
        <w:t xml:space="preserve">Secteur de la production </w:t>
      </w:r>
      <w:r w:rsidR="008D6428" w:rsidRPr="003F17DD">
        <w:rPr>
          <w:b/>
          <w:bCs/>
          <w:i/>
          <w:iCs/>
        </w:rPr>
        <w:t>d</w:t>
      </w:r>
      <w:r w:rsidR="007175B8">
        <w:rPr>
          <w:b/>
          <w:bCs/>
          <w:i/>
          <w:iCs/>
        </w:rPr>
        <w:t>’</w:t>
      </w:r>
      <w:r w:rsidRPr="003F17DD">
        <w:rPr>
          <w:b/>
          <w:bCs/>
          <w:i/>
          <w:iCs/>
        </w:rPr>
        <w:t>HFC</w:t>
      </w:r>
    </w:p>
    <w:p w14:paraId="1BC13E31" w14:textId="00278F3D" w:rsidR="00B94C90" w:rsidRPr="003F17DD" w:rsidRDefault="00B94C90" w:rsidP="00B94C90">
      <w:pPr>
        <w:pStyle w:val="NormalNonumber"/>
      </w:pPr>
      <w:r w:rsidRPr="003F17DD">
        <w:t xml:space="preserve">Les estimations relatives au secteur de la production </w:t>
      </w:r>
      <w:r w:rsidR="008D6428" w:rsidRPr="003F17DD">
        <w:t>d</w:t>
      </w:r>
      <w:r w:rsidR="007175B8">
        <w:t>’</w:t>
      </w:r>
      <w:r w:rsidRPr="003F17DD">
        <w:t>HFC et au financement des mesures d</w:t>
      </w:r>
      <w:r w:rsidR="007175B8">
        <w:t>’</w:t>
      </w:r>
      <w:r w:rsidRPr="003F17DD">
        <w:t>atténuation concernant le HFC-23 comprennent</w:t>
      </w:r>
      <w:r w:rsidR="00DC36AD">
        <w:t> </w:t>
      </w:r>
      <w:r w:rsidRPr="003F17DD">
        <w:t>:</w:t>
      </w:r>
    </w:p>
    <w:p w14:paraId="5F7B9A91" w14:textId="1FBD1286"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 xml:space="preserve">Financement estimé pour la préparation du projet </w:t>
      </w:r>
      <w:r w:rsidR="008D6428" w:rsidRPr="003F17DD">
        <w:t>relatif à la</w:t>
      </w:r>
      <w:r w:rsidRPr="003F17DD">
        <w:t xml:space="preserve"> production </w:t>
      </w:r>
      <w:r w:rsidR="008D6428" w:rsidRPr="003F17DD">
        <w:t>d</w:t>
      </w:r>
      <w:r w:rsidR="007175B8">
        <w:t>’</w:t>
      </w:r>
      <w:r w:rsidRPr="003F17DD">
        <w:t>HFC</w:t>
      </w:r>
      <w:r w:rsidR="00095277">
        <w:t> </w:t>
      </w:r>
      <w:r w:rsidRPr="003F17DD">
        <w:t>;</w:t>
      </w:r>
    </w:p>
    <w:p w14:paraId="23E5926E" w14:textId="1087B4A3"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Montant estimé du financement pour le plan de gestion de la réduction progressive de la production de HFC au titre de l</w:t>
      </w:r>
      <w:r w:rsidR="007175B8">
        <w:t>’</w:t>
      </w:r>
      <w:r w:rsidRPr="003F17DD">
        <w:t>Amendement de</w:t>
      </w:r>
      <w:r w:rsidR="001B0D2F">
        <w:t> </w:t>
      </w:r>
      <w:r w:rsidRPr="003F17DD">
        <w:t>Kigali, le cas échéant</w:t>
      </w:r>
      <w:r w:rsidR="00095277">
        <w:t> </w:t>
      </w:r>
      <w:r w:rsidRPr="003F17DD">
        <w:t>;</w:t>
      </w:r>
    </w:p>
    <w:p w14:paraId="392F5310" w14:textId="284902DA"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Estimation du financement pour le projet d</w:t>
      </w:r>
      <w:r w:rsidR="007175B8">
        <w:t>’</w:t>
      </w:r>
      <w:r w:rsidRPr="003F17DD">
        <w:t>investissement visant à réduire les émissions de HFC-23</w:t>
      </w:r>
      <w:r w:rsidR="00095277">
        <w:t> </w:t>
      </w:r>
      <w:r w:rsidRPr="003F17DD">
        <w:t>;</w:t>
      </w:r>
    </w:p>
    <w:p w14:paraId="67926321" w14:textId="560A43CD"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estimé pour la préparation du projet d</w:t>
      </w:r>
      <w:r w:rsidR="007175B8">
        <w:t>’</w:t>
      </w:r>
      <w:r w:rsidRPr="003F17DD">
        <w:t>atténuation concernant le HFC-23</w:t>
      </w:r>
      <w:r w:rsidR="00095277">
        <w:t> </w:t>
      </w:r>
      <w:r w:rsidRPr="003F17DD">
        <w:t xml:space="preserve">; </w:t>
      </w:r>
    </w:p>
    <w:p w14:paraId="75F1CC6A" w14:textId="2052E136" w:rsidR="00B94C90" w:rsidRPr="003F17DD" w:rsidRDefault="00B94C90" w:rsidP="00416520">
      <w:pPr>
        <w:pStyle w:val="NormalNonumber"/>
        <w:numPr>
          <w:ilvl w:val="0"/>
          <w:numId w:val="19"/>
        </w:numPr>
        <w:tabs>
          <w:tab w:val="clear" w:pos="1247"/>
          <w:tab w:val="clear" w:pos="1871"/>
          <w:tab w:val="clear" w:pos="2495"/>
          <w:tab w:val="clear" w:pos="3119"/>
          <w:tab w:val="clear" w:pos="3742"/>
          <w:tab w:val="clear" w:pos="4366"/>
        </w:tabs>
        <w:ind w:left="2495" w:hanging="624"/>
      </w:pPr>
      <w:r w:rsidRPr="003F17DD">
        <w:t>Financement engagé pour un projet approuvé d</w:t>
      </w:r>
      <w:r w:rsidR="007175B8">
        <w:t>’</w:t>
      </w:r>
      <w:r w:rsidRPr="003F17DD">
        <w:t xml:space="preserve">atténuation concernant le HFC-23. </w:t>
      </w:r>
    </w:p>
    <w:p w14:paraId="583C0022" w14:textId="724C3D91" w:rsidR="00B94C90" w:rsidRPr="003F17DD" w:rsidRDefault="00B94C90" w:rsidP="00B94C90">
      <w:pPr>
        <w:pStyle w:val="NormalNonumber"/>
      </w:pPr>
      <w:r w:rsidRPr="003F17DD">
        <w:lastRenderedPageBreak/>
        <w:t>L</w:t>
      </w:r>
      <w:r w:rsidR="007175B8">
        <w:t>’</w:t>
      </w:r>
      <w:r w:rsidRPr="003F17DD">
        <w:t xml:space="preserve">équipe spéciale a examiné les besoins de financement estimés pour le secteur de la production </w:t>
      </w:r>
      <w:r w:rsidR="008D6428" w:rsidRPr="003F17DD">
        <w:t>d</w:t>
      </w:r>
      <w:r w:rsidR="007175B8">
        <w:t>’</w:t>
      </w:r>
      <w:r w:rsidRPr="003F17DD">
        <w:t>HFC dans deux</w:t>
      </w:r>
      <w:r w:rsidR="00B54AEC">
        <w:t> </w:t>
      </w:r>
      <w:r w:rsidRPr="003F17DD">
        <w:t xml:space="preserve">pays producteurs </w:t>
      </w:r>
      <w:r w:rsidR="008D6428" w:rsidRPr="003F17DD">
        <w:t>d</w:t>
      </w:r>
      <w:r w:rsidR="007175B8">
        <w:t>’</w:t>
      </w:r>
      <w:r w:rsidRPr="003F17DD">
        <w:t>HFC visés à l</w:t>
      </w:r>
      <w:r w:rsidR="007175B8">
        <w:t>’</w:t>
      </w:r>
      <w:r w:rsidRPr="003F17DD">
        <w:t>article</w:t>
      </w:r>
      <w:r w:rsidR="001B0D2F">
        <w:t> </w:t>
      </w:r>
      <w:r w:rsidRPr="003F17DD">
        <w:t>5 pour la période 2027-2029. La Chine (groupe</w:t>
      </w:r>
      <w:r w:rsidR="001B0D2F">
        <w:t> </w:t>
      </w:r>
      <w:r w:rsidRPr="003F17DD">
        <w:t>1) et l</w:t>
      </w:r>
      <w:r w:rsidR="007175B8">
        <w:t>’</w:t>
      </w:r>
      <w:r w:rsidRPr="003F17DD">
        <w:t>Inde (groupe</w:t>
      </w:r>
      <w:r w:rsidR="001B0D2F">
        <w:t> </w:t>
      </w:r>
      <w:r w:rsidRPr="003F17DD">
        <w:t xml:space="preserve">2) ont toutes deux indiqué que leur production </w:t>
      </w:r>
      <w:r w:rsidR="008D6428" w:rsidRPr="003F17DD">
        <w:t>d</w:t>
      </w:r>
      <w:r w:rsidR="007175B8">
        <w:t>’</w:t>
      </w:r>
      <w:r w:rsidRPr="003F17DD">
        <w:t>HFC était nettement inférieure à l</w:t>
      </w:r>
      <w:r w:rsidR="007175B8">
        <w:t>’</w:t>
      </w:r>
      <w:r w:rsidRPr="003F17DD">
        <w:t>objectif de réduction de 10</w:t>
      </w:r>
      <w:r w:rsidR="00D72CA2">
        <w:t> </w:t>
      </w:r>
      <w:r w:rsidRPr="003F17DD">
        <w:t>% par rapport au niveau de référence fixé pour les Parties du groupe</w:t>
      </w:r>
      <w:r w:rsidR="00DA4FCA">
        <w:t> </w:t>
      </w:r>
      <w:r w:rsidRPr="003F17DD">
        <w:t>1, ainsi qu</w:t>
      </w:r>
      <w:r w:rsidR="007175B8">
        <w:t>’</w:t>
      </w:r>
      <w:r w:rsidRPr="003F17DD">
        <w:t>à l</w:t>
      </w:r>
      <w:r w:rsidR="007175B8">
        <w:t>’</w:t>
      </w:r>
      <w:r w:rsidRPr="003F17DD">
        <w:t>objectif de gel de la production en 2028 et de réduction de 10</w:t>
      </w:r>
      <w:r w:rsidR="00D72CA2">
        <w:t> </w:t>
      </w:r>
      <w:r w:rsidRPr="003F17DD">
        <w:t>% fixé pour les Parties du groupe</w:t>
      </w:r>
      <w:r w:rsidR="00DA4FCA">
        <w:t> </w:t>
      </w:r>
      <w:r w:rsidRPr="003F17DD">
        <w:t>2. L</w:t>
      </w:r>
      <w:r w:rsidR="007175B8">
        <w:t>’</w:t>
      </w:r>
      <w:r w:rsidRPr="003F17DD">
        <w:t>équipe spéciale a estimé que, pour la période triennale</w:t>
      </w:r>
      <w:r w:rsidR="00DA4FCA">
        <w:t> </w:t>
      </w:r>
      <w:r w:rsidRPr="003F17DD">
        <w:t>2027-2029, seul un financement destiné à la préparation des projets pourrait être nécessaire pour l</w:t>
      </w:r>
      <w:r w:rsidR="007175B8">
        <w:t>’</w:t>
      </w:r>
      <w:r w:rsidRPr="003F17DD">
        <w:t xml:space="preserve">élaboration des plans </w:t>
      </w:r>
      <w:r w:rsidR="008D6428" w:rsidRPr="003F17DD">
        <w:t>relatifs au</w:t>
      </w:r>
      <w:r w:rsidRPr="003F17DD">
        <w:t xml:space="preserve"> secteur de la production </w:t>
      </w:r>
      <w:r w:rsidR="008D6428" w:rsidRPr="003F17DD">
        <w:t>d</w:t>
      </w:r>
      <w:r w:rsidR="007175B8">
        <w:t>’</w:t>
      </w:r>
      <w:r w:rsidRPr="003F17DD">
        <w:t>HFC pour les deux</w:t>
      </w:r>
      <w:r w:rsidR="00DA4FCA">
        <w:t> </w:t>
      </w:r>
      <w:r w:rsidRPr="003F17DD">
        <w:t>Parties, aucun financement d</w:t>
      </w:r>
      <w:r w:rsidR="007175B8">
        <w:t>’</w:t>
      </w:r>
      <w:r w:rsidRPr="003F17DD">
        <w:t>investissement n</w:t>
      </w:r>
      <w:r w:rsidR="007175B8">
        <w:t>’</w:t>
      </w:r>
      <w:r w:rsidRPr="003F17DD">
        <w:t xml:space="preserve">étant requis au cours de cette période. </w:t>
      </w:r>
    </w:p>
    <w:p w14:paraId="10DDFB56" w14:textId="5191B17B" w:rsidR="00B94C90" w:rsidRPr="003F17DD" w:rsidRDefault="00B94C90" w:rsidP="00B94C90">
      <w:pPr>
        <w:pStyle w:val="NormalNonumber"/>
      </w:pPr>
      <w:r w:rsidRPr="003F17DD">
        <w:t>Afin d</w:t>
      </w:r>
      <w:r w:rsidR="007175B8">
        <w:t>’</w:t>
      </w:r>
      <w:r w:rsidRPr="003F17DD">
        <w:t>aider les Parties visées à l</w:t>
      </w:r>
      <w:r w:rsidR="007175B8">
        <w:t>’</w:t>
      </w:r>
      <w:r w:rsidRPr="003F17DD">
        <w:t>article</w:t>
      </w:r>
      <w:r w:rsidR="00DA4FCA">
        <w:t> </w:t>
      </w:r>
      <w:r w:rsidRPr="003F17DD">
        <w:t>5 à s</w:t>
      </w:r>
      <w:r w:rsidR="007175B8">
        <w:t>’</w:t>
      </w:r>
      <w:r w:rsidRPr="003F17DD">
        <w:t>acquitter de leurs obligations au titre de l</w:t>
      </w:r>
      <w:r w:rsidR="007175B8">
        <w:t>’</w:t>
      </w:r>
      <w:r w:rsidRPr="003F17DD">
        <w:t>Amendement de Kigali, le Fonds multilatéral finance les coûts engagés par les Parties visées à l</w:t>
      </w:r>
      <w:r w:rsidR="007175B8">
        <w:t>’</w:t>
      </w:r>
      <w:r w:rsidRPr="003F17DD">
        <w:t>article</w:t>
      </w:r>
      <w:r w:rsidR="00DA4FCA">
        <w:t> </w:t>
      </w:r>
      <w:r w:rsidRPr="003F17DD">
        <w:t>5 pour réduire les émissions de HFC-23, un sous-produit du processus de production du HCFC-22, en diminuant le taux d</w:t>
      </w:r>
      <w:r w:rsidR="007175B8">
        <w:t>’</w:t>
      </w:r>
      <w:r w:rsidRPr="003F17DD">
        <w:t>émission au cours du processus, en le détruisant dans les gaz résiduaires, ou en le collectant et en le transformant en d</w:t>
      </w:r>
      <w:r w:rsidR="007175B8">
        <w:t>’</w:t>
      </w:r>
      <w:r w:rsidRPr="003F17DD">
        <w:t>autres produits chimiques sans danger pour l</w:t>
      </w:r>
      <w:r w:rsidR="007175B8">
        <w:t>’</w:t>
      </w:r>
      <w:r w:rsidRPr="003F17DD">
        <w:t>environnement. Pour</w:t>
      </w:r>
      <w:r w:rsidR="001447BC">
        <w:t> </w:t>
      </w:r>
      <w:r w:rsidRPr="003F17DD">
        <w:t>la période triennale</w:t>
      </w:r>
      <w:r w:rsidR="002B7014">
        <w:t> </w:t>
      </w:r>
      <w:r w:rsidRPr="003F17DD">
        <w:t>2027-2029, l</w:t>
      </w:r>
      <w:r w:rsidR="007175B8">
        <w:t>’</w:t>
      </w:r>
      <w:r w:rsidRPr="003F17DD">
        <w:t>équipe spéciale a estimé les besoins de financement pour deux</w:t>
      </w:r>
      <w:r w:rsidR="0047271A">
        <w:t> </w:t>
      </w:r>
      <w:r w:rsidRPr="003F17DD">
        <w:t>Parties ayant des plans d</w:t>
      </w:r>
      <w:r w:rsidR="007175B8">
        <w:t>’</w:t>
      </w:r>
      <w:r w:rsidRPr="003F17DD">
        <w:t>élimination progressive du HFC-23 approuvés, ainsi que les fonds nécessaires à la préparation et à la mise en œuvre de projets pour deux</w:t>
      </w:r>
      <w:r w:rsidR="0047271A">
        <w:t> </w:t>
      </w:r>
      <w:r w:rsidRPr="003F17DD">
        <w:t>autres Parties.</w:t>
      </w:r>
    </w:p>
    <w:p w14:paraId="25035902" w14:textId="31B872FC" w:rsidR="00B94C90" w:rsidRPr="003F17DD" w:rsidRDefault="00B94C90" w:rsidP="00B94C90">
      <w:pPr>
        <w:pStyle w:val="CH2"/>
      </w:pPr>
      <w:r w:rsidRPr="003F17DD">
        <w:tab/>
      </w:r>
      <w:r w:rsidRPr="003F17DD">
        <w:tab/>
      </w:r>
      <w:r w:rsidRPr="003F17DD">
        <w:rPr>
          <w:bCs/>
        </w:rPr>
        <w:t>Résumé des estimations des besoins de financement pour l</w:t>
      </w:r>
      <w:r w:rsidR="007175B8">
        <w:rPr>
          <w:bCs/>
        </w:rPr>
        <w:t>’</w:t>
      </w:r>
      <w:r w:rsidRPr="003F17DD">
        <w:rPr>
          <w:bCs/>
        </w:rPr>
        <w:t>élimination progressive des HFC dans les secteurs de la consommation et</w:t>
      </w:r>
      <w:r w:rsidR="00105E3B">
        <w:rPr>
          <w:bCs/>
        </w:rPr>
        <w:t> </w:t>
      </w:r>
      <w:r w:rsidRPr="003F17DD">
        <w:rPr>
          <w:bCs/>
        </w:rPr>
        <w:t>de</w:t>
      </w:r>
      <w:r w:rsidR="00105E3B">
        <w:rPr>
          <w:bCs/>
        </w:rPr>
        <w:t> </w:t>
      </w:r>
      <w:r w:rsidRPr="003F17DD">
        <w:rPr>
          <w:bCs/>
        </w:rPr>
        <w:t>la</w:t>
      </w:r>
      <w:r w:rsidR="00105E3B">
        <w:rPr>
          <w:bCs/>
        </w:rPr>
        <w:t> </w:t>
      </w:r>
      <w:r w:rsidRPr="003F17DD">
        <w:rPr>
          <w:bCs/>
        </w:rPr>
        <w:t>production</w:t>
      </w:r>
      <w:r w:rsidRPr="003F17DD">
        <w:t xml:space="preserve"> </w:t>
      </w:r>
    </w:p>
    <w:p w14:paraId="0C7A774C" w14:textId="7A0FFF3A" w:rsidR="00B94C90" w:rsidRPr="003F17DD" w:rsidRDefault="00B94C90" w:rsidP="00B94C90">
      <w:pPr>
        <w:pStyle w:val="NormalNonumber"/>
        <w:rPr>
          <w:rFonts w:eastAsiaTheme="minorEastAsia"/>
        </w:rPr>
      </w:pPr>
      <w:r w:rsidRPr="003F17DD">
        <w:t>La fourchette des besoins de financement totaux estimés pour les secteurs de la consommation et de la production d</w:t>
      </w:r>
      <w:r w:rsidR="007175B8">
        <w:t>’</w:t>
      </w:r>
      <w:r w:rsidRPr="003F17DD">
        <w:t>HFC pour la période 2027-2029 et les triennats suivants est résumée ci-dessous et dans le tableau</w:t>
      </w:r>
      <w:r w:rsidR="00BB187E">
        <w:t> </w:t>
      </w:r>
      <w:r w:rsidRPr="003F17DD">
        <w:t>ES.3.</w:t>
      </w:r>
    </w:p>
    <w:p w14:paraId="2BD9EC6D" w14:textId="5EC5D381" w:rsidR="00B13238" w:rsidRPr="003F17DD" w:rsidRDefault="00B94C90" w:rsidP="00B94C90">
      <w:pPr>
        <w:pStyle w:val="Titletable"/>
      </w:pPr>
      <w:r w:rsidRPr="003F17DD">
        <w:rPr>
          <w:b w:val="0"/>
          <w:bCs w:val="0"/>
        </w:rPr>
        <w:t>Tableau</w:t>
      </w:r>
      <w:r w:rsidR="00BB187E">
        <w:rPr>
          <w:b w:val="0"/>
          <w:bCs w:val="0"/>
        </w:rPr>
        <w:t> </w:t>
      </w:r>
      <w:r w:rsidRPr="003F17DD">
        <w:rPr>
          <w:b w:val="0"/>
          <w:bCs w:val="0"/>
        </w:rPr>
        <w:t>ES.3</w:t>
      </w:r>
      <w:r w:rsidR="00BB187E">
        <w:rPr>
          <w:b w:val="0"/>
          <w:bCs w:val="0"/>
        </w:rPr>
        <w:br/>
      </w:r>
      <w:r w:rsidRPr="003F17DD">
        <w:t>Estimation des besoins de financement pour l</w:t>
      </w:r>
      <w:r w:rsidR="007175B8">
        <w:t>’</w:t>
      </w:r>
      <w:r w:rsidRPr="003F17DD">
        <w:t xml:space="preserve">élimination progressive des HFC pour les périodes 2027-2029 et les triennats suivants </w:t>
      </w:r>
    </w:p>
    <w:p w14:paraId="513F62B8" w14:textId="161A1DE0" w:rsidR="00B94C90" w:rsidRPr="003F17DD" w:rsidRDefault="00B94C90" w:rsidP="00B94C90">
      <w:pPr>
        <w:pStyle w:val="Titletable"/>
        <w:rPr>
          <w:b w:val="0"/>
          <w:bCs w:val="0"/>
        </w:rPr>
      </w:pPr>
      <w:r w:rsidRPr="003F17DD">
        <w:rPr>
          <w:b w:val="0"/>
          <w:bCs w:val="0"/>
        </w:rPr>
        <w:t>(</w:t>
      </w:r>
      <w:r w:rsidR="002E717C">
        <w:rPr>
          <w:b w:val="0"/>
          <w:bCs w:val="0"/>
        </w:rPr>
        <w:t>E</w:t>
      </w:r>
      <w:r w:rsidRPr="003F17DD">
        <w:rPr>
          <w:b w:val="0"/>
          <w:bCs w:val="0"/>
        </w:rPr>
        <w:t xml:space="preserve">n millions de dollars des États-Unis) </w:t>
      </w:r>
    </w:p>
    <w:tbl>
      <w:tblPr>
        <w:tblW w:w="8307" w:type="dxa"/>
        <w:jc w:val="right"/>
        <w:tblLayout w:type="fixed"/>
        <w:tblCellMar>
          <w:left w:w="0" w:type="dxa"/>
          <w:right w:w="0" w:type="dxa"/>
        </w:tblCellMar>
        <w:tblLook w:val="04A0" w:firstRow="1" w:lastRow="0" w:firstColumn="1" w:lastColumn="0" w:noHBand="0" w:noVBand="1"/>
      </w:tblPr>
      <w:tblGrid>
        <w:gridCol w:w="1266"/>
        <w:gridCol w:w="2347"/>
        <w:gridCol w:w="2279"/>
        <w:gridCol w:w="2415"/>
      </w:tblGrid>
      <w:tr w:rsidR="00B94C90" w:rsidRPr="003F17DD" w14:paraId="0C47F094" w14:textId="77777777" w:rsidTr="00B64331">
        <w:trPr>
          <w:trHeight w:val="302"/>
          <w:tblHeader/>
          <w:jc w:val="right"/>
        </w:trPr>
        <w:tc>
          <w:tcPr>
            <w:tcW w:w="1314" w:type="dxa"/>
            <w:vMerge w:val="restart"/>
            <w:tcBorders>
              <w:top w:val="single" w:sz="4" w:space="0" w:color="auto"/>
              <w:bottom w:val="single" w:sz="12" w:space="0" w:color="auto"/>
            </w:tcBorders>
            <w:vAlign w:val="bottom"/>
          </w:tcPr>
          <w:p w14:paraId="07BB0AF5" w14:textId="77777777" w:rsidR="00B94C90" w:rsidRPr="003F17DD" w:rsidRDefault="00B94C90" w:rsidP="00B64331">
            <w:pPr>
              <w:pStyle w:val="Normal-pool-Table"/>
              <w:rPr>
                <w:i/>
                <w:iCs/>
                <w:szCs w:val="18"/>
              </w:rPr>
            </w:pPr>
            <w:r w:rsidRPr="003F17DD">
              <w:rPr>
                <w:i/>
                <w:iCs/>
                <w:color w:val="000000"/>
              </w:rPr>
              <w:t>Triennat</w:t>
            </w:r>
          </w:p>
        </w:tc>
        <w:tc>
          <w:tcPr>
            <w:tcW w:w="2437" w:type="dxa"/>
            <w:vMerge w:val="restart"/>
            <w:tcBorders>
              <w:top w:val="single" w:sz="4" w:space="0" w:color="auto"/>
              <w:bottom w:val="single" w:sz="12" w:space="0" w:color="auto"/>
            </w:tcBorders>
            <w:vAlign w:val="bottom"/>
            <w:hideMark/>
          </w:tcPr>
          <w:p w14:paraId="2DA011E0" w14:textId="77777777" w:rsidR="00B94C90" w:rsidRPr="003F17DD" w:rsidRDefault="00B94C90" w:rsidP="00B64331">
            <w:pPr>
              <w:pStyle w:val="Normal-pool-Table"/>
              <w:rPr>
                <w:i/>
                <w:iCs/>
                <w:szCs w:val="18"/>
              </w:rPr>
            </w:pPr>
            <w:r w:rsidRPr="003F17DD">
              <w:rPr>
                <w:i/>
                <w:iCs/>
                <w:color w:val="000000"/>
              </w:rPr>
              <w:t>Secteur</w:t>
            </w:r>
            <w:r w:rsidRPr="003F17DD">
              <w:rPr>
                <w:color w:val="000000"/>
              </w:rPr>
              <w:t xml:space="preserve"> </w:t>
            </w:r>
          </w:p>
        </w:tc>
        <w:tc>
          <w:tcPr>
            <w:tcW w:w="4875" w:type="dxa"/>
            <w:gridSpan w:val="2"/>
            <w:tcBorders>
              <w:top w:val="single" w:sz="4" w:space="0" w:color="auto"/>
              <w:bottom w:val="single" w:sz="4" w:space="0" w:color="auto"/>
            </w:tcBorders>
            <w:vAlign w:val="bottom"/>
            <w:hideMark/>
          </w:tcPr>
          <w:p w14:paraId="70DA930B" w14:textId="1DF514CE" w:rsidR="00B94C90" w:rsidRPr="003F17DD" w:rsidRDefault="00B94C90" w:rsidP="00B64331">
            <w:pPr>
              <w:pStyle w:val="Normal-pool-Table"/>
              <w:jc w:val="center"/>
              <w:rPr>
                <w:i/>
                <w:iCs/>
                <w:szCs w:val="18"/>
              </w:rPr>
            </w:pPr>
            <w:r w:rsidRPr="003F17DD">
              <w:rPr>
                <w:i/>
                <w:iCs/>
                <w:color w:val="000000"/>
              </w:rPr>
              <w:t xml:space="preserve">FOURCHETTE DE FINANCEMENT ESTIMÉE POUR </w:t>
            </w:r>
            <w:r w:rsidR="00275FB1">
              <w:rPr>
                <w:i/>
                <w:iCs/>
                <w:color w:val="000000"/>
              </w:rPr>
              <w:br/>
            </w:r>
            <w:r w:rsidRPr="003F17DD">
              <w:rPr>
                <w:i/>
                <w:iCs/>
                <w:color w:val="000000"/>
              </w:rPr>
              <w:t>LES HFC (en millions de dollars des États-Unis)</w:t>
            </w:r>
          </w:p>
        </w:tc>
      </w:tr>
      <w:tr w:rsidR="00B94C90" w:rsidRPr="003F17DD" w14:paraId="0F778234" w14:textId="77777777" w:rsidTr="00B64331">
        <w:trPr>
          <w:trHeight w:val="60"/>
          <w:tblHeader/>
          <w:jc w:val="right"/>
        </w:trPr>
        <w:tc>
          <w:tcPr>
            <w:tcW w:w="1314" w:type="dxa"/>
            <w:vMerge/>
            <w:tcBorders>
              <w:bottom w:val="single" w:sz="12" w:space="0" w:color="auto"/>
            </w:tcBorders>
            <w:vAlign w:val="bottom"/>
          </w:tcPr>
          <w:p w14:paraId="3EE520AD" w14:textId="77777777" w:rsidR="00B94C90" w:rsidRPr="003F17DD" w:rsidRDefault="00B94C90" w:rsidP="00B64331">
            <w:pPr>
              <w:pStyle w:val="Normal-pool-Table"/>
              <w:rPr>
                <w:i/>
                <w:iCs/>
                <w:szCs w:val="18"/>
              </w:rPr>
            </w:pPr>
          </w:p>
        </w:tc>
        <w:tc>
          <w:tcPr>
            <w:tcW w:w="2437" w:type="dxa"/>
            <w:vMerge/>
            <w:tcBorders>
              <w:bottom w:val="single" w:sz="12" w:space="0" w:color="auto"/>
            </w:tcBorders>
            <w:vAlign w:val="bottom"/>
            <w:hideMark/>
          </w:tcPr>
          <w:p w14:paraId="77236E8D" w14:textId="77777777" w:rsidR="00B94C90" w:rsidRPr="003F17DD" w:rsidRDefault="00B94C90" w:rsidP="00B64331">
            <w:pPr>
              <w:pStyle w:val="Normal-pool-Table"/>
              <w:rPr>
                <w:i/>
                <w:iCs/>
                <w:szCs w:val="18"/>
              </w:rPr>
            </w:pPr>
          </w:p>
        </w:tc>
        <w:tc>
          <w:tcPr>
            <w:tcW w:w="2367" w:type="dxa"/>
            <w:tcBorders>
              <w:top w:val="single" w:sz="4" w:space="0" w:color="auto"/>
              <w:bottom w:val="single" w:sz="12" w:space="0" w:color="auto"/>
            </w:tcBorders>
            <w:vAlign w:val="bottom"/>
            <w:hideMark/>
          </w:tcPr>
          <w:p w14:paraId="25551208" w14:textId="0E776D10" w:rsidR="00B94C90" w:rsidRPr="003F17DD" w:rsidRDefault="00B94C90" w:rsidP="00B64331">
            <w:pPr>
              <w:pStyle w:val="Normal-pool-Table"/>
              <w:jc w:val="right"/>
              <w:rPr>
                <w:i/>
                <w:iCs/>
                <w:szCs w:val="18"/>
              </w:rPr>
            </w:pPr>
            <w:r w:rsidRPr="003F17DD">
              <w:rPr>
                <w:i/>
                <w:iCs/>
                <w:color w:val="000000"/>
              </w:rPr>
              <w:t>Scénario</w:t>
            </w:r>
            <w:r w:rsidR="00A12BD0">
              <w:rPr>
                <w:i/>
                <w:iCs/>
                <w:color w:val="000000"/>
              </w:rPr>
              <w:t>s</w:t>
            </w:r>
            <w:r w:rsidR="00BB187E">
              <w:rPr>
                <w:i/>
                <w:iCs/>
                <w:color w:val="000000"/>
              </w:rPr>
              <w:t> </w:t>
            </w:r>
            <w:r w:rsidRPr="003F17DD">
              <w:rPr>
                <w:i/>
                <w:iCs/>
                <w:color w:val="000000"/>
              </w:rPr>
              <w:t>1</w:t>
            </w:r>
            <w:r w:rsidR="00A12BD0">
              <w:rPr>
                <w:i/>
                <w:iCs/>
                <w:color w:val="000000"/>
              </w:rPr>
              <w:t xml:space="preserve"> et 2</w:t>
            </w:r>
            <w:r w:rsidRPr="003F17DD">
              <w:rPr>
                <w:i/>
                <w:iCs/>
                <w:color w:val="000000"/>
              </w:rPr>
              <w:t xml:space="preserve"> pour les HFC avec </w:t>
            </w:r>
            <w:r w:rsidR="00B13238" w:rsidRPr="003F17DD">
              <w:rPr>
                <w:i/>
                <w:iCs/>
                <w:color w:val="000000"/>
              </w:rPr>
              <w:t>calendrier</w:t>
            </w:r>
            <w:r w:rsidR="00D812F8">
              <w:rPr>
                <w:i/>
                <w:iCs/>
                <w:color w:val="000000"/>
              </w:rPr>
              <w:t> </w:t>
            </w:r>
            <w:r w:rsidR="00B13238" w:rsidRPr="003F17DD">
              <w:rPr>
                <w:i/>
                <w:iCs/>
                <w:color w:val="000000"/>
              </w:rPr>
              <w:t xml:space="preserve">A </w:t>
            </w:r>
            <w:r w:rsidR="00275FB1">
              <w:rPr>
                <w:i/>
                <w:iCs/>
                <w:color w:val="000000"/>
              </w:rPr>
              <w:br/>
            </w:r>
            <w:r w:rsidR="00B13238" w:rsidRPr="003F17DD">
              <w:rPr>
                <w:i/>
                <w:iCs/>
                <w:color w:val="000000"/>
              </w:rPr>
              <w:t>d</w:t>
            </w:r>
            <w:r w:rsidR="007175B8">
              <w:rPr>
                <w:i/>
                <w:iCs/>
                <w:color w:val="000000"/>
              </w:rPr>
              <w:t>’</w:t>
            </w:r>
            <w:r w:rsidRPr="003F17DD">
              <w:rPr>
                <w:i/>
                <w:iCs/>
                <w:color w:val="000000"/>
              </w:rPr>
              <w:t xml:space="preserve">allocation des ressources </w:t>
            </w:r>
          </w:p>
        </w:tc>
        <w:tc>
          <w:tcPr>
            <w:tcW w:w="2508" w:type="dxa"/>
            <w:tcBorders>
              <w:top w:val="single" w:sz="4" w:space="0" w:color="auto"/>
              <w:bottom w:val="single" w:sz="12" w:space="0" w:color="auto"/>
            </w:tcBorders>
            <w:vAlign w:val="bottom"/>
            <w:hideMark/>
          </w:tcPr>
          <w:p w14:paraId="4BA18BA8" w14:textId="33752F5F" w:rsidR="00B94C90" w:rsidRPr="003F17DD" w:rsidRDefault="00B94C90" w:rsidP="00B64331">
            <w:pPr>
              <w:pStyle w:val="Normal-pool-Table"/>
              <w:jc w:val="right"/>
              <w:rPr>
                <w:i/>
                <w:iCs/>
                <w:szCs w:val="18"/>
              </w:rPr>
            </w:pPr>
            <w:r w:rsidRPr="003F17DD">
              <w:rPr>
                <w:i/>
                <w:iCs/>
                <w:color w:val="000000"/>
              </w:rPr>
              <w:t>Scénario</w:t>
            </w:r>
            <w:r w:rsidR="00275FB1">
              <w:rPr>
                <w:i/>
                <w:iCs/>
                <w:color w:val="000000"/>
              </w:rPr>
              <w:t>s</w:t>
            </w:r>
            <w:r w:rsidR="00BB187E">
              <w:rPr>
                <w:i/>
                <w:iCs/>
                <w:color w:val="000000"/>
              </w:rPr>
              <w:t> </w:t>
            </w:r>
            <w:r w:rsidR="00A12BD0">
              <w:rPr>
                <w:i/>
                <w:iCs/>
                <w:color w:val="000000"/>
              </w:rPr>
              <w:t xml:space="preserve">1 et </w:t>
            </w:r>
            <w:r w:rsidRPr="003F17DD">
              <w:rPr>
                <w:i/>
                <w:iCs/>
                <w:color w:val="000000"/>
              </w:rPr>
              <w:t xml:space="preserve">2 pour les HFC avec </w:t>
            </w:r>
            <w:r w:rsidR="00B13238" w:rsidRPr="003F17DD">
              <w:rPr>
                <w:i/>
                <w:iCs/>
                <w:color w:val="000000"/>
              </w:rPr>
              <w:t>calendrier</w:t>
            </w:r>
            <w:r w:rsidR="00D812F8">
              <w:rPr>
                <w:i/>
                <w:iCs/>
                <w:color w:val="000000"/>
              </w:rPr>
              <w:t> </w:t>
            </w:r>
            <w:r w:rsidR="00B13238" w:rsidRPr="003F17DD">
              <w:rPr>
                <w:i/>
                <w:iCs/>
                <w:color w:val="000000"/>
              </w:rPr>
              <w:t xml:space="preserve">B </w:t>
            </w:r>
            <w:r w:rsidR="00275FB1">
              <w:rPr>
                <w:i/>
                <w:iCs/>
                <w:color w:val="000000"/>
              </w:rPr>
              <w:br/>
            </w:r>
            <w:r w:rsidR="00B13238" w:rsidRPr="003F17DD">
              <w:rPr>
                <w:i/>
                <w:iCs/>
                <w:color w:val="000000"/>
              </w:rPr>
              <w:t>d</w:t>
            </w:r>
            <w:r w:rsidR="007175B8">
              <w:rPr>
                <w:i/>
                <w:iCs/>
                <w:color w:val="000000"/>
              </w:rPr>
              <w:t>’</w:t>
            </w:r>
            <w:r w:rsidRPr="003F17DD">
              <w:rPr>
                <w:i/>
                <w:iCs/>
                <w:color w:val="000000"/>
              </w:rPr>
              <w:t xml:space="preserve">allocation des ressources </w:t>
            </w:r>
          </w:p>
        </w:tc>
      </w:tr>
      <w:tr w:rsidR="00B94C90" w:rsidRPr="003F17DD" w14:paraId="3651DA0A" w14:textId="77777777" w:rsidTr="00B64331">
        <w:trPr>
          <w:trHeight w:val="287"/>
          <w:jc w:val="right"/>
        </w:trPr>
        <w:tc>
          <w:tcPr>
            <w:tcW w:w="1314" w:type="dxa"/>
            <w:vMerge w:val="restart"/>
            <w:tcBorders>
              <w:top w:val="single" w:sz="12" w:space="0" w:color="auto"/>
            </w:tcBorders>
            <w:vAlign w:val="center"/>
          </w:tcPr>
          <w:p w14:paraId="76CAB404" w14:textId="77777777" w:rsidR="00B94C90" w:rsidRPr="003F17DD" w:rsidRDefault="00B94C90" w:rsidP="00B64331">
            <w:pPr>
              <w:pStyle w:val="Normal-pool-Table"/>
              <w:rPr>
                <w:szCs w:val="18"/>
              </w:rPr>
            </w:pPr>
            <w:r w:rsidRPr="003F17DD">
              <w:rPr>
                <w:color w:val="000000"/>
              </w:rPr>
              <w:t>2027-2029</w:t>
            </w:r>
          </w:p>
        </w:tc>
        <w:tc>
          <w:tcPr>
            <w:tcW w:w="2437" w:type="dxa"/>
            <w:tcBorders>
              <w:top w:val="single" w:sz="12" w:space="0" w:color="auto"/>
            </w:tcBorders>
            <w:vAlign w:val="bottom"/>
            <w:hideMark/>
          </w:tcPr>
          <w:p w14:paraId="59690752" w14:textId="44E153D3" w:rsidR="00B94C90" w:rsidRPr="003F17DD" w:rsidRDefault="00B94C90" w:rsidP="00B64331">
            <w:pPr>
              <w:pStyle w:val="Normal-pool-Table"/>
              <w:rPr>
                <w:szCs w:val="18"/>
              </w:rPr>
            </w:pPr>
            <w:r w:rsidRPr="003F17DD">
              <w:rPr>
                <w:color w:val="000000"/>
              </w:rPr>
              <w:t>Secteur de la consommation d</w:t>
            </w:r>
            <w:r w:rsidR="007175B8">
              <w:rPr>
                <w:color w:val="000000"/>
              </w:rPr>
              <w:t>’</w:t>
            </w:r>
            <w:r w:rsidRPr="003F17DD">
              <w:rPr>
                <w:color w:val="000000"/>
              </w:rPr>
              <w:t xml:space="preserve">HFC </w:t>
            </w:r>
          </w:p>
        </w:tc>
        <w:tc>
          <w:tcPr>
            <w:tcW w:w="2367" w:type="dxa"/>
            <w:tcBorders>
              <w:top w:val="single" w:sz="12" w:space="0" w:color="auto"/>
            </w:tcBorders>
            <w:vAlign w:val="center"/>
            <w:hideMark/>
          </w:tcPr>
          <w:p w14:paraId="2D4AB706" w14:textId="62472487" w:rsidR="00B94C90" w:rsidRPr="003F17DD" w:rsidRDefault="00B94C90" w:rsidP="00B64331">
            <w:pPr>
              <w:pStyle w:val="Normal-pool-Table"/>
              <w:jc w:val="right"/>
              <w:rPr>
                <w:szCs w:val="18"/>
              </w:rPr>
            </w:pPr>
            <w:r w:rsidRPr="003F17DD">
              <w:rPr>
                <w:color w:val="000000"/>
                <w:szCs w:val="18"/>
              </w:rPr>
              <w:t>958 – 1</w:t>
            </w:r>
            <w:r w:rsidR="00FA6709">
              <w:rPr>
                <w:color w:val="000000"/>
                <w:szCs w:val="18"/>
              </w:rPr>
              <w:t> </w:t>
            </w:r>
            <w:r w:rsidRPr="003F17DD">
              <w:rPr>
                <w:color w:val="000000"/>
                <w:szCs w:val="18"/>
              </w:rPr>
              <w:t>042</w:t>
            </w:r>
          </w:p>
        </w:tc>
        <w:tc>
          <w:tcPr>
            <w:tcW w:w="2508" w:type="dxa"/>
            <w:tcBorders>
              <w:top w:val="single" w:sz="12" w:space="0" w:color="auto"/>
            </w:tcBorders>
            <w:vAlign w:val="center"/>
            <w:hideMark/>
          </w:tcPr>
          <w:p w14:paraId="265C19AD" w14:textId="77777777" w:rsidR="00B94C90" w:rsidRPr="003F17DD" w:rsidRDefault="00B94C90" w:rsidP="00B64331">
            <w:pPr>
              <w:pStyle w:val="Normal-pool-Table"/>
              <w:jc w:val="right"/>
              <w:rPr>
                <w:szCs w:val="18"/>
              </w:rPr>
            </w:pPr>
            <w:r w:rsidRPr="003F17DD">
              <w:rPr>
                <w:color w:val="000000"/>
                <w:szCs w:val="18"/>
              </w:rPr>
              <w:t>690 – 769</w:t>
            </w:r>
          </w:p>
        </w:tc>
      </w:tr>
      <w:tr w:rsidR="00B94C90" w:rsidRPr="003F17DD" w14:paraId="7B9640E3" w14:textId="77777777" w:rsidTr="00B64331">
        <w:trPr>
          <w:trHeight w:val="287"/>
          <w:jc w:val="right"/>
        </w:trPr>
        <w:tc>
          <w:tcPr>
            <w:tcW w:w="1314" w:type="dxa"/>
            <w:vMerge/>
            <w:vAlign w:val="center"/>
          </w:tcPr>
          <w:p w14:paraId="7D268373" w14:textId="77777777" w:rsidR="00B94C90" w:rsidRPr="003F17DD" w:rsidRDefault="00B94C90" w:rsidP="00B64331">
            <w:pPr>
              <w:pStyle w:val="Normal-pool-Table"/>
              <w:rPr>
                <w:szCs w:val="18"/>
              </w:rPr>
            </w:pPr>
          </w:p>
        </w:tc>
        <w:tc>
          <w:tcPr>
            <w:tcW w:w="2437" w:type="dxa"/>
            <w:vAlign w:val="bottom"/>
          </w:tcPr>
          <w:p w14:paraId="498DE077" w14:textId="4AA5ECC0" w:rsidR="00B94C90" w:rsidRPr="003F17DD" w:rsidRDefault="00B94C90" w:rsidP="00B64331">
            <w:pPr>
              <w:pStyle w:val="Normal-pool-Table"/>
              <w:rPr>
                <w:szCs w:val="18"/>
              </w:rPr>
            </w:pPr>
            <w:r w:rsidRPr="003F17DD">
              <w:rPr>
                <w:color w:val="000000"/>
              </w:rPr>
              <w:t>Secteur de la production d</w:t>
            </w:r>
            <w:r w:rsidR="007175B8">
              <w:rPr>
                <w:color w:val="000000"/>
              </w:rPr>
              <w:t>’</w:t>
            </w:r>
            <w:r w:rsidRPr="003F17DD">
              <w:rPr>
                <w:color w:val="000000"/>
              </w:rPr>
              <w:t>HFC et mesures d</w:t>
            </w:r>
            <w:r w:rsidR="007175B8">
              <w:rPr>
                <w:color w:val="000000"/>
              </w:rPr>
              <w:t>’</w:t>
            </w:r>
            <w:r w:rsidRPr="003F17DD">
              <w:rPr>
                <w:color w:val="000000"/>
              </w:rPr>
              <w:t>atténuation concernant le HFC-23</w:t>
            </w:r>
          </w:p>
        </w:tc>
        <w:tc>
          <w:tcPr>
            <w:tcW w:w="2367" w:type="dxa"/>
            <w:vAlign w:val="center"/>
          </w:tcPr>
          <w:p w14:paraId="62E921A6" w14:textId="77777777" w:rsidR="00B94C90" w:rsidRPr="003F17DD" w:rsidRDefault="00B94C90" w:rsidP="00B64331">
            <w:pPr>
              <w:pStyle w:val="Normal-pool-Table"/>
              <w:jc w:val="right"/>
              <w:rPr>
                <w:szCs w:val="18"/>
              </w:rPr>
            </w:pPr>
            <w:r w:rsidRPr="003F17DD">
              <w:rPr>
                <w:color w:val="000000"/>
              </w:rPr>
              <w:t>11,76</w:t>
            </w:r>
          </w:p>
        </w:tc>
        <w:tc>
          <w:tcPr>
            <w:tcW w:w="2508" w:type="dxa"/>
            <w:vAlign w:val="center"/>
          </w:tcPr>
          <w:p w14:paraId="24BCD724" w14:textId="77777777" w:rsidR="00B94C90" w:rsidRPr="003F17DD" w:rsidRDefault="00B94C90" w:rsidP="00B64331">
            <w:pPr>
              <w:pStyle w:val="Normal-pool-Table"/>
              <w:jc w:val="right"/>
              <w:rPr>
                <w:szCs w:val="18"/>
              </w:rPr>
            </w:pPr>
            <w:r w:rsidRPr="003F17DD">
              <w:rPr>
                <w:color w:val="000000"/>
              </w:rPr>
              <w:t>11,76</w:t>
            </w:r>
          </w:p>
        </w:tc>
      </w:tr>
      <w:tr w:rsidR="00B94C90" w:rsidRPr="003F17DD" w14:paraId="04E47CD1" w14:textId="77777777" w:rsidTr="00B64331">
        <w:trPr>
          <w:trHeight w:val="287"/>
          <w:jc w:val="right"/>
        </w:trPr>
        <w:tc>
          <w:tcPr>
            <w:tcW w:w="1314" w:type="dxa"/>
            <w:vMerge/>
            <w:vAlign w:val="center"/>
          </w:tcPr>
          <w:p w14:paraId="4E44493D" w14:textId="77777777" w:rsidR="00B94C90" w:rsidRPr="003F17DD" w:rsidRDefault="00B94C90" w:rsidP="00B64331">
            <w:pPr>
              <w:pStyle w:val="Normal-pool-Table"/>
              <w:rPr>
                <w:szCs w:val="18"/>
              </w:rPr>
            </w:pPr>
          </w:p>
        </w:tc>
        <w:tc>
          <w:tcPr>
            <w:tcW w:w="2437" w:type="dxa"/>
            <w:vAlign w:val="bottom"/>
          </w:tcPr>
          <w:p w14:paraId="2CBA7DE8" w14:textId="77777777" w:rsidR="00B94C90" w:rsidRPr="003F17DD" w:rsidRDefault="00B94C90" w:rsidP="00B64331">
            <w:pPr>
              <w:pStyle w:val="Normal-pool-Table"/>
              <w:rPr>
                <w:b/>
                <w:bCs/>
                <w:szCs w:val="18"/>
              </w:rPr>
            </w:pPr>
            <w:r w:rsidRPr="003F17DD">
              <w:rPr>
                <w:b/>
                <w:bCs/>
                <w:color w:val="000000"/>
              </w:rPr>
              <w:t>FOURCHETTE TOTALE</w:t>
            </w:r>
          </w:p>
        </w:tc>
        <w:tc>
          <w:tcPr>
            <w:tcW w:w="2367" w:type="dxa"/>
            <w:vAlign w:val="center"/>
          </w:tcPr>
          <w:p w14:paraId="097CF178" w14:textId="64E585E5" w:rsidR="00B94C90" w:rsidRPr="003F17DD" w:rsidRDefault="00B94C90" w:rsidP="00B64331">
            <w:pPr>
              <w:pStyle w:val="Normal-pool-Table"/>
              <w:jc w:val="right"/>
              <w:rPr>
                <w:b/>
                <w:bCs/>
                <w:szCs w:val="18"/>
              </w:rPr>
            </w:pPr>
            <w:r w:rsidRPr="003F17DD">
              <w:rPr>
                <w:b/>
                <w:bCs/>
                <w:color w:val="000000"/>
                <w:szCs w:val="18"/>
              </w:rPr>
              <w:t>970 – 1</w:t>
            </w:r>
            <w:r w:rsidR="00FA6709">
              <w:rPr>
                <w:b/>
                <w:bCs/>
                <w:color w:val="000000"/>
                <w:szCs w:val="18"/>
              </w:rPr>
              <w:t> </w:t>
            </w:r>
            <w:r w:rsidRPr="003F17DD">
              <w:rPr>
                <w:b/>
                <w:bCs/>
                <w:color w:val="000000"/>
                <w:szCs w:val="18"/>
              </w:rPr>
              <w:t>053</w:t>
            </w:r>
          </w:p>
        </w:tc>
        <w:tc>
          <w:tcPr>
            <w:tcW w:w="2508" w:type="dxa"/>
            <w:vAlign w:val="center"/>
          </w:tcPr>
          <w:p w14:paraId="19484750" w14:textId="77777777" w:rsidR="00B94C90" w:rsidRPr="003F17DD" w:rsidRDefault="00B94C90" w:rsidP="00B64331">
            <w:pPr>
              <w:pStyle w:val="Normal-pool-Table"/>
              <w:jc w:val="right"/>
              <w:rPr>
                <w:b/>
                <w:bCs/>
                <w:szCs w:val="18"/>
              </w:rPr>
            </w:pPr>
            <w:r w:rsidRPr="003F17DD">
              <w:rPr>
                <w:b/>
                <w:bCs/>
                <w:color w:val="000000"/>
                <w:szCs w:val="18"/>
              </w:rPr>
              <w:t>702 – 781</w:t>
            </w:r>
          </w:p>
        </w:tc>
      </w:tr>
      <w:tr w:rsidR="00B94C90" w:rsidRPr="003F17DD" w14:paraId="00321D2D" w14:textId="77777777" w:rsidTr="00B64331">
        <w:trPr>
          <w:trHeight w:val="287"/>
          <w:jc w:val="right"/>
        </w:trPr>
        <w:tc>
          <w:tcPr>
            <w:tcW w:w="1314" w:type="dxa"/>
            <w:vMerge w:val="restart"/>
            <w:vAlign w:val="center"/>
          </w:tcPr>
          <w:p w14:paraId="4C950C9B" w14:textId="77777777" w:rsidR="00B94C90" w:rsidRPr="003F17DD" w:rsidRDefault="00B94C90" w:rsidP="00B64331">
            <w:pPr>
              <w:pStyle w:val="Normal-pool-Table"/>
              <w:rPr>
                <w:szCs w:val="18"/>
              </w:rPr>
            </w:pPr>
            <w:r w:rsidRPr="003F17DD">
              <w:rPr>
                <w:color w:val="000000"/>
              </w:rPr>
              <w:t>2030-2032</w:t>
            </w:r>
          </w:p>
        </w:tc>
        <w:tc>
          <w:tcPr>
            <w:tcW w:w="2437" w:type="dxa"/>
            <w:vAlign w:val="bottom"/>
          </w:tcPr>
          <w:p w14:paraId="0D11765F" w14:textId="5472F7A4" w:rsidR="00B94C90" w:rsidRPr="003F17DD" w:rsidRDefault="00B94C90" w:rsidP="00B64331">
            <w:pPr>
              <w:pStyle w:val="Normal-pool-Table"/>
              <w:rPr>
                <w:szCs w:val="18"/>
              </w:rPr>
            </w:pPr>
            <w:r w:rsidRPr="003F17DD">
              <w:rPr>
                <w:color w:val="000000"/>
              </w:rPr>
              <w:t>Secteur de la consommation d</w:t>
            </w:r>
            <w:r w:rsidR="007175B8">
              <w:rPr>
                <w:color w:val="000000"/>
              </w:rPr>
              <w:t>’</w:t>
            </w:r>
            <w:r w:rsidRPr="003F17DD">
              <w:rPr>
                <w:color w:val="000000"/>
              </w:rPr>
              <w:t xml:space="preserve">HFC </w:t>
            </w:r>
          </w:p>
        </w:tc>
        <w:tc>
          <w:tcPr>
            <w:tcW w:w="2367" w:type="dxa"/>
          </w:tcPr>
          <w:p w14:paraId="71F6C8BD" w14:textId="77777777" w:rsidR="00B94C90" w:rsidRPr="003F17DD" w:rsidRDefault="00B94C90" w:rsidP="00B64331">
            <w:pPr>
              <w:pStyle w:val="Normal-pool-Table"/>
              <w:jc w:val="right"/>
              <w:rPr>
                <w:szCs w:val="18"/>
              </w:rPr>
            </w:pPr>
            <w:r w:rsidRPr="003F17DD">
              <w:rPr>
                <w:color w:val="000000"/>
                <w:szCs w:val="18"/>
              </w:rPr>
              <w:t>876 – 907</w:t>
            </w:r>
          </w:p>
        </w:tc>
        <w:tc>
          <w:tcPr>
            <w:tcW w:w="2508" w:type="dxa"/>
          </w:tcPr>
          <w:p w14:paraId="237FFDA3" w14:textId="4064D7B0" w:rsidR="00B94C90" w:rsidRPr="003F17DD" w:rsidRDefault="00B94C90" w:rsidP="00B64331">
            <w:pPr>
              <w:pStyle w:val="Normal-pool-Table"/>
              <w:jc w:val="right"/>
              <w:rPr>
                <w:szCs w:val="18"/>
              </w:rPr>
            </w:pPr>
            <w:r w:rsidRPr="003F17DD">
              <w:rPr>
                <w:color w:val="000000"/>
                <w:szCs w:val="18"/>
              </w:rPr>
              <w:t>1</w:t>
            </w:r>
            <w:r w:rsidR="00FA6709">
              <w:rPr>
                <w:color w:val="000000"/>
                <w:szCs w:val="18"/>
              </w:rPr>
              <w:t> </w:t>
            </w:r>
            <w:r w:rsidRPr="003F17DD">
              <w:rPr>
                <w:color w:val="000000"/>
                <w:szCs w:val="18"/>
              </w:rPr>
              <w:t>049 – 1</w:t>
            </w:r>
            <w:r w:rsidR="00FA6709">
              <w:rPr>
                <w:color w:val="000000"/>
                <w:szCs w:val="18"/>
              </w:rPr>
              <w:t> </w:t>
            </w:r>
            <w:r w:rsidRPr="003F17DD">
              <w:rPr>
                <w:color w:val="000000"/>
                <w:szCs w:val="18"/>
              </w:rPr>
              <w:t>084</w:t>
            </w:r>
          </w:p>
        </w:tc>
      </w:tr>
      <w:tr w:rsidR="00B94C90" w:rsidRPr="003F17DD" w14:paraId="0EC6488E" w14:textId="77777777" w:rsidTr="00B64331">
        <w:trPr>
          <w:trHeight w:val="287"/>
          <w:jc w:val="right"/>
        </w:trPr>
        <w:tc>
          <w:tcPr>
            <w:tcW w:w="1314" w:type="dxa"/>
            <w:vMerge/>
            <w:vAlign w:val="center"/>
          </w:tcPr>
          <w:p w14:paraId="1D95FB5A" w14:textId="77777777" w:rsidR="00B94C90" w:rsidRPr="003F17DD" w:rsidRDefault="00B94C90" w:rsidP="00B64331">
            <w:pPr>
              <w:pStyle w:val="Normal-pool-Table"/>
              <w:rPr>
                <w:szCs w:val="18"/>
              </w:rPr>
            </w:pPr>
          </w:p>
        </w:tc>
        <w:tc>
          <w:tcPr>
            <w:tcW w:w="2437" w:type="dxa"/>
            <w:vAlign w:val="bottom"/>
          </w:tcPr>
          <w:p w14:paraId="1DD8616C" w14:textId="3D5EF2CC" w:rsidR="00B94C90" w:rsidRPr="003F17DD" w:rsidRDefault="00B94C90" w:rsidP="00B64331">
            <w:pPr>
              <w:pStyle w:val="Normal-pool-Table"/>
              <w:rPr>
                <w:szCs w:val="18"/>
              </w:rPr>
            </w:pPr>
            <w:r w:rsidRPr="003F17DD">
              <w:rPr>
                <w:color w:val="000000"/>
              </w:rPr>
              <w:t>Secteur de la production d</w:t>
            </w:r>
            <w:r w:rsidR="007175B8">
              <w:rPr>
                <w:color w:val="000000"/>
              </w:rPr>
              <w:t>’</w:t>
            </w:r>
            <w:r w:rsidRPr="003F17DD">
              <w:rPr>
                <w:color w:val="000000"/>
              </w:rPr>
              <w:t>HFC et mesures d</w:t>
            </w:r>
            <w:r w:rsidR="007175B8">
              <w:rPr>
                <w:color w:val="000000"/>
              </w:rPr>
              <w:t>’</w:t>
            </w:r>
            <w:r w:rsidRPr="003F17DD">
              <w:rPr>
                <w:color w:val="000000"/>
              </w:rPr>
              <w:t>atténuation concernant le HFC-23</w:t>
            </w:r>
          </w:p>
        </w:tc>
        <w:tc>
          <w:tcPr>
            <w:tcW w:w="2367" w:type="dxa"/>
            <w:vAlign w:val="center"/>
          </w:tcPr>
          <w:p w14:paraId="111E372A" w14:textId="77777777" w:rsidR="00B94C90" w:rsidRPr="003F17DD" w:rsidRDefault="00B94C90" w:rsidP="00B64331">
            <w:pPr>
              <w:pStyle w:val="Normal-pool-Table"/>
              <w:jc w:val="right"/>
              <w:rPr>
                <w:szCs w:val="18"/>
              </w:rPr>
            </w:pPr>
            <w:r w:rsidRPr="003F17DD">
              <w:rPr>
                <w:color w:val="000000"/>
              </w:rPr>
              <w:t>0,51</w:t>
            </w:r>
          </w:p>
        </w:tc>
        <w:tc>
          <w:tcPr>
            <w:tcW w:w="2508" w:type="dxa"/>
            <w:vAlign w:val="center"/>
          </w:tcPr>
          <w:p w14:paraId="4F37124F" w14:textId="77777777" w:rsidR="00B94C90" w:rsidRPr="003F17DD" w:rsidRDefault="00B94C90" w:rsidP="00B64331">
            <w:pPr>
              <w:pStyle w:val="Normal-pool-Table"/>
              <w:jc w:val="right"/>
              <w:rPr>
                <w:szCs w:val="18"/>
              </w:rPr>
            </w:pPr>
            <w:r w:rsidRPr="003F17DD">
              <w:rPr>
                <w:color w:val="000000"/>
              </w:rPr>
              <w:t>0,51</w:t>
            </w:r>
          </w:p>
        </w:tc>
      </w:tr>
      <w:tr w:rsidR="00B94C90" w:rsidRPr="003F17DD" w14:paraId="545C5E44" w14:textId="77777777" w:rsidTr="00B64331">
        <w:trPr>
          <w:trHeight w:val="287"/>
          <w:jc w:val="right"/>
        </w:trPr>
        <w:tc>
          <w:tcPr>
            <w:tcW w:w="1314" w:type="dxa"/>
            <w:vMerge/>
            <w:vAlign w:val="center"/>
          </w:tcPr>
          <w:p w14:paraId="67DA199E" w14:textId="77777777" w:rsidR="00B94C90" w:rsidRPr="003F17DD" w:rsidRDefault="00B94C90" w:rsidP="00B64331">
            <w:pPr>
              <w:pStyle w:val="Normal-pool-Table"/>
              <w:rPr>
                <w:szCs w:val="18"/>
              </w:rPr>
            </w:pPr>
          </w:p>
        </w:tc>
        <w:tc>
          <w:tcPr>
            <w:tcW w:w="2437" w:type="dxa"/>
            <w:vAlign w:val="bottom"/>
          </w:tcPr>
          <w:p w14:paraId="3515BEC8" w14:textId="77777777" w:rsidR="00B94C90" w:rsidRPr="003F17DD" w:rsidRDefault="00B94C90" w:rsidP="00B64331">
            <w:pPr>
              <w:pStyle w:val="Normal-pool-Table"/>
              <w:rPr>
                <w:b/>
                <w:bCs/>
                <w:szCs w:val="18"/>
              </w:rPr>
            </w:pPr>
            <w:r w:rsidRPr="003F17DD">
              <w:rPr>
                <w:b/>
                <w:bCs/>
                <w:color w:val="000000"/>
              </w:rPr>
              <w:t>FOURCHETTE TOTALE</w:t>
            </w:r>
          </w:p>
        </w:tc>
        <w:tc>
          <w:tcPr>
            <w:tcW w:w="2367" w:type="dxa"/>
            <w:vAlign w:val="center"/>
          </w:tcPr>
          <w:p w14:paraId="1E44C637" w14:textId="77777777" w:rsidR="00B94C90" w:rsidRPr="003F17DD" w:rsidRDefault="00B94C90" w:rsidP="00B64331">
            <w:pPr>
              <w:pStyle w:val="Normal-pool-Table"/>
              <w:jc w:val="right"/>
              <w:rPr>
                <w:b/>
                <w:bCs/>
                <w:szCs w:val="18"/>
              </w:rPr>
            </w:pPr>
            <w:r w:rsidRPr="003F17DD">
              <w:rPr>
                <w:b/>
                <w:bCs/>
                <w:color w:val="000000"/>
                <w:szCs w:val="18"/>
              </w:rPr>
              <w:t>877 – 908</w:t>
            </w:r>
          </w:p>
        </w:tc>
        <w:tc>
          <w:tcPr>
            <w:tcW w:w="2508" w:type="dxa"/>
            <w:vAlign w:val="center"/>
          </w:tcPr>
          <w:p w14:paraId="4F74F15D" w14:textId="098CEFEA" w:rsidR="00B94C90" w:rsidRPr="003F17DD" w:rsidRDefault="00B94C90" w:rsidP="00B64331">
            <w:pPr>
              <w:pStyle w:val="Normal-pool-Table"/>
              <w:jc w:val="right"/>
              <w:rPr>
                <w:b/>
                <w:bCs/>
                <w:szCs w:val="18"/>
              </w:rPr>
            </w:pPr>
            <w:r w:rsidRPr="003F17DD">
              <w:rPr>
                <w:b/>
                <w:bCs/>
                <w:color w:val="000000"/>
                <w:szCs w:val="18"/>
              </w:rPr>
              <w:t>1</w:t>
            </w:r>
            <w:r w:rsidR="006E6C78">
              <w:rPr>
                <w:b/>
                <w:bCs/>
                <w:color w:val="000000"/>
                <w:szCs w:val="18"/>
              </w:rPr>
              <w:t> </w:t>
            </w:r>
            <w:r w:rsidRPr="003F17DD">
              <w:rPr>
                <w:b/>
                <w:bCs/>
                <w:color w:val="000000"/>
                <w:szCs w:val="18"/>
              </w:rPr>
              <w:t>050 – 1</w:t>
            </w:r>
            <w:r w:rsidR="006E6C78">
              <w:rPr>
                <w:b/>
                <w:bCs/>
                <w:color w:val="000000"/>
                <w:szCs w:val="18"/>
              </w:rPr>
              <w:t> </w:t>
            </w:r>
            <w:r w:rsidRPr="003F17DD">
              <w:rPr>
                <w:b/>
                <w:bCs/>
                <w:color w:val="000000"/>
                <w:szCs w:val="18"/>
              </w:rPr>
              <w:t>085</w:t>
            </w:r>
          </w:p>
        </w:tc>
      </w:tr>
      <w:tr w:rsidR="00B94C90" w:rsidRPr="003F17DD" w14:paraId="0E3D995A" w14:textId="77777777" w:rsidTr="00B64331">
        <w:trPr>
          <w:trHeight w:val="287"/>
          <w:jc w:val="right"/>
        </w:trPr>
        <w:tc>
          <w:tcPr>
            <w:tcW w:w="1314" w:type="dxa"/>
            <w:vMerge w:val="restart"/>
            <w:tcBorders>
              <w:bottom w:val="single" w:sz="12" w:space="0" w:color="auto"/>
            </w:tcBorders>
            <w:vAlign w:val="center"/>
          </w:tcPr>
          <w:p w14:paraId="76993C9A" w14:textId="77777777" w:rsidR="00B94C90" w:rsidRPr="003F17DD" w:rsidRDefault="00B94C90" w:rsidP="00B64331">
            <w:pPr>
              <w:pStyle w:val="Normal-pool-Table"/>
              <w:rPr>
                <w:szCs w:val="18"/>
              </w:rPr>
            </w:pPr>
            <w:r w:rsidRPr="003F17DD">
              <w:rPr>
                <w:color w:val="000000"/>
              </w:rPr>
              <w:t>2033-2035</w:t>
            </w:r>
          </w:p>
        </w:tc>
        <w:tc>
          <w:tcPr>
            <w:tcW w:w="2437" w:type="dxa"/>
            <w:vAlign w:val="bottom"/>
          </w:tcPr>
          <w:p w14:paraId="6FB6E158" w14:textId="411AC7F1" w:rsidR="00B94C90" w:rsidRPr="003F17DD" w:rsidRDefault="00B94C90" w:rsidP="00B64331">
            <w:pPr>
              <w:pStyle w:val="Normal-pool-Table"/>
              <w:rPr>
                <w:szCs w:val="18"/>
              </w:rPr>
            </w:pPr>
            <w:r w:rsidRPr="003F17DD">
              <w:rPr>
                <w:color w:val="000000"/>
              </w:rPr>
              <w:t>Secteur de la consommation d</w:t>
            </w:r>
            <w:r w:rsidR="007175B8">
              <w:rPr>
                <w:color w:val="000000"/>
              </w:rPr>
              <w:t>’</w:t>
            </w:r>
            <w:r w:rsidRPr="003F17DD">
              <w:rPr>
                <w:color w:val="000000"/>
              </w:rPr>
              <w:t xml:space="preserve">HFC </w:t>
            </w:r>
          </w:p>
        </w:tc>
        <w:tc>
          <w:tcPr>
            <w:tcW w:w="2367" w:type="dxa"/>
            <w:vAlign w:val="center"/>
          </w:tcPr>
          <w:p w14:paraId="55EFE17B" w14:textId="77777777" w:rsidR="00B94C90" w:rsidRPr="003F17DD" w:rsidRDefault="00B94C90" w:rsidP="00B64331">
            <w:pPr>
              <w:pStyle w:val="Normal-pool-Table"/>
              <w:jc w:val="right"/>
              <w:rPr>
                <w:szCs w:val="18"/>
              </w:rPr>
            </w:pPr>
            <w:r w:rsidRPr="003F17DD">
              <w:rPr>
                <w:color w:val="000000"/>
                <w:szCs w:val="18"/>
              </w:rPr>
              <w:t>487 – 503</w:t>
            </w:r>
          </w:p>
        </w:tc>
        <w:tc>
          <w:tcPr>
            <w:tcW w:w="2508" w:type="dxa"/>
            <w:vAlign w:val="center"/>
          </w:tcPr>
          <w:p w14:paraId="6EAA16E7" w14:textId="77777777" w:rsidR="00B94C90" w:rsidRPr="003F17DD" w:rsidRDefault="00B94C90" w:rsidP="00B64331">
            <w:pPr>
              <w:pStyle w:val="Normal-pool-Table"/>
              <w:jc w:val="right"/>
              <w:rPr>
                <w:szCs w:val="18"/>
              </w:rPr>
            </w:pPr>
            <w:r w:rsidRPr="003F17DD">
              <w:rPr>
                <w:color w:val="000000"/>
                <w:szCs w:val="18"/>
              </w:rPr>
              <w:t>583 – 600</w:t>
            </w:r>
          </w:p>
        </w:tc>
      </w:tr>
      <w:tr w:rsidR="00B94C90" w:rsidRPr="003F17DD" w14:paraId="5056962A" w14:textId="77777777" w:rsidTr="00B64331">
        <w:trPr>
          <w:trHeight w:val="287"/>
          <w:jc w:val="right"/>
        </w:trPr>
        <w:tc>
          <w:tcPr>
            <w:tcW w:w="1314" w:type="dxa"/>
            <w:vMerge/>
            <w:tcBorders>
              <w:bottom w:val="single" w:sz="12" w:space="0" w:color="auto"/>
            </w:tcBorders>
          </w:tcPr>
          <w:p w14:paraId="6C30C7B7" w14:textId="77777777" w:rsidR="00B94C90" w:rsidRPr="003F17DD" w:rsidRDefault="00B94C90" w:rsidP="00B64331">
            <w:pPr>
              <w:pStyle w:val="Normal-pool-Table"/>
              <w:rPr>
                <w:szCs w:val="18"/>
              </w:rPr>
            </w:pPr>
          </w:p>
        </w:tc>
        <w:tc>
          <w:tcPr>
            <w:tcW w:w="2437" w:type="dxa"/>
            <w:vAlign w:val="bottom"/>
          </w:tcPr>
          <w:p w14:paraId="266AB643" w14:textId="503D1420" w:rsidR="00B94C90" w:rsidRPr="003F17DD" w:rsidRDefault="00B94C90" w:rsidP="00B64331">
            <w:pPr>
              <w:pStyle w:val="Normal-pool-Table"/>
              <w:rPr>
                <w:szCs w:val="18"/>
              </w:rPr>
            </w:pPr>
            <w:r w:rsidRPr="003F17DD">
              <w:rPr>
                <w:color w:val="000000"/>
              </w:rPr>
              <w:t>Secteur de la production d</w:t>
            </w:r>
            <w:r w:rsidR="007175B8">
              <w:rPr>
                <w:color w:val="000000"/>
              </w:rPr>
              <w:t>’</w:t>
            </w:r>
            <w:r w:rsidRPr="003F17DD">
              <w:rPr>
                <w:color w:val="000000"/>
              </w:rPr>
              <w:t>HFC et mesures d</w:t>
            </w:r>
            <w:r w:rsidR="007175B8">
              <w:rPr>
                <w:color w:val="000000"/>
              </w:rPr>
              <w:t>’</w:t>
            </w:r>
            <w:r w:rsidRPr="003F17DD">
              <w:rPr>
                <w:color w:val="000000"/>
              </w:rPr>
              <w:t>atténuation concernant le HFC-23</w:t>
            </w:r>
          </w:p>
        </w:tc>
        <w:tc>
          <w:tcPr>
            <w:tcW w:w="2367" w:type="dxa"/>
            <w:vAlign w:val="center"/>
          </w:tcPr>
          <w:p w14:paraId="66DEE8B4" w14:textId="77777777" w:rsidR="00B94C90" w:rsidRPr="003F17DD" w:rsidRDefault="00B94C90" w:rsidP="00B64331">
            <w:pPr>
              <w:pStyle w:val="Normal-pool-Table"/>
              <w:jc w:val="right"/>
              <w:rPr>
                <w:szCs w:val="18"/>
              </w:rPr>
            </w:pPr>
            <w:r w:rsidRPr="003F17DD">
              <w:rPr>
                <w:color w:val="000000"/>
              </w:rPr>
              <w:t>0</w:t>
            </w:r>
          </w:p>
        </w:tc>
        <w:tc>
          <w:tcPr>
            <w:tcW w:w="2508" w:type="dxa"/>
            <w:vAlign w:val="center"/>
          </w:tcPr>
          <w:p w14:paraId="10921C5B" w14:textId="77777777" w:rsidR="00B94C90" w:rsidRPr="003F17DD" w:rsidRDefault="00B94C90" w:rsidP="00B64331">
            <w:pPr>
              <w:pStyle w:val="Normal-pool-Table"/>
              <w:jc w:val="right"/>
              <w:rPr>
                <w:szCs w:val="18"/>
              </w:rPr>
            </w:pPr>
            <w:r w:rsidRPr="003F17DD">
              <w:rPr>
                <w:color w:val="000000"/>
              </w:rPr>
              <w:t>0</w:t>
            </w:r>
          </w:p>
        </w:tc>
      </w:tr>
      <w:tr w:rsidR="00B94C90" w:rsidRPr="003F17DD" w14:paraId="6015E353" w14:textId="77777777" w:rsidTr="00B64331">
        <w:trPr>
          <w:trHeight w:val="287"/>
          <w:jc w:val="right"/>
        </w:trPr>
        <w:tc>
          <w:tcPr>
            <w:tcW w:w="1314" w:type="dxa"/>
            <w:vMerge/>
            <w:tcBorders>
              <w:bottom w:val="single" w:sz="12" w:space="0" w:color="auto"/>
            </w:tcBorders>
          </w:tcPr>
          <w:p w14:paraId="24CBB18F" w14:textId="77777777" w:rsidR="00B94C90" w:rsidRPr="003F17DD" w:rsidRDefault="00B94C90" w:rsidP="00B64331">
            <w:pPr>
              <w:pStyle w:val="Normal-pool-Table"/>
              <w:rPr>
                <w:szCs w:val="18"/>
              </w:rPr>
            </w:pPr>
          </w:p>
        </w:tc>
        <w:tc>
          <w:tcPr>
            <w:tcW w:w="2437" w:type="dxa"/>
            <w:tcBorders>
              <w:bottom w:val="single" w:sz="12" w:space="0" w:color="auto"/>
            </w:tcBorders>
            <w:vAlign w:val="bottom"/>
          </w:tcPr>
          <w:p w14:paraId="35678ECC" w14:textId="77777777" w:rsidR="00B94C90" w:rsidRPr="003F17DD" w:rsidRDefault="00B94C90" w:rsidP="00B64331">
            <w:pPr>
              <w:pStyle w:val="Normal-pool-Table"/>
              <w:rPr>
                <w:b/>
                <w:bCs/>
                <w:szCs w:val="18"/>
              </w:rPr>
            </w:pPr>
            <w:r w:rsidRPr="003F17DD">
              <w:rPr>
                <w:b/>
                <w:bCs/>
                <w:color w:val="000000"/>
              </w:rPr>
              <w:t>FOURCHETTE TOTALE</w:t>
            </w:r>
          </w:p>
        </w:tc>
        <w:tc>
          <w:tcPr>
            <w:tcW w:w="2367" w:type="dxa"/>
            <w:tcBorders>
              <w:bottom w:val="single" w:sz="12" w:space="0" w:color="auto"/>
            </w:tcBorders>
            <w:vAlign w:val="center"/>
          </w:tcPr>
          <w:p w14:paraId="60DDE566" w14:textId="77777777" w:rsidR="00B94C90" w:rsidRPr="003F17DD" w:rsidRDefault="00B94C90" w:rsidP="00B64331">
            <w:pPr>
              <w:pStyle w:val="Normal-pool-Table"/>
              <w:jc w:val="right"/>
              <w:rPr>
                <w:b/>
                <w:bCs/>
                <w:szCs w:val="18"/>
              </w:rPr>
            </w:pPr>
            <w:r w:rsidRPr="003F17DD">
              <w:rPr>
                <w:b/>
                <w:bCs/>
                <w:color w:val="000000"/>
                <w:szCs w:val="18"/>
              </w:rPr>
              <w:t>487 – 503</w:t>
            </w:r>
          </w:p>
        </w:tc>
        <w:tc>
          <w:tcPr>
            <w:tcW w:w="2508" w:type="dxa"/>
            <w:tcBorders>
              <w:bottom w:val="single" w:sz="12" w:space="0" w:color="auto"/>
            </w:tcBorders>
            <w:vAlign w:val="center"/>
          </w:tcPr>
          <w:p w14:paraId="3BB66A39" w14:textId="77777777" w:rsidR="00B94C90" w:rsidRPr="003F17DD" w:rsidRDefault="00B94C90" w:rsidP="00B64331">
            <w:pPr>
              <w:pStyle w:val="Normal-pool-Table"/>
              <w:jc w:val="right"/>
              <w:rPr>
                <w:b/>
                <w:bCs/>
                <w:szCs w:val="18"/>
              </w:rPr>
            </w:pPr>
            <w:r w:rsidRPr="003F17DD">
              <w:rPr>
                <w:b/>
                <w:bCs/>
                <w:color w:val="000000"/>
                <w:szCs w:val="18"/>
              </w:rPr>
              <w:t>583 – 600</w:t>
            </w:r>
          </w:p>
        </w:tc>
      </w:tr>
    </w:tbl>
    <w:p w14:paraId="42BEC018" w14:textId="610F65CA" w:rsidR="00B94C90" w:rsidRPr="003F17DD" w:rsidRDefault="00B94C90" w:rsidP="00B94C90">
      <w:pPr>
        <w:pStyle w:val="CH3"/>
      </w:pPr>
      <w:r w:rsidRPr="003F17DD">
        <w:lastRenderedPageBreak/>
        <w:tab/>
      </w:r>
      <w:r w:rsidRPr="003F17DD">
        <w:tab/>
      </w:r>
      <w:r w:rsidRPr="003F17DD">
        <w:rPr>
          <w:bCs/>
        </w:rPr>
        <w:t>Fourchette de financement pour la réduction progressive des HFC au cours de la période triennale 2027-2029</w:t>
      </w:r>
      <w:r w:rsidR="00DC36AD">
        <w:rPr>
          <w:bCs/>
        </w:rPr>
        <w:t> </w:t>
      </w:r>
      <w:r w:rsidRPr="003F17DD">
        <w:rPr>
          <w:bCs/>
        </w:rPr>
        <w:t>:</w:t>
      </w:r>
      <w:r w:rsidRPr="003F17DD">
        <w:t xml:space="preserve"> </w:t>
      </w:r>
    </w:p>
    <w:p w14:paraId="2ADC2380" w14:textId="5B474E28" w:rsidR="00B94C90" w:rsidRPr="003F17DD" w:rsidRDefault="00B94C90">
      <w:pPr>
        <w:pStyle w:val="ListParagraph"/>
        <w:keepNext/>
        <w:keepLines/>
        <w:numPr>
          <w:ilvl w:val="0"/>
          <w:numId w:val="17"/>
        </w:numPr>
        <w:tabs>
          <w:tab w:val="clear" w:pos="1247"/>
          <w:tab w:val="clear" w:pos="1814"/>
          <w:tab w:val="clear" w:pos="2381"/>
          <w:tab w:val="clear" w:pos="2948"/>
          <w:tab w:val="clear" w:pos="3515"/>
          <w:tab w:val="left" w:pos="624"/>
        </w:tabs>
        <w:spacing w:after="120"/>
        <w:ind w:left="2495" w:hanging="624"/>
        <w:contextualSpacing w:val="0"/>
        <w:rPr>
          <w:b/>
          <w:bCs/>
        </w:rPr>
      </w:pPr>
      <w:r w:rsidRPr="003F17DD">
        <w:rPr>
          <w:b/>
          <w:bCs/>
        </w:rPr>
        <w:t>970 à 1</w:t>
      </w:r>
      <w:r w:rsidR="00F051E9">
        <w:rPr>
          <w:b/>
          <w:bCs/>
        </w:rPr>
        <w:t> </w:t>
      </w:r>
      <w:r w:rsidRPr="003F17DD">
        <w:rPr>
          <w:b/>
          <w:bCs/>
        </w:rPr>
        <w:t>053</w:t>
      </w:r>
      <w:r w:rsidR="00722641">
        <w:rPr>
          <w:b/>
          <w:bCs/>
        </w:rPr>
        <w:t> </w:t>
      </w:r>
      <w:r w:rsidRPr="003F17DD">
        <w:rPr>
          <w:b/>
          <w:bCs/>
        </w:rPr>
        <w:t xml:space="preserve">millions de dollars des États-Unis au titre du </w:t>
      </w:r>
      <w:r w:rsidR="00B13238" w:rsidRPr="003F17DD">
        <w:rPr>
          <w:b/>
          <w:bCs/>
        </w:rPr>
        <w:t>calendrier</w:t>
      </w:r>
      <w:r w:rsidR="00F051E9">
        <w:rPr>
          <w:b/>
          <w:bCs/>
        </w:rPr>
        <w:t> </w:t>
      </w:r>
      <w:r w:rsidR="00B13238" w:rsidRPr="003F17DD">
        <w:rPr>
          <w:b/>
          <w:bCs/>
        </w:rPr>
        <w:t>A</w:t>
      </w:r>
      <w:r w:rsidRPr="003F17DD">
        <w:rPr>
          <w:b/>
          <w:bCs/>
        </w:rPr>
        <w:t xml:space="preserve"> d</w:t>
      </w:r>
      <w:r w:rsidR="007175B8">
        <w:rPr>
          <w:b/>
          <w:bCs/>
        </w:rPr>
        <w:t>’</w:t>
      </w:r>
      <w:r w:rsidRPr="003F17DD">
        <w:rPr>
          <w:b/>
          <w:bCs/>
        </w:rPr>
        <w:t>allocation des ressources</w:t>
      </w:r>
    </w:p>
    <w:p w14:paraId="5A4AA39D" w14:textId="592CAF7D" w:rsidR="00B94C90" w:rsidRPr="003F17DD" w:rsidRDefault="00B94C90">
      <w:pPr>
        <w:pStyle w:val="ListParagraph"/>
        <w:keepNext/>
        <w:keepLines/>
        <w:numPr>
          <w:ilvl w:val="0"/>
          <w:numId w:val="17"/>
        </w:numPr>
        <w:tabs>
          <w:tab w:val="clear" w:pos="1247"/>
          <w:tab w:val="clear" w:pos="1814"/>
          <w:tab w:val="clear" w:pos="2381"/>
          <w:tab w:val="clear" w:pos="2948"/>
          <w:tab w:val="clear" w:pos="3515"/>
          <w:tab w:val="left" w:pos="624"/>
        </w:tabs>
        <w:spacing w:after="120"/>
        <w:ind w:left="2495" w:hanging="624"/>
        <w:contextualSpacing w:val="0"/>
        <w:rPr>
          <w:rFonts w:eastAsia="SimSun"/>
        </w:rPr>
      </w:pPr>
      <w:r w:rsidRPr="003F17DD">
        <w:rPr>
          <w:b/>
          <w:bCs/>
        </w:rPr>
        <w:t>702 à 781</w:t>
      </w:r>
      <w:r w:rsidR="00722641">
        <w:rPr>
          <w:b/>
          <w:bCs/>
        </w:rPr>
        <w:t> </w:t>
      </w:r>
      <w:r w:rsidRPr="003F17DD">
        <w:rPr>
          <w:b/>
          <w:bCs/>
        </w:rPr>
        <w:t xml:space="preserve">millions de dollars des États-Unis au titre du </w:t>
      </w:r>
      <w:r w:rsidR="00B13238" w:rsidRPr="003F17DD">
        <w:rPr>
          <w:b/>
          <w:bCs/>
        </w:rPr>
        <w:t>calendrier</w:t>
      </w:r>
      <w:r w:rsidR="00722641">
        <w:rPr>
          <w:b/>
          <w:bCs/>
        </w:rPr>
        <w:t> </w:t>
      </w:r>
      <w:r w:rsidR="00B13238" w:rsidRPr="003F17DD">
        <w:rPr>
          <w:b/>
          <w:bCs/>
        </w:rPr>
        <w:t>B</w:t>
      </w:r>
      <w:r w:rsidRPr="003F17DD">
        <w:rPr>
          <w:b/>
          <w:bCs/>
        </w:rPr>
        <w:t xml:space="preserve"> d</w:t>
      </w:r>
      <w:r w:rsidR="007175B8">
        <w:rPr>
          <w:b/>
          <w:bCs/>
        </w:rPr>
        <w:t>’</w:t>
      </w:r>
      <w:r w:rsidRPr="003F17DD">
        <w:rPr>
          <w:b/>
          <w:bCs/>
        </w:rPr>
        <w:t xml:space="preserve">allocation des ressources </w:t>
      </w:r>
    </w:p>
    <w:p w14:paraId="7C73AE20" w14:textId="6E52A4FA" w:rsidR="00B94C90" w:rsidRPr="003F17DD" w:rsidRDefault="00B94C90" w:rsidP="00B94C90">
      <w:pPr>
        <w:pStyle w:val="CH3"/>
      </w:pPr>
      <w:r w:rsidRPr="003F17DD">
        <w:tab/>
      </w:r>
      <w:r w:rsidRPr="003F17DD">
        <w:tab/>
      </w:r>
      <w:r w:rsidRPr="003F17DD">
        <w:rPr>
          <w:bCs/>
        </w:rPr>
        <w:t>Autres considérations et informations relatives au financement à l</w:t>
      </w:r>
      <w:r w:rsidR="007175B8">
        <w:rPr>
          <w:bCs/>
        </w:rPr>
        <w:t>’</w:t>
      </w:r>
      <w:r w:rsidRPr="003F17DD">
        <w:rPr>
          <w:bCs/>
        </w:rPr>
        <w:t>intention des Parties</w:t>
      </w:r>
    </w:p>
    <w:p w14:paraId="7CEBF7A2" w14:textId="3DE90A02" w:rsidR="00B94C90" w:rsidRPr="003F17DD" w:rsidRDefault="00B94C90" w:rsidP="00B94C90">
      <w:pPr>
        <w:pStyle w:val="NormalNonumber"/>
      </w:pPr>
      <w:r w:rsidRPr="003F17DD">
        <w:t>Conformément à la décision</w:t>
      </w:r>
      <w:r w:rsidR="00722641">
        <w:t> </w:t>
      </w:r>
      <w:r w:rsidRPr="003F17DD">
        <w:t>XXXVII/6 relative au cahier des charges de l</w:t>
      </w:r>
      <w:r w:rsidR="007175B8">
        <w:t>’</w:t>
      </w:r>
      <w:r w:rsidRPr="003F17DD">
        <w:t>évaluation à mener par l</w:t>
      </w:r>
      <w:r w:rsidR="007175B8">
        <w:t>’</w:t>
      </w:r>
      <w:r w:rsidRPr="003F17DD">
        <w:t>équipe spéciale, les besoins de financement ont été estimés pour le renforcement institutionnel et les activités courantes, le financement des mesures d</w:t>
      </w:r>
      <w:r w:rsidR="007175B8">
        <w:t>’</w:t>
      </w:r>
      <w:r w:rsidRPr="003F17DD">
        <w:t>efficacité énergétique, ainsi qu</w:t>
      </w:r>
      <w:r w:rsidR="007175B8">
        <w:t>’</w:t>
      </w:r>
      <w:r w:rsidRPr="003F17DD">
        <w:t>une modalité de financement pour les projets pilotes visant à améliorer la surveillance atmosphérique régionale. L</w:t>
      </w:r>
      <w:r w:rsidR="007175B8">
        <w:t>’</w:t>
      </w:r>
      <w:r w:rsidRPr="003F17DD">
        <w:t>équipe spéciale a également fourni des informations actualisées sur «</w:t>
      </w:r>
      <w:r w:rsidR="00C11D0C">
        <w:t> </w:t>
      </w:r>
      <w:r w:rsidRPr="003F17DD">
        <w:t>les besoins spécifiques des pays à faible consommation et à très faible consommation</w:t>
      </w:r>
      <w:r w:rsidR="00C11D0C">
        <w:t> </w:t>
      </w:r>
      <w:r w:rsidRPr="003F17DD">
        <w:t>», sur «</w:t>
      </w:r>
      <w:r w:rsidR="00C11D0C">
        <w:t> </w:t>
      </w:r>
      <w:r w:rsidRPr="003F17DD">
        <w:t>les technologies et outils numériques dans le secteur de l</w:t>
      </w:r>
      <w:r w:rsidR="007175B8">
        <w:t>’</w:t>
      </w:r>
      <w:r w:rsidRPr="003F17DD">
        <w:t>entretien</w:t>
      </w:r>
      <w:r w:rsidR="00C11D0C">
        <w:t> </w:t>
      </w:r>
      <w:r w:rsidRPr="003F17DD">
        <w:t>», ainsi que sur la gestion du cycle de vie des réfrigérants, compte tenu des discussions en cours dans le cadre de la décision</w:t>
      </w:r>
      <w:r w:rsidR="00C11D0C">
        <w:t> </w:t>
      </w:r>
      <w:r w:rsidRPr="003F17DD">
        <w:t>97/89 du Comité</w:t>
      </w:r>
      <w:r w:rsidR="00033D14">
        <w:t> </w:t>
      </w:r>
      <w:r w:rsidRPr="003F17DD">
        <w:t>exécutif. Bien que des informations détaillées sur ces sujets soient fournies à l</w:t>
      </w:r>
      <w:r w:rsidR="007175B8">
        <w:t>’</w:t>
      </w:r>
      <w:r w:rsidRPr="003F17DD">
        <w:t>intention des Parties, celles-ci n</w:t>
      </w:r>
      <w:r w:rsidR="007175B8">
        <w:t>’</w:t>
      </w:r>
      <w:r w:rsidRPr="003F17DD">
        <w:t>ont pas été prises en compte dans l</w:t>
      </w:r>
      <w:r w:rsidR="007175B8">
        <w:t>’</w:t>
      </w:r>
      <w:r w:rsidRPr="003F17DD">
        <w:t>estimation des besoins de financement pour les trois</w:t>
      </w:r>
      <w:r w:rsidR="00516859">
        <w:t> </w:t>
      </w:r>
      <w:r w:rsidRPr="003F17DD">
        <w:t>triennats.</w:t>
      </w:r>
    </w:p>
    <w:p w14:paraId="0388055B" w14:textId="4FD5F974" w:rsidR="00B94C90" w:rsidRPr="003F17DD" w:rsidRDefault="00B94C90" w:rsidP="00B94C90">
      <w:pPr>
        <w:pStyle w:val="CH3"/>
      </w:pPr>
      <w:bookmarkStart w:id="19" w:name="_Hlk78119192"/>
      <w:r w:rsidRPr="003F17DD">
        <w:tab/>
      </w:r>
      <w:r w:rsidRPr="003F17DD">
        <w:tab/>
      </w:r>
      <w:r w:rsidRPr="003F17DD">
        <w:rPr>
          <w:bCs/>
        </w:rPr>
        <w:t>Fourchette des besoins de financement totaux estimés pour la période triennale</w:t>
      </w:r>
      <w:r w:rsidR="007F0697">
        <w:rPr>
          <w:bCs/>
        </w:rPr>
        <w:t> </w:t>
      </w:r>
      <w:r w:rsidRPr="003F17DD">
        <w:rPr>
          <w:bCs/>
        </w:rPr>
        <w:t>2027-2029</w:t>
      </w:r>
    </w:p>
    <w:p w14:paraId="14421F25" w14:textId="2C343698" w:rsidR="00B94C90" w:rsidRPr="008A3AAC" w:rsidRDefault="00B94C90" w:rsidP="00B94C90">
      <w:pPr>
        <w:pStyle w:val="NormalNonumber"/>
      </w:pPr>
      <w:r w:rsidRPr="003F17DD">
        <w:t>La fourchette des besoins de financement estimés au total (y</w:t>
      </w:r>
      <w:r w:rsidR="00F97DAB">
        <w:t> </w:t>
      </w:r>
      <w:r w:rsidRPr="003F17DD">
        <w:t>compris les frais d</w:t>
      </w:r>
      <w:r w:rsidR="007175B8">
        <w:t>’</w:t>
      </w:r>
      <w:r w:rsidRPr="003F17DD">
        <w:t>appui) pour la reconstitution du Fonds multilatéral au cours de la période triennale</w:t>
      </w:r>
      <w:r w:rsidR="007F0697">
        <w:t> </w:t>
      </w:r>
      <w:r w:rsidRPr="003F17DD">
        <w:t>2027-2029 couvre les secteurs de la consommation et de la production d</w:t>
      </w:r>
      <w:r w:rsidR="007175B8">
        <w:t>’</w:t>
      </w:r>
      <w:r w:rsidRPr="003F17DD">
        <w:t>HCFC et d</w:t>
      </w:r>
      <w:r w:rsidR="007175B8">
        <w:t>’</w:t>
      </w:r>
      <w:r w:rsidRPr="003F17DD">
        <w:t xml:space="preserve">HFC, ainsi que les activités de renforcement des </w:t>
      </w:r>
      <w:r w:rsidRPr="008A3AAC">
        <w:t xml:space="preserve">institutions et les activités </w:t>
      </w:r>
      <w:r w:rsidR="00AF3F7F" w:rsidRPr="008A3AAC">
        <w:t>courantes</w:t>
      </w:r>
      <w:r w:rsidRPr="008A3AAC">
        <w:t>, et est présentée dans les tableaux</w:t>
      </w:r>
      <w:r w:rsidR="007F0697" w:rsidRPr="008A3AAC">
        <w:t> </w:t>
      </w:r>
      <w:r w:rsidRPr="008A3AAC">
        <w:t xml:space="preserve">ES.4. </w:t>
      </w:r>
      <w:bookmarkStart w:id="20" w:name="_Hlk81676469"/>
      <w:bookmarkEnd w:id="20"/>
    </w:p>
    <w:p w14:paraId="47B192ED" w14:textId="1160981D" w:rsidR="00B94C90" w:rsidRPr="008A3AAC" w:rsidRDefault="00B94C90" w:rsidP="00B94C90">
      <w:pPr>
        <w:pStyle w:val="Titletable"/>
        <w:rPr>
          <w:rFonts w:eastAsiaTheme="minorEastAsia"/>
          <w:b w:val="0"/>
          <w:bCs w:val="0"/>
        </w:rPr>
      </w:pPr>
      <w:r w:rsidRPr="008A3AAC">
        <w:rPr>
          <w:b w:val="0"/>
          <w:bCs w:val="0"/>
        </w:rPr>
        <w:t>Tableau</w:t>
      </w:r>
      <w:r w:rsidR="008B18C0" w:rsidRPr="008A3AAC">
        <w:rPr>
          <w:b w:val="0"/>
          <w:bCs w:val="0"/>
        </w:rPr>
        <w:t> </w:t>
      </w:r>
      <w:r w:rsidRPr="008A3AAC">
        <w:rPr>
          <w:b w:val="0"/>
          <w:bCs w:val="0"/>
        </w:rPr>
        <w:t>ES.4</w:t>
      </w:r>
      <w:r w:rsidR="001D1087" w:rsidRPr="008A3AAC">
        <w:br/>
      </w:r>
      <w:r w:rsidRPr="008A3AAC">
        <w:t>Fourchette des besoins de financement totaux pour la reconstitution du Fonds multilatéral pour la période 2027-2029, selon différents scénarios et calendriers d</w:t>
      </w:r>
      <w:r w:rsidR="007175B8" w:rsidRPr="008A3AAC">
        <w:t>’</w:t>
      </w:r>
      <w:r w:rsidRPr="008A3AAC">
        <w:t xml:space="preserve">allocation des ressources, </w:t>
      </w:r>
      <w:r w:rsidR="00356A77" w:rsidRPr="008A3AAC">
        <w:t>et</w:t>
      </w:r>
      <w:r w:rsidRPr="008A3AAC">
        <w:t xml:space="preserve"> contributions </w:t>
      </w:r>
      <w:r w:rsidR="00E362CF" w:rsidRPr="008A3AAC">
        <w:t>pour le renfor</w:t>
      </w:r>
      <w:r w:rsidR="00504F9B" w:rsidRPr="008A3AAC">
        <w:t>cement des institutions et</w:t>
      </w:r>
      <w:r w:rsidR="00116B6E" w:rsidRPr="008A3AAC">
        <w:t xml:space="preserve"> les</w:t>
      </w:r>
      <w:r w:rsidR="00504F9B" w:rsidRPr="008A3AAC">
        <w:t xml:space="preserve"> activités courantes</w:t>
      </w:r>
      <w:r w:rsidRPr="008A3AAC">
        <w:t xml:space="preserve"> (en millions de dollars des États-Unis) </w:t>
      </w:r>
      <w:bookmarkEnd w:id="19"/>
    </w:p>
    <w:tbl>
      <w:tblPr>
        <w:tblW w:w="8307" w:type="dxa"/>
        <w:jc w:val="right"/>
        <w:tblLayout w:type="fixed"/>
        <w:tblCellMar>
          <w:left w:w="0" w:type="dxa"/>
          <w:right w:w="0" w:type="dxa"/>
        </w:tblCellMar>
        <w:tblLook w:val="04A0" w:firstRow="1" w:lastRow="0" w:firstColumn="1" w:lastColumn="0" w:noHBand="0" w:noVBand="1"/>
      </w:tblPr>
      <w:tblGrid>
        <w:gridCol w:w="3261"/>
        <w:gridCol w:w="2524"/>
        <w:gridCol w:w="2522"/>
      </w:tblGrid>
      <w:tr w:rsidR="00B94C90" w:rsidRPr="003F17DD" w14:paraId="2F03FC52" w14:textId="77777777" w:rsidTr="00B64331">
        <w:trPr>
          <w:trHeight w:val="67"/>
          <w:jc w:val="right"/>
        </w:trPr>
        <w:tc>
          <w:tcPr>
            <w:tcW w:w="1963" w:type="pct"/>
            <w:tcBorders>
              <w:top w:val="single" w:sz="4" w:space="0" w:color="auto"/>
              <w:bottom w:val="single" w:sz="12" w:space="0" w:color="auto"/>
            </w:tcBorders>
            <w:vAlign w:val="center"/>
            <w:hideMark/>
          </w:tcPr>
          <w:p w14:paraId="025E68B1" w14:textId="77777777" w:rsidR="00B94C90" w:rsidRPr="008A3AAC" w:rsidRDefault="00B94C90" w:rsidP="00B64331">
            <w:pPr>
              <w:pStyle w:val="Normal-pool-Table"/>
              <w:rPr>
                <w:i/>
                <w:iCs/>
              </w:rPr>
            </w:pPr>
            <w:r w:rsidRPr="008A3AAC">
              <w:rPr>
                <w:i/>
                <w:iCs/>
                <w:color w:val="000000"/>
              </w:rPr>
              <w:t>Triennat 2027-2029</w:t>
            </w:r>
          </w:p>
        </w:tc>
        <w:tc>
          <w:tcPr>
            <w:tcW w:w="1519" w:type="pct"/>
            <w:tcBorders>
              <w:top w:val="single" w:sz="4" w:space="0" w:color="auto"/>
              <w:bottom w:val="single" w:sz="12" w:space="0" w:color="auto"/>
            </w:tcBorders>
            <w:vAlign w:val="center"/>
            <w:hideMark/>
          </w:tcPr>
          <w:p w14:paraId="7AE2F290" w14:textId="77777777" w:rsidR="00B94C90" w:rsidRPr="008A3AAC" w:rsidRDefault="00B94C90" w:rsidP="00B64331">
            <w:pPr>
              <w:pStyle w:val="Normal-pool-Table"/>
              <w:jc w:val="right"/>
              <w:rPr>
                <w:i/>
                <w:iCs/>
              </w:rPr>
            </w:pPr>
            <w:r w:rsidRPr="008A3AAC">
              <w:rPr>
                <w:i/>
                <w:iCs/>
                <w:color w:val="000000"/>
              </w:rPr>
              <w:t>Fourchette basse</w:t>
            </w:r>
            <w:r w:rsidRPr="008A3AAC">
              <w:rPr>
                <w:color w:val="000000"/>
              </w:rPr>
              <w:t xml:space="preserve"> </w:t>
            </w:r>
          </w:p>
        </w:tc>
        <w:tc>
          <w:tcPr>
            <w:tcW w:w="1519" w:type="pct"/>
            <w:tcBorders>
              <w:top w:val="single" w:sz="4" w:space="0" w:color="auto"/>
              <w:bottom w:val="single" w:sz="12" w:space="0" w:color="auto"/>
            </w:tcBorders>
            <w:vAlign w:val="center"/>
            <w:hideMark/>
          </w:tcPr>
          <w:p w14:paraId="6F807B38" w14:textId="77777777" w:rsidR="00B94C90" w:rsidRPr="003F17DD" w:rsidRDefault="00B94C90" w:rsidP="00B64331">
            <w:pPr>
              <w:pStyle w:val="Normal-pool-Table"/>
              <w:jc w:val="right"/>
              <w:rPr>
                <w:i/>
                <w:iCs/>
              </w:rPr>
            </w:pPr>
            <w:r w:rsidRPr="008A3AAC">
              <w:rPr>
                <w:i/>
                <w:iCs/>
                <w:color w:val="000000"/>
              </w:rPr>
              <w:t>Fourchette haute</w:t>
            </w:r>
            <w:r w:rsidRPr="003F17DD">
              <w:rPr>
                <w:color w:val="000000"/>
              </w:rPr>
              <w:t xml:space="preserve"> </w:t>
            </w:r>
          </w:p>
        </w:tc>
      </w:tr>
      <w:tr w:rsidR="00B94C90" w:rsidRPr="003F17DD" w14:paraId="7A8D1BCE" w14:textId="77777777" w:rsidTr="00B64331">
        <w:trPr>
          <w:trHeight w:val="318"/>
          <w:jc w:val="right"/>
        </w:trPr>
        <w:tc>
          <w:tcPr>
            <w:tcW w:w="1963" w:type="pct"/>
            <w:tcBorders>
              <w:top w:val="single" w:sz="12" w:space="0" w:color="auto"/>
            </w:tcBorders>
            <w:vAlign w:val="bottom"/>
          </w:tcPr>
          <w:p w14:paraId="46F39BB2" w14:textId="77777777" w:rsidR="00B94C90" w:rsidRPr="003F17DD" w:rsidRDefault="00B94C90" w:rsidP="00B64331">
            <w:pPr>
              <w:pStyle w:val="Normal-pool-Table"/>
            </w:pPr>
            <w:r w:rsidRPr="003F17DD">
              <w:rPr>
                <w:color w:val="000000"/>
              </w:rPr>
              <w:t>TOTAL PARTIEL – ACTIVITÉS LIÉES AUX HCFC</w:t>
            </w:r>
          </w:p>
        </w:tc>
        <w:tc>
          <w:tcPr>
            <w:tcW w:w="1519" w:type="pct"/>
            <w:tcBorders>
              <w:top w:val="single" w:sz="12" w:space="0" w:color="auto"/>
            </w:tcBorders>
            <w:vAlign w:val="center"/>
          </w:tcPr>
          <w:p w14:paraId="0AA8E790" w14:textId="77777777" w:rsidR="00B94C90" w:rsidRPr="003F17DD" w:rsidRDefault="00B94C90" w:rsidP="00B64331">
            <w:pPr>
              <w:pStyle w:val="Normal-pool-Table"/>
              <w:jc w:val="right"/>
            </w:pPr>
            <w:r w:rsidRPr="003F17DD">
              <w:rPr>
                <w:color w:val="000000"/>
              </w:rPr>
              <w:t>451</w:t>
            </w:r>
          </w:p>
        </w:tc>
        <w:tc>
          <w:tcPr>
            <w:tcW w:w="1519" w:type="pct"/>
            <w:tcBorders>
              <w:top w:val="single" w:sz="12" w:space="0" w:color="auto"/>
            </w:tcBorders>
            <w:vAlign w:val="center"/>
          </w:tcPr>
          <w:p w14:paraId="0CC8485F" w14:textId="77777777" w:rsidR="00B94C90" w:rsidRPr="003F17DD" w:rsidRDefault="00B94C90" w:rsidP="00B64331">
            <w:pPr>
              <w:pStyle w:val="Normal-pool-Table"/>
              <w:jc w:val="right"/>
            </w:pPr>
            <w:r w:rsidRPr="003F17DD">
              <w:rPr>
                <w:color w:val="000000"/>
              </w:rPr>
              <w:t>573</w:t>
            </w:r>
          </w:p>
        </w:tc>
      </w:tr>
      <w:tr w:rsidR="00B94C90" w:rsidRPr="003F17DD" w14:paraId="689D00F5" w14:textId="77777777" w:rsidTr="00B64331">
        <w:trPr>
          <w:trHeight w:val="318"/>
          <w:jc w:val="right"/>
        </w:trPr>
        <w:tc>
          <w:tcPr>
            <w:tcW w:w="1963" w:type="pct"/>
            <w:vAlign w:val="bottom"/>
          </w:tcPr>
          <w:p w14:paraId="1270AFFD" w14:textId="77777777" w:rsidR="00B94C90" w:rsidRPr="003F17DD" w:rsidRDefault="00B94C90" w:rsidP="00B64331">
            <w:pPr>
              <w:pStyle w:val="Normal-pool-Table"/>
            </w:pPr>
            <w:r w:rsidRPr="003F17DD">
              <w:rPr>
                <w:color w:val="000000"/>
              </w:rPr>
              <w:t>TOTAL PARTIEL – ACTIVITÉS LIÉES AUX HFC</w:t>
            </w:r>
          </w:p>
        </w:tc>
        <w:tc>
          <w:tcPr>
            <w:tcW w:w="1519" w:type="pct"/>
            <w:vAlign w:val="center"/>
          </w:tcPr>
          <w:p w14:paraId="081C4405" w14:textId="77777777" w:rsidR="00B94C90" w:rsidRPr="003F17DD" w:rsidRDefault="00B94C90" w:rsidP="00B64331">
            <w:pPr>
              <w:pStyle w:val="Normal-pool-Table"/>
              <w:jc w:val="right"/>
            </w:pPr>
            <w:r w:rsidRPr="003F17DD">
              <w:rPr>
                <w:color w:val="000000"/>
              </w:rPr>
              <w:t>702 – 781</w:t>
            </w:r>
          </w:p>
        </w:tc>
        <w:tc>
          <w:tcPr>
            <w:tcW w:w="1519" w:type="pct"/>
            <w:vAlign w:val="center"/>
          </w:tcPr>
          <w:p w14:paraId="3F6A35C1" w14:textId="5BED44F9" w:rsidR="00B94C90" w:rsidRPr="003F17DD" w:rsidRDefault="00B94C90" w:rsidP="00B64331">
            <w:pPr>
              <w:pStyle w:val="Normal-pool-Table"/>
              <w:jc w:val="right"/>
            </w:pPr>
            <w:r w:rsidRPr="003F17DD">
              <w:rPr>
                <w:color w:val="000000"/>
              </w:rPr>
              <w:t>970 – 1</w:t>
            </w:r>
            <w:r w:rsidR="00C83BDB">
              <w:rPr>
                <w:color w:val="000000"/>
              </w:rPr>
              <w:t> </w:t>
            </w:r>
            <w:r w:rsidRPr="003F17DD">
              <w:rPr>
                <w:color w:val="000000"/>
              </w:rPr>
              <w:t>053</w:t>
            </w:r>
          </w:p>
        </w:tc>
      </w:tr>
      <w:tr w:rsidR="00B94C90" w:rsidRPr="003F17DD" w14:paraId="5C8FDA61" w14:textId="77777777" w:rsidTr="00B64331">
        <w:trPr>
          <w:trHeight w:val="318"/>
          <w:jc w:val="right"/>
        </w:trPr>
        <w:tc>
          <w:tcPr>
            <w:tcW w:w="1963" w:type="pct"/>
            <w:tcBorders>
              <w:bottom w:val="single" w:sz="4" w:space="0" w:color="auto"/>
            </w:tcBorders>
            <w:vAlign w:val="bottom"/>
          </w:tcPr>
          <w:p w14:paraId="6A3A9AA8" w14:textId="09C4DE28" w:rsidR="00B94C90" w:rsidRPr="003F17DD" w:rsidRDefault="00B94C90" w:rsidP="00B64331">
            <w:pPr>
              <w:pStyle w:val="Normal-pool-Table"/>
            </w:pPr>
            <w:r w:rsidRPr="003F17DD">
              <w:rPr>
                <w:color w:val="000000"/>
              </w:rPr>
              <w:t xml:space="preserve">TOTAL PARTIEL – Renforcement </w:t>
            </w:r>
            <w:r w:rsidR="003C6DD3">
              <w:rPr>
                <w:color w:val="000000"/>
              </w:rPr>
              <w:br/>
            </w:r>
            <w:r w:rsidRPr="003F17DD">
              <w:rPr>
                <w:color w:val="000000"/>
              </w:rPr>
              <w:t xml:space="preserve">des institutions et activités </w:t>
            </w:r>
            <w:r w:rsidR="00AF3F7F" w:rsidRPr="003F17DD">
              <w:rPr>
                <w:color w:val="000000"/>
              </w:rPr>
              <w:t>courantes</w:t>
            </w:r>
          </w:p>
        </w:tc>
        <w:tc>
          <w:tcPr>
            <w:tcW w:w="1519" w:type="pct"/>
            <w:tcBorders>
              <w:bottom w:val="single" w:sz="4" w:space="0" w:color="auto"/>
            </w:tcBorders>
            <w:vAlign w:val="center"/>
          </w:tcPr>
          <w:p w14:paraId="654C0F32" w14:textId="77777777" w:rsidR="00B94C90" w:rsidRPr="003F17DD" w:rsidRDefault="00B94C90" w:rsidP="00B64331">
            <w:pPr>
              <w:pStyle w:val="Normal-pool-Table"/>
              <w:jc w:val="right"/>
            </w:pPr>
            <w:r w:rsidRPr="003F17DD">
              <w:rPr>
                <w:color w:val="000000"/>
              </w:rPr>
              <w:t>129</w:t>
            </w:r>
          </w:p>
        </w:tc>
        <w:tc>
          <w:tcPr>
            <w:tcW w:w="1519" w:type="pct"/>
            <w:tcBorders>
              <w:bottom w:val="single" w:sz="4" w:space="0" w:color="auto"/>
            </w:tcBorders>
            <w:vAlign w:val="center"/>
          </w:tcPr>
          <w:p w14:paraId="31EFEE25" w14:textId="77777777" w:rsidR="00B94C90" w:rsidRPr="003F17DD" w:rsidRDefault="00B94C90" w:rsidP="00B64331">
            <w:pPr>
              <w:pStyle w:val="Normal-pool-Table"/>
              <w:jc w:val="right"/>
            </w:pPr>
            <w:r w:rsidRPr="003F17DD">
              <w:rPr>
                <w:color w:val="000000"/>
              </w:rPr>
              <w:t>129</w:t>
            </w:r>
          </w:p>
        </w:tc>
      </w:tr>
      <w:tr w:rsidR="00B94C90" w:rsidRPr="003F17DD" w14:paraId="1076340E" w14:textId="77777777" w:rsidTr="00B64331">
        <w:trPr>
          <w:trHeight w:val="318"/>
          <w:jc w:val="right"/>
        </w:trPr>
        <w:tc>
          <w:tcPr>
            <w:tcW w:w="1963" w:type="pct"/>
            <w:tcBorders>
              <w:top w:val="single" w:sz="4" w:space="0" w:color="auto"/>
              <w:bottom w:val="single" w:sz="12" w:space="0" w:color="auto"/>
            </w:tcBorders>
            <w:vAlign w:val="bottom"/>
          </w:tcPr>
          <w:p w14:paraId="15B9AC62" w14:textId="77777777" w:rsidR="00B94C90" w:rsidRPr="003F17DD" w:rsidRDefault="00B94C90" w:rsidP="00B64331">
            <w:pPr>
              <w:pStyle w:val="Normal-pool-Table"/>
              <w:rPr>
                <w:b/>
                <w:bCs/>
              </w:rPr>
            </w:pPr>
            <w:r w:rsidRPr="003F17DD">
              <w:rPr>
                <w:b/>
                <w:bCs/>
                <w:color w:val="000000"/>
              </w:rPr>
              <w:t>TOTAL</w:t>
            </w:r>
          </w:p>
        </w:tc>
        <w:tc>
          <w:tcPr>
            <w:tcW w:w="1519" w:type="pct"/>
            <w:tcBorders>
              <w:top w:val="single" w:sz="4" w:space="0" w:color="auto"/>
              <w:bottom w:val="single" w:sz="12" w:space="0" w:color="auto"/>
            </w:tcBorders>
            <w:vAlign w:val="center"/>
          </w:tcPr>
          <w:p w14:paraId="0F16E9B8" w14:textId="28A9329C" w:rsidR="00B94C90" w:rsidRPr="003F17DD" w:rsidRDefault="00B94C90" w:rsidP="00B64331">
            <w:pPr>
              <w:pStyle w:val="Normal-pool-Table"/>
              <w:jc w:val="right"/>
              <w:rPr>
                <w:b/>
                <w:bCs/>
              </w:rPr>
            </w:pPr>
            <w:r w:rsidRPr="003F17DD">
              <w:rPr>
                <w:b/>
                <w:bCs/>
                <w:color w:val="000000"/>
              </w:rPr>
              <w:t>1</w:t>
            </w:r>
            <w:r w:rsidR="00C83BDB">
              <w:rPr>
                <w:b/>
                <w:bCs/>
                <w:color w:val="000000"/>
              </w:rPr>
              <w:t> </w:t>
            </w:r>
            <w:r w:rsidRPr="003F17DD">
              <w:rPr>
                <w:b/>
                <w:bCs/>
                <w:color w:val="000000"/>
              </w:rPr>
              <w:t>282 – 1</w:t>
            </w:r>
            <w:r w:rsidR="009A1D3D">
              <w:rPr>
                <w:b/>
                <w:bCs/>
                <w:color w:val="000000"/>
              </w:rPr>
              <w:t> </w:t>
            </w:r>
            <w:r w:rsidRPr="003F17DD">
              <w:rPr>
                <w:b/>
                <w:bCs/>
                <w:color w:val="000000"/>
              </w:rPr>
              <w:t>361</w:t>
            </w:r>
          </w:p>
        </w:tc>
        <w:tc>
          <w:tcPr>
            <w:tcW w:w="1519" w:type="pct"/>
            <w:tcBorders>
              <w:top w:val="single" w:sz="4" w:space="0" w:color="auto"/>
              <w:bottom w:val="single" w:sz="12" w:space="0" w:color="auto"/>
            </w:tcBorders>
            <w:vAlign w:val="center"/>
          </w:tcPr>
          <w:p w14:paraId="7D110192" w14:textId="00AB0DED" w:rsidR="00B94C90" w:rsidRPr="003F17DD" w:rsidRDefault="00B94C90" w:rsidP="00B64331">
            <w:pPr>
              <w:pStyle w:val="Normal-pool-Table"/>
              <w:jc w:val="right"/>
              <w:rPr>
                <w:b/>
                <w:bCs/>
              </w:rPr>
            </w:pPr>
            <w:r w:rsidRPr="003F17DD">
              <w:rPr>
                <w:b/>
                <w:bCs/>
                <w:color w:val="000000"/>
              </w:rPr>
              <w:t>1</w:t>
            </w:r>
            <w:r w:rsidR="00031A7D">
              <w:rPr>
                <w:b/>
                <w:bCs/>
                <w:color w:val="000000"/>
              </w:rPr>
              <w:t> </w:t>
            </w:r>
            <w:r w:rsidRPr="003F17DD">
              <w:rPr>
                <w:b/>
                <w:bCs/>
                <w:color w:val="000000"/>
              </w:rPr>
              <w:t>672 – 1</w:t>
            </w:r>
            <w:r w:rsidR="00F4509A">
              <w:rPr>
                <w:b/>
                <w:bCs/>
                <w:color w:val="000000"/>
              </w:rPr>
              <w:t> </w:t>
            </w:r>
            <w:r w:rsidRPr="003F17DD">
              <w:rPr>
                <w:b/>
                <w:bCs/>
                <w:color w:val="000000"/>
              </w:rPr>
              <w:t>755</w:t>
            </w:r>
          </w:p>
        </w:tc>
      </w:tr>
    </w:tbl>
    <w:p w14:paraId="21B7B3DC" w14:textId="77777777" w:rsidR="00B94C90" w:rsidRPr="003F17DD" w:rsidRDefault="00B94C90" w:rsidP="00B94C90">
      <w:pPr>
        <w:pStyle w:val="Normalpool"/>
        <w:sectPr w:rsidR="00B94C90" w:rsidRPr="003F17DD" w:rsidSect="003F17DD">
          <w:footnotePr>
            <w:numRestart w:val="eachSect"/>
          </w:footnotePr>
          <w:pgSz w:w="11907" w:h="16839"/>
          <w:pgMar w:top="907" w:right="992" w:bottom="1418" w:left="1418" w:header="539" w:footer="975" w:gutter="0"/>
          <w:cols w:space="708"/>
          <w:docGrid w:linePitch="360"/>
        </w:sectPr>
      </w:pPr>
    </w:p>
    <w:p w14:paraId="1F7BD04C" w14:textId="77777777" w:rsidR="00B94C90" w:rsidRPr="003F17DD" w:rsidRDefault="00B94C90" w:rsidP="00B94C90">
      <w:pPr>
        <w:pStyle w:val="Normalpool"/>
      </w:pPr>
      <w:r w:rsidRPr="003F17DD">
        <w:rPr>
          <w:b/>
          <w:bCs/>
        </w:rPr>
        <w:br w:type="page"/>
      </w:r>
    </w:p>
    <w:p w14:paraId="6BF2B120" w14:textId="26821E98" w:rsidR="00B94C90" w:rsidRPr="003F17DD" w:rsidRDefault="00B94C90" w:rsidP="00B94C90">
      <w:pPr>
        <w:pStyle w:val="ZZAnxheader"/>
      </w:pPr>
      <w:r w:rsidRPr="003F17DD">
        <w:lastRenderedPageBreak/>
        <w:t>Annexe</w:t>
      </w:r>
      <w:r w:rsidR="006F0416">
        <w:t> </w:t>
      </w:r>
      <w:r w:rsidRPr="003F17DD">
        <w:t>II</w:t>
      </w:r>
      <w:r w:rsidRPr="003F17DD">
        <w:rPr>
          <w:b w:val="0"/>
          <w:bCs w:val="0"/>
        </w:rPr>
        <w:footnoteReference w:customMarkFollows="1" w:id="18"/>
        <w:t>*</w:t>
      </w:r>
    </w:p>
    <w:p w14:paraId="5881F755" w14:textId="1FE4A529" w:rsidR="00B94C90" w:rsidRPr="003F17DD" w:rsidRDefault="00B94C90" w:rsidP="00B94C90">
      <w:pPr>
        <w:pStyle w:val="ZZAnxtitle"/>
      </w:pPr>
      <w:r w:rsidRPr="003F17DD">
        <w:t>Rapport d</w:t>
      </w:r>
      <w:r w:rsidR="007175B8">
        <w:t>’</w:t>
      </w:r>
      <w:r w:rsidRPr="003F17DD">
        <w:t>activité du Groupe de l</w:t>
      </w:r>
      <w:r w:rsidR="007175B8">
        <w:t>’</w:t>
      </w:r>
      <w:r w:rsidRPr="003F17DD">
        <w:t>évaluation technique et</w:t>
      </w:r>
      <w:r w:rsidR="005904E4">
        <w:t> </w:t>
      </w:r>
      <w:r w:rsidRPr="003F17DD">
        <w:t>économique pour 2026 (volume</w:t>
      </w:r>
      <w:r w:rsidR="00C12199">
        <w:t> </w:t>
      </w:r>
      <w:r w:rsidRPr="003F17DD">
        <w:t>1)</w:t>
      </w:r>
    </w:p>
    <w:p w14:paraId="0CFA6880" w14:textId="77777777" w:rsidR="00B94C90" w:rsidRPr="003F17DD" w:rsidRDefault="00B94C90" w:rsidP="00B94C90">
      <w:pPr>
        <w:pStyle w:val="CH2"/>
      </w:pPr>
      <w:bookmarkStart w:id="21" w:name="_Toc166157403"/>
      <w:bookmarkStart w:id="22" w:name="_Toc166577102"/>
      <w:r w:rsidRPr="003F17DD">
        <w:tab/>
      </w:r>
      <w:r w:rsidRPr="003F17DD">
        <w:tab/>
      </w:r>
      <w:r w:rsidRPr="003F17DD">
        <w:rPr>
          <w:bCs/>
        </w:rPr>
        <w:t>Messages clés des comités des choix techniques</w:t>
      </w:r>
      <w:bookmarkEnd w:id="21"/>
      <w:bookmarkEnd w:id="22"/>
    </w:p>
    <w:p w14:paraId="7D87AA32" w14:textId="59BC2030" w:rsidR="00B94C90" w:rsidRPr="003F17DD" w:rsidRDefault="00B94C90" w:rsidP="00B94C90">
      <w:pPr>
        <w:pStyle w:val="NormalNonumber"/>
        <w:rPr>
          <w:color w:val="000000" w:themeColor="text1"/>
        </w:rPr>
      </w:pPr>
      <w:r w:rsidRPr="003F17DD">
        <w:t>On trouvera dans cette section les principaux messages ressortant des rapports d</w:t>
      </w:r>
      <w:r w:rsidR="007175B8">
        <w:t>’</w:t>
      </w:r>
      <w:r w:rsidRPr="003F17DD">
        <w:t>activité des comités des choix techniques.</w:t>
      </w:r>
    </w:p>
    <w:p w14:paraId="58994D1A" w14:textId="77777777" w:rsidR="00B94C90" w:rsidRPr="003F17DD" w:rsidRDefault="00B94C90" w:rsidP="00B94C90">
      <w:pPr>
        <w:pStyle w:val="CH3"/>
        <w:rPr>
          <w:i/>
          <w:iCs/>
          <w:color w:val="000000" w:themeColor="text1"/>
        </w:rPr>
      </w:pPr>
      <w:r w:rsidRPr="003F17DD">
        <w:tab/>
      </w:r>
      <w:r w:rsidRPr="003F17DD">
        <w:tab/>
      </w:r>
      <w:r w:rsidRPr="003F17DD">
        <w:rPr>
          <w:bCs/>
          <w:i/>
          <w:iCs/>
        </w:rPr>
        <w:t>Comité des choix techniques pour la lutte contre les incendies</w:t>
      </w:r>
    </w:p>
    <w:p w14:paraId="0C2FD1EA" w14:textId="6938A833" w:rsidR="00B94C90" w:rsidRPr="003F17DD" w:rsidRDefault="00B94C90" w:rsidP="00B94C90">
      <w:pPr>
        <w:pStyle w:val="NormalNonumber"/>
        <w:rPr>
          <w:color w:val="000000" w:themeColor="text1"/>
        </w:rPr>
      </w:pPr>
      <w:r w:rsidRPr="003F17DD">
        <w:t>Le rapport d</w:t>
      </w:r>
      <w:r w:rsidR="007175B8">
        <w:t>’</w:t>
      </w:r>
      <w:r w:rsidRPr="003F17DD">
        <w:t>activité du Comité des choix techniques pour la lutte contre les incendies figure au chapitre</w:t>
      </w:r>
      <w:r w:rsidR="00D2078C">
        <w:t> </w:t>
      </w:r>
      <w:r w:rsidRPr="003F17DD">
        <w:t>3 du présent</w:t>
      </w:r>
      <w:r w:rsidR="00637493">
        <w:t> </w:t>
      </w:r>
      <w:r w:rsidRPr="003F17DD">
        <w:t>rapport et comprend les points suivants</w:t>
      </w:r>
      <w:r w:rsidR="00DC36AD">
        <w:t> </w:t>
      </w:r>
      <w:r w:rsidRPr="003F17DD">
        <w:t>:</w:t>
      </w:r>
    </w:p>
    <w:p w14:paraId="2194ADF7" w14:textId="3778E7F2"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En réponse à la décision</w:t>
      </w:r>
      <w:r w:rsidR="008816E6">
        <w:t> </w:t>
      </w:r>
      <w:r w:rsidRPr="003F17DD">
        <w:t>XXXVII/4 sur la disponibilité des halons et la répartition mondiale des réserves de halons, le Comité des choix techniques pour la lutte contre les incendies a</w:t>
      </w:r>
      <w:r w:rsidR="00167FE0">
        <w:t> </w:t>
      </w:r>
      <w:r w:rsidRPr="003F17DD">
        <w:t>collaboré avec l</w:t>
      </w:r>
      <w:r w:rsidR="007175B8">
        <w:t>’</w:t>
      </w:r>
      <w:r w:rsidRPr="003F17DD">
        <w:t>Organisation de l</w:t>
      </w:r>
      <w:r w:rsidR="007175B8">
        <w:t>’</w:t>
      </w:r>
      <w:r w:rsidRPr="003F17DD">
        <w:t>aviation civile internationale (OACI) et a précisé la date d</w:t>
      </w:r>
      <w:r w:rsidR="007175B8">
        <w:t>’</w:t>
      </w:r>
      <w:r w:rsidRPr="003F17DD">
        <w:t xml:space="preserve">épuisement des réserves </w:t>
      </w:r>
      <w:proofErr w:type="gramStart"/>
      <w:r w:rsidRPr="003F17DD">
        <w:t>de halon</w:t>
      </w:r>
      <w:proofErr w:type="gramEnd"/>
      <w:r w:rsidR="00CC474A">
        <w:t> </w:t>
      </w:r>
      <w:r w:rsidRPr="003F17DD">
        <w:t>1301. On estime désormais que cela se situera autour de</w:t>
      </w:r>
      <w:r w:rsidR="0087194D">
        <w:t> </w:t>
      </w:r>
      <w:r w:rsidRPr="003F17DD">
        <w:t>2035 ± 4 ans, sur la base des dernières</w:t>
      </w:r>
      <w:r w:rsidR="004B5FE6">
        <w:t> </w:t>
      </w:r>
      <w:r w:rsidRPr="003F17DD">
        <w:t>données disponibles concernant l</w:t>
      </w:r>
      <w:r w:rsidR="007175B8">
        <w:t>’</w:t>
      </w:r>
      <w:r w:rsidRPr="003F17DD">
        <w:t>aviation civile, le secteur pétrolier et gazier ainsi que les centrales nucléaires, auxquelles s</w:t>
      </w:r>
      <w:r w:rsidR="007175B8">
        <w:t>’</w:t>
      </w:r>
      <w:r w:rsidRPr="003F17DD">
        <w:t xml:space="preserve">ajoutent les quantités récupérées dans le cadre des activités de démolition navale. </w:t>
      </w:r>
    </w:p>
    <w:p w14:paraId="5FE299CC" w14:textId="1D737DAF"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Les Parties pourraient envisager de déterminer quelles modifications, le cas échéant, il conviendrait d</w:t>
      </w:r>
      <w:r w:rsidR="007175B8">
        <w:t>’</w:t>
      </w:r>
      <w:r w:rsidRPr="003F17DD">
        <w:t>apporter aux procédures de demande de dérogation pour utilisation essentielle et</w:t>
      </w:r>
      <w:r w:rsidR="00FA1D97">
        <w:t> </w:t>
      </w:r>
      <w:r w:rsidRPr="003F17DD">
        <w:t>d</w:t>
      </w:r>
      <w:r w:rsidR="007175B8">
        <w:t>’</w:t>
      </w:r>
      <w:r w:rsidRPr="003F17DD">
        <w:t>évaluation, étant donné que chaque Partie ne sera pas en mesure de déterminer ses besoins en matière d</w:t>
      </w:r>
      <w:r w:rsidR="007175B8">
        <w:t>’</w:t>
      </w:r>
      <w:r w:rsidRPr="003F17DD">
        <w:t>aviation civile, c</w:t>
      </w:r>
      <w:r w:rsidR="007175B8">
        <w:t>’</w:t>
      </w:r>
      <w:r w:rsidRPr="003F17DD">
        <w:t>est-à-dire sa production et sa consommation, de façon annuelle.</w:t>
      </w:r>
    </w:p>
    <w:p w14:paraId="13330260" w14:textId="7BF09B1A"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 xml:space="preserve">Le modèle du Comité des choix techniques pour la lutte contre les incendies continue de donner des résultats concordants avec les émissions déduites des mesures atmosphériques </w:t>
      </w:r>
      <w:proofErr w:type="gramStart"/>
      <w:r w:rsidRPr="003F17DD">
        <w:t>du</w:t>
      </w:r>
      <w:r w:rsidR="00262205">
        <w:t> </w:t>
      </w:r>
      <w:r w:rsidRPr="003F17DD">
        <w:t>halon</w:t>
      </w:r>
      <w:proofErr w:type="gramEnd"/>
      <w:r w:rsidR="00741AEA">
        <w:t> </w:t>
      </w:r>
      <w:r w:rsidRPr="003F17DD">
        <w:t>1301, et ce jusqu</w:t>
      </w:r>
      <w:r w:rsidR="007175B8">
        <w:t>’</w:t>
      </w:r>
      <w:r w:rsidRPr="003F17DD">
        <w:t>en 2024.</w:t>
      </w:r>
    </w:p>
    <w:p w14:paraId="26EED97E" w14:textId="3E7111F2"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À la connaissance du Comité, aucun nouveau produit de protection contre l</w:t>
      </w:r>
      <w:r w:rsidR="007175B8">
        <w:t>’</w:t>
      </w:r>
      <w:r w:rsidRPr="003F17DD">
        <w:t>incendie ou agent d</w:t>
      </w:r>
      <w:r w:rsidR="007175B8">
        <w:t>’</w:t>
      </w:r>
      <w:r w:rsidRPr="003F17DD">
        <w:t>extinction n</w:t>
      </w:r>
      <w:r w:rsidR="007175B8">
        <w:t>’</w:t>
      </w:r>
      <w:r w:rsidRPr="003F17DD">
        <w:t xml:space="preserve">est </w:t>
      </w:r>
      <w:proofErr w:type="gramStart"/>
      <w:r w:rsidRPr="003F17DD">
        <w:t>actuellement en cours</w:t>
      </w:r>
      <w:proofErr w:type="gramEnd"/>
      <w:r w:rsidRPr="003F17DD">
        <w:t xml:space="preserve"> de développement.</w:t>
      </w:r>
    </w:p>
    <w:p w14:paraId="341A8E97" w14:textId="1851DD5D"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Le projet d</w:t>
      </w:r>
      <w:r w:rsidR="007175B8">
        <w:t>’</w:t>
      </w:r>
      <w:r w:rsidRPr="003F17DD">
        <w:t>avis du Comité d</w:t>
      </w:r>
      <w:r w:rsidR="007175B8">
        <w:t>’</w:t>
      </w:r>
      <w:r w:rsidRPr="003F17DD">
        <w:t>analyse socioéconomique de l</w:t>
      </w:r>
      <w:r w:rsidR="007175B8">
        <w:t>’</w:t>
      </w:r>
      <w:r w:rsidRPr="003F17DD">
        <w:t>Agence européenne des produits chimiques, publié le 26</w:t>
      </w:r>
      <w:r w:rsidR="00036DA6">
        <w:t> </w:t>
      </w:r>
      <w:r w:rsidRPr="003F17DD">
        <w:t>mars 2026, sur la proposition de restriction faite par l</w:t>
      </w:r>
      <w:r w:rsidR="007175B8">
        <w:t>’</w:t>
      </w:r>
      <w:r w:rsidRPr="003F17DD">
        <w:t>Union</w:t>
      </w:r>
      <w:r w:rsidR="00445CAA">
        <w:t> </w:t>
      </w:r>
      <w:r w:rsidRPr="003F17DD">
        <w:t>européenne pour les substances per- et polyfluoroalkylées (SPFA) entraînerait l</w:t>
      </w:r>
      <w:r w:rsidR="007175B8">
        <w:t>’</w:t>
      </w:r>
      <w:r w:rsidRPr="003F17DD">
        <w:t>interdiction de l</w:t>
      </w:r>
      <w:r w:rsidR="007175B8">
        <w:t>’</w:t>
      </w:r>
      <w:r w:rsidRPr="003F17DD">
        <w:t>utilisation de solutions de remplacement essentielles pour les halons dès l</w:t>
      </w:r>
      <w:r w:rsidR="007175B8">
        <w:t>’</w:t>
      </w:r>
      <w:r w:rsidRPr="003F17DD">
        <w:t>entrée en vigueur de tout règlement, à moins qu</w:t>
      </w:r>
      <w:r w:rsidR="007175B8">
        <w:t>’</w:t>
      </w:r>
      <w:r w:rsidRPr="003F17DD">
        <w:t>une dérogation n</w:t>
      </w:r>
      <w:r w:rsidR="007175B8">
        <w:t>’</w:t>
      </w:r>
      <w:r w:rsidRPr="003F17DD">
        <w:t>accorde un délai de grâce. Dans son projet d</w:t>
      </w:r>
      <w:r w:rsidR="007175B8">
        <w:t>’</w:t>
      </w:r>
      <w:r w:rsidRPr="003F17DD">
        <w:t>avis concernant la proposition de restriction faite par l</w:t>
      </w:r>
      <w:r w:rsidR="007175B8">
        <w:t>’</w:t>
      </w:r>
      <w:r w:rsidRPr="003F17DD">
        <w:t>Union européenne pour les SPFA, le Comité d</w:t>
      </w:r>
      <w:r w:rsidR="007175B8">
        <w:t>’</w:t>
      </w:r>
      <w:r w:rsidRPr="003F17DD">
        <w:t>analyse socioéconomique recommande une dérogation de 12</w:t>
      </w:r>
      <w:r w:rsidR="00B601A6">
        <w:t> </w:t>
      </w:r>
      <w:r w:rsidRPr="003F17DD">
        <w:t>ans pour le 2</w:t>
      </w:r>
      <w:r w:rsidR="003A5383">
        <w:noBreakHyphen/>
      </w:r>
      <w:r w:rsidRPr="003F17DD">
        <w:t>bromo</w:t>
      </w:r>
      <w:r w:rsidR="00F77A1E">
        <w:noBreakHyphen/>
      </w:r>
      <w:r w:rsidRPr="003F17DD">
        <w:t>3,3,3-trifluoropropène (2-BTP) dans les extincteurs portatifs utilisés à bord des aéronefs. Aucune dérogation n</w:t>
      </w:r>
      <w:r w:rsidR="007175B8">
        <w:t>’</w:t>
      </w:r>
      <w:r w:rsidRPr="003F17DD">
        <w:t>est proposée concernant l</w:t>
      </w:r>
      <w:r w:rsidR="007175B8">
        <w:t>’</w:t>
      </w:r>
      <w:r w:rsidRPr="003F17DD">
        <w:t>utilisation future éventuelle du mélange 2</w:t>
      </w:r>
      <w:r w:rsidR="00F77A1E">
        <w:noBreakHyphen/>
      </w:r>
      <w:r w:rsidRPr="003F17DD">
        <w:t xml:space="preserve">BTP/dioxyde de carbone (CO₂) en remplacement </w:t>
      </w:r>
      <w:proofErr w:type="gramStart"/>
      <w:r w:rsidRPr="003F17DD">
        <w:t>du halon</w:t>
      </w:r>
      <w:proofErr w:type="gramEnd"/>
      <w:r w:rsidR="00F647E2">
        <w:t> </w:t>
      </w:r>
      <w:r w:rsidRPr="003F17DD">
        <w:t xml:space="preserve">1301 dans les compartiments de fret. </w:t>
      </w:r>
    </w:p>
    <w:p w14:paraId="79DD0C32" w14:textId="77777777" w:rsidR="00B94C90" w:rsidRPr="003F17DD" w:rsidRDefault="00B94C90" w:rsidP="00B94C90">
      <w:pPr>
        <w:pStyle w:val="CH3"/>
        <w:rPr>
          <w:i/>
          <w:iCs/>
          <w:color w:val="000000" w:themeColor="text1"/>
        </w:rPr>
      </w:pPr>
      <w:r w:rsidRPr="003F17DD">
        <w:tab/>
      </w:r>
      <w:r w:rsidRPr="003F17DD">
        <w:tab/>
      </w:r>
      <w:r w:rsidRPr="003F17DD">
        <w:rPr>
          <w:bCs/>
          <w:i/>
          <w:iCs/>
        </w:rPr>
        <w:t>Comité des choix techniques pour les mousses souples et rigides</w:t>
      </w:r>
    </w:p>
    <w:p w14:paraId="3029D619" w14:textId="60D0D75B" w:rsidR="00B94C90" w:rsidRPr="003F17DD" w:rsidRDefault="00B94C90" w:rsidP="00B94C90">
      <w:pPr>
        <w:pStyle w:val="NormalNonumber"/>
        <w:rPr>
          <w:color w:val="000000" w:themeColor="text1"/>
        </w:rPr>
      </w:pPr>
      <w:r w:rsidRPr="003F17DD">
        <w:t>Le rapport d</w:t>
      </w:r>
      <w:r w:rsidR="007175B8">
        <w:t>’</w:t>
      </w:r>
      <w:r w:rsidRPr="003F17DD">
        <w:t>activité du Comité des choix techniques pour les mousses souples et rigides figure au</w:t>
      </w:r>
      <w:r w:rsidR="00B75BE7">
        <w:t> </w:t>
      </w:r>
      <w:r w:rsidRPr="003F17DD">
        <w:t>chapitre</w:t>
      </w:r>
      <w:r w:rsidR="00463C8F">
        <w:t> </w:t>
      </w:r>
      <w:r w:rsidRPr="003F17DD">
        <w:t>2 du présent</w:t>
      </w:r>
      <w:r w:rsidR="002B32D8">
        <w:t> </w:t>
      </w:r>
      <w:r w:rsidRPr="003F17DD">
        <w:t>rapport et comprend les points suivants</w:t>
      </w:r>
      <w:r w:rsidR="00DC36AD">
        <w:t> </w:t>
      </w:r>
      <w:r w:rsidRPr="003F17DD">
        <w:t>:</w:t>
      </w:r>
    </w:p>
    <w:p w14:paraId="50074131" w14:textId="38F15595"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 xml:space="preserve">Les Parties parviennent à faire évoluer le secteur des mousses en remplaçant les </w:t>
      </w:r>
      <w:proofErr w:type="spellStart"/>
      <w:r w:rsidRPr="003F17DD">
        <w:t>hydrochlorofluorocarbones</w:t>
      </w:r>
      <w:proofErr w:type="spellEnd"/>
      <w:r w:rsidRPr="003F17DD">
        <w:t xml:space="preserve"> (HCFC) dans les Parties visées à l</w:t>
      </w:r>
      <w:r w:rsidR="007175B8">
        <w:t>’</w:t>
      </w:r>
      <w:r w:rsidRPr="003F17DD">
        <w:t>article</w:t>
      </w:r>
      <w:r w:rsidR="002E55B4">
        <w:t> </w:t>
      </w:r>
      <w:r w:rsidRPr="003F17DD">
        <w:t xml:space="preserve">5 et des </w:t>
      </w:r>
      <w:proofErr w:type="spellStart"/>
      <w:r w:rsidRPr="003F17DD">
        <w:t>hydrofluorocarbones</w:t>
      </w:r>
      <w:proofErr w:type="spellEnd"/>
      <w:r w:rsidRPr="003F17DD">
        <w:t xml:space="preserve"> (HFC) à fort potentiel de réchauffement global (PRG) dans les Parties non visées par l</w:t>
      </w:r>
      <w:r w:rsidR="007175B8">
        <w:t>’</w:t>
      </w:r>
      <w:r w:rsidRPr="003F17DD">
        <w:t>article</w:t>
      </w:r>
      <w:r w:rsidR="003F5071">
        <w:t> </w:t>
      </w:r>
      <w:r w:rsidRPr="003F17DD">
        <w:t>5 et certaines Parties visées à l</w:t>
      </w:r>
      <w:r w:rsidR="007175B8">
        <w:t>’</w:t>
      </w:r>
      <w:r w:rsidRPr="003F17DD">
        <w:t>article</w:t>
      </w:r>
      <w:r w:rsidR="009B0870">
        <w:t> </w:t>
      </w:r>
      <w:r w:rsidRPr="003F17DD">
        <w:t>5, en veillant à éviter autant que possible l</w:t>
      </w:r>
      <w:r w:rsidR="007175B8">
        <w:t>’</w:t>
      </w:r>
      <w:r w:rsidRPr="003F17DD">
        <w:t>adoption de HFC à fort PRG. La réglementation et la réduction progressive de l</w:t>
      </w:r>
      <w:r w:rsidR="007175B8">
        <w:t>’</w:t>
      </w:r>
      <w:r w:rsidRPr="003F17DD">
        <w:t xml:space="preserve">offre sont les facteurs déterminants de la transition. </w:t>
      </w:r>
    </w:p>
    <w:p w14:paraId="415CD2E9" w14:textId="29A00045" w:rsidR="00B94C90" w:rsidRPr="003F17DD" w:rsidRDefault="00B94C90" w:rsidP="00663AA0">
      <w:pPr>
        <w:pStyle w:val="NormalNonumber"/>
        <w:keepNext/>
        <w:keepLines/>
        <w:tabs>
          <w:tab w:val="clear" w:pos="1247"/>
        </w:tabs>
        <w:ind w:left="1843" w:hanging="284"/>
        <w:rPr>
          <w:color w:val="000000" w:themeColor="text1"/>
        </w:rPr>
      </w:pPr>
      <w:r w:rsidRPr="003F17DD">
        <w:rPr>
          <w:color w:val="000000" w:themeColor="text1"/>
        </w:rPr>
        <w:lastRenderedPageBreak/>
        <w:t>•</w:t>
      </w:r>
      <w:r w:rsidRPr="003F17DD">
        <w:tab/>
        <w:t>Compte tenu de la diminution des réserves mondiales de HCFC-141b, les Parties pourraient envisager d</w:t>
      </w:r>
      <w:r w:rsidR="007175B8">
        <w:t>’</w:t>
      </w:r>
      <w:r w:rsidRPr="003F17DD">
        <w:t>achever la transition visant à abandonner l</w:t>
      </w:r>
      <w:r w:rsidR="007175B8">
        <w:t>’</w:t>
      </w:r>
      <w:r w:rsidRPr="003F17DD">
        <w:t>utilisation du HCFC-141b. En 2026, le</w:t>
      </w:r>
      <w:r w:rsidR="00663AA0">
        <w:t> </w:t>
      </w:r>
      <w:r w:rsidRPr="003F17DD">
        <w:t>Ministère chinois de l</w:t>
      </w:r>
      <w:r w:rsidR="007175B8">
        <w:t>’</w:t>
      </w:r>
      <w:r w:rsidRPr="003F17DD">
        <w:t>écologie et de l</w:t>
      </w:r>
      <w:r w:rsidR="007175B8">
        <w:t>’</w:t>
      </w:r>
      <w:r w:rsidRPr="003F17DD">
        <w:t>environnement</w:t>
      </w:r>
      <w:r w:rsidRPr="003F17DD">
        <w:rPr>
          <w:rStyle w:val="FootnoteReference"/>
          <w:rFonts w:eastAsia="SimSun"/>
        </w:rPr>
        <w:footnoteReference w:id="19"/>
      </w:r>
      <w:r w:rsidRPr="003F17DD">
        <w:t xml:space="preserve"> n</w:t>
      </w:r>
      <w:r w:rsidR="007175B8">
        <w:t>’</w:t>
      </w:r>
      <w:r w:rsidRPr="003F17DD">
        <w:t>a pas attribué de quota pour la production de HCFC-141b, et l</w:t>
      </w:r>
      <w:r w:rsidR="007175B8">
        <w:t>’</w:t>
      </w:r>
      <w:r w:rsidRPr="003F17DD">
        <w:t>approvisionnement en HCFC-141b prendra fin. Les fabricants d</w:t>
      </w:r>
      <w:r w:rsidR="007175B8">
        <w:t>’</w:t>
      </w:r>
      <w:proofErr w:type="spellStart"/>
      <w:r w:rsidRPr="003F17DD">
        <w:t>hydrofluoroléfines</w:t>
      </w:r>
      <w:proofErr w:type="spellEnd"/>
      <w:r w:rsidRPr="003F17DD">
        <w:t xml:space="preserve"> et d</w:t>
      </w:r>
      <w:r w:rsidR="007175B8">
        <w:t>’</w:t>
      </w:r>
      <w:proofErr w:type="spellStart"/>
      <w:r w:rsidRPr="003F17DD">
        <w:t>hydrochlorofluor</w:t>
      </w:r>
      <w:r w:rsidR="00AF3F7F" w:rsidRPr="003F17DD">
        <w:t>o</w:t>
      </w:r>
      <w:r w:rsidRPr="003F17DD">
        <w:t>léfines</w:t>
      </w:r>
      <w:proofErr w:type="spellEnd"/>
      <w:r w:rsidRPr="003F17DD">
        <w:t xml:space="preserve"> (HFO/HCFO) ont augmenté leurs capacités de production afin de répondre à la demande en agents gonflants à faible PRG qui devrait résulter de la mise en œuvre de réglementations visant à réduire le PRG. On a constaté des progrès significatifs dans le développement et la disponibilité d</w:t>
      </w:r>
      <w:r w:rsidR="007175B8">
        <w:t>’</w:t>
      </w:r>
      <w:r w:rsidRPr="003F17DD">
        <w:t>additifs, d</w:t>
      </w:r>
      <w:r w:rsidR="007175B8">
        <w:t>’</w:t>
      </w:r>
      <w:r w:rsidRPr="003F17DD">
        <w:t xml:space="preserve">agents de </w:t>
      </w:r>
      <w:proofErr w:type="spellStart"/>
      <w:r w:rsidRPr="003F17DD">
        <w:t>co</w:t>
      </w:r>
      <w:proofErr w:type="spellEnd"/>
      <w:r w:rsidR="0068772F">
        <w:noBreakHyphen/>
      </w:r>
      <w:r w:rsidRPr="003F17DD">
        <w:t>expansion, d</w:t>
      </w:r>
      <w:r w:rsidR="007175B8">
        <w:t>’</w:t>
      </w:r>
      <w:r w:rsidRPr="003F17DD">
        <w:t xml:space="preserve">équipements et de formulations, ce qui a permis la commercialisation réussie de mousses contenant des agents gonflants à faible PRG. </w:t>
      </w:r>
    </w:p>
    <w:p w14:paraId="211413E1" w14:textId="04146C46"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 xml:space="preserve">Les fabricants de mousse poursuivent leurs efforts pour réduire les coûts et optimiser les propriétés des mousses grâce à de nouveaux agents gonflants, </w:t>
      </w:r>
      <w:proofErr w:type="spellStart"/>
      <w:r w:rsidRPr="003F17DD">
        <w:t>co</w:t>
      </w:r>
      <w:proofErr w:type="spellEnd"/>
      <w:r w:rsidRPr="003F17DD">
        <w:t>-agents gonflants et additifs, dans les Parties visées et non visées à l</w:t>
      </w:r>
      <w:r w:rsidR="007175B8">
        <w:t>’</w:t>
      </w:r>
      <w:r w:rsidRPr="003F17DD">
        <w:t>article</w:t>
      </w:r>
      <w:r w:rsidR="004C5B94">
        <w:t> </w:t>
      </w:r>
      <w:r w:rsidRPr="003F17DD">
        <w:t xml:space="preserve">5. Les nouveaux agents gonflants, </w:t>
      </w:r>
      <w:proofErr w:type="spellStart"/>
      <w:r w:rsidRPr="003F17DD">
        <w:t>co</w:t>
      </w:r>
      <w:proofErr w:type="spellEnd"/>
      <w:r w:rsidRPr="003F17DD">
        <w:t xml:space="preserve">-agents gonflants et additifs ont une toxicité et des propriétés thermiques différentes qui peuvent poser des problèmes de sécurité lors de la manipulation et réduire les performances thermiques du matériau. </w:t>
      </w:r>
    </w:p>
    <w:p w14:paraId="1A4B7369" w14:textId="59CB4B93"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De manière générale, les coûts ont augmenté en 2025-2026 en raison de l</w:t>
      </w:r>
      <w:r w:rsidR="007175B8">
        <w:t>’</w:t>
      </w:r>
      <w:r w:rsidRPr="003F17DD">
        <w:t>instauration de nouvelles taxes, de taxes antidumping et des répercussions géopolitiques sur le coût et la disponibilité de l</w:t>
      </w:r>
      <w:r w:rsidR="007175B8">
        <w:t>’</w:t>
      </w:r>
      <w:r w:rsidRPr="003F17DD">
        <w:t xml:space="preserve">énergie. Certaines Parties peuvent être davantage touchées par ces problèmes. Ces répercussions économiques pourraient </w:t>
      </w:r>
      <w:proofErr w:type="gramStart"/>
      <w:r w:rsidRPr="003F17DD">
        <w:t>avoir</w:t>
      </w:r>
      <w:proofErr w:type="gramEnd"/>
      <w:r w:rsidRPr="003F17DD">
        <w:t xml:space="preserve"> des conséquences sur le secteur de la construction ainsi que sur la demande en équipements et en mousses.</w:t>
      </w:r>
    </w:p>
    <w:p w14:paraId="5B97405C" w14:textId="77777777" w:rsidR="00B94C90" w:rsidRPr="00224192" w:rsidRDefault="00B94C90" w:rsidP="00B94C90">
      <w:pPr>
        <w:pStyle w:val="CH3"/>
        <w:rPr>
          <w:i/>
          <w:iCs/>
          <w:color w:val="000000" w:themeColor="text1"/>
          <w:sz w:val="24"/>
          <w:szCs w:val="24"/>
        </w:rPr>
      </w:pPr>
      <w:r w:rsidRPr="00224192">
        <w:rPr>
          <w:sz w:val="24"/>
          <w:szCs w:val="24"/>
        </w:rPr>
        <w:tab/>
      </w:r>
      <w:r w:rsidRPr="00224192">
        <w:rPr>
          <w:sz w:val="24"/>
          <w:szCs w:val="24"/>
        </w:rPr>
        <w:tab/>
      </w:r>
      <w:r w:rsidRPr="00224192">
        <w:rPr>
          <w:bCs/>
          <w:i/>
          <w:iCs/>
          <w:sz w:val="24"/>
          <w:szCs w:val="24"/>
        </w:rPr>
        <w:t>Comité des choix techniques pour le bromure de méthyle</w:t>
      </w:r>
    </w:p>
    <w:p w14:paraId="548CF29F" w14:textId="15D660E8" w:rsidR="00B94C90" w:rsidRPr="003F17DD" w:rsidRDefault="00B94C90" w:rsidP="00B94C90">
      <w:pPr>
        <w:pStyle w:val="NormalNonumber"/>
        <w:rPr>
          <w:color w:val="000000" w:themeColor="text1"/>
        </w:rPr>
      </w:pPr>
      <w:r w:rsidRPr="003F17DD">
        <w:t>Le rapport d</w:t>
      </w:r>
      <w:r w:rsidR="007175B8">
        <w:t>’</w:t>
      </w:r>
      <w:r w:rsidRPr="003F17DD">
        <w:t>activité du Comité des choix techniques pour le bromure de méthyle figure au chapitre</w:t>
      </w:r>
      <w:r w:rsidR="00D86664">
        <w:t> </w:t>
      </w:r>
      <w:r w:rsidRPr="003F17DD">
        <w:t>4 du présent</w:t>
      </w:r>
      <w:r w:rsidR="00976070">
        <w:t> </w:t>
      </w:r>
      <w:r w:rsidRPr="003F17DD">
        <w:t>rapport et comprend les points suivants</w:t>
      </w:r>
      <w:r w:rsidR="00DC36AD">
        <w:t> </w:t>
      </w:r>
      <w:r w:rsidRPr="003F17DD">
        <w:t>:</w:t>
      </w:r>
    </w:p>
    <w:p w14:paraId="3E449880" w14:textId="57C5E062"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w:t>
      </w:r>
      <w:r w:rsidR="007175B8">
        <w:t>’</w:t>
      </w:r>
      <w:r w:rsidRPr="003F17DD">
        <w:t>élimination progressive du bromure de méthyle pour les utilisations réglementées non liées à</w:t>
      </w:r>
      <w:r w:rsidR="00D86664">
        <w:t> </w:t>
      </w:r>
      <w:r w:rsidRPr="003F17DD">
        <w:t xml:space="preserve">la quarantaine et </w:t>
      </w:r>
      <w:r w:rsidR="00AF3F7F" w:rsidRPr="003F17DD">
        <w:t xml:space="preserve">aux </w:t>
      </w:r>
      <w:r w:rsidRPr="003F17DD">
        <w:t>traitements préalables à l</w:t>
      </w:r>
      <w:r w:rsidR="007175B8">
        <w:t>’</w:t>
      </w:r>
      <w:r w:rsidRPr="003F17DD">
        <w:t>expédition s</w:t>
      </w:r>
      <w:r w:rsidR="007175B8">
        <w:t>’</w:t>
      </w:r>
      <w:r w:rsidRPr="003F17DD">
        <w:t>est achevée avec la dernière demande de dérogation pour utilisations critiques reçue en 2025. Si l</w:t>
      </w:r>
      <w:r w:rsidR="007175B8">
        <w:t>’</w:t>
      </w:r>
      <w:r w:rsidRPr="003F17DD">
        <w:t>on ajoute à cela l</w:t>
      </w:r>
      <w:r w:rsidR="007175B8">
        <w:t>’</w:t>
      </w:r>
      <w:r w:rsidRPr="003F17DD">
        <w:t>élimination progressive du bromure de méthyle réalisée avant la procédure de demande de dérogation pour utilisations critiques, cela représente environ 62</w:t>
      </w:r>
      <w:r w:rsidR="00D86E57">
        <w:t> </w:t>
      </w:r>
      <w:r w:rsidRPr="003F17DD">
        <w:t>000 tonnes de bromure de méthyle éliminées progressivement à l</w:t>
      </w:r>
      <w:r w:rsidR="007175B8">
        <w:t>’</w:t>
      </w:r>
      <w:r w:rsidRPr="003F17DD">
        <w:t>échelle mondiale sur une période de 30</w:t>
      </w:r>
      <w:r w:rsidR="00D86E57">
        <w:t> </w:t>
      </w:r>
      <w:r w:rsidRPr="003F17DD">
        <w:t>ans. Aucune nouvelle demande de dérogation pour utilisations critiques n</w:t>
      </w:r>
      <w:r w:rsidR="007175B8">
        <w:t>’</w:t>
      </w:r>
      <w:r w:rsidRPr="003F17DD">
        <w:t xml:space="preserve">a été reçue en 2026. </w:t>
      </w:r>
    </w:p>
    <w:p w14:paraId="689B3F10" w14:textId="3F291A07"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La production mondiale déclarée de bromure de méthyle pour l</w:t>
      </w:r>
      <w:r w:rsidR="007D394C">
        <w:t>a</w:t>
      </w:r>
      <w:r w:rsidR="007D394C" w:rsidRPr="003F17DD">
        <w:t xml:space="preserve"> </w:t>
      </w:r>
      <w:r w:rsidRPr="003F17DD">
        <w:t>quarantaine et</w:t>
      </w:r>
      <w:r w:rsidR="007D394C">
        <w:t xml:space="preserve"> les</w:t>
      </w:r>
      <w:r w:rsidRPr="003F17DD">
        <w:t xml:space="preserve"> traitements préalables à l</w:t>
      </w:r>
      <w:r w:rsidR="007175B8">
        <w:t>’</w:t>
      </w:r>
      <w:r w:rsidRPr="003F17DD">
        <w:t>expédition en 2024 s</w:t>
      </w:r>
      <w:r w:rsidR="007175B8">
        <w:t>’</w:t>
      </w:r>
      <w:r w:rsidRPr="003F17DD">
        <w:t>élevait à 8</w:t>
      </w:r>
      <w:r w:rsidR="00D86E57">
        <w:t> </w:t>
      </w:r>
      <w:r w:rsidRPr="003F17DD">
        <w:t>935</w:t>
      </w:r>
      <w:r w:rsidR="00D86E57">
        <w:t> </w:t>
      </w:r>
      <w:r w:rsidRPr="003F17DD">
        <w:t>tonnes. La consommation déclarée pour la quarantaine et les traitements préalables à l</w:t>
      </w:r>
      <w:r w:rsidR="007175B8">
        <w:t>’</w:t>
      </w:r>
      <w:r w:rsidRPr="003F17DD">
        <w:t>expédition en 2024 s</w:t>
      </w:r>
      <w:r w:rsidR="007175B8">
        <w:t>’</w:t>
      </w:r>
      <w:r w:rsidRPr="003F17DD">
        <w:t>élevait à environ 8</w:t>
      </w:r>
      <w:r w:rsidR="00D4126E">
        <w:t> </w:t>
      </w:r>
      <w:r w:rsidRPr="003F17DD">
        <w:t>000</w:t>
      </w:r>
      <w:r w:rsidR="00D4126E">
        <w:t> </w:t>
      </w:r>
      <w:r w:rsidRPr="003F17DD">
        <w:t>tonnes de bromure de méthyle (soit environ 900</w:t>
      </w:r>
      <w:r w:rsidR="00D4126E">
        <w:t> </w:t>
      </w:r>
      <w:r w:rsidRPr="003F17DD">
        <w:t>tonnes de moins que la production déclarée). On</w:t>
      </w:r>
      <w:r w:rsidR="00FD3FE9">
        <w:t> </w:t>
      </w:r>
      <w:r w:rsidRPr="003F17DD">
        <w:t>constate que, depuis quelques années, certaines Parties ont largement adopté des solutions de remplacement du bromure de méthyle pour la quarantaine et les traitements préalables à l</w:t>
      </w:r>
      <w:r w:rsidR="007175B8">
        <w:t>’</w:t>
      </w:r>
      <w:r w:rsidRPr="003F17DD">
        <w:t xml:space="preserve">expédition. Il subsiste toutefois des sujets de préoccupation évidents, à savoir que les concentrations atmosphériques de bromure de méthyle ont cessé de baisser </w:t>
      </w:r>
      <w:r w:rsidR="007D394C">
        <w:t>car</w:t>
      </w:r>
      <w:r w:rsidRPr="003F17DD">
        <w:t xml:space="preserve"> les utilisations </w:t>
      </w:r>
      <w:r w:rsidR="007D394C">
        <w:t xml:space="preserve">aux fins de </w:t>
      </w:r>
      <w:r w:rsidR="007D394C" w:rsidRPr="003F17DD">
        <w:t>quarantaine et</w:t>
      </w:r>
      <w:r w:rsidR="007D394C">
        <w:t xml:space="preserve"> des</w:t>
      </w:r>
      <w:r w:rsidR="007D394C" w:rsidRPr="003F17DD">
        <w:t xml:space="preserve"> traitements préalables à l</w:t>
      </w:r>
      <w:r w:rsidR="007D394C">
        <w:t>’</w:t>
      </w:r>
      <w:r w:rsidR="007D394C" w:rsidRPr="003F17DD">
        <w:t>expédition</w:t>
      </w:r>
      <w:r w:rsidRPr="003F17DD">
        <w:t xml:space="preserve"> se poursuivent. Ces dernières années, les rapports sur le bromure de méthyle présentés par certaines Parties se sont révélés difficiles à</w:t>
      </w:r>
      <w:r w:rsidR="00F12A92">
        <w:t> </w:t>
      </w:r>
      <w:r w:rsidRPr="003F17DD">
        <w:t>comprendre et ont nécessité un suivi de la part du Comité des choix techniques pour le bromure de méthyle et du Secrétariat de l</w:t>
      </w:r>
      <w:r w:rsidR="007175B8">
        <w:t>’</w:t>
      </w:r>
      <w:r w:rsidRPr="003F17DD">
        <w:t>ozone afin de détecter d</w:t>
      </w:r>
      <w:r w:rsidR="007175B8">
        <w:t>’</w:t>
      </w:r>
      <w:r w:rsidRPr="003F17DD">
        <w:t>éventuelles erreurs. L</w:t>
      </w:r>
      <w:r w:rsidR="007175B8">
        <w:t>’</w:t>
      </w:r>
      <w:r w:rsidRPr="003F17DD">
        <w:t>exactitude des données communiquées est essentielle pour que le Groupe de l</w:t>
      </w:r>
      <w:r w:rsidR="007175B8">
        <w:t>’</w:t>
      </w:r>
      <w:r w:rsidRPr="003F17DD">
        <w:t>évaluation technique et économique puisse comparer les estimations ascendantes et descendantes des émissions de bromure de méthyle.</w:t>
      </w:r>
    </w:p>
    <w:p w14:paraId="26CF3D7A" w14:textId="71C5C142"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Des enquêtes récentes ont mis en évidence des utilisations non déclarées du bromure de méthyle dans des secteurs où ce produit n</w:t>
      </w:r>
      <w:r w:rsidR="007175B8">
        <w:t>’</w:t>
      </w:r>
      <w:r w:rsidRPr="003F17DD">
        <w:t>a été ni autorisé pour un usage réglementé, ni exempté au titre d</w:t>
      </w:r>
      <w:r w:rsidR="007175B8">
        <w:t>’</w:t>
      </w:r>
      <w:r w:rsidRPr="003F17DD">
        <w:t>une utilisation pour la quarantaine et les traitements préalables à l</w:t>
      </w:r>
      <w:r w:rsidR="007175B8">
        <w:t>’</w:t>
      </w:r>
      <w:r w:rsidRPr="003F17DD">
        <w:t>expédition. Des publications chinoises ont soulevé des inquiétudes concernant des émissions inexpliquées de bromure de méthyle, sans qu</w:t>
      </w:r>
      <w:r w:rsidR="007175B8">
        <w:t>’</w:t>
      </w:r>
      <w:r w:rsidRPr="003F17DD">
        <w:t>aucune précision supplémentaire ne soit apportée quant à leur origine (environ 4</w:t>
      </w:r>
      <w:r w:rsidR="00D4126E">
        <w:t> </w:t>
      </w:r>
      <w:r w:rsidRPr="003F17DD">
        <w:t>000 à 9</w:t>
      </w:r>
      <w:r w:rsidR="00D4126E">
        <w:t> </w:t>
      </w:r>
      <w:r w:rsidRPr="003F17DD">
        <w:t xml:space="preserve">000 tonnes par an) (Hu </w:t>
      </w:r>
      <w:r w:rsidRPr="00141423">
        <w:rPr>
          <w:i/>
          <w:iCs/>
        </w:rPr>
        <w:t>et al.</w:t>
      </w:r>
      <w:r w:rsidRPr="003F17DD">
        <w:t xml:space="preserve">, 2024). </w:t>
      </w:r>
    </w:p>
    <w:p w14:paraId="7776440A" w14:textId="26D85A7B" w:rsidR="00B94C90" w:rsidRPr="003F17DD" w:rsidRDefault="00B94C90" w:rsidP="00141423">
      <w:pPr>
        <w:pStyle w:val="NormalNonumber"/>
        <w:keepNext/>
        <w:keepLines/>
        <w:tabs>
          <w:tab w:val="clear" w:pos="1247"/>
        </w:tabs>
        <w:ind w:left="1843" w:hanging="284"/>
        <w:rPr>
          <w:color w:val="000000" w:themeColor="text1"/>
        </w:rPr>
      </w:pPr>
      <w:r w:rsidRPr="003F17DD">
        <w:rPr>
          <w:color w:val="000000" w:themeColor="text1"/>
        </w:rPr>
        <w:lastRenderedPageBreak/>
        <w:t>•</w:t>
      </w:r>
      <w:r w:rsidRPr="003F17DD">
        <w:tab/>
        <w:t>Le bromure de méthyle est hautement toxique pour l</w:t>
      </w:r>
      <w:r w:rsidR="007175B8">
        <w:t>’</w:t>
      </w:r>
      <w:r w:rsidRPr="003F17DD">
        <w:t>humain et fait l</w:t>
      </w:r>
      <w:r w:rsidR="007175B8">
        <w:t>’</w:t>
      </w:r>
      <w:r w:rsidRPr="003F17DD">
        <w:t>objet d</w:t>
      </w:r>
      <w:r w:rsidR="007175B8">
        <w:t>’</w:t>
      </w:r>
      <w:r w:rsidRPr="003F17DD">
        <w:t>une surveillance de plus en plus stricte en cas d</w:t>
      </w:r>
      <w:r w:rsidR="007175B8">
        <w:t>’</w:t>
      </w:r>
      <w:r w:rsidRPr="003F17DD">
        <w:t>exposition professionnelle. Plusieurs acteurs qui utilisent le bromure de méthyle pour la quarantaine et les traitements préalables à l</w:t>
      </w:r>
      <w:r w:rsidR="007175B8">
        <w:t>’</w:t>
      </w:r>
      <w:r w:rsidRPr="003F17DD">
        <w:t>expédition ont déjà mis en place ou prévoient d</w:t>
      </w:r>
      <w:r w:rsidR="007175B8">
        <w:t>’</w:t>
      </w:r>
      <w:r w:rsidRPr="003F17DD">
        <w:t>introduire des réductions strictes des concentrations autorisées de bromure de méthyle dans l</w:t>
      </w:r>
      <w:r w:rsidR="007175B8">
        <w:t>’</w:t>
      </w:r>
      <w:r w:rsidRPr="003F17DD">
        <w:t>espace de travail. Cela aura un impact considérable sur l</w:t>
      </w:r>
      <w:r w:rsidR="007175B8">
        <w:t>’</w:t>
      </w:r>
      <w:r w:rsidRPr="003F17DD">
        <w:t>utilisation d</w:t>
      </w:r>
      <w:r w:rsidR="007D394C">
        <w:t>u</w:t>
      </w:r>
      <w:r w:rsidRPr="003F17DD">
        <w:t xml:space="preserve"> bromure de méthyle, car cela nécessitera la mise en place de vastes zones tampons.</w:t>
      </w:r>
    </w:p>
    <w:p w14:paraId="0F1D21DB" w14:textId="6A429D94"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w:t>
      </w:r>
      <w:r w:rsidR="007175B8">
        <w:t>’</w:t>
      </w:r>
      <w:r w:rsidRPr="003F17DD">
        <w:t>utilisation de bromure de méthyle à des fins de quarantaine et de traitement préalable à</w:t>
      </w:r>
      <w:r w:rsidR="009245F7">
        <w:t> </w:t>
      </w:r>
      <w:r w:rsidRPr="003F17DD">
        <w:t>l</w:t>
      </w:r>
      <w:r w:rsidR="007175B8">
        <w:t>’</w:t>
      </w:r>
      <w:r w:rsidRPr="003F17DD">
        <w:t>expédition est exemptée des contrôles prévus par le Protocole de</w:t>
      </w:r>
      <w:r w:rsidR="00D4126E">
        <w:t> </w:t>
      </w:r>
      <w:r w:rsidRPr="003F17DD">
        <w:t>Montréal. L</w:t>
      </w:r>
      <w:r w:rsidR="007175B8">
        <w:t>’</w:t>
      </w:r>
      <w:r w:rsidRPr="003F17DD">
        <w:t>utilisation de bromure de méthyle pour lutter contre certains organismes de quarantaine pourrait s</w:t>
      </w:r>
      <w:r w:rsidR="007175B8">
        <w:t>’</w:t>
      </w:r>
      <w:r w:rsidRPr="003F17DD">
        <w:t>avérer nécessaire à long terme dans de nombreuses juridictions. Toutefois, pour les traitements préalables à l</w:t>
      </w:r>
      <w:r w:rsidR="007175B8">
        <w:t>’</w:t>
      </w:r>
      <w:r w:rsidRPr="003F17DD">
        <w:t>expédition, plusieurs solutions de remplacement (par exemple, les températures élevées et basses, l</w:t>
      </w:r>
      <w:r w:rsidR="007175B8">
        <w:t>’</w:t>
      </w:r>
      <w:r w:rsidRPr="003F17DD">
        <w:t>irradiation, la phosphine, le formiate d</w:t>
      </w:r>
      <w:r w:rsidR="007175B8">
        <w:t>’</w:t>
      </w:r>
      <w:r w:rsidRPr="003F17DD">
        <w:t>éthyle, le cyanure d</w:t>
      </w:r>
      <w:r w:rsidR="007175B8">
        <w:t>’</w:t>
      </w:r>
      <w:r w:rsidRPr="003F17DD">
        <w:t>hydrogène, le</w:t>
      </w:r>
      <w:r w:rsidR="009245F7">
        <w:t> </w:t>
      </w:r>
      <w:r w:rsidRPr="003F17DD">
        <w:t>dinitrile d</w:t>
      </w:r>
      <w:r w:rsidR="007175B8">
        <w:t>’</w:t>
      </w:r>
      <w:r w:rsidRPr="003F17DD">
        <w:t>éthane) sont au moins aussi efficaces que le bromure de méthyle et plus sûres tant pour les personnes que pour l</w:t>
      </w:r>
      <w:r w:rsidR="007175B8">
        <w:t>’</w:t>
      </w:r>
      <w:r w:rsidRPr="003F17DD">
        <w:t>environnement et les produits traités. La confusion concernant la distinction entre les utilisations relatives aux organismes de quarantaine et celles aux fins du traitement préalable à l</w:t>
      </w:r>
      <w:r w:rsidR="007175B8">
        <w:t>’</w:t>
      </w:r>
      <w:r w:rsidRPr="003F17DD">
        <w:t>expédition reste un problème pour de nombreux acteurs.</w:t>
      </w:r>
    </w:p>
    <w:p w14:paraId="6BA88986" w14:textId="18A4389E"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Les Parties pourraient envisager de mettre davantage l</w:t>
      </w:r>
      <w:r w:rsidR="007175B8">
        <w:t>’</w:t>
      </w:r>
      <w:r w:rsidRPr="003F17DD">
        <w:t>accent sur la prévention des émissions liées aux utilisations aux fins de quarantaine et de traitement préalable à l</w:t>
      </w:r>
      <w:r w:rsidR="007175B8">
        <w:t>’</w:t>
      </w:r>
      <w:r w:rsidRPr="003F17DD">
        <w:t>expédition, de limiter les dérogations concernant le bromure de méthyle pour les utilisations aux fins du traitement préalable à l</w:t>
      </w:r>
      <w:r w:rsidR="007175B8">
        <w:t>’</w:t>
      </w:r>
      <w:r w:rsidRPr="003F17DD">
        <w:t>expédition et d</w:t>
      </w:r>
      <w:r w:rsidR="007175B8">
        <w:t>’</w:t>
      </w:r>
      <w:r w:rsidRPr="003F17DD">
        <w:t>empêcher l</w:t>
      </w:r>
      <w:r w:rsidR="007175B8">
        <w:t>’</w:t>
      </w:r>
      <w:r w:rsidRPr="003F17DD">
        <w:t>utilisation abusive du bromure de méthyle non destiné à la quarantaine et au traitement préalable à l</w:t>
      </w:r>
      <w:r w:rsidR="007175B8">
        <w:t>’</w:t>
      </w:r>
      <w:r w:rsidRPr="003F17DD">
        <w:t>expédition, en clarifiant et en se concentrant exclusivement sur les utilisations relatives aux organismes de quarantaine. Cela permettrait d</w:t>
      </w:r>
      <w:r w:rsidR="007175B8">
        <w:t>’</w:t>
      </w:r>
      <w:r w:rsidRPr="003F17DD">
        <w:t>éviter des émissions d</w:t>
      </w:r>
      <w:r w:rsidR="007175B8">
        <w:t>’</w:t>
      </w:r>
      <w:r w:rsidRPr="003F17DD">
        <w:t>un ordre de grandeur similaire à celles qui ont été réduites grâce à</w:t>
      </w:r>
      <w:r w:rsidR="009245F7">
        <w:t> </w:t>
      </w:r>
      <w:r w:rsidRPr="003F17DD">
        <w:t>l</w:t>
      </w:r>
      <w:r w:rsidR="007175B8">
        <w:t>’</w:t>
      </w:r>
      <w:r w:rsidRPr="003F17DD">
        <w:t>élimination progressive du bromure de méthyle dans le cadre de la procédure de demande de dérogation pour utilisations critiques.</w:t>
      </w:r>
    </w:p>
    <w:p w14:paraId="3BB0D802" w14:textId="77777777" w:rsidR="00B94C90" w:rsidRPr="003F17DD" w:rsidRDefault="00B94C90" w:rsidP="00B94C90">
      <w:pPr>
        <w:pStyle w:val="CH2"/>
        <w:rPr>
          <w:i/>
          <w:iCs/>
          <w:color w:val="000000" w:themeColor="text1"/>
        </w:rPr>
      </w:pPr>
      <w:r w:rsidRPr="003F17DD">
        <w:tab/>
      </w:r>
      <w:r w:rsidRPr="003F17DD">
        <w:tab/>
      </w:r>
      <w:r w:rsidRPr="003F17DD">
        <w:rPr>
          <w:bCs/>
          <w:i/>
          <w:iCs/>
        </w:rPr>
        <w:t>Comité des choix techniques pour les produits chimiques et médicaux</w:t>
      </w:r>
    </w:p>
    <w:p w14:paraId="0A5BA803" w14:textId="6C5ACF5B" w:rsidR="00B94C90" w:rsidRPr="003F17DD" w:rsidRDefault="00B94C90" w:rsidP="00B94C90">
      <w:pPr>
        <w:pStyle w:val="NormalNonumber"/>
        <w:rPr>
          <w:color w:val="000000" w:themeColor="text1"/>
        </w:rPr>
      </w:pPr>
      <w:r w:rsidRPr="003F17DD">
        <w:t>Le rapport d</w:t>
      </w:r>
      <w:r w:rsidR="007175B8">
        <w:t>’</w:t>
      </w:r>
      <w:r w:rsidRPr="003F17DD">
        <w:t>activité du Comité des choix techniques pour les produits chimiques et médicaux figure au chapitre</w:t>
      </w:r>
      <w:r w:rsidR="00240D83">
        <w:t> </w:t>
      </w:r>
      <w:r w:rsidRPr="003F17DD">
        <w:t>5 du présent</w:t>
      </w:r>
      <w:r w:rsidR="00240D83">
        <w:t> </w:t>
      </w:r>
      <w:r w:rsidRPr="003F17DD">
        <w:t>rapport et comprend les points suivants</w:t>
      </w:r>
      <w:r w:rsidR="00DC36AD">
        <w:t> </w:t>
      </w:r>
      <w:r w:rsidRPr="003F17DD">
        <w:t>:</w:t>
      </w:r>
    </w:p>
    <w:p w14:paraId="7949220D" w14:textId="47EAAA1A"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Informations actualisées sur la production et l</w:t>
      </w:r>
      <w:r w:rsidR="007175B8">
        <w:t>’</w:t>
      </w:r>
      <w:r w:rsidRPr="003F17DD">
        <w:t xml:space="preserve">utilisation de substances réglementées comme produit chimique intermédiaire. </w:t>
      </w:r>
    </w:p>
    <w:p w14:paraId="05AC37F3" w14:textId="46FFE780"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Une évaluation et une recommandation concernant une technique de destruction présentée par le Canada au Groupe de l</w:t>
      </w:r>
      <w:r w:rsidR="007175B8">
        <w:t>’</w:t>
      </w:r>
      <w:r w:rsidRPr="003F17DD">
        <w:t xml:space="preserve">évaluation technique et économique pour examen et pour que les </w:t>
      </w:r>
      <w:r w:rsidR="00AF3F7F" w:rsidRPr="003F17DD">
        <w:t>P</w:t>
      </w:r>
      <w:r w:rsidRPr="003F17DD">
        <w:t>arties l</w:t>
      </w:r>
      <w:r w:rsidR="007175B8">
        <w:t>’</w:t>
      </w:r>
      <w:r w:rsidRPr="003F17DD">
        <w:t>approuvent en tant que technique de destruction agréée au titre du Protocole de</w:t>
      </w:r>
      <w:r w:rsidR="00240D83">
        <w:t> </w:t>
      </w:r>
      <w:r w:rsidRPr="003F17DD">
        <w:t>Montréal</w:t>
      </w:r>
      <w:r w:rsidR="00095277">
        <w:t> </w:t>
      </w:r>
      <w:r w:rsidRPr="003F17DD">
        <w:t xml:space="preserve">;  </w:t>
      </w:r>
    </w:p>
    <w:p w14:paraId="3AEB160E" w14:textId="69BA201D"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Évolutions concernant les inhalateurs-doseurs utilisant des propulseurs à faible potentiel de réchauffement global, conformément à la décision</w:t>
      </w:r>
      <w:r w:rsidR="00240D83">
        <w:t> </w:t>
      </w:r>
      <w:r w:rsidRPr="003F17DD">
        <w:t>XXXVI/6.</w:t>
      </w:r>
    </w:p>
    <w:p w14:paraId="67B9FA70" w14:textId="6E86851B" w:rsidR="00B94C90" w:rsidRPr="003F17DD" w:rsidRDefault="00B94C90" w:rsidP="00B94C90">
      <w:pPr>
        <w:pStyle w:val="NormalNonumber"/>
        <w:rPr>
          <w:color w:val="000000" w:themeColor="text1"/>
        </w:rPr>
      </w:pPr>
      <w:r w:rsidRPr="003F17DD">
        <w:t>Le Comité n</w:t>
      </w:r>
      <w:r w:rsidR="007175B8">
        <w:t>’</w:t>
      </w:r>
      <w:r w:rsidRPr="003F17DD">
        <w:t>a pas trouvé de nouvelles informations incontournables à communiquer aux Parties dans le présent rapport sur l</w:t>
      </w:r>
      <w:r w:rsidR="007175B8">
        <w:t>’</w:t>
      </w:r>
      <w:r w:rsidRPr="003F17DD">
        <w:t>évolution de la situation en ce qui concerne les utilisations comme agents de transformation, le bromure de n-propyle et les utilisations en laboratoire et à des fins d</w:t>
      </w:r>
      <w:r w:rsidR="007175B8">
        <w:t>’</w:t>
      </w:r>
      <w:r w:rsidRPr="003F17DD">
        <w:t>analyse.</w:t>
      </w:r>
    </w:p>
    <w:p w14:paraId="64C99558" w14:textId="77777777" w:rsidR="00B94C90" w:rsidRPr="003F17DD" w:rsidRDefault="00B94C90" w:rsidP="00B94C90">
      <w:pPr>
        <w:pStyle w:val="NormalNonumber"/>
        <w:keepNext/>
        <w:keepLines/>
        <w:rPr>
          <w:b/>
          <w:bCs/>
          <w:color w:val="000000" w:themeColor="text1"/>
        </w:rPr>
      </w:pPr>
      <w:r w:rsidRPr="003F17DD">
        <w:rPr>
          <w:b/>
          <w:bCs/>
        </w:rPr>
        <w:t>Produits intermédiaires</w:t>
      </w:r>
    </w:p>
    <w:p w14:paraId="24733812" w14:textId="74F439A7" w:rsidR="00B94C90" w:rsidRPr="003F17DD" w:rsidRDefault="00B94C90" w:rsidP="00B94C90">
      <w:pPr>
        <w:pStyle w:val="NormalNonumber"/>
        <w:keepNext/>
        <w:keepLines/>
        <w:tabs>
          <w:tab w:val="clear" w:pos="1247"/>
        </w:tabs>
        <w:ind w:left="1843" w:hanging="283"/>
        <w:rPr>
          <w:color w:val="000000" w:themeColor="text1"/>
        </w:rPr>
      </w:pPr>
      <w:r w:rsidRPr="003F17DD">
        <w:rPr>
          <w:color w:val="000000" w:themeColor="text1"/>
        </w:rPr>
        <w:t>•</w:t>
      </w:r>
      <w:r w:rsidRPr="003F17DD">
        <w:tab/>
        <w:t>Les données communiquées par les Parties au Secrétariat de l</w:t>
      </w:r>
      <w:r w:rsidR="007175B8">
        <w:t>’</w:t>
      </w:r>
      <w:r w:rsidRPr="003F17DD">
        <w:t>ozone sur leur production et leurs importations de substances réglementées utilisées comme intermédiaires de synthèse pour les années allant jusqu</w:t>
      </w:r>
      <w:r w:rsidR="007175B8">
        <w:t>’</w:t>
      </w:r>
      <w:r w:rsidRPr="003F17DD">
        <w:t xml:space="preserve">à 2024 inclus ont été transmises au Comité des choix techniques pour les produits chimiques et médicaux. </w:t>
      </w:r>
    </w:p>
    <w:p w14:paraId="733AE1FA" w14:textId="34A3E46A"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En 2024, la production totale et les importations déclarées pour les utilisations des substances appauvrissant la couche d</w:t>
      </w:r>
      <w:r w:rsidR="007175B8">
        <w:t>’</w:t>
      </w:r>
      <w:r w:rsidRPr="003F17DD">
        <w:t>ozone comme produits intermédiaires (y</w:t>
      </w:r>
      <w:r w:rsidR="00F97DAB">
        <w:t> </w:t>
      </w:r>
      <w:r w:rsidRPr="003F17DD">
        <w:t>compris les agents de transformation) s</w:t>
      </w:r>
      <w:r w:rsidR="007175B8">
        <w:t>’</w:t>
      </w:r>
      <w:r w:rsidRPr="003F17DD">
        <w:t>élevaient à 1</w:t>
      </w:r>
      <w:r w:rsidR="00CD1762">
        <w:t> </w:t>
      </w:r>
      <w:r w:rsidRPr="003F17DD">
        <w:t>947</w:t>
      </w:r>
      <w:r w:rsidR="00CD1762">
        <w:t> </w:t>
      </w:r>
      <w:r w:rsidRPr="003F17DD">
        <w:t>949 tonnes, soit une légère baisse par rapport au chiffre de</w:t>
      </w:r>
      <w:r w:rsidR="00F2397F">
        <w:t> </w:t>
      </w:r>
      <w:r w:rsidRPr="003F17DD">
        <w:t>2023 (1</w:t>
      </w:r>
      <w:r w:rsidR="00CD1762">
        <w:t> </w:t>
      </w:r>
      <w:r w:rsidRPr="003F17DD">
        <w:t>965</w:t>
      </w:r>
      <w:r w:rsidR="00CD1762">
        <w:t> </w:t>
      </w:r>
      <w:r w:rsidRPr="003F17DD">
        <w:t>768</w:t>
      </w:r>
      <w:r w:rsidR="00AE546F">
        <w:t> </w:t>
      </w:r>
      <w:r w:rsidRPr="003F17DD">
        <w:t>tonnes). Le HCFC-22 est, de loin, la principale substance utilisée comme intermédiaire de synthèse, avec 990</w:t>
      </w:r>
      <w:r w:rsidR="00D1313B">
        <w:t> </w:t>
      </w:r>
      <w:r w:rsidRPr="003F17DD">
        <w:t>395</w:t>
      </w:r>
      <w:r w:rsidR="00A76888">
        <w:t> </w:t>
      </w:r>
      <w:r w:rsidRPr="003F17DD">
        <w:t>tonnes déclarées en 2024, soit une augmentation par</w:t>
      </w:r>
      <w:r w:rsidR="002031AB">
        <w:t> </w:t>
      </w:r>
      <w:r w:rsidRPr="003F17DD">
        <w:t>rapport aux quantités révisées déclarées en 2023 (978</w:t>
      </w:r>
      <w:r w:rsidR="00A76888">
        <w:t> </w:t>
      </w:r>
      <w:r w:rsidRPr="003F17DD">
        <w:t>084</w:t>
      </w:r>
      <w:r w:rsidR="00A76888">
        <w:t> </w:t>
      </w:r>
      <w:r w:rsidRPr="003F17DD">
        <w:t xml:space="preserve">tonnes). </w:t>
      </w:r>
    </w:p>
    <w:p w14:paraId="34FC330D" w14:textId="1B01CEBE"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Les quantités déclarées de HFC produites à des fins d</w:t>
      </w:r>
      <w:r w:rsidR="007175B8">
        <w:t>’</w:t>
      </w:r>
      <w:r w:rsidRPr="003F17DD">
        <w:t>utilisation comme produits intermédiaires s</w:t>
      </w:r>
      <w:r w:rsidR="007175B8">
        <w:t>’</w:t>
      </w:r>
      <w:r w:rsidRPr="003F17DD">
        <w:t>élevaient à 183</w:t>
      </w:r>
      <w:r w:rsidR="00B61BAD">
        <w:t> </w:t>
      </w:r>
      <w:r w:rsidRPr="003F17DD">
        <w:t>539</w:t>
      </w:r>
      <w:r w:rsidR="00B61BAD">
        <w:t> </w:t>
      </w:r>
      <w:r w:rsidRPr="003F17DD">
        <w:t>tonnes en 2023 et à 211</w:t>
      </w:r>
      <w:r w:rsidR="00F54728">
        <w:t> </w:t>
      </w:r>
      <w:r w:rsidRPr="003F17DD">
        <w:t>326</w:t>
      </w:r>
      <w:r w:rsidR="00F54728">
        <w:t> </w:t>
      </w:r>
      <w:r w:rsidRPr="003F17DD">
        <w:t>tonnes en 2024. L</w:t>
      </w:r>
      <w:r w:rsidR="007175B8">
        <w:t>’</w:t>
      </w:r>
      <w:r w:rsidRPr="003F17DD">
        <w:t xml:space="preserve">augmentation de la production de HFC destinés à servir de produits </w:t>
      </w:r>
      <w:r w:rsidR="00642F34" w:rsidRPr="003F17DD">
        <w:t>intermédiaires</w:t>
      </w:r>
      <w:r w:rsidRPr="003F17DD">
        <w:t xml:space="preserve"> en</w:t>
      </w:r>
      <w:r w:rsidR="00014B4C">
        <w:t> </w:t>
      </w:r>
      <w:r w:rsidRPr="003F17DD">
        <w:t>2024</w:t>
      </w:r>
      <w:r w:rsidR="00674FEB">
        <w:t> </w:t>
      </w:r>
      <w:r w:rsidRPr="003F17DD">
        <w:t>est principalement due au HFC-152a, le HFC-236ea devant lui aussi atteindre une fourchette comprise entre 1</w:t>
      </w:r>
      <w:r w:rsidR="007A00D8">
        <w:t> </w:t>
      </w:r>
      <w:r w:rsidRPr="003F17DD">
        <w:t>000 et 10</w:t>
      </w:r>
      <w:r w:rsidR="007A00D8">
        <w:t> </w:t>
      </w:r>
      <w:r w:rsidRPr="003F17DD">
        <w:t>000</w:t>
      </w:r>
      <w:r w:rsidR="007A00D8">
        <w:t> </w:t>
      </w:r>
      <w:r w:rsidRPr="003F17DD">
        <w:t>tonnes en 2024.</w:t>
      </w:r>
    </w:p>
    <w:p w14:paraId="4A3F3D88" w14:textId="77777777" w:rsidR="00B94C90" w:rsidRPr="003F17DD" w:rsidRDefault="00B94C90" w:rsidP="00B94C90">
      <w:pPr>
        <w:pStyle w:val="CH2"/>
        <w:rPr>
          <w:i/>
          <w:iCs/>
          <w:color w:val="000000" w:themeColor="text1"/>
        </w:rPr>
      </w:pPr>
      <w:r w:rsidRPr="003F17DD">
        <w:lastRenderedPageBreak/>
        <w:tab/>
      </w:r>
      <w:r w:rsidRPr="003F17DD">
        <w:tab/>
      </w:r>
      <w:r w:rsidRPr="003F17DD">
        <w:rPr>
          <w:bCs/>
          <w:i/>
          <w:iCs/>
        </w:rPr>
        <w:t>Comité des choix techniques pour la réfrigération, la climatisation et les pompes à chaleur</w:t>
      </w:r>
    </w:p>
    <w:p w14:paraId="77287301" w14:textId="323A09A7" w:rsidR="00B94C90" w:rsidRPr="003F17DD" w:rsidRDefault="00B94C90" w:rsidP="00B94C90">
      <w:pPr>
        <w:pStyle w:val="NormalNonumber"/>
        <w:rPr>
          <w:color w:val="000000" w:themeColor="text1"/>
        </w:rPr>
      </w:pPr>
      <w:r w:rsidRPr="003F17DD">
        <w:t>Le rapport d</w:t>
      </w:r>
      <w:r w:rsidR="007175B8">
        <w:t>’</w:t>
      </w:r>
      <w:r w:rsidRPr="003F17DD">
        <w:t>activité du Comité des choix techniques pour la réfrigération, la climatisation et les pompes à chaleur figure au chapitre</w:t>
      </w:r>
      <w:r w:rsidR="007A00D8">
        <w:t> </w:t>
      </w:r>
      <w:r w:rsidRPr="003F17DD">
        <w:t>6 du présent</w:t>
      </w:r>
      <w:r w:rsidR="007A00D8">
        <w:t> </w:t>
      </w:r>
      <w:r w:rsidRPr="003F17DD">
        <w:t>rapport et comprend les points suivants</w:t>
      </w:r>
      <w:r w:rsidR="00DC36AD">
        <w:t> </w:t>
      </w:r>
      <w:r w:rsidRPr="003F17DD">
        <w:t>:</w:t>
      </w:r>
    </w:p>
    <w:p w14:paraId="65D0DD14" w14:textId="29AEDC04"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La demande mondiale croissante en systèmes de réfrigération, de climatisation et de pompes à chaleur pose un double défi climatique, lié à la fois aux fuites directes de réfrigérants et à la consommation indirecte d</w:t>
      </w:r>
      <w:r w:rsidR="007175B8">
        <w:t>’</w:t>
      </w:r>
      <w:r w:rsidRPr="003F17DD">
        <w:t>électricité, ce qui nécessite des analyses complètes du cycle de vie.</w:t>
      </w:r>
    </w:p>
    <w:p w14:paraId="18BE41E1" w14:textId="23172193"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La réduction des charges de climatisation et de chauffage grâce à des mesures passives telles que l</w:t>
      </w:r>
      <w:r w:rsidR="007175B8">
        <w:t>’</w:t>
      </w:r>
      <w:r w:rsidRPr="003F17DD">
        <w:t>isolation et la protection solaire constitue la première étape essentielle, susceptible de réduire la demande en climatisation et la consommation d</w:t>
      </w:r>
      <w:r w:rsidR="007175B8">
        <w:t>’</w:t>
      </w:r>
      <w:r w:rsidRPr="003F17DD">
        <w:t>énergie d</w:t>
      </w:r>
      <w:r w:rsidR="007175B8">
        <w:t>’</w:t>
      </w:r>
      <w:r w:rsidRPr="003F17DD">
        <w:t>environ 30</w:t>
      </w:r>
      <w:r w:rsidR="00D72CA2">
        <w:t> </w:t>
      </w:r>
      <w:r w:rsidRPr="003F17DD">
        <w:t>%.</w:t>
      </w:r>
    </w:p>
    <w:p w14:paraId="55F200A5" w14:textId="206E2FF4"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Il n</w:t>
      </w:r>
      <w:r w:rsidR="007175B8">
        <w:t>’</w:t>
      </w:r>
      <w:r w:rsidRPr="003F17DD">
        <w:t>existe pas de réfrigérant «</w:t>
      </w:r>
      <w:r w:rsidR="007A00D8">
        <w:t> </w:t>
      </w:r>
      <w:r w:rsidRPr="003F17DD">
        <w:t>idéal</w:t>
      </w:r>
      <w:r w:rsidR="001F5A93">
        <w:t> </w:t>
      </w:r>
      <w:r w:rsidRPr="003F17DD">
        <w:t>»</w:t>
      </w:r>
      <w:r w:rsidR="00095277">
        <w:t> </w:t>
      </w:r>
      <w:r w:rsidRPr="003F17DD">
        <w:t>; le choix nécessite de trouver un équilibre entre divers facteurs – juridiques, de sécurité, environnementaux, d</w:t>
      </w:r>
      <w:r w:rsidR="007175B8">
        <w:t>’</w:t>
      </w:r>
      <w:r w:rsidRPr="003F17DD">
        <w:t>adéquation, de coût, d</w:t>
      </w:r>
      <w:r w:rsidR="007175B8">
        <w:t>’</w:t>
      </w:r>
      <w:r w:rsidRPr="003F17DD">
        <w:t>efficacité et de facilité d</w:t>
      </w:r>
      <w:r w:rsidR="007175B8">
        <w:t>’</w:t>
      </w:r>
      <w:r w:rsidRPr="003F17DD">
        <w:t>utilisation –, tout en accordant une attention croissante à l</w:t>
      </w:r>
      <w:r w:rsidR="007175B8">
        <w:t>’</w:t>
      </w:r>
      <w:r w:rsidRPr="003F17DD">
        <w:t>évaluation des risques sur l</w:t>
      </w:r>
      <w:r w:rsidR="007175B8">
        <w:t>’</w:t>
      </w:r>
      <w:r w:rsidRPr="003F17DD">
        <w:t>ensemble du cycle de vie.</w:t>
      </w:r>
    </w:p>
    <w:p w14:paraId="400FA4B7" w14:textId="3B4B1F71"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La mise en œuvre de la gestion du cycle de vie des réfrigérants pourrait permettre de réduire de moitié les émissions prévues pour 2050, mais elle se heurte à un déficit croissant de compétences et à un besoin urgent de renforcement des capacités et de technicien</w:t>
      </w:r>
      <w:r w:rsidR="00642F34" w:rsidRPr="003F17DD">
        <w:t>(ne)</w:t>
      </w:r>
      <w:r w:rsidRPr="003F17DD">
        <w:t>s qualifié</w:t>
      </w:r>
      <w:r w:rsidR="00642F34" w:rsidRPr="003F17DD">
        <w:t>(e)</w:t>
      </w:r>
      <w:r w:rsidRPr="003F17DD">
        <w:t>s capables de manipuler des réfrigérants à faible PRG et inflammables.</w:t>
      </w:r>
    </w:p>
    <w:p w14:paraId="332ED41A" w14:textId="04BA0BB6"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Il est essentiel de renforcer les systèmes nationaux de collecte de données relatives aux systèmes de réfrigération, de climatisation et de pompes à chaleur afin d</w:t>
      </w:r>
      <w:r w:rsidR="007175B8">
        <w:t>’</w:t>
      </w:r>
      <w:r w:rsidRPr="003F17DD">
        <w:t>améliorer la précision des modèles concernant les réserves, la consommation et les émissions des systèmes de réfrigération, de climatisation et de pompes à chaleur, et de permettre la mise en place de stratégies d</w:t>
      </w:r>
      <w:r w:rsidR="007175B8">
        <w:t>’</w:t>
      </w:r>
      <w:r w:rsidRPr="003F17DD">
        <w:t>atténuation fondées sur des données factuelles.</w:t>
      </w:r>
    </w:p>
    <w:p w14:paraId="268BB832" w14:textId="4ED64A29"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Dans le domaine de la réfrigération commerciale, on observe une transition marquée du R</w:t>
      </w:r>
      <w:r w:rsidR="00B246B9">
        <w:noBreakHyphen/>
      </w:r>
      <w:r w:rsidRPr="003F17DD">
        <w:t>404A vers le R-744 (CO₂), considéré comme la solution durable de référence, en particulier dans les pays où les températures ambiantes sont plus basses, comme en Europe. Dans d</w:t>
      </w:r>
      <w:r w:rsidR="007175B8">
        <w:t>’</w:t>
      </w:r>
      <w:r w:rsidRPr="003F17DD">
        <w:t>autres régions, on observe l</w:t>
      </w:r>
      <w:r w:rsidR="007175B8">
        <w:t>’</w:t>
      </w:r>
      <w:r w:rsidRPr="003F17DD">
        <w:t>adoption de réfrigérants A2L à faible PRG, parallèlement aux réfrigérants R-744 et R-290, dans les systèmes à faible charge.</w:t>
      </w:r>
    </w:p>
    <w:p w14:paraId="59262C55" w14:textId="0E6A6FDE"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Dans le domaine de la réfrigération industrielle, le R-717 (ammoniac) et le R-744 (CO₂) sont les réfrigérants à faible PRG privilégiés, et leur utilisation devrait s</w:t>
      </w:r>
      <w:r w:rsidR="007175B8">
        <w:t>’</w:t>
      </w:r>
      <w:r w:rsidRPr="003F17DD">
        <w:t>accroître, tandis que la transition dans le secteur de la réfrigération du transport s</w:t>
      </w:r>
      <w:r w:rsidR="007175B8">
        <w:t>’</w:t>
      </w:r>
      <w:r w:rsidRPr="003F17DD">
        <w:t>annonce plus lente en raison de contraintes liées à la sécurité, aux infrastructures et à la longue durée de vie des équipements.</w:t>
      </w:r>
    </w:p>
    <w:p w14:paraId="287F8E60" w14:textId="508BA811"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La réduction de la consommation d</w:t>
      </w:r>
      <w:r w:rsidR="007175B8">
        <w:t>’</w:t>
      </w:r>
      <w:r w:rsidRPr="003F17DD">
        <w:t>énergie reste un enjeu majeur dans le domaine du refroidissement de confort, avec une tendance mondiale en faveur des compresseurs à</w:t>
      </w:r>
      <w:r w:rsidR="00456E2C">
        <w:t> </w:t>
      </w:r>
      <w:r w:rsidRPr="003F17DD">
        <w:t>inverseur (permettant d</w:t>
      </w:r>
      <w:r w:rsidR="007175B8">
        <w:t>’</w:t>
      </w:r>
      <w:r w:rsidRPr="003F17DD">
        <w:t>obtenir une capacité variable), même si cette technologie reste peu répandue dans de nombreuses Parties visées à l</w:t>
      </w:r>
      <w:r w:rsidR="007175B8">
        <w:t>’</w:t>
      </w:r>
      <w:r w:rsidRPr="003F17DD">
        <w:t>article</w:t>
      </w:r>
      <w:r w:rsidR="007F1F87">
        <w:t> </w:t>
      </w:r>
      <w:r w:rsidRPr="003F17DD">
        <w:t>5 et dans certaines Parties non visées à</w:t>
      </w:r>
      <w:r w:rsidR="00456E2C">
        <w:t> </w:t>
      </w:r>
      <w:r w:rsidRPr="003F17DD">
        <w:t>l</w:t>
      </w:r>
      <w:r w:rsidR="007175B8">
        <w:t>’</w:t>
      </w:r>
      <w:r w:rsidRPr="003F17DD">
        <w:t>article</w:t>
      </w:r>
      <w:r w:rsidR="007F1F87">
        <w:t> </w:t>
      </w:r>
      <w:r w:rsidRPr="003F17DD">
        <w:t>5.</w:t>
      </w:r>
    </w:p>
    <w:p w14:paraId="4085B604" w14:textId="1DB9B710"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Les systèmes intégrés de chauffage et de refroidissement combinés peuvent améliorer l</w:t>
      </w:r>
      <w:r w:rsidR="007175B8">
        <w:t>’</w:t>
      </w:r>
      <w:r w:rsidRPr="003F17DD">
        <w:t>efficacité énergétique globale de 30 à 50</w:t>
      </w:r>
      <w:r w:rsidR="00D72CA2">
        <w:t> </w:t>
      </w:r>
      <w:r w:rsidRPr="003F17DD">
        <w:t>% et réduire considérablement les émissions de CO₂ en remplaçant le chauffage au combustible fossile.</w:t>
      </w:r>
    </w:p>
    <w:p w14:paraId="64A499AF" w14:textId="0F11803E" w:rsidR="00B94C90" w:rsidRPr="003F17DD" w:rsidRDefault="00B94C90" w:rsidP="00B94C90">
      <w:pPr>
        <w:pStyle w:val="NormalNonumber"/>
        <w:tabs>
          <w:tab w:val="clear" w:pos="1247"/>
        </w:tabs>
        <w:ind w:left="1843" w:hanging="283"/>
        <w:rPr>
          <w:color w:val="000000" w:themeColor="text1"/>
        </w:rPr>
      </w:pPr>
      <w:r w:rsidRPr="003F17DD">
        <w:rPr>
          <w:color w:val="000000" w:themeColor="text1"/>
        </w:rPr>
        <w:t>•</w:t>
      </w:r>
      <w:r w:rsidRPr="003F17DD">
        <w:tab/>
        <w:t>À l</w:t>
      </w:r>
      <w:r w:rsidR="007175B8">
        <w:t>’</w:t>
      </w:r>
      <w:r w:rsidRPr="003F17DD">
        <w:t>exception de l</w:t>
      </w:r>
      <w:r w:rsidR="007175B8">
        <w:t>’</w:t>
      </w:r>
      <w:r w:rsidRPr="003F17DD">
        <w:t>absorption et de l</w:t>
      </w:r>
      <w:r w:rsidR="007175B8">
        <w:t>’</w:t>
      </w:r>
      <w:r w:rsidRPr="003F17DD">
        <w:t>adsorption, les technologies de compression non</w:t>
      </w:r>
      <w:r w:rsidR="00E5129C">
        <w:t> </w:t>
      </w:r>
      <w:r w:rsidRPr="003F17DD">
        <w:t>vaporeuse (non isothermes) ne sont actuellement pas en mesure de remplacer la compression mécanique de vapeur pour le refroidissement de confort, la plupart d</w:t>
      </w:r>
      <w:r w:rsidR="007175B8">
        <w:t>’</w:t>
      </w:r>
      <w:r w:rsidRPr="003F17DD">
        <w:t>entre elles en étant encore au stade émergent ou à celui de la recherche et du développement. On trouvera dans cette section les principaux messages ressortant des rapports d</w:t>
      </w:r>
      <w:r w:rsidR="007175B8">
        <w:t>’</w:t>
      </w:r>
      <w:r w:rsidRPr="003F17DD">
        <w:t>activité des comités des choix techniques.</w:t>
      </w:r>
    </w:p>
    <w:p w14:paraId="19A8AD70" w14:textId="77777777" w:rsidR="00B94C90" w:rsidRPr="003F17DD" w:rsidRDefault="00B94C90" w:rsidP="00B94C90">
      <w:pPr>
        <w:pStyle w:val="Normalpool"/>
      </w:pPr>
      <w:r w:rsidRPr="003F17DD">
        <w:br w:type="page"/>
      </w:r>
    </w:p>
    <w:p w14:paraId="77125383" w14:textId="434B2535" w:rsidR="00B94C90" w:rsidRPr="003F17DD" w:rsidRDefault="00B94C90" w:rsidP="00B94C90">
      <w:pPr>
        <w:pStyle w:val="ZZAnxheader"/>
      </w:pPr>
      <w:r w:rsidRPr="003F17DD">
        <w:lastRenderedPageBreak/>
        <w:t>Annexe</w:t>
      </w:r>
      <w:r w:rsidR="007C44C6">
        <w:t> </w:t>
      </w:r>
      <w:r w:rsidRPr="003F17DD">
        <w:t>III</w:t>
      </w:r>
      <w:r w:rsidRPr="003F17DD">
        <w:rPr>
          <w:b w:val="0"/>
          <w:bCs w:val="0"/>
        </w:rPr>
        <w:footnoteReference w:customMarkFollows="1" w:id="20"/>
        <w:t>*</w:t>
      </w:r>
    </w:p>
    <w:p w14:paraId="151AC0C7" w14:textId="7F8BD1CB" w:rsidR="00B94C90" w:rsidRPr="003F17DD" w:rsidRDefault="00B94C90" w:rsidP="00B94C90">
      <w:pPr>
        <w:pStyle w:val="ZZAnxtitle"/>
        <w:tabs>
          <w:tab w:val="clear" w:pos="1247"/>
        </w:tabs>
        <w:ind w:left="990"/>
      </w:pPr>
      <w:r w:rsidRPr="003F17DD">
        <w:t>Membres des comités des choix techniques du Groupe de l</w:t>
      </w:r>
      <w:r w:rsidR="007175B8">
        <w:t>’</w:t>
      </w:r>
      <w:r w:rsidRPr="003F17DD">
        <w:t>évaluation technique et économique dont le mandat expire fin 2026 et</w:t>
      </w:r>
      <w:r w:rsidR="00286806">
        <w:t> </w:t>
      </w:r>
      <w:r w:rsidRPr="003F17DD">
        <w:t>dont</w:t>
      </w:r>
      <w:r w:rsidR="00286806">
        <w:t> </w:t>
      </w:r>
      <w:r w:rsidRPr="003F17DD">
        <w:t>la</w:t>
      </w:r>
      <w:r w:rsidR="00286806">
        <w:t> </w:t>
      </w:r>
      <w:r w:rsidRPr="003F17DD">
        <w:t>reconduction ne requiert pas de décision de la Réunion des</w:t>
      </w:r>
      <w:r w:rsidR="00286806">
        <w:t> </w:t>
      </w:r>
      <w:r w:rsidRPr="003F17DD">
        <w:t>Parties</w:t>
      </w:r>
    </w:p>
    <w:tbl>
      <w:tblPr>
        <w:tblW w:w="8307" w:type="dxa"/>
        <w:jc w:val="right"/>
        <w:tblLayout w:type="fixed"/>
        <w:tblLook w:val="04A0" w:firstRow="1" w:lastRow="0" w:firstColumn="1" w:lastColumn="0" w:noHBand="0" w:noVBand="1"/>
      </w:tblPr>
      <w:tblGrid>
        <w:gridCol w:w="3024"/>
        <w:gridCol w:w="2488"/>
        <w:gridCol w:w="2795"/>
      </w:tblGrid>
      <w:tr w:rsidR="00B94C90" w:rsidRPr="003F17DD" w14:paraId="63A1E4F2" w14:textId="77777777" w:rsidTr="00B64331">
        <w:trPr>
          <w:trHeight w:val="57"/>
          <w:tblHeader/>
          <w:jc w:val="right"/>
        </w:trPr>
        <w:tc>
          <w:tcPr>
            <w:tcW w:w="3024" w:type="dxa"/>
            <w:tcBorders>
              <w:top w:val="single" w:sz="4" w:space="0" w:color="auto"/>
              <w:left w:val="nil"/>
              <w:bottom w:val="single" w:sz="12" w:space="0" w:color="auto"/>
              <w:right w:val="nil"/>
            </w:tcBorders>
            <w:vAlign w:val="bottom"/>
            <w:hideMark/>
          </w:tcPr>
          <w:p w14:paraId="3E625342" w14:textId="77777777" w:rsidR="00B94C90" w:rsidRPr="003F17DD" w:rsidRDefault="00B94C90" w:rsidP="00B64331">
            <w:pPr>
              <w:pStyle w:val="Normal-pool-Table"/>
              <w:rPr>
                <w:i/>
                <w:szCs w:val="18"/>
              </w:rPr>
            </w:pPr>
            <w:r w:rsidRPr="003F17DD">
              <w:rPr>
                <w:i/>
                <w:iCs/>
                <w:color w:val="000000"/>
              </w:rPr>
              <w:t>Nom</w:t>
            </w:r>
          </w:p>
        </w:tc>
        <w:tc>
          <w:tcPr>
            <w:tcW w:w="2488" w:type="dxa"/>
            <w:tcBorders>
              <w:top w:val="single" w:sz="4" w:space="0" w:color="auto"/>
              <w:left w:val="nil"/>
              <w:bottom w:val="single" w:sz="12" w:space="0" w:color="auto"/>
              <w:right w:val="nil"/>
            </w:tcBorders>
            <w:vAlign w:val="bottom"/>
            <w:hideMark/>
          </w:tcPr>
          <w:p w14:paraId="5D20D0F5" w14:textId="77777777" w:rsidR="00B94C90" w:rsidRPr="003F17DD" w:rsidRDefault="00B94C90" w:rsidP="00B64331">
            <w:pPr>
              <w:pStyle w:val="Normal-pool-Table"/>
              <w:rPr>
                <w:i/>
                <w:szCs w:val="18"/>
              </w:rPr>
            </w:pPr>
            <w:r w:rsidRPr="003F17DD">
              <w:rPr>
                <w:i/>
                <w:iCs/>
                <w:color w:val="000000"/>
              </w:rPr>
              <w:t>Poste</w:t>
            </w:r>
          </w:p>
        </w:tc>
        <w:tc>
          <w:tcPr>
            <w:tcW w:w="2795" w:type="dxa"/>
            <w:tcBorders>
              <w:top w:val="single" w:sz="4" w:space="0" w:color="auto"/>
              <w:left w:val="nil"/>
              <w:bottom w:val="single" w:sz="12" w:space="0" w:color="auto"/>
              <w:right w:val="nil"/>
            </w:tcBorders>
            <w:vAlign w:val="bottom"/>
            <w:hideMark/>
          </w:tcPr>
          <w:p w14:paraId="4EFD39DE" w14:textId="77777777" w:rsidR="00B94C90" w:rsidRPr="003F17DD" w:rsidRDefault="00B94C90" w:rsidP="00B64331">
            <w:pPr>
              <w:pStyle w:val="Normal-pool-Table"/>
              <w:rPr>
                <w:i/>
                <w:szCs w:val="18"/>
              </w:rPr>
            </w:pPr>
            <w:r w:rsidRPr="003F17DD">
              <w:rPr>
                <w:i/>
                <w:iCs/>
                <w:color w:val="000000"/>
              </w:rPr>
              <w:t>Pays</w:t>
            </w:r>
          </w:p>
        </w:tc>
      </w:tr>
      <w:tr w:rsidR="00B94C90" w:rsidRPr="003F17DD" w14:paraId="2260438C" w14:textId="77777777" w:rsidTr="00B64331">
        <w:trPr>
          <w:trHeight w:val="57"/>
          <w:jc w:val="right"/>
        </w:trPr>
        <w:tc>
          <w:tcPr>
            <w:tcW w:w="8307" w:type="dxa"/>
            <w:gridSpan w:val="3"/>
            <w:tcBorders>
              <w:top w:val="single" w:sz="12" w:space="0" w:color="auto"/>
              <w:left w:val="nil"/>
              <w:bottom w:val="single" w:sz="4" w:space="0" w:color="auto"/>
              <w:right w:val="nil"/>
            </w:tcBorders>
            <w:hideMark/>
          </w:tcPr>
          <w:p w14:paraId="54D8F5F3" w14:textId="77777777" w:rsidR="00B94C90" w:rsidRPr="003F17DD" w:rsidRDefault="00B94C90" w:rsidP="00B64331">
            <w:pPr>
              <w:pStyle w:val="Normal-pool-Table"/>
              <w:rPr>
                <w:b/>
                <w:szCs w:val="18"/>
              </w:rPr>
            </w:pPr>
            <w:r w:rsidRPr="003F17DD">
              <w:rPr>
                <w:b/>
                <w:bCs/>
                <w:color w:val="000000"/>
              </w:rPr>
              <w:t>Membres des comités des choix techniques</w:t>
            </w:r>
            <w:r w:rsidRPr="003F17DD">
              <w:rPr>
                <w:color w:val="000000"/>
              </w:rPr>
              <w:t xml:space="preserve"> </w:t>
            </w:r>
          </w:p>
        </w:tc>
      </w:tr>
      <w:tr w:rsidR="00B94C90" w:rsidRPr="003F17DD" w14:paraId="644A2371" w14:textId="77777777" w:rsidTr="00B64331">
        <w:trPr>
          <w:trHeight w:val="57"/>
          <w:jc w:val="right"/>
        </w:trPr>
        <w:tc>
          <w:tcPr>
            <w:tcW w:w="3024" w:type="dxa"/>
          </w:tcPr>
          <w:p w14:paraId="620C0449" w14:textId="77777777" w:rsidR="00B94C90" w:rsidRPr="003F17DD" w:rsidRDefault="00B94C90" w:rsidP="00B64331">
            <w:pPr>
              <w:pStyle w:val="Normal-pool-Table"/>
              <w:rPr>
                <w:szCs w:val="18"/>
              </w:rPr>
            </w:pPr>
            <w:r w:rsidRPr="003F17DD">
              <w:rPr>
                <w:color w:val="000000"/>
                <w:szCs w:val="18"/>
              </w:rPr>
              <w:t>Cecilia Girotti</w:t>
            </w:r>
          </w:p>
        </w:tc>
        <w:tc>
          <w:tcPr>
            <w:tcW w:w="2488" w:type="dxa"/>
          </w:tcPr>
          <w:p w14:paraId="020D47BB" w14:textId="77777777" w:rsidR="00B94C90" w:rsidRPr="003F17DD" w:rsidRDefault="00B94C90" w:rsidP="00B64331">
            <w:pPr>
              <w:pStyle w:val="Normal-pool-Table"/>
              <w:rPr>
                <w:color w:val="000000" w:themeColor="text1"/>
                <w:szCs w:val="18"/>
              </w:rPr>
            </w:pPr>
            <w:r w:rsidRPr="003F17DD">
              <w:rPr>
                <w:color w:val="000000"/>
              </w:rPr>
              <w:t>Membre du FTOC</w:t>
            </w:r>
          </w:p>
        </w:tc>
        <w:tc>
          <w:tcPr>
            <w:tcW w:w="2795" w:type="dxa"/>
          </w:tcPr>
          <w:p w14:paraId="528570ED" w14:textId="77777777" w:rsidR="00B94C90" w:rsidRPr="003F17DD" w:rsidRDefault="00B94C90" w:rsidP="00B64331">
            <w:pPr>
              <w:pStyle w:val="Normal-pool-Table"/>
              <w:rPr>
                <w:rFonts w:eastAsia="MS Mincho"/>
                <w:color w:val="000000" w:themeColor="text1"/>
                <w:szCs w:val="18"/>
              </w:rPr>
            </w:pPr>
            <w:r w:rsidRPr="003F17DD">
              <w:rPr>
                <w:color w:val="000000"/>
              </w:rPr>
              <w:t>Italie</w:t>
            </w:r>
          </w:p>
        </w:tc>
      </w:tr>
      <w:tr w:rsidR="00B94C90" w:rsidRPr="003F17DD" w14:paraId="653AE0C9" w14:textId="77777777" w:rsidTr="00B64331">
        <w:trPr>
          <w:trHeight w:val="331"/>
          <w:jc w:val="right"/>
        </w:trPr>
        <w:tc>
          <w:tcPr>
            <w:tcW w:w="3024" w:type="dxa"/>
          </w:tcPr>
          <w:p w14:paraId="0B3E93C0" w14:textId="77777777" w:rsidR="00B94C90" w:rsidRPr="003F17DD" w:rsidRDefault="00B94C90" w:rsidP="00B64331">
            <w:pPr>
              <w:pStyle w:val="Normal-pool-Table"/>
              <w:rPr>
                <w:color w:val="808080" w:themeColor="background1" w:themeShade="80"/>
                <w:szCs w:val="18"/>
              </w:rPr>
            </w:pPr>
            <w:r w:rsidRPr="003F17DD">
              <w:rPr>
                <w:color w:val="000000"/>
                <w:szCs w:val="18"/>
              </w:rPr>
              <w:t>Sascha Rulhoff</w:t>
            </w:r>
          </w:p>
        </w:tc>
        <w:tc>
          <w:tcPr>
            <w:tcW w:w="2488" w:type="dxa"/>
          </w:tcPr>
          <w:p w14:paraId="7AB6DD3A" w14:textId="77777777" w:rsidR="00B94C90" w:rsidRPr="003F17DD" w:rsidRDefault="00B94C90" w:rsidP="00B64331">
            <w:pPr>
              <w:pStyle w:val="Normal-pool-Table"/>
              <w:rPr>
                <w:color w:val="000000" w:themeColor="text1"/>
                <w:szCs w:val="18"/>
              </w:rPr>
            </w:pPr>
            <w:r w:rsidRPr="003F17DD">
              <w:rPr>
                <w:color w:val="000000"/>
              </w:rPr>
              <w:t>Membre du FTOC</w:t>
            </w:r>
          </w:p>
        </w:tc>
        <w:tc>
          <w:tcPr>
            <w:tcW w:w="2795" w:type="dxa"/>
          </w:tcPr>
          <w:p w14:paraId="5451E7EA" w14:textId="77777777" w:rsidR="00B94C90" w:rsidRPr="003F17DD" w:rsidRDefault="00B94C90" w:rsidP="00B64331">
            <w:pPr>
              <w:pStyle w:val="Normal-pool-Table"/>
              <w:rPr>
                <w:rFonts w:eastAsia="MS Mincho"/>
                <w:color w:val="000000" w:themeColor="text1"/>
                <w:szCs w:val="18"/>
              </w:rPr>
            </w:pPr>
            <w:r w:rsidRPr="003F17DD">
              <w:rPr>
                <w:color w:val="000000"/>
              </w:rPr>
              <w:t>Allemagne</w:t>
            </w:r>
          </w:p>
        </w:tc>
      </w:tr>
      <w:tr w:rsidR="00B94C90" w:rsidRPr="003F17DD" w14:paraId="38C207BB" w14:textId="77777777" w:rsidTr="00B64331">
        <w:trPr>
          <w:trHeight w:val="331"/>
          <w:jc w:val="right"/>
        </w:trPr>
        <w:tc>
          <w:tcPr>
            <w:tcW w:w="3024" w:type="dxa"/>
          </w:tcPr>
          <w:p w14:paraId="1ECE64A0" w14:textId="77777777" w:rsidR="00B94C90" w:rsidRPr="003F17DD" w:rsidRDefault="00B94C90" w:rsidP="00B64331">
            <w:pPr>
              <w:pStyle w:val="Normal-pool-Table"/>
              <w:rPr>
                <w:color w:val="808080" w:themeColor="background1" w:themeShade="80"/>
                <w:szCs w:val="18"/>
              </w:rPr>
            </w:pPr>
            <w:proofErr w:type="spellStart"/>
            <w:r w:rsidRPr="003F17DD">
              <w:rPr>
                <w:color w:val="000000"/>
                <w:szCs w:val="18"/>
              </w:rPr>
              <w:t>Enshan</w:t>
            </w:r>
            <w:proofErr w:type="spellEnd"/>
            <w:r w:rsidRPr="003F17DD">
              <w:rPr>
                <w:color w:val="000000"/>
                <w:szCs w:val="18"/>
              </w:rPr>
              <w:t xml:space="preserve"> Sheng</w:t>
            </w:r>
          </w:p>
        </w:tc>
        <w:tc>
          <w:tcPr>
            <w:tcW w:w="2488" w:type="dxa"/>
          </w:tcPr>
          <w:p w14:paraId="6EF70D49" w14:textId="77777777" w:rsidR="00B94C90" w:rsidRPr="003F17DD" w:rsidRDefault="00B94C90" w:rsidP="00B64331">
            <w:pPr>
              <w:pStyle w:val="Normal-pool-Table"/>
              <w:rPr>
                <w:color w:val="000000" w:themeColor="text1"/>
                <w:szCs w:val="18"/>
              </w:rPr>
            </w:pPr>
            <w:r w:rsidRPr="003F17DD">
              <w:rPr>
                <w:color w:val="000000"/>
              </w:rPr>
              <w:t>Membre du FTOC</w:t>
            </w:r>
          </w:p>
        </w:tc>
        <w:tc>
          <w:tcPr>
            <w:tcW w:w="2795" w:type="dxa"/>
          </w:tcPr>
          <w:p w14:paraId="16C5AE72" w14:textId="77777777" w:rsidR="00B94C90" w:rsidRPr="003F17DD" w:rsidRDefault="00B94C90" w:rsidP="00B64331">
            <w:pPr>
              <w:pStyle w:val="Normal-pool-Table"/>
              <w:rPr>
                <w:rFonts w:eastAsia="MS Mincho"/>
                <w:color w:val="000000" w:themeColor="text1"/>
                <w:szCs w:val="18"/>
              </w:rPr>
            </w:pPr>
            <w:r w:rsidRPr="003F17DD">
              <w:rPr>
                <w:color w:val="000000"/>
              </w:rPr>
              <w:t>Singapour</w:t>
            </w:r>
          </w:p>
        </w:tc>
      </w:tr>
      <w:tr w:rsidR="00B94C90" w:rsidRPr="003F17DD" w14:paraId="40E66861" w14:textId="77777777" w:rsidTr="00B64331">
        <w:trPr>
          <w:trHeight w:val="57"/>
          <w:jc w:val="right"/>
        </w:trPr>
        <w:tc>
          <w:tcPr>
            <w:tcW w:w="3024" w:type="dxa"/>
          </w:tcPr>
          <w:p w14:paraId="06AF733E" w14:textId="77777777" w:rsidR="00B94C90" w:rsidRPr="003F17DD" w:rsidRDefault="00B94C90" w:rsidP="00B64331">
            <w:pPr>
              <w:pStyle w:val="Normal-pool-Table"/>
              <w:rPr>
                <w:rFonts w:eastAsia="Cambria"/>
                <w:color w:val="808080" w:themeColor="background1" w:themeShade="80"/>
                <w:szCs w:val="18"/>
              </w:rPr>
            </w:pPr>
          </w:p>
        </w:tc>
        <w:tc>
          <w:tcPr>
            <w:tcW w:w="2488" w:type="dxa"/>
          </w:tcPr>
          <w:p w14:paraId="13E4D0FE" w14:textId="77777777" w:rsidR="00B94C90" w:rsidRPr="003F17DD" w:rsidRDefault="00B94C90" w:rsidP="00B64331">
            <w:pPr>
              <w:pStyle w:val="Normal-pool-Table"/>
              <w:rPr>
                <w:color w:val="808080" w:themeColor="background1" w:themeShade="80"/>
                <w:szCs w:val="18"/>
              </w:rPr>
            </w:pPr>
          </w:p>
        </w:tc>
        <w:tc>
          <w:tcPr>
            <w:tcW w:w="2795" w:type="dxa"/>
          </w:tcPr>
          <w:p w14:paraId="4C324DFB" w14:textId="77777777" w:rsidR="00B94C90" w:rsidRPr="003F17DD" w:rsidRDefault="00B94C90" w:rsidP="00B64331">
            <w:pPr>
              <w:pStyle w:val="Normal-pool-Table"/>
              <w:rPr>
                <w:color w:val="808080" w:themeColor="background1" w:themeShade="80"/>
                <w:szCs w:val="18"/>
              </w:rPr>
            </w:pPr>
          </w:p>
        </w:tc>
      </w:tr>
      <w:tr w:rsidR="00B94C90" w:rsidRPr="003F17DD" w14:paraId="43325DF5" w14:textId="77777777" w:rsidTr="00B64331">
        <w:trPr>
          <w:trHeight w:val="57"/>
          <w:jc w:val="right"/>
        </w:trPr>
        <w:tc>
          <w:tcPr>
            <w:tcW w:w="3024" w:type="dxa"/>
          </w:tcPr>
          <w:p w14:paraId="623F350A" w14:textId="77777777" w:rsidR="00B94C90" w:rsidRPr="003F17DD" w:rsidRDefault="00B94C90" w:rsidP="00B64331">
            <w:pPr>
              <w:pStyle w:val="Normal-pool-Table"/>
              <w:rPr>
                <w:rFonts w:eastAsia="Cambria"/>
                <w:color w:val="808080" w:themeColor="background1" w:themeShade="80"/>
                <w:szCs w:val="18"/>
              </w:rPr>
            </w:pPr>
            <w:r w:rsidRPr="003F17DD">
              <w:rPr>
                <w:color w:val="000000"/>
                <w:szCs w:val="18"/>
              </w:rPr>
              <w:t>Jamal Alfuzaie</w:t>
            </w:r>
          </w:p>
        </w:tc>
        <w:tc>
          <w:tcPr>
            <w:tcW w:w="2488" w:type="dxa"/>
          </w:tcPr>
          <w:p w14:paraId="2DE2BEBD" w14:textId="77777777" w:rsidR="00B94C90" w:rsidRPr="003F17DD" w:rsidRDefault="00B94C90" w:rsidP="00B64331">
            <w:pPr>
              <w:pStyle w:val="Normal-pool-Table"/>
              <w:rPr>
                <w:color w:val="000000" w:themeColor="text1"/>
                <w:szCs w:val="18"/>
              </w:rPr>
            </w:pPr>
            <w:r w:rsidRPr="003F17DD">
              <w:rPr>
                <w:color w:val="000000"/>
              </w:rPr>
              <w:t>Membre du FTOC</w:t>
            </w:r>
          </w:p>
        </w:tc>
        <w:tc>
          <w:tcPr>
            <w:tcW w:w="2795" w:type="dxa"/>
          </w:tcPr>
          <w:p w14:paraId="6EBC2708" w14:textId="77777777" w:rsidR="00B94C90" w:rsidRPr="003F17DD" w:rsidRDefault="00B94C90" w:rsidP="00B64331">
            <w:pPr>
              <w:pStyle w:val="Normal-pool-Table"/>
              <w:rPr>
                <w:color w:val="000000" w:themeColor="text1"/>
                <w:szCs w:val="18"/>
              </w:rPr>
            </w:pPr>
            <w:r w:rsidRPr="003F17DD">
              <w:rPr>
                <w:color w:val="000000"/>
              </w:rPr>
              <w:t>Koweït</w:t>
            </w:r>
          </w:p>
        </w:tc>
      </w:tr>
      <w:tr w:rsidR="00B94C90" w:rsidRPr="003F17DD" w14:paraId="27DB0906" w14:textId="77777777" w:rsidTr="00B64331">
        <w:trPr>
          <w:trHeight w:val="57"/>
          <w:jc w:val="right"/>
        </w:trPr>
        <w:tc>
          <w:tcPr>
            <w:tcW w:w="3024" w:type="dxa"/>
          </w:tcPr>
          <w:p w14:paraId="7E4B6A2C" w14:textId="77777777" w:rsidR="00B94C90" w:rsidRPr="003F17DD" w:rsidRDefault="00B94C90" w:rsidP="00B64331">
            <w:pPr>
              <w:pStyle w:val="Normal-pool-Table"/>
              <w:rPr>
                <w:rFonts w:eastAsia="Cambria"/>
                <w:color w:val="808080" w:themeColor="background1" w:themeShade="80"/>
                <w:szCs w:val="18"/>
              </w:rPr>
            </w:pPr>
            <w:r w:rsidRPr="003F17DD">
              <w:rPr>
                <w:color w:val="000000"/>
                <w:szCs w:val="18"/>
              </w:rPr>
              <w:t>Michelle M. Collins</w:t>
            </w:r>
          </w:p>
        </w:tc>
        <w:tc>
          <w:tcPr>
            <w:tcW w:w="2488" w:type="dxa"/>
          </w:tcPr>
          <w:p w14:paraId="2E3528F3" w14:textId="77777777" w:rsidR="00B94C90" w:rsidRPr="003F17DD" w:rsidRDefault="00B94C90" w:rsidP="00B64331">
            <w:pPr>
              <w:pStyle w:val="Normal-pool-Table"/>
              <w:rPr>
                <w:color w:val="000000" w:themeColor="text1"/>
                <w:szCs w:val="18"/>
              </w:rPr>
            </w:pPr>
            <w:r w:rsidRPr="003F17DD">
              <w:rPr>
                <w:color w:val="000000"/>
              </w:rPr>
              <w:t>Membre du FTOC</w:t>
            </w:r>
          </w:p>
        </w:tc>
        <w:tc>
          <w:tcPr>
            <w:tcW w:w="2795" w:type="dxa"/>
          </w:tcPr>
          <w:p w14:paraId="4870BBA2" w14:textId="203309C6" w:rsidR="00B94C90" w:rsidRPr="003F17DD" w:rsidRDefault="00B94C90" w:rsidP="00B64331">
            <w:pPr>
              <w:pStyle w:val="Normal-pool-Table"/>
              <w:rPr>
                <w:color w:val="000000" w:themeColor="text1"/>
                <w:szCs w:val="18"/>
              </w:rPr>
            </w:pPr>
            <w:r w:rsidRPr="003F17DD">
              <w:rPr>
                <w:color w:val="000000"/>
              </w:rPr>
              <w:t>États-Unis d</w:t>
            </w:r>
            <w:r w:rsidR="007175B8">
              <w:rPr>
                <w:color w:val="000000"/>
              </w:rPr>
              <w:t>’</w:t>
            </w:r>
            <w:r w:rsidRPr="003F17DD">
              <w:rPr>
                <w:color w:val="000000"/>
              </w:rPr>
              <w:t>Amérique</w:t>
            </w:r>
          </w:p>
        </w:tc>
      </w:tr>
      <w:tr w:rsidR="00B94C90" w:rsidRPr="003F17DD" w14:paraId="6631755C" w14:textId="77777777" w:rsidTr="00B64331">
        <w:trPr>
          <w:trHeight w:val="57"/>
          <w:jc w:val="right"/>
        </w:trPr>
        <w:tc>
          <w:tcPr>
            <w:tcW w:w="3024" w:type="dxa"/>
          </w:tcPr>
          <w:p w14:paraId="18F5F67C" w14:textId="77777777" w:rsidR="00B94C90" w:rsidRPr="003F17DD" w:rsidRDefault="00B94C90" w:rsidP="00B64331">
            <w:pPr>
              <w:pStyle w:val="Normal-pool-Table"/>
              <w:rPr>
                <w:rFonts w:eastAsia="Cambria"/>
                <w:color w:val="808080" w:themeColor="background1" w:themeShade="80"/>
                <w:szCs w:val="18"/>
              </w:rPr>
            </w:pPr>
            <w:r w:rsidRPr="003F17DD">
              <w:rPr>
                <w:color w:val="000000"/>
                <w:szCs w:val="18"/>
              </w:rPr>
              <w:t>Emma Palumbo</w:t>
            </w:r>
          </w:p>
        </w:tc>
        <w:tc>
          <w:tcPr>
            <w:tcW w:w="2488" w:type="dxa"/>
          </w:tcPr>
          <w:p w14:paraId="2EFDBB94" w14:textId="77777777" w:rsidR="00B94C90" w:rsidRPr="003F17DD" w:rsidRDefault="00B94C90" w:rsidP="00B64331">
            <w:pPr>
              <w:pStyle w:val="Normal-pool-Table"/>
              <w:rPr>
                <w:color w:val="808080" w:themeColor="background1" w:themeShade="80"/>
                <w:szCs w:val="18"/>
              </w:rPr>
            </w:pPr>
            <w:r w:rsidRPr="003F17DD">
              <w:rPr>
                <w:color w:val="000000"/>
              </w:rPr>
              <w:t>Membre du FTOC</w:t>
            </w:r>
          </w:p>
        </w:tc>
        <w:tc>
          <w:tcPr>
            <w:tcW w:w="2795" w:type="dxa"/>
          </w:tcPr>
          <w:p w14:paraId="5711F003" w14:textId="77777777" w:rsidR="00B94C90" w:rsidRPr="003F17DD" w:rsidRDefault="00B94C90" w:rsidP="00B64331">
            <w:pPr>
              <w:pStyle w:val="Normal-pool-Table"/>
              <w:rPr>
                <w:color w:val="000000" w:themeColor="text1"/>
                <w:szCs w:val="18"/>
              </w:rPr>
            </w:pPr>
            <w:r w:rsidRPr="003F17DD">
              <w:rPr>
                <w:color w:val="000000"/>
              </w:rPr>
              <w:t>Italie</w:t>
            </w:r>
          </w:p>
        </w:tc>
      </w:tr>
      <w:tr w:rsidR="00B94C90" w:rsidRPr="003F17DD" w14:paraId="3F4A16CF" w14:textId="77777777" w:rsidTr="00B64331">
        <w:trPr>
          <w:trHeight w:val="57"/>
          <w:jc w:val="right"/>
        </w:trPr>
        <w:tc>
          <w:tcPr>
            <w:tcW w:w="3024" w:type="dxa"/>
          </w:tcPr>
          <w:p w14:paraId="12703533" w14:textId="77777777" w:rsidR="00B94C90" w:rsidRPr="003F17DD" w:rsidRDefault="00B94C90" w:rsidP="00B64331">
            <w:pPr>
              <w:pStyle w:val="Normal-pool-Table"/>
              <w:rPr>
                <w:szCs w:val="18"/>
              </w:rPr>
            </w:pPr>
            <w:proofErr w:type="spellStart"/>
            <w:r w:rsidRPr="003F17DD">
              <w:rPr>
                <w:color w:val="000000"/>
                <w:szCs w:val="18"/>
              </w:rPr>
              <w:t>Xiaomeng</w:t>
            </w:r>
            <w:proofErr w:type="spellEnd"/>
            <w:r w:rsidRPr="003F17DD">
              <w:rPr>
                <w:color w:val="000000"/>
                <w:szCs w:val="18"/>
              </w:rPr>
              <w:t xml:space="preserve"> Zhou</w:t>
            </w:r>
          </w:p>
        </w:tc>
        <w:tc>
          <w:tcPr>
            <w:tcW w:w="2488" w:type="dxa"/>
          </w:tcPr>
          <w:p w14:paraId="75B592C8" w14:textId="77777777" w:rsidR="00B94C90" w:rsidRPr="003F17DD" w:rsidRDefault="00B94C90" w:rsidP="00B64331">
            <w:pPr>
              <w:pStyle w:val="Normal-pool-Table"/>
              <w:rPr>
                <w:color w:val="808080" w:themeColor="background1" w:themeShade="80"/>
                <w:szCs w:val="18"/>
              </w:rPr>
            </w:pPr>
            <w:r w:rsidRPr="003F17DD">
              <w:rPr>
                <w:color w:val="000000"/>
              </w:rPr>
              <w:t>Membre du FTOC</w:t>
            </w:r>
          </w:p>
        </w:tc>
        <w:tc>
          <w:tcPr>
            <w:tcW w:w="2795" w:type="dxa"/>
          </w:tcPr>
          <w:p w14:paraId="51CCF7C5" w14:textId="77777777" w:rsidR="00B94C90" w:rsidRPr="003F17DD" w:rsidRDefault="00B94C90" w:rsidP="00B64331">
            <w:pPr>
              <w:pStyle w:val="Normal-pool-Table"/>
              <w:rPr>
                <w:color w:val="000000" w:themeColor="text1"/>
                <w:szCs w:val="18"/>
              </w:rPr>
            </w:pPr>
            <w:r w:rsidRPr="003F17DD">
              <w:rPr>
                <w:color w:val="000000"/>
              </w:rPr>
              <w:t>Chine</w:t>
            </w:r>
          </w:p>
        </w:tc>
      </w:tr>
      <w:tr w:rsidR="00B94C90" w:rsidRPr="003F17DD" w14:paraId="1F4B53E5" w14:textId="77777777" w:rsidTr="00B64331">
        <w:trPr>
          <w:trHeight w:val="57"/>
          <w:jc w:val="right"/>
        </w:trPr>
        <w:tc>
          <w:tcPr>
            <w:tcW w:w="3024" w:type="dxa"/>
          </w:tcPr>
          <w:p w14:paraId="1859DFAA" w14:textId="77777777" w:rsidR="00B94C90" w:rsidRPr="003F17DD" w:rsidRDefault="00B94C90" w:rsidP="00B64331">
            <w:pPr>
              <w:pStyle w:val="Normal-pool-Table"/>
              <w:rPr>
                <w:szCs w:val="18"/>
              </w:rPr>
            </w:pPr>
          </w:p>
        </w:tc>
        <w:tc>
          <w:tcPr>
            <w:tcW w:w="2488" w:type="dxa"/>
          </w:tcPr>
          <w:p w14:paraId="4AE635C7" w14:textId="77777777" w:rsidR="00B94C90" w:rsidRPr="003F17DD" w:rsidRDefault="00B94C90" w:rsidP="00B64331">
            <w:pPr>
              <w:pStyle w:val="Normal-pool-Table"/>
              <w:rPr>
                <w:color w:val="808080" w:themeColor="background1" w:themeShade="80"/>
                <w:szCs w:val="18"/>
              </w:rPr>
            </w:pPr>
          </w:p>
        </w:tc>
        <w:tc>
          <w:tcPr>
            <w:tcW w:w="2795" w:type="dxa"/>
          </w:tcPr>
          <w:p w14:paraId="7CA9F5E5" w14:textId="77777777" w:rsidR="00B94C90" w:rsidRPr="003F17DD" w:rsidRDefault="00B94C90" w:rsidP="00B64331">
            <w:pPr>
              <w:pStyle w:val="Normal-pool-Table"/>
              <w:rPr>
                <w:color w:val="808080" w:themeColor="background1" w:themeShade="80"/>
                <w:szCs w:val="18"/>
              </w:rPr>
            </w:pPr>
          </w:p>
        </w:tc>
      </w:tr>
      <w:tr w:rsidR="00B94C90" w:rsidRPr="003F17DD" w14:paraId="79F659BC" w14:textId="77777777" w:rsidTr="00B64331">
        <w:trPr>
          <w:trHeight w:val="57"/>
          <w:jc w:val="right"/>
        </w:trPr>
        <w:tc>
          <w:tcPr>
            <w:tcW w:w="3024" w:type="dxa"/>
            <w:hideMark/>
          </w:tcPr>
          <w:p w14:paraId="27DE3BDA" w14:textId="77777777" w:rsidR="00B94C90" w:rsidRPr="003F17DD" w:rsidRDefault="00B94C90" w:rsidP="00B64331">
            <w:pPr>
              <w:pStyle w:val="Normal-pool-Table"/>
              <w:rPr>
                <w:rFonts w:eastAsia="Cambria"/>
                <w:color w:val="808080" w:themeColor="background1" w:themeShade="80"/>
                <w:szCs w:val="18"/>
              </w:rPr>
            </w:pPr>
            <w:r w:rsidRPr="003F17DD">
              <w:rPr>
                <w:color w:val="000000"/>
              </w:rPr>
              <w:t>Jonathan Banks</w:t>
            </w:r>
          </w:p>
        </w:tc>
        <w:tc>
          <w:tcPr>
            <w:tcW w:w="2488" w:type="dxa"/>
            <w:hideMark/>
          </w:tcPr>
          <w:p w14:paraId="13AAF4DD" w14:textId="095B730B"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hideMark/>
          </w:tcPr>
          <w:p w14:paraId="20806D85" w14:textId="77777777" w:rsidR="00B94C90" w:rsidRPr="003F17DD" w:rsidRDefault="00B94C90" w:rsidP="00B64331">
            <w:pPr>
              <w:pStyle w:val="Normal-pool-Table"/>
              <w:rPr>
                <w:color w:val="000000" w:themeColor="text1"/>
                <w:szCs w:val="18"/>
              </w:rPr>
            </w:pPr>
            <w:r w:rsidRPr="003F17DD">
              <w:rPr>
                <w:color w:val="000000"/>
              </w:rPr>
              <w:t>Australie</w:t>
            </w:r>
          </w:p>
        </w:tc>
      </w:tr>
      <w:tr w:rsidR="00B94C90" w:rsidRPr="003F17DD" w14:paraId="2AA6B896" w14:textId="77777777" w:rsidTr="00B64331">
        <w:trPr>
          <w:trHeight w:val="57"/>
          <w:jc w:val="right"/>
        </w:trPr>
        <w:tc>
          <w:tcPr>
            <w:tcW w:w="3024" w:type="dxa"/>
          </w:tcPr>
          <w:p w14:paraId="7ADD7A01" w14:textId="77777777" w:rsidR="00B94C90" w:rsidRPr="003F17DD" w:rsidRDefault="00B94C90" w:rsidP="00B64331">
            <w:pPr>
              <w:pStyle w:val="Normal-pool-Table"/>
              <w:rPr>
                <w:rFonts w:eastAsia="Cambria"/>
                <w:color w:val="808080" w:themeColor="background1" w:themeShade="80"/>
                <w:szCs w:val="18"/>
              </w:rPr>
            </w:pPr>
            <w:proofErr w:type="spellStart"/>
            <w:r w:rsidRPr="003F17DD">
              <w:rPr>
                <w:color w:val="000000"/>
                <w:szCs w:val="18"/>
              </w:rPr>
              <w:t>Aocheng</w:t>
            </w:r>
            <w:proofErr w:type="spellEnd"/>
            <w:r w:rsidRPr="003F17DD">
              <w:rPr>
                <w:color w:val="000000"/>
                <w:szCs w:val="18"/>
              </w:rPr>
              <w:t xml:space="preserve"> Cao</w:t>
            </w:r>
          </w:p>
        </w:tc>
        <w:tc>
          <w:tcPr>
            <w:tcW w:w="2488" w:type="dxa"/>
          </w:tcPr>
          <w:p w14:paraId="1D9E6A2F" w14:textId="1459111D"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615C3D40" w14:textId="77777777" w:rsidR="00B94C90" w:rsidRPr="003F17DD" w:rsidRDefault="00B94C90" w:rsidP="00B64331">
            <w:pPr>
              <w:pStyle w:val="Normal-pool-Table"/>
              <w:rPr>
                <w:color w:val="000000" w:themeColor="text1"/>
                <w:szCs w:val="18"/>
              </w:rPr>
            </w:pPr>
            <w:r w:rsidRPr="003F17DD">
              <w:rPr>
                <w:color w:val="000000"/>
              </w:rPr>
              <w:t>Chine</w:t>
            </w:r>
          </w:p>
        </w:tc>
      </w:tr>
      <w:tr w:rsidR="00B94C90" w:rsidRPr="003F17DD" w14:paraId="7A6DC3A7" w14:textId="77777777" w:rsidTr="00B64331">
        <w:trPr>
          <w:trHeight w:val="57"/>
          <w:jc w:val="right"/>
        </w:trPr>
        <w:tc>
          <w:tcPr>
            <w:tcW w:w="3024" w:type="dxa"/>
          </w:tcPr>
          <w:p w14:paraId="59042164" w14:textId="77777777" w:rsidR="00B94C90" w:rsidRPr="003F17DD" w:rsidRDefault="00B94C90" w:rsidP="00B64331">
            <w:pPr>
              <w:pStyle w:val="Normal-pool-Table"/>
              <w:rPr>
                <w:color w:val="808080" w:themeColor="background1" w:themeShade="80"/>
                <w:szCs w:val="18"/>
              </w:rPr>
            </w:pPr>
            <w:r w:rsidRPr="003F17DD">
              <w:rPr>
                <w:color w:val="000000"/>
              </w:rPr>
              <w:t>Guillermo Castellá</w:t>
            </w:r>
          </w:p>
        </w:tc>
        <w:tc>
          <w:tcPr>
            <w:tcW w:w="2488" w:type="dxa"/>
          </w:tcPr>
          <w:p w14:paraId="0E81DD70" w14:textId="37F24E24"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2718B894" w14:textId="77777777" w:rsidR="00B94C90" w:rsidRPr="003F17DD" w:rsidRDefault="00B94C90" w:rsidP="00B64331">
            <w:pPr>
              <w:pStyle w:val="Normal-pool-Table"/>
              <w:rPr>
                <w:color w:val="808080" w:themeColor="background1" w:themeShade="80"/>
                <w:szCs w:val="18"/>
              </w:rPr>
            </w:pPr>
            <w:r w:rsidRPr="003F17DD">
              <w:rPr>
                <w:color w:val="000000"/>
              </w:rPr>
              <w:t>Uruguay</w:t>
            </w:r>
          </w:p>
        </w:tc>
      </w:tr>
      <w:tr w:rsidR="00B94C90" w:rsidRPr="003F17DD" w14:paraId="57CBD67F" w14:textId="77777777" w:rsidTr="00B64331">
        <w:trPr>
          <w:trHeight w:val="57"/>
          <w:jc w:val="right"/>
        </w:trPr>
        <w:tc>
          <w:tcPr>
            <w:tcW w:w="3024" w:type="dxa"/>
          </w:tcPr>
          <w:p w14:paraId="5FF7DF38" w14:textId="77777777" w:rsidR="00B94C90" w:rsidRPr="003F17DD" w:rsidRDefault="00B94C90" w:rsidP="00B64331">
            <w:pPr>
              <w:pStyle w:val="Normal-pool-Table"/>
              <w:rPr>
                <w:szCs w:val="18"/>
              </w:rPr>
            </w:pPr>
            <w:r w:rsidRPr="003F17DD">
              <w:rPr>
                <w:color w:val="000000"/>
                <w:szCs w:val="18"/>
              </w:rPr>
              <w:t>Kang Fenfen</w:t>
            </w:r>
          </w:p>
        </w:tc>
        <w:tc>
          <w:tcPr>
            <w:tcW w:w="2488" w:type="dxa"/>
          </w:tcPr>
          <w:p w14:paraId="433B436E" w14:textId="65AC954A"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5396B5DE" w14:textId="77777777" w:rsidR="00B94C90" w:rsidRPr="003F17DD" w:rsidRDefault="00B94C90" w:rsidP="00B64331">
            <w:pPr>
              <w:pStyle w:val="Normal-pool-Table"/>
              <w:rPr>
                <w:color w:val="808080" w:themeColor="background1" w:themeShade="80"/>
                <w:szCs w:val="18"/>
              </w:rPr>
            </w:pPr>
            <w:r w:rsidRPr="003F17DD">
              <w:rPr>
                <w:color w:val="000000"/>
              </w:rPr>
              <w:t>Chine</w:t>
            </w:r>
          </w:p>
        </w:tc>
      </w:tr>
      <w:tr w:rsidR="00B94C90" w:rsidRPr="003F17DD" w14:paraId="1F6C1A79" w14:textId="77777777" w:rsidTr="00B64331">
        <w:trPr>
          <w:trHeight w:val="57"/>
          <w:jc w:val="right"/>
        </w:trPr>
        <w:tc>
          <w:tcPr>
            <w:tcW w:w="3024" w:type="dxa"/>
          </w:tcPr>
          <w:p w14:paraId="41F09F9A" w14:textId="77777777" w:rsidR="00B94C90" w:rsidRPr="003F17DD" w:rsidRDefault="00B94C90" w:rsidP="00B64331">
            <w:pPr>
              <w:pStyle w:val="Normal-pool-Table"/>
              <w:rPr>
                <w:szCs w:val="18"/>
              </w:rPr>
            </w:pPr>
            <w:r w:rsidRPr="003F17DD">
              <w:rPr>
                <w:color w:val="000000"/>
                <w:szCs w:val="18"/>
              </w:rPr>
              <w:t>Ayze Ozdem</w:t>
            </w:r>
          </w:p>
        </w:tc>
        <w:tc>
          <w:tcPr>
            <w:tcW w:w="2488" w:type="dxa"/>
          </w:tcPr>
          <w:p w14:paraId="4727AC23" w14:textId="28E82C66"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5803A8B5" w14:textId="1A484616" w:rsidR="00B94C90" w:rsidRPr="003F17DD" w:rsidRDefault="004E0931" w:rsidP="00FB2385">
            <w:pPr>
              <w:pStyle w:val="Normal-pool-Table"/>
              <w:rPr>
                <w:color w:val="808080" w:themeColor="background1" w:themeShade="80"/>
                <w:szCs w:val="18"/>
              </w:rPr>
            </w:pPr>
            <w:r w:rsidRPr="004E0931">
              <w:rPr>
                <w:color w:val="000000"/>
                <w:lang w:val="en-KE"/>
              </w:rPr>
              <w:t>Türkiye</w:t>
            </w:r>
          </w:p>
        </w:tc>
      </w:tr>
      <w:tr w:rsidR="00B94C90" w:rsidRPr="003F17DD" w14:paraId="13BD124D" w14:textId="77777777" w:rsidTr="00B64331">
        <w:trPr>
          <w:trHeight w:val="57"/>
          <w:jc w:val="right"/>
        </w:trPr>
        <w:tc>
          <w:tcPr>
            <w:tcW w:w="3024" w:type="dxa"/>
          </w:tcPr>
          <w:p w14:paraId="11404AF5" w14:textId="77777777" w:rsidR="00B94C90" w:rsidRPr="003F17DD" w:rsidRDefault="00B94C90" w:rsidP="00B64331">
            <w:pPr>
              <w:pStyle w:val="Normal-pool-Table"/>
              <w:rPr>
                <w:szCs w:val="18"/>
              </w:rPr>
            </w:pPr>
            <w:r w:rsidRPr="003F17DD">
              <w:rPr>
                <w:color w:val="000000"/>
                <w:szCs w:val="18"/>
              </w:rPr>
              <w:t>Ken Glassey</w:t>
            </w:r>
          </w:p>
        </w:tc>
        <w:tc>
          <w:tcPr>
            <w:tcW w:w="2488" w:type="dxa"/>
          </w:tcPr>
          <w:p w14:paraId="6A8858EA" w14:textId="6DFC09D6"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0BC806E4" w14:textId="77777777" w:rsidR="00B94C90" w:rsidRPr="003F17DD" w:rsidRDefault="00B94C90" w:rsidP="00B64331">
            <w:pPr>
              <w:pStyle w:val="Normal-pool-Table"/>
              <w:rPr>
                <w:color w:val="808080" w:themeColor="background1" w:themeShade="80"/>
                <w:szCs w:val="18"/>
              </w:rPr>
            </w:pPr>
            <w:r w:rsidRPr="003F17DD">
              <w:rPr>
                <w:color w:val="000000"/>
              </w:rPr>
              <w:t>Nouvelle-Zélande</w:t>
            </w:r>
          </w:p>
        </w:tc>
      </w:tr>
      <w:tr w:rsidR="00B94C90" w:rsidRPr="003F17DD" w14:paraId="60A209E5" w14:textId="77777777" w:rsidTr="00B64331">
        <w:trPr>
          <w:trHeight w:val="57"/>
          <w:jc w:val="right"/>
        </w:trPr>
        <w:tc>
          <w:tcPr>
            <w:tcW w:w="3024" w:type="dxa"/>
          </w:tcPr>
          <w:p w14:paraId="5773D3A9" w14:textId="23B3B5A7" w:rsidR="00B94C90" w:rsidRPr="003F17DD" w:rsidRDefault="00B22046" w:rsidP="00B64331">
            <w:pPr>
              <w:pStyle w:val="Normal-pool-Table"/>
              <w:rPr>
                <w:szCs w:val="18"/>
              </w:rPr>
            </w:pPr>
            <w:r w:rsidRPr="000F2BE3">
              <w:rPr>
                <w:szCs w:val="18"/>
              </w:rPr>
              <w:t>Eduardo Gonzalez</w:t>
            </w:r>
          </w:p>
        </w:tc>
        <w:tc>
          <w:tcPr>
            <w:tcW w:w="2488" w:type="dxa"/>
          </w:tcPr>
          <w:p w14:paraId="118BE35F" w14:textId="79124D33"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3E9E7958" w14:textId="77777777" w:rsidR="00B94C90" w:rsidRPr="003F17DD" w:rsidRDefault="00B94C90" w:rsidP="00B64331">
            <w:pPr>
              <w:pStyle w:val="Normal-pool-Table"/>
              <w:rPr>
                <w:color w:val="808080" w:themeColor="background1" w:themeShade="80"/>
                <w:szCs w:val="18"/>
              </w:rPr>
            </w:pPr>
            <w:r w:rsidRPr="003F17DD">
              <w:rPr>
                <w:color w:val="000000"/>
              </w:rPr>
              <w:t>Philippines</w:t>
            </w:r>
          </w:p>
        </w:tc>
      </w:tr>
      <w:tr w:rsidR="00B94C90" w:rsidRPr="003F17DD" w14:paraId="3077214E" w14:textId="77777777" w:rsidTr="00B64331">
        <w:trPr>
          <w:trHeight w:val="57"/>
          <w:jc w:val="right"/>
        </w:trPr>
        <w:tc>
          <w:tcPr>
            <w:tcW w:w="3024" w:type="dxa"/>
          </w:tcPr>
          <w:p w14:paraId="436289BB" w14:textId="77777777" w:rsidR="00B94C90" w:rsidRPr="003F17DD" w:rsidRDefault="00B94C90" w:rsidP="00B64331">
            <w:pPr>
              <w:pStyle w:val="Normal-pool-Table"/>
              <w:rPr>
                <w:szCs w:val="18"/>
              </w:rPr>
            </w:pPr>
            <w:r w:rsidRPr="003F17DD">
              <w:rPr>
                <w:color w:val="000000"/>
                <w:szCs w:val="18"/>
              </w:rPr>
              <w:t>Takashi Misumi</w:t>
            </w:r>
          </w:p>
        </w:tc>
        <w:tc>
          <w:tcPr>
            <w:tcW w:w="2488" w:type="dxa"/>
          </w:tcPr>
          <w:p w14:paraId="364AA838" w14:textId="4E28A479"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69244BA6" w14:textId="77777777" w:rsidR="00B94C90" w:rsidRPr="003F17DD" w:rsidRDefault="00B94C90" w:rsidP="00B64331">
            <w:pPr>
              <w:pStyle w:val="Normal-pool-Table"/>
              <w:rPr>
                <w:color w:val="808080" w:themeColor="background1" w:themeShade="80"/>
                <w:szCs w:val="18"/>
              </w:rPr>
            </w:pPr>
            <w:r w:rsidRPr="003F17DD">
              <w:rPr>
                <w:color w:val="000000"/>
              </w:rPr>
              <w:t>Japon</w:t>
            </w:r>
          </w:p>
        </w:tc>
      </w:tr>
      <w:tr w:rsidR="00B94C90" w:rsidRPr="003F17DD" w14:paraId="1F9686B0" w14:textId="77777777" w:rsidTr="00B64331">
        <w:trPr>
          <w:trHeight w:val="57"/>
          <w:jc w:val="right"/>
        </w:trPr>
        <w:tc>
          <w:tcPr>
            <w:tcW w:w="3024" w:type="dxa"/>
          </w:tcPr>
          <w:p w14:paraId="65458CCB" w14:textId="77777777" w:rsidR="00B94C90" w:rsidRPr="003F17DD" w:rsidRDefault="00B94C90" w:rsidP="00B64331">
            <w:pPr>
              <w:pStyle w:val="Normal-pool-Table"/>
              <w:rPr>
                <w:szCs w:val="18"/>
              </w:rPr>
            </w:pPr>
            <w:r w:rsidRPr="003F17DD">
              <w:rPr>
                <w:color w:val="000000"/>
                <w:szCs w:val="18"/>
              </w:rPr>
              <w:t>Christoph Reichmuth</w:t>
            </w:r>
          </w:p>
        </w:tc>
        <w:tc>
          <w:tcPr>
            <w:tcW w:w="2488" w:type="dxa"/>
          </w:tcPr>
          <w:p w14:paraId="38373152" w14:textId="083A950B"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386BEE02" w14:textId="77777777" w:rsidR="00B94C90" w:rsidRPr="003F17DD" w:rsidRDefault="00B94C90" w:rsidP="00B64331">
            <w:pPr>
              <w:pStyle w:val="Normal-pool-Table"/>
              <w:rPr>
                <w:color w:val="808080" w:themeColor="background1" w:themeShade="80"/>
                <w:szCs w:val="18"/>
              </w:rPr>
            </w:pPr>
            <w:r w:rsidRPr="003F17DD">
              <w:rPr>
                <w:color w:val="000000"/>
              </w:rPr>
              <w:t>Allemagne</w:t>
            </w:r>
          </w:p>
        </w:tc>
      </w:tr>
      <w:tr w:rsidR="00B94C90" w:rsidRPr="003F17DD" w14:paraId="6675B033" w14:textId="77777777" w:rsidTr="00B64331">
        <w:trPr>
          <w:trHeight w:val="57"/>
          <w:jc w:val="right"/>
        </w:trPr>
        <w:tc>
          <w:tcPr>
            <w:tcW w:w="3024" w:type="dxa"/>
          </w:tcPr>
          <w:p w14:paraId="6CB9DE1C" w14:textId="77777777" w:rsidR="00B94C90" w:rsidRPr="003F17DD" w:rsidRDefault="00B94C90" w:rsidP="00B64331">
            <w:pPr>
              <w:pStyle w:val="Normal-pool-Table"/>
              <w:rPr>
                <w:szCs w:val="18"/>
              </w:rPr>
            </w:pPr>
            <w:r w:rsidRPr="003F17DD">
              <w:rPr>
                <w:color w:val="000000"/>
                <w:szCs w:val="18"/>
              </w:rPr>
              <w:t>Alejandro Valeiro</w:t>
            </w:r>
          </w:p>
        </w:tc>
        <w:tc>
          <w:tcPr>
            <w:tcW w:w="2488" w:type="dxa"/>
          </w:tcPr>
          <w:p w14:paraId="318ABFA6" w14:textId="4A748DBA" w:rsidR="00B94C90" w:rsidRPr="003F17DD" w:rsidRDefault="00B94C90" w:rsidP="00B64331">
            <w:pPr>
              <w:pStyle w:val="Normal-pool-Table"/>
              <w:rPr>
                <w:color w:val="000000" w:themeColor="text1"/>
                <w:szCs w:val="18"/>
              </w:rPr>
            </w:pPr>
            <w:r w:rsidRPr="003F17DD">
              <w:rPr>
                <w:color w:val="000000"/>
              </w:rPr>
              <w:t xml:space="preserve">Membre du </w:t>
            </w:r>
            <w:r w:rsidR="007D394C" w:rsidRPr="000F2BE3">
              <w:rPr>
                <w:color w:val="000000" w:themeColor="text1"/>
                <w:szCs w:val="18"/>
              </w:rPr>
              <w:t>MBTOC</w:t>
            </w:r>
          </w:p>
        </w:tc>
        <w:tc>
          <w:tcPr>
            <w:tcW w:w="2795" w:type="dxa"/>
          </w:tcPr>
          <w:p w14:paraId="32E7174D" w14:textId="77777777" w:rsidR="00B94C90" w:rsidRPr="003F17DD" w:rsidRDefault="00B94C90" w:rsidP="00B64331">
            <w:pPr>
              <w:pStyle w:val="Normal-pool-Table"/>
              <w:rPr>
                <w:color w:val="808080" w:themeColor="background1" w:themeShade="80"/>
                <w:szCs w:val="18"/>
              </w:rPr>
            </w:pPr>
            <w:r w:rsidRPr="003F17DD">
              <w:rPr>
                <w:color w:val="000000"/>
              </w:rPr>
              <w:t>Argentine</w:t>
            </w:r>
          </w:p>
        </w:tc>
      </w:tr>
      <w:tr w:rsidR="00B94C90" w:rsidRPr="003F17DD" w14:paraId="5BB6B98E" w14:textId="77777777" w:rsidTr="00B64331">
        <w:trPr>
          <w:trHeight w:val="57"/>
          <w:jc w:val="right"/>
        </w:trPr>
        <w:tc>
          <w:tcPr>
            <w:tcW w:w="3024" w:type="dxa"/>
          </w:tcPr>
          <w:p w14:paraId="4BF57C74" w14:textId="77777777" w:rsidR="00B94C90" w:rsidRPr="003F17DD" w:rsidRDefault="00B94C90" w:rsidP="00B64331">
            <w:pPr>
              <w:pStyle w:val="Normal-pool-Table"/>
              <w:rPr>
                <w:color w:val="808080" w:themeColor="background1" w:themeShade="80"/>
                <w:szCs w:val="18"/>
              </w:rPr>
            </w:pPr>
          </w:p>
        </w:tc>
        <w:tc>
          <w:tcPr>
            <w:tcW w:w="2488" w:type="dxa"/>
          </w:tcPr>
          <w:p w14:paraId="23B44582" w14:textId="77777777" w:rsidR="00B94C90" w:rsidRPr="003F17DD" w:rsidRDefault="00B94C90" w:rsidP="00B64331">
            <w:pPr>
              <w:pStyle w:val="Normal-pool-Table"/>
              <w:rPr>
                <w:color w:val="808080" w:themeColor="background1" w:themeShade="80"/>
                <w:szCs w:val="18"/>
              </w:rPr>
            </w:pPr>
          </w:p>
        </w:tc>
        <w:tc>
          <w:tcPr>
            <w:tcW w:w="2795" w:type="dxa"/>
          </w:tcPr>
          <w:p w14:paraId="55DB5E1F" w14:textId="77777777" w:rsidR="00B94C90" w:rsidRPr="003F17DD" w:rsidRDefault="00B94C90" w:rsidP="00B64331">
            <w:pPr>
              <w:pStyle w:val="Normal-pool-Table"/>
              <w:rPr>
                <w:color w:val="808080" w:themeColor="background1" w:themeShade="80"/>
                <w:szCs w:val="18"/>
              </w:rPr>
            </w:pPr>
          </w:p>
        </w:tc>
      </w:tr>
      <w:tr w:rsidR="00B94C90" w:rsidRPr="003F17DD" w14:paraId="2EA43ABD" w14:textId="77777777" w:rsidTr="00B64331">
        <w:trPr>
          <w:trHeight w:val="57"/>
          <w:jc w:val="right"/>
        </w:trPr>
        <w:tc>
          <w:tcPr>
            <w:tcW w:w="3024" w:type="dxa"/>
            <w:hideMark/>
          </w:tcPr>
          <w:p w14:paraId="0BF964D1" w14:textId="77777777" w:rsidR="00B94C90" w:rsidRPr="003F17DD" w:rsidRDefault="00B94C90" w:rsidP="00B64331">
            <w:pPr>
              <w:pStyle w:val="Normal-pool-Table"/>
              <w:rPr>
                <w:color w:val="808080" w:themeColor="background1" w:themeShade="80"/>
                <w:szCs w:val="18"/>
              </w:rPr>
            </w:pPr>
            <w:r w:rsidRPr="003F17DD">
              <w:rPr>
                <w:color w:val="000000"/>
                <w:szCs w:val="18"/>
              </w:rPr>
              <w:t>Emmanuel Addo-Yobo</w:t>
            </w:r>
          </w:p>
        </w:tc>
        <w:tc>
          <w:tcPr>
            <w:tcW w:w="2488" w:type="dxa"/>
            <w:hideMark/>
          </w:tcPr>
          <w:p w14:paraId="799D4C70" w14:textId="746E0464" w:rsidR="00B94C90" w:rsidRPr="003F17DD" w:rsidRDefault="00B94C90" w:rsidP="00B64331">
            <w:pPr>
              <w:pStyle w:val="Normal-pool-Table"/>
              <w:rPr>
                <w:color w:val="000000" w:themeColor="text1"/>
                <w:szCs w:val="18"/>
              </w:rPr>
            </w:pPr>
            <w:r w:rsidRPr="003F17DD">
              <w:rPr>
                <w:color w:val="000000"/>
              </w:rPr>
              <w:t xml:space="preserve">Membre du </w:t>
            </w:r>
            <w:r w:rsidR="007D394C">
              <w:rPr>
                <w:color w:val="000000"/>
              </w:rPr>
              <w:t>MC</w:t>
            </w:r>
            <w:r w:rsidR="007D394C" w:rsidRPr="003F17DD">
              <w:rPr>
                <w:color w:val="000000"/>
              </w:rPr>
              <w:t>TO</w:t>
            </w:r>
            <w:r w:rsidRPr="003F17DD">
              <w:rPr>
                <w:color w:val="000000"/>
              </w:rPr>
              <w:t>C</w:t>
            </w:r>
          </w:p>
        </w:tc>
        <w:tc>
          <w:tcPr>
            <w:tcW w:w="2795" w:type="dxa"/>
            <w:hideMark/>
          </w:tcPr>
          <w:p w14:paraId="228A4C77" w14:textId="77777777" w:rsidR="00B94C90" w:rsidRPr="003F17DD" w:rsidRDefault="00B94C90" w:rsidP="00B64331">
            <w:pPr>
              <w:pStyle w:val="Normal-pool-Table"/>
              <w:rPr>
                <w:szCs w:val="18"/>
              </w:rPr>
            </w:pPr>
            <w:r w:rsidRPr="003F17DD">
              <w:rPr>
                <w:color w:val="000000"/>
              </w:rPr>
              <w:t>Ghana</w:t>
            </w:r>
          </w:p>
        </w:tc>
      </w:tr>
      <w:tr w:rsidR="00B94C90" w:rsidRPr="003F17DD" w14:paraId="44F54FD3" w14:textId="77777777" w:rsidTr="00B64331">
        <w:trPr>
          <w:trHeight w:val="57"/>
          <w:jc w:val="right"/>
        </w:trPr>
        <w:tc>
          <w:tcPr>
            <w:tcW w:w="3024" w:type="dxa"/>
            <w:hideMark/>
          </w:tcPr>
          <w:p w14:paraId="6D6E1F67" w14:textId="77777777" w:rsidR="00B94C90" w:rsidRPr="003F17DD" w:rsidRDefault="00B94C90" w:rsidP="00B64331">
            <w:pPr>
              <w:pStyle w:val="Normal-pool-Table"/>
              <w:rPr>
                <w:color w:val="808080" w:themeColor="background1" w:themeShade="80"/>
                <w:szCs w:val="18"/>
              </w:rPr>
            </w:pPr>
            <w:r w:rsidRPr="003F17DD">
              <w:rPr>
                <w:color w:val="000000"/>
                <w:szCs w:val="18"/>
              </w:rPr>
              <w:t>Fatima Al-Shatti</w:t>
            </w:r>
          </w:p>
        </w:tc>
        <w:tc>
          <w:tcPr>
            <w:tcW w:w="2488" w:type="dxa"/>
            <w:hideMark/>
          </w:tcPr>
          <w:p w14:paraId="34B79BD8" w14:textId="3BAB58C7" w:rsidR="00B94C90" w:rsidRPr="003F17DD" w:rsidRDefault="00B94C90" w:rsidP="00B64331">
            <w:pPr>
              <w:pStyle w:val="Normal-pool-Table"/>
              <w:rPr>
                <w:color w:val="000000" w:themeColor="text1"/>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02E276D4" w14:textId="77777777" w:rsidR="00B94C90" w:rsidRPr="003F17DD" w:rsidRDefault="00B94C90" w:rsidP="00B64331">
            <w:pPr>
              <w:pStyle w:val="Normal-pool-Table"/>
              <w:rPr>
                <w:szCs w:val="18"/>
              </w:rPr>
            </w:pPr>
            <w:r w:rsidRPr="003F17DD">
              <w:rPr>
                <w:color w:val="000000"/>
              </w:rPr>
              <w:t>Koweït</w:t>
            </w:r>
          </w:p>
        </w:tc>
      </w:tr>
      <w:tr w:rsidR="00B94C90" w:rsidRPr="003F17DD" w14:paraId="71B2BA28" w14:textId="77777777" w:rsidTr="00B64331">
        <w:trPr>
          <w:trHeight w:val="251"/>
          <w:jc w:val="right"/>
        </w:trPr>
        <w:tc>
          <w:tcPr>
            <w:tcW w:w="3024" w:type="dxa"/>
            <w:hideMark/>
          </w:tcPr>
          <w:p w14:paraId="12041CF6" w14:textId="77777777" w:rsidR="00B94C90" w:rsidRPr="003F17DD" w:rsidRDefault="00B94C90" w:rsidP="00B64331">
            <w:pPr>
              <w:pStyle w:val="Normal-pool-Table"/>
              <w:rPr>
                <w:color w:val="808080" w:themeColor="background1" w:themeShade="80"/>
                <w:szCs w:val="18"/>
              </w:rPr>
            </w:pPr>
            <w:r w:rsidRPr="003F17DD">
              <w:rPr>
                <w:color w:val="000000"/>
                <w:szCs w:val="18"/>
              </w:rPr>
              <w:t>Paul Atkins</w:t>
            </w:r>
          </w:p>
        </w:tc>
        <w:tc>
          <w:tcPr>
            <w:tcW w:w="2488" w:type="dxa"/>
            <w:hideMark/>
          </w:tcPr>
          <w:p w14:paraId="42D7C28A" w14:textId="3779AC3A" w:rsidR="00B94C90" w:rsidRPr="003F17DD" w:rsidRDefault="00B94C90" w:rsidP="00B64331">
            <w:pPr>
              <w:pStyle w:val="Normal-pool-Table"/>
              <w:rPr>
                <w:color w:val="000000" w:themeColor="text1"/>
                <w:szCs w:val="18"/>
              </w:rPr>
            </w:pPr>
            <w:r w:rsidRPr="003F17DD">
              <w:rPr>
                <w:color w:val="000000"/>
              </w:rPr>
              <w:t xml:space="preserve">Membre du </w:t>
            </w:r>
            <w:r w:rsidR="007D394C">
              <w:rPr>
                <w:color w:val="000000"/>
              </w:rPr>
              <w:t>MC</w:t>
            </w:r>
            <w:r w:rsidR="007D394C" w:rsidRPr="003F17DD">
              <w:rPr>
                <w:color w:val="000000"/>
              </w:rPr>
              <w:t>TOC</w:t>
            </w:r>
          </w:p>
        </w:tc>
        <w:tc>
          <w:tcPr>
            <w:tcW w:w="2795" w:type="dxa"/>
            <w:hideMark/>
          </w:tcPr>
          <w:p w14:paraId="6A4EF24F" w14:textId="7306BC48"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42B7E4F3" w14:textId="77777777" w:rsidTr="00B64331">
        <w:trPr>
          <w:trHeight w:val="251"/>
          <w:jc w:val="right"/>
        </w:trPr>
        <w:tc>
          <w:tcPr>
            <w:tcW w:w="3024" w:type="dxa"/>
          </w:tcPr>
          <w:p w14:paraId="709C7B3A" w14:textId="77777777" w:rsidR="00B94C90" w:rsidRPr="003F17DD" w:rsidRDefault="00B94C90" w:rsidP="00B64331">
            <w:pPr>
              <w:pStyle w:val="Normal-pool-Table"/>
              <w:rPr>
                <w:szCs w:val="18"/>
              </w:rPr>
            </w:pPr>
            <w:r w:rsidRPr="003F17DD">
              <w:rPr>
                <w:color w:val="000000"/>
                <w:szCs w:val="18"/>
              </w:rPr>
              <w:t>Nick Campbell</w:t>
            </w:r>
          </w:p>
        </w:tc>
        <w:tc>
          <w:tcPr>
            <w:tcW w:w="2488" w:type="dxa"/>
          </w:tcPr>
          <w:p w14:paraId="3E305316" w14:textId="51D0F00E"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5EF045F0" w14:textId="086332A7" w:rsidR="00B94C90" w:rsidRPr="003F17DD" w:rsidRDefault="00B94C90" w:rsidP="00B64331">
            <w:pPr>
              <w:pStyle w:val="Normal-pool-Table"/>
              <w:rPr>
                <w:szCs w:val="18"/>
              </w:rPr>
            </w:pPr>
            <w:r w:rsidRPr="003F17DD">
              <w:rPr>
                <w:color w:val="000000"/>
              </w:rPr>
              <w:t>Royaume-Uni de Grande-Bretagne et d</w:t>
            </w:r>
            <w:r w:rsidR="007175B8">
              <w:rPr>
                <w:color w:val="000000"/>
              </w:rPr>
              <w:t>’</w:t>
            </w:r>
            <w:r w:rsidRPr="003F17DD">
              <w:rPr>
                <w:color w:val="000000"/>
              </w:rPr>
              <w:t>Irlande du Nord</w:t>
            </w:r>
          </w:p>
        </w:tc>
      </w:tr>
      <w:tr w:rsidR="00B94C90" w:rsidRPr="003F17DD" w14:paraId="034576CF" w14:textId="77777777" w:rsidTr="00B64331">
        <w:trPr>
          <w:trHeight w:val="251"/>
          <w:jc w:val="right"/>
        </w:trPr>
        <w:tc>
          <w:tcPr>
            <w:tcW w:w="3024" w:type="dxa"/>
          </w:tcPr>
          <w:p w14:paraId="23D7132C" w14:textId="77777777" w:rsidR="00B94C90" w:rsidRPr="00C86618" w:rsidRDefault="00B94C90" w:rsidP="00B64331">
            <w:pPr>
              <w:pStyle w:val="Normal-pool-Table"/>
              <w:rPr>
                <w:szCs w:val="18"/>
                <w:lang w:val="en-GB"/>
              </w:rPr>
            </w:pPr>
            <w:r w:rsidRPr="00C86618">
              <w:rPr>
                <w:color w:val="000000"/>
                <w:szCs w:val="18"/>
                <w:lang w:val="en-GB"/>
              </w:rPr>
              <w:t xml:space="preserve">Nee Sun (Robert) Choong </w:t>
            </w:r>
            <w:proofErr w:type="spellStart"/>
            <w:r w:rsidRPr="00C86618">
              <w:rPr>
                <w:color w:val="000000"/>
                <w:szCs w:val="18"/>
                <w:lang w:val="en-GB"/>
              </w:rPr>
              <w:t>Kwet</w:t>
            </w:r>
            <w:proofErr w:type="spellEnd"/>
            <w:r w:rsidRPr="00C86618">
              <w:rPr>
                <w:color w:val="000000"/>
                <w:szCs w:val="18"/>
                <w:lang w:val="en-GB"/>
              </w:rPr>
              <w:t xml:space="preserve"> </w:t>
            </w:r>
            <w:proofErr w:type="spellStart"/>
            <w:r w:rsidRPr="00C86618">
              <w:rPr>
                <w:color w:val="000000"/>
                <w:szCs w:val="18"/>
                <w:lang w:val="en-GB"/>
              </w:rPr>
              <w:t>Yive</w:t>
            </w:r>
            <w:proofErr w:type="spellEnd"/>
          </w:p>
        </w:tc>
        <w:tc>
          <w:tcPr>
            <w:tcW w:w="2488" w:type="dxa"/>
          </w:tcPr>
          <w:p w14:paraId="0D07511C" w14:textId="579631C2"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6CBF55A4" w14:textId="77777777" w:rsidR="00B94C90" w:rsidRPr="003F17DD" w:rsidRDefault="00B94C90" w:rsidP="00B64331">
            <w:pPr>
              <w:pStyle w:val="Normal-pool-Table"/>
              <w:rPr>
                <w:szCs w:val="18"/>
              </w:rPr>
            </w:pPr>
            <w:r w:rsidRPr="003F17DD">
              <w:rPr>
                <w:color w:val="000000"/>
              </w:rPr>
              <w:t>Maurice</w:t>
            </w:r>
          </w:p>
        </w:tc>
      </w:tr>
      <w:tr w:rsidR="00B94C90" w:rsidRPr="003F17DD" w14:paraId="316E4D3D" w14:textId="77777777" w:rsidTr="00B64331">
        <w:trPr>
          <w:trHeight w:val="251"/>
          <w:jc w:val="right"/>
        </w:trPr>
        <w:tc>
          <w:tcPr>
            <w:tcW w:w="3024" w:type="dxa"/>
          </w:tcPr>
          <w:p w14:paraId="1AEB8AD7" w14:textId="77777777" w:rsidR="00B94C90" w:rsidRPr="003F17DD" w:rsidRDefault="00B94C90" w:rsidP="00B64331">
            <w:pPr>
              <w:pStyle w:val="Normal-pool-Table"/>
              <w:rPr>
                <w:szCs w:val="18"/>
              </w:rPr>
            </w:pPr>
            <w:r w:rsidRPr="003F17DD">
              <w:rPr>
                <w:color w:val="000000"/>
                <w:szCs w:val="18"/>
              </w:rPr>
              <w:t>Jianxin Hu</w:t>
            </w:r>
          </w:p>
        </w:tc>
        <w:tc>
          <w:tcPr>
            <w:tcW w:w="2488" w:type="dxa"/>
          </w:tcPr>
          <w:p w14:paraId="593A10F4" w14:textId="37FFD62A"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23A94FFC" w14:textId="77777777" w:rsidR="00B94C90" w:rsidRPr="003F17DD" w:rsidRDefault="00B94C90" w:rsidP="00B64331">
            <w:pPr>
              <w:pStyle w:val="Normal-pool-Table"/>
              <w:rPr>
                <w:szCs w:val="18"/>
              </w:rPr>
            </w:pPr>
            <w:r w:rsidRPr="003F17DD">
              <w:rPr>
                <w:color w:val="000000"/>
              </w:rPr>
              <w:t>Chine</w:t>
            </w:r>
          </w:p>
        </w:tc>
      </w:tr>
      <w:tr w:rsidR="00B94C90" w:rsidRPr="003F17DD" w14:paraId="4D3B4EE5" w14:textId="77777777" w:rsidTr="00B64331">
        <w:trPr>
          <w:trHeight w:val="251"/>
          <w:jc w:val="right"/>
        </w:trPr>
        <w:tc>
          <w:tcPr>
            <w:tcW w:w="3024" w:type="dxa"/>
          </w:tcPr>
          <w:p w14:paraId="6F95FD11" w14:textId="77777777" w:rsidR="00B94C90" w:rsidRPr="003F17DD" w:rsidRDefault="00B94C90" w:rsidP="00B64331">
            <w:pPr>
              <w:pStyle w:val="Normal-pool-Table"/>
              <w:rPr>
                <w:szCs w:val="18"/>
              </w:rPr>
            </w:pPr>
            <w:r w:rsidRPr="003F17DD">
              <w:rPr>
                <w:color w:val="000000"/>
                <w:szCs w:val="18"/>
              </w:rPr>
              <w:t>Javaid Khan</w:t>
            </w:r>
          </w:p>
        </w:tc>
        <w:tc>
          <w:tcPr>
            <w:tcW w:w="2488" w:type="dxa"/>
          </w:tcPr>
          <w:p w14:paraId="681A6232" w14:textId="6CC7D84E"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5735FD17" w14:textId="77777777" w:rsidR="00B94C90" w:rsidRPr="003F17DD" w:rsidRDefault="00B94C90" w:rsidP="00B64331">
            <w:pPr>
              <w:pStyle w:val="Normal-pool-Table"/>
              <w:rPr>
                <w:szCs w:val="18"/>
              </w:rPr>
            </w:pPr>
            <w:r w:rsidRPr="003F17DD">
              <w:rPr>
                <w:color w:val="000000"/>
              </w:rPr>
              <w:t>Pakistan</w:t>
            </w:r>
          </w:p>
        </w:tc>
      </w:tr>
      <w:tr w:rsidR="00B94C90" w:rsidRPr="003F17DD" w14:paraId="50D26A15" w14:textId="77777777" w:rsidTr="00B64331">
        <w:trPr>
          <w:trHeight w:val="251"/>
          <w:jc w:val="right"/>
        </w:trPr>
        <w:tc>
          <w:tcPr>
            <w:tcW w:w="3024" w:type="dxa"/>
          </w:tcPr>
          <w:p w14:paraId="774E8479" w14:textId="77777777" w:rsidR="00B94C90" w:rsidRPr="003F17DD" w:rsidRDefault="00B94C90" w:rsidP="00B64331">
            <w:pPr>
              <w:pStyle w:val="Normal-pool-Table"/>
              <w:rPr>
                <w:szCs w:val="18"/>
              </w:rPr>
            </w:pPr>
            <w:r w:rsidRPr="003F17DD">
              <w:rPr>
                <w:color w:val="000000"/>
                <w:szCs w:val="18"/>
              </w:rPr>
              <w:t>Tim Noakes</w:t>
            </w:r>
          </w:p>
        </w:tc>
        <w:tc>
          <w:tcPr>
            <w:tcW w:w="2488" w:type="dxa"/>
          </w:tcPr>
          <w:p w14:paraId="1A3D1BA2" w14:textId="49C21A60" w:rsidR="00B94C90" w:rsidRPr="003F17DD" w:rsidRDefault="00B94C90" w:rsidP="00B64331">
            <w:pPr>
              <w:pStyle w:val="Normal-pool-Table"/>
              <w:rPr>
                <w:color w:val="000000" w:themeColor="text1"/>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3559CB20" w14:textId="30745985" w:rsidR="00B94C90" w:rsidRPr="003F17DD" w:rsidRDefault="00B94C90" w:rsidP="00B64331">
            <w:pPr>
              <w:pStyle w:val="Normal-pool-Table"/>
              <w:rPr>
                <w:szCs w:val="18"/>
              </w:rPr>
            </w:pPr>
            <w:r w:rsidRPr="003F17DD">
              <w:rPr>
                <w:color w:val="000000"/>
              </w:rPr>
              <w:t>Royaume-Uni de Grande-Bretagne et d</w:t>
            </w:r>
            <w:r w:rsidR="007175B8">
              <w:rPr>
                <w:color w:val="000000"/>
              </w:rPr>
              <w:t>’</w:t>
            </w:r>
            <w:r w:rsidRPr="003F17DD">
              <w:rPr>
                <w:color w:val="000000"/>
              </w:rPr>
              <w:t>Irlande du Nord</w:t>
            </w:r>
          </w:p>
        </w:tc>
      </w:tr>
      <w:tr w:rsidR="00B94C90" w:rsidRPr="003F17DD" w14:paraId="26034D87" w14:textId="77777777" w:rsidTr="00B64331">
        <w:trPr>
          <w:trHeight w:val="251"/>
          <w:jc w:val="right"/>
        </w:trPr>
        <w:tc>
          <w:tcPr>
            <w:tcW w:w="3024" w:type="dxa"/>
          </w:tcPr>
          <w:p w14:paraId="333C9134" w14:textId="77777777" w:rsidR="00B94C90" w:rsidRPr="003F17DD" w:rsidRDefault="00B94C90" w:rsidP="00B64331">
            <w:pPr>
              <w:pStyle w:val="Normal-pool-Table"/>
              <w:rPr>
                <w:szCs w:val="18"/>
              </w:rPr>
            </w:pPr>
            <w:r w:rsidRPr="003F17DD">
              <w:rPr>
                <w:color w:val="000000"/>
                <w:szCs w:val="18"/>
              </w:rPr>
              <w:t>John Pritchard</w:t>
            </w:r>
          </w:p>
        </w:tc>
        <w:tc>
          <w:tcPr>
            <w:tcW w:w="2488" w:type="dxa"/>
          </w:tcPr>
          <w:p w14:paraId="359B4F1C" w14:textId="367AC066"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2236A922" w14:textId="2B8F3B25" w:rsidR="00B94C90" w:rsidRPr="003F17DD" w:rsidRDefault="00B94C90" w:rsidP="00B64331">
            <w:pPr>
              <w:pStyle w:val="Normal-pool-Table"/>
              <w:rPr>
                <w:szCs w:val="18"/>
              </w:rPr>
            </w:pPr>
            <w:r w:rsidRPr="003F17DD">
              <w:rPr>
                <w:color w:val="000000"/>
              </w:rPr>
              <w:t>Royaume-Uni de Grande-Bretagne et d</w:t>
            </w:r>
            <w:r w:rsidR="007175B8">
              <w:rPr>
                <w:color w:val="000000"/>
              </w:rPr>
              <w:t>’</w:t>
            </w:r>
            <w:r w:rsidRPr="003F17DD">
              <w:rPr>
                <w:color w:val="000000"/>
              </w:rPr>
              <w:t>Irlande du Nord</w:t>
            </w:r>
          </w:p>
        </w:tc>
      </w:tr>
      <w:tr w:rsidR="00B94C90" w:rsidRPr="003F17DD" w14:paraId="40B6AE1A" w14:textId="77777777" w:rsidTr="00B64331">
        <w:trPr>
          <w:trHeight w:val="251"/>
          <w:jc w:val="right"/>
        </w:trPr>
        <w:tc>
          <w:tcPr>
            <w:tcW w:w="3024" w:type="dxa"/>
          </w:tcPr>
          <w:p w14:paraId="67C1F527" w14:textId="77777777" w:rsidR="00B94C90" w:rsidRPr="003F17DD" w:rsidRDefault="00B94C90" w:rsidP="00B64331">
            <w:pPr>
              <w:pStyle w:val="Normal-pool-Table"/>
              <w:rPr>
                <w:szCs w:val="18"/>
              </w:rPr>
            </w:pPr>
            <w:proofErr w:type="spellStart"/>
            <w:r w:rsidRPr="003F17DD">
              <w:rPr>
                <w:color w:val="000000"/>
                <w:szCs w:val="18"/>
              </w:rPr>
              <w:t>Rabbur</w:t>
            </w:r>
            <w:proofErr w:type="spellEnd"/>
            <w:r w:rsidRPr="003F17DD">
              <w:rPr>
                <w:color w:val="000000"/>
                <w:szCs w:val="18"/>
              </w:rPr>
              <w:t xml:space="preserve"> Reza</w:t>
            </w:r>
          </w:p>
        </w:tc>
        <w:tc>
          <w:tcPr>
            <w:tcW w:w="2488" w:type="dxa"/>
          </w:tcPr>
          <w:p w14:paraId="16E6D374" w14:textId="1E33D5A2"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304ACD67" w14:textId="77777777" w:rsidR="00B94C90" w:rsidRPr="003F17DD" w:rsidRDefault="00B94C90" w:rsidP="00B64331">
            <w:pPr>
              <w:pStyle w:val="Normal-pool-Table"/>
              <w:rPr>
                <w:szCs w:val="18"/>
              </w:rPr>
            </w:pPr>
            <w:r w:rsidRPr="003F17DD">
              <w:rPr>
                <w:color w:val="000000"/>
              </w:rPr>
              <w:t>Bangladesh</w:t>
            </w:r>
          </w:p>
        </w:tc>
      </w:tr>
      <w:tr w:rsidR="00B94C90" w:rsidRPr="003F17DD" w14:paraId="1FEF2666" w14:textId="77777777" w:rsidTr="00B64331">
        <w:trPr>
          <w:trHeight w:val="251"/>
          <w:jc w:val="right"/>
        </w:trPr>
        <w:tc>
          <w:tcPr>
            <w:tcW w:w="3024" w:type="dxa"/>
          </w:tcPr>
          <w:p w14:paraId="3B41F270" w14:textId="77777777" w:rsidR="00B94C90" w:rsidRPr="003F17DD" w:rsidRDefault="00B94C90" w:rsidP="00B64331">
            <w:pPr>
              <w:pStyle w:val="Normal-pool-Table"/>
              <w:rPr>
                <w:szCs w:val="18"/>
              </w:rPr>
            </w:pPr>
            <w:r w:rsidRPr="003F17DD">
              <w:rPr>
                <w:color w:val="000000"/>
                <w:szCs w:val="18"/>
              </w:rPr>
              <w:t>Kristine Whorlow</w:t>
            </w:r>
          </w:p>
        </w:tc>
        <w:tc>
          <w:tcPr>
            <w:tcW w:w="2488" w:type="dxa"/>
          </w:tcPr>
          <w:p w14:paraId="6BFE881A" w14:textId="459773C1"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1EB85059" w14:textId="77777777" w:rsidR="00B94C90" w:rsidRPr="003F17DD" w:rsidRDefault="00B94C90" w:rsidP="00B64331">
            <w:pPr>
              <w:pStyle w:val="Normal-pool-Table"/>
              <w:rPr>
                <w:szCs w:val="18"/>
              </w:rPr>
            </w:pPr>
            <w:r w:rsidRPr="003F17DD">
              <w:rPr>
                <w:color w:val="000000"/>
              </w:rPr>
              <w:t>Australie</w:t>
            </w:r>
          </w:p>
        </w:tc>
      </w:tr>
      <w:tr w:rsidR="00B94C90" w:rsidRPr="003F17DD" w14:paraId="48D7FFAF" w14:textId="77777777" w:rsidTr="00B64331">
        <w:trPr>
          <w:trHeight w:val="251"/>
          <w:jc w:val="right"/>
        </w:trPr>
        <w:tc>
          <w:tcPr>
            <w:tcW w:w="3024" w:type="dxa"/>
          </w:tcPr>
          <w:p w14:paraId="34A0D625" w14:textId="77777777" w:rsidR="00B94C90" w:rsidRPr="003F17DD" w:rsidRDefault="00B94C90" w:rsidP="00B64331">
            <w:pPr>
              <w:pStyle w:val="Normal-pool-Table"/>
              <w:rPr>
                <w:szCs w:val="18"/>
              </w:rPr>
            </w:pPr>
            <w:proofErr w:type="spellStart"/>
            <w:r w:rsidRPr="003F17DD">
              <w:rPr>
                <w:color w:val="000000"/>
                <w:szCs w:val="18"/>
              </w:rPr>
              <w:t>Lifei</w:t>
            </w:r>
            <w:proofErr w:type="spellEnd"/>
            <w:r w:rsidRPr="003F17DD">
              <w:rPr>
                <w:color w:val="000000"/>
                <w:szCs w:val="18"/>
              </w:rPr>
              <w:t xml:space="preserve"> Zhang</w:t>
            </w:r>
          </w:p>
        </w:tc>
        <w:tc>
          <w:tcPr>
            <w:tcW w:w="2488" w:type="dxa"/>
          </w:tcPr>
          <w:p w14:paraId="19442109" w14:textId="5E408D07" w:rsidR="00B94C90" w:rsidRPr="003F17DD" w:rsidRDefault="00B94C90" w:rsidP="00B64331">
            <w:pPr>
              <w:pStyle w:val="Normal-pool-Table"/>
              <w:rPr>
                <w:color w:val="808080" w:themeColor="background1" w:themeShade="80"/>
                <w:szCs w:val="18"/>
              </w:rPr>
            </w:pPr>
            <w:r w:rsidRPr="003F17DD">
              <w:rPr>
                <w:color w:val="000000"/>
              </w:rPr>
              <w:t xml:space="preserve">Membre du </w:t>
            </w:r>
            <w:r w:rsidR="007D394C">
              <w:rPr>
                <w:color w:val="000000"/>
              </w:rPr>
              <w:t>MC</w:t>
            </w:r>
            <w:r w:rsidR="007D394C" w:rsidRPr="003F17DD">
              <w:rPr>
                <w:color w:val="000000"/>
              </w:rPr>
              <w:t>TOC</w:t>
            </w:r>
          </w:p>
        </w:tc>
        <w:tc>
          <w:tcPr>
            <w:tcW w:w="2795" w:type="dxa"/>
          </w:tcPr>
          <w:p w14:paraId="65B416B5" w14:textId="77777777" w:rsidR="00B94C90" w:rsidRPr="003F17DD" w:rsidRDefault="00B94C90" w:rsidP="00B64331">
            <w:pPr>
              <w:pStyle w:val="Normal-pool-Table"/>
              <w:rPr>
                <w:szCs w:val="18"/>
              </w:rPr>
            </w:pPr>
            <w:r w:rsidRPr="003F17DD">
              <w:rPr>
                <w:color w:val="000000"/>
              </w:rPr>
              <w:t>Chine</w:t>
            </w:r>
          </w:p>
        </w:tc>
      </w:tr>
      <w:tr w:rsidR="00B94C90" w:rsidRPr="003F17DD" w14:paraId="481E75A5" w14:textId="77777777" w:rsidTr="00B64331">
        <w:trPr>
          <w:trHeight w:val="197"/>
          <w:jc w:val="right"/>
        </w:trPr>
        <w:tc>
          <w:tcPr>
            <w:tcW w:w="3024" w:type="dxa"/>
            <w:tcBorders>
              <w:top w:val="nil"/>
              <w:left w:val="nil"/>
              <w:right w:val="nil"/>
            </w:tcBorders>
          </w:tcPr>
          <w:p w14:paraId="2178C5ED" w14:textId="77777777" w:rsidR="00B94C90" w:rsidRPr="003F17DD" w:rsidRDefault="00B94C90" w:rsidP="00B64331">
            <w:pPr>
              <w:pStyle w:val="Normal-pool-Table"/>
              <w:rPr>
                <w:color w:val="808080" w:themeColor="background1" w:themeShade="80"/>
                <w:szCs w:val="18"/>
              </w:rPr>
            </w:pPr>
          </w:p>
        </w:tc>
        <w:tc>
          <w:tcPr>
            <w:tcW w:w="2488" w:type="dxa"/>
            <w:tcBorders>
              <w:top w:val="nil"/>
              <w:left w:val="nil"/>
              <w:right w:val="nil"/>
            </w:tcBorders>
          </w:tcPr>
          <w:p w14:paraId="314DD769" w14:textId="77777777" w:rsidR="00B94C90" w:rsidRPr="003F17DD" w:rsidRDefault="00B94C90" w:rsidP="00B64331">
            <w:pPr>
              <w:pStyle w:val="Normal-pool-Table"/>
              <w:rPr>
                <w:color w:val="808080" w:themeColor="background1" w:themeShade="80"/>
                <w:szCs w:val="18"/>
              </w:rPr>
            </w:pPr>
          </w:p>
        </w:tc>
        <w:tc>
          <w:tcPr>
            <w:tcW w:w="2795" w:type="dxa"/>
            <w:tcBorders>
              <w:top w:val="nil"/>
              <w:left w:val="nil"/>
              <w:right w:val="nil"/>
            </w:tcBorders>
          </w:tcPr>
          <w:p w14:paraId="124DA779" w14:textId="77777777" w:rsidR="00B94C90" w:rsidRPr="003F17DD" w:rsidRDefault="00B94C90" w:rsidP="00B64331">
            <w:pPr>
              <w:pStyle w:val="Normal-pool-Table"/>
              <w:rPr>
                <w:color w:val="808080" w:themeColor="background1" w:themeShade="80"/>
                <w:szCs w:val="18"/>
              </w:rPr>
            </w:pPr>
          </w:p>
        </w:tc>
      </w:tr>
      <w:tr w:rsidR="00B94C90" w:rsidRPr="003F17DD" w14:paraId="39CEAD2F" w14:textId="77777777" w:rsidTr="00B64331">
        <w:trPr>
          <w:trHeight w:val="256"/>
          <w:jc w:val="right"/>
        </w:trPr>
        <w:tc>
          <w:tcPr>
            <w:tcW w:w="3024" w:type="dxa"/>
            <w:vAlign w:val="center"/>
          </w:tcPr>
          <w:p w14:paraId="5394069E" w14:textId="77777777" w:rsidR="00B94C90" w:rsidRPr="003F17DD" w:rsidRDefault="00B94C90" w:rsidP="00141423">
            <w:pPr>
              <w:pStyle w:val="Normal-pool-Table"/>
              <w:keepNext/>
              <w:keepLines/>
              <w:rPr>
                <w:szCs w:val="18"/>
              </w:rPr>
            </w:pPr>
            <w:proofErr w:type="spellStart"/>
            <w:r w:rsidRPr="003F17DD">
              <w:rPr>
                <w:color w:val="000000"/>
                <w:szCs w:val="18"/>
              </w:rPr>
              <w:t>Yosr</w:t>
            </w:r>
            <w:proofErr w:type="spellEnd"/>
            <w:r w:rsidRPr="003F17DD">
              <w:rPr>
                <w:color w:val="000000"/>
                <w:szCs w:val="18"/>
              </w:rPr>
              <w:t xml:space="preserve"> Allouche</w:t>
            </w:r>
          </w:p>
        </w:tc>
        <w:tc>
          <w:tcPr>
            <w:tcW w:w="2488" w:type="dxa"/>
            <w:tcBorders>
              <w:top w:val="nil"/>
              <w:left w:val="nil"/>
              <w:right w:val="nil"/>
            </w:tcBorders>
          </w:tcPr>
          <w:p w14:paraId="70CEC6C5" w14:textId="77777777" w:rsidR="00B94C90" w:rsidRPr="003F17DD" w:rsidRDefault="00B94C90" w:rsidP="00B64331">
            <w:pPr>
              <w:pStyle w:val="Normal-pool-Table"/>
              <w:rPr>
                <w:szCs w:val="18"/>
              </w:rPr>
            </w:pPr>
            <w:r w:rsidRPr="003F17DD">
              <w:rPr>
                <w:color w:val="000000"/>
              </w:rPr>
              <w:t>Membre du RTOC</w:t>
            </w:r>
          </w:p>
        </w:tc>
        <w:tc>
          <w:tcPr>
            <w:tcW w:w="2795" w:type="dxa"/>
            <w:vAlign w:val="center"/>
          </w:tcPr>
          <w:p w14:paraId="47AC5892" w14:textId="77777777" w:rsidR="00B94C90" w:rsidRPr="003F17DD" w:rsidRDefault="00B94C90" w:rsidP="00B64331">
            <w:pPr>
              <w:pStyle w:val="Normal-pool-Table"/>
              <w:rPr>
                <w:szCs w:val="18"/>
              </w:rPr>
            </w:pPr>
            <w:r w:rsidRPr="003F17DD">
              <w:rPr>
                <w:color w:val="000000"/>
              </w:rPr>
              <w:t>Tunisie</w:t>
            </w:r>
          </w:p>
        </w:tc>
      </w:tr>
      <w:tr w:rsidR="00B94C90" w:rsidRPr="003F17DD" w14:paraId="68ECEF58" w14:textId="77777777" w:rsidTr="00B64331">
        <w:trPr>
          <w:trHeight w:val="256"/>
          <w:jc w:val="right"/>
        </w:trPr>
        <w:tc>
          <w:tcPr>
            <w:tcW w:w="3024" w:type="dxa"/>
            <w:vAlign w:val="center"/>
          </w:tcPr>
          <w:p w14:paraId="48D6BD3D" w14:textId="77777777" w:rsidR="00B94C90" w:rsidRPr="003F17DD" w:rsidRDefault="00B94C90" w:rsidP="00141423">
            <w:pPr>
              <w:pStyle w:val="Normal-pool-Table"/>
              <w:keepNext/>
              <w:keepLines/>
              <w:rPr>
                <w:color w:val="808080" w:themeColor="background1" w:themeShade="80"/>
                <w:szCs w:val="18"/>
              </w:rPr>
            </w:pPr>
            <w:r w:rsidRPr="003F17DD">
              <w:rPr>
                <w:color w:val="000000"/>
              </w:rPr>
              <w:t>Jitendra Bhambure</w:t>
            </w:r>
          </w:p>
        </w:tc>
        <w:tc>
          <w:tcPr>
            <w:tcW w:w="2488" w:type="dxa"/>
            <w:tcBorders>
              <w:top w:val="nil"/>
              <w:left w:val="nil"/>
              <w:right w:val="nil"/>
            </w:tcBorders>
          </w:tcPr>
          <w:p w14:paraId="7126ACD7"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73C1B295" w14:textId="77777777" w:rsidR="00B94C90" w:rsidRPr="003F17DD" w:rsidRDefault="00B94C90" w:rsidP="00B64331">
            <w:pPr>
              <w:pStyle w:val="Normal-pool-Table"/>
              <w:rPr>
                <w:color w:val="808080" w:themeColor="background1" w:themeShade="80"/>
                <w:szCs w:val="18"/>
              </w:rPr>
            </w:pPr>
            <w:r w:rsidRPr="003F17DD">
              <w:rPr>
                <w:color w:val="000000"/>
              </w:rPr>
              <w:t>Inde</w:t>
            </w:r>
          </w:p>
        </w:tc>
      </w:tr>
      <w:tr w:rsidR="00B94C90" w:rsidRPr="003F17DD" w14:paraId="66E83392" w14:textId="77777777" w:rsidTr="00B64331">
        <w:trPr>
          <w:trHeight w:val="197"/>
          <w:jc w:val="right"/>
        </w:trPr>
        <w:tc>
          <w:tcPr>
            <w:tcW w:w="3024" w:type="dxa"/>
            <w:vAlign w:val="center"/>
          </w:tcPr>
          <w:p w14:paraId="64A6EE7D" w14:textId="77777777" w:rsidR="00B94C90" w:rsidRPr="003F17DD" w:rsidRDefault="00B94C90" w:rsidP="00B64331">
            <w:pPr>
              <w:pStyle w:val="Normal-pool-Table"/>
              <w:rPr>
                <w:color w:val="808080" w:themeColor="background1" w:themeShade="80"/>
                <w:szCs w:val="18"/>
              </w:rPr>
            </w:pPr>
            <w:r w:rsidRPr="003F17DD">
              <w:rPr>
                <w:color w:val="000000"/>
              </w:rPr>
              <w:t>Maria C. Britto Bacellar</w:t>
            </w:r>
          </w:p>
        </w:tc>
        <w:tc>
          <w:tcPr>
            <w:tcW w:w="2488" w:type="dxa"/>
            <w:tcBorders>
              <w:top w:val="nil"/>
              <w:left w:val="nil"/>
              <w:right w:val="nil"/>
            </w:tcBorders>
          </w:tcPr>
          <w:p w14:paraId="73182459"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0375C9A" w14:textId="77777777" w:rsidR="00B94C90" w:rsidRPr="003F17DD" w:rsidRDefault="00B94C90" w:rsidP="00B64331">
            <w:pPr>
              <w:pStyle w:val="Normal-pool-Table"/>
              <w:rPr>
                <w:color w:val="808080" w:themeColor="background1" w:themeShade="80"/>
                <w:szCs w:val="18"/>
              </w:rPr>
            </w:pPr>
            <w:r w:rsidRPr="003F17DD">
              <w:rPr>
                <w:color w:val="000000"/>
              </w:rPr>
              <w:t>Brésil</w:t>
            </w:r>
          </w:p>
        </w:tc>
      </w:tr>
      <w:tr w:rsidR="00B94C90" w:rsidRPr="003F17DD" w14:paraId="162AB77D" w14:textId="77777777" w:rsidTr="00B64331">
        <w:trPr>
          <w:trHeight w:val="197"/>
          <w:jc w:val="right"/>
        </w:trPr>
        <w:tc>
          <w:tcPr>
            <w:tcW w:w="3024" w:type="dxa"/>
            <w:vAlign w:val="center"/>
          </w:tcPr>
          <w:p w14:paraId="750F47A5" w14:textId="77777777" w:rsidR="00B94C90" w:rsidRPr="003F17DD" w:rsidRDefault="00B94C90" w:rsidP="00B64331">
            <w:pPr>
              <w:pStyle w:val="Normal-pool-Table"/>
              <w:rPr>
                <w:color w:val="808080" w:themeColor="background1" w:themeShade="80"/>
                <w:szCs w:val="18"/>
              </w:rPr>
            </w:pPr>
            <w:r w:rsidRPr="003F17DD">
              <w:rPr>
                <w:color w:val="000000"/>
              </w:rPr>
              <w:lastRenderedPageBreak/>
              <w:t>Feng Cao</w:t>
            </w:r>
          </w:p>
        </w:tc>
        <w:tc>
          <w:tcPr>
            <w:tcW w:w="2488" w:type="dxa"/>
            <w:tcBorders>
              <w:top w:val="nil"/>
              <w:left w:val="nil"/>
              <w:right w:val="nil"/>
            </w:tcBorders>
          </w:tcPr>
          <w:p w14:paraId="663C8AD6"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BA7245C" w14:textId="77777777" w:rsidR="00B94C90" w:rsidRPr="003F17DD" w:rsidRDefault="00B94C90" w:rsidP="00B64331">
            <w:pPr>
              <w:pStyle w:val="Normal-pool-Table"/>
              <w:rPr>
                <w:color w:val="808080" w:themeColor="background1" w:themeShade="80"/>
                <w:szCs w:val="18"/>
              </w:rPr>
            </w:pPr>
            <w:r w:rsidRPr="003F17DD">
              <w:rPr>
                <w:color w:val="000000"/>
              </w:rPr>
              <w:t>Chine</w:t>
            </w:r>
          </w:p>
        </w:tc>
      </w:tr>
      <w:tr w:rsidR="00B94C90" w:rsidRPr="003F17DD" w14:paraId="4EB26781" w14:textId="77777777" w:rsidTr="00B64331">
        <w:trPr>
          <w:trHeight w:val="197"/>
          <w:jc w:val="right"/>
        </w:trPr>
        <w:tc>
          <w:tcPr>
            <w:tcW w:w="3024" w:type="dxa"/>
            <w:vAlign w:val="center"/>
          </w:tcPr>
          <w:p w14:paraId="7FCDF69F" w14:textId="77777777" w:rsidR="00B94C90" w:rsidRPr="003F17DD" w:rsidRDefault="00B94C90" w:rsidP="00B64331">
            <w:pPr>
              <w:pStyle w:val="Normal-pool-Table"/>
              <w:rPr>
                <w:color w:val="808080" w:themeColor="background1" w:themeShade="80"/>
                <w:szCs w:val="18"/>
              </w:rPr>
            </w:pPr>
            <w:r w:rsidRPr="003F17DD">
              <w:rPr>
                <w:color w:val="000000"/>
              </w:rPr>
              <w:t>Ana Maria Carreño</w:t>
            </w:r>
          </w:p>
        </w:tc>
        <w:tc>
          <w:tcPr>
            <w:tcW w:w="2488" w:type="dxa"/>
            <w:tcBorders>
              <w:top w:val="nil"/>
              <w:left w:val="nil"/>
              <w:right w:val="nil"/>
            </w:tcBorders>
          </w:tcPr>
          <w:p w14:paraId="1B7B2527"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5E4D1884" w14:textId="77777777" w:rsidR="00B94C90" w:rsidRPr="003F17DD" w:rsidRDefault="00B94C90" w:rsidP="00B64331">
            <w:pPr>
              <w:pStyle w:val="Normal-pool-Table"/>
              <w:rPr>
                <w:color w:val="808080" w:themeColor="background1" w:themeShade="80"/>
                <w:szCs w:val="18"/>
              </w:rPr>
            </w:pPr>
            <w:r w:rsidRPr="003F17DD">
              <w:rPr>
                <w:color w:val="000000"/>
              </w:rPr>
              <w:t>Colombie</w:t>
            </w:r>
          </w:p>
        </w:tc>
      </w:tr>
      <w:tr w:rsidR="00B94C90" w:rsidRPr="003F17DD" w14:paraId="05EA3EF5" w14:textId="77777777" w:rsidTr="00B64331">
        <w:trPr>
          <w:trHeight w:val="197"/>
          <w:jc w:val="right"/>
        </w:trPr>
        <w:tc>
          <w:tcPr>
            <w:tcW w:w="3024" w:type="dxa"/>
            <w:vAlign w:val="center"/>
          </w:tcPr>
          <w:p w14:paraId="2D399AC1" w14:textId="77777777" w:rsidR="00B94C90" w:rsidRPr="003F17DD" w:rsidRDefault="00B94C90" w:rsidP="00B64331">
            <w:pPr>
              <w:pStyle w:val="Normal-pool-Table"/>
              <w:rPr>
                <w:color w:val="808080" w:themeColor="background1" w:themeShade="80"/>
                <w:szCs w:val="18"/>
              </w:rPr>
            </w:pPr>
            <w:r w:rsidRPr="003F17DD">
              <w:rPr>
                <w:color w:val="000000"/>
              </w:rPr>
              <w:t>Radim Čermák</w:t>
            </w:r>
          </w:p>
        </w:tc>
        <w:tc>
          <w:tcPr>
            <w:tcW w:w="2488" w:type="dxa"/>
            <w:tcBorders>
              <w:top w:val="nil"/>
              <w:left w:val="nil"/>
              <w:right w:val="nil"/>
            </w:tcBorders>
          </w:tcPr>
          <w:p w14:paraId="15F29E41"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17ADE9AD" w14:textId="77777777" w:rsidR="00B94C90" w:rsidRPr="003F17DD" w:rsidRDefault="00B94C90" w:rsidP="00B64331">
            <w:pPr>
              <w:pStyle w:val="Normal-pool-Table"/>
              <w:rPr>
                <w:color w:val="808080" w:themeColor="background1" w:themeShade="80"/>
                <w:szCs w:val="18"/>
              </w:rPr>
            </w:pPr>
            <w:r w:rsidRPr="003F17DD">
              <w:rPr>
                <w:color w:val="000000"/>
              </w:rPr>
              <w:t>Tchéquie</w:t>
            </w:r>
          </w:p>
        </w:tc>
      </w:tr>
      <w:tr w:rsidR="00B94C90" w:rsidRPr="003F17DD" w14:paraId="1EF3CA19" w14:textId="77777777" w:rsidTr="00B64331">
        <w:trPr>
          <w:trHeight w:val="197"/>
          <w:jc w:val="right"/>
        </w:trPr>
        <w:tc>
          <w:tcPr>
            <w:tcW w:w="3024" w:type="dxa"/>
            <w:vAlign w:val="center"/>
          </w:tcPr>
          <w:p w14:paraId="067DFDD2" w14:textId="77777777" w:rsidR="00B94C90" w:rsidRPr="003F17DD" w:rsidRDefault="00B94C90" w:rsidP="00B64331">
            <w:pPr>
              <w:pStyle w:val="Normal-pool-Table"/>
              <w:rPr>
                <w:color w:val="808080" w:themeColor="background1" w:themeShade="80"/>
                <w:szCs w:val="18"/>
              </w:rPr>
            </w:pPr>
            <w:r w:rsidRPr="003F17DD">
              <w:rPr>
                <w:color w:val="000000"/>
              </w:rPr>
              <w:t>Yu Chen</w:t>
            </w:r>
          </w:p>
        </w:tc>
        <w:tc>
          <w:tcPr>
            <w:tcW w:w="2488" w:type="dxa"/>
            <w:tcBorders>
              <w:top w:val="nil"/>
              <w:left w:val="nil"/>
              <w:right w:val="nil"/>
            </w:tcBorders>
          </w:tcPr>
          <w:p w14:paraId="2A7F1956"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68FBCCFC" w14:textId="207E3A36"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60E118CE" w14:textId="77777777" w:rsidTr="00B64331">
        <w:trPr>
          <w:trHeight w:val="197"/>
          <w:jc w:val="right"/>
        </w:trPr>
        <w:tc>
          <w:tcPr>
            <w:tcW w:w="3024" w:type="dxa"/>
            <w:vAlign w:val="center"/>
          </w:tcPr>
          <w:p w14:paraId="099CDFCD" w14:textId="77777777" w:rsidR="00B94C90" w:rsidRPr="003F17DD" w:rsidRDefault="00B94C90" w:rsidP="00B64331">
            <w:pPr>
              <w:pStyle w:val="Normal-pool-Table"/>
              <w:rPr>
                <w:color w:val="808080" w:themeColor="background1" w:themeShade="80"/>
                <w:szCs w:val="18"/>
              </w:rPr>
            </w:pPr>
            <w:r w:rsidRPr="003F17DD">
              <w:rPr>
                <w:color w:val="000000"/>
              </w:rPr>
              <w:t>Daniel Colbourne</w:t>
            </w:r>
          </w:p>
        </w:tc>
        <w:tc>
          <w:tcPr>
            <w:tcW w:w="2488" w:type="dxa"/>
            <w:tcBorders>
              <w:top w:val="nil"/>
              <w:left w:val="nil"/>
              <w:right w:val="nil"/>
            </w:tcBorders>
          </w:tcPr>
          <w:p w14:paraId="62427038"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29D80FC1" w14:textId="06DDB7A5" w:rsidR="00B94C90" w:rsidRPr="003F17DD" w:rsidRDefault="00B94C90" w:rsidP="00B64331">
            <w:pPr>
              <w:pStyle w:val="Normal-pool-Table"/>
              <w:rPr>
                <w:color w:val="808080" w:themeColor="background1" w:themeShade="80"/>
                <w:szCs w:val="18"/>
              </w:rPr>
            </w:pPr>
            <w:r w:rsidRPr="003F17DD">
              <w:rPr>
                <w:color w:val="000000"/>
              </w:rPr>
              <w:t>Royaume-Uni de Grande-Bretagne et d</w:t>
            </w:r>
            <w:r w:rsidR="007175B8">
              <w:rPr>
                <w:color w:val="000000"/>
              </w:rPr>
              <w:t>’</w:t>
            </w:r>
            <w:r w:rsidRPr="003F17DD">
              <w:rPr>
                <w:color w:val="000000"/>
              </w:rPr>
              <w:t>Irlande du Nord</w:t>
            </w:r>
          </w:p>
        </w:tc>
      </w:tr>
      <w:tr w:rsidR="00B94C90" w:rsidRPr="003F17DD" w14:paraId="3315109A" w14:textId="77777777" w:rsidTr="00B64331">
        <w:trPr>
          <w:trHeight w:val="197"/>
          <w:jc w:val="right"/>
        </w:trPr>
        <w:tc>
          <w:tcPr>
            <w:tcW w:w="3024" w:type="dxa"/>
            <w:vAlign w:val="center"/>
          </w:tcPr>
          <w:p w14:paraId="368191CB" w14:textId="77777777" w:rsidR="00B94C90" w:rsidRPr="003F17DD" w:rsidRDefault="00B94C90" w:rsidP="00B64331">
            <w:pPr>
              <w:pStyle w:val="Normal-pool-Table"/>
              <w:rPr>
                <w:color w:val="808080" w:themeColor="background1" w:themeShade="80"/>
                <w:szCs w:val="18"/>
              </w:rPr>
            </w:pPr>
            <w:r w:rsidRPr="003F17DD">
              <w:rPr>
                <w:color w:val="000000"/>
              </w:rPr>
              <w:t>Sukumar Devotta</w:t>
            </w:r>
          </w:p>
        </w:tc>
        <w:tc>
          <w:tcPr>
            <w:tcW w:w="2488" w:type="dxa"/>
            <w:tcBorders>
              <w:top w:val="nil"/>
              <w:left w:val="nil"/>
              <w:right w:val="nil"/>
            </w:tcBorders>
          </w:tcPr>
          <w:p w14:paraId="23C2F55C"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94B9162" w14:textId="77777777" w:rsidR="00B94C90" w:rsidRPr="003F17DD" w:rsidRDefault="00B94C90" w:rsidP="00B64331">
            <w:pPr>
              <w:pStyle w:val="Normal-pool-Table"/>
              <w:rPr>
                <w:color w:val="808080" w:themeColor="background1" w:themeShade="80"/>
                <w:szCs w:val="18"/>
              </w:rPr>
            </w:pPr>
            <w:r w:rsidRPr="003F17DD">
              <w:rPr>
                <w:color w:val="000000"/>
              </w:rPr>
              <w:t>Inde</w:t>
            </w:r>
          </w:p>
        </w:tc>
      </w:tr>
      <w:tr w:rsidR="00B94C90" w:rsidRPr="003F17DD" w14:paraId="68E45E9B" w14:textId="77777777" w:rsidTr="00B64331">
        <w:trPr>
          <w:trHeight w:val="197"/>
          <w:jc w:val="right"/>
        </w:trPr>
        <w:tc>
          <w:tcPr>
            <w:tcW w:w="3024" w:type="dxa"/>
            <w:vAlign w:val="center"/>
          </w:tcPr>
          <w:p w14:paraId="4A2AC008" w14:textId="77777777" w:rsidR="00B94C90" w:rsidRPr="003F17DD" w:rsidRDefault="00B94C90" w:rsidP="00B64331">
            <w:pPr>
              <w:pStyle w:val="Normal-pool-Table"/>
              <w:rPr>
                <w:color w:val="808080" w:themeColor="background1" w:themeShade="80"/>
                <w:szCs w:val="18"/>
              </w:rPr>
            </w:pPr>
            <w:r w:rsidRPr="003F17DD">
              <w:rPr>
                <w:color w:val="000000"/>
              </w:rPr>
              <w:t>Hilde Dhont</w:t>
            </w:r>
          </w:p>
        </w:tc>
        <w:tc>
          <w:tcPr>
            <w:tcW w:w="2488" w:type="dxa"/>
            <w:tcBorders>
              <w:top w:val="nil"/>
              <w:left w:val="nil"/>
              <w:right w:val="nil"/>
            </w:tcBorders>
          </w:tcPr>
          <w:p w14:paraId="6515D5CF"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11B85D6A" w14:textId="77777777" w:rsidR="00B94C90" w:rsidRPr="003F17DD" w:rsidRDefault="00B94C90" w:rsidP="00B64331">
            <w:pPr>
              <w:pStyle w:val="Normal-pool-Table"/>
              <w:rPr>
                <w:color w:val="808080" w:themeColor="background1" w:themeShade="80"/>
                <w:szCs w:val="18"/>
              </w:rPr>
            </w:pPr>
            <w:r w:rsidRPr="003F17DD">
              <w:rPr>
                <w:color w:val="000000"/>
              </w:rPr>
              <w:t>Belgique</w:t>
            </w:r>
          </w:p>
        </w:tc>
      </w:tr>
      <w:tr w:rsidR="00B94C90" w:rsidRPr="003F17DD" w14:paraId="015909AB" w14:textId="77777777" w:rsidTr="00B64331">
        <w:trPr>
          <w:trHeight w:val="197"/>
          <w:jc w:val="right"/>
        </w:trPr>
        <w:tc>
          <w:tcPr>
            <w:tcW w:w="3024" w:type="dxa"/>
            <w:vAlign w:val="center"/>
          </w:tcPr>
          <w:p w14:paraId="1C0E5BDE" w14:textId="77777777" w:rsidR="00B94C90" w:rsidRPr="003F17DD" w:rsidRDefault="00B94C90" w:rsidP="00B64331">
            <w:pPr>
              <w:pStyle w:val="Normal-pool-Table"/>
              <w:rPr>
                <w:color w:val="808080" w:themeColor="background1" w:themeShade="80"/>
                <w:szCs w:val="18"/>
              </w:rPr>
            </w:pPr>
            <w:r w:rsidRPr="003F17DD">
              <w:rPr>
                <w:color w:val="000000"/>
              </w:rPr>
              <w:t>Gabrielle Dreyfus</w:t>
            </w:r>
          </w:p>
        </w:tc>
        <w:tc>
          <w:tcPr>
            <w:tcW w:w="2488" w:type="dxa"/>
            <w:tcBorders>
              <w:top w:val="nil"/>
              <w:left w:val="nil"/>
              <w:right w:val="nil"/>
            </w:tcBorders>
          </w:tcPr>
          <w:p w14:paraId="6DE71B47"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560E6582" w14:textId="25240AC0"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2DF34781" w14:textId="77777777" w:rsidTr="00B64331">
        <w:trPr>
          <w:trHeight w:val="197"/>
          <w:jc w:val="right"/>
        </w:trPr>
        <w:tc>
          <w:tcPr>
            <w:tcW w:w="3024" w:type="dxa"/>
            <w:vAlign w:val="center"/>
          </w:tcPr>
          <w:p w14:paraId="4FD485A4" w14:textId="77777777" w:rsidR="00B94C90" w:rsidRPr="003F17DD" w:rsidRDefault="00B94C90" w:rsidP="00B64331">
            <w:pPr>
              <w:pStyle w:val="Normal-pool-Table"/>
              <w:rPr>
                <w:color w:val="808080" w:themeColor="background1" w:themeShade="80"/>
                <w:szCs w:val="18"/>
              </w:rPr>
            </w:pPr>
            <w:r w:rsidRPr="003F17DD">
              <w:rPr>
                <w:color w:val="000000"/>
              </w:rPr>
              <w:t>Bassam Elassaad</w:t>
            </w:r>
          </w:p>
        </w:tc>
        <w:tc>
          <w:tcPr>
            <w:tcW w:w="2488" w:type="dxa"/>
            <w:tcBorders>
              <w:top w:val="nil"/>
              <w:left w:val="nil"/>
              <w:right w:val="nil"/>
            </w:tcBorders>
          </w:tcPr>
          <w:p w14:paraId="2717B7FA"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53F9B721" w14:textId="77777777" w:rsidR="00B94C90" w:rsidRPr="003F17DD" w:rsidRDefault="00B94C90" w:rsidP="00B64331">
            <w:pPr>
              <w:pStyle w:val="Normal-pool-Table"/>
              <w:rPr>
                <w:color w:val="808080" w:themeColor="background1" w:themeShade="80"/>
                <w:szCs w:val="18"/>
              </w:rPr>
            </w:pPr>
            <w:r w:rsidRPr="003F17DD">
              <w:rPr>
                <w:color w:val="000000"/>
              </w:rPr>
              <w:t>Liban</w:t>
            </w:r>
          </w:p>
        </w:tc>
      </w:tr>
      <w:tr w:rsidR="00B94C90" w:rsidRPr="003F17DD" w14:paraId="65980018" w14:textId="77777777" w:rsidTr="00B64331">
        <w:trPr>
          <w:trHeight w:val="197"/>
          <w:jc w:val="right"/>
        </w:trPr>
        <w:tc>
          <w:tcPr>
            <w:tcW w:w="3024" w:type="dxa"/>
            <w:vAlign w:val="center"/>
          </w:tcPr>
          <w:p w14:paraId="690AE385" w14:textId="77777777" w:rsidR="00B94C90" w:rsidRPr="003F17DD" w:rsidRDefault="00B94C90" w:rsidP="00B64331">
            <w:pPr>
              <w:pStyle w:val="Normal-pool-Table"/>
              <w:rPr>
                <w:color w:val="808080" w:themeColor="background1" w:themeShade="80"/>
                <w:szCs w:val="18"/>
              </w:rPr>
            </w:pPr>
            <w:r w:rsidRPr="003F17DD">
              <w:rPr>
                <w:color w:val="000000"/>
              </w:rPr>
              <w:t>Kylie Farrelley</w:t>
            </w:r>
          </w:p>
        </w:tc>
        <w:tc>
          <w:tcPr>
            <w:tcW w:w="2488" w:type="dxa"/>
            <w:tcBorders>
              <w:top w:val="nil"/>
              <w:left w:val="nil"/>
              <w:right w:val="nil"/>
            </w:tcBorders>
          </w:tcPr>
          <w:p w14:paraId="61C76657"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9AE0F91" w14:textId="77777777" w:rsidR="00B94C90" w:rsidRPr="003F17DD" w:rsidRDefault="00B94C90" w:rsidP="00B64331">
            <w:pPr>
              <w:pStyle w:val="Normal-pool-Table"/>
              <w:rPr>
                <w:color w:val="808080" w:themeColor="background1" w:themeShade="80"/>
                <w:szCs w:val="18"/>
              </w:rPr>
            </w:pPr>
            <w:r w:rsidRPr="003F17DD">
              <w:rPr>
                <w:color w:val="000000"/>
              </w:rPr>
              <w:t>Australie</w:t>
            </w:r>
          </w:p>
        </w:tc>
      </w:tr>
      <w:tr w:rsidR="00B94C90" w:rsidRPr="003F17DD" w14:paraId="3EC543EF" w14:textId="77777777" w:rsidTr="00B64331">
        <w:trPr>
          <w:trHeight w:val="197"/>
          <w:jc w:val="right"/>
        </w:trPr>
        <w:tc>
          <w:tcPr>
            <w:tcW w:w="3024" w:type="dxa"/>
            <w:vAlign w:val="center"/>
          </w:tcPr>
          <w:p w14:paraId="1348916E" w14:textId="77777777" w:rsidR="00B94C90" w:rsidRPr="003F17DD" w:rsidRDefault="00B94C90" w:rsidP="00B64331">
            <w:pPr>
              <w:pStyle w:val="Normal-pool-Table"/>
              <w:rPr>
                <w:color w:val="808080" w:themeColor="background1" w:themeShade="80"/>
                <w:szCs w:val="18"/>
              </w:rPr>
            </w:pPr>
            <w:r w:rsidRPr="003F17DD">
              <w:rPr>
                <w:color w:val="000000"/>
              </w:rPr>
              <w:t>Qiang Gao</w:t>
            </w:r>
          </w:p>
        </w:tc>
        <w:tc>
          <w:tcPr>
            <w:tcW w:w="2488" w:type="dxa"/>
            <w:tcBorders>
              <w:top w:val="nil"/>
              <w:left w:val="nil"/>
              <w:right w:val="nil"/>
            </w:tcBorders>
          </w:tcPr>
          <w:p w14:paraId="61FFF456"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34D7D1B" w14:textId="77777777" w:rsidR="00B94C90" w:rsidRPr="003F17DD" w:rsidRDefault="00B94C90" w:rsidP="00B64331">
            <w:pPr>
              <w:pStyle w:val="Normal-pool-Table"/>
              <w:rPr>
                <w:color w:val="808080" w:themeColor="background1" w:themeShade="80"/>
                <w:szCs w:val="18"/>
              </w:rPr>
            </w:pPr>
            <w:r w:rsidRPr="003F17DD">
              <w:rPr>
                <w:color w:val="000000"/>
              </w:rPr>
              <w:t>Chine</w:t>
            </w:r>
          </w:p>
        </w:tc>
      </w:tr>
      <w:tr w:rsidR="00B94C90" w:rsidRPr="003F17DD" w14:paraId="45F60074" w14:textId="77777777" w:rsidTr="00B64331">
        <w:trPr>
          <w:trHeight w:val="197"/>
          <w:jc w:val="right"/>
        </w:trPr>
        <w:tc>
          <w:tcPr>
            <w:tcW w:w="3024" w:type="dxa"/>
            <w:vAlign w:val="center"/>
          </w:tcPr>
          <w:p w14:paraId="30CBFA79" w14:textId="77777777" w:rsidR="00B94C90" w:rsidRPr="003F17DD" w:rsidRDefault="00B94C90" w:rsidP="00B64331">
            <w:pPr>
              <w:pStyle w:val="Normal-pool-Table"/>
              <w:rPr>
                <w:color w:val="808080" w:themeColor="background1" w:themeShade="80"/>
                <w:szCs w:val="18"/>
              </w:rPr>
            </w:pPr>
            <w:r w:rsidRPr="003F17DD">
              <w:rPr>
                <w:color w:val="000000"/>
              </w:rPr>
              <w:t xml:space="preserve">Ray Gluckman </w:t>
            </w:r>
          </w:p>
        </w:tc>
        <w:tc>
          <w:tcPr>
            <w:tcW w:w="2488" w:type="dxa"/>
            <w:tcBorders>
              <w:top w:val="nil"/>
              <w:left w:val="nil"/>
              <w:right w:val="nil"/>
            </w:tcBorders>
          </w:tcPr>
          <w:p w14:paraId="1C54B4D9"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78AAA7D8" w14:textId="5D121A00" w:rsidR="00B94C90" w:rsidRPr="003F17DD" w:rsidRDefault="00B94C90" w:rsidP="00B64331">
            <w:pPr>
              <w:pStyle w:val="Normal-pool-Table"/>
              <w:rPr>
                <w:color w:val="808080" w:themeColor="background1" w:themeShade="80"/>
                <w:szCs w:val="18"/>
              </w:rPr>
            </w:pPr>
            <w:r w:rsidRPr="003F17DD">
              <w:rPr>
                <w:color w:val="000000"/>
              </w:rPr>
              <w:t>Royaume-Uni de Grande-Bretagne et d</w:t>
            </w:r>
            <w:r w:rsidR="007175B8">
              <w:rPr>
                <w:color w:val="000000"/>
              </w:rPr>
              <w:t>’</w:t>
            </w:r>
            <w:r w:rsidRPr="003F17DD">
              <w:rPr>
                <w:color w:val="000000"/>
              </w:rPr>
              <w:t>Irlande du Nord</w:t>
            </w:r>
          </w:p>
        </w:tc>
      </w:tr>
      <w:tr w:rsidR="00B94C90" w:rsidRPr="003F17DD" w14:paraId="384EEDBC" w14:textId="77777777" w:rsidTr="00B64331">
        <w:trPr>
          <w:trHeight w:val="197"/>
          <w:jc w:val="right"/>
        </w:trPr>
        <w:tc>
          <w:tcPr>
            <w:tcW w:w="3024" w:type="dxa"/>
            <w:vAlign w:val="center"/>
          </w:tcPr>
          <w:p w14:paraId="097C4D11" w14:textId="77777777" w:rsidR="00B94C90" w:rsidRPr="003F17DD" w:rsidRDefault="00B94C90" w:rsidP="00B64331">
            <w:pPr>
              <w:pStyle w:val="Normal-pool-Table"/>
              <w:rPr>
                <w:color w:val="808080" w:themeColor="background1" w:themeShade="80"/>
                <w:szCs w:val="18"/>
              </w:rPr>
            </w:pPr>
            <w:r w:rsidRPr="003F17DD">
              <w:rPr>
                <w:color w:val="000000"/>
              </w:rPr>
              <w:t>Samir Hamed</w:t>
            </w:r>
          </w:p>
        </w:tc>
        <w:tc>
          <w:tcPr>
            <w:tcW w:w="2488" w:type="dxa"/>
            <w:tcBorders>
              <w:top w:val="nil"/>
              <w:left w:val="nil"/>
              <w:right w:val="nil"/>
            </w:tcBorders>
          </w:tcPr>
          <w:p w14:paraId="00A54060"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5EA34305" w14:textId="77777777" w:rsidR="00B94C90" w:rsidRPr="003F17DD" w:rsidRDefault="00B94C90" w:rsidP="00B64331">
            <w:pPr>
              <w:pStyle w:val="Normal-pool-Table"/>
              <w:rPr>
                <w:color w:val="808080" w:themeColor="background1" w:themeShade="80"/>
                <w:szCs w:val="18"/>
              </w:rPr>
            </w:pPr>
            <w:r w:rsidRPr="003F17DD">
              <w:rPr>
                <w:color w:val="000000"/>
              </w:rPr>
              <w:t>Jordanie</w:t>
            </w:r>
          </w:p>
        </w:tc>
      </w:tr>
      <w:tr w:rsidR="00B94C90" w:rsidRPr="003F17DD" w14:paraId="7AB57F7C" w14:textId="77777777" w:rsidTr="00B64331">
        <w:trPr>
          <w:trHeight w:val="197"/>
          <w:jc w:val="right"/>
        </w:trPr>
        <w:tc>
          <w:tcPr>
            <w:tcW w:w="3024" w:type="dxa"/>
            <w:vAlign w:val="center"/>
          </w:tcPr>
          <w:p w14:paraId="47031F36" w14:textId="77777777" w:rsidR="00B94C90" w:rsidRPr="003F17DD" w:rsidRDefault="00B94C90" w:rsidP="00B64331">
            <w:pPr>
              <w:pStyle w:val="Normal-pool-Table"/>
              <w:rPr>
                <w:color w:val="808080" w:themeColor="background1" w:themeShade="80"/>
                <w:szCs w:val="18"/>
              </w:rPr>
            </w:pPr>
            <w:r w:rsidRPr="003F17DD">
              <w:rPr>
                <w:color w:val="000000"/>
              </w:rPr>
              <w:t>Herlin Herlianika</w:t>
            </w:r>
          </w:p>
        </w:tc>
        <w:tc>
          <w:tcPr>
            <w:tcW w:w="2488" w:type="dxa"/>
            <w:tcBorders>
              <w:top w:val="nil"/>
              <w:left w:val="nil"/>
              <w:right w:val="nil"/>
            </w:tcBorders>
          </w:tcPr>
          <w:p w14:paraId="5DD13342"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DA8403F" w14:textId="77777777" w:rsidR="00B94C90" w:rsidRPr="003F17DD" w:rsidRDefault="00B94C90" w:rsidP="00B64331">
            <w:pPr>
              <w:pStyle w:val="Normal-pool-Table"/>
              <w:rPr>
                <w:color w:val="808080" w:themeColor="background1" w:themeShade="80"/>
                <w:szCs w:val="18"/>
              </w:rPr>
            </w:pPr>
            <w:r w:rsidRPr="003F17DD">
              <w:rPr>
                <w:color w:val="000000"/>
              </w:rPr>
              <w:t>Indonésie</w:t>
            </w:r>
          </w:p>
        </w:tc>
      </w:tr>
      <w:tr w:rsidR="00B94C90" w:rsidRPr="003F17DD" w14:paraId="1B5D3534" w14:textId="77777777" w:rsidTr="00B64331">
        <w:trPr>
          <w:trHeight w:val="197"/>
          <w:jc w:val="right"/>
        </w:trPr>
        <w:tc>
          <w:tcPr>
            <w:tcW w:w="3024" w:type="dxa"/>
            <w:vAlign w:val="center"/>
          </w:tcPr>
          <w:p w14:paraId="1FE8A6A5" w14:textId="77777777" w:rsidR="00B94C90" w:rsidRPr="003F17DD" w:rsidRDefault="00B94C90" w:rsidP="00B64331">
            <w:pPr>
              <w:pStyle w:val="Normal-pool-Table"/>
              <w:rPr>
                <w:color w:val="808080" w:themeColor="background1" w:themeShade="80"/>
                <w:szCs w:val="18"/>
              </w:rPr>
            </w:pPr>
            <w:r w:rsidRPr="003F17DD">
              <w:rPr>
                <w:color w:val="000000"/>
              </w:rPr>
              <w:t>Yuki Kamioka</w:t>
            </w:r>
          </w:p>
        </w:tc>
        <w:tc>
          <w:tcPr>
            <w:tcW w:w="2488" w:type="dxa"/>
            <w:tcBorders>
              <w:top w:val="nil"/>
              <w:left w:val="nil"/>
              <w:right w:val="nil"/>
            </w:tcBorders>
          </w:tcPr>
          <w:p w14:paraId="3B4DBF50"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0B142D2" w14:textId="77777777" w:rsidR="00B94C90" w:rsidRPr="003F17DD" w:rsidRDefault="00B94C90" w:rsidP="00B64331">
            <w:pPr>
              <w:pStyle w:val="Normal-pool-Table"/>
              <w:rPr>
                <w:color w:val="808080" w:themeColor="background1" w:themeShade="80"/>
                <w:szCs w:val="18"/>
              </w:rPr>
            </w:pPr>
            <w:r w:rsidRPr="003F17DD">
              <w:rPr>
                <w:color w:val="000000"/>
              </w:rPr>
              <w:t>Japon</w:t>
            </w:r>
          </w:p>
        </w:tc>
      </w:tr>
      <w:tr w:rsidR="00B94C90" w:rsidRPr="003F17DD" w14:paraId="417F4DBA" w14:textId="77777777" w:rsidTr="00B64331">
        <w:trPr>
          <w:trHeight w:val="197"/>
          <w:jc w:val="right"/>
        </w:trPr>
        <w:tc>
          <w:tcPr>
            <w:tcW w:w="3024" w:type="dxa"/>
            <w:vAlign w:val="center"/>
          </w:tcPr>
          <w:p w14:paraId="61CEC73B" w14:textId="77777777" w:rsidR="00B94C90" w:rsidRPr="003F17DD" w:rsidRDefault="00B94C90" w:rsidP="00B64331">
            <w:pPr>
              <w:pStyle w:val="Normal-pool-Table"/>
              <w:rPr>
                <w:color w:val="808080" w:themeColor="background1" w:themeShade="80"/>
                <w:szCs w:val="18"/>
              </w:rPr>
            </w:pPr>
            <w:r w:rsidRPr="003F17DD">
              <w:rPr>
                <w:color w:val="000000"/>
              </w:rPr>
              <w:t>Michael Kauffeld</w:t>
            </w:r>
          </w:p>
        </w:tc>
        <w:tc>
          <w:tcPr>
            <w:tcW w:w="2488" w:type="dxa"/>
            <w:tcBorders>
              <w:top w:val="nil"/>
              <w:left w:val="nil"/>
              <w:right w:val="nil"/>
            </w:tcBorders>
          </w:tcPr>
          <w:p w14:paraId="54BE1D3D"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1C74A233" w14:textId="77777777" w:rsidR="00B94C90" w:rsidRPr="003F17DD" w:rsidRDefault="00B94C90" w:rsidP="00B64331">
            <w:pPr>
              <w:pStyle w:val="Normal-pool-Table"/>
              <w:rPr>
                <w:color w:val="808080" w:themeColor="background1" w:themeShade="80"/>
                <w:szCs w:val="18"/>
              </w:rPr>
            </w:pPr>
            <w:r w:rsidRPr="003F17DD">
              <w:rPr>
                <w:color w:val="000000"/>
              </w:rPr>
              <w:t>Allemagne</w:t>
            </w:r>
          </w:p>
        </w:tc>
      </w:tr>
      <w:tr w:rsidR="00B94C90" w:rsidRPr="003F17DD" w14:paraId="3361CF0B" w14:textId="77777777" w:rsidTr="00B64331">
        <w:trPr>
          <w:trHeight w:val="197"/>
          <w:jc w:val="right"/>
        </w:trPr>
        <w:tc>
          <w:tcPr>
            <w:tcW w:w="3024" w:type="dxa"/>
            <w:vAlign w:val="center"/>
          </w:tcPr>
          <w:p w14:paraId="4BD5B22F" w14:textId="77777777" w:rsidR="00B94C90" w:rsidRPr="003F17DD" w:rsidRDefault="00B94C90" w:rsidP="00B64331">
            <w:pPr>
              <w:pStyle w:val="Normal-pool-Table"/>
              <w:rPr>
                <w:color w:val="808080" w:themeColor="background1" w:themeShade="80"/>
                <w:szCs w:val="18"/>
              </w:rPr>
            </w:pPr>
            <w:r w:rsidRPr="003F17DD">
              <w:rPr>
                <w:color w:val="000000"/>
              </w:rPr>
              <w:t>Mary Koban</w:t>
            </w:r>
          </w:p>
        </w:tc>
        <w:tc>
          <w:tcPr>
            <w:tcW w:w="2488" w:type="dxa"/>
            <w:tcBorders>
              <w:top w:val="nil"/>
              <w:left w:val="nil"/>
              <w:right w:val="nil"/>
            </w:tcBorders>
          </w:tcPr>
          <w:p w14:paraId="60219834"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3D8E8A6" w14:textId="3061A727"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28D73040" w14:textId="77777777" w:rsidTr="00B64331">
        <w:trPr>
          <w:trHeight w:val="197"/>
          <w:jc w:val="right"/>
        </w:trPr>
        <w:tc>
          <w:tcPr>
            <w:tcW w:w="3024" w:type="dxa"/>
            <w:vAlign w:val="center"/>
          </w:tcPr>
          <w:p w14:paraId="4A50AF50" w14:textId="77777777" w:rsidR="00B94C90" w:rsidRPr="003F17DD" w:rsidRDefault="00B94C90" w:rsidP="00B64331">
            <w:pPr>
              <w:pStyle w:val="Normal-pool-Table"/>
              <w:rPr>
                <w:color w:val="808080" w:themeColor="background1" w:themeShade="80"/>
                <w:szCs w:val="18"/>
              </w:rPr>
            </w:pPr>
            <w:r w:rsidRPr="003F17DD">
              <w:rPr>
                <w:color w:val="000000"/>
              </w:rPr>
              <w:t>Juergen Kohler</w:t>
            </w:r>
          </w:p>
        </w:tc>
        <w:tc>
          <w:tcPr>
            <w:tcW w:w="2488" w:type="dxa"/>
            <w:tcBorders>
              <w:top w:val="nil"/>
              <w:left w:val="nil"/>
              <w:right w:val="nil"/>
            </w:tcBorders>
          </w:tcPr>
          <w:p w14:paraId="1462737F"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1FF5840A" w14:textId="77777777" w:rsidR="00B94C90" w:rsidRPr="003F17DD" w:rsidRDefault="00B94C90" w:rsidP="00B64331">
            <w:pPr>
              <w:pStyle w:val="Normal-pool-Table"/>
              <w:rPr>
                <w:color w:val="808080" w:themeColor="background1" w:themeShade="80"/>
                <w:szCs w:val="18"/>
              </w:rPr>
            </w:pPr>
            <w:r w:rsidRPr="003F17DD">
              <w:rPr>
                <w:color w:val="000000"/>
              </w:rPr>
              <w:t>Allemagne</w:t>
            </w:r>
          </w:p>
        </w:tc>
      </w:tr>
      <w:tr w:rsidR="00B94C90" w:rsidRPr="003F17DD" w14:paraId="42DE2393" w14:textId="77777777" w:rsidTr="00B64331">
        <w:trPr>
          <w:trHeight w:val="197"/>
          <w:jc w:val="right"/>
        </w:trPr>
        <w:tc>
          <w:tcPr>
            <w:tcW w:w="3024" w:type="dxa"/>
            <w:vAlign w:val="center"/>
          </w:tcPr>
          <w:p w14:paraId="6262DF10" w14:textId="77777777" w:rsidR="00B94C90" w:rsidRPr="003F17DD" w:rsidRDefault="00B94C90" w:rsidP="00B64331">
            <w:pPr>
              <w:pStyle w:val="Normal-pool-Table"/>
              <w:rPr>
                <w:color w:val="808080" w:themeColor="background1" w:themeShade="80"/>
                <w:szCs w:val="18"/>
              </w:rPr>
            </w:pPr>
            <w:r w:rsidRPr="003F17DD">
              <w:rPr>
                <w:color w:val="000000"/>
              </w:rPr>
              <w:t>Lambert Kuijpers</w:t>
            </w:r>
          </w:p>
        </w:tc>
        <w:tc>
          <w:tcPr>
            <w:tcW w:w="2488" w:type="dxa"/>
            <w:tcBorders>
              <w:top w:val="nil"/>
              <w:left w:val="nil"/>
              <w:right w:val="nil"/>
            </w:tcBorders>
          </w:tcPr>
          <w:p w14:paraId="06146486"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576117E2" w14:textId="77777777" w:rsidR="00B94C90" w:rsidRPr="003F17DD" w:rsidRDefault="00B94C90" w:rsidP="00B64331">
            <w:pPr>
              <w:pStyle w:val="Normal-pool-Table"/>
              <w:rPr>
                <w:color w:val="808080" w:themeColor="background1" w:themeShade="80"/>
                <w:szCs w:val="18"/>
              </w:rPr>
            </w:pPr>
            <w:r w:rsidRPr="003F17DD">
              <w:rPr>
                <w:color w:val="000000"/>
              </w:rPr>
              <w:t>Pays-Bas (Royaume des)</w:t>
            </w:r>
          </w:p>
        </w:tc>
      </w:tr>
      <w:tr w:rsidR="00B94C90" w:rsidRPr="003F17DD" w14:paraId="3F5B805E" w14:textId="77777777" w:rsidTr="00B64331">
        <w:trPr>
          <w:trHeight w:val="197"/>
          <w:jc w:val="right"/>
        </w:trPr>
        <w:tc>
          <w:tcPr>
            <w:tcW w:w="3024" w:type="dxa"/>
            <w:vAlign w:val="center"/>
          </w:tcPr>
          <w:p w14:paraId="5F079C83" w14:textId="77777777" w:rsidR="00B94C90" w:rsidRPr="003F17DD" w:rsidRDefault="00B94C90" w:rsidP="00046D8E">
            <w:pPr>
              <w:pStyle w:val="Normal-pool-Table"/>
              <w:spacing w:after="0"/>
              <w:rPr>
                <w:color w:val="808080" w:themeColor="background1" w:themeShade="80"/>
                <w:szCs w:val="18"/>
              </w:rPr>
            </w:pPr>
            <w:r w:rsidRPr="003F17DD">
              <w:rPr>
                <w:color w:val="000000"/>
              </w:rPr>
              <w:t xml:space="preserve">Steve Kujak </w:t>
            </w:r>
          </w:p>
        </w:tc>
        <w:tc>
          <w:tcPr>
            <w:tcW w:w="2488" w:type="dxa"/>
            <w:tcBorders>
              <w:top w:val="nil"/>
              <w:left w:val="nil"/>
              <w:right w:val="nil"/>
            </w:tcBorders>
          </w:tcPr>
          <w:p w14:paraId="420C2CD3"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68206F52" w14:textId="65912384"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41084D1C" w14:textId="77777777" w:rsidTr="00B64331">
        <w:trPr>
          <w:trHeight w:val="197"/>
          <w:jc w:val="right"/>
        </w:trPr>
        <w:tc>
          <w:tcPr>
            <w:tcW w:w="3024" w:type="dxa"/>
            <w:vAlign w:val="center"/>
          </w:tcPr>
          <w:p w14:paraId="34587F59" w14:textId="77777777" w:rsidR="00B94C90" w:rsidRPr="003F17DD" w:rsidRDefault="00B94C90" w:rsidP="00046D8E">
            <w:pPr>
              <w:pStyle w:val="Normal-pool-Table"/>
              <w:spacing w:before="0" w:after="240"/>
              <w:rPr>
                <w:color w:val="808080" w:themeColor="background1" w:themeShade="80"/>
                <w:szCs w:val="18"/>
              </w:rPr>
            </w:pPr>
            <w:r w:rsidRPr="003F17DD">
              <w:rPr>
                <w:color w:val="000000"/>
              </w:rPr>
              <w:t>Richard Lawton</w:t>
            </w:r>
          </w:p>
        </w:tc>
        <w:tc>
          <w:tcPr>
            <w:tcW w:w="2488" w:type="dxa"/>
            <w:tcBorders>
              <w:top w:val="nil"/>
              <w:left w:val="nil"/>
              <w:right w:val="nil"/>
            </w:tcBorders>
          </w:tcPr>
          <w:p w14:paraId="421A5412"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7180F1C" w14:textId="551E02B9" w:rsidR="00B94C90" w:rsidRPr="003F17DD" w:rsidRDefault="00B94C90" w:rsidP="00B64331">
            <w:pPr>
              <w:pStyle w:val="Normal-pool-Table"/>
              <w:rPr>
                <w:color w:val="808080" w:themeColor="background1" w:themeShade="80"/>
                <w:szCs w:val="18"/>
              </w:rPr>
            </w:pPr>
            <w:r w:rsidRPr="003F17DD">
              <w:rPr>
                <w:color w:val="000000"/>
              </w:rPr>
              <w:t>Royaume-Uni de Grande-Bretagne et d</w:t>
            </w:r>
            <w:r w:rsidR="007175B8">
              <w:rPr>
                <w:color w:val="000000"/>
              </w:rPr>
              <w:t>’</w:t>
            </w:r>
            <w:r w:rsidRPr="003F17DD">
              <w:rPr>
                <w:color w:val="000000"/>
              </w:rPr>
              <w:t>Irlande du Nord</w:t>
            </w:r>
          </w:p>
        </w:tc>
      </w:tr>
      <w:tr w:rsidR="00B94C90" w:rsidRPr="003F17DD" w14:paraId="0ED0C945" w14:textId="77777777" w:rsidTr="00B64331">
        <w:trPr>
          <w:trHeight w:val="197"/>
          <w:jc w:val="right"/>
        </w:trPr>
        <w:tc>
          <w:tcPr>
            <w:tcW w:w="3024" w:type="dxa"/>
            <w:vAlign w:val="center"/>
          </w:tcPr>
          <w:p w14:paraId="7682FDE4" w14:textId="77777777" w:rsidR="00B94C90" w:rsidRPr="003F17DD" w:rsidRDefault="00B94C90" w:rsidP="00B64331">
            <w:pPr>
              <w:pStyle w:val="Normal-pool-Table"/>
              <w:rPr>
                <w:color w:val="808080" w:themeColor="background1" w:themeShade="80"/>
                <w:szCs w:val="18"/>
              </w:rPr>
            </w:pPr>
            <w:proofErr w:type="spellStart"/>
            <w:r w:rsidRPr="003F17DD">
              <w:rPr>
                <w:color w:val="000000"/>
              </w:rPr>
              <w:t>Tingxun</w:t>
            </w:r>
            <w:proofErr w:type="spellEnd"/>
            <w:r w:rsidRPr="003F17DD">
              <w:rPr>
                <w:color w:val="000000"/>
              </w:rPr>
              <w:t xml:space="preserve"> Li</w:t>
            </w:r>
          </w:p>
        </w:tc>
        <w:tc>
          <w:tcPr>
            <w:tcW w:w="2488" w:type="dxa"/>
            <w:tcBorders>
              <w:top w:val="nil"/>
              <w:left w:val="nil"/>
              <w:right w:val="nil"/>
            </w:tcBorders>
          </w:tcPr>
          <w:p w14:paraId="1A53020D"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7D8267B0" w14:textId="77777777" w:rsidR="00B94C90" w:rsidRPr="003F17DD" w:rsidRDefault="00B94C90" w:rsidP="00B64331">
            <w:pPr>
              <w:pStyle w:val="Normal-pool-Table"/>
              <w:rPr>
                <w:color w:val="808080" w:themeColor="background1" w:themeShade="80"/>
                <w:szCs w:val="18"/>
              </w:rPr>
            </w:pPr>
            <w:r w:rsidRPr="003F17DD">
              <w:rPr>
                <w:color w:val="000000"/>
              </w:rPr>
              <w:t>Chine</w:t>
            </w:r>
          </w:p>
        </w:tc>
      </w:tr>
      <w:tr w:rsidR="00B94C90" w:rsidRPr="003F17DD" w14:paraId="6B509ADC" w14:textId="77777777" w:rsidTr="00B64331">
        <w:trPr>
          <w:trHeight w:val="197"/>
          <w:jc w:val="right"/>
        </w:trPr>
        <w:tc>
          <w:tcPr>
            <w:tcW w:w="3024" w:type="dxa"/>
            <w:vAlign w:val="center"/>
          </w:tcPr>
          <w:p w14:paraId="7AC618FB" w14:textId="77777777" w:rsidR="00B94C90" w:rsidRPr="003F17DD" w:rsidRDefault="00B94C90" w:rsidP="00B64331">
            <w:pPr>
              <w:pStyle w:val="Normal-pool-Table"/>
              <w:rPr>
                <w:color w:val="808080" w:themeColor="background1" w:themeShade="80"/>
                <w:szCs w:val="18"/>
              </w:rPr>
            </w:pPr>
            <w:proofErr w:type="spellStart"/>
            <w:r w:rsidRPr="003F17DD">
              <w:rPr>
                <w:color w:val="000000"/>
              </w:rPr>
              <w:t>Carloandrea</w:t>
            </w:r>
            <w:proofErr w:type="spellEnd"/>
            <w:r w:rsidRPr="003F17DD">
              <w:rPr>
                <w:color w:val="000000"/>
              </w:rPr>
              <w:t xml:space="preserve"> </w:t>
            </w:r>
            <w:proofErr w:type="spellStart"/>
            <w:r w:rsidRPr="003F17DD">
              <w:rPr>
                <w:color w:val="000000"/>
              </w:rPr>
              <w:t>Malvicino</w:t>
            </w:r>
            <w:proofErr w:type="spellEnd"/>
          </w:p>
        </w:tc>
        <w:tc>
          <w:tcPr>
            <w:tcW w:w="2488" w:type="dxa"/>
            <w:tcBorders>
              <w:top w:val="nil"/>
              <w:left w:val="nil"/>
              <w:right w:val="nil"/>
            </w:tcBorders>
          </w:tcPr>
          <w:p w14:paraId="1CB948E0"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B2D7E3D" w14:textId="77777777" w:rsidR="00B94C90" w:rsidRPr="003F17DD" w:rsidRDefault="00B94C90" w:rsidP="00B64331">
            <w:pPr>
              <w:pStyle w:val="Normal-pool-Table"/>
              <w:rPr>
                <w:color w:val="808080" w:themeColor="background1" w:themeShade="80"/>
                <w:szCs w:val="18"/>
              </w:rPr>
            </w:pPr>
            <w:r w:rsidRPr="003F17DD">
              <w:rPr>
                <w:color w:val="000000"/>
              </w:rPr>
              <w:t>Italie</w:t>
            </w:r>
          </w:p>
        </w:tc>
      </w:tr>
      <w:tr w:rsidR="00B94C90" w:rsidRPr="003F17DD" w14:paraId="7378DF02" w14:textId="77777777" w:rsidTr="00B64331">
        <w:trPr>
          <w:trHeight w:val="197"/>
          <w:jc w:val="right"/>
        </w:trPr>
        <w:tc>
          <w:tcPr>
            <w:tcW w:w="3024" w:type="dxa"/>
            <w:vAlign w:val="center"/>
          </w:tcPr>
          <w:p w14:paraId="0E51ECAD" w14:textId="77777777" w:rsidR="00B94C90" w:rsidRPr="003F17DD" w:rsidRDefault="00B94C90" w:rsidP="00B64331">
            <w:pPr>
              <w:pStyle w:val="Normal-pool-Table"/>
              <w:rPr>
                <w:color w:val="808080" w:themeColor="background1" w:themeShade="80"/>
                <w:szCs w:val="18"/>
              </w:rPr>
            </w:pPr>
            <w:r w:rsidRPr="003F17DD">
              <w:rPr>
                <w:color w:val="000000"/>
                <w:szCs w:val="18"/>
              </w:rPr>
              <w:t>Akio Miyara</w:t>
            </w:r>
          </w:p>
        </w:tc>
        <w:tc>
          <w:tcPr>
            <w:tcW w:w="2488" w:type="dxa"/>
            <w:tcBorders>
              <w:top w:val="nil"/>
              <w:left w:val="nil"/>
              <w:right w:val="nil"/>
            </w:tcBorders>
          </w:tcPr>
          <w:p w14:paraId="77F15AF9"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13BF028" w14:textId="77777777" w:rsidR="00B94C90" w:rsidRPr="003F17DD" w:rsidRDefault="00B94C90" w:rsidP="00B64331">
            <w:pPr>
              <w:pStyle w:val="Normal-pool-Table"/>
              <w:rPr>
                <w:color w:val="808080" w:themeColor="background1" w:themeShade="80"/>
                <w:szCs w:val="18"/>
              </w:rPr>
            </w:pPr>
            <w:r w:rsidRPr="003F17DD">
              <w:rPr>
                <w:color w:val="000000"/>
              </w:rPr>
              <w:t>Japon</w:t>
            </w:r>
          </w:p>
        </w:tc>
      </w:tr>
      <w:tr w:rsidR="00B94C90" w:rsidRPr="003F17DD" w14:paraId="47708C9A" w14:textId="77777777" w:rsidTr="00B64331">
        <w:trPr>
          <w:trHeight w:val="197"/>
          <w:jc w:val="right"/>
        </w:trPr>
        <w:tc>
          <w:tcPr>
            <w:tcW w:w="3024" w:type="dxa"/>
            <w:vAlign w:val="center"/>
          </w:tcPr>
          <w:p w14:paraId="7F103D92" w14:textId="77777777" w:rsidR="00B94C90" w:rsidRPr="003F17DD" w:rsidRDefault="00B94C90" w:rsidP="00B64331">
            <w:pPr>
              <w:pStyle w:val="Normal-pool-Table"/>
              <w:rPr>
                <w:color w:val="808080" w:themeColor="background1" w:themeShade="80"/>
                <w:szCs w:val="18"/>
              </w:rPr>
            </w:pPr>
            <w:r w:rsidRPr="003F17DD">
              <w:rPr>
                <w:color w:val="000000"/>
              </w:rPr>
              <w:t>Petter Nekså</w:t>
            </w:r>
          </w:p>
        </w:tc>
        <w:tc>
          <w:tcPr>
            <w:tcW w:w="2488" w:type="dxa"/>
            <w:tcBorders>
              <w:top w:val="nil"/>
              <w:left w:val="nil"/>
              <w:right w:val="nil"/>
            </w:tcBorders>
          </w:tcPr>
          <w:p w14:paraId="2D16FA5C"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658F59AF" w14:textId="77777777" w:rsidR="00B94C90" w:rsidRPr="003F17DD" w:rsidRDefault="00B94C90" w:rsidP="00B64331">
            <w:pPr>
              <w:pStyle w:val="Normal-pool-Table"/>
              <w:rPr>
                <w:color w:val="808080" w:themeColor="background1" w:themeShade="80"/>
                <w:szCs w:val="18"/>
              </w:rPr>
            </w:pPr>
            <w:r w:rsidRPr="003F17DD">
              <w:rPr>
                <w:color w:val="000000"/>
              </w:rPr>
              <w:t>Norvège</w:t>
            </w:r>
          </w:p>
        </w:tc>
      </w:tr>
      <w:tr w:rsidR="00B94C90" w:rsidRPr="003F17DD" w14:paraId="60D28A89" w14:textId="77777777" w:rsidTr="00B64331">
        <w:trPr>
          <w:trHeight w:val="197"/>
          <w:jc w:val="right"/>
        </w:trPr>
        <w:tc>
          <w:tcPr>
            <w:tcW w:w="3024" w:type="dxa"/>
            <w:vAlign w:val="center"/>
          </w:tcPr>
          <w:p w14:paraId="43CEDDB7" w14:textId="5E6455F1" w:rsidR="00B94C90" w:rsidRPr="003F17DD" w:rsidRDefault="004D26DE" w:rsidP="00B64331">
            <w:pPr>
              <w:pStyle w:val="Normal-pool-Table"/>
              <w:rPr>
                <w:color w:val="808080" w:themeColor="background1" w:themeShade="80"/>
                <w:szCs w:val="18"/>
              </w:rPr>
            </w:pPr>
            <w:proofErr w:type="spellStart"/>
            <w:r>
              <w:rPr>
                <w:color w:val="000000"/>
              </w:rPr>
              <w:t>M</w:t>
            </w:r>
            <w:r w:rsidR="006143E7">
              <w:rPr>
                <w:color w:val="000000"/>
              </w:rPr>
              <w:t>.</w:t>
            </w:r>
            <w:r w:rsidR="00B94C90" w:rsidRPr="003F17DD">
              <w:rPr>
                <w:color w:val="000000"/>
              </w:rPr>
              <w:t>Tetsuji</w:t>
            </w:r>
            <w:proofErr w:type="spellEnd"/>
            <w:r w:rsidR="00B94C90" w:rsidRPr="003F17DD">
              <w:rPr>
                <w:color w:val="000000"/>
              </w:rPr>
              <w:t xml:space="preserve"> Okada</w:t>
            </w:r>
          </w:p>
        </w:tc>
        <w:tc>
          <w:tcPr>
            <w:tcW w:w="2488" w:type="dxa"/>
            <w:tcBorders>
              <w:top w:val="nil"/>
              <w:left w:val="nil"/>
              <w:right w:val="nil"/>
            </w:tcBorders>
          </w:tcPr>
          <w:p w14:paraId="721C934A"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4D4B679B" w14:textId="77777777" w:rsidR="00B94C90" w:rsidRPr="003F17DD" w:rsidRDefault="00B94C90" w:rsidP="00B64331">
            <w:pPr>
              <w:pStyle w:val="Normal-pool-Table"/>
              <w:rPr>
                <w:color w:val="808080" w:themeColor="background1" w:themeShade="80"/>
                <w:szCs w:val="18"/>
              </w:rPr>
            </w:pPr>
            <w:r w:rsidRPr="003F17DD">
              <w:rPr>
                <w:color w:val="000000"/>
              </w:rPr>
              <w:t>Japon</w:t>
            </w:r>
          </w:p>
        </w:tc>
      </w:tr>
      <w:tr w:rsidR="00B94C90" w:rsidRPr="003F17DD" w14:paraId="549646CF" w14:textId="77777777" w:rsidTr="00B64331">
        <w:trPr>
          <w:trHeight w:val="197"/>
          <w:jc w:val="right"/>
        </w:trPr>
        <w:tc>
          <w:tcPr>
            <w:tcW w:w="3024" w:type="dxa"/>
            <w:vAlign w:val="center"/>
          </w:tcPr>
          <w:p w14:paraId="081992D3" w14:textId="77777777" w:rsidR="00B94C90" w:rsidRPr="003F17DD" w:rsidRDefault="00B94C90" w:rsidP="00B64331">
            <w:pPr>
              <w:pStyle w:val="Normal-pool-Table"/>
              <w:rPr>
                <w:color w:val="808080" w:themeColor="background1" w:themeShade="80"/>
                <w:szCs w:val="18"/>
              </w:rPr>
            </w:pPr>
            <w:r w:rsidRPr="003F17DD">
              <w:rPr>
                <w:color w:val="000000"/>
              </w:rPr>
              <w:t>Pallav Purohit</w:t>
            </w:r>
          </w:p>
        </w:tc>
        <w:tc>
          <w:tcPr>
            <w:tcW w:w="2488" w:type="dxa"/>
            <w:tcBorders>
              <w:top w:val="nil"/>
              <w:left w:val="nil"/>
              <w:right w:val="nil"/>
            </w:tcBorders>
          </w:tcPr>
          <w:p w14:paraId="58224F17"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741062A" w14:textId="77777777" w:rsidR="00B94C90" w:rsidRPr="003F17DD" w:rsidRDefault="00B94C90" w:rsidP="00B64331">
            <w:pPr>
              <w:pStyle w:val="Normal-pool-Table"/>
              <w:rPr>
                <w:color w:val="808080" w:themeColor="background1" w:themeShade="80"/>
                <w:szCs w:val="18"/>
              </w:rPr>
            </w:pPr>
            <w:r w:rsidRPr="003F17DD">
              <w:rPr>
                <w:color w:val="000000"/>
              </w:rPr>
              <w:t>Inde</w:t>
            </w:r>
          </w:p>
        </w:tc>
      </w:tr>
      <w:tr w:rsidR="00B94C90" w:rsidRPr="003F17DD" w14:paraId="33133C98" w14:textId="77777777" w:rsidTr="00B64331">
        <w:trPr>
          <w:trHeight w:val="197"/>
          <w:jc w:val="right"/>
        </w:trPr>
        <w:tc>
          <w:tcPr>
            <w:tcW w:w="3024" w:type="dxa"/>
            <w:vAlign w:val="center"/>
          </w:tcPr>
          <w:p w14:paraId="24274CF7" w14:textId="77777777" w:rsidR="00B94C90" w:rsidRPr="003F17DD" w:rsidRDefault="00B94C90" w:rsidP="00B64331">
            <w:pPr>
              <w:pStyle w:val="Normal-pool-Table"/>
              <w:rPr>
                <w:color w:val="808080" w:themeColor="background1" w:themeShade="80"/>
                <w:szCs w:val="18"/>
              </w:rPr>
            </w:pPr>
            <w:r w:rsidRPr="003F17DD">
              <w:rPr>
                <w:color w:val="000000"/>
              </w:rPr>
              <w:t>Tao Ren</w:t>
            </w:r>
          </w:p>
        </w:tc>
        <w:tc>
          <w:tcPr>
            <w:tcW w:w="2488" w:type="dxa"/>
            <w:tcBorders>
              <w:top w:val="nil"/>
              <w:left w:val="nil"/>
              <w:right w:val="nil"/>
            </w:tcBorders>
          </w:tcPr>
          <w:p w14:paraId="12C06A70"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7AC001D5" w14:textId="77777777" w:rsidR="00B94C90" w:rsidRPr="003F17DD" w:rsidRDefault="00B94C90" w:rsidP="00B64331">
            <w:pPr>
              <w:pStyle w:val="Normal-pool-Table"/>
              <w:rPr>
                <w:color w:val="808080" w:themeColor="background1" w:themeShade="80"/>
                <w:szCs w:val="18"/>
              </w:rPr>
            </w:pPr>
            <w:r w:rsidRPr="003F17DD">
              <w:rPr>
                <w:color w:val="000000"/>
              </w:rPr>
              <w:t>Chine</w:t>
            </w:r>
          </w:p>
        </w:tc>
      </w:tr>
      <w:tr w:rsidR="00B94C90" w:rsidRPr="003F17DD" w14:paraId="492C3881" w14:textId="77777777" w:rsidTr="00B64331">
        <w:trPr>
          <w:trHeight w:val="197"/>
          <w:jc w:val="right"/>
        </w:trPr>
        <w:tc>
          <w:tcPr>
            <w:tcW w:w="3024" w:type="dxa"/>
            <w:vAlign w:val="center"/>
          </w:tcPr>
          <w:p w14:paraId="04086292" w14:textId="77777777" w:rsidR="00B94C90" w:rsidRPr="003F17DD" w:rsidRDefault="00B94C90" w:rsidP="00B64331">
            <w:pPr>
              <w:pStyle w:val="Normal-pool-Table"/>
              <w:rPr>
                <w:color w:val="808080" w:themeColor="background1" w:themeShade="80"/>
                <w:szCs w:val="18"/>
              </w:rPr>
            </w:pPr>
            <w:r w:rsidRPr="003F17DD">
              <w:rPr>
                <w:color w:val="000000"/>
              </w:rPr>
              <w:t>Giorgio Rusignuolo</w:t>
            </w:r>
          </w:p>
        </w:tc>
        <w:tc>
          <w:tcPr>
            <w:tcW w:w="2488" w:type="dxa"/>
            <w:tcBorders>
              <w:top w:val="nil"/>
              <w:left w:val="nil"/>
              <w:right w:val="nil"/>
            </w:tcBorders>
          </w:tcPr>
          <w:p w14:paraId="50BA3C3A"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13A557F6" w14:textId="77F55F0C"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2A362F67" w14:textId="77777777" w:rsidTr="00B64331">
        <w:trPr>
          <w:trHeight w:val="197"/>
          <w:jc w:val="right"/>
        </w:trPr>
        <w:tc>
          <w:tcPr>
            <w:tcW w:w="3024" w:type="dxa"/>
            <w:vAlign w:val="center"/>
          </w:tcPr>
          <w:p w14:paraId="40809949" w14:textId="77777777" w:rsidR="00B94C90" w:rsidRPr="003F17DD" w:rsidRDefault="00B94C90" w:rsidP="00B64331">
            <w:pPr>
              <w:pStyle w:val="Normal-pool-Table"/>
              <w:rPr>
                <w:color w:val="808080" w:themeColor="background1" w:themeShade="80"/>
                <w:szCs w:val="18"/>
              </w:rPr>
            </w:pPr>
            <w:r w:rsidRPr="003F17DD">
              <w:rPr>
                <w:color w:val="000000"/>
              </w:rPr>
              <w:t>Madi Sakande</w:t>
            </w:r>
          </w:p>
        </w:tc>
        <w:tc>
          <w:tcPr>
            <w:tcW w:w="2488" w:type="dxa"/>
            <w:tcBorders>
              <w:top w:val="nil"/>
              <w:left w:val="nil"/>
              <w:right w:val="nil"/>
            </w:tcBorders>
          </w:tcPr>
          <w:p w14:paraId="208558FE"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36B3C916" w14:textId="77777777" w:rsidR="00B94C90" w:rsidRPr="003F17DD" w:rsidRDefault="00B94C90" w:rsidP="00B64331">
            <w:pPr>
              <w:pStyle w:val="Normal-pool-Table"/>
              <w:rPr>
                <w:color w:val="808080" w:themeColor="background1" w:themeShade="80"/>
                <w:szCs w:val="18"/>
              </w:rPr>
            </w:pPr>
            <w:r w:rsidRPr="003F17DD">
              <w:rPr>
                <w:color w:val="000000"/>
              </w:rPr>
              <w:t>Burkina Faso</w:t>
            </w:r>
          </w:p>
        </w:tc>
      </w:tr>
      <w:tr w:rsidR="00B94C90" w:rsidRPr="003F17DD" w14:paraId="333C4B1A" w14:textId="77777777" w:rsidTr="00B64331">
        <w:trPr>
          <w:trHeight w:val="197"/>
          <w:jc w:val="right"/>
        </w:trPr>
        <w:tc>
          <w:tcPr>
            <w:tcW w:w="3024" w:type="dxa"/>
            <w:vAlign w:val="center"/>
          </w:tcPr>
          <w:p w14:paraId="7BC55729" w14:textId="77777777" w:rsidR="00B94C90" w:rsidRPr="003F17DD" w:rsidRDefault="00B94C90" w:rsidP="00B64331">
            <w:pPr>
              <w:pStyle w:val="Normal-pool-Table"/>
              <w:rPr>
                <w:color w:val="808080" w:themeColor="background1" w:themeShade="80"/>
                <w:szCs w:val="18"/>
              </w:rPr>
            </w:pPr>
            <w:r w:rsidRPr="003F17DD">
              <w:rPr>
                <w:color w:val="000000"/>
              </w:rPr>
              <w:t>Leyla Sayin</w:t>
            </w:r>
          </w:p>
        </w:tc>
        <w:tc>
          <w:tcPr>
            <w:tcW w:w="2488" w:type="dxa"/>
            <w:tcBorders>
              <w:top w:val="nil"/>
              <w:left w:val="nil"/>
              <w:right w:val="nil"/>
            </w:tcBorders>
          </w:tcPr>
          <w:p w14:paraId="5CADAA71"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D709622" w14:textId="77777777" w:rsidR="00B94C90" w:rsidRPr="003F17DD" w:rsidRDefault="00B94C90" w:rsidP="00B64331">
            <w:pPr>
              <w:pStyle w:val="Normal-pool-Table"/>
              <w:rPr>
                <w:color w:val="808080" w:themeColor="background1" w:themeShade="80"/>
                <w:szCs w:val="18"/>
              </w:rPr>
            </w:pPr>
            <w:r w:rsidRPr="003F17DD">
              <w:rPr>
                <w:color w:val="000000"/>
              </w:rPr>
              <w:t>Türkiye</w:t>
            </w:r>
          </w:p>
        </w:tc>
      </w:tr>
      <w:tr w:rsidR="00B94C90" w:rsidRPr="003F17DD" w14:paraId="2B6F2E0D" w14:textId="77777777" w:rsidTr="00B64331">
        <w:trPr>
          <w:trHeight w:val="197"/>
          <w:jc w:val="right"/>
        </w:trPr>
        <w:tc>
          <w:tcPr>
            <w:tcW w:w="3024" w:type="dxa"/>
            <w:vAlign w:val="center"/>
          </w:tcPr>
          <w:p w14:paraId="2B19F97E" w14:textId="77777777" w:rsidR="00B94C90" w:rsidRPr="003F17DD" w:rsidRDefault="00B94C90" w:rsidP="00B64331">
            <w:pPr>
              <w:pStyle w:val="Normal-pool-Table"/>
              <w:rPr>
                <w:color w:val="808080" w:themeColor="background1" w:themeShade="80"/>
                <w:szCs w:val="18"/>
              </w:rPr>
            </w:pPr>
            <w:r w:rsidRPr="003F17DD">
              <w:rPr>
                <w:color w:val="000000"/>
              </w:rPr>
              <w:t>Andrea Voigt</w:t>
            </w:r>
          </w:p>
        </w:tc>
        <w:tc>
          <w:tcPr>
            <w:tcW w:w="2488" w:type="dxa"/>
            <w:tcBorders>
              <w:top w:val="nil"/>
              <w:left w:val="nil"/>
              <w:right w:val="nil"/>
            </w:tcBorders>
          </w:tcPr>
          <w:p w14:paraId="1E851078"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71D5A02F" w14:textId="77777777" w:rsidR="00B94C90" w:rsidRPr="003F17DD" w:rsidRDefault="00B94C90" w:rsidP="00B64331">
            <w:pPr>
              <w:pStyle w:val="Normal-pool-Table"/>
              <w:rPr>
                <w:color w:val="808080" w:themeColor="background1" w:themeShade="80"/>
                <w:szCs w:val="18"/>
              </w:rPr>
            </w:pPr>
            <w:r w:rsidRPr="003F17DD">
              <w:rPr>
                <w:color w:val="000000"/>
              </w:rPr>
              <w:t>Allemagne</w:t>
            </w:r>
          </w:p>
        </w:tc>
      </w:tr>
      <w:tr w:rsidR="00B94C90" w:rsidRPr="003F17DD" w14:paraId="7A1F5550" w14:textId="77777777" w:rsidTr="00B64331">
        <w:trPr>
          <w:trHeight w:val="197"/>
          <w:jc w:val="right"/>
        </w:trPr>
        <w:tc>
          <w:tcPr>
            <w:tcW w:w="3024" w:type="dxa"/>
            <w:vAlign w:val="center"/>
          </w:tcPr>
          <w:p w14:paraId="63466FAE" w14:textId="77777777" w:rsidR="00B94C90" w:rsidRPr="003F17DD" w:rsidRDefault="00B94C90" w:rsidP="00B64331">
            <w:pPr>
              <w:pStyle w:val="Normal-pool-Table"/>
              <w:rPr>
                <w:color w:val="808080" w:themeColor="background1" w:themeShade="80"/>
                <w:szCs w:val="18"/>
              </w:rPr>
            </w:pPr>
            <w:r w:rsidRPr="003F17DD">
              <w:rPr>
                <w:color w:val="000000"/>
                <w:szCs w:val="18"/>
              </w:rPr>
              <w:t>Asbjørn L. Vonsild</w:t>
            </w:r>
          </w:p>
        </w:tc>
        <w:tc>
          <w:tcPr>
            <w:tcW w:w="2488" w:type="dxa"/>
            <w:tcBorders>
              <w:top w:val="nil"/>
              <w:left w:val="nil"/>
              <w:right w:val="nil"/>
            </w:tcBorders>
          </w:tcPr>
          <w:p w14:paraId="20374094"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02B5237E" w14:textId="77777777" w:rsidR="00B94C90" w:rsidRPr="003F17DD" w:rsidRDefault="00B94C90" w:rsidP="00B64331">
            <w:pPr>
              <w:pStyle w:val="Normal-pool-Table"/>
              <w:rPr>
                <w:color w:val="808080" w:themeColor="background1" w:themeShade="80"/>
                <w:szCs w:val="18"/>
              </w:rPr>
            </w:pPr>
            <w:r w:rsidRPr="003F17DD">
              <w:rPr>
                <w:color w:val="000000"/>
              </w:rPr>
              <w:t>Danemark</w:t>
            </w:r>
          </w:p>
        </w:tc>
      </w:tr>
      <w:tr w:rsidR="00B94C90" w:rsidRPr="003F17DD" w14:paraId="74061707" w14:textId="77777777" w:rsidTr="00B64331">
        <w:trPr>
          <w:trHeight w:val="197"/>
          <w:jc w:val="right"/>
        </w:trPr>
        <w:tc>
          <w:tcPr>
            <w:tcW w:w="3024" w:type="dxa"/>
            <w:vAlign w:val="center"/>
          </w:tcPr>
          <w:p w14:paraId="1F18D547" w14:textId="77777777" w:rsidR="00B94C90" w:rsidRPr="003F17DD" w:rsidRDefault="00B94C90" w:rsidP="00B64331">
            <w:pPr>
              <w:pStyle w:val="Normal-pool-Table"/>
              <w:rPr>
                <w:color w:val="808080" w:themeColor="background1" w:themeShade="80"/>
                <w:szCs w:val="18"/>
              </w:rPr>
            </w:pPr>
            <w:r w:rsidRPr="003F17DD">
              <w:rPr>
                <w:color w:val="000000"/>
              </w:rPr>
              <w:t xml:space="preserve">Christian M. Wisniewski </w:t>
            </w:r>
          </w:p>
        </w:tc>
        <w:tc>
          <w:tcPr>
            <w:tcW w:w="2488" w:type="dxa"/>
            <w:tcBorders>
              <w:top w:val="nil"/>
              <w:left w:val="nil"/>
              <w:right w:val="nil"/>
            </w:tcBorders>
          </w:tcPr>
          <w:p w14:paraId="16BACEE6"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vAlign w:val="center"/>
          </w:tcPr>
          <w:p w14:paraId="17A019AF" w14:textId="578FB056" w:rsidR="00B94C90" w:rsidRPr="003F17DD" w:rsidRDefault="00B94C90" w:rsidP="00B64331">
            <w:pPr>
              <w:pStyle w:val="Normal-pool-Table"/>
              <w:rPr>
                <w:color w:val="808080" w:themeColor="background1" w:themeShade="80"/>
                <w:szCs w:val="18"/>
              </w:rPr>
            </w:pPr>
            <w:r w:rsidRPr="003F17DD">
              <w:rPr>
                <w:color w:val="000000"/>
              </w:rPr>
              <w:t>États-Unis d</w:t>
            </w:r>
            <w:r w:rsidR="007175B8">
              <w:rPr>
                <w:color w:val="000000"/>
              </w:rPr>
              <w:t>’</w:t>
            </w:r>
            <w:r w:rsidRPr="003F17DD">
              <w:rPr>
                <w:color w:val="000000"/>
              </w:rPr>
              <w:t>Amérique</w:t>
            </w:r>
          </w:p>
        </w:tc>
      </w:tr>
      <w:tr w:rsidR="00B94C90" w:rsidRPr="003F17DD" w14:paraId="041AC5A2" w14:textId="77777777" w:rsidTr="00B64331">
        <w:trPr>
          <w:trHeight w:val="57"/>
          <w:jc w:val="right"/>
        </w:trPr>
        <w:tc>
          <w:tcPr>
            <w:tcW w:w="3024" w:type="dxa"/>
            <w:tcBorders>
              <w:top w:val="nil"/>
              <w:left w:val="nil"/>
              <w:bottom w:val="single" w:sz="12" w:space="0" w:color="auto"/>
              <w:right w:val="nil"/>
            </w:tcBorders>
          </w:tcPr>
          <w:p w14:paraId="28AE5A2F" w14:textId="77777777" w:rsidR="00B94C90" w:rsidRPr="003F17DD" w:rsidRDefault="00B94C90" w:rsidP="00B64331">
            <w:pPr>
              <w:pStyle w:val="Normal-pool-Table"/>
              <w:rPr>
                <w:color w:val="808080" w:themeColor="background1" w:themeShade="80"/>
                <w:szCs w:val="18"/>
              </w:rPr>
            </w:pPr>
            <w:r w:rsidRPr="003F17DD">
              <w:rPr>
                <w:color w:val="000000"/>
              </w:rPr>
              <w:t>Samuel Yana Motta</w:t>
            </w:r>
          </w:p>
        </w:tc>
        <w:tc>
          <w:tcPr>
            <w:tcW w:w="2488" w:type="dxa"/>
            <w:tcBorders>
              <w:top w:val="nil"/>
              <w:left w:val="nil"/>
              <w:bottom w:val="single" w:sz="12" w:space="0" w:color="auto"/>
              <w:right w:val="nil"/>
            </w:tcBorders>
          </w:tcPr>
          <w:p w14:paraId="43C69377" w14:textId="77777777" w:rsidR="00B94C90" w:rsidRPr="003F17DD" w:rsidRDefault="00B94C90" w:rsidP="00B64331">
            <w:pPr>
              <w:pStyle w:val="Normal-pool-Table"/>
              <w:rPr>
                <w:color w:val="808080" w:themeColor="background1" w:themeShade="80"/>
                <w:szCs w:val="18"/>
              </w:rPr>
            </w:pPr>
            <w:r w:rsidRPr="003F17DD">
              <w:rPr>
                <w:color w:val="000000"/>
              </w:rPr>
              <w:t>Membre du RTOC</w:t>
            </w:r>
          </w:p>
        </w:tc>
        <w:tc>
          <w:tcPr>
            <w:tcW w:w="2795" w:type="dxa"/>
            <w:tcBorders>
              <w:top w:val="nil"/>
              <w:left w:val="nil"/>
              <w:bottom w:val="single" w:sz="12" w:space="0" w:color="auto"/>
              <w:right w:val="nil"/>
            </w:tcBorders>
          </w:tcPr>
          <w:p w14:paraId="341426A1" w14:textId="77777777" w:rsidR="00B94C90" w:rsidRPr="003F17DD" w:rsidRDefault="00B94C90" w:rsidP="00B64331">
            <w:pPr>
              <w:pStyle w:val="Normal-pool-Table"/>
              <w:rPr>
                <w:color w:val="808080" w:themeColor="background1" w:themeShade="80"/>
                <w:szCs w:val="18"/>
              </w:rPr>
            </w:pPr>
            <w:r w:rsidRPr="003F17DD">
              <w:rPr>
                <w:color w:val="000000"/>
              </w:rPr>
              <w:t>Pérou</w:t>
            </w:r>
          </w:p>
        </w:tc>
      </w:tr>
    </w:tbl>
    <w:p w14:paraId="121C94D9" w14:textId="3EE847E1" w:rsidR="00B94C90" w:rsidRPr="00ED511F" w:rsidRDefault="00B94C90" w:rsidP="00B94C90">
      <w:pPr>
        <w:pStyle w:val="Normal-pool"/>
        <w:spacing w:before="60" w:after="120"/>
        <w:ind w:left="1247"/>
        <w:rPr>
          <w:iCs/>
          <w:color w:val="000000" w:themeColor="text1"/>
          <w:sz w:val="17"/>
          <w:szCs w:val="17"/>
        </w:rPr>
      </w:pPr>
      <w:r w:rsidRPr="00ED511F">
        <w:rPr>
          <w:sz w:val="17"/>
          <w:szCs w:val="17"/>
        </w:rPr>
        <w:tab/>
      </w:r>
      <w:r w:rsidRPr="00ED511F">
        <w:rPr>
          <w:i/>
          <w:iCs/>
          <w:sz w:val="17"/>
          <w:szCs w:val="17"/>
        </w:rPr>
        <w:t>Abréviations</w:t>
      </w:r>
      <w:r w:rsidR="00DC36AD" w:rsidRPr="00ED511F">
        <w:rPr>
          <w:i/>
          <w:iCs/>
          <w:sz w:val="17"/>
          <w:szCs w:val="17"/>
        </w:rPr>
        <w:t> </w:t>
      </w:r>
      <w:r w:rsidRPr="00ED511F">
        <w:rPr>
          <w:sz w:val="17"/>
          <w:szCs w:val="17"/>
        </w:rPr>
        <w:t>: FTOC = Comité des choix techniques pour les mousses souples et rigides</w:t>
      </w:r>
      <w:r w:rsidR="00095277" w:rsidRPr="00ED511F">
        <w:rPr>
          <w:sz w:val="17"/>
          <w:szCs w:val="17"/>
        </w:rPr>
        <w:t> </w:t>
      </w:r>
      <w:r w:rsidRPr="00ED511F">
        <w:rPr>
          <w:sz w:val="17"/>
          <w:szCs w:val="17"/>
        </w:rPr>
        <w:t>; FSTOC – Comité des choix techniques pour la lutte contre les incendies</w:t>
      </w:r>
      <w:r w:rsidR="00095277" w:rsidRPr="00ED511F">
        <w:rPr>
          <w:sz w:val="17"/>
          <w:szCs w:val="17"/>
        </w:rPr>
        <w:t> </w:t>
      </w:r>
      <w:r w:rsidRPr="00ED511F">
        <w:rPr>
          <w:sz w:val="17"/>
          <w:szCs w:val="17"/>
        </w:rPr>
        <w:t>; MBTOC – Comité des choix techniques pour le bromure de méthyle</w:t>
      </w:r>
      <w:r w:rsidR="00095277" w:rsidRPr="00ED511F">
        <w:rPr>
          <w:sz w:val="17"/>
          <w:szCs w:val="17"/>
        </w:rPr>
        <w:t> </w:t>
      </w:r>
      <w:r w:rsidRPr="00ED511F">
        <w:rPr>
          <w:sz w:val="17"/>
          <w:szCs w:val="17"/>
        </w:rPr>
        <w:t xml:space="preserve">; MCTOC – Comité des choix techniques pour les produits chimiques et médicaux. </w:t>
      </w:r>
    </w:p>
    <w:p w14:paraId="6D86F6C3" w14:textId="77777777" w:rsidR="00B94C90" w:rsidRPr="003F17DD" w:rsidRDefault="00B94C90" w:rsidP="00B94C90">
      <w:pPr>
        <w:pStyle w:val="Normalpool"/>
      </w:pPr>
    </w:p>
    <w:p w14:paraId="6DB57DF0" w14:textId="77777777" w:rsidR="00B94C90" w:rsidRPr="003F17DD" w:rsidRDefault="00B94C90" w:rsidP="00B94C90">
      <w:pPr>
        <w:pStyle w:val="Normal-pool"/>
        <w:spacing w:before="60" w:after="120"/>
        <w:ind w:left="1247"/>
        <w:rPr>
          <w:iCs/>
          <w:color w:val="808080" w:themeColor="background1" w:themeShade="80"/>
          <w:sz w:val="17"/>
          <w:szCs w:val="17"/>
        </w:rPr>
        <w:sectPr w:rsidR="00B94C90" w:rsidRPr="003F17DD" w:rsidSect="003F17DD">
          <w:footnotePr>
            <w:numRestart w:val="eachSect"/>
          </w:footnotePr>
          <w:type w:val="continuous"/>
          <w:pgSz w:w="11907" w:h="16839"/>
          <w:pgMar w:top="907" w:right="992" w:bottom="1418" w:left="1418" w:header="539" w:footer="975" w:gutter="0"/>
          <w:cols w:space="708"/>
          <w:docGrid w:linePitch="360"/>
        </w:sectPr>
      </w:pPr>
    </w:p>
    <w:p w14:paraId="66AD5DFD" w14:textId="019A7504" w:rsidR="00B94C90" w:rsidRPr="003F17DD" w:rsidRDefault="00B94C90" w:rsidP="00B94C90">
      <w:pPr>
        <w:pStyle w:val="ZZAnxheader"/>
      </w:pPr>
      <w:r w:rsidRPr="003F17DD">
        <w:lastRenderedPageBreak/>
        <w:t>Annexe</w:t>
      </w:r>
      <w:r w:rsidR="007C44C6">
        <w:t> </w:t>
      </w:r>
      <w:r w:rsidRPr="003F17DD">
        <w:t>IV</w:t>
      </w:r>
      <w:r w:rsidRPr="003F17DD">
        <w:rPr>
          <w:b w:val="0"/>
          <w:bCs w:val="0"/>
        </w:rPr>
        <w:footnoteReference w:customMarkFollows="1" w:id="21"/>
        <w:t>*</w:t>
      </w:r>
    </w:p>
    <w:p w14:paraId="23FBB237" w14:textId="6D214ECE" w:rsidR="00B94C90" w:rsidRPr="003F17DD" w:rsidRDefault="00B94C90" w:rsidP="00141423">
      <w:pPr>
        <w:pStyle w:val="ZZAnxtitle"/>
        <w:tabs>
          <w:tab w:val="clear" w:pos="1247"/>
        </w:tabs>
        <w:spacing w:before="240"/>
        <w:ind w:left="1168"/>
      </w:pPr>
      <w:r w:rsidRPr="003F17DD">
        <w:t>Tableau des compétences requises par le Groupe de l</w:t>
      </w:r>
      <w:r w:rsidR="007175B8">
        <w:t>’</w:t>
      </w:r>
      <w:r w:rsidRPr="003F17DD">
        <w:t>évaluation technique et économique en mai 2026</w:t>
      </w:r>
    </w:p>
    <w:tbl>
      <w:tblPr>
        <w:tblStyle w:val="ListTable3-Accent5"/>
        <w:tblW w:w="8307" w:type="dxa"/>
        <w:jc w:val="right"/>
        <w:tblBorders>
          <w:top w:val="none" w:sz="0" w:space="0" w:color="auto"/>
          <w:left w:val="none" w:sz="0" w:space="0" w:color="auto"/>
          <w:bottom w:val="none" w:sz="0" w:space="0" w:color="auto"/>
          <w:right w:val="none" w:sz="0" w:space="0" w:color="auto"/>
        </w:tblBorders>
        <w:tblLayout w:type="fixed"/>
        <w:tblLook w:val="06A0" w:firstRow="1" w:lastRow="0" w:firstColumn="1" w:lastColumn="0" w:noHBand="1" w:noVBand="1"/>
      </w:tblPr>
      <w:tblGrid>
        <w:gridCol w:w="1975"/>
        <w:gridCol w:w="3827"/>
        <w:gridCol w:w="2505"/>
      </w:tblGrid>
      <w:tr w:rsidR="00B94C90" w:rsidRPr="003F17DD" w14:paraId="20781BF3" w14:textId="77777777" w:rsidTr="00B64331">
        <w:trPr>
          <w:cnfStyle w:val="100000000000" w:firstRow="1" w:lastRow="0" w:firstColumn="0" w:lastColumn="0" w:oddVBand="0" w:evenVBand="0" w:oddHBand="0" w:evenHBand="0" w:firstRowFirstColumn="0" w:firstRowLastColumn="0" w:lastRowFirstColumn="0" w:lastRowLastColumn="0"/>
          <w:trHeight w:val="56"/>
          <w:jc w:val="right"/>
        </w:trPr>
        <w:tc>
          <w:tcPr>
            <w:cnfStyle w:val="001000000100" w:firstRow="0" w:lastRow="0" w:firstColumn="1" w:lastColumn="0" w:oddVBand="0" w:evenVBand="0" w:oddHBand="0" w:evenHBand="0" w:firstRowFirstColumn="1" w:firstRowLastColumn="0" w:lastRowFirstColumn="0" w:lastRowLastColumn="0"/>
            <w:tcW w:w="1975" w:type="dxa"/>
            <w:tcBorders>
              <w:top w:val="single" w:sz="4" w:space="0" w:color="auto"/>
              <w:bottom w:val="single" w:sz="12" w:space="0" w:color="auto"/>
              <w:right w:val="none" w:sz="0" w:space="0" w:color="auto"/>
            </w:tcBorders>
            <w:shd w:val="clear" w:color="auto" w:fill="auto"/>
            <w:tcMar>
              <w:left w:w="108" w:type="dxa"/>
              <w:right w:w="108" w:type="dxa"/>
            </w:tcMar>
            <w:vAlign w:val="center"/>
          </w:tcPr>
          <w:p w14:paraId="09F0B2C3" w14:textId="77777777" w:rsidR="00B94C90" w:rsidRPr="003F17DD" w:rsidRDefault="00B94C90" w:rsidP="00B64331">
            <w:pPr>
              <w:pStyle w:val="Normal-pool-Table"/>
              <w:rPr>
                <w:color w:val="auto"/>
                <w:szCs w:val="18"/>
              </w:rPr>
            </w:pPr>
            <w:r w:rsidRPr="003F17DD">
              <w:rPr>
                <w:color w:val="000000"/>
              </w:rPr>
              <w:t>Organe</w:t>
            </w:r>
          </w:p>
        </w:tc>
        <w:tc>
          <w:tcPr>
            <w:tcW w:w="3827" w:type="dxa"/>
            <w:tcBorders>
              <w:top w:val="single" w:sz="4" w:space="0" w:color="auto"/>
              <w:bottom w:val="single" w:sz="12" w:space="0" w:color="auto"/>
            </w:tcBorders>
            <w:shd w:val="clear" w:color="auto" w:fill="auto"/>
            <w:tcMar>
              <w:left w:w="108" w:type="dxa"/>
              <w:right w:w="108" w:type="dxa"/>
            </w:tcMar>
            <w:vAlign w:val="center"/>
          </w:tcPr>
          <w:p w14:paraId="7206A0F4" w14:textId="77777777" w:rsidR="00B94C90" w:rsidRPr="003F17DD" w:rsidRDefault="00B94C90" w:rsidP="00B64331">
            <w:pPr>
              <w:pStyle w:val="Normal-pool-Table"/>
              <w:cnfStyle w:val="100000000000" w:firstRow="1" w:lastRow="0" w:firstColumn="0" w:lastColumn="0" w:oddVBand="0" w:evenVBand="0" w:oddHBand="0" w:evenHBand="0" w:firstRowFirstColumn="0" w:firstRowLastColumn="0" w:lastRowFirstColumn="0" w:lastRowLastColumn="0"/>
              <w:rPr>
                <w:color w:val="auto"/>
                <w:szCs w:val="18"/>
              </w:rPr>
            </w:pPr>
            <w:r w:rsidRPr="003F17DD">
              <w:rPr>
                <w:color w:val="000000"/>
              </w:rPr>
              <w:t>Compétences requises</w:t>
            </w:r>
          </w:p>
        </w:tc>
        <w:tc>
          <w:tcPr>
            <w:tcW w:w="2505" w:type="dxa"/>
            <w:tcBorders>
              <w:top w:val="single" w:sz="4" w:space="0" w:color="auto"/>
              <w:bottom w:val="single" w:sz="12" w:space="0" w:color="auto"/>
            </w:tcBorders>
            <w:shd w:val="clear" w:color="auto" w:fill="auto"/>
            <w:tcMar>
              <w:left w:w="108" w:type="dxa"/>
              <w:right w:w="108" w:type="dxa"/>
            </w:tcMar>
            <w:vAlign w:val="center"/>
          </w:tcPr>
          <w:p w14:paraId="0359A0BD" w14:textId="14C65C10" w:rsidR="00B94C90" w:rsidRPr="003F17DD" w:rsidRDefault="00B94C90" w:rsidP="00B64331">
            <w:pPr>
              <w:pStyle w:val="Normal-pool-Table"/>
              <w:cnfStyle w:val="100000000000" w:firstRow="1" w:lastRow="0" w:firstColumn="0" w:lastColumn="0" w:oddVBand="0" w:evenVBand="0" w:oddHBand="0" w:evenHBand="0" w:firstRowFirstColumn="0" w:firstRowLastColumn="0" w:lastRowFirstColumn="0" w:lastRowLastColumn="0"/>
              <w:rPr>
                <w:color w:val="auto"/>
                <w:szCs w:val="18"/>
              </w:rPr>
            </w:pPr>
            <w:r w:rsidRPr="003F17DD">
              <w:rPr>
                <w:color w:val="000000"/>
              </w:rPr>
              <w:t>Pays visés/non visés à</w:t>
            </w:r>
            <w:r w:rsidR="006C562E">
              <w:rPr>
                <w:color w:val="000000"/>
              </w:rPr>
              <w:t> </w:t>
            </w:r>
            <w:r w:rsidRPr="003F17DD">
              <w:rPr>
                <w:color w:val="000000"/>
              </w:rPr>
              <w:t>l</w:t>
            </w:r>
            <w:r w:rsidR="007175B8">
              <w:rPr>
                <w:color w:val="000000"/>
              </w:rPr>
              <w:t>’</w:t>
            </w:r>
            <w:r w:rsidRPr="003F17DD">
              <w:rPr>
                <w:color w:val="000000"/>
              </w:rPr>
              <w:t>article</w:t>
            </w:r>
            <w:r w:rsidR="007C44C6">
              <w:rPr>
                <w:color w:val="000000"/>
              </w:rPr>
              <w:t> </w:t>
            </w:r>
            <w:r w:rsidRPr="003F17DD">
              <w:rPr>
                <w:color w:val="000000"/>
              </w:rPr>
              <w:t>5</w:t>
            </w:r>
          </w:p>
        </w:tc>
      </w:tr>
      <w:tr w:rsidR="00B94C90" w:rsidRPr="003F17DD" w14:paraId="12311C17" w14:textId="77777777" w:rsidTr="00B64331">
        <w:trPr>
          <w:trHeight w:val="208"/>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12" w:space="0" w:color="auto"/>
              <w:right w:val="none" w:sz="0" w:space="0" w:color="auto"/>
            </w:tcBorders>
            <w:tcMar>
              <w:left w:w="108" w:type="dxa"/>
              <w:right w:w="108" w:type="dxa"/>
            </w:tcMar>
            <w:vAlign w:val="center"/>
          </w:tcPr>
          <w:p w14:paraId="3AD4EFFA" w14:textId="2F44FF98" w:rsidR="00B94C90" w:rsidRPr="003F17DD" w:rsidRDefault="00B94C90" w:rsidP="00B64331">
            <w:pPr>
              <w:pStyle w:val="Normal-pool-Table"/>
              <w:rPr>
                <w:szCs w:val="18"/>
              </w:rPr>
            </w:pPr>
            <w:r w:rsidRPr="003F17DD">
              <w:rPr>
                <w:color w:val="000000"/>
              </w:rPr>
              <w:t>Comité des choix techniques pour la</w:t>
            </w:r>
            <w:r w:rsidR="00F9331B">
              <w:rPr>
                <w:color w:val="000000"/>
              </w:rPr>
              <w:t> </w:t>
            </w:r>
            <w:r w:rsidRPr="003F17DD">
              <w:rPr>
                <w:color w:val="000000"/>
              </w:rPr>
              <w:t>lutte contre les</w:t>
            </w:r>
            <w:r w:rsidR="00F9331B">
              <w:rPr>
                <w:color w:val="000000"/>
              </w:rPr>
              <w:t> </w:t>
            </w:r>
            <w:r w:rsidRPr="003F17DD">
              <w:rPr>
                <w:color w:val="000000"/>
              </w:rPr>
              <w:t>incendies</w:t>
            </w:r>
          </w:p>
        </w:tc>
        <w:tc>
          <w:tcPr>
            <w:tcW w:w="3827" w:type="dxa"/>
            <w:tcBorders>
              <w:top w:val="single" w:sz="12" w:space="0" w:color="auto"/>
            </w:tcBorders>
            <w:tcMar>
              <w:left w:w="108" w:type="dxa"/>
              <w:right w:w="108" w:type="dxa"/>
            </w:tcMar>
          </w:tcPr>
          <w:p w14:paraId="1607143A"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Utilisation des HFC et de leurs solutions de remplacement</w:t>
            </w:r>
          </w:p>
        </w:tc>
        <w:tc>
          <w:tcPr>
            <w:tcW w:w="2505" w:type="dxa"/>
            <w:tcBorders>
              <w:top w:val="single" w:sz="12" w:space="0" w:color="auto"/>
            </w:tcBorders>
            <w:tcMar>
              <w:left w:w="108" w:type="dxa"/>
              <w:right w:w="108" w:type="dxa"/>
            </w:tcMar>
          </w:tcPr>
          <w:p w14:paraId="289FB6B6"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Amérique centrale et/ou du Sud, Moyen-Orient et Afrique australe (2)</w:t>
            </w:r>
          </w:p>
        </w:tc>
      </w:tr>
      <w:tr w:rsidR="00B94C90" w:rsidRPr="003F17DD" w14:paraId="47993F65" w14:textId="77777777" w:rsidTr="00B64331">
        <w:trPr>
          <w:trHeight w:val="5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010F6C23" w14:textId="77777777" w:rsidR="00B94C90" w:rsidRPr="003F17DD" w:rsidRDefault="00B94C90" w:rsidP="00B64331">
            <w:pPr>
              <w:pStyle w:val="Normal-pool-Table"/>
              <w:rPr>
                <w:szCs w:val="18"/>
              </w:rPr>
            </w:pPr>
          </w:p>
        </w:tc>
        <w:tc>
          <w:tcPr>
            <w:tcW w:w="3827" w:type="dxa"/>
            <w:tcMar>
              <w:left w:w="108" w:type="dxa"/>
              <w:right w:w="108" w:type="dxa"/>
            </w:tcMar>
          </w:tcPr>
          <w:p w14:paraId="47B41CA8"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Utilisation des halons et de leurs solutions de remplacement dans la marine marchande et récupération de ceux-ci à la démolition des navires </w:t>
            </w:r>
          </w:p>
        </w:tc>
        <w:tc>
          <w:tcPr>
            <w:tcW w:w="2505" w:type="dxa"/>
            <w:tcMar>
              <w:left w:w="108" w:type="dxa"/>
              <w:right w:w="108" w:type="dxa"/>
            </w:tcMar>
          </w:tcPr>
          <w:p w14:paraId="63BC3DBC"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Pakistan</w:t>
            </w:r>
          </w:p>
        </w:tc>
      </w:tr>
      <w:tr w:rsidR="00B94C90" w:rsidRPr="003F17DD" w14:paraId="12916E6C" w14:textId="77777777" w:rsidTr="00B64331">
        <w:trPr>
          <w:trHeight w:val="244"/>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5D21E752" w14:textId="77777777" w:rsidR="00B94C90" w:rsidRPr="003F17DD" w:rsidRDefault="00B94C90" w:rsidP="00B64331">
            <w:pPr>
              <w:pStyle w:val="Normal-pool-Table"/>
              <w:rPr>
                <w:szCs w:val="18"/>
              </w:rPr>
            </w:pPr>
          </w:p>
        </w:tc>
        <w:tc>
          <w:tcPr>
            <w:tcW w:w="3827" w:type="dxa"/>
            <w:tcMar>
              <w:left w:w="108" w:type="dxa"/>
              <w:right w:w="108" w:type="dxa"/>
            </w:tcMar>
          </w:tcPr>
          <w:p w14:paraId="78B428A0"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Centrales nucléaires </w:t>
            </w:r>
          </w:p>
        </w:tc>
        <w:tc>
          <w:tcPr>
            <w:tcW w:w="2505" w:type="dxa"/>
            <w:tcMar>
              <w:left w:w="108" w:type="dxa"/>
              <w:right w:w="108" w:type="dxa"/>
            </w:tcMar>
          </w:tcPr>
          <w:p w14:paraId="32877B49" w14:textId="05416591"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visés et non visés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02B472CF" w14:textId="77777777" w:rsidTr="00B64331">
        <w:trPr>
          <w:trHeight w:val="221"/>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7045E2F9" w14:textId="77777777" w:rsidR="00B94C90" w:rsidRPr="003F17DD" w:rsidRDefault="00B94C90" w:rsidP="00B64331">
            <w:pPr>
              <w:pStyle w:val="Normal-pool-Table"/>
              <w:rPr>
                <w:szCs w:val="18"/>
              </w:rPr>
            </w:pPr>
          </w:p>
        </w:tc>
        <w:tc>
          <w:tcPr>
            <w:tcW w:w="3827" w:type="dxa"/>
            <w:tcMar>
              <w:left w:w="108" w:type="dxa"/>
              <w:right w:w="108" w:type="dxa"/>
            </w:tcMar>
          </w:tcPr>
          <w:p w14:paraId="44215E12"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Aviation civile (en particulier entretien, réparation et remise en état) </w:t>
            </w:r>
          </w:p>
        </w:tc>
        <w:tc>
          <w:tcPr>
            <w:tcW w:w="2505" w:type="dxa"/>
            <w:tcMar>
              <w:left w:w="108" w:type="dxa"/>
              <w:right w:w="108" w:type="dxa"/>
            </w:tcMar>
          </w:tcPr>
          <w:p w14:paraId="4F22BCDE" w14:textId="38E218DC"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visés et non visés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15C76402" w14:textId="77777777" w:rsidTr="00B64331">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5FA520BA" w14:textId="77777777" w:rsidR="00B94C90" w:rsidRPr="003F17DD" w:rsidRDefault="00B94C90" w:rsidP="00B64331">
            <w:pPr>
              <w:pStyle w:val="Normal-pool-Table"/>
              <w:rPr>
                <w:szCs w:val="18"/>
              </w:rPr>
            </w:pPr>
          </w:p>
        </w:tc>
        <w:tc>
          <w:tcPr>
            <w:tcW w:w="3827" w:type="dxa"/>
            <w:tcMar>
              <w:left w:w="108" w:type="dxa"/>
              <w:right w:w="108" w:type="dxa"/>
            </w:tcMar>
          </w:tcPr>
          <w:p w14:paraId="5CE55BE2"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Recyclage des halons et des HFC </w:t>
            </w:r>
          </w:p>
        </w:tc>
        <w:tc>
          <w:tcPr>
            <w:tcW w:w="2505" w:type="dxa"/>
            <w:tcMar>
              <w:left w:w="108" w:type="dxa"/>
              <w:right w:w="108" w:type="dxa"/>
            </w:tcMar>
          </w:tcPr>
          <w:p w14:paraId="6602D58D" w14:textId="713BDDCC"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visés à l</w:t>
            </w:r>
            <w:r w:rsidR="007175B8">
              <w:rPr>
                <w:color w:val="000000"/>
              </w:rPr>
              <w:t>’</w:t>
            </w:r>
            <w:r w:rsidRPr="003F17DD">
              <w:rPr>
                <w:color w:val="000000"/>
              </w:rPr>
              <w:t>article 5</w:t>
            </w:r>
          </w:p>
        </w:tc>
      </w:tr>
      <w:tr w:rsidR="00B94C90" w:rsidRPr="003F17DD" w14:paraId="66BA14DF" w14:textId="77777777" w:rsidTr="00B64331">
        <w:trPr>
          <w:trHeight w:val="159"/>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vAlign w:val="center"/>
          </w:tcPr>
          <w:p w14:paraId="1D5455C7" w14:textId="77777777" w:rsidR="00B94C90" w:rsidRPr="003F17DD" w:rsidRDefault="00B94C90" w:rsidP="00B64331">
            <w:pPr>
              <w:pStyle w:val="Normal-pool-Table"/>
              <w:rPr>
                <w:szCs w:val="18"/>
              </w:rPr>
            </w:pPr>
          </w:p>
        </w:tc>
        <w:tc>
          <w:tcPr>
            <w:tcW w:w="3827" w:type="dxa"/>
            <w:tcMar>
              <w:left w:w="108" w:type="dxa"/>
              <w:right w:w="108" w:type="dxa"/>
            </w:tcMar>
          </w:tcPr>
          <w:p w14:paraId="476B7DD9"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Utilisation </w:t>
            </w:r>
            <w:proofErr w:type="gramStart"/>
            <w:r w:rsidRPr="003F17DD">
              <w:rPr>
                <w:color w:val="000000"/>
              </w:rPr>
              <w:t>de halon</w:t>
            </w:r>
            <w:proofErr w:type="gramEnd"/>
            <w:r w:rsidRPr="003F17DD">
              <w:rPr>
                <w:color w:val="000000"/>
              </w:rPr>
              <w:t xml:space="preserve"> 1301 comme produit intermédiaire et émissions </w:t>
            </w:r>
            <w:proofErr w:type="gramStart"/>
            <w:r w:rsidRPr="003F17DD">
              <w:rPr>
                <w:color w:val="000000"/>
              </w:rPr>
              <w:t>de halon</w:t>
            </w:r>
            <w:proofErr w:type="gramEnd"/>
            <w:r w:rsidRPr="003F17DD">
              <w:rPr>
                <w:color w:val="000000"/>
              </w:rPr>
              <w:t xml:space="preserve"> 1301 </w:t>
            </w:r>
          </w:p>
        </w:tc>
        <w:tc>
          <w:tcPr>
            <w:tcW w:w="2505" w:type="dxa"/>
            <w:tcMar>
              <w:left w:w="108" w:type="dxa"/>
              <w:right w:w="108" w:type="dxa"/>
            </w:tcMar>
          </w:tcPr>
          <w:p w14:paraId="01C7BD69" w14:textId="54E077B4"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visés et non visés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35DEF5F3" w14:textId="77777777" w:rsidTr="00B64331">
        <w:trPr>
          <w:trHeight w:val="1709"/>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0BBFA3E8" w14:textId="77777777" w:rsidR="00B94C90" w:rsidRPr="003F17DD" w:rsidRDefault="00B94C90" w:rsidP="00B64331">
            <w:pPr>
              <w:pStyle w:val="Normal-pool-Table"/>
              <w:rPr>
                <w:szCs w:val="18"/>
              </w:rPr>
            </w:pPr>
            <w:r w:rsidRPr="003F17DD">
              <w:rPr>
                <w:color w:val="000000"/>
              </w:rPr>
              <w:t>Comité des choix techniques pour les mousses souples et rigides</w:t>
            </w:r>
          </w:p>
        </w:tc>
        <w:tc>
          <w:tcPr>
            <w:tcW w:w="3827" w:type="dxa"/>
            <w:tcMar>
              <w:left w:w="108" w:type="dxa"/>
              <w:right w:w="108" w:type="dxa"/>
            </w:tcMar>
          </w:tcPr>
          <w:p w14:paraId="51FFAD2F" w14:textId="77777777" w:rsidR="00B94C90" w:rsidRPr="003F17DD" w:rsidRDefault="00B94C90" w:rsidP="00B64331">
            <w:pPr>
              <w:pStyle w:val="Normal-pool-Table"/>
              <w:spacing w:after="120"/>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Production de polystyrène extrudé (XPS) en Inde et en Chine – pour remplacer les expert(e)s sortant(e)s.</w:t>
            </w:r>
          </w:p>
          <w:p w14:paraId="58A3BCDD" w14:textId="77777777" w:rsidR="00B94C90" w:rsidRPr="003F17DD" w:rsidRDefault="00B94C90" w:rsidP="00B64331">
            <w:pPr>
              <w:pStyle w:val="Normal-pool-Table"/>
              <w:spacing w:before="0" w:after="0"/>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Expert(e)s techniques des fournisseurs de mélanges pour mousses de polyuréthane, </w:t>
            </w:r>
          </w:p>
          <w:p w14:paraId="1C914D7E" w14:textId="4427D8D9" w:rsidR="00B94C90" w:rsidRPr="003F17DD" w:rsidRDefault="00B94C90" w:rsidP="00B64331">
            <w:pPr>
              <w:pStyle w:val="Normal-pool-Table"/>
              <w:spacing w:before="0" w:after="0"/>
              <w:cnfStyle w:val="000000000000" w:firstRow="0" w:lastRow="0" w:firstColumn="0" w:lastColumn="0" w:oddVBand="0" w:evenVBand="0" w:oddHBand="0" w:evenHBand="0" w:firstRowFirstColumn="0" w:firstRowLastColumn="0" w:lastRowFirstColumn="0" w:lastRowLastColumn="0"/>
              <w:rPr>
                <w:szCs w:val="18"/>
              </w:rPr>
            </w:pPr>
            <w:proofErr w:type="gramStart"/>
            <w:r w:rsidRPr="003F17DD">
              <w:rPr>
                <w:color w:val="000000"/>
              </w:rPr>
              <w:t>notamment</w:t>
            </w:r>
            <w:proofErr w:type="gramEnd"/>
            <w:r w:rsidRPr="003F17DD">
              <w:rPr>
                <w:color w:val="000000"/>
              </w:rPr>
              <w:t xml:space="preserve"> venant des Parties telles que les pays d</w:t>
            </w:r>
            <w:r w:rsidR="007175B8">
              <w:rPr>
                <w:color w:val="000000"/>
              </w:rPr>
              <w:t>’</w:t>
            </w:r>
            <w:r w:rsidRPr="003F17DD">
              <w:rPr>
                <w:color w:val="000000"/>
              </w:rPr>
              <w:t xml:space="preserve">Afrique australe, la République de Corée, </w:t>
            </w:r>
          </w:p>
          <w:p w14:paraId="0D56A122" w14:textId="4EA95B63" w:rsidR="00B94C90" w:rsidRPr="003F17DD" w:rsidRDefault="00B94C90" w:rsidP="00B64331">
            <w:pPr>
              <w:pStyle w:val="Normal-pool-Table"/>
              <w:spacing w:before="0" w:after="120"/>
              <w:cnfStyle w:val="000000000000" w:firstRow="0" w:lastRow="0" w:firstColumn="0" w:lastColumn="0" w:oddVBand="0" w:evenVBand="0" w:oddHBand="0" w:evenHBand="0" w:firstRowFirstColumn="0" w:firstRowLastColumn="0" w:lastRowFirstColumn="0" w:lastRowLastColumn="0"/>
              <w:rPr>
                <w:szCs w:val="18"/>
              </w:rPr>
            </w:pPr>
            <w:proofErr w:type="gramStart"/>
            <w:r w:rsidRPr="003F17DD">
              <w:rPr>
                <w:color w:val="000000"/>
              </w:rPr>
              <w:t>les</w:t>
            </w:r>
            <w:proofErr w:type="gramEnd"/>
            <w:r w:rsidRPr="003F17DD">
              <w:rPr>
                <w:color w:val="000000"/>
              </w:rPr>
              <w:t xml:space="preserve"> pays du Moyen-Orient et les pays d</w:t>
            </w:r>
            <w:r w:rsidR="007175B8">
              <w:rPr>
                <w:color w:val="000000"/>
              </w:rPr>
              <w:t>’</w:t>
            </w:r>
            <w:r w:rsidRPr="003F17DD">
              <w:rPr>
                <w:color w:val="000000"/>
              </w:rPr>
              <w:t xml:space="preserve">Amérique latine, en particulier les expert(e)s au sein des petites et moyennes entreprises. </w:t>
            </w:r>
          </w:p>
          <w:p w14:paraId="4F705E55"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Chimie des agents gonflants et des interactions avec les mousses </w:t>
            </w:r>
          </w:p>
        </w:tc>
        <w:tc>
          <w:tcPr>
            <w:tcW w:w="2505" w:type="dxa"/>
            <w:tcMar>
              <w:left w:w="108" w:type="dxa"/>
              <w:right w:w="108" w:type="dxa"/>
            </w:tcMar>
          </w:tcPr>
          <w:p w14:paraId="24DFB993" w14:textId="425D0EAE"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Parties visées ou non visées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6B5DD15A" w14:textId="77777777" w:rsidTr="00B64331">
        <w:trPr>
          <w:trHeight w:val="708"/>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tcMar>
              <w:left w:w="108" w:type="dxa"/>
              <w:right w:w="108" w:type="dxa"/>
            </w:tcMar>
          </w:tcPr>
          <w:p w14:paraId="458E31EF" w14:textId="77777777" w:rsidR="00B94C90" w:rsidRPr="003F17DD" w:rsidRDefault="00B94C90" w:rsidP="00B64331">
            <w:pPr>
              <w:pStyle w:val="Normal-pool-Table"/>
              <w:rPr>
                <w:szCs w:val="18"/>
              </w:rPr>
            </w:pPr>
            <w:r w:rsidRPr="003F17DD">
              <w:rPr>
                <w:color w:val="000000"/>
              </w:rPr>
              <w:t>Comité des choix techniques pour le bromure de méthyle</w:t>
            </w:r>
          </w:p>
        </w:tc>
        <w:tc>
          <w:tcPr>
            <w:tcW w:w="3827" w:type="dxa"/>
            <w:tcMar>
              <w:left w:w="108" w:type="dxa"/>
              <w:right w:w="108" w:type="dxa"/>
            </w:tcMar>
          </w:tcPr>
          <w:p w14:paraId="7B1E82AD" w14:textId="26DF1BE0"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Des membres spécialisés dans les solutions de remplacement du bromure de méthyle utilisées pour lutter efficacement contre les organismes de quarantaine qui affectent les importations et les exportations de produits agricoles à l</w:t>
            </w:r>
            <w:r w:rsidR="007175B8">
              <w:rPr>
                <w:color w:val="000000"/>
              </w:rPr>
              <w:t>’</w:t>
            </w:r>
            <w:r w:rsidRPr="003F17DD">
              <w:rPr>
                <w:color w:val="000000"/>
              </w:rPr>
              <w:t>échelle mondiale</w:t>
            </w:r>
          </w:p>
        </w:tc>
        <w:tc>
          <w:tcPr>
            <w:tcW w:w="2505" w:type="dxa"/>
            <w:tcMar>
              <w:left w:w="108" w:type="dxa"/>
              <w:right w:w="108" w:type="dxa"/>
            </w:tcMar>
          </w:tcPr>
          <w:p w14:paraId="5C88136B" w14:textId="7CB8A5B8"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Parties visées ou non visées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49E405EC" w14:textId="77777777" w:rsidTr="00B64331">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val="restart"/>
            <w:tcBorders>
              <w:right w:val="none" w:sz="0" w:space="0" w:color="auto"/>
            </w:tcBorders>
            <w:tcMar>
              <w:left w:w="108" w:type="dxa"/>
              <w:right w:w="108" w:type="dxa"/>
            </w:tcMar>
            <w:vAlign w:val="center"/>
          </w:tcPr>
          <w:p w14:paraId="09354F9A" w14:textId="4835F668" w:rsidR="00B94C90" w:rsidRPr="003F17DD" w:rsidRDefault="00B94C90" w:rsidP="00EF3575">
            <w:pPr>
              <w:pStyle w:val="Normal-pool-Table"/>
              <w:spacing w:before="200"/>
              <w:rPr>
                <w:szCs w:val="18"/>
              </w:rPr>
            </w:pPr>
            <w:r w:rsidRPr="003F17DD">
              <w:rPr>
                <w:color w:val="000000"/>
              </w:rPr>
              <w:t>Comité des choix techniques pour les</w:t>
            </w:r>
            <w:r w:rsidR="00AF2D19">
              <w:rPr>
                <w:color w:val="000000"/>
              </w:rPr>
              <w:t> </w:t>
            </w:r>
            <w:r w:rsidRPr="003F17DD">
              <w:rPr>
                <w:color w:val="000000"/>
              </w:rPr>
              <w:t>produits chimiques et médicaux</w:t>
            </w:r>
          </w:p>
        </w:tc>
        <w:tc>
          <w:tcPr>
            <w:tcW w:w="3827" w:type="dxa"/>
            <w:tcMar>
              <w:left w:w="108" w:type="dxa"/>
              <w:right w:w="108" w:type="dxa"/>
            </w:tcMar>
          </w:tcPr>
          <w:p w14:paraId="5D3B7B9E" w14:textId="46F99D12"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Fabrication d</w:t>
            </w:r>
            <w:r w:rsidR="007175B8">
              <w:rPr>
                <w:color w:val="000000"/>
              </w:rPr>
              <w:t>’</w:t>
            </w:r>
            <w:r w:rsidRPr="003F17DD">
              <w:rPr>
                <w:color w:val="000000"/>
              </w:rPr>
              <w:t>aérosols et de gaz propulseurs pour inhalateurs-doseurs</w:t>
            </w:r>
          </w:p>
        </w:tc>
        <w:tc>
          <w:tcPr>
            <w:tcW w:w="2505" w:type="dxa"/>
            <w:tcMar>
              <w:left w:w="108" w:type="dxa"/>
              <w:right w:w="108" w:type="dxa"/>
            </w:tcMar>
          </w:tcPr>
          <w:p w14:paraId="4E0250D6" w14:textId="6CA4A56A"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Parties visées à l</w:t>
            </w:r>
            <w:r w:rsidR="007175B8">
              <w:rPr>
                <w:color w:val="000000"/>
              </w:rPr>
              <w:t>’</w:t>
            </w:r>
            <w:r w:rsidRPr="003F17DD">
              <w:rPr>
                <w:color w:val="000000"/>
              </w:rPr>
              <w:t>article 5 (Afrique, Chine, Amérique du</w:t>
            </w:r>
            <w:r w:rsidR="00AF2D19">
              <w:rPr>
                <w:color w:val="000000"/>
              </w:rPr>
              <w:t> </w:t>
            </w:r>
            <w:r w:rsidRPr="003F17DD">
              <w:rPr>
                <w:color w:val="000000"/>
              </w:rPr>
              <w:t>Sud), Parties non visées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7581BF43" w14:textId="77777777" w:rsidTr="00B64331">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4BC402F4" w14:textId="77777777" w:rsidR="00B94C90" w:rsidRPr="003F17DD" w:rsidRDefault="00B94C90" w:rsidP="00B64331">
            <w:pPr>
              <w:pStyle w:val="Normal-pool-Table"/>
              <w:rPr>
                <w:szCs w:val="18"/>
              </w:rPr>
            </w:pPr>
          </w:p>
        </w:tc>
        <w:tc>
          <w:tcPr>
            <w:tcW w:w="3827" w:type="dxa"/>
            <w:tcMar>
              <w:left w:w="108" w:type="dxa"/>
              <w:right w:w="108" w:type="dxa"/>
            </w:tcMar>
          </w:tcPr>
          <w:p w14:paraId="39B22AC6"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Fabrication et utilisation mondiales de tétrachlorure de carbone et de substances à très courte durée de vie</w:t>
            </w:r>
          </w:p>
        </w:tc>
        <w:tc>
          <w:tcPr>
            <w:tcW w:w="2505" w:type="dxa"/>
            <w:tcMar>
              <w:left w:w="108" w:type="dxa"/>
              <w:right w:w="108" w:type="dxa"/>
            </w:tcMar>
          </w:tcPr>
          <w:p w14:paraId="031FC97F" w14:textId="52BA7C6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visés ou non visés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36BD27C7" w14:textId="77777777" w:rsidTr="00B64331">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tcMar>
              <w:left w:w="108" w:type="dxa"/>
              <w:right w:w="108" w:type="dxa"/>
            </w:tcMar>
          </w:tcPr>
          <w:p w14:paraId="0D935B0A" w14:textId="77777777" w:rsidR="00B94C90" w:rsidRPr="003F17DD" w:rsidRDefault="00B94C90" w:rsidP="00B64331">
            <w:pPr>
              <w:pStyle w:val="Normal-pool-Table"/>
              <w:rPr>
                <w:szCs w:val="18"/>
              </w:rPr>
            </w:pPr>
          </w:p>
        </w:tc>
        <w:tc>
          <w:tcPr>
            <w:tcW w:w="3827" w:type="dxa"/>
            <w:tcMar>
              <w:left w:w="108" w:type="dxa"/>
              <w:right w:w="108" w:type="dxa"/>
            </w:tcMar>
          </w:tcPr>
          <w:p w14:paraId="6918560A" w14:textId="676CCAE4"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Fabrication de semi-conducteurs et d</w:t>
            </w:r>
            <w:r w:rsidR="007175B8">
              <w:rPr>
                <w:color w:val="000000"/>
              </w:rPr>
              <w:t>’</w:t>
            </w:r>
            <w:r w:rsidRPr="003F17DD">
              <w:rPr>
                <w:color w:val="000000"/>
              </w:rPr>
              <w:t>autres produits électroniques</w:t>
            </w:r>
          </w:p>
        </w:tc>
        <w:tc>
          <w:tcPr>
            <w:tcW w:w="2505" w:type="dxa"/>
            <w:tcMar>
              <w:left w:w="108" w:type="dxa"/>
              <w:right w:w="108" w:type="dxa"/>
            </w:tcMar>
          </w:tcPr>
          <w:p w14:paraId="65A99B71" w14:textId="7D0D1554"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d</w:t>
            </w:r>
            <w:r w:rsidR="007175B8">
              <w:rPr>
                <w:color w:val="000000"/>
              </w:rPr>
              <w:t>’</w:t>
            </w:r>
            <w:r w:rsidRPr="003F17DD">
              <w:rPr>
                <w:color w:val="000000"/>
              </w:rPr>
              <w:t>Asie de l</w:t>
            </w:r>
            <w:r w:rsidR="007175B8">
              <w:rPr>
                <w:color w:val="000000"/>
              </w:rPr>
              <w:t>’</w:t>
            </w:r>
            <w:r w:rsidRPr="003F17DD">
              <w:rPr>
                <w:color w:val="000000"/>
              </w:rPr>
              <w:t>Est et pays non visés à 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3103E611" w14:textId="77777777" w:rsidTr="00B64331">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vMerge/>
            <w:tcBorders>
              <w:right w:val="none" w:sz="0" w:space="0" w:color="auto"/>
            </w:tcBorders>
            <w:vAlign w:val="center"/>
          </w:tcPr>
          <w:p w14:paraId="11ABBC16" w14:textId="77777777" w:rsidR="00B94C90" w:rsidRPr="003F17DD" w:rsidRDefault="00B94C90" w:rsidP="00B64331">
            <w:pPr>
              <w:pStyle w:val="Normal-pool-Table"/>
              <w:rPr>
                <w:szCs w:val="18"/>
              </w:rPr>
            </w:pPr>
          </w:p>
        </w:tc>
        <w:tc>
          <w:tcPr>
            <w:tcW w:w="3827" w:type="dxa"/>
            <w:tcMar>
              <w:left w:w="108" w:type="dxa"/>
              <w:right w:w="108" w:type="dxa"/>
            </w:tcMar>
          </w:tcPr>
          <w:p w14:paraId="045B53B7"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Techniques de gestion en fin de vie et de destruction</w:t>
            </w:r>
          </w:p>
        </w:tc>
        <w:tc>
          <w:tcPr>
            <w:tcW w:w="2505" w:type="dxa"/>
            <w:tcMar>
              <w:left w:w="108" w:type="dxa"/>
              <w:right w:w="108" w:type="dxa"/>
            </w:tcMar>
          </w:tcPr>
          <w:p w14:paraId="3EA73E0A" w14:textId="57435F4C"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Pays visés et non visés à</w:t>
            </w:r>
            <w:r w:rsidR="00F9331B">
              <w:rPr>
                <w:color w:val="000000"/>
              </w:rPr>
              <w:t> </w:t>
            </w:r>
            <w:r w:rsidRPr="003F17DD">
              <w:rPr>
                <w:color w:val="000000"/>
              </w:rPr>
              <w:t>l</w:t>
            </w:r>
            <w:r w:rsidR="007175B8">
              <w:rPr>
                <w:color w:val="000000"/>
              </w:rPr>
              <w:t>’</w:t>
            </w:r>
            <w:r w:rsidRPr="003F17DD">
              <w:rPr>
                <w:color w:val="000000"/>
              </w:rPr>
              <w:t>article</w:t>
            </w:r>
            <w:r w:rsidR="00D51234">
              <w:rPr>
                <w:color w:val="000000"/>
              </w:rPr>
              <w:t> </w:t>
            </w:r>
            <w:r w:rsidRPr="003F17DD">
              <w:rPr>
                <w:color w:val="000000"/>
              </w:rPr>
              <w:t>5</w:t>
            </w:r>
          </w:p>
        </w:tc>
      </w:tr>
      <w:tr w:rsidR="00B94C90" w:rsidRPr="003F17DD" w14:paraId="7E5457D2" w14:textId="77777777" w:rsidTr="00B64331">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right w:val="none" w:sz="0" w:space="0" w:color="auto"/>
            </w:tcBorders>
            <w:vAlign w:val="center"/>
          </w:tcPr>
          <w:p w14:paraId="7D9DEB3F" w14:textId="4FFEA15A" w:rsidR="00B94C90" w:rsidRPr="003F17DD" w:rsidRDefault="00B94C90" w:rsidP="00B64331">
            <w:pPr>
              <w:pStyle w:val="Normal-pool-Table"/>
              <w:rPr>
                <w:szCs w:val="18"/>
              </w:rPr>
            </w:pPr>
            <w:r w:rsidRPr="003F17DD">
              <w:rPr>
                <w:color w:val="000000"/>
              </w:rPr>
              <w:t>Comité des choix techniques pour la</w:t>
            </w:r>
            <w:r w:rsidR="00EF3575">
              <w:rPr>
                <w:color w:val="000000"/>
              </w:rPr>
              <w:t> </w:t>
            </w:r>
            <w:r w:rsidRPr="003F17DD">
              <w:rPr>
                <w:color w:val="000000"/>
              </w:rPr>
              <w:t>réfrigération, la</w:t>
            </w:r>
            <w:r w:rsidR="00EF3575">
              <w:rPr>
                <w:color w:val="000000"/>
              </w:rPr>
              <w:t> </w:t>
            </w:r>
            <w:r w:rsidRPr="003F17DD">
              <w:rPr>
                <w:color w:val="000000"/>
              </w:rPr>
              <w:t>climatisation et les</w:t>
            </w:r>
            <w:r w:rsidR="00EF3575">
              <w:rPr>
                <w:color w:val="000000"/>
              </w:rPr>
              <w:t> </w:t>
            </w:r>
            <w:r w:rsidRPr="003F17DD">
              <w:rPr>
                <w:color w:val="000000"/>
              </w:rPr>
              <w:t>pompes à chaleur</w:t>
            </w:r>
          </w:p>
        </w:tc>
        <w:tc>
          <w:tcPr>
            <w:tcW w:w="3827" w:type="dxa"/>
            <w:tcMar>
              <w:left w:w="108" w:type="dxa"/>
              <w:right w:w="108" w:type="dxa"/>
            </w:tcMar>
          </w:tcPr>
          <w:p w14:paraId="2E56BE42" w14:textId="7890F46E"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Aucune compétence supplémentaire n</w:t>
            </w:r>
            <w:r w:rsidR="007175B8">
              <w:rPr>
                <w:color w:val="000000"/>
              </w:rPr>
              <w:t>’</w:t>
            </w:r>
            <w:r w:rsidRPr="003F17DD">
              <w:rPr>
                <w:color w:val="000000"/>
              </w:rPr>
              <w:t>est requise pour le moment</w:t>
            </w:r>
          </w:p>
        </w:tc>
        <w:tc>
          <w:tcPr>
            <w:tcW w:w="2505" w:type="dxa"/>
            <w:tcMar>
              <w:left w:w="108" w:type="dxa"/>
              <w:right w:w="108" w:type="dxa"/>
            </w:tcMar>
          </w:tcPr>
          <w:p w14:paraId="50CDB2E2" w14:textId="77777777" w:rsidR="00B94C90" w:rsidRPr="003F17DD" w:rsidRDefault="00B94C90" w:rsidP="00B64331">
            <w:pPr>
              <w:pStyle w:val="Normal-pool-Table"/>
              <w:cnfStyle w:val="000000000000" w:firstRow="0" w:lastRow="0" w:firstColumn="0" w:lastColumn="0" w:oddVBand="0" w:evenVBand="0" w:oddHBand="0" w:evenHBand="0" w:firstRowFirstColumn="0" w:firstRowLastColumn="0" w:lastRowFirstColumn="0" w:lastRowLastColumn="0"/>
              <w:rPr>
                <w:szCs w:val="18"/>
              </w:rPr>
            </w:pPr>
          </w:p>
        </w:tc>
      </w:tr>
      <w:tr w:rsidR="00B94C90" w:rsidRPr="003F17DD" w14:paraId="74B51286" w14:textId="77777777" w:rsidTr="00B64331">
        <w:trPr>
          <w:trHeight w:val="56"/>
          <w:jc w:val="right"/>
        </w:trPr>
        <w:tc>
          <w:tcPr>
            <w:cnfStyle w:val="001000000000" w:firstRow="0" w:lastRow="0" w:firstColumn="1" w:lastColumn="0" w:oddVBand="0" w:evenVBand="0" w:oddHBand="0" w:evenHBand="0" w:firstRowFirstColumn="0" w:firstRowLastColumn="0" w:lastRowFirstColumn="0" w:lastRowLastColumn="0"/>
            <w:tcW w:w="1975" w:type="dxa"/>
            <w:tcBorders>
              <w:bottom w:val="single" w:sz="12" w:space="0" w:color="auto"/>
              <w:right w:val="none" w:sz="0" w:space="0" w:color="auto"/>
            </w:tcBorders>
          </w:tcPr>
          <w:p w14:paraId="04BA1DB0" w14:textId="77777777" w:rsidR="00B94C90" w:rsidRPr="003F17DD" w:rsidRDefault="00B94C90" w:rsidP="00FE7D06">
            <w:pPr>
              <w:pStyle w:val="Normal-pool-Table"/>
              <w:keepNext/>
              <w:rPr>
                <w:szCs w:val="18"/>
              </w:rPr>
            </w:pPr>
            <w:r w:rsidRPr="003F17DD">
              <w:rPr>
                <w:color w:val="000000"/>
              </w:rPr>
              <w:t>Expert(e)s de haut niveau</w:t>
            </w:r>
          </w:p>
        </w:tc>
        <w:tc>
          <w:tcPr>
            <w:tcW w:w="3827" w:type="dxa"/>
            <w:tcBorders>
              <w:bottom w:val="single" w:sz="12" w:space="0" w:color="auto"/>
            </w:tcBorders>
            <w:tcMar>
              <w:left w:w="108" w:type="dxa"/>
              <w:right w:w="108" w:type="dxa"/>
            </w:tcMar>
          </w:tcPr>
          <w:p w14:paraId="731188EE" w14:textId="77777777" w:rsidR="00B94C90" w:rsidRPr="003F17DD" w:rsidRDefault="00B94C90" w:rsidP="00FE7D06">
            <w:pPr>
              <w:pStyle w:val="Normal-pool-Table"/>
              <w:keepNext/>
              <w:cnfStyle w:val="000000000000" w:firstRow="0" w:lastRow="0" w:firstColumn="0" w:lastColumn="0" w:oddVBand="0" w:evenVBand="0" w:oddHBand="0" w:evenHBand="0" w:firstRowFirstColumn="0" w:firstRowLastColumn="0" w:lastRowFirstColumn="0" w:lastRowLastColumn="0"/>
              <w:rPr>
                <w:szCs w:val="18"/>
              </w:rPr>
            </w:pPr>
            <w:r w:rsidRPr="003F17DD">
              <w:rPr>
                <w:color w:val="000000"/>
              </w:rPr>
              <w:t xml:space="preserve">Les expert(e)s chevronné(e)s actuellement en fonction apportent les compétences nécessaires </w:t>
            </w:r>
          </w:p>
        </w:tc>
        <w:tc>
          <w:tcPr>
            <w:tcW w:w="2505" w:type="dxa"/>
            <w:tcBorders>
              <w:bottom w:val="single" w:sz="12" w:space="0" w:color="auto"/>
            </w:tcBorders>
            <w:tcMar>
              <w:left w:w="108" w:type="dxa"/>
              <w:right w:w="108" w:type="dxa"/>
            </w:tcMar>
          </w:tcPr>
          <w:p w14:paraId="02BF01CF" w14:textId="77777777" w:rsidR="00B94C90" w:rsidRPr="003F17DD" w:rsidRDefault="00B94C90" w:rsidP="00FE7D06">
            <w:pPr>
              <w:pStyle w:val="Normal-pool-Table"/>
              <w:keepNext/>
              <w:cnfStyle w:val="000000000000" w:firstRow="0" w:lastRow="0" w:firstColumn="0" w:lastColumn="0" w:oddVBand="0" w:evenVBand="0" w:oddHBand="0" w:evenHBand="0" w:firstRowFirstColumn="0" w:firstRowLastColumn="0" w:lastRowFirstColumn="0" w:lastRowLastColumn="0"/>
              <w:rPr>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9454B6" w:rsidRPr="00581216" w14:paraId="0AD9DD45" w14:textId="77777777" w:rsidTr="00DF7A74">
        <w:tc>
          <w:tcPr>
            <w:tcW w:w="1897" w:type="dxa"/>
          </w:tcPr>
          <w:p w14:paraId="1FE0AF28" w14:textId="77777777" w:rsidR="009454B6" w:rsidRPr="00581216" w:rsidRDefault="009454B6" w:rsidP="00141423">
            <w:pPr>
              <w:pStyle w:val="Normal-pool"/>
              <w:keepNext/>
            </w:pPr>
          </w:p>
        </w:tc>
        <w:tc>
          <w:tcPr>
            <w:tcW w:w="1897" w:type="dxa"/>
          </w:tcPr>
          <w:p w14:paraId="09AC4A7B" w14:textId="77777777" w:rsidR="009454B6" w:rsidRPr="00581216" w:rsidRDefault="009454B6" w:rsidP="00141423">
            <w:pPr>
              <w:pStyle w:val="Normal-pool"/>
              <w:keepNext/>
            </w:pPr>
          </w:p>
        </w:tc>
        <w:tc>
          <w:tcPr>
            <w:tcW w:w="1897" w:type="dxa"/>
            <w:tcBorders>
              <w:bottom w:val="single" w:sz="4" w:space="0" w:color="auto"/>
            </w:tcBorders>
          </w:tcPr>
          <w:p w14:paraId="31B205F5" w14:textId="77777777" w:rsidR="009454B6" w:rsidRPr="00C86618" w:rsidRDefault="009454B6" w:rsidP="00141423">
            <w:pPr>
              <w:pStyle w:val="Normal-pool"/>
              <w:tabs>
                <w:tab w:val="left" w:pos="4990"/>
              </w:tabs>
              <w:rPr>
                <w:rFonts w:eastAsiaTheme="minorEastAsia"/>
                <w:b/>
                <w:bCs/>
                <w:lang w:eastAsia="en-US"/>
              </w:rPr>
            </w:pPr>
          </w:p>
        </w:tc>
        <w:tc>
          <w:tcPr>
            <w:tcW w:w="1898" w:type="dxa"/>
          </w:tcPr>
          <w:p w14:paraId="159B6777" w14:textId="77777777" w:rsidR="009454B6" w:rsidRPr="00581216" w:rsidRDefault="009454B6" w:rsidP="00141423">
            <w:pPr>
              <w:pStyle w:val="Normal-pool"/>
              <w:keepNext/>
            </w:pPr>
          </w:p>
        </w:tc>
        <w:tc>
          <w:tcPr>
            <w:tcW w:w="1898" w:type="dxa"/>
          </w:tcPr>
          <w:p w14:paraId="05DD0372" w14:textId="77777777" w:rsidR="009454B6" w:rsidRPr="00581216" w:rsidRDefault="009454B6" w:rsidP="00141423">
            <w:pPr>
              <w:pStyle w:val="Normal-pool"/>
              <w:keepNext/>
            </w:pPr>
          </w:p>
        </w:tc>
      </w:tr>
    </w:tbl>
    <w:p w14:paraId="2509FC8F" w14:textId="560623FA" w:rsidR="00BD7C4D" w:rsidRPr="00141423" w:rsidRDefault="00BD7C4D" w:rsidP="0096391B">
      <w:pPr>
        <w:pStyle w:val="Normal-pool"/>
        <w:rPr>
          <w:sz w:val="2"/>
          <w:szCs w:val="2"/>
        </w:rPr>
      </w:pPr>
    </w:p>
    <w:sectPr w:rsidR="00BD7C4D" w:rsidRPr="00141423" w:rsidSect="003F17DD">
      <w:footerReference w:type="first" r:id="rId17"/>
      <w:footnotePr>
        <w:numRestart w:val="eachSect"/>
      </w:footnotePr>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0BB0" w14:textId="77777777" w:rsidR="0024363F" w:rsidRPr="003F17DD" w:rsidRDefault="0024363F">
      <w:r w:rsidRPr="003F17DD">
        <w:separator/>
      </w:r>
    </w:p>
  </w:endnote>
  <w:endnote w:type="continuationSeparator" w:id="0">
    <w:p w14:paraId="39E5F48E" w14:textId="77777777" w:rsidR="0024363F" w:rsidRPr="003F17DD" w:rsidRDefault="0024363F">
      <w:r w:rsidRPr="003F1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8BEF" w14:textId="16250115" w:rsidR="00B94C90" w:rsidRPr="003F17DD" w:rsidRDefault="003F17DD" w:rsidP="003F17DD">
    <w:pPr>
      <w:pStyle w:val="Footer-pool"/>
    </w:pPr>
    <w:r w:rsidRPr="003F17DD">
      <w:rPr>
        <w:rStyle w:val="PageNumber"/>
        <w:b/>
      </w:rPr>
      <w:fldChar w:fldCharType="begin"/>
    </w:r>
    <w:r w:rsidRPr="003F17DD">
      <w:rPr>
        <w:rStyle w:val="PageNumber"/>
        <w:b/>
      </w:rPr>
      <w:instrText xml:space="preserve"> PAGE </w:instrText>
    </w:r>
    <w:r w:rsidRPr="003F17DD">
      <w:rPr>
        <w:rStyle w:val="PageNumber"/>
        <w:b/>
      </w:rPr>
      <w:fldChar w:fldCharType="separate"/>
    </w:r>
    <w:r w:rsidRPr="003F17DD">
      <w:rPr>
        <w:rStyle w:val="PageNumber"/>
        <w:b/>
        <w:noProof/>
      </w:rPr>
      <w:t>4</w:t>
    </w:r>
    <w:r w:rsidRPr="003F17DD">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8BA5" w14:textId="599ED74C" w:rsidR="00B94C90" w:rsidRPr="003F17DD" w:rsidRDefault="003F17DD" w:rsidP="003F17DD">
    <w:pPr>
      <w:pStyle w:val="Footer-pool"/>
      <w:jc w:val="right"/>
    </w:pPr>
    <w:r w:rsidRPr="003F17DD">
      <w:rPr>
        <w:rStyle w:val="PageNumber"/>
        <w:b/>
      </w:rPr>
      <w:fldChar w:fldCharType="begin"/>
    </w:r>
    <w:r w:rsidRPr="003F17DD">
      <w:rPr>
        <w:rStyle w:val="PageNumber"/>
        <w:b/>
      </w:rPr>
      <w:instrText xml:space="preserve"> PAGE \* MERGEFORMAT </w:instrText>
    </w:r>
    <w:r w:rsidRPr="003F17DD">
      <w:rPr>
        <w:rStyle w:val="PageNumber"/>
        <w:b/>
      </w:rPr>
      <w:fldChar w:fldCharType="separate"/>
    </w:r>
    <w:r w:rsidRPr="003F17DD">
      <w:rPr>
        <w:rStyle w:val="PageNumber"/>
        <w:b/>
        <w:noProof/>
      </w:rPr>
      <w:t>3</w:t>
    </w:r>
    <w:r w:rsidRPr="003F17DD">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736C" w14:textId="318C0F87" w:rsidR="00B94C90" w:rsidRPr="003F17DD" w:rsidRDefault="003F17DD" w:rsidP="003F17DD">
    <w:pPr>
      <w:pStyle w:val="Footer-jobnumber"/>
    </w:pPr>
    <w:bookmarkStart w:id="15" w:name="FooterJobDate"/>
    <w:r w:rsidRPr="003F17DD">
      <w:t>K</w:t>
    </w:r>
    <w:r>
      <w:t>2607173</w:t>
    </w:r>
    <w:r w:rsidRPr="003F17DD">
      <w:t>[F]</w:t>
    </w:r>
    <w:r w:rsidRPr="003F17DD">
      <w:tab/>
    </w:r>
    <w:r>
      <w:t>02</w:t>
    </w:r>
    <w:r w:rsidRPr="003F17DD">
      <w:t>0</w:t>
    </w:r>
    <w:r>
      <w:t>7</w:t>
    </w:r>
    <w:r w:rsidRPr="003F17DD">
      <w:t>26</w:t>
    </w:r>
    <w:bookmarkEnd w:id="1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3E59" w14:textId="7FDA0278" w:rsidR="00160E27" w:rsidRPr="00160E27" w:rsidRDefault="00160E27" w:rsidP="00160E27">
    <w:pPr>
      <w:pStyle w:val="Footer-jobnumber"/>
    </w:pPr>
    <w:proofErr w:type="spellStart"/>
    <w:r w:rsidRPr="00160E27">
      <w:t>Kxxxxxx</w:t>
    </w:r>
    <w:proofErr w:type="spellEnd"/>
    <w:r w:rsidRPr="00160E27">
      <w:t>[E]</w:t>
    </w:r>
    <w:r w:rsidRPr="00160E27">
      <w:tab/>
      <w:t>210526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C503" w14:textId="77777777" w:rsidR="0024363F" w:rsidRPr="003F17DD" w:rsidRDefault="0024363F" w:rsidP="003F17DD">
      <w:pPr>
        <w:pStyle w:val="Footnote-Separator"/>
        <w:ind w:left="624"/>
        <w:rPr>
          <w:szCs w:val="18"/>
        </w:rPr>
      </w:pPr>
      <w:r w:rsidRPr="003F17DD">
        <w:separator/>
      </w:r>
    </w:p>
  </w:footnote>
  <w:footnote w:type="continuationSeparator" w:id="0">
    <w:p w14:paraId="5B8BFC23" w14:textId="77777777" w:rsidR="0024363F" w:rsidRPr="003F17DD" w:rsidRDefault="0024363F" w:rsidP="003F17DD">
      <w:pPr>
        <w:pStyle w:val="Footnote-Separator"/>
      </w:pPr>
      <w:r w:rsidRPr="003F17DD">
        <w:continuationSeparator/>
      </w:r>
    </w:p>
  </w:footnote>
  <w:footnote w:type="continuationNotice" w:id="1">
    <w:p w14:paraId="5DDAD186" w14:textId="77777777" w:rsidR="0024363F" w:rsidRPr="003F17DD" w:rsidRDefault="0024363F" w:rsidP="003F17DD">
      <w:pPr>
        <w:pStyle w:val="ASpacer"/>
      </w:pPr>
    </w:p>
  </w:footnote>
  <w:footnote w:id="2">
    <w:p w14:paraId="13A39863" w14:textId="3BD9CC36" w:rsidR="003F17DD" w:rsidRPr="003F17DD" w:rsidRDefault="00014101" w:rsidP="003F17DD">
      <w:pPr>
        <w:pStyle w:val="Footnote-Text"/>
      </w:pPr>
      <w:r w:rsidRPr="003F17DD">
        <w:t>* UNEP/OzL.Pro.WG.1/48/1.</w:t>
      </w:r>
    </w:p>
  </w:footnote>
  <w:footnote w:id="3">
    <w:p w14:paraId="1E77492F" w14:textId="635E38AE" w:rsidR="00BD7C4D" w:rsidRPr="003F17DD" w:rsidRDefault="00014101" w:rsidP="003F17DD">
      <w:pPr>
        <w:pStyle w:val="Footnote-Text"/>
      </w:pPr>
      <w:r w:rsidRPr="003F17DD">
        <w:rPr>
          <w:sz w:val="20"/>
          <w:szCs w:val="18"/>
          <w:vertAlign w:val="superscript"/>
        </w:rPr>
        <w:footnoteRef/>
      </w:r>
      <w:r w:rsidRPr="003F17DD">
        <w:t xml:space="preserve"> Disponible sur le portail de la quarante-huitième</w:t>
      </w:r>
      <w:r>
        <w:t> </w:t>
      </w:r>
      <w:r w:rsidRPr="003F17DD">
        <w:t>réunion du Groupe de travail à composition non limitée, à</w:t>
      </w:r>
      <w:r w:rsidR="000109AD">
        <w:t> </w:t>
      </w:r>
      <w:r w:rsidRPr="003F17DD">
        <w:t>l</w:t>
      </w:r>
      <w:r>
        <w:t>’</w:t>
      </w:r>
      <w:r w:rsidRPr="003F17DD">
        <w:t xml:space="preserve">adresse </w:t>
      </w:r>
      <w:hyperlink r:id="rId1" w:history="1">
        <w:r w:rsidRPr="003F17DD">
          <w:rPr>
            <w:rStyle w:val="Hyperlink"/>
          </w:rPr>
          <w:t>https://ozone.unep.org/meetings/48th-meeting-open-ended-working-group-parties/pre-session-documents</w:t>
        </w:r>
      </w:hyperlink>
      <w:r w:rsidRPr="003F17DD">
        <w:t>.</w:t>
      </w:r>
    </w:p>
  </w:footnote>
  <w:footnote w:id="4">
    <w:p w14:paraId="613F5CA6" w14:textId="6C84D734" w:rsidR="00BD7C4D" w:rsidRPr="003F17DD" w:rsidRDefault="00BD7C4D" w:rsidP="003F17DD">
      <w:pPr>
        <w:pStyle w:val="Footnote-Text"/>
        <w:rPr>
          <w:szCs w:val="18"/>
        </w:rPr>
      </w:pPr>
      <w:hyperlink r:id="rId2" w:history="1"/>
    </w:p>
  </w:footnote>
  <w:footnote w:id="5">
    <w:p w14:paraId="56D23E92" w14:textId="57A814E3" w:rsidR="00BD7C4D" w:rsidRPr="003F17DD" w:rsidRDefault="003F17DD" w:rsidP="003F17DD">
      <w:pPr>
        <w:pStyle w:val="Footnote-Text"/>
      </w:pPr>
      <w:r w:rsidRPr="003F17DD">
        <w:rPr>
          <w:rStyle w:val="FootnoteReference"/>
          <w:rFonts w:eastAsia="SimSun"/>
          <w:sz w:val="20"/>
        </w:rPr>
        <w:footnoteRef/>
      </w:r>
      <w:r w:rsidR="00222635">
        <w:t xml:space="preserve"> </w:t>
      </w:r>
      <w:hyperlink r:id="rId3" w:history="1">
        <w:r w:rsidR="00222635" w:rsidRPr="00222635">
          <w:rPr>
            <w:rStyle w:val="Hyperlink"/>
          </w:rPr>
          <w:t>https://ozone.unep.org/system/files/documents/TEAP-DecisionXXXVII6-replenishment-TF-report-May2026-RTF-report.pdf</w:t>
        </w:r>
      </w:hyperlink>
      <w:r w:rsidR="00BD7C4D" w:rsidRPr="003F17DD">
        <w:t>.</w:t>
      </w:r>
      <w:hyperlink r:id="rId4" w:history="1"/>
    </w:p>
  </w:footnote>
  <w:footnote w:id="6">
    <w:p w14:paraId="5AB740F4" w14:textId="5C31C45F" w:rsidR="00BD7C4D" w:rsidRPr="003F17DD" w:rsidRDefault="003F17DD" w:rsidP="003F17DD">
      <w:pPr>
        <w:pStyle w:val="Footnote-Text"/>
      </w:pPr>
      <w:r w:rsidRPr="003F17DD">
        <w:rPr>
          <w:rStyle w:val="FootnoteReference"/>
          <w:rFonts w:eastAsia="SimSun"/>
          <w:sz w:val="20"/>
        </w:rPr>
        <w:footnoteRef/>
      </w:r>
      <w:r w:rsidR="00BD7C4D" w:rsidRPr="003F17DD">
        <w:t xml:space="preserve"> Ces quotas correspondent à une moyenne annuelle de 2,5</w:t>
      </w:r>
      <w:r w:rsidR="006B7A99">
        <w:t> </w:t>
      </w:r>
      <w:r w:rsidR="00BD7C4D" w:rsidRPr="003F17DD">
        <w:t>% pour l</w:t>
      </w:r>
      <w:r w:rsidR="00366238">
        <w:t>’</w:t>
      </w:r>
      <w:r w:rsidR="00BD7C4D" w:rsidRPr="003F17DD">
        <w:t>entretien des équipements de réfrigération et de climatisation existants, l</w:t>
      </w:r>
      <w:r w:rsidR="00366238">
        <w:t>’</w:t>
      </w:r>
      <w:r w:rsidR="00BD7C4D" w:rsidRPr="003F17DD">
        <w:t>entretien des équipements de lutte contre l</w:t>
      </w:r>
      <w:r w:rsidR="00366238">
        <w:t>’</w:t>
      </w:r>
      <w:r w:rsidR="00BD7C4D" w:rsidRPr="003F17DD">
        <w:t>incendie et de protection contre l</w:t>
      </w:r>
      <w:r w:rsidR="00366238">
        <w:t>’</w:t>
      </w:r>
      <w:r w:rsidR="00BD7C4D" w:rsidRPr="003F17DD">
        <w:t>incendie existant au 1</w:t>
      </w:r>
      <w:r w:rsidR="00BD7C4D" w:rsidRPr="000B6E5B">
        <w:rPr>
          <w:vertAlign w:val="superscript"/>
        </w:rPr>
        <w:t>er</w:t>
      </w:r>
      <w:r w:rsidR="000B6E5B">
        <w:rPr>
          <w:vertAlign w:val="superscript"/>
        </w:rPr>
        <w:t> </w:t>
      </w:r>
      <w:r w:rsidR="00BD7C4D" w:rsidRPr="003F17DD">
        <w:t>janvier 2030, les applications de solvants dans la fabrication de moteurs de fusée, ainsi que les aérosols médicaux à usage topique destinés au traitement spécialisé des brûlures.</w:t>
      </w:r>
    </w:p>
  </w:footnote>
  <w:footnote w:id="7">
    <w:p w14:paraId="4343A948" w14:textId="3A760423" w:rsidR="00BD7C4D" w:rsidRPr="003F17DD" w:rsidRDefault="003F17DD" w:rsidP="003F17DD">
      <w:pPr>
        <w:pStyle w:val="Footnote-Text"/>
      </w:pPr>
      <w:r w:rsidRPr="003F17DD">
        <w:rPr>
          <w:rStyle w:val="FootnoteReference"/>
          <w:rFonts w:eastAsia="SimSun"/>
          <w:sz w:val="20"/>
        </w:rPr>
        <w:footnoteRef/>
      </w:r>
      <w:r w:rsidR="00BD7C4D" w:rsidRPr="003F17DD">
        <w:t xml:space="preserve"> Conformément à la décision n° 62/17 du Comité</w:t>
      </w:r>
      <w:r w:rsidR="000B6E5B">
        <w:t> </w:t>
      </w:r>
      <w:r w:rsidR="00BD7C4D" w:rsidRPr="003F17DD">
        <w:t>exécutif.</w:t>
      </w:r>
    </w:p>
  </w:footnote>
  <w:footnote w:id="8">
    <w:p w14:paraId="15C2046D" w14:textId="0307E51D" w:rsidR="00BD7C4D" w:rsidRPr="003F17DD" w:rsidRDefault="003F17DD" w:rsidP="003F17DD">
      <w:pPr>
        <w:pStyle w:val="Footnote-Text"/>
        <w:rPr>
          <w:szCs w:val="18"/>
        </w:rPr>
      </w:pPr>
      <w:r w:rsidRPr="003F17DD">
        <w:rPr>
          <w:rStyle w:val="FootnoteReference"/>
          <w:rFonts w:eastAsia="SimSun"/>
          <w:sz w:val="20"/>
        </w:rPr>
        <w:footnoteRef/>
      </w:r>
      <w:r w:rsidR="00BD7C4D" w:rsidRPr="003F17DD">
        <w:t xml:space="preserve"> </w:t>
      </w:r>
      <w:hyperlink r:id="rId5" w:history="1">
        <w:r w:rsidR="00BD7C4D" w:rsidRPr="00FA56F2">
          <w:rPr>
            <w:rStyle w:val="Hyperlink"/>
          </w:rPr>
          <w:t>https://ozone.unep.org/system/files/documents/TEAP-May2026-Progress-Report-vol1.pdf</w:t>
        </w:r>
      </w:hyperlink>
      <w:r w:rsidR="00BD7C4D" w:rsidRPr="003F17DD">
        <w:t>.</w:t>
      </w:r>
      <w:hyperlink r:id="rId6" w:history="1"/>
    </w:p>
  </w:footnote>
  <w:footnote w:id="9">
    <w:p w14:paraId="39FB7BC5" w14:textId="1624D53B"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Document UNEP/OzL.Pro.WG.1/47/2 (</w:t>
      </w:r>
      <w:r w:rsidR="00955F3F" w:rsidRPr="003F17DD">
        <w:t>par</w:t>
      </w:r>
      <w:r w:rsidR="00955F3F">
        <w:t>.</w:t>
      </w:r>
      <w:r w:rsidR="0042125A">
        <w:t> </w:t>
      </w:r>
      <w:r w:rsidR="00B94C90" w:rsidRPr="003F17DD">
        <w:t xml:space="preserve">17 à 21) et son additif </w:t>
      </w:r>
      <w:r w:rsidR="00471A41">
        <w:t>(</w:t>
      </w:r>
      <w:r w:rsidR="00B94C90" w:rsidRPr="003F17DD">
        <w:t>UNEP/OzL.Pro.WG.1/47/2/Add.1</w:t>
      </w:r>
      <w:r w:rsidR="00471A41">
        <w:t>,</w:t>
      </w:r>
      <w:r w:rsidR="00B94C90" w:rsidRPr="003F17DD">
        <w:t xml:space="preserve"> </w:t>
      </w:r>
      <w:r w:rsidR="00955F3F" w:rsidRPr="003F17DD">
        <w:t>par</w:t>
      </w:r>
      <w:r w:rsidR="00955F3F">
        <w:t>.</w:t>
      </w:r>
      <w:r w:rsidR="0042125A">
        <w:t> </w:t>
      </w:r>
      <w:r w:rsidR="00B94C90" w:rsidRPr="003F17DD">
        <w:t>19 à 28 et tableau</w:t>
      </w:r>
      <w:r w:rsidR="00064E44">
        <w:t> </w:t>
      </w:r>
      <w:r w:rsidR="00B94C90" w:rsidRPr="003F17DD">
        <w:t>1).</w:t>
      </w:r>
    </w:p>
  </w:footnote>
  <w:footnote w:id="10">
    <w:p w14:paraId="7FC80DE1" w14:textId="6F52CF39"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Voir </w:t>
      </w:r>
      <w:hyperlink r:id="rId7" w:history="1">
        <w:r w:rsidR="00B94C90" w:rsidRPr="003F17DD">
          <w:rPr>
            <w:rStyle w:val="Hyperlink"/>
          </w:rPr>
          <w:t>https://ozone.unep.org/science/assessment/teap/teap-expertise-required</w:t>
        </w:r>
      </w:hyperlink>
      <w:r w:rsidR="00B94C90" w:rsidRPr="003F17DD">
        <w:t>.</w:t>
      </w:r>
      <w:hyperlink r:id="rId8" w:history="1"/>
    </w:p>
  </w:footnote>
  <w:footnote w:id="11">
    <w:p w14:paraId="38C95E5C" w14:textId="41FB9D5D"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w:t>
      </w:r>
      <w:hyperlink r:id="rId9" w:history="1">
        <w:r w:rsidR="00B94C90" w:rsidRPr="003F17DD">
          <w:rPr>
            <w:rStyle w:val="Hyperlink"/>
          </w:rPr>
          <w:t>https://ozone.unep.org/node/1941</w:t>
        </w:r>
      </w:hyperlink>
      <w:r w:rsidR="00B94C90" w:rsidRPr="003F17DD">
        <w:t>.</w:t>
      </w:r>
      <w:hyperlink r:id="rId10" w:history="1"/>
    </w:p>
  </w:footnote>
  <w:footnote w:id="12">
    <w:p w14:paraId="2035BF5F" w14:textId="15B4B322"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Bien que le dossier indique que la technique de destruction a été testée sur plus de 60</w:t>
      </w:r>
      <w:r w:rsidR="00EF107A">
        <w:t> </w:t>
      </w:r>
      <w:r w:rsidR="00B94C90" w:rsidRPr="003F17DD">
        <w:t>composés, y</w:t>
      </w:r>
      <w:r w:rsidR="00F97DAB">
        <w:t> </w:t>
      </w:r>
      <w:r w:rsidR="00B94C90" w:rsidRPr="003F17DD">
        <w:t xml:space="preserve">compris des composés </w:t>
      </w:r>
      <w:proofErr w:type="spellStart"/>
      <w:r w:rsidR="00B94C90" w:rsidRPr="003F17DD">
        <w:t>perchlorés</w:t>
      </w:r>
      <w:proofErr w:type="spellEnd"/>
      <w:r w:rsidR="00B94C90" w:rsidRPr="003F17DD">
        <w:t xml:space="preserve"> et bromés, aucune donnée à l</w:t>
      </w:r>
      <w:r w:rsidR="00366238">
        <w:t>’</w:t>
      </w:r>
      <w:r w:rsidR="00B94C90" w:rsidRPr="003F17DD">
        <w:t>appui n</w:t>
      </w:r>
      <w:r w:rsidR="00366238">
        <w:t>’</w:t>
      </w:r>
      <w:r w:rsidR="00B94C90" w:rsidRPr="003F17DD">
        <w:t>a été fournie pour ces catégories de composés. Par</w:t>
      </w:r>
      <w:r w:rsidR="00D92225">
        <w:t> </w:t>
      </w:r>
      <w:r w:rsidR="00B94C90" w:rsidRPr="003F17DD">
        <w:t>conséquent, en dehors des catégories de substances réglementées pour lesquelles des données ont été présentées, aucune évaluation fondée sur des données n</w:t>
      </w:r>
      <w:r w:rsidR="00366238">
        <w:t>’</w:t>
      </w:r>
      <w:r w:rsidR="00B94C90" w:rsidRPr="003F17DD">
        <w:t>a pu être réalisée concernant les autres substances.</w:t>
      </w:r>
    </w:p>
  </w:footnote>
  <w:footnote w:id="13">
    <w:p w14:paraId="48FB7215" w14:textId="564DF952" w:rsidR="00B94C90" w:rsidRPr="003F17DD" w:rsidRDefault="00B94C90" w:rsidP="003F17DD">
      <w:pPr>
        <w:pStyle w:val="Footnote-Text"/>
        <w:rPr>
          <w:szCs w:val="18"/>
        </w:rPr>
      </w:pPr>
      <w:r w:rsidRPr="003F17DD">
        <w:t>* La version originale anglaise de la présente</w:t>
      </w:r>
      <w:r w:rsidR="000C1841">
        <w:t> </w:t>
      </w:r>
      <w:r w:rsidRPr="003F17DD">
        <w:t>annexe n</w:t>
      </w:r>
      <w:r w:rsidR="00366238">
        <w:t>’</w:t>
      </w:r>
      <w:r w:rsidRPr="003F17DD">
        <w:t>a pas été revue par les services d</w:t>
      </w:r>
      <w:r w:rsidR="00366238">
        <w:t>’</w:t>
      </w:r>
      <w:r w:rsidRPr="003F17DD">
        <w:t>édition.</w:t>
      </w:r>
    </w:p>
  </w:footnote>
  <w:footnote w:id="14">
    <w:p w14:paraId="71546FE9" w14:textId="6623B80E"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w:t>
      </w:r>
      <w:hyperlink r:id="rId11" w:history="1">
        <w:r w:rsidR="0072052C" w:rsidRPr="003F17DD">
          <w:rPr>
            <w:rStyle w:val="Hyperlink"/>
            <w:szCs w:val="18"/>
          </w:rPr>
          <w:t>https://www.multilateralfund.org/our-impact</w:t>
        </w:r>
      </w:hyperlink>
      <w:r w:rsidR="0072052C" w:rsidRPr="003F17DD">
        <w:rPr>
          <w:szCs w:val="18"/>
        </w:rPr>
        <w:t>.</w:t>
      </w:r>
      <w:hyperlink r:id="rId12" w:history="1"/>
    </w:p>
  </w:footnote>
  <w:footnote w:id="15">
    <w:p w14:paraId="4F562725" w14:textId="0D93D08A"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w:t>
      </w:r>
      <w:hyperlink r:id="rId13" w:history="1">
        <w:r w:rsidR="00073D42" w:rsidRPr="003F17DD">
          <w:rPr>
            <w:rStyle w:val="Hyperlink"/>
            <w:szCs w:val="18"/>
          </w:rPr>
          <w:t>https://ozone.unep.org/treaties/montreal-protocol/meetings/thirtieth-meeting-parties/decisions/annex-i-adjustments.</w:t>
        </w:r>
      </w:hyperlink>
      <w:hyperlink r:id="rId14" w:history="1"/>
    </w:p>
  </w:footnote>
  <w:footnote w:id="16">
    <w:p w14:paraId="372886B1" w14:textId="079DCC6E" w:rsidR="00B94C90" w:rsidRPr="003F17DD" w:rsidRDefault="003F17DD" w:rsidP="003F17DD">
      <w:pPr>
        <w:pStyle w:val="Footnote-Text"/>
      </w:pPr>
      <w:r w:rsidRPr="003F17DD">
        <w:rPr>
          <w:rStyle w:val="FootnoteReference"/>
          <w:rFonts w:eastAsia="SimSun"/>
          <w:sz w:val="20"/>
        </w:rPr>
        <w:footnoteRef/>
      </w:r>
      <w:r w:rsidR="00B94C90" w:rsidRPr="003F17DD">
        <w:t xml:space="preserve"> Au </w:t>
      </w:r>
      <w:r w:rsidR="00073D42" w:rsidRPr="003F17DD">
        <w:t>paragraphe</w:t>
      </w:r>
      <w:r w:rsidR="008B2897">
        <w:t> </w:t>
      </w:r>
      <w:r w:rsidR="00B94C90" w:rsidRPr="003F17DD">
        <w:t xml:space="preserve">2 de la </w:t>
      </w:r>
      <w:r w:rsidR="00073D42" w:rsidRPr="003F17DD">
        <w:t>dé</w:t>
      </w:r>
      <w:r w:rsidR="00B94C90" w:rsidRPr="003F17DD">
        <w:t>cision</w:t>
      </w:r>
      <w:r w:rsidR="003E77AE">
        <w:t> </w:t>
      </w:r>
      <w:r w:rsidR="00B94C90" w:rsidRPr="003F17DD">
        <w:t>XXVIII/2, il est établi qu</w:t>
      </w:r>
      <w:r w:rsidR="00366238">
        <w:t>’</w:t>
      </w:r>
      <w:r w:rsidR="00B94C90" w:rsidRPr="003F17DD">
        <w:t>au titre du Protocole de</w:t>
      </w:r>
      <w:r w:rsidR="0022413C">
        <w:t> </w:t>
      </w:r>
      <w:r w:rsidR="00B94C90" w:rsidRPr="003F17DD">
        <w:t>Montréal, les Parties visées à l</w:t>
      </w:r>
      <w:r w:rsidR="00366238">
        <w:t>’</w:t>
      </w:r>
      <w:r w:rsidR="00B94C90" w:rsidRPr="003F17DD">
        <w:t>article</w:t>
      </w:r>
      <w:r w:rsidR="0022413C">
        <w:t> </w:t>
      </w:r>
      <w:r w:rsidR="00B94C90" w:rsidRPr="003F17DD">
        <w:t>5 classées dans le groupe</w:t>
      </w:r>
      <w:r w:rsidR="0022413C">
        <w:t> </w:t>
      </w:r>
      <w:r w:rsidR="00B94C90" w:rsidRPr="003F17DD">
        <w:t>2 sont les suivantes : Arabie saoudite, Bahreïn, Émirats arabes unis, Inde, Ira</w:t>
      </w:r>
      <w:r w:rsidR="00073D42" w:rsidRPr="003F17DD">
        <w:t>q</w:t>
      </w:r>
      <w:r w:rsidR="00B94C90" w:rsidRPr="003F17DD">
        <w:t>, Koweït, Oman, Pakistan, Qatar, et République islamique d</w:t>
      </w:r>
      <w:r w:rsidR="00366238">
        <w:t>’</w:t>
      </w:r>
      <w:r w:rsidR="00B94C90" w:rsidRPr="003F17DD">
        <w:t xml:space="preserve">Iran. </w:t>
      </w:r>
    </w:p>
  </w:footnote>
  <w:footnote w:id="17">
    <w:p w14:paraId="28C3FC62" w14:textId="2BE9EB7A" w:rsidR="00B94C90" w:rsidRPr="003F17DD" w:rsidRDefault="003F17DD" w:rsidP="003F17DD">
      <w:pPr>
        <w:pStyle w:val="Footnote-Text"/>
      </w:pPr>
      <w:r w:rsidRPr="003F17DD">
        <w:rPr>
          <w:rStyle w:val="FootnoteReference"/>
          <w:rFonts w:eastAsia="SimSun"/>
          <w:sz w:val="20"/>
        </w:rPr>
        <w:footnoteRef/>
      </w:r>
      <w:r w:rsidR="00B94C90" w:rsidRPr="003F17DD">
        <w:t xml:space="preserve"> UNEP/</w:t>
      </w:r>
      <w:proofErr w:type="spellStart"/>
      <w:r w:rsidR="00B94C90" w:rsidRPr="003F17DD">
        <w:t>OzL.Pro</w:t>
      </w:r>
      <w:proofErr w:type="spellEnd"/>
      <w:r w:rsidR="00B94C90" w:rsidRPr="003F17DD">
        <w:t>/</w:t>
      </w:r>
      <w:proofErr w:type="spellStart"/>
      <w:r w:rsidR="00B94C90" w:rsidRPr="003F17DD">
        <w:t>ExCom</w:t>
      </w:r>
      <w:proofErr w:type="spellEnd"/>
      <w:r w:rsidR="00B94C90" w:rsidRPr="003F17DD">
        <w:t>/97/20.</w:t>
      </w:r>
    </w:p>
  </w:footnote>
  <w:footnote w:id="18">
    <w:p w14:paraId="01B60B68" w14:textId="0DE62463" w:rsidR="00B94C90" w:rsidRPr="003F17DD" w:rsidRDefault="00B94C90" w:rsidP="003F17DD">
      <w:pPr>
        <w:pStyle w:val="Footnote-Text"/>
        <w:rPr>
          <w:szCs w:val="18"/>
        </w:rPr>
      </w:pPr>
      <w:r w:rsidRPr="003F17DD">
        <w:t>* La version originale anglaise de la présente</w:t>
      </w:r>
      <w:r w:rsidR="00254D60">
        <w:t> </w:t>
      </w:r>
      <w:r w:rsidRPr="003F17DD">
        <w:t>annexe n</w:t>
      </w:r>
      <w:r w:rsidR="00366238">
        <w:t>’</w:t>
      </w:r>
      <w:r w:rsidRPr="003F17DD">
        <w:t>a pas été revue par les services d</w:t>
      </w:r>
      <w:r w:rsidR="00366238">
        <w:t>’</w:t>
      </w:r>
      <w:r w:rsidRPr="003F17DD">
        <w:t>édition.</w:t>
      </w:r>
    </w:p>
  </w:footnote>
  <w:footnote w:id="19">
    <w:p w14:paraId="3FE0330D" w14:textId="5BFBAF11" w:rsidR="00B94C90" w:rsidRPr="003F17DD" w:rsidRDefault="003F17DD" w:rsidP="003F17DD">
      <w:pPr>
        <w:pStyle w:val="Footnote-Text"/>
        <w:rPr>
          <w:szCs w:val="18"/>
        </w:rPr>
      </w:pPr>
      <w:r w:rsidRPr="003F17DD">
        <w:rPr>
          <w:rStyle w:val="FootnoteReference"/>
          <w:rFonts w:eastAsia="SimSun"/>
          <w:sz w:val="20"/>
        </w:rPr>
        <w:footnoteRef/>
      </w:r>
      <w:r w:rsidR="00B94C90" w:rsidRPr="003F17DD">
        <w:t xml:space="preserve"> Annonce de l</w:t>
      </w:r>
      <w:r w:rsidR="00366238">
        <w:t>’</w:t>
      </w:r>
      <w:r w:rsidR="00B94C90" w:rsidRPr="003F17DD">
        <w:t>attribution des quotas de production de substances appauvrissant la couche d</w:t>
      </w:r>
      <w:r w:rsidR="00366238">
        <w:t>’</w:t>
      </w:r>
      <w:r w:rsidR="00B94C90" w:rsidRPr="003F17DD">
        <w:t>ozone et de HFC pour 2026</w:t>
      </w:r>
    </w:p>
  </w:footnote>
  <w:footnote w:id="20">
    <w:p w14:paraId="17136241" w14:textId="32C08444" w:rsidR="00B94C90" w:rsidRPr="003F17DD" w:rsidRDefault="00B94C90" w:rsidP="003F17DD">
      <w:pPr>
        <w:pStyle w:val="Footnote-Text"/>
        <w:rPr>
          <w:szCs w:val="18"/>
        </w:rPr>
      </w:pPr>
      <w:r w:rsidRPr="003F17DD">
        <w:t>* La version originale anglaise de la présente</w:t>
      </w:r>
      <w:r w:rsidR="007C44C6">
        <w:t> </w:t>
      </w:r>
      <w:r w:rsidRPr="003F17DD">
        <w:t>annexe n</w:t>
      </w:r>
      <w:r w:rsidR="00366238">
        <w:t>’</w:t>
      </w:r>
      <w:r w:rsidRPr="003F17DD">
        <w:t>a pas été revue par les services d</w:t>
      </w:r>
      <w:r w:rsidR="00366238">
        <w:t>’</w:t>
      </w:r>
      <w:r w:rsidRPr="003F17DD">
        <w:t>édition.</w:t>
      </w:r>
    </w:p>
  </w:footnote>
  <w:footnote w:id="21">
    <w:p w14:paraId="5DAD0AA3" w14:textId="505C0832" w:rsidR="00B94C90" w:rsidRPr="003F17DD" w:rsidRDefault="00B94C90" w:rsidP="003F17DD">
      <w:pPr>
        <w:pStyle w:val="Footnote-Text"/>
        <w:rPr>
          <w:szCs w:val="18"/>
        </w:rPr>
      </w:pPr>
      <w:r w:rsidRPr="003F17DD">
        <w:t>* La version originale anglaise de la présente</w:t>
      </w:r>
      <w:r w:rsidR="00FA3402">
        <w:t> </w:t>
      </w:r>
      <w:r w:rsidRPr="003F17DD">
        <w:t>annexe n</w:t>
      </w:r>
      <w:r w:rsidR="00366238">
        <w:t>’</w:t>
      </w:r>
      <w:r w:rsidRPr="003F17DD">
        <w:t>a pas été revue par les services d</w:t>
      </w:r>
      <w:r w:rsidR="00366238">
        <w:t>’</w:t>
      </w:r>
      <w:r w:rsidRPr="003F17DD">
        <w:t>édition.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03CD" w14:textId="598F75A1" w:rsidR="00B94C90" w:rsidRPr="003F17DD" w:rsidRDefault="003F17DD" w:rsidP="003F17DD">
    <w:pPr>
      <w:pStyle w:val="Header-pool"/>
    </w:pPr>
    <w:r w:rsidRPr="003F17DD">
      <w:rPr>
        <w:noProof/>
      </w:rPr>
      <w:fldChar w:fldCharType="begin"/>
    </w:r>
    <w:r w:rsidRPr="003F17DD">
      <w:rPr>
        <w:noProof/>
      </w:rPr>
      <w:instrText xml:space="preserve"> StyleRef A_Symbol </w:instrText>
    </w:r>
    <w:r w:rsidRPr="003F17DD">
      <w:rPr>
        <w:noProof/>
      </w:rPr>
      <w:fldChar w:fldCharType="separate"/>
    </w:r>
    <w:r w:rsidR="00807EBA">
      <w:rPr>
        <w:noProof/>
      </w:rPr>
      <w:t>UNEP/OzL.Pro.WG.1/48/2/Add.1</w:t>
    </w:r>
    <w:r w:rsidRPr="003F17D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89D4" w14:textId="3FD602AE" w:rsidR="00B94C90" w:rsidRPr="003F17DD" w:rsidRDefault="003F17DD" w:rsidP="003F17DD">
    <w:pPr>
      <w:pStyle w:val="Header-pool"/>
      <w:jc w:val="right"/>
    </w:pPr>
    <w:r w:rsidRPr="003F17DD">
      <w:rPr>
        <w:noProof/>
      </w:rPr>
      <w:fldChar w:fldCharType="begin"/>
    </w:r>
    <w:r w:rsidRPr="003F17DD">
      <w:rPr>
        <w:noProof/>
      </w:rPr>
      <w:instrText xml:space="preserve"> StyleRef A_Symbol </w:instrText>
    </w:r>
    <w:r w:rsidRPr="003F17DD">
      <w:rPr>
        <w:noProof/>
      </w:rPr>
      <w:fldChar w:fldCharType="separate"/>
    </w:r>
    <w:r w:rsidR="00807EBA">
      <w:rPr>
        <w:noProof/>
      </w:rPr>
      <w:t>UNEP/OzL.Pro.WG.1/48/2/Add.1</w:t>
    </w:r>
    <w:r w:rsidRPr="003F17D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F00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589A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415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24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897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B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09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1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20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0A161700"/>
    <w:multiLevelType w:val="multilevel"/>
    <w:tmpl w:val="22B4C798"/>
    <w:styleLink w:val="Listeactuelle1"/>
    <w:lvl w:ilvl="0">
      <w:start w:val="1"/>
      <w:numFmt w:val="lowerLetter"/>
      <w:lvlText w:val="(%1)"/>
      <w:lvlJc w:val="left"/>
      <w:pPr>
        <w:ind w:left="2174" w:hanging="360"/>
      </w:pPr>
      <w:rPr>
        <w:rFonts w:hint="default"/>
      </w:rPr>
    </w:lvl>
    <w:lvl w:ilvl="1">
      <w:start w:val="1"/>
      <w:numFmt w:val="lowerLetter"/>
      <w:lvlText w:val="%2."/>
      <w:lvlJc w:val="left"/>
      <w:pPr>
        <w:ind w:left="2894" w:hanging="360"/>
      </w:pPr>
    </w:lvl>
    <w:lvl w:ilvl="2">
      <w:start w:val="1"/>
      <w:numFmt w:val="lowerRoman"/>
      <w:lvlText w:val="%3."/>
      <w:lvlJc w:val="right"/>
      <w:pPr>
        <w:ind w:left="3614" w:hanging="180"/>
      </w:pPr>
    </w:lvl>
    <w:lvl w:ilvl="3">
      <w:start w:val="1"/>
      <w:numFmt w:val="decimal"/>
      <w:lvlText w:val="%4."/>
      <w:lvlJc w:val="left"/>
      <w:pPr>
        <w:ind w:left="4334" w:hanging="360"/>
      </w:pPr>
    </w:lvl>
    <w:lvl w:ilvl="4">
      <w:start w:val="1"/>
      <w:numFmt w:val="lowerLetter"/>
      <w:lvlText w:val="%5."/>
      <w:lvlJc w:val="left"/>
      <w:pPr>
        <w:ind w:left="5054" w:hanging="360"/>
      </w:pPr>
    </w:lvl>
    <w:lvl w:ilvl="5">
      <w:start w:val="1"/>
      <w:numFmt w:val="lowerRoman"/>
      <w:lvlText w:val="%6."/>
      <w:lvlJc w:val="right"/>
      <w:pPr>
        <w:ind w:left="5774" w:hanging="180"/>
      </w:pPr>
    </w:lvl>
    <w:lvl w:ilvl="6">
      <w:start w:val="1"/>
      <w:numFmt w:val="decimal"/>
      <w:lvlText w:val="%7."/>
      <w:lvlJc w:val="left"/>
      <w:pPr>
        <w:ind w:left="6494" w:hanging="360"/>
      </w:pPr>
    </w:lvl>
    <w:lvl w:ilvl="7">
      <w:start w:val="1"/>
      <w:numFmt w:val="lowerLetter"/>
      <w:lvlText w:val="%8."/>
      <w:lvlJc w:val="left"/>
      <w:pPr>
        <w:ind w:left="7214" w:hanging="360"/>
      </w:pPr>
    </w:lvl>
    <w:lvl w:ilvl="8">
      <w:start w:val="1"/>
      <w:numFmt w:val="lowerRoman"/>
      <w:lvlText w:val="%9."/>
      <w:lvlJc w:val="right"/>
      <w:pPr>
        <w:ind w:left="7934" w:hanging="180"/>
      </w:pPr>
    </w:lvl>
  </w:abstractNum>
  <w:abstractNum w:abstractNumId="14" w15:restartNumberingAfterBreak="0">
    <w:nsid w:val="12C07D3E"/>
    <w:multiLevelType w:val="hybridMultilevel"/>
    <w:tmpl w:val="B96CF19C"/>
    <w:lvl w:ilvl="0" w:tplc="040C0017">
      <w:start w:val="1"/>
      <w:numFmt w:val="lowerLetter"/>
      <w:lvlText w:val="%1)"/>
      <w:lvlJc w:val="left"/>
      <w:pPr>
        <w:ind w:left="2174" w:hanging="360"/>
      </w:pPr>
      <w:rPr>
        <w:rFonts w:hint="default"/>
      </w:rPr>
    </w:lvl>
    <w:lvl w:ilvl="1" w:tplc="08090019">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5" w15:restartNumberingAfterBreak="0">
    <w:nsid w:val="1ABE2CAA"/>
    <w:multiLevelType w:val="multilevel"/>
    <w:tmpl w:val="78E464A8"/>
    <w:styleLink w:val="Listeactuelle3"/>
    <w:lvl w:ilvl="0">
      <w:start w:val="1"/>
      <w:numFmt w:val="lowerLetter"/>
      <w:lvlText w:val="(%1)"/>
      <w:lvlJc w:val="left"/>
      <w:pPr>
        <w:ind w:left="2232" w:hanging="360"/>
      </w:pPr>
      <w:rPr>
        <w:rFonts w:hint="default"/>
      </w:rPr>
    </w:lvl>
    <w:lvl w:ilvl="1">
      <w:start w:val="1"/>
      <w:numFmt w:val="bullet"/>
      <w:lvlText w:val="o"/>
      <w:lvlJc w:val="left"/>
      <w:pPr>
        <w:ind w:left="2952" w:hanging="360"/>
      </w:pPr>
      <w:rPr>
        <w:rFonts w:ascii="Courier New" w:hAnsi="Courier New" w:cs="Courier New" w:hint="default"/>
      </w:rPr>
    </w:lvl>
    <w:lvl w:ilvl="2">
      <w:start w:val="1"/>
      <w:numFmt w:val="bullet"/>
      <w:lvlText w:val=""/>
      <w:lvlJc w:val="left"/>
      <w:pPr>
        <w:ind w:left="3672" w:hanging="360"/>
      </w:pPr>
      <w:rPr>
        <w:rFonts w:ascii="Wingdings" w:hAnsi="Wingdings" w:hint="default"/>
      </w:rPr>
    </w:lvl>
    <w:lvl w:ilvl="3">
      <w:start w:val="1"/>
      <w:numFmt w:val="bullet"/>
      <w:lvlText w:val=""/>
      <w:lvlJc w:val="left"/>
      <w:pPr>
        <w:ind w:left="4392" w:hanging="360"/>
      </w:pPr>
      <w:rPr>
        <w:rFonts w:ascii="Symbol" w:hAnsi="Symbol" w:hint="default"/>
      </w:rPr>
    </w:lvl>
    <w:lvl w:ilvl="4">
      <w:start w:val="1"/>
      <w:numFmt w:val="bullet"/>
      <w:lvlText w:val="o"/>
      <w:lvlJc w:val="left"/>
      <w:pPr>
        <w:ind w:left="5112" w:hanging="360"/>
      </w:pPr>
      <w:rPr>
        <w:rFonts w:ascii="Courier New" w:hAnsi="Courier New" w:cs="Courier New" w:hint="default"/>
      </w:rPr>
    </w:lvl>
    <w:lvl w:ilvl="5">
      <w:start w:val="1"/>
      <w:numFmt w:val="bullet"/>
      <w:lvlText w:val=""/>
      <w:lvlJc w:val="left"/>
      <w:pPr>
        <w:ind w:left="5832" w:hanging="360"/>
      </w:pPr>
      <w:rPr>
        <w:rFonts w:ascii="Wingdings" w:hAnsi="Wingdings" w:hint="default"/>
      </w:rPr>
    </w:lvl>
    <w:lvl w:ilvl="6">
      <w:start w:val="1"/>
      <w:numFmt w:val="bullet"/>
      <w:lvlText w:val=""/>
      <w:lvlJc w:val="left"/>
      <w:pPr>
        <w:ind w:left="6552" w:hanging="360"/>
      </w:pPr>
      <w:rPr>
        <w:rFonts w:ascii="Symbol" w:hAnsi="Symbol" w:hint="default"/>
      </w:rPr>
    </w:lvl>
    <w:lvl w:ilvl="7">
      <w:start w:val="1"/>
      <w:numFmt w:val="bullet"/>
      <w:lvlText w:val="o"/>
      <w:lvlJc w:val="left"/>
      <w:pPr>
        <w:ind w:left="7272" w:hanging="360"/>
      </w:pPr>
      <w:rPr>
        <w:rFonts w:ascii="Courier New" w:hAnsi="Courier New" w:cs="Courier New" w:hint="default"/>
      </w:rPr>
    </w:lvl>
    <w:lvl w:ilvl="8">
      <w:start w:val="1"/>
      <w:numFmt w:val="bullet"/>
      <w:lvlText w:val=""/>
      <w:lvlJc w:val="left"/>
      <w:pPr>
        <w:ind w:left="7992" w:hanging="360"/>
      </w:pPr>
      <w:rPr>
        <w:rFonts w:ascii="Wingdings" w:hAnsi="Wingdings" w:hint="default"/>
      </w:rPr>
    </w:lvl>
  </w:abstractNum>
  <w:abstractNum w:abstractNumId="16"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7"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8"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9" w15:restartNumberingAfterBreak="0">
    <w:nsid w:val="1D242FCE"/>
    <w:multiLevelType w:val="hybridMultilevel"/>
    <w:tmpl w:val="C3949554"/>
    <w:lvl w:ilvl="0" w:tplc="040C0017">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20" w15:restartNumberingAfterBreak="0">
    <w:nsid w:val="30240F1A"/>
    <w:multiLevelType w:val="hybridMultilevel"/>
    <w:tmpl w:val="62D86B56"/>
    <w:lvl w:ilvl="0" w:tplc="040C0017">
      <w:start w:val="1"/>
      <w:numFmt w:val="lowerLetter"/>
      <w:lvlText w:val="%1)"/>
      <w:lvlJc w:val="left"/>
      <w:pPr>
        <w:ind w:left="2174" w:hanging="360"/>
      </w:pPr>
      <w:rPr>
        <w:rFonts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21"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3" w15:restartNumberingAfterBreak="0">
    <w:nsid w:val="44326C8D"/>
    <w:multiLevelType w:val="hybridMultilevel"/>
    <w:tmpl w:val="6C904A94"/>
    <w:lvl w:ilvl="0" w:tplc="08090001">
      <w:start w:val="1"/>
      <w:numFmt w:val="bullet"/>
      <w:lvlText w:val=""/>
      <w:lvlJc w:val="left"/>
      <w:pPr>
        <w:ind w:left="1967" w:hanging="360"/>
      </w:pPr>
      <w:rPr>
        <w:rFonts w:ascii="Symbol" w:hAnsi="Symbol" w:hint="default"/>
      </w:rPr>
    </w:lvl>
    <w:lvl w:ilvl="1" w:tplc="08090003">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4" w15:restartNumberingAfterBreak="0">
    <w:nsid w:val="45191F42"/>
    <w:multiLevelType w:val="hybridMultilevel"/>
    <w:tmpl w:val="E9726E96"/>
    <w:lvl w:ilvl="0" w:tplc="040C0017">
      <w:start w:val="1"/>
      <w:numFmt w:val="lowerLetter"/>
      <w:lvlText w:val="%1)"/>
      <w:lvlJc w:val="left"/>
      <w:pPr>
        <w:ind w:left="2232" w:hanging="360"/>
      </w:pPr>
      <w:rPr>
        <w:rFonts w:hint="default"/>
      </w:rPr>
    </w:lvl>
    <w:lvl w:ilvl="1" w:tplc="FFFFFFFF" w:tentative="1">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25"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A66A9D"/>
    <w:multiLevelType w:val="multilevel"/>
    <w:tmpl w:val="75D88598"/>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7" w15:restartNumberingAfterBreak="0">
    <w:nsid w:val="556A17A9"/>
    <w:multiLevelType w:val="multilevel"/>
    <w:tmpl w:val="60A877F6"/>
    <w:styleLink w:val="Listeactuelle2"/>
    <w:lvl w:ilvl="0">
      <w:start w:val="1"/>
      <w:numFmt w:val="lowerLetter"/>
      <w:lvlText w:val="(%1)"/>
      <w:lvlJc w:val="left"/>
      <w:pPr>
        <w:ind w:left="2174" w:hanging="360"/>
      </w:pPr>
      <w:rPr>
        <w:rFonts w:hint="default"/>
      </w:rPr>
    </w:lvl>
    <w:lvl w:ilvl="1">
      <w:start w:val="1"/>
      <w:numFmt w:val="lowerLetter"/>
      <w:lvlText w:val="%2."/>
      <w:lvlJc w:val="left"/>
      <w:pPr>
        <w:ind w:left="2894" w:hanging="360"/>
      </w:pPr>
    </w:lvl>
    <w:lvl w:ilvl="2">
      <w:start w:val="1"/>
      <w:numFmt w:val="lowerRoman"/>
      <w:lvlText w:val="%3."/>
      <w:lvlJc w:val="right"/>
      <w:pPr>
        <w:ind w:left="3614" w:hanging="180"/>
      </w:pPr>
    </w:lvl>
    <w:lvl w:ilvl="3">
      <w:start w:val="1"/>
      <w:numFmt w:val="decimal"/>
      <w:lvlText w:val="%4."/>
      <w:lvlJc w:val="left"/>
      <w:pPr>
        <w:ind w:left="4334" w:hanging="360"/>
      </w:pPr>
    </w:lvl>
    <w:lvl w:ilvl="4">
      <w:start w:val="1"/>
      <w:numFmt w:val="lowerLetter"/>
      <w:lvlText w:val="%5."/>
      <w:lvlJc w:val="left"/>
      <w:pPr>
        <w:ind w:left="5054" w:hanging="360"/>
      </w:pPr>
    </w:lvl>
    <w:lvl w:ilvl="5">
      <w:start w:val="1"/>
      <w:numFmt w:val="lowerRoman"/>
      <w:lvlText w:val="%6."/>
      <w:lvlJc w:val="right"/>
      <w:pPr>
        <w:ind w:left="5774" w:hanging="180"/>
      </w:pPr>
    </w:lvl>
    <w:lvl w:ilvl="6">
      <w:start w:val="1"/>
      <w:numFmt w:val="decimal"/>
      <w:lvlText w:val="%7."/>
      <w:lvlJc w:val="left"/>
      <w:pPr>
        <w:ind w:left="6494" w:hanging="360"/>
      </w:pPr>
    </w:lvl>
    <w:lvl w:ilvl="7">
      <w:start w:val="1"/>
      <w:numFmt w:val="lowerLetter"/>
      <w:lvlText w:val="%8."/>
      <w:lvlJc w:val="left"/>
      <w:pPr>
        <w:ind w:left="7214" w:hanging="360"/>
      </w:pPr>
    </w:lvl>
    <w:lvl w:ilvl="8">
      <w:start w:val="1"/>
      <w:numFmt w:val="lowerRoman"/>
      <w:lvlText w:val="%9."/>
      <w:lvlJc w:val="right"/>
      <w:pPr>
        <w:ind w:left="7934" w:hanging="180"/>
      </w:pPr>
    </w:lvl>
  </w:abstractNum>
  <w:abstractNum w:abstractNumId="28"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9"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30" w15:restartNumberingAfterBreak="0">
    <w:nsid w:val="62291BF8"/>
    <w:multiLevelType w:val="multilevel"/>
    <w:tmpl w:val="75D88598"/>
    <w:numStyleLink w:val="Normallist"/>
  </w:abstractNum>
  <w:abstractNum w:abstractNumId="31" w15:restartNumberingAfterBreak="0">
    <w:nsid w:val="62730F02"/>
    <w:multiLevelType w:val="multilevel"/>
    <w:tmpl w:val="5936BDCC"/>
    <w:styleLink w:val="Listeactuelle5"/>
    <w:lvl w:ilvl="0">
      <w:start w:val="1"/>
      <w:numFmt w:val="lowerLetter"/>
      <w:lvlText w:val="(%1)"/>
      <w:lvlJc w:val="left"/>
      <w:pPr>
        <w:ind w:left="1968" w:hanging="360"/>
      </w:pPr>
      <w:rPr>
        <w:rFonts w:hint="default"/>
      </w:rPr>
    </w:lvl>
    <w:lvl w:ilvl="1">
      <w:start w:val="1"/>
      <w:numFmt w:val="bullet"/>
      <w:lvlText w:val="o"/>
      <w:lvlJc w:val="left"/>
      <w:pPr>
        <w:ind w:left="2688" w:hanging="360"/>
      </w:pPr>
      <w:rPr>
        <w:rFonts w:ascii="Courier New" w:hAnsi="Courier New" w:cs="Courier New" w:hint="default"/>
      </w:rPr>
    </w:lvl>
    <w:lvl w:ilvl="2">
      <w:start w:val="1"/>
      <w:numFmt w:val="bullet"/>
      <w:lvlText w:val=""/>
      <w:lvlJc w:val="left"/>
      <w:pPr>
        <w:ind w:left="3408" w:hanging="360"/>
      </w:pPr>
      <w:rPr>
        <w:rFonts w:ascii="Wingdings" w:hAnsi="Wingdings" w:hint="default"/>
      </w:rPr>
    </w:lvl>
    <w:lvl w:ilvl="3">
      <w:start w:val="1"/>
      <w:numFmt w:val="bullet"/>
      <w:lvlText w:val=""/>
      <w:lvlJc w:val="left"/>
      <w:pPr>
        <w:ind w:left="4128" w:hanging="360"/>
      </w:pPr>
      <w:rPr>
        <w:rFonts w:ascii="Symbol" w:hAnsi="Symbol" w:hint="default"/>
      </w:rPr>
    </w:lvl>
    <w:lvl w:ilvl="4">
      <w:start w:val="1"/>
      <w:numFmt w:val="bullet"/>
      <w:lvlText w:val="o"/>
      <w:lvlJc w:val="left"/>
      <w:pPr>
        <w:ind w:left="4848" w:hanging="360"/>
      </w:pPr>
      <w:rPr>
        <w:rFonts w:ascii="Courier New" w:hAnsi="Courier New" w:cs="Courier New" w:hint="default"/>
      </w:rPr>
    </w:lvl>
    <w:lvl w:ilvl="5">
      <w:start w:val="1"/>
      <w:numFmt w:val="bullet"/>
      <w:lvlText w:val=""/>
      <w:lvlJc w:val="left"/>
      <w:pPr>
        <w:ind w:left="5568" w:hanging="360"/>
      </w:pPr>
      <w:rPr>
        <w:rFonts w:ascii="Wingdings" w:hAnsi="Wingdings" w:hint="default"/>
      </w:rPr>
    </w:lvl>
    <w:lvl w:ilvl="6">
      <w:start w:val="1"/>
      <w:numFmt w:val="bullet"/>
      <w:lvlText w:val=""/>
      <w:lvlJc w:val="left"/>
      <w:pPr>
        <w:ind w:left="6288" w:hanging="360"/>
      </w:pPr>
      <w:rPr>
        <w:rFonts w:ascii="Symbol" w:hAnsi="Symbol" w:hint="default"/>
      </w:rPr>
    </w:lvl>
    <w:lvl w:ilvl="7">
      <w:start w:val="1"/>
      <w:numFmt w:val="bullet"/>
      <w:lvlText w:val="o"/>
      <w:lvlJc w:val="left"/>
      <w:pPr>
        <w:ind w:left="7008" w:hanging="360"/>
      </w:pPr>
      <w:rPr>
        <w:rFonts w:ascii="Courier New" w:hAnsi="Courier New" w:cs="Courier New" w:hint="default"/>
      </w:rPr>
    </w:lvl>
    <w:lvl w:ilvl="8">
      <w:start w:val="1"/>
      <w:numFmt w:val="bullet"/>
      <w:lvlText w:val=""/>
      <w:lvlJc w:val="left"/>
      <w:pPr>
        <w:ind w:left="7728" w:hanging="360"/>
      </w:pPr>
      <w:rPr>
        <w:rFonts w:ascii="Wingdings" w:hAnsi="Wingdings" w:hint="default"/>
      </w:rPr>
    </w:lvl>
  </w:abstractNum>
  <w:abstractNum w:abstractNumId="32" w15:restartNumberingAfterBreak="0">
    <w:nsid w:val="655C96EC"/>
    <w:multiLevelType w:val="hybridMultilevel"/>
    <w:tmpl w:val="CB3097A0"/>
    <w:lvl w:ilvl="0" w:tplc="4E348306">
      <w:start w:val="1"/>
      <w:numFmt w:val="bullet"/>
      <w:pStyle w:val="ListBulletTEAP"/>
      <w:lvlText w:val=""/>
      <w:lvlJc w:val="left"/>
      <w:pPr>
        <w:ind w:left="720" w:hanging="360"/>
      </w:pPr>
      <w:rPr>
        <w:rFonts w:ascii="Symbol" w:hAnsi="Symbol" w:hint="default"/>
      </w:rPr>
    </w:lvl>
    <w:lvl w:ilvl="1" w:tplc="D5E69562">
      <w:start w:val="1"/>
      <w:numFmt w:val="bullet"/>
      <w:lvlText w:val="o"/>
      <w:lvlJc w:val="left"/>
      <w:pPr>
        <w:ind w:left="1440" w:hanging="360"/>
      </w:pPr>
      <w:rPr>
        <w:rFonts w:ascii="Courier New" w:hAnsi="Courier New" w:hint="default"/>
      </w:rPr>
    </w:lvl>
    <w:lvl w:ilvl="2" w:tplc="5276DE80">
      <w:start w:val="1"/>
      <w:numFmt w:val="bullet"/>
      <w:lvlText w:val=""/>
      <w:lvlJc w:val="left"/>
      <w:pPr>
        <w:ind w:left="2160" w:hanging="360"/>
      </w:pPr>
      <w:rPr>
        <w:rFonts w:ascii="Wingdings" w:hAnsi="Wingdings" w:hint="default"/>
      </w:rPr>
    </w:lvl>
    <w:lvl w:ilvl="3" w:tplc="82D0C802">
      <w:start w:val="1"/>
      <w:numFmt w:val="bullet"/>
      <w:lvlText w:val=""/>
      <w:lvlJc w:val="left"/>
      <w:pPr>
        <w:ind w:left="2880" w:hanging="360"/>
      </w:pPr>
      <w:rPr>
        <w:rFonts w:ascii="Symbol" w:hAnsi="Symbol" w:hint="default"/>
      </w:rPr>
    </w:lvl>
    <w:lvl w:ilvl="4" w:tplc="9C06407E">
      <w:start w:val="1"/>
      <w:numFmt w:val="bullet"/>
      <w:lvlText w:val="o"/>
      <w:lvlJc w:val="left"/>
      <w:pPr>
        <w:ind w:left="3600" w:hanging="360"/>
      </w:pPr>
      <w:rPr>
        <w:rFonts w:ascii="Courier New" w:hAnsi="Courier New" w:hint="default"/>
      </w:rPr>
    </w:lvl>
    <w:lvl w:ilvl="5" w:tplc="981E4F04">
      <w:start w:val="1"/>
      <w:numFmt w:val="bullet"/>
      <w:lvlText w:val=""/>
      <w:lvlJc w:val="left"/>
      <w:pPr>
        <w:ind w:left="4320" w:hanging="360"/>
      </w:pPr>
      <w:rPr>
        <w:rFonts w:ascii="Wingdings" w:hAnsi="Wingdings" w:hint="default"/>
      </w:rPr>
    </w:lvl>
    <w:lvl w:ilvl="6" w:tplc="DC924FE8">
      <w:start w:val="1"/>
      <w:numFmt w:val="bullet"/>
      <w:lvlText w:val=""/>
      <w:lvlJc w:val="left"/>
      <w:pPr>
        <w:ind w:left="5040" w:hanging="360"/>
      </w:pPr>
      <w:rPr>
        <w:rFonts w:ascii="Symbol" w:hAnsi="Symbol" w:hint="default"/>
      </w:rPr>
    </w:lvl>
    <w:lvl w:ilvl="7" w:tplc="C7B0256C">
      <w:start w:val="1"/>
      <w:numFmt w:val="bullet"/>
      <w:lvlText w:val="o"/>
      <w:lvlJc w:val="left"/>
      <w:pPr>
        <w:ind w:left="5760" w:hanging="360"/>
      </w:pPr>
      <w:rPr>
        <w:rFonts w:ascii="Courier New" w:hAnsi="Courier New" w:hint="default"/>
      </w:rPr>
    </w:lvl>
    <w:lvl w:ilvl="8" w:tplc="0812F59C">
      <w:start w:val="1"/>
      <w:numFmt w:val="bullet"/>
      <w:lvlText w:val=""/>
      <w:lvlJc w:val="left"/>
      <w:pPr>
        <w:ind w:left="6480" w:hanging="360"/>
      </w:pPr>
      <w:rPr>
        <w:rFonts w:ascii="Wingdings" w:hAnsi="Wingdings" w:hint="default"/>
      </w:rPr>
    </w:lvl>
  </w:abstractNum>
  <w:abstractNum w:abstractNumId="33" w15:restartNumberingAfterBreak="0">
    <w:nsid w:val="6CD9180D"/>
    <w:multiLevelType w:val="multilevel"/>
    <w:tmpl w:val="C2E21524"/>
    <w:styleLink w:val="Listeactuelle4"/>
    <w:lvl w:ilvl="0">
      <w:start w:val="1"/>
      <w:numFmt w:val="lowerLetter"/>
      <w:lvlText w:val="(%1)"/>
      <w:lvlJc w:val="left"/>
      <w:pPr>
        <w:ind w:left="2232" w:hanging="360"/>
      </w:pPr>
      <w:rPr>
        <w:rFonts w:hint="default"/>
      </w:rPr>
    </w:lvl>
    <w:lvl w:ilvl="1">
      <w:start w:val="1"/>
      <w:numFmt w:val="lowerLetter"/>
      <w:lvlText w:val="%2."/>
      <w:lvlJc w:val="left"/>
      <w:pPr>
        <w:ind w:left="2952" w:hanging="360"/>
      </w:pPr>
    </w:lvl>
    <w:lvl w:ilvl="2">
      <w:start w:val="1"/>
      <w:numFmt w:val="lowerRoman"/>
      <w:lvlText w:val="%3."/>
      <w:lvlJc w:val="right"/>
      <w:pPr>
        <w:ind w:left="3672" w:hanging="180"/>
      </w:pPr>
    </w:lvl>
    <w:lvl w:ilvl="3">
      <w:start w:val="1"/>
      <w:numFmt w:val="decimal"/>
      <w:lvlText w:val="%4."/>
      <w:lvlJc w:val="left"/>
      <w:pPr>
        <w:ind w:left="4392" w:hanging="360"/>
      </w:pPr>
    </w:lvl>
    <w:lvl w:ilvl="4">
      <w:start w:val="1"/>
      <w:numFmt w:val="lowerLetter"/>
      <w:lvlText w:val="%5."/>
      <w:lvlJc w:val="left"/>
      <w:pPr>
        <w:ind w:left="5112" w:hanging="360"/>
      </w:pPr>
    </w:lvl>
    <w:lvl w:ilvl="5">
      <w:start w:val="1"/>
      <w:numFmt w:val="lowerRoman"/>
      <w:lvlText w:val="%6."/>
      <w:lvlJc w:val="right"/>
      <w:pPr>
        <w:ind w:left="5832" w:hanging="180"/>
      </w:pPr>
    </w:lvl>
    <w:lvl w:ilvl="6">
      <w:start w:val="1"/>
      <w:numFmt w:val="decimal"/>
      <w:lvlText w:val="%7."/>
      <w:lvlJc w:val="left"/>
      <w:pPr>
        <w:ind w:left="6552" w:hanging="360"/>
      </w:pPr>
    </w:lvl>
    <w:lvl w:ilvl="7">
      <w:start w:val="1"/>
      <w:numFmt w:val="lowerLetter"/>
      <w:lvlText w:val="%8."/>
      <w:lvlJc w:val="left"/>
      <w:pPr>
        <w:ind w:left="7272" w:hanging="360"/>
      </w:pPr>
    </w:lvl>
    <w:lvl w:ilvl="8">
      <w:start w:val="1"/>
      <w:numFmt w:val="lowerRoman"/>
      <w:lvlText w:val="%9."/>
      <w:lvlJc w:val="right"/>
      <w:pPr>
        <w:ind w:left="7992" w:hanging="180"/>
      </w:pPr>
    </w:lvl>
  </w:abstractNum>
  <w:abstractNum w:abstractNumId="34"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5" w15:restartNumberingAfterBreak="0">
    <w:nsid w:val="75215237"/>
    <w:multiLevelType w:val="hybridMultilevel"/>
    <w:tmpl w:val="59323238"/>
    <w:lvl w:ilvl="0" w:tplc="040C0017">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36"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6"/>
  </w:num>
  <w:num w:numId="2" w16cid:durableId="1242644713">
    <w:abstractNumId w:val="34"/>
  </w:num>
  <w:num w:numId="3" w16cid:durableId="1933662228">
    <w:abstractNumId w:val="21"/>
  </w:num>
  <w:num w:numId="4" w16cid:durableId="1991909117">
    <w:abstractNumId w:val="11"/>
  </w:num>
  <w:num w:numId="5" w16cid:durableId="1138956019">
    <w:abstractNumId w:val="16"/>
  </w:num>
  <w:num w:numId="6" w16cid:durableId="2059281705">
    <w:abstractNumId w:val="9"/>
  </w:num>
  <w:num w:numId="7" w16cid:durableId="790823720">
    <w:abstractNumId w:val="7"/>
  </w:num>
  <w:num w:numId="8" w16cid:durableId="556164269">
    <w:abstractNumId w:val="6"/>
  </w:num>
  <w:num w:numId="9" w16cid:durableId="883368438">
    <w:abstractNumId w:val="5"/>
  </w:num>
  <w:num w:numId="10" w16cid:durableId="1731926964">
    <w:abstractNumId w:val="4"/>
  </w:num>
  <w:num w:numId="11" w16cid:durableId="1688019683">
    <w:abstractNumId w:val="8"/>
  </w:num>
  <w:num w:numId="12" w16cid:durableId="570043636">
    <w:abstractNumId w:val="3"/>
  </w:num>
  <w:num w:numId="13" w16cid:durableId="627318918">
    <w:abstractNumId w:val="2"/>
  </w:num>
  <w:num w:numId="14" w16cid:durableId="1811702310">
    <w:abstractNumId w:val="1"/>
  </w:num>
  <w:num w:numId="15" w16cid:durableId="500241964">
    <w:abstractNumId w:val="0"/>
  </w:num>
  <w:num w:numId="16" w16cid:durableId="517044029">
    <w:abstractNumId w:val="32"/>
  </w:num>
  <w:num w:numId="17" w16cid:durableId="1425801817">
    <w:abstractNumId w:val="25"/>
  </w:num>
  <w:num w:numId="18" w16cid:durableId="149367271">
    <w:abstractNumId w:val="20"/>
  </w:num>
  <w:num w:numId="19" w16cid:durableId="1056666893">
    <w:abstractNumId w:val="23"/>
  </w:num>
  <w:num w:numId="20" w16cid:durableId="911427144">
    <w:abstractNumId w:val="35"/>
  </w:num>
  <w:num w:numId="21" w16cid:durableId="1806506253">
    <w:abstractNumId w:val="24"/>
  </w:num>
  <w:num w:numId="22" w16cid:durableId="991757662">
    <w:abstractNumId w:val="14"/>
  </w:num>
  <w:num w:numId="23" w16cid:durableId="693842584">
    <w:abstractNumId w:val="19"/>
  </w:num>
  <w:num w:numId="24" w16cid:durableId="483854639">
    <w:abstractNumId w:val="13"/>
  </w:num>
  <w:num w:numId="25" w16cid:durableId="1888956189">
    <w:abstractNumId w:val="27"/>
  </w:num>
  <w:num w:numId="26" w16cid:durableId="730689649">
    <w:abstractNumId w:val="15"/>
  </w:num>
  <w:num w:numId="27" w16cid:durableId="1424060615">
    <w:abstractNumId w:val="33"/>
  </w:num>
  <w:num w:numId="28" w16cid:durableId="1788810906">
    <w:abstractNumId w:val="31"/>
  </w:num>
  <w:num w:numId="29" w16cid:durableId="1626504287">
    <w:abstractNumId w:val="17"/>
  </w:num>
  <w:num w:numId="30" w16cid:durableId="499194188">
    <w:abstractNumId w:val="22"/>
  </w:num>
  <w:num w:numId="31" w16cid:durableId="1702246126">
    <w:abstractNumId w:val="30"/>
  </w:num>
  <w:num w:numId="32" w16cid:durableId="258760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054750">
    <w:abstractNumId w:val="28"/>
  </w:num>
  <w:num w:numId="34" w16cid:durableId="2008628561">
    <w:abstractNumId w:val="29"/>
  </w:num>
  <w:num w:numId="35" w16cid:durableId="1445953522">
    <w:abstractNumId w:val="10"/>
  </w:num>
  <w:num w:numId="36" w16cid:durableId="2036882367">
    <w:abstractNumId w:val="26"/>
    <w:lvlOverride w:ilvl="0">
      <w:startOverride w:val="1"/>
      <w:lvl w:ilvl="0">
        <w:start w:val="1"/>
        <w:numFmt w:val="decimal"/>
        <w:pStyle w:val="Normalnumber"/>
        <w:lvlText w:val="%1."/>
        <w:lvlJc w:val="left"/>
        <w:pPr>
          <w:tabs>
            <w:tab w:val="num" w:pos="1871"/>
          </w:tabs>
          <w:ind w:left="1247" w:firstLine="0"/>
        </w:pPr>
        <w:rPr>
          <w:rFonts w:hint="default"/>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020081516">
    <w:abstractNumId w:val="18"/>
  </w:num>
  <w:num w:numId="38" w16cid:durableId="737441382">
    <w:abstractNumId w:val="12"/>
  </w:num>
  <w:num w:numId="39" w16cid:durableId="97261235">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KE"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5F"/>
    <w:rsid w:val="00000E70"/>
    <w:rsid w:val="00000FA7"/>
    <w:rsid w:val="00001112"/>
    <w:rsid w:val="0000235D"/>
    <w:rsid w:val="00005D80"/>
    <w:rsid w:val="000074E0"/>
    <w:rsid w:val="00007545"/>
    <w:rsid w:val="000079AC"/>
    <w:rsid w:val="000109AD"/>
    <w:rsid w:val="0001373E"/>
    <w:rsid w:val="00013F7F"/>
    <w:rsid w:val="00014101"/>
    <w:rsid w:val="000149E6"/>
    <w:rsid w:val="00014B4C"/>
    <w:rsid w:val="00016AF3"/>
    <w:rsid w:val="000176F9"/>
    <w:rsid w:val="00017BB4"/>
    <w:rsid w:val="000208C8"/>
    <w:rsid w:val="000217AB"/>
    <w:rsid w:val="000239E6"/>
    <w:rsid w:val="00023A0A"/>
    <w:rsid w:val="000247B0"/>
    <w:rsid w:val="000248BE"/>
    <w:rsid w:val="0002684D"/>
    <w:rsid w:val="00026997"/>
    <w:rsid w:val="00027782"/>
    <w:rsid w:val="000300DA"/>
    <w:rsid w:val="00030891"/>
    <w:rsid w:val="00030FB4"/>
    <w:rsid w:val="00031A7D"/>
    <w:rsid w:val="00031D8E"/>
    <w:rsid w:val="00033BEC"/>
    <w:rsid w:val="00033D14"/>
    <w:rsid w:val="00033E0B"/>
    <w:rsid w:val="00033F8C"/>
    <w:rsid w:val="000342C6"/>
    <w:rsid w:val="000349D7"/>
    <w:rsid w:val="0003503C"/>
    <w:rsid w:val="00035EDE"/>
    <w:rsid w:val="00036DA6"/>
    <w:rsid w:val="0003737C"/>
    <w:rsid w:val="00037937"/>
    <w:rsid w:val="00042A61"/>
    <w:rsid w:val="00042E7E"/>
    <w:rsid w:val="000430F9"/>
    <w:rsid w:val="00043E48"/>
    <w:rsid w:val="000451F5"/>
    <w:rsid w:val="00046626"/>
    <w:rsid w:val="0004691D"/>
    <w:rsid w:val="00046D8E"/>
    <w:rsid w:val="00046DE2"/>
    <w:rsid w:val="000509B4"/>
    <w:rsid w:val="0005281B"/>
    <w:rsid w:val="0005320A"/>
    <w:rsid w:val="00054477"/>
    <w:rsid w:val="00056156"/>
    <w:rsid w:val="00056B2C"/>
    <w:rsid w:val="00056D4F"/>
    <w:rsid w:val="00060139"/>
    <w:rsid w:val="0006035B"/>
    <w:rsid w:val="000604CC"/>
    <w:rsid w:val="00064452"/>
    <w:rsid w:val="0006497E"/>
    <w:rsid w:val="00064E44"/>
    <w:rsid w:val="00065921"/>
    <w:rsid w:val="00065FC1"/>
    <w:rsid w:val="000671AD"/>
    <w:rsid w:val="0006752E"/>
    <w:rsid w:val="00067CBC"/>
    <w:rsid w:val="00071341"/>
    <w:rsid w:val="0007166E"/>
    <w:rsid w:val="00071886"/>
    <w:rsid w:val="000721F2"/>
    <w:rsid w:val="00073901"/>
    <w:rsid w:val="00073D42"/>
    <w:rsid w:val="000742BC"/>
    <w:rsid w:val="00074BF0"/>
    <w:rsid w:val="00076334"/>
    <w:rsid w:val="000765AE"/>
    <w:rsid w:val="00076F38"/>
    <w:rsid w:val="00077384"/>
    <w:rsid w:val="00077985"/>
    <w:rsid w:val="0008041D"/>
    <w:rsid w:val="0008042B"/>
    <w:rsid w:val="0008057F"/>
    <w:rsid w:val="000827F1"/>
    <w:rsid w:val="000828D9"/>
    <w:rsid w:val="00082A0A"/>
    <w:rsid w:val="00082A0C"/>
    <w:rsid w:val="00082DCD"/>
    <w:rsid w:val="00083504"/>
    <w:rsid w:val="00083D1F"/>
    <w:rsid w:val="000845B1"/>
    <w:rsid w:val="00084E6B"/>
    <w:rsid w:val="000857B8"/>
    <w:rsid w:val="00085E12"/>
    <w:rsid w:val="00085E4A"/>
    <w:rsid w:val="0008710B"/>
    <w:rsid w:val="0008735D"/>
    <w:rsid w:val="00090342"/>
    <w:rsid w:val="00090881"/>
    <w:rsid w:val="00092DBF"/>
    <w:rsid w:val="00093ABD"/>
    <w:rsid w:val="00093DED"/>
    <w:rsid w:val="00095277"/>
    <w:rsid w:val="00095CD2"/>
    <w:rsid w:val="0009640C"/>
    <w:rsid w:val="0009671F"/>
    <w:rsid w:val="000A064E"/>
    <w:rsid w:val="000A14F4"/>
    <w:rsid w:val="000A238C"/>
    <w:rsid w:val="000A318C"/>
    <w:rsid w:val="000A3286"/>
    <w:rsid w:val="000A341C"/>
    <w:rsid w:val="000A39B9"/>
    <w:rsid w:val="000A4366"/>
    <w:rsid w:val="000A4DB2"/>
    <w:rsid w:val="000A78F4"/>
    <w:rsid w:val="000B00E7"/>
    <w:rsid w:val="000B0746"/>
    <w:rsid w:val="000B0814"/>
    <w:rsid w:val="000B1920"/>
    <w:rsid w:val="000B21D5"/>
    <w:rsid w:val="000B22A2"/>
    <w:rsid w:val="000B38F4"/>
    <w:rsid w:val="000B6E5B"/>
    <w:rsid w:val="000C01F7"/>
    <w:rsid w:val="000C0506"/>
    <w:rsid w:val="000C07E5"/>
    <w:rsid w:val="000C0EA1"/>
    <w:rsid w:val="000C1841"/>
    <w:rsid w:val="000C2A52"/>
    <w:rsid w:val="000C4302"/>
    <w:rsid w:val="000C46A9"/>
    <w:rsid w:val="000C4FAB"/>
    <w:rsid w:val="000C55CC"/>
    <w:rsid w:val="000C6E54"/>
    <w:rsid w:val="000C7EE5"/>
    <w:rsid w:val="000D1B23"/>
    <w:rsid w:val="000D33C0"/>
    <w:rsid w:val="000D3686"/>
    <w:rsid w:val="000D412A"/>
    <w:rsid w:val="000D4175"/>
    <w:rsid w:val="000D5884"/>
    <w:rsid w:val="000D6941"/>
    <w:rsid w:val="000D71B6"/>
    <w:rsid w:val="000E0405"/>
    <w:rsid w:val="000E3705"/>
    <w:rsid w:val="000E3C66"/>
    <w:rsid w:val="000E4471"/>
    <w:rsid w:val="000E4889"/>
    <w:rsid w:val="000E5667"/>
    <w:rsid w:val="000F04AC"/>
    <w:rsid w:val="000F15E8"/>
    <w:rsid w:val="000F1A45"/>
    <w:rsid w:val="000F43FA"/>
    <w:rsid w:val="000F51C2"/>
    <w:rsid w:val="000F5B3E"/>
    <w:rsid w:val="000F5FD1"/>
    <w:rsid w:val="000F600C"/>
    <w:rsid w:val="000F640E"/>
    <w:rsid w:val="000F6A2D"/>
    <w:rsid w:val="000F6CFF"/>
    <w:rsid w:val="001010F0"/>
    <w:rsid w:val="00101BB2"/>
    <w:rsid w:val="0010364A"/>
    <w:rsid w:val="0010500A"/>
    <w:rsid w:val="00105A22"/>
    <w:rsid w:val="00105E3B"/>
    <w:rsid w:val="00105EB9"/>
    <w:rsid w:val="00106E68"/>
    <w:rsid w:val="001071DB"/>
    <w:rsid w:val="00107405"/>
    <w:rsid w:val="00110B86"/>
    <w:rsid w:val="00111DA9"/>
    <w:rsid w:val="00112CEC"/>
    <w:rsid w:val="00112ED6"/>
    <w:rsid w:val="00114A08"/>
    <w:rsid w:val="00115F73"/>
    <w:rsid w:val="00116B6E"/>
    <w:rsid w:val="001202E3"/>
    <w:rsid w:val="001203F7"/>
    <w:rsid w:val="00120F13"/>
    <w:rsid w:val="00121358"/>
    <w:rsid w:val="00122EB0"/>
    <w:rsid w:val="0012331D"/>
    <w:rsid w:val="00123699"/>
    <w:rsid w:val="001238DF"/>
    <w:rsid w:val="00124093"/>
    <w:rsid w:val="00126A80"/>
    <w:rsid w:val="00126DED"/>
    <w:rsid w:val="001304EB"/>
    <w:rsid w:val="0013059D"/>
    <w:rsid w:val="0013134E"/>
    <w:rsid w:val="0013183B"/>
    <w:rsid w:val="00131970"/>
    <w:rsid w:val="00131A7A"/>
    <w:rsid w:val="00134575"/>
    <w:rsid w:val="00134684"/>
    <w:rsid w:val="00136811"/>
    <w:rsid w:val="001400FC"/>
    <w:rsid w:val="0014083A"/>
    <w:rsid w:val="001411B6"/>
    <w:rsid w:val="00141423"/>
    <w:rsid w:val="0014144D"/>
    <w:rsid w:val="00141A55"/>
    <w:rsid w:val="00141F2F"/>
    <w:rsid w:val="00142BFF"/>
    <w:rsid w:val="001438F8"/>
    <w:rsid w:val="0014436A"/>
    <w:rsid w:val="001446A3"/>
    <w:rsid w:val="001447BC"/>
    <w:rsid w:val="00145D3E"/>
    <w:rsid w:val="00146B14"/>
    <w:rsid w:val="00146E80"/>
    <w:rsid w:val="001500A8"/>
    <w:rsid w:val="001508EA"/>
    <w:rsid w:val="00151192"/>
    <w:rsid w:val="00152721"/>
    <w:rsid w:val="001543C2"/>
    <w:rsid w:val="00155395"/>
    <w:rsid w:val="00160E27"/>
    <w:rsid w:val="00162785"/>
    <w:rsid w:val="00163475"/>
    <w:rsid w:val="00165734"/>
    <w:rsid w:val="0016718B"/>
    <w:rsid w:val="00167FE0"/>
    <w:rsid w:val="00172284"/>
    <w:rsid w:val="001727BC"/>
    <w:rsid w:val="00172E6C"/>
    <w:rsid w:val="001737C7"/>
    <w:rsid w:val="00173D27"/>
    <w:rsid w:val="001744DA"/>
    <w:rsid w:val="00174739"/>
    <w:rsid w:val="00174875"/>
    <w:rsid w:val="00176315"/>
    <w:rsid w:val="00180635"/>
    <w:rsid w:val="00180E72"/>
    <w:rsid w:val="00181066"/>
    <w:rsid w:val="0018127C"/>
    <w:rsid w:val="00181642"/>
    <w:rsid w:val="00181EC8"/>
    <w:rsid w:val="00181FC0"/>
    <w:rsid w:val="00182C27"/>
    <w:rsid w:val="00182C57"/>
    <w:rsid w:val="00182D06"/>
    <w:rsid w:val="00183524"/>
    <w:rsid w:val="00183B6C"/>
    <w:rsid w:val="00184349"/>
    <w:rsid w:val="00190FF3"/>
    <w:rsid w:val="0019161E"/>
    <w:rsid w:val="0019190B"/>
    <w:rsid w:val="00191E44"/>
    <w:rsid w:val="0019224E"/>
    <w:rsid w:val="00192906"/>
    <w:rsid w:val="00193F2B"/>
    <w:rsid w:val="00194545"/>
    <w:rsid w:val="00194866"/>
    <w:rsid w:val="00195A45"/>
    <w:rsid w:val="00195B7A"/>
    <w:rsid w:val="00195F33"/>
    <w:rsid w:val="00196EE1"/>
    <w:rsid w:val="001976A3"/>
    <w:rsid w:val="001979A9"/>
    <w:rsid w:val="00197C63"/>
    <w:rsid w:val="001A073E"/>
    <w:rsid w:val="001A0D9E"/>
    <w:rsid w:val="001A12F5"/>
    <w:rsid w:val="001A139B"/>
    <w:rsid w:val="001A2B4C"/>
    <w:rsid w:val="001A41C9"/>
    <w:rsid w:val="001A541A"/>
    <w:rsid w:val="001A5EE1"/>
    <w:rsid w:val="001A6910"/>
    <w:rsid w:val="001A73A4"/>
    <w:rsid w:val="001A7FF9"/>
    <w:rsid w:val="001B07FB"/>
    <w:rsid w:val="001B0D2F"/>
    <w:rsid w:val="001B1444"/>
    <w:rsid w:val="001B1617"/>
    <w:rsid w:val="001B1B5E"/>
    <w:rsid w:val="001B504B"/>
    <w:rsid w:val="001B586A"/>
    <w:rsid w:val="001B61E6"/>
    <w:rsid w:val="001B61EF"/>
    <w:rsid w:val="001B6AB5"/>
    <w:rsid w:val="001C29FC"/>
    <w:rsid w:val="001C2B85"/>
    <w:rsid w:val="001C42B2"/>
    <w:rsid w:val="001C58DC"/>
    <w:rsid w:val="001C5D71"/>
    <w:rsid w:val="001C6887"/>
    <w:rsid w:val="001D02A9"/>
    <w:rsid w:val="001D1087"/>
    <w:rsid w:val="001D175F"/>
    <w:rsid w:val="001D1989"/>
    <w:rsid w:val="001D1C3F"/>
    <w:rsid w:val="001D2214"/>
    <w:rsid w:val="001D29CA"/>
    <w:rsid w:val="001D3874"/>
    <w:rsid w:val="001D3C0D"/>
    <w:rsid w:val="001D3F66"/>
    <w:rsid w:val="001D44DA"/>
    <w:rsid w:val="001D5344"/>
    <w:rsid w:val="001D56CB"/>
    <w:rsid w:val="001D66B2"/>
    <w:rsid w:val="001D7743"/>
    <w:rsid w:val="001D7E75"/>
    <w:rsid w:val="001E0697"/>
    <w:rsid w:val="001E22D1"/>
    <w:rsid w:val="001E2404"/>
    <w:rsid w:val="001E33D5"/>
    <w:rsid w:val="001E3572"/>
    <w:rsid w:val="001E465A"/>
    <w:rsid w:val="001E56D2"/>
    <w:rsid w:val="001E618D"/>
    <w:rsid w:val="001E636F"/>
    <w:rsid w:val="001E7D56"/>
    <w:rsid w:val="001F12EF"/>
    <w:rsid w:val="001F1300"/>
    <w:rsid w:val="001F1854"/>
    <w:rsid w:val="001F3CF6"/>
    <w:rsid w:val="001F5884"/>
    <w:rsid w:val="001F5A93"/>
    <w:rsid w:val="001F75DE"/>
    <w:rsid w:val="001F7667"/>
    <w:rsid w:val="001F7B57"/>
    <w:rsid w:val="001F7D4D"/>
    <w:rsid w:val="00200D58"/>
    <w:rsid w:val="00200FA7"/>
    <w:rsid w:val="002013BE"/>
    <w:rsid w:val="0020241C"/>
    <w:rsid w:val="002031AB"/>
    <w:rsid w:val="002049F8"/>
    <w:rsid w:val="00204CA8"/>
    <w:rsid w:val="0020507D"/>
    <w:rsid w:val="002050B2"/>
    <w:rsid w:val="002063A4"/>
    <w:rsid w:val="00206A1F"/>
    <w:rsid w:val="00206F51"/>
    <w:rsid w:val="00206F97"/>
    <w:rsid w:val="0021069B"/>
    <w:rsid w:val="0021145B"/>
    <w:rsid w:val="00212C45"/>
    <w:rsid w:val="0021411C"/>
    <w:rsid w:val="00214277"/>
    <w:rsid w:val="00215CF1"/>
    <w:rsid w:val="00216AFB"/>
    <w:rsid w:val="0021712E"/>
    <w:rsid w:val="0022140D"/>
    <w:rsid w:val="00222635"/>
    <w:rsid w:val="0022413C"/>
    <w:rsid w:val="00224192"/>
    <w:rsid w:val="002243E9"/>
    <w:rsid w:val="00225424"/>
    <w:rsid w:val="00226D32"/>
    <w:rsid w:val="0022762D"/>
    <w:rsid w:val="0023011A"/>
    <w:rsid w:val="002301D1"/>
    <w:rsid w:val="00230354"/>
    <w:rsid w:val="002308E6"/>
    <w:rsid w:val="00230A32"/>
    <w:rsid w:val="00230E09"/>
    <w:rsid w:val="0023120D"/>
    <w:rsid w:val="002321C0"/>
    <w:rsid w:val="00232303"/>
    <w:rsid w:val="002338A7"/>
    <w:rsid w:val="002344B5"/>
    <w:rsid w:val="00234806"/>
    <w:rsid w:val="002353DE"/>
    <w:rsid w:val="00235F28"/>
    <w:rsid w:val="00236480"/>
    <w:rsid w:val="002378D6"/>
    <w:rsid w:val="00240D83"/>
    <w:rsid w:val="0024140B"/>
    <w:rsid w:val="002416ED"/>
    <w:rsid w:val="0024363F"/>
    <w:rsid w:val="00243D36"/>
    <w:rsid w:val="00247707"/>
    <w:rsid w:val="002503F9"/>
    <w:rsid w:val="00250BDC"/>
    <w:rsid w:val="00252008"/>
    <w:rsid w:val="00253C74"/>
    <w:rsid w:val="002540B7"/>
    <w:rsid w:val="002544B6"/>
    <w:rsid w:val="00254D60"/>
    <w:rsid w:val="00255D55"/>
    <w:rsid w:val="0025656D"/>
    <w:rsid w:val="00256AFA"/>
    <w:rsid w:val="00256C2F"/>
    <w:rsid w:val="00257855"/>
    <w:rsid w:val="00260385"/>
    <w:rsid w:val="00262205"/>
    <w:rsid w:val="002627E3"/>
    <w:rsid w:val="00262FDB"/>
    <w:rsid w:val="00263171"/>
    <w:rsid w:val="002632C1"/>
    <w:rsid w:val="00267637"/>
    <w:rsid w:val="00267A5C"/>
    <w:rsid w:val="0027042B"/>
    <w:rsid w:val="00270E86"/>
    <w:rsid w:val="00271DDA"/>
    <w:rsid w:val="00273509"/>
    <w:rsid w:val="002744C9"/>
    <w:rsid w:val="0027564E"/>
    <w:rsid w:val="00275FB1"/>
    <w:rsid w:val="00277919"/>
    <w:rsid w:val="002800D3"/>
    <w:rsid w:val="00280A53"/>
    <w:rsid w:val="002816A2"/>
    <w:rsid w:val="0028230A"/>
    <w:rsid w:val="00283A3D"/>
    <w:rsid w:val="0028556E"/>
    <w:rsid w:val="00285961"/>
    <w:rsid w:val="00286740"/>
    <w:rsid w:val="00286806"/>
    <w:rsid w:val="00286EB5"/>
    <w:rsid w:val="00287B42"/>
    <w:rsid w:val="00290ACA"/>
    <w:rsid w:val="00291352"/>
    <w:rsid w:val="00292174"/>
    <w:rsid w:val="0029227B"/>
    <w:rsid w:val="00292552"/>
    <w:rsid w:val="002928FF"/>
    <w:rsid w:val="002929D8"/>
    <w:rsid w:val="002935C2"/>
    <w:rsid w:val="00297BD2"/>
    <w:rsid w:val="002A0F15"/>
    <w:rsid w:val="002A0F1C"/>
    <w:rsid w:val="002A1685"/>
    <w:rsid w:val="002A237D"/>
    <w:rsid w:val="002A256B"/>
    <w:rsid w:val="002A4C53"/>
    <w:rsid w:val="002A5407"/>
    <w:rsid w:val="002A5649"/>
    <w:rsid w:val="002A6E7E"/>
    <w:rsid w:val="002B0672"/>
    <w:rsid w:val="002B0885"/>
    <w:rsid w:val="002B0A82"/>
    <w:rsid w:val="002B1B4C"/>
    <w:rsid w:val="002B247F"/>
    <w:rsid w:val="002B2F52"/>
    <w:rsid w:val="002B32D8"/>
    <w:rsid w:val="002B3F14"/>
    <w:rsid w:val="002B49BA"/>
    <w:rsid w:val="002B615A"/>
    <w:rsid w:val="002B655A"/>
    <w:rsid w:val="002B7014"/>
    <w:rsid w:val="002B708E"/>
    <w:rsid w:val="002B7541"/>
    <w:rsid w:val="002C145D"/>
    <w:rsid w:val="002C2C3E"/>
    <w:rsid w:val="002C310A"/>
    <w:rsid w:val="002C533E"/>
    <w:rsid w:val="002C5525"/>
    <w:rsid w:val="002C7F6C"/>
    <w:rsid w:val="002D027F"/>
    <w:rsid w:val="002D1E9F"/>
    <w:rsid w:val="002D4616"/>
    <w:rsid w:val="002D550D"/>
    <w:rsid w:val="002D7476"/>
    <w:rsid w:val="002D7A03"/>
    <w:rsid w:val="002D7A85"/>
    <w:rsid w:val="002D7B60"/>
    <w:rsid w:val="002E147B"/>
    <w:rsid w:val="002E16D1"/>
    <w:rsid w:val="002E19D4"/>
    <w:rsid w:val="002E2CE7"/>
    <w:rsid w:val="002E55B4"/>
    <w:rsid w:val="002E65D7"/>
    <w:rsid w:val="002E717C"/>
    <w:rsid w:val="002F0362"/>
    <w:rsid w:val="002F038B"/>
    <w:rsid w:val="002F1E3B"/>
    <w:rsid w:val="002F1FC6"/>
    <w:rsid w:val="002F2DDD"/>
    <w:rsid w:val="002F2F53"/>
    <w:rsid w:val="002F2F61"/>
    <w:rsid w:val="002F3B78"/>
    <w:rsid w:val="002F4761"/>
    <w:rsid w:val="002F57AF"/>
    <w:rsid w:val="002F5C79"/>
    <w:rsid w:val="00301826"/>
    <w:rsid w:val="0030191A"/>
    <w:rsid w:val="003019E2"/>
    <w:rsid w:val="00303A1D"/>
    <w:rsid w:val="0030414B"/>
    <w:rsid w:val="00304691"/>
    <w:rsid w:val="00304BFA"/>
    <w:rsid w:val="00305D8E"/>
    <w:rsid w:val="0030649F"/>
    <w:rsid w:val="00306EDE"/>
    <w:rsid w:val="0030718C"/>
    <w:rsid w:val="003101E8"/>
    <w:rsid w:val="003107C5"/>
    <w:rsid w:val="00311997"/>
    <w:rsid w:val="00311A6E"/>
    <w:rsid w:val="00311E8F"/>
    <w:rsid w:val="0031413F"/>
    <w:rsid w:val="003148BB"/>
    <w:rsid w:val="00314B80"/>
    <w:rsid w:val="00315EE0"/>
    <w:rsid w:val="00316E67"/>
    <w:rsid w:val="003174A5"/>
    <w:rsid w:val="00317976"/>
    <w:rsid w:val="00317E50"/>
    <w:rsid w:val="003209F2"/>
    <w:rsid w:val="00323001"/>
    <w:rsid w:val="00323885"/>
    <w:rsid w:val="00327499"/>
    <w:rsid w:val="00327AB2"/>
    <w:rsid w:val="00327ED7"/>
    <w:rsid w:val="00330188"/>
    <w:rsid w:val="00331475"/>
    <w:rsid w:val="003321B3"/>
    <w:rsid w:val="00332F12"/>
    <w:rsid w:val="00335571"/>
    <w:rsid w:val="003356EE"/>
    <w:rsid w:val="00335A3D"/>
    <w:rsid w:val="00336627"/>
    <w:rsid w:val="003378BB"/>
    <w:rsid w:val="00337EAF"/>
    <w:rsid w:val="00337F74"/>
    <w:rsid w:val="0034114B"/>
    <w:rsid w:val="003411E5"/>
    <w:rsid w:val="0034209B"/>
    <w:rsid w:val="003429C4"/>
    <w:rsid w:val="00344B00"/>
    <w:rsid w:val="00344DE8"/>
    <w:rsid w:val="00345207"/>
    <w:rsid w:val="0034529D"/>
    <w:rsid w:val="003456AA"/>
    <w:rsid w:val="00346A6A"/>
    <w:rsid w:val="00347B07"/>
    <w:rsid w:val="00347B7F"/>
    <w:rsid w:val="00347D47"/>
    <w:rsid w:val="00351A93"/>
    <w:rsid w:val="00351D12"/>
    <w:rsid w:val="00352780"/>
    <w:rsid w:val="00352A48"/>
    <w:rsid w:val="00353E3D"/>
    <w:rsid w:val="0035411C"/>
    <w:rsid w:val="00355EA9"/>
    <w:rsid w:val="003567A0"/>
    <w:rsid w:val="00356A77"/>
    <w:rsid w:val="0035779D"/>
    <w:rsid w:val="003578DE"/>
    <w:rsid w:val="00357ADF"/>
    <w:rsid w:val="00357F9A"/>
    <w:rsid w:val="00360C2B"/>
    <w:rsid w:val="00362BEA"/>
    <w:rsid w:val="003645BB"/>
    <w:rsid w:val="00364A4A"/>
    <w:rsid w:val="003654A0"/>
    <w:rsid w:val="00365B0C"/>
    <w:rsid w:val="00365F6B"/>
    <w:rsid w:val="00366238"/>
    <w:rsid w:val="00366245"/>
    <w:rsid w:val="003669ED"/>
    <w:rsid w:val="00367946"/>
    <w:rsid w:val="00367EF4"/>
    <w:rsid w:val="003702F4"/>
    <w:rsid w:val="00370383"/>
    <w:rsid w:val="00370847"/>
    <w:rsid w:val="00370BF9"/>
    <w:rsid w:val="00371340"/>
    <w:rsid w:val="00371A8C"/>
    <w:rsid w:val="0037230E"/>
    <w:rsid w:val="003723A0"/>
    <w:rsid w:val="0037296E"/>
    <w:rsid w:val="00373B37"/>
    <w:rsid w:val="0037453C"/>
    <w:rsid w:val="00375866"/>
    <w:rsid w:val="0037597F"/>
    <w:rsid w:val="003759E2"/>
    <w:rsid w:val="00382501"/>
    <w:rsid w:val="00386795"/>
    <w:rsid w:val="00386999"/>
    <w:rsid w:val="00387B9A"/>
    <w:rsid w:val="00390145"/>
    <w:rsid w:val="0039065F"/>
    <w:rsid w:val="00391CE4"/>
    <w:rsid w:val="00392432"/>
    <w:rsid w:val="0039257E"/>
    <w:rsid w:val="00392BDD"/>
    <w:rsid w:val="00394379"/>
    <w:rsid w:val="00395A6E"/>
    <w:rsid w:val="00396257"/>
    <w:rsid w:val="00397EB8"/>
    <w:rsid w:val="003A07AB"/>
    <w:rsid w:val="003A086E"/>
    <w:rsid w:val="003A0A61"/>
    <w:rsid w:val="003A3059"/>
    <w:rsid w:val="003A3438"/>
    <w:rsid w:val="003A37B8"/>
    <w:rsid w:val="003A4FD0"/>
    <w:rsid w:val="003A5383"/>
    <w:rsid w:val="003A60F9"/>
    <w:rsid w:val="003A69D1"/>
    <w:rsid w:val="003A6B61"/>
    <w:rsid w:val="003A747F"/>
    <w:rsid w:val="003A7705"/>
    <w:rsid w:val="003A78D4"/>
    <w:rsid w:val="003A78EB"/>
    <w:rsid w:val="003A7B93"/>
    <w:rsid w:val="003B1545"/>
    <w:rsid w:val="003B1ABA"/>
    <w:rsid w:val="003B2189"/>
    <w:rsid w:val="003B3751"/>
    <w:rsid w:val="003B3B13"/>
    <w:rsid w:val="003B5801"/>
    <w:rsid w:val="003C035E"/>
    <w:rsid w:val="003C0691"/>
    <w:rsid w:val="003C1216"/>
    <w:rsid w:val="003C2DE2"/>
    <w:rsid w:val="003C3267"/>
    <w:rsid w:val="003C3A01"/>
    <w:rsid w:val="003C3E98"/>
    <w:rsid w:val="003C409D"/>
    <w:rsid w:val="003C494B"/>
    <w:rsid w:val="003C5BA6"/>
    <w:rsid w:val="003C6DD3"/>
    <w:rsid w:val="003C7466"/>
    <w:rsid w:val="003D05AA"/>
    <w:rsid w:val="003D07E1"/>
    <w:rsid w:val="003D24F5"/>
    <w:rsid w:val="003D273B"/>
    <w:rsid w:val="003D2AED"/>
    <w:rsid w:val="003D2DC8"/>
    <w:rsid w:val="003D44C9"/>
    <w:rsid w:val="003D51D6"/>
    <w:rsid w:val="003D6451"/>
    <w:rsid w:val="003D71A6"/>
    <w:rsid w:val="003E0179"/>
    <w:rsid w:val="003E171D"/>
    <w:rsid w:val="003E275D"/>
    <w:rsid w:val="003E77AE"/>
    <w:rsid w:val="003E7AD3"/>
    <w:rsid w:val="003F04EC"/>
    <w:rsid w:val="003F05EF"/>
    <w:rsid w:val="003F0E85"/>
    <w:rsid w:val="003F17DD"/>
    <w:rsid w:val="003F39F7"/>
    <w:rsid w:val="003F3D9E"/>
    <w:rsid w:val="003F4C40"/>
    <w:rsid w:val="003F5071"/>
    <w:rsid w:val="003F5E7C"/>
    <w:rsid w:val="003F5F47"/>
    <w:rsid w:val="004003CC"/>
    <w:rsid w:val="00400AF4"/>
    <w:rsid w:val="0040102F"/>
    <w:rsid w:val="00404CB5"/>
    <w:rsid w:val="00405251"/>
    <w:rsid w:val="0040607E"/>
    <w:rsid w:val="00406C5A"/>
    <w:rsid w:val="00406E1D"/>
    <w:rsid w:val="00410B8C"/>
    <w:rsid w:val="00410C55"/>
    <w:rsid w:val="00411924"/>
    <w:rsid w:val="00412054"/>
    <w:rsid w:val="004121AD"/>
    <w:rsid w:val="00414FBA"/>
    <w:rsid w:val="00415BBE"/>
    <w:rsid w:val="0041604D"/>
    <w:rsid w:val="00416520"/>
    <w:rsid w:val="00416854"/>
    <w:rsid w:val="00417725"/>
    <w:rsid w:val="0041779A"/>
    <w:rsid w:val="00417B99"/>
    <w:rsid w:val="00420DDE"/>
    <w:rsid w:val="0042125A"/>
    <w:rsid w:val="00422023"/>
    <w:rsid w:val="004220B8"/>
    <w:rsid w:val="00422F80"/>
    <w:rsid w:val="004243CB"/>
    <w:rsid w:val="004243EA"/>
    <w:rsid w:val="00424F1D"/>
    <w:rsid w:val="00426D4E"/>
    <w:rsid w:val="004310D7"/>
    <w:rsid w:val="0043174C"/>
    <w:rsid w:val="00432DAE"/>
    <w:rsid w:val="00433409"/>
    <w:rsid w:val="0043340F"/>
    <w:rsid w:val="004343D8"/>
    <w:rsid w:val="004361B4"/>
    <w:rsid w:val="004363AA"/>
    <w:rsid w:val="00436497"/>
    <w:rsid w:val="00437F26"/>
    <w:rsid w:val="004403A4"/>
    <w:rsid w:val="00440FD2"/>
    <w:rsid w:val="00441E70"/>
    <w:rsid w:val="004429F5"/>
    <w:rsid w:val="00444097"/>
    <w:rsid w:val="00444188"/>
    <w:rsid w:val="004445DC"/>
    <w:rsid w:val="004446C0"/>
    <w:rsid w:val="004446CF"/>
    <w:rsid w:val="00445487"/>
    <w:rsid w:val="00445CAA"/>
    <w:rsid w:val="00445E47"/>
    <w:rsid w:val="004463B9"/>
    <w:rsid w:val="00447B66"/>
    <w:rsid w:val="00454769"/>
    <w:rsid w:val="00455693"/>
    <w:rsid w:val="0045569D"/>
    <w:rsid w:val="00455900"/>
    <w:rsid w:val="00456D58"/>
    <w:rsid w:val="00456D8A"/>
    <w:rsid w:val="00456E2C"/>
    <w:rsid w:val="00457D65"/>
    <w:rsid w:val="0046026E"/>
    <w:rsid w:val="004604EE"/>
    <w:rsid w:val="00460DF6"/>
    <w:rsid w:val="00463C8F"/>
    <w:rsid w:val="00464061"/>
    <w:rsid w:val="00466441"/>
    <w:rsid w:val="00466991"/>
    <w:rsid w:val="00467960"/>
    <w:rsid w:val="0047064C"/>
    <w:rsid w:val="0047188C"/>
    <w:rsid w:val="00471A41"/>
    <w:rsid w:val="004720AB"/>
    <w:rsid w:val="0047241C"/>
    <w:rsid w:val="0047271A"/>
    <w:rsid w:val="00473188"/>
    <w:rsid w:val="00474B90"/>
    <w:rsid w:val="00474D90"/>
    <w:rsid w:val="004760AA"/>
    <w:rsid w:val="004763FC"/>
    <w:rsid w:val="00476AE0"/>
    <w:rsid w:val="00477204"/>
    <w:rsid w:val="00477AFF"/>
    <w:rsid w:val="00480409"/>
    <w:rsid w:val="004819FD"/>
    <w:rsid w:val="00481F0B"/>
    <w:rsid w:val="0048442E"/>
    <w:rsid w:val="00484DB3"/>
    <w:rsid w:val="00484DCF"/>
    <w:rsid w:val="0048563A"/>
    <w:rsid w:val="00485E6D"/>
    <w:rsid w:val="00486823"/>
    <w:rsid w:val="00490E9E"/>
    <w:rsid w:val="00492054"/>
    <w:rsid w:val="0049231F"/>
    <w:rsid w:val="00493485"/>
    <w:rsid w:val="004944FD"/>
    <w:rsid w:val="00495017"/>
    <w:rsid w:val="004951FF"/>
    <w:rsid w:val="004952CF"/>
    <w:rsid w:val="00495BFE"/>
    <w:rsid w:val="004A2010"/>
    <w:rsid w:val="004A27D1"/>
    <w:rsid w:val="004A29C6"/>
    <w:rsid w:val="004A3E46"/>
    <w:rsid w:val="004A42E1"/>
    <w:rsid w:val="004A480A"/>
    <w:rsid w:val="004A4EB4"/>
    <w:rsid w:val="004A4FCA"/>
    <w:rsid w:val="004A536B"/>
    <w:rsid w:val="004A6D50"/>
    <w:rsid w:val="004A72B9"/>
    <w:rsid w:val="004A75C3"/>
    <w:rsid w:val="004B0C59"/>
    <w:rsid w:val="004B1459"/>
    <w:rsid w:val="004B162C"/>
    <w:rsid w:val="004B27F2"/>
    <w:rsid w:val="004B3075"/>
    <w:rsid w:val="004B3FC3"/>
    <w:rsid w:val="004B5FE6"/>
    <w:rsid w:val="004C19E4"/>
    <w:rsid w:val="004C1AB9"/>
    <w:rsid w:val="004C2F6A"/>
    <w:rsid w:val="004C2F82"/>
    <w:rsid w:val="004C33EB"/>
    <w:rsid w:val="004C3435"/>
    <w:rsid w:val="004C3DBE"/>
    <w:rsid w:val="004C44B7"/>
    <w:rsid w:val="004C5B94"/>
    <w:rsid w:val="004C5C96"/>
    <w:rsid w:val="004C6B63"/>
    <w:rsid w:val="004D02A4"/>
    <w:rsid w:val="004D06A4"/>
    <w:rsid w:val="004D078F"/>
    <w:rsid w:val="004D1D75"/>
    <w:rsid w:val="004D26DE"/>
    <w:rsid w:val="004D4A7B"/>
    <w:rsid w:val="004D5B5D"/>
    <w:rsid w:val="004D60EA"/>
    <w:rsid w:val="004D613B"/>
    <w:rsid w:val="004D6368"/>
    <w:rsid w:val="004D65FF"/>
    <w:rsid w:val="004D684E"/>
    <w:rsid w:val="004E0931"/>
    <w:rsid w:val="004E2A5A"/>
    <w:rsid w:val="004E385D"/>
    <w:rsid w:val="004E3B8F"/>
    <w:rsid w:val="004E59D4"/>
    <w:rsid w:val="004E5F10"/>
    <w:rsid w:val="004E6ECD"/>
    <w:rsid w:val="004E79AC"/>
    <w:rsid w:val="004F12E9"/>
    <w:rsid w:val="004F1A81"/>
    <w:rsid w:val="004F2FD9"/>
    <w:rsid w:val="004F4153"/>
    <w:rsid w:val="004F5A52"/>
    <w:rsid w:val="004F6B61"/>
    <w:rsid w:val="004F6F31"/>
    <w:rsid w:val="004F7ED9"/>
    <w:rsid w:val="0050086C"/>
    <w:rsid w:val="00504F9B"/>
    <w:rsid w:val="005054AF"/>
    <w:rsid w:val="00511095"/>
    <w:rsid w:val="00512F9D"/>
    <w:rsid w:val="00513A38"/>
    <w:rsid w:val="00515AAE"/>
    <w:rsid w:val="00515D11"/>
    <w:rsid w:val="00516859"/>
    <w:rsid w:val="005170CA"/>
    <w:rsid w:val="005173B7"/>
    <w:rsid w:val="005178A7"/>
    <w:rsid w:val="005215EB"/>
    <w:rsid w:val="005218D9"/>
    <w:rsid w:val="00522640"/>
    <w:rsid w:val="00523D16"/>
    <w:rsid w:val="005274C1"/>
    <w:rsid w:val="00530701"/>
    <w:rsid w:val="00530F76"/>
    <w:rsid w:val="00531783"/>
    <w:rsid w:val="00532935"/>
    <w:rsid w:val="00532E47"/>
    <w:rsid w:val="00533BC7"/>
    <w:rsid w:val="0053561F"/>
    <w:rsid w:val="005356EF"/>
    <w:rsid w:val="00535FF0"/>
    <w:rsid w:val="00536186"/>
    <w:rsid w:val="00536826"/>
    <w:rsid w:val="00540115"/>
    <w:rsid w:val="0054155B"/>
    <w:rsid w:val="005417C7"/>
    <w:rsid w:val="005435E6"/>
    <w:rsid w:val="00544CBB"/>
    <w:rsid w:val="005504FB"/>
    <w:rsid w:val="00550518"/>
    <w:rsid w:val="00552B85"/>
    <w:rsid w:val="00552CD6"/>
    <w:rsid w:val="00552CFC"/>
    <w:rsid w:val="00555A39"/>
    <w:rsid w:val="005568FE"/>
    <w:rsid w:val="005573B5"/>
    <w:rsid w:val="00557936"/>
    <w:rsid w:val="00557A3F"/>
    <w:rsid w:val="00560E78"/>
    <w:rsid w:val="005613A1"/>
    <w:rsid w:val="005617F1"/>
    <w:rsid w:val="00562779"/>
    <w:rsid w:val="00564034"/>
    <w:rsid w:val="0056412E"/>
    <w:rsid w:val="00564674"/>
    <w:rsid w:val="00565001"/>
    <w:rsid w:val="00567B93"/>
    <w:rsid w:val="0057030B"/>
    <w:rsid w:val="00570A92"/>
    <w:rsid w:val="005726CA"/>
    <w:rsid w:val="0057315F"/>
    <w:rsid w:val="0057441A"/>
    <w:rsid w:val="00574CBD"/>
    <w:rsid w:val="00574E01"/>
    <w:rsid w:val="00575CB3"/>
    <w:rsid w:val="00575DF1"/>
    <w:rsid w:val="00576104"/>
    <w:rsid w:val="00576482"/>
    <w:rsid w:val="00577AEC"/>
    <w:rsid w:val="00577E0F"/>
    <w:rsid w:val="00580606"/>
    <w:rsid w:val="00582701"/>
    <w:rsid w:val="0058350D"/>
    <w:rsid w:val="00583D3F"/>
    <w:rsid w:val="00584F32"/>
    <w:rsid w:val="0058715C"/>
    <w:rsid w:val="005904E4"/>
    <w:rsid w:val="005909F3"/>
    <w:rsid w:val="0059176A"/>
    <w:rsid w:val="00591FDC"/>
    <w:rsid w:val="005920F1"/>
    <w:rsid w:val="00592129"/>
    <w:rsid w:val="00592FF4"/>
    <w:rsid w:val="005940BC"/>
    <w:rsid w:val="00594BA0"/>
    <w:rsid w:val="00596F3D"/>
    <w:rsid w:val="005A2545"/>
    <w:rsid w:val="005A41DD"/>
    <w:rsid w:val="005A451D"/>
    <w:rsid w:val="005A5DE5"/>
    <w:rsid w:val="005A7325"/>
    <w:rsid w:val="005B185F"/>
    <w:rsid w:val="005B2442"/>
    <w:rsid w:val="005B2A1A"/>
    <w:rsid w:val="005B2BEA"/>
    <w:rsid w:val="005B35C7"/>
    <w:rsid w:val="005B3F8F"/>
    <w:rsid w:val="005B44EE"/>
    <w:rsid w:val="005B485F"/>
    <w:rsid w:val="005B4B51"/>
    <w:rsid w:val="005B5EAC"/>
    <w:rsid w:val="005B7161"/>
    <w:rsid w:val="005B7493"/>
    <w:rsid w:val="005C10B4"/>
    <w:rsid w:val="005C1B23"/>
    <w:rsid w:val="005C1C1D"/>
    <w:rsid w:val="005C1D60"/>
    <w:rsid w:val="005C2213"/>
    <w:rsid w:val="005C5397"/>
    <w:rsid w:val="005C67C8"/>
    <w:rsid w:val="005D0249"/>
    <w:rsid w:val="005D23A3"/>
    <w:rsid w:val="005D278F"/>
    <w:rsid w:val="005D2EA4"/>
    <w:rsid w:val="005D320A"/>
    <w:rsid w:val="005D46C0"/>
    <w:rsid w:val="005D6E8C"/>
    <w:rsid w:val="005E3DAD"/>
    <w:rsid w:val="005E4D5E"/>
    <w:rsid w:val="005E4E0B"/>
    <w:rsid w:val="005E51C1"/>
    <w:rsid w:val="005E5722"/>
    <w:rsid w:val="005E5C30"/>
    <w:rsid w:val="005E6E42"/>
    <w:rsid w:val="005E7308"/>
    <w:rsid w:val="005F100C"/>
    <w:rsid w:val="005F1541"/>
    <w:rsid w:val="005F17F9"/>
    <w:rsid w:val="005F403F"/>
    <w:rsid w:val="005F42A5"/>
    <w:rsid w:val="005F68DA"/>
    <w:rsid w:val="005F6B34"/>
    <w:rsid w:val="005F73DD"/>
    <w:rsid w:val="005F75E6"/>
    <w:rsid w:val="005F7BFC"/>
    <w:rsid w:val="006014DD"/>
    <w:rsid w:val="0060162F"/>
    <w:rsid w:val="00602167"/>
    <w:rsid w:val="00602945"/>
    <w:rsid w:val="00604D1D"/>
    <w:rsid w:val="0060773B"/>
    <w:rsid w:val="00607D94"/>
    <w:rsid w:val="0061106B"/>
    <w:rsid w:val="00611A8D"/>
    <w:rsid w:val="006143E7"/>
    <w:rsid w:val="006157B5"/>
    <w:rsid w:val="00615D81"/>
    <w:rsid w:val="006168A4"/>
    <w:rsid w:val="00617F2E"/>
    <w:rsid w:val="00617F59"/>
    <w:rsid w:val="00621232"/>
    <w:rsid w:val="006214BB"/>
    <w:rsid w:val="00623A08"/>
    <w:rsid w:val="0062602F"/>
    <w:rsid w:val="0062604C"/>
    <w:rsid w:val="00626FC6"/>
    <w:rsid w:val="006303B4"/>
    <w:rsid w:val="00630A58"/>
    <w:rsid w:val="00630F6D"/>
    <w:rsid w:val="00631D62"/>
    <w:rsid w:val="006325D5"/>
    <w:rsid w:val="00632624"/>
    <w:rsid w:val="0063276E"/>
    <w:rsid w:val="006329EF"/>
    <w:rsid w:val="00633CEB"/>
    <w:rsid w:val="00633D3D"/>
    <w:rsid w:val="00633E21"/>
    <w:rsid w:val="00633F3A"/>
    <w:rsid w:val="0063457E"/>
    <w:rsid w:val="00634B93"/>
    <w:rsid w:val="00636CC4"/>
    <w:rsid w:val="00637493"/>
    <w:rsid w:val="00637BA0"/>
    <w:rsid w:val="00637D31"/>
    <w:rsid w:val="00640909"/>
    <w:rsid w:val="00640ADA"/>
    <w:rsid w:val="00641703"/>
    <w:rsid w:val="00642F34"/>
    <w:rsid w:val="0064308A"/>
    <w:rsid w:val="006431A6"/>
    <w:rsid w:val="00643A6C"/>
    <w:rsid w:val="006454D4"/>
    <w:rsid w:val="006459F6"/>
    <w:rsid w:val="00646564"/>
    <w:rsid w:val="0064682D"/>
    <w:rsid w:val="00647CC1"/>
    <w:rsid w:val="006501AD"/>
    <w:rsid w:val="006510FD"/>
    <w:rsid w:val="006519E9"/>
    <w:rsid w:val="00651BFA"/>
    <w:rsid w:val="00651FAB"/>
    <w:rsid w:val="006532AF"/>
    <w:rsid w:val="006533B3"/>
    <w:rsid w:val="00653DD8"/>
    <w:rsid w:val="006541A0"/>
    <w:rsid w:val="00660901"/>
    <w:rsid w:val="00661589"/>
    <w:rsid w:val="00662078"/>
    <w:rsid w:val="00663A80"/>
    <w:rsid w:val="00663AA0"/>
    <w:rsid w:val="00664EBA"/>
    <w:rsid w:val="0066537D"/>
    <w:rsid w:val="00665A4B"/>
    <w:rsid w:val="006661BB"/>
    <w:rsid w:val="006663BB"/>
    <w:rsid w:val="0066648F"/>
    <w:rsid w:val="0066650D"/>
    <w:rsid w:val="0066740F"/>
    <w:rsid w:val="00667DE4"/>
    <w:rsid w:val="006705B1"/>
    <w:rsid w:val="00670ABC"/>
    <w:rsid w:val="006711FB"/>
    <w:rsid w:val="00671C4A"/>
    <w:rsid w:val="006731FE"/>
    <w:rsid w:val="00674FEB"/>
    <w:rsid w:val="006762B2"/>
    <w:rsid w:val="00676916"/>
    <w:rsid w:val="00676AF6"/>
    <w:rsid w:val="00676DBC"/>
    <w:rsid w:val="00677FD4"/>
    <w:rsid w:val="006808C6"/>
    <w:rsid w:val="00681766"/>
    <w:rsid w:val="006834FC"/>
    <w:rsid w:val="006840E8"/>
    <w:rsid w:val="00684298"/>
    <w:rsid w:val="0068772F"/>
    <w:rsid w:val="0069026D"/>
    <w:rsid w:val="00690AC7"/>
    <w:rsid w:val="00691DAE"/>
    <w:rsid w:val="0069208B"/>
    <w:rsid w:val="006923D7"/>
    <w:rsid w:val="006926D3"/>
    <w:rsid w:val="00692E2A"/>
    <w:rsid w:val="00693356"/>
    <w:rsid w:val="00694317"/>
    <w:rsid w:val="00695343"/>
    <w:rsid w:val="006965EC"/>
    <w:rsid w:val="006A14F8"/>
    <w:rsid w:val="006A1E0B"/>
    <w:rsid w:val="006A2A1D"/>
    <w:rsid w:val="006A2ABA"/>
    <w:rsid w:val="006A3C9B"/>
    <w:rsid w:val="006A3F90"/>
    <w:rsid w:val="006A5A6F"/>
    <w:rsid w:val="006A5A71"/>
    <w:rsid w:val="006A76F2"/>
    <w:rsid w:val="006B3263"/>
    <w:rsid w:val="006B7083"/>
    <w:rsid w:val="006B7A99"/>
    <w:rsid w:val="006C0684"/>
    <w:rsid w:val="006C0715"/>
    <w:rsid w:val="006C1440"/>
    <w:rsid w:val="006C15F4"/>
    <w:rsid w:val="006C1F12"/>
    <w:rsid w:val="006C24BC"/>
    <w:rsid w:val="006C3865"/>
    <w:rsid w:val="006C3DDA"/>
    <w:rsid w:val="006C42C1"/>
    <w:rsid w:val="006C562E"/>
    <w:rsid w:val="006C592F"/>
    <w:rsid w:val="006C5EAA"/>
    <w:rsid w:val="006D0477"/>
    <w:rsid w:val="006D2347"/>
    <w:rsid w:val="006D3277"/>
    <w:rsid w:val="006D4089"/>
    <w:rsid w:val="006D6AA2"/>
    <w:rsid w:val="006D7773"/>
    <w:rsid w:val="006D7EFB"/>
    <w:rsid w:val="006E0C18"/>
    <w:rsid w:val="006E3E73"/>
    <w:rsid w:val="006E573B"/>
    <w:rsid w:val="006E6591"/>
    <w:rsid w:val="006E6672"/>
    <w:rsid w:val="006E6722"/>
    <w:rsid w:val="006E6C78"/>
    <w:rsid w:val="006F0416"/>
    <w:rsid w:val="006F10F1"/>
    <w:rsid w:val="006F4CE0"/>
    <w:rsid w:val="006F57F2"/>
    <w:rsid w:val="006F6C39"/>
    <w:rsid w:val="00700A6D"/>
    <w:rsid w:val="00700CB5"/>
    <w:rsid w:val="007019D2"/>
    <w:rsid w:val="0070235F"/>
    <w:rsid w:val="007027B9"/>
    <w:rsid w:val="00702AAE"/>
    <w:rsid w:val="0070407C"/>
    <w:rsid w:val="00705345"/>
    <w:rsid w:val="00705F38"/>
    <w:rsid w:val="0071000E"/>
    <w:rsid w:val="00710DDB"/>
    <w:rsid w:val="007122E4"/>
    <w:rsid w:val="00712875"/>
    <w:rsid w:val="00713424"/>
    <w:rsid w:val="00713D8F"/>
    <w:rsid w:val="0071460D"/>
    <w:rsid w:val="00715E88"/>
    <w:rsid w:val="0071600D"/>
    <w:rsid w:val="007175B8"/>
    <w:rsid w:val="0072052C"/>
    <w:rsid w:val="00721A1A"/>
    <w:rsid w:val="00721DAB"/>
    <w:rsid w:val="007225B3"/>
    <w:rsid w:val="00722641"/>
    <w:rsid w:val="0072282F"/>
    <w:rsid w:val="00724105"/>
    <w:rsid w:val="0072508B"/>
    <w:rsid w:val="00730B01"/>
    <w:rsid w:val="00730E74"/>
    <w:rsid w:val="00732257"/>
    <w:rsid w:val="007347C8"/>
    <w:rsid w:val="00734CAA"/>
    <w:rsid w:val="007350E3"/>
    <w:rsid w:val="00735DAF"/>
    <w:rsid w:val="00736583"/>
    <w:rsid w:val="00740C83"/>
    <w:rsid w:val="00741923"/>
    <w:rsid w:val="00741AEA"/>
    <w:rsid w:val="00742A25"/>
    <w:rsid w:val="00743FD6"/>
    <w:rsid w:val="0074401A"/>
    <w:rsid w:val="00744A72"/>
    <w:rsid w:val="00744CF6"/>
    <w:rsid w:val="00747C01"/>
    <w:rsid w:val="00747F82"/>
    <w:rsid w:val="00747FB5"/>
    <w:rsid w:val="00750B13"/>
    <w:rsid w:val="00752B98"/>
    <w:rsid w:val="007538A5"/>
    <w:rsid w:val="0075473A"/>
    <w:rsid w:val="00755106"/>
    <w:rsid w:val="0075533C"/>
    <w:rsid w:val="00755ACE"/>
    <w:rsid w:val="00755D61"/>
    <w:rsid w:val="00755DA9"/>
    <w:rsid w:val="0075715D"/>
    <w:rsid w:val="00757581"/>
    <w:rsid w:val="00757C16"/>
    <w:rsid w:val="00757C2B"/>
    <w:rsid w:val="007611A0"/>
    <w:rsid w:val="007658A0"/>
    <w:rsid w:val="0076684B"/>
    <w:rsid w:val="0076685B"/>
    <w:rsid w:val="00770004"/>
    <w:rsid w:val="00771992"/>
    <w:rsid w:val="00776006"/>
    <w:rsid w:val="00777E27"/>
    <w:rsid w:val="00780A49"/>
    <w:rsid w:val="007836F4"/>
    <w:rsid w:val="00783907"/>
    <w:rsid w:val="00783B18"/>
    <w:rsid w:val="0078424E"/>
    <w:rsid w:val="00785376"/>
    <w:rsid w:val="0078611D"/>
    <w:rsid w:val="007900C2"/>
    <w:rsid w:val="007903A0"/>
    <w:rsid w:val="00790DF9"/>
    <w:rsid w:val="00792206"/>
    <w:rsid w:val="007932FB"/>
    <w:rsid w:val="0079470B"/>
    <w:rsid w:val="007949FD"/>
    <w:rsid w:val="007962F7"/>
    <w:rsid w:val="0079660F"/>
    <w:rsid w:val="0079689C"/>
    <w:rsid w:val="00796D3F"/>
    <w:rsid w:val="0079748D"/>
    <w:rsid w:val="007A00D8"/>
    <w:rsid w:val="007A10D0"/>
    <w:rsid w:val="007A1683"/>
    <w:rsid w:val="007A34EC"/>
    <w:rsid w:val="007A3666"/>
    <w:rsid w:val="007A36F8"/>
    <w:rsid w:val="007A5C12"/>
    <w:rsid w:val="007A6D6B"/>
    <w:rsid w:val="007A7CB0"/>
    <w:rsid w:val="007B11D9"/>
    <w:rsid w:val="007B1940"/>
    <w:rsid w:val="007B38D8"/>
    <w:rsid w:val="007B435C"/>
    <w:rsid w:val="007B68A3"/>
    <w:rsid w:val="007B7E4A"/>
    <w:rsid w:val="007C0C75"/>
    <w:rsid w:val="007C1A31"/>
    <w:rsid w:val="007C205B"/>
    <w:rsid w:val="007C2541"/>
    <w:rsid w:val="007C25A2"/>
    <w:rsid w:val="007C29EE"/>
    <w:rsid w:val="007C303E"/>
    <w:rsid w:val="007C3C0A"/>
    <w:rsid w:val="007C44C6"/>
    <w:rsid w:val="007C54DC"/>
    <w:rsid w:val="007C79E7"/>
    <w:rsid w:val="007D0783"/>
    <w:rsid w:val="007D394C"/>
    <w:rsid w:val="007D4B0C"/>
    <w:rsid w:val="007D6288"/>
    <w:rsid w:val="007D66A8"/>
    <w:rsid w:val="007D6FB1"/>
    <w:rsid w:val="007D71BF"/>
    <w:rsid w:val="007D773D"/>
    <w:rsid w:val="007E003F"/>
    <w:rsid w:val="007E3DFC"/>
    <w:rsid w:val="007E4996"/>
    <w:rsid w:val="007E689E"/>
    <w:rsid w:val="007E6F61"/>
    <w:rsid w:val="007E7479"/>
    <w:rsid w:val="007E7A3A"/>
    <w:rsid w:val="007F0691"/>
    <w:rsid w:val="007F0697"/>
    <w:rsid w:val="007F1163"/>
    <w:rsid w:val="007F1F87"/>
    <w:rsid w:val="007F259A"/>
    <w:rsid w:val="007F33B0"/>
    <w:rsid w:val="007F57BD"/>
    <w:rsid w:val="007F5D4D"/>
    <w:rsid w:val="007F5E9D"/>
    <w:rsid w:val="007F6934"/>
    <w:rsid w:val="007F6E42"/>
    <w:rsid w:val="00802E72"/>
    <w:rsid w:val="00803583"/>
    <w:rsid w:val="00803717"/>
    <w:rsid w:val="00805B5D"/>
    <w:rsid w:val="00805F1D"/>
    <w:rsid w:val="0080622E"/>
    <w:rsid w:val="00806447"/>
    <w:rsid w:val="00806BA2"/>
    <w:rsid w:val="00807EBA"/>
    <w:rsid w:val="008132AE"/>
    <w:rsid w:val="00813595"/>
    <w:rsid w:val="00816175"/>
    <w:rsid w:val="0081617A"/>
    <w:rsid w:val="008164F2"/>
    <w:rsid w:val="00817192"/>
    <w:rsid w:val="0081731E"/>
    <w:rsid w:val="00817B33"/>
    <w:rsid w:val="00817CBB"/>
    <w:rsid w:val="00820CBD"/>
    <w:rsid w:val="00820CF3"/>
    <w:rsid w:val="00821395"/>
    <w:rsid w:val="0082201A"/>
    <w:rsid w:val="00822074"/>
    <w:rsid w:val="00823787"/>
    <w:rsid w:val="00823B9B"/>
    <w:rsid w:val="00825DED"/>
    <w:rsid w:val="00826E06"/>
    <w:rsid w:val="0082713C"/>
    <w:rsid w:val="00830149"/>
    <w:rsid w:val="00830E16"/>
    <w:rsid w:val="00830E26"/>
    <w:rsid w:val="00832D76"/>
    <w:rsid w:val="0083449C"/>
    <w:rsid w:val="00836849"/>
    <w:rsid w:val="00840192"/>
    <w:rsid w:val="0084309A"/>
    <w:rsid w:val="00843576"/>
    <w:rsid w:val="0084392B"/>
    <w:rsid w:val="00843A1C"/>
    <w:rsid w:val="00843B64"/>
    <w:rsid w:val="00843BAD"/>
    <w:rsid w:val="00843D22"/>
    <w:rsid w:val="00844741"/>
    <w:rsid w:val="00844853"/>
    <w:rsid w:val="00844C7B"/>
    <w:rsid w:val="0084585D"/>
    <w:rsid w:val="00846949"/>
    <w:rsid w:val="0084708D"/>
    <w:rsid w:val="008470BD"/>
    <w:rsid w:val="008478FC"/>
    <w:rsid w:val="0085204E"/>
    <w:rsid w:val="008522DF"/>
    <w:rsid w:val="008525D6"/>
    <w:rsid w:val="008549A8"/>
    <w:rsid w:val="00855878"/>
    <w:rsid w:val="00855B82"/>
    <w:rsid w:val="00857900"/>
    <w:rsid w:val="00864C78"/>
    <w:rsid w:val="008658C9"/>
    <w:rsid w:val="0086649A"/>
    <w:rsid w:val="00867BFF"/>
    <w:rsid w:val="008705E6"/>
    <w:rsid w:val="0087194D"/>
    <w:rsid w:val="00871D35"/>
    <w:rsid w:val="008740D7"/>
    <w:rsid w:val="00874756"/>
    <w:rsid w:val="00874F47"/>
    <w:rsid w:val="00875590"/>
    <w:rsid w:val="00875DC7"/>
    <w:rsid w:val="008762CE"/>
    <w:rsid w:val="008816E6"/>
    <w:rsid w:val="00881751"/>
    <w:rsid w:val="00881E7C"/>
    <w:rsid w:val="00881EB1"/>
    <w:rsid w:val="00882F71"/>
    <w:rsid w:val="0088480A"/>
    <w:rsid w:val="00885C04"/>
    <w:rsid w:val="0088757A"/>
    <w:rsid w:val="00887E9C"/>
    <w:rsid w:val="008911A3"/>
    <w:rsid w:val="008913BE"/>
    <w:rsid w:val="00891438"/>
    <w:rsid w:val="00892463"/>
    <w:rsid w:val="00892924"/>
    <w:rsid w:val="00893539"/>
    <w:rsid w:val="00894D74"/>
    <w:rsid w:val="008957DD"/>
    <w:rsid w:val="008979C2"/>
    <w:rsid w:val="00897D98"/>
    <w:rsid w:val="00897E5E"/>
    <w:rsid w:val="008A1849"/>
    <w:rsid w:val="008A26B4"/>
    <w:rsid w:val="008A2B9A"/>
    <w:rsid w:val="008A3AAC"/>
    <w:rsid w:val="008A3FA6"/>
    <w:rsid w:val="008A44AD"/>
    <w:rsid w:val="008A6223"/>
    <w:rsid w:val="008A6815"/>
    <w:rsid w:val="008A6CE8"/>
    <w:rsid w:val="008A6DF2"/>
    <w:rsid w:val="008A7807"/>
    <w:rsid w:val="008B0D6B"/>
    <w:rsid w:val="008B0F17"/>
    <w:rsid w:val="008B1774"/>
    <w:rsid w:val="008B18C0"/>
    <w:rsid w:val="008B1941"/>
    <w:rsid w:val="008B2897"/>
    <w:rsid w:val="008B3832"/>
    <w:rsid w:val="008B4CC9"/>
    <w:rsid w:val="008C0D5F"/>
    <w:rsid w:val="008C13F0"/>
    <w:rsid w:val="008C1B8B"/>
    <w:rsid w:val="008C1C63"/>
    <w:rsid w:val="008C22E8"/>
    <w:rsid w:val="008C30B4"/>
    <w:rsid w:val="008C3239"/>
    <w:rsid w:val="008C3272"/>
    <w:rsid w:val="008C52A4"/>
    <w:rsid w:val="008C7813"/>
    <w:rsid w:val="008C7A27"/>
    <w:rsid w:val="008C7DBB"/>
    <w:rsid w:val="008D0075"/>
    <w:rsid w:val="008D20A1"/>
    <w:rsid w:val="008D2160"/>
    <w:rsid w:val="008D3AE0"/>
    <w:rsid w:val="008D444B"/>
    <w:rsid w:val="008D6428"/>
    <w:rsid w:val="008D7C99"/>
    <w:rsid w:val="008E0FCB"/>
    <w:rsid w:val="008E103D"/>
    <w:rsid w:val="008E1A63"/>
    <w:rsid w:val="008E1EC3"/>
    <w:rsid w:val="008E218E"/>
    <w:rsid w:val="008E309D"/>
    <w:rsid w:val="008E6220"/>
    <w:rsid w:val="008E6B3F"/>
    <w:rsid w:val="008F0CEB"/>
    <w:rsid w:val="008F1771"/>
    <w:rsid w:val="008F369B"/>
    <w:rsid w:val="008F3E3C"/>
    <w:rsid w:val="008F4BB2"/>
    <w:rsid w:val="008F56C7"/>
    <w:rsid w:val="008F7D87"/>
    <w:rsid w:val="00902683"/>
    <w:rsid w:val="00903FE5"/>
    <w:rsid w:val="009046CB"/>
    <w:rsid w:val="00907531"/>
    <w:rsid w:val="009075ED"/>
    <w:rsid w:val="00907D78"/>
    <w:rsid w:val="00911A50"/>
    <w:rsid w:val="00911E29"/>
    <w:rsid w:val="009124E4"/>
    <w:rsid w:val="00914BA1"/>
    <w:rsid w:val="00917C1A"/>
    <w:rsid w:val="00917C66"/>
    <w:rsid w:val="0092178C"/>
    <w:rsid w:val="00921B83"/>
    <w:rsid w:val="0092207D"/>
    <w:rsid w:val="009220D7"/>
    <w:rsid w:val="00922E2D"/>
    <w:rsid w:val="00923EA3"/>
    <w:rsid w:val="00923FD9"/>
    <w:rsid w:val="0092433D"/>
    <w:rsid w:val="009245F7"/>
    <w:rsid w:val="0092493F"/>
    <w:rsid w:val="00924A8D"/>
    <w:rsid w:val="00925FB4"/>
    <w:rsid w:val="009262F1"/>
    <w:rsid w:val="009269E8"/>
    <w:rsid w:val="00926A33"/>
    <w:rsid w:val="00930140"/>
    <w:rsid w:val="00930B88"/>
    <w:rsid w:val="00931869"/>
    <w:rsid w:val="009346CF"/>
    <w:rsid w:val="00934E06"/>
    <w:rsid w:val="0093558B"/>
    <w:rsid w:val="009378DC"/>
    <w:rsid w:val="00937AFC"/>
    <w:rsid w:val="009403A8"/>
    <w:rsid w:val="00940DCC"/>
    <w:rsid w:val="00940FE8"/>
    <w:rsid w:val="00941698"/>
    <w:rsid w:val="0094179A"/>
    <w:rsid w:val="00941ADD"/>
    <w:rsid w:val="009423F5"/>
    <w:rsid w:val="0094284D"/>
    <w:rsid w:val="0094459E"/>
    <w:rsid w:val="00944DBC"/>
    <w:rsid w:val="009454B6"/>
    <w:rsid w:val="00946536"/>
    <w:rsid w:val="009469F7"/>
    <w:rsid w:val="00950977"/>
    <w:rsid w:val="00951A7B"/>
    <w:rsid w:val="00953CBC"/>
    <w:rsid w:val="009540AC"/>
    <w:rsid w:val="00954775"/>
    <w:rsid w:val="00954B17"/>
    <w:rsid w:val="00955F3F"/>
    <w:rsid w:val="00956451"/>
    <w:rsid w:val="009564A6"/>
    <w:rsid w:val="009565B6"/>
    <w:rsid w:val="009602B1"/>
    <w:rsid w:val="009602D4"/>
    <w:rsid w:val="00961528"/>
    <w:rsid w:val="00961A1F"/>
    <w:rsid w:val="00961A33"/>
    <w:rsid w:val="009628B9"/>
    <w:rsid w:val="0096391B"/>
    <w:rsid w:val="0096418E"/>
    <w:rsid w:val="0096638A"/>
    <w:rsid w:val="00967621"/>
    <w:rsid w:val="00967E6A"/>
    <w:rsid w:val="009713D8"/>
    <w:rsid w:val="00971C09"/>
    <w:rsid w:val="00972BC4"/>
    <w:rsid w:val="00973BC1"/>
    <w:rsid w:val="00973FCC"/>
    <w:rsid w:val="00974135"/>
    <w:rsid w:val="009748B2"/>
    <w:rsid w:val="00976070"/>
    <w:rsid w:val="00976C20"/>
    <w:rsid w:val="0097792B"/>
    <w:rsid w:val="00977C49"/>
    <w:rsid w:val="00980155"/>
    <w:rsid w:val="00980797"/>
    <w:rsid w:val="00981111"/>
    <w:rsid w:val="009812E4"/>
    <w:rsid w:val="00981FDA"/>
    <w:rsid w:val="00982C34"/>
    <w:rsid w:val="009848C2"/>
    <w:rsid w:val="009849E8"/>
    <w:rsid w:val="00986368"/>
    <w:rsid w:val="00986857"/>
    <w:rsid w:val="00986E67"/>
    <w:rsid w:val="0099230B"/>
    <w:rsid w:val="00992D73"/>
    <w:rsid w:val="00992E44"/>
    <w:rsid w:val="009935AC"/>
    <w:rsid w:val="00993833"/>
    <w:rsid w:val="00995FBB"/>
    <w:rsid w:val="009A0BCC"/>
    <w:rsid w:val="009A1D3D"/>
    <w:rsid w:val="009A255D"/>
    <w:rsid w:val="009A26A1"/>
    <w:rsid w:val="009A3E29"/>
    <w:rsid w:val="009A4BA3"/>
    <w:rsid w:val="009A565B"/>
    <w:rsid w:val="009A5799"/>
    <w:rsid w:val="009A5A40"/>
    <w:rsid w:val="009A6054"/>
    <w:rsid w:val="009A7242"/>
    <w:rsid w:val="009B0131"/>
    <w:rsid w:val="009B0870"/>
    <w:rsid w:val="009B127F"/>
    <w:rsid w:val="009B1B15"/>
    <w:rsid w:val="009B41C1"/>
    <w:rsid w:val="009B4A0F"/>
    <w:rsid w:val="009B56D9"/>
    <w:rsid w:val="009B61DF"/>
    <w:rsid w:val="009C0397"/>
    <w:rsid w:val="009C0FEC"/>
    <w:rsid w:val="009C11D2"/>
    <w:rsid w:val="009C1631"/>
    <w:rsid w:val="009C1B41"/>
    <w:rsid w:val="009C241A"/>
    <w:rsid w:val="009C3BFE"/>
    <w:rsid w:val="009C6C70"/>
    <w:rsid w:val="009C7D95"/>
    <w:rsid w:val="009C7DEB"/>
    <w:rsid w:val="009C7F28"/>
    <w:rsid w:val="009D0922"/>
    <w:rsid w:val="009D0B63"/>
    <w:rsid w:val="009D2DCD"/>
    <w:rsid w:val="009D3DD9"/>
    <w:rsid w:val="009D541F"/>
    <w:rsid w:val="009D580D"/>
    <w:rsid w:val="009D6629"/>
    <w:rsid w:val="009D6D16"/>
    <w:rsid w:val="009D7818"/>
    <w:rsid w:val="009E1A50"/>
    <w:rsid w:val="009E307E"/>
    <w:rsid w:val="009E47E3"/>
    <w:rsid w:val="009E6229"/>
    <w:rsid w:val="009E68BE"/>
    <w:rsid w:val="009E7824"/>
    <w:rsid w:val="009E79A4"/>
    <w:rsid w:val="009F21F7"/>
    <w:rsid w:val="009F221B"/>
    <w:rsid w:val="009F4590"/>
    <w:rsid w:val="009F4912"/>
    <w:rsid w:val="009F49DF"/>
    <w:rsid w:val="009F4A6F"/>
    <w:rsid w:val="009F50F7"/>
    <w:rsid w:val="009F6CC1"/>
    <w:rsid w:val="009F7857"/>
    <w:rsid w:val="00A014CE"/>
    <w:rsid w:val="00A038E7"/>
    <w:rsid w:val="00A03A4A"/>
    <w:rsid w:val="00A04F45"/>
    <w:rsid w:val="00A068FD"/>
    <w:rsid w:val="00A06E8E"/>
    <w:rsid w:val="00A07870"/>
    <w:rsid w:val="00A07F19"/>
    <w:rsid w:val="00A11493"/>
    <w:rsid w:val="00A11C4E"/>
    <w:rsid w:val="00A123CA"/>
    <w:rsid w:val="00A1297B"/>
    <w:rsid w:val="00A12BD0"/>
    <w:rsid w:val="00A1348D"/>
    <w:rsid w:val="00A13900"/>
    <w:rsid w:val="00A142D1"/>
    <w:rsid w:val="00A14382"/>
    <w:rsid w:val="00A147FC"/>
    <w:rsid w:val="00A1489E"/>
    <w:rsid w:val="00A15595"/>
    <w:rsid w:val="00A17745"/>
    <w:rsid w:val="00A179C4"/>
    <w:rsid w:val="00A2165F"/>
    <w:rsid w:val="00A228F5"/>
    <w:rsid w:val="00A22A7A"/>
    <w:rsid w:val="00A232EE"/>
    <w:rsid w:val="00A25464"/>
    <w:rsid w:val="00A307D5"/>
    <w:rsid w:val="00A311B6"/>
    <w:rsid w:val="00A3151F"/>
    <w:rsid w:val="00A331C1"/>
    <w:rsid w:val="00A40276"/>
    <w:rsid w:val="00A4058A"/>
    <w:rsid w:val="00A4175F"/>
    <w:rsid w:val="00A421CB"/>
    <w:rsid w:val="00A44411"/>
    <w:rsid w:val="00A4467C"/>
    <w:rsid w:val="00A469FA"/>
    <w:rsid w:val="00A47789"/>
    <w:rsid w:val="00A50E94"/>
    <w:rsid w:val="00A51278"/>
    <w:rsid w:val="00A535DA"/>
    <w:rsid w:val="00A55B01"/>
    <w:rsid w:val="00A55C4A"/>
    <w:rsid w:val="00A56B5B"/>
    <w:rsid w:val="00A575A5"/>
    <w:rsid w:val="00A603FF"/>
    <w:rsid w:val="00A61116"/>
    <w:rsid w:val="00A6356C"/>
    <w:rsid w:val="00A63B40"/>
    <w:rsid w:val="00A6504B"/>
    <w:rsid w:val="00A65298"/>
    <w:rsid w:val="00A657DD"/>
    <w:rsid w:val="00A65F6C"/>
    <w:rsid w:val="00A661E7"/>
    <w:rsid w:val="00A666A6"/>
    <w:rsid w:val="00A6734B"/>
    <w:rsid w:val="00A67410"/>
    <w:rsid w:val="00A675FD"/>
    <w:rsid w:val="00A67C57"/>
    <w:rsid w:val="00A70BAD"/>
    <w:rsid w:val="00A718C7"/>
    <w:rsid w:val="00A72437"/>
    <w:rsid w:val="00A72BC4"/>
    <w:rsid w:val="00A73AC6"/>
    <w:rsid w:val="00A76888"/>
    <w:rsid w:val="00A769DD"/>
    <w:rsid w:val="00A80611"/>
    <w:rsid w:val="00A81A54"/>
    <w:rsid w:val="00A831FC"/>
    <w:rsid w:val="00A83551"/>
    <w:rsid w:val="00A845A7"/>
    <w:rsid w:val="00A84A35"/>
    <w:rsid w:val="00A84B15"/>
    <w:rsid w:val="00A87016"/>
    <w:rsid w:val="00A90A63"/>
    <w:rsid w:val="00A90BA9"/>
    <w:rsid w:val="00A91798"/>
    <w:rsid w:val="00A92EBB"/>
    <w:rsid w:val="00A9346A"/>
    <w:rsid w:val="00A941A2"/>
    <w:rsid w:val="00A952B0"/>
    <w:rsid w:val="00A957CD"/>
    <w:rsid w:val="00A965AB"/>
    <w:rsid w:val="00A96D49"/>
    <w:rsid w:val="00AA1269"/>
    <w:rsid w:val="00AA45A4"/>
    <w:rsid w:val="00AA4C7C"/>
    <w:rsid w:val="00AA5EFC"/>
    <w:rsid w:val="00AA7849"/>
    <w:rsid w:val="00AB01E7"/>
    <w:rsid w:val="00AB132B"/>
    <w:rsid w:val="00AB137E"/>
    <w:rsid w:val="00AB1825"/>
    <w:rsid w:val="00AB1F69"/>
    <w:rsid w:val="00AB29C1"/>
    <w:rsid w:val="00AB2D77"/>
    <w:rsid w:val="00AB30F5"/>
    <w:rsid w:val="00AB3242"/>
    <w:rsid w:val="00AB3AF0"/>
    <w:rsid w:val="00AB47F8"/>
    <w:rsid w:val="00AB4DD0"/>
    <w:rsid w:val="00AB5340"/>
    <w:rsid w:val="00AB54BB"/>
    <w:rsid w:val="00AB62E9"/>
    <w:rsid w:val="00AB7002"/>
    <w:rsid w:val="00AC010E"/>
    <w:rsid w:val="00AC01CC"/>
    <w:rsid w:val="00AC04F9"/>
    <w:rsid w:val="00AC16B8"/>
    <w:rsid w:val="00AC2CA1"/>
    <w:rsid w:val="00AC3D2A"/>
    <w:rsid w:val="00AC434C"/>
    <w:rsid w:val="00AC4542"/>
    <w:rsid w:val="00AC51AE"/>
    <w:rsid w:val="00AC52A7"/>
    <w:rsid w:val="00AC5453"/>
    <w:rsid w:val="00AC7C96"/>
    <w:rsid w:val="00AD0D8E"/>
    <w:rsid w:val="00AD1807"/>
    <w:rsid w:val="00AD1E60"/>
    <w:rsid w:val="00AD209B"/>
    <w:rsid w:val="00AD2C87"/>
    <w:rsid w:val="00AD3476"/>
    <w:rsid w:val="00AD3502"/>
    <w:rsid w:val="00AD5280"/>
    <w:rsid w:val="00AD66A4"/>
    <w:rsid w:val="00AD6A68"/>
    <w:rsid w:val="00AD74EC"/>
    <w:rsid w:val="00AE0D49"/>
    <w:rsid w:val="00AE1A49"/>
    <w:rsid w:val="00AE1EC0"/>
    <w:rsid w:val="00AE237D"/>
    <w:rsid w:val="00AE2638"/>
    <w:rsid w:val="00AE2A3D"/>
    <w:rsid w:val="00AE2C21"/>
    <w:rsid w:val="00AE3B38"/>
    <w:rsid w:val="00AE502A"/>
    <w:rsid w:val="00AE546F"/>
    <w:rsid w:val="00AE5921"/>
    <w:rsid w:val="00AF0472"/>
    <w:rsid w:val="00AF0CA7"/>
    <w:rsid w:val="00AF0D5D"/>
    <w:rsid w:val="00AF0DF7"/>
    <w:rsid w:val="00AF157C"/>
    <w:rsid w:val="00AF2049"/>
    <w:rsid w:val="00AF232B"/>
    <w:rsid w:val="00AF2D19"/>
    <w:rsid w:val="00AF331B"/>
    <w:rsid w:val="00AF3614"/>
    <w:rsid w:val="00AF39EE"/>
    <w:rsid w:val="00AF3F7F"/>
    <w:rsid w:val="00AF459F"/>
    <w:rsid w:val="00AF4939"/>
    <w:rsid w:val="00AF4967"/>
    <w:rsid w:val="00AF66F8"/>
    <w:rsid w:val="00AF67BA"/>
    <w:rsid w:val="00AF71A6"/>
    <w:rsid w:val="00AF765E"/>
    <w:rsid w:val="00AF7664"/>
    <w:rsid w:val="00AF7C07"/>
    <w:rsid w:val="00B04F45"/>
    <w:rsid w:val="00B054ED"/>
    <w:rsid w:val="00B07F5A"/>
    <w:rsid w:val="00B11D6A"/>
    <w:rsid w:val="00B12E53"/>
    <w:rsid w:val="00B13238"/>
    <w:rsid w:val="00B14A06"/>
    <w:rsid w:val="00B1725E"/>
    <w:rsid w:val="00B179B3"/>
    <w:rsid w:val="00B202C5"/>
    <w:rsid w:val="00B2128C"/>
    <w:rsid w:val="00B218ED"/>
    <w:rsid w:val="00B22046"/>
    <w:rsid w:val="00B22C93"/>
    <w:rsid w:val="00B246B9"/>
    <w:rsid w:val="00B24C28"/>
    <w:rsid w:val="00B24DC2"/>
    <w:rsid w:val="00B25F8C"/>
    <w:rsid w:val="00B26692"/>
    <w:rsid w:val="00B27589"/>
    <w:rsid w:val="00B30BE4"/>
    <w:rsid w:val="00B30DB8"/>
    <w:rsid w:val="00B31D7B"/>
    <w:rsid w:val="00B322F4"/>
    <w:rsid w:val="00B330FC"/>
    <w:rsid w:val="00B35922"/>
    <w:rsid w:val="00B35BF5"/>
    <w:rsid w:val="00B363FF"/>
    <w:rsid w:val="00B36FC9"/>
    <w:rsid w:val="00B37035"/>
    <w:rsid w:val="00B37EF9"/>
    <w:rsid w:val="00B405B7"/>
    <w:rsid w:val="00B4069A"/>
    <w:rsid w:val="00B4180F"/>
    <w:rsid w:val="00B42FC8"/>
    <w:rsid w:val="00B43452"/>
    <w:rsid w:val="00B43DFD"/>
    <w:rsid w:val="00B44935"/>
    <w:rsid w:val="00B453D6"/>
    <w:rsid w:val="00B45613"/>
    <w:rsid w:val="00B45E31"/>
    <w:rsid w:val="00B45E6D"/>
    <w:rsid w:val="00B460C5"/>
    <w:rsid w:val="00B46926"/>
    <w:rsid w:val="00B46BB3"/>
    <w:rsid w:val="00B47790"/>
    <w:rsid w:val="00B503D9"/>
    <w:rsid w:val="00B50BA6"/>
    <w:rsid w:val="00B520D9"/>
    <w:rsid w:val="00B52222"/>
    <w:rsid w:val="00B523A2"/>
    <w:rsid w:val="00B5356C"/>
    <w:rsid w:val="00B54AEC"/>
    <w:rsid w:val="00B54FE7"/>
    <w:rsid w:val="00B55AD8"/>
    <w:rsid w:val="00B57C47"/>
    <w:rsid w:val="00B57D56"/>
    <w:rsid w:val="00B601A6"/>
    <w:rsid w:val="00B601BE"/>
    <w:rsid w:val="00B61BAD"/>
    <w:rsid w:val="00B6256E"/>
    <w:rsid w:val="00B653D9"/>
    <w:rsid w:val="00B66540"/>
    <w:rsid w:val="00B66901"/>
    <w:rsid w:val="00B7056C"/>
    <w:rsid w:val="00B7089E"/>
    <w:rsid w:val="00B70D9D"/>
    <w:rsid w:val="00B71E6D"/>
    <w:rsid w:val="00B72070"/>
    <w:rsid w:val="00B736B3"/>
    <w:rsid w:val="00B747B0"/>
    <w:rsid w:val="00B755BE"/>
    <w:rsid w:val="00B75BE7"/>
    <w:rsid w:val="00B76337"/>
    <w:rsid w:val="00B779E1"/>
    <w:rsid w:val="00B77C2A"/>
    <w:rsid w:val="00B808FC"/>
    <w:rsid w:val="00B81CAF"/>
    <w:rsid w:val="00B83120"/>
    <w:rsid w:val="00B83B4C"/>
    <w:rsid w:val="00B8418C"/>
    <w:rsid w:val="00B843BB"/>
    <w:rsid w:val="00B85324"/>
    <w:rsid w:val="00B8583A"/>
    <w:rsid w:val="00B859A3"/>
    <w:rsid w:val="00B86356"/>
    <w:rsid w:val="00B86FC5"/>
    <w:rsid w:val="00B8718E"/>
    <w:rsid w:val="00B9025B"/>
    <w:rsid w:val="00B90CB4"/>
    <w:rsid w:val="00B913DF"/>
    <w:rsid w:val="00B91AE6"/>
    <w:rsid w:val="00B91EE1"/>
    <w:rsid w:val="00B92867"/>
    <w:rsid w:val="00B93E8B"/>
    <w:rsid w:val="00B94C90"/>
    <w:rsid w:val="00B95B01"/>
    <w:rsid w:val="00B95FF2"/>
    <w:rsid w:val="00B964D5"/>
    <w:rsid w:val="00B97051"/>
    <w:rsid w:val="00B9767B"/>
    <w:rsid w:val="00B976DA"/>
    <w:rsid w:val="00BA0090"/>
    <w:rsid w:val="00BA01C6"/>
    <w:rsid w:val="00BA1A67"/>
    <w:rsid w:val="00BA1C70"/>
    <w:rsid w:val="00BA4891"/>
    <w:rsid w:val="00BA4A04"/>
    <w:rsid w:val="00BA4DB4"/>
    <w:rsid w:val="00BA660C"/>
    <w:rsid w:val="00BA7335"/>
    <w:rsid w:val="00BB106C"/>
    <w:rsid w:val="00BB16D8"/>
    <w:rsid w:val="00BB187E"/>
    <w:rsid w:val="00BB27F8"/>
    <w:rsid w:val="00BB2A94"/>
    <w:rsid w:val="00BB3BB5"/>
    <w:rsid w:val="00BB42A7"/>
    <w:rsid w:val="00BB44DD"/>
    <w:rsid w:val="00BB49DE"/>
    <w:rsid w:val="00BB4B66"/>
    <w:rsid w:val="00BB6883"/>
    <w:rsid w:val="00BC07FE"/>
    <w:rsid w:val="00BC1567"/>
    <w:rsid w:val="00BC30D7"/>
    <w:rsid w:val="00BC354E"/>
    <w:rsid w:val="00BC41D8"/>
    <w:rsid w:val="00BC558B"/>
    <w:rsid w:val="00BC5CC9"/>
    <w:rsid w:val="00BC6D1F"/>
    <w:rsid w:val="00BD0163"/>
    <w:rsid w:val="00BD159E"/>
    <w:rsid w:val="00BD19B7"/>
    <w:rsid w:val="00BD4006"/>
    <w:rsid w:val="00BD51D0"/>
    <w:rsid w:val="00BD67B1"/>
    <w:rsid w:val="00BD6F8A"/>
    <w:rsid w:val="00BD7424"/>
    <w:rsid w:val="00BD7C4D"/>
    <w:rsid w:val="00BE078E"/>
    <w:rsid w:val="00BE1B16"/>
    <w:rsid w:val="00BE22B8"/>
    <w:rsid w:val="00BE3F69"/>
    <w:rsid w:val="00BE4664"/>
    <w:rsid w:val="00BE5B5F"/>
    <w:rsid w:val="00BE5BC1"/>
    <w:rsid w:val="00BE726F"/>
    <w:rsid w:val="00BE735F"/>
    <w:rsid w:val="00BF24BB"/>
    <w:rsid w:val="00BF2651"/>
    <w:rsid w:val="00BF3655"/>
    <w:rsid w:val="00BF384C"/>
    <w:rsid w:val="00BF68B9"/>
    <w:rsid w:val="00BF7908"/>
    <w:rsid w:val="00C0033D"/>
    <w:rsid w:val="00C004D5"/>
    <w:rsid w:val="00C0095E"/>
    <w:rsid w:val="00C009B1"/>
    <w:rsid w:val="00C0216F"/>
    <w:rsid w:val="00C022F9"/>
    <w:rsid w:val="00C025F1"/>
    <w:rsid w:val="00C053B0"/>
    <w:rsid w:val="00C07005"/>
    <w:rsid w:val="00C074A1"/>
    <w:rsid w:val="00C07A5C"/>
    <w:rsid w:val="00C07EA3"/>
    <w:rsid w:val="00C10403"/>
    <w:rsid w:val="00C11D0C"/>
    <w:rsid w:val="00C12199"/>
    <w:rsid w:val="00C13F50"/>
    <w:rsid w:val="00C149BC"/>
    <w:rsid w:val="00C172C9"/>
    <w:rsid w:val="00C211B3"/>
    <w:rsid w:val="00C24175"/>
    <w:rsid w:val="00C24552"/>
    <w:rsid w:val="00C246F4"/>
    <w:rsid w:val="00C2560D"/>
    <w:rsid w:val="00C264F3"/>
    <w:rsid w:val="00C26A7E"/>
    <w:rsid w:val="00C26F55"/>
    <w:rsid w:val="00C30A80"/>
    <w:rsid w:val="00C30C63"/>
    <w:rsid w:val="00C31AC6"/>
    <w:rsid w:val="00C32B37"/>
    <w:rsid w:val="00C353EF"/>
    <w:rsid w:val="00C36B8B"/>
    <w:rsid w:val="00C40251"/>
    <w:rsid w:val="00C4070F"/>
    <w:rsid w:val="00C40737"/>
    <w:rsid w:val="00C421D0"/>
    <w:rsid w:val="00C42314"/>
    <w:rsid w:val="00C4381D"/>
    <w:rsid w:val="00C44A21"/>
    <w:rsid w:val="00C44EC3"/>
    <w:rsid w:val="00C45C29"/>
    <w:rsid w:val="00C4654F"/>
    <w:rsid w:val="00C46554"/>
    <w:rsid w:val="00C46D93"/>
    <w:rsid w:val="00C47DBF"/>
    <w:rsid w:val="00C47E44"/>
    <w:rsid w:val="00C50631"/>
    <w:rsid w:val="00C511C8"/>
    <w:rsid w:val="00C53666"/>
    <w:rsid w:val="00C538B4"/>
    <w:rsid w:val="00C552FF"/>
    <w:rsid w:val="00C558DA"/>
    <w:rsid w:val="00C55AF3"/>
    <w:rsid w:val="00C60713"/>
    <w:rsid w:val="00C61AAC"/>
    <w:rsid w:val="00C61C47"/>
    <w:rsid w:val="00C6470C"/>
    <w:rsid w:val="00C64AFC"/>
    <w:rsid w:val="00C66207"/>
    <w:rsid w:val="00C668EE"/>
    <w:rsid w:val="00C66F9D"/>
    <w:rsid w:val="00C70B49"/>
    <w:rsid w:val="00C70F5A"/>
    <w:rsid w:val="00C7306B"/>
    <w:rsid w:val="00C73855"/>
    <w:rsid w:val="00C74785"/>
    <w:rsid w:val="00C74E64"/>
    <w:rsid w:val="00C75C7C"/>
    <w:rsid w:val="00C76E47"/>
    <w:rsid w:val="00C8099A"/>
    <w:rsid w:val="00C81951"/>
    <w:rsid w:val="00C82E61"/>
    <w:rsid w:val="00C838F6"/>
    <w:rsid w:val="00C83A8F"/>
    <w:rsid w:val="00C83BDB"/>
    <w:rsid w:val="00C84759"/>
    <w:rsid w:val="00C854D5"/>
    <w:rsid w:val="00C8640C"/>
    <w:rsid w:val="00C86618"/>
    <w:rsid w:val="00C869E3"/>
    <w:rsid w:val="00C875A7"/>
    <w:rsid w:val="00C90C7C"/>
    <w:rsid w:val="00C915D7"/>
    <w:rsid w:val="00C91765"/>
    <w:rsid w:val="00C9187F"/>
    <w:rsid w:val="00C92CCF"/>
    <w:rsid w:val="00C938FA"/>
    <w:rsid w:val="00C96173"/>
    <w:rsid w:val="00C9640A"/>
    <w:rsid w:val="00C97578"/>
    <w:rsid w:val="00C97633"/>
    <w:rsid w:val="00C978A2"/>
    <w:rsid w:val="00CA1FA9"/>
    <w:rsid w:val="00CA2EF0"/>
    <w:rsid w:val="00CA3774"/>
    <w:rsid w:val="00CA42E5"/>
    <w:rsid w:val="00CA4679"/>
    <w:rsid w:val="00CA4805"/>
    <w:rsid w:val="00CA49D8"/>
    <w:rsid w:val="00CA51EB"/>
    <w:rsid w:val="00CA531C"/>
    <w:rsid w:val="00CA55B6"/>
    <w:rsid w:val="00CA5A69"/>
    <w:rsid w:val="00CA6C7F"/>
    <w:rsid w:val="00CA78AF"/>
    <w:rsid w:val="00CA7986"/>
    <w:rsid w:val="00CB09F8"/>
    <w:rsid w:val="00CB0D8B"/>
    <w:rsid w:val="00CB19EB"/>
    <w:rsid w:val="00CB25CF"/>
    <w:rsid w:val="00CB3FB9"/>
    <w:rsid w:val="00CB51C7"/>
    <w:rsid w:val="00CB5C91"/>
    <w:rsid w:val="00CB618B"/>
    <w:rsid w:val="00CB6582"/>
    <w:rsid w:val="00CB6F8C"/>
    <w:rsid w:val="00CC023E"/>
    <w:rsid w:val="00CC0260"/>
    <w:rsid w:val="00CC0F70"/>
    <w:rsid w:val="00CC10A6"/>
    <w:rsid w:val="00CC3B2F"/>
    <w:rsid w:val="00CC474A"/>
    <w:rsid w:val="00CC7BD9"/>
    <w:rsid w:val="00CC7DD7"/>
    <w:rsid w:val="00CD0A48"/>
    <w:rsid w:val="00CD1297"/>
    <w:rsid w:val="00CD1762"/>
    <w:rsid w:val="00CD3D78"/>
    <w:rsid w:val="00CD53A4"/>
    <w:rsid w:val="00CD5EB8"/>
    <w:rsid w:val="00CD687D"/>
    <w:rsid w:val="00CD6AC7"/>
    <w:rsid w:val="00CD7044"/>
    <w:rsid w:val="00CE02D3"/>
    <w:rsid w:val="00CE0358"/>
    <w:rsid w:val="00CE08B9"/>
    <w:rsid w:val="00CE48BA"/>
    <w:rsid w:val="00CE4E94"/>
    <w:rsid w:val="00CE51CA"/>
    <w:rsid w:val="00CE524C"/>
    <w:rsid w:val="00CE5607"/>
    <w:rsid w:val="00CF141F"/>
    <w:rsid w:val="00CF2290"/>
    <w:rsid w:val="00CF2490"/>
    <w:rsid w:val="00CF3C3F"/>
    <w:rsid w:val="00CF3ECA"/>
    <w:rsid w:val="00CF46A7"/>
    <w:rsid w:val="00CF4777"/>
    <w:rsid w:val="00CF5131"/>
    <w:rsid w:val="00CF549B"/>
    <w:rsid w:val="00CF5AF8"/>
    <w:rsid w:val="00CF5E57"/>
    <w:rsid w:val="00CF65EA"/>
    <w:rsid w:val="00CF6D43"/>
    <w:rsid w:val="00CF70FD"/>
    <w:rsid w:val="00CF716E"/>
    <w:rsid w:val="00CF71C9"/>
    <w:rsid w:val="00D016C9"/>
    <w:rsid w:val="00D027CB"/>
    <w:rsid w:val="00D030BD"/>
    <w:rsid w:val="00D067BB"/>
    <w:rsid w:val="00D06EA9"/>
    <w:rsid w:val="00D070CC"/>
    <w:rsid w:val="00D076BD"/>
    <w:rsid w:val="00D103AA"/>
    <w:rsid w:val="00D10511"/>
    <w:rsid w:val="00D10540"/>
    <w:rsid w:val="00D12056"/>
    <w:rsid w:val="00D12136"/>
    <w:rsid w:val="00D1313B"/>
    <w:rsid w:val="00D1352A"/>
    <w:rsid w:val="00D13EDE"/>
    <w:rsid w:val="00D14442"/>
    <w:rsid w:val="00D14D90"/>
    <w:rsid w:val="00D15568"/>
    <w:rsid w:val="00D15B6E"/>
    <w:rsid w:val="00D169AF"/>
    <w:rsid w:val="00D1789F"/>
    <w:rsid w:val="00D2078C"/>
    <w:rsid w:val="00D220C6"/>
    <w:rsid w:val="00D22769"/>
    <w:rsid w:val="00D23129"/>
    <w:rsid w:val="00D245AD"/>
    <w:rsid w:val="00D248C0"/>
    <w:rsid w:val="00D25249"/>
    <w:rsid w:val="00D255A7"/>
    <w:rsid w:val="00D258D6"/>
    <w:rsid w:val="00D26CCE"/>
    <w:rsid w:val="00D27404"/>
    <w:rsid w:val="00D30DB8"/>
    <w:rsid w:val="00D328FB"/>
    <w:rsid w:val="00D33D55"/>
    <w:rsid w:val="00D34006"/>
    <w:rsid w:val="00D349FF"/>
    <w:rsid w:val="00D356A1"/>
    <w:rsid w:val="00D3674F"/>
    <w:rsid w:val="00D37C92"/>
    <w:rsid w:val="00D4086B"/>
    <w:rsid w:val="00D4126E"/>
    <w:rsid w:val="00D44172"/>
    <w:rsid w:val="00D46D21"/>
    <w:rsid w:val="00D50CE8"/>
    <w:rsid w:val="00D51234"/>
    <w:rsid w:val="00D526D8"/>
    <w:rsid w:val="00D555F4"/>
    <w:rsid w:val="00D56769"/>
    <w:rsid w:val="00D57F2B"/>
    <w:rsid w:val="00D60EE4"/>
    <w:rsid w:val="00D6101E"/>
    <w:rsid w:val="00D61ED5"/>
    <w:rsid w:val="00D637A6"/>
    <w:rsid w:val="00D63B8C"/>
    <w:rsid w:val="00D64413"/>
    <w:rsid w:val="00D644AD"/>
    <w:rsid w:val="00D65AE8"/>
    <w:rsid w:val="00D66037"/>
    <w:rsid w:val="00D712FD"/>
    <w:rsid w:val="00D7131F"/>
    <w:rsid w:val="00D7299F"/>
    <w:rsid w:val="00D72CA2"/>
    <w:rsid w:val="00D72CB6"/>
    <w:rsid w:val="00D739CC"/>
    <w:rsid w:val="00D73EC2"/>
    <w:rsid w:val="00D75A8C"/>
    <w:rsid w:val="00D76134"/>
    <w:rsid w:val="00D77B40"/>
    <w:rsid w:val="00D8061C"/>
    <w:rsid w:val="00D80816"/>
    <w:rsid w:val="00D8093D"/>
    <w:rsid w:val="00D81019"/>
    <w:rsid w:val="00D8108C"/>
    <w:rsid w:val="00D812F8"/>
    <w:rsid w:val="00D81A9F"/>
    <w:rsid w:val="00D83459"/>
    <w:rsid w:val="00D841E7"/>
    <w:rsid w:val="00D842AE"/>
    <w:rsid w:val="00D84454"/>
    <w:rsid w:val="00D84783"/>
    <w:rsid w:val="00D8509F"/>
    <w:rsid w:val="00D86664"/>
    <w:rsid w:val="00D86E57"/>
    <w:rsid w:val="00D87A1E"/>
    <w:rsid w:val="00D90C3D"/>
    <w:rsid w:val="00D90E60"/>
    <w:rsid w:val="00D90FA3"/>
    <w:rsid w:val="00D910DC"/>
    <w:rsid w:val="00D91F75"/>
    <w:rsid w:val="00D9211C"/>
    <w:rsid w:val="00D92225"/>
    <w:rsid w:val="00D92DE0"/>
    <w:rsid w:val="00D92FEF"/>
    <w:rsid w:val="00D93A0F"/>
    <w:rsid w:val="00D93B61"/>
    <w:rsid w:val="00D942A3"/>
    <w:rsid w:val="00D958EC"/>
    <w:rsid w:val="00D96BD5"/>
    <w:rsid w:val="00DA0786"/>
    <w:rsid w:val="00DA0BCB"/>
    <w:rsid w:val="00DA11E9"/>
    <w:rsid w:val="00DA16A2"/>
    <w:rsid w:val="00DA1BCA"/>
    <w:rsid w:val="00DA25D0"/>
    <w:rsid w:val="00DA3FFA"/>
    <w:rsid w:val="00DA4313"/>
    <w:rsid w:val="00DA4FCA"/>
    <w:rsid w:val="00DA6F40"/>
    <w:rsid w:val="00DA71DB"/>
    <w:rsid w:val="00DA7299"/>
    <w:rsid w:val="00DB03C6"/>
    <w:rsid w:val="00DB2027"/>
    <w:rsid w:val="00DB36B7"/>
    <w:rsid w:val="00DB3E23"/>
    <w:rsid w:val="00DB43A8"/>
    <w:rsid w:val="00DB4DB9"/>
    <w:rsid w:val="00DB565F"/>
    <w:rsid w:val="00DB5713"/>
    <w:rsid w:val="00DC00E0"/>
    <w:rsid w:val="00DC36AD"/>
    <w:rsid w:val="00DC37F2"/>
    <w:rsid w:val="00DC3BD2"/>
    <w:rsid w:val="00DC46FF"/>
    <w:rsid w:val="00DC4A25"/>
    <w:rsid w:val="00DC5254"/>
    <w:rsid w:val="00DC5645"/>
    <w:rsid w:val="00DC5E1A"/>
    <w:rsid w:val="00DC6BA4"/>
    <w:rsid w:val="00DC6D96"/>
    <w:rsid w:val="00DC6ECF"/>
    <w:rsid w:val="00DD181C"/>
    <w:rsid w:val="00DD1A4F"/>
    <w:rsid w:val="00DD2882"/>
    <w:rsid w:val="00DD3061"/>
    <w:rsid w:val="00DD30A3"/>
    <w:rsid w:val="00DD3107"/>
    <w:rsid w:val="00DD3B4E"/>
    <w:rsid w:val="00DD3EE1"/>
    <w:rsid w:val="00DD497F"/>
    <w:rsid w:val="00DD5587"/>
    <w:rsid w:val="00DD5690"/>
    <w:rsid w:val="00DD5EFF"/>
    <w:rsid w:val="00DD64CF"/>
    <w:rsid w:val="00DD7406"/>
    <w:rsid w:val="00DD7C2C"/>
    <w:rsid w:val="00DE05A4"/>
    <w:rsid w:val="00DE0CD3"/>
    <w:rsid w:val="00DE43AB"/>
    <w:rsid w:val="00DE6B4D"/>
    <w:rsid w:val="00DE6E55"/>
    <w:rsid w:val="00DF0503"/>
    <w:rsid w:val="00DF1A25"/>
    <w:rsid w:val="00DF1B3B"/>
    <w:rsid w:val="00DF45BD"/>
    <w:rsid w:val="00DF5660"/>
    <w:rsid w:val="00DF63CC"/>
    <w:rsid w:val="00DF6751"/>
    <w:rsid w:val="00DF6A74"/>
    <w:rsid w:val="00DF6BBC"/>
    <w:rsid w:val="00DF6D1C"/>
    <w:rsid w:val="00DF75F0"/>
    <w:rsid w:val="00DF7A74"/>
    <w:rsid w:val="00DF7E2B"/>
    <w:rsid w:val="00E001F1"/>
    <w:rsid w:val="00E0083F"/>
    <w:rsid w:val="00E00B91"/>
    <w:rsid w:val="00E0168F"/>
    <w:rsid w:val="00E026ED"/>
    <w:rsid w:val="00E0574F"/>
    <w:rsid w:val="00E05C4B"/>
    <w:rsid w:val="00E06077"/>
    <w:rsid w:val="00E06797"/>
    <w:rsid w:val="00E0682B"/>
    <w:rsid w:val="00E06987"/>
    <w:rsid w:val="00E11B25"/>
    <w:rsid w:val="00E122BC"/>
    <w:rsid w:val="00E125B8"/>
    <w:rsid w:val="00E1265B"/>
    <w:rsid w:val="00E12B73"/>
    <w:rsid w:val="00E13B48"/>
    <w:rsid w:val="00E1404F"/>
    <w:rsid w:val="00E1531F"/>
    <w:rsid w:val="00E166A1"/>
    <w:rsid w:val="00E203A1"/>
    <w:rsid w:val="00E208D9"/>
    <w:rsid w:val="00E212E4"/>
    <w:rsid w:val="00E212EF"/>
    <w:rsid w:val="00E21C83"/>
    <w:rsid w:val="00E246A1"/>
    <w:rsid w:val="00E24ADA"/>
    <w:rsid w:val="00E25205"/>
    <w:rsid w:val="00E256F6"/>
    <w:rsid w:val="00E25C47"/>
    <w:rsid w:val="00E25E5C"/>
    <w:rsid w:val="00E2657A"/>
    <w:rsid w:val="00E31792"/>
    <w:rsid w:val="00E32F59"/>
    <w:rsid w:val="00E34A7E"/>
    <w:rsid w:val="00E34BFA"/>
    <w:rsid w:val="00E358ED"/>
    <w:rsid w:val="00E35DE4"/>
    <w:rsid w:val="00E362CF"/>
    <w:rsid w:val="00E37F05"/>
    <w:rsid w:val="00E37F15"/>
    <w:rsid w:val="00E406EF"/>
    <w:rsid w:val="00E40EA2"/>
    <w:rsid w:val="00E426E4"/>
    <w:rsid w:val="00E440CD"/>
    <w:rsid w:val="00E44601"/>
    <w:rsid w:val="00E4504C"/>
    <w:rsid w:val="00E45720"/>
    <w:rsid w:val="00E45BAC"/>
    <w:rsid w:val="00E46D9A"/>
    <w:rsid w:val="00E474A2"/>
    <w:rsid w:val="00E509D1"/>
    <w:rsid w:val="00E5129C"/>
    <w:rsid w:val="00E515DE"/>
    <w:rsid w:val="00E51DFA"/>
    <w:rsid w:val="00E5202B"/>
    <w:rsid w:val="00E544EE"/>
    <w:rsid w:val="00E565FF"/>
    <w:rsid w:val="00E57D0A"/>
    <w:rsid w:val="00E600D6"/>
    <w:rsid w:val="00E62558"/>
    <w:rsid w:val="00E6288A"/>
    <w:rsid w:val="00E62C6F"/>
    <w:rsid w:val="00E63C75"/>
    <w:rsid w:val="00E64058"/>
    <w:rsid w:val="00E65388"/>
    <w:rsid w:val="00E665BC"/>
    <w:rsid w:val="00E66A69"/>
    <w:rsid w:val="00E67833"/>
    <w:rsid w:val="00E71162"/>
    <w:rsid w:val="00E71C64"/>
    <w:rsid w:val="00E74ACB"/>
    <w:rsid w:val="00E75A4E"/>
    <w:rsid w:val="00E82F77"/>
    <w:rsid w:val="00E836AA"/>
    <w:rsid w:val="00E85B7D"/>
    <w:rsid w:val="00E873ED"/>
    <w:rsid w:val="00E9121B"/>
    <w:rsid w:val="00E914F4"/>
    <w:rsid w:val="00E918A0"/>
    <w:rsid w:val="00E94B48"/>
    <w:rsid w:val="00E9599F"/>
    <w:rsid w:val="00E96614"/>
    <w:rsid w:val="00E97AA7"/>
    <w:rsid w:val="00EA0AE2"/>
    <w:rsid w:val="00EA18D5"/>
    <w:rsid w:val="00EA1A7D"/>
    <w:rsid w:val="00EA292F"/>
    <w:rsid w:val="00EA39E5"/>
    <w:rsid w:val="00EA42F2"/>
    <w:rsid w:val="00EA4430"/>
    <w:rsid w:val="00EA4BB4"/>
    <w:rsid w:val="00EA506F"/>
    <w:rsid w:val="00EA55ED"/>
    <w:rsid w:val="00EA571B"/>
    <w:rsid w:val="00EA79D0"/>
    <w:rsid w:val="00EA7D77"/>
    <w:rsid w:val="00EB194E"/>
    <w:rsid w:val="00EB23C2"/>
    <w:rsid w:val="00EB2FDC"/>
    <w:rsid w:val="00EB3106"/>
    <w:rsid w:val="00EB50D3"/>
    <w:rsid w:val="00EB5514"/>
    <w:rsid w:val="00EB6FAF"/>
    <w:rsid w:val="00EB749F"/>
    <w:rsid w:val="00EC160F"/>
    <w:rsid w:val="00EC1903"/>
    <w:rsid w:val="00EC23E0"/>
    <w:rsid w:val="00EC3A5D"/>
    <w:rsid w:val="00EC4CE6"/>
    <w:rsid w:val="00EC591A"/>
    <w:rsid w:val="00EC5A46"/>
    <w:rsid w:val="00EC5C12"/>
    <w:rsid w:val="00EC63E2"/>
    <w:rsid w:val="00EC6885"/>
    <w:rsid w:val="00EC75D7"/>
    <w:rsid w:val="00ED0087"/>
    <w:rsid w:val="00ED1A4C"/>
    <w:rsid w:val="00ED1F3E"/>
    <w:rsid w:val="00ED511F"/>
    <w:rsid w:val="00ED564B"/>
    <w:rsid w:val="00ED5CB8"/>
    <w:rsid w:val="00ED6960"/>
    <w:rsid w:val="00ED712D"/>
    <w:rsid w:val="00ED75FA"/>
    <w:rsid w:val="00EE00B3"/>
    <w:rsid w:val="00EE1BA8"/>
    <w:rsid w:val="00EE1E98"/>
    <w:rsid w:val="00EE2C76"/>
    <w:rsid w:val="00EE397B"/>
    <w:rsid w:val="00EE417F"/>
    <w:rsid w:val="00EE4483"/>
    <w:rsid w:val="00EE44D2"/>
    <w:rsid w:val="00EE5261"/>
    <w:rsid w:val="00EE7846"/>
    <w:rsid w:val="00EF0DC7"/>
    <w:rsid w:val="00EF107A"/>
    <w:rsid w:val="00EF22B3"/>
    <w:rsid w:val="00EF23B9"/>
    <w:rsid w:val="00EF300F"/>
    <w:rsid w:val="00EF3575"/>
    <w:rsid w:val="00EF4325"/>
    <w:rsid w:val="00EF469A"/>
    <w:rsid w:val="00EF7FAC"/>
    <w:rsid w:val="00F01D07"/>
    <w:rsid w:val="00F03B69"/>
    <w:rsid w:val="00F04D40"/>
    <w:rsid w:val="00F051E9"/>
    <w:rsid w:val="00F05804"/>
    <w:rsid w:val="00F058FE"/>
    <w:rsid w:val="00F05CA6"/>
    <w:rsid w:val="00F06523"/>
    <w:rsid w:val="00F06BA3"/>
    <w:rsid w:val="00F0727C"/>
    <w:rsid w:val="00F07A50"/>
    <w:rsid w:val="00F113DA"/>
    <w:rsid w:val="00F11D03"/>
    <w:rsid w:val="00F12A92"/>
    <w:rsid w:val="00F13A82"/>
    <w:rsid w:val="00F14E5E"/>
    <w:rsid w:val="00F153CB"/>
    <w:rsid w:val="00F16C59"/>
    <w:rsid w:val="00F171BB"/>
    <w:rsid w:val="00F2029A"/>
    <w:rsid w:val="00F2077A"/>
    <w:rsid w:val="00F21F9E"/>
    <w:rsid w:val="00F22D26"/>
    <w:rsid w:val="00F22F61"/>
    <w:rsid w:val="00F23184"/>
    <w:rsid w:val="00F23497"/>
    <w:rsid w:val="00F2397F"/>
    <w:rsid w:val="00F240EA"/>
    <w:rsid w:val="00F25F15"/>
    <w:rsid w:val="00F27442"/>
    <w:rsid w:val="00F27780"/>
    <w:rsid w:val="00F3157D"/>
    <w:rsid w:val="00F319FC"/>
    <w:rsid w:val="00F31A37"/>
    <w:rsid w:val="00F32D9C"/>
    <w:rsid w:val="00F33AA3"/>
    <w:rsid w:val="00F363A3"/>
    <w:rsid w:val="00F36C44"/>
    <w:rsid w:val="00F37ADC"/>
    <w:rsid w:val="00F37DC8"/>
    <w:rsid w:val="00F4047A"/>
    <w:rsid w:val="00F41B88"/>
    <w:rsid w:val="00F427EC"/>
    <w:rsid w:val="00F439B3"/>
    <w:rsid w:val="00F4509A"/>
    <w:rsid w:val="00F45AA8"/>
    <w:rsid w:val="00F45F6F"/>
    <w:rsid w:val="00F4737E"/>
    <w:rsid w:val="00F47EF1"/>
    <w:rsid w:val="00F502DD"/>
    <w:rsid w:val="00F50E0D"/>
    <w:rsid w:val="00F511D5"/>
    <w:rsid w:val="00F52A1B"/>
    <w:rsid w:val="00F53BD0"/>
    <w:rsid w:val="00F54342"/>
    <w:rsid w:val="00F54728"/>
    <w:rsid w:val="00F55BC9"/>
    <w:rsid w:val="00F568AD"/>
    <w:rsid w:val="00F56A40"/>
    <w:rsid w:val="00F609C4"/>
    <w:rsid w:val="00F612FA"/>
    <w:rsid w:val="00F638FC"/>
    <w:rsid w:val="00F639F8"/>
    <w:rsid w:val="00F64302"/>
    <w:rsid w:val="00F647E2"/>
    <w:rsid w:val="00F650C3"/>
    <w:rsid w:val="00F65D85"/>
    <w:rsid w:val="00F71B7E"/>
    <w:rsid w:val="00F7203C"/>
    <w:rsid w:val="00F72056"/>
    <w:rsid w:val="00F72862"/>
    <w:rsid w:val="00F75453"/>
    <w:rsid w:val="00F76C6D"/>
    <w:rsid w:val="00F77A1E"/>
    <w:rsid w:val="00F8091E"/>
    <w:rsid w:val="00F81231"/>
    <w:rsid w:val="00F82320"/>
    <w:rsid w:val="00F82393"/>
    <w:rsid w:val="00F85477"/>
    <w:rsid w:val="00F8576A"/>
    <w:rsid w:val="00F8615C"/>
    <w:rsid w:val="00F8787D"/>
    <w:rsid w:val="00F87ECA"/>
    <w:rsid w:val="00F9270A"/>
    <w:rsid w:val="00F92C00"/>
    <w:rsid w:val="00F92DBA"/>
    <w:rsid w:val="00F9331B"/>
    <w:rsid w:val="00F93833"/>
    <w:rsid w:val="00F94CB3"/>
    <w:rsid w:val="00F969E5"/>
    <w:rsid w:val="00F96E72"/>
    <w:rsid w:val="00F97AEE"/>
    <w:rsid w:val="00F97DAB"/>
    <w:rsid w:val="00F97E54"/>
    <w:rsid w:val="00FA1C95"/>
    <w:rsid w:val="00FA1D97"/>
    <w:rsid w:val="00FA30A7"/>
    <w:rsid w:val="00FA3402"/>
    <w:rsid w:val="00FA461F"/>
    <w:rsid w:val="00FA46DA"/>
    <w:rsid w:val="00FA50F9"/>
    <w:rsid w:val="00FA56F2"/>
    <w:rsid w:val="00FA6709"/>
    <w:rsid w:val="00FA6BB0"/>
    <w:rsid w:val="00FA7859"/>
    <w:rsid w:val="00FB0F78"/>
    <w:rsid w:val="00FB116F"/>
    <w:rsid w:val="00FB1DFB"/>
    <w:rsid w:val="00FB1F25"/>
    <w:rsid w:val="00FB2385"/>
    <w:rsid w:val="00FB252C"/>
    <w:rsid w:val="00FB46C8"/>
    <w:rsid w:val="00FB50CB"/>
    <w:rsid w:val="00FB55CB"/>
    <w:rsid w:val="00FC0A3C"/>
    <w:rsid w:val="00FC13B2"/>
    <w:rsid w:val="00FC22A7"/>
    <w:rsid w:val="00FC43FF"/>
    <w:rsid w:val="00FC493B"/>
    <w:rsid w:val="00FC5DA0"/>
    <w:rsid w:val="00FC6D9B"/>
    <w:rsid w:val="00FC72FD"/>
    <w:rsid w:val="00FD0E92"/>
    <w:rsid w:val="00FD0F6E"/>
    <w:rsid w:val="00FD16C5"/>
    <w:rsid w:val="00FD2D77"/>
    <w:rsid w:val="00FD3FB4"/>
    <w:rsid w:val="00FD3FE9"/>
    <w:rsid w:val="00FD4C14"/>
    <w:rsid w:val="00FD5860"/>
    <w:rsid w:val="00FD628F"/>
    <w:rsid w:val="00FD75A9"/>
    <w:rsid w:val="00FE1298"/>
    <w:rsid w:val="00FE1C9C"/>
    <w:rsid w:val="00FE2251"/>
    <w:rsid w:val="00FE352D"/>
    <w:rsid w:val="00FE40EB"/>
    <w:rsid w:val="00FE4287"/>
    <w:rsid w:val="00FE457E"/>
    <w:rsid w:val="00FE49B1"/>
    <w:rsid w:val="00FE4D02"/>
    <w:rsid w:val="00FE51C9"/>
    <w:rsid w:val="00FE64FA"/>
    <w:rsid w:val="00FE7B2F"/>
    <w:rsid w:val="00FE7D06"/>
    <w:rsid w:val="00FE7D41"/>
    <w:rsid w:val="00FE7D62"/>
    <w:rsid w:val="00FF0303"/>
    <w:rsid w:val="00FF05E7"/>
    <w:rsid w:val="00FF3819"/>
    <w:rsid w:val="00FF44FB"/>
    <w:rsid w:val="00FF4E75"/>
    <w:rsid w:val="00FF5573"/>
    <w:rsid w:val="00FF73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D05D"/>
  <w15:chartTrackingRefBased/>
  <w15:docId w15:val="{13F5D614-F1FC-4BE3-A8F3-4A7173FE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F17DD"/>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F17DD"/>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F17DD"/>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F17DD"/>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F17DD"/>
    <w:pPr>
      <w:numPr>
        <w:numId w:val="39"/>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F17DD"/>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F17DD"/>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F17DD"/>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F17DD"/>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F17DD"/>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F17DD"/>
    <w:rPr>
      <w:rFonts w:ascii="Times New Roman" w:hAnsi="Times New Roman"/>
      <w:b/>
      <w:sz w:val="18"/>
      <w:lang w:val="fr-FR"/>
    </w:rPr>
  </w:style>
  <w:style w:type="table" w:customStyle="1" w:styleId="Tabledocright">
    <w:name w:val="Table_doc_right"/>
    <w:basedOn w:val="TableNormal"/>
    <w:rsid w:val="003F17D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F17DD"/>
    <w:pPr>
      <w:ind w:left="1000"/>
    </w:pPr>
    <w:rPr>
      <w:sz w:val="18"/>
      <w:szCs w:val="18"/>
    </w:rPr>
  </w:style>
  <w:style w:type="paragraph" w:styleId="TOC7">
    <w:name w:val="toc 7"/>
    <w:basedOn w:val="Normal"/>
    <w:next w:val="Normal"/>
    <w:autoRedefine/>
    <w:semiHidden/>
    <w:rsid w:val="003F17DD"/>
    <w:pPr>
      <w:ind w:left="1200"/>
    </w:pPr>
    <w:rPr>
      <w:sz w:val="18"/>
      <w:szCs w:val="18"/>
    </w:rPr>
  </w:style>
  <w:style w:type="paragraph" w:styleId="TOC8">
    <w:name w:val="toc 8"/>
    <w:basedOn w:val="Normal"/>
    <w:next w:val="Normal"/>
    <w:autoRedefine/>
    <w:semiHidden/>
    <w:rsid w:val="003F17DD"/>
    <w:pPr>
      <w:ind w:left="1400"/>
    </w:pPr>
    <w:rPr>
      <w:sz w:val="18"/>
      <w:szCs w:val="18"/>
    </w:rPr>
  </w:style>
  <w:style w:type="paragraph" w:styleId="TOC9">
    <w:name w:val="toc 9"/>
    <w:basedOn w:val="Normal"/>
    <w:next w:val="Normal"/>
    <w:autoRedefine/>
    <w:semiHidden/>
    <w:rsid w:val="003F17DD"/>
    <w:pPr>
      <w:ind w:left="1600"/>
    </w:pPr>
    <w:rPr>
      <w:sz w:val="18"/>
      <w:szCs w:val="18"/>
    </w:rPr>
  </w:style>
  <w:style w:type="paragraph" w:customStyle="1" w:styleId="Titlefigure">
    <w:name w:val="Title_figure"/>
    <w:basedOn w:val="Titletable"/>
    <w:next w:val="NormalNonumber"/>
    <w:rsid w:val="003F17DD"/>
    <w:rPr>
      <w:bCs w:val="0"/>
    </w:rPr>
  </w:style>
  <w:style w:type="paragraph" w:styleId="TableofFigures">
    <w:name w:val="table of figures"/>
    <w:basedOn w:val="Normal"/>
    <w:next w:val="Normal"/>
    <w:autoRedefine/>
    <w:semiHidden/>
    <w:rsid w:val="003F17DD"/>
    <w:pPr>
      <w:ind w:left="1814" w:hanging="567"/>
    </w:pPr>
  </w:style>
  <w:style w:type="paragraph" w:customStyle="1" w:styleId="CH1">
    <w:name w:val="CH1"/>
    <w:basedOn w:val="Normal-pool"/>
    <w:next w:val="CH2"/>
    <w:link w:val="CH1Char"/>
    <w:qFormat/>
    <w:rsid w:val="003F17D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F17D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F17DD"/>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F17D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F17DD"/>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7C29EE"/>
    <w:pPr>
      <w:tabs>
        <w:tab w:val="left" w:pos="4321"/>
        <w:tab w:val="right" w:pos="8641"/>
      </w:tabs>
      <w:spacing w:before="60"/>
    </w:pPr>
    <w:rPr>
      <w:b/>
      <w:sz w:val="18"/>
    </w:rPr>
  </w:style>
  <w:style w:type="paragraph" w:customStyle="1" w:styleId="Footer-pool">
    <w:name w:val="Footer-pool"/>
    <w:basedOn w:val="Normal"/>
    <w:next w:val="Normal"/>
    <w:rsid w:val="003F17DD"/>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F17DD"/>
    <w:pPr>
      <w:pBdr>
        <w:bottom w:val="single" w:sz="4" w:space="1" w:color="auto"/>
      </w:pBdr>
      <w:tabs>
        <w:tab w:val="center" w:pos="4536"/>
        <w:tab w:val="right" w:pos="9072"/>
      </w:tabs>
      <w:spacing w:after="120"/>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link w:val="CharCharCharCharCarChar"/>
    <w:rsid w:val="003F17DD"/>
    <w:rPr>
      <w:rFonts w:eastAsia="Times New Roman"/>
      <w:szCs w:val="18"/>
      <w:vertAlign w:val="superscript"/>
      <w:lang w:val="fr-FR" w:eastAsia="en-US"/>
    </w:rPr>
  </w:style>
  <w:style w:type="table" w:customStyle="1" w:styleId="AATable">
    <w:name w:val="AA_Table"/>
    <w:basedOn w:val="TableNormal"/>
    <w:semiHidden/>
    <w:rsid w:val="007C29E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F17DD"/>
    <w:pPr>
      <w:keepNext/>
      <w:keepLines/>
      <w:suppressAutoHyphens/>
    </w:pPr>
    <w:rPr>
      <w:b/>
    </w:rPr>
  </w:style>
  <w:style w:type="paragraph" w:customStyle="1" w:styleId="AATitle2">
    <w:name w:val="AA_Title2"/>
    <w:basedOn w:val="AATitle"/>
    <w:qFormat/>
    <w:rsid w:val="003F17DD"/>
    <w:pPr>
      <w:keepNext w:val="0"/>
      <w:keepLines w:val="0"/>
      <w:spacing w:before="120" w:after="120"/>
    </w:pPr>
  </w:style>
  <w:style w:type="paragraph" w:customStyle="1" w:styleId="BBTitle">
    <w:name w:val="BB_Title"/>
    <w:basedOn w:val="Normal-pool"/>
    <w:qFormat/>
    <w:rsid w:val="003F17DD"/>
    <w:pPr>
      <w:keepNext/>
      <w:keepLines/>
      <w:suppressAutoHyphens/>
      <w:spacing w:before="320" w:after="240"/>
      <w:ind w:left="1247" w:right="567"/>
    </w:pPr>
    <w:rPr>
      <w:b/>
      <w:sz w:val="28"/>
      <w:szCs w:val="28"/>
    </w:rPr>
  </w:style>
  <w:style w:type="paragraph" w:customStyle="1" w:styleId="CH4">
    <w:name w:val="CH4"/>
    <w:basedOn w:val="Normal-pool"/>
    <w:next w:val="Normalnumber"/>
    <w:rsid w:val="003F17DD"/>
    <w:pPr>
      <w:keepNext/>
      <w:keepLines/>
      <w:tabs>
        <w:tab w:val="clear" w:pos="624"/>
        <w:tab w:val="right" w:pos="851"/>
      </w:tabs>
      <w:suppressAutoHyphens/>
      <w:spacing w:after="120"/>
      <w:ind w:left="1247" w:right="284" w:hanging="1247"/>
    </w:pPr>
    <w:rPr>
      <w:b/>
    </w:rPr>
  </w:style>
  <w:style w:type="paragraph" w:styleId="Header">
    <w:name w:val="header"/>
    <w:basedOn w:val="Normal"/>
    <w:next w:val="Header-pool"/>
    <w:link w:val="HeaderChar"/>
    <w:semiHidden/>
    <w:rsid w:val="003F17DD"/>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styleId="Hyperlink">
    <w:name w:val="Hyperlink"/>
    <w:basedOn w:val="DefaultParagraphFont"/>
    <w:uiPriority w:val="99"/>
    <w:rsid w:val="003F17DD"/>
    <w:rPr>
      <w:color w:val="0000FF"/>
      <w:u w:val="none"/>
      <w:lang w:val="fr-FR"/>
    </w:rPr>
  </w:style>
  <w:style w:type="numbering" w:customStyle="1" w:styleId="Normallist">
    <w:name w:val="Normal_list"/>
    <w:basedOn w:val="NoList"/>
    <w:rsid w:val="003F17DD"/>
    <w:pPr>
      <w:numPr>
        <w:numId w:val="1"/>
      </w:numPr>
    </w:pPr>
  </w:style>
  <w:style w:type="paragraph" w:customStyle="1" w:styleId="NormalNonumber">
    <w:name w:val="Normal_No_number"/>
    <w:basedOn w:val="Normal-pool"/>
    <w:link w:val="NormalNonumberChar"/>
    <w:qFormat/>
    <w:rsid w:val="003F17DD"/>
    <w:pPr>
      <w:spacing w:after="120"/>
      <w:ind w:left="1247"/>
    </w:pPr>
  </w:style>
  <w:style w:type="paragraph" w:customStyle="1" w:styleId="Normalnumber">
    <w:name w:val="Normal_number"/>
    <w:basedOn w:val="Normal"/>
    <w:link w:val="NormalnumberChar"/>
    <w:qFormat/>
    <w:rsid w:val="003F17DD"/>
    <w:pPr>
      <w:numPr>
        <w:numId w:val="36"/>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F17DD"/>
    <w:pPr>
      <w:keepNext/>
      <w:keepLines/>
      <w:suppressAutoHyphens/>
      <w:spacing w:after="60"/>
      <w:ind w:left="1247"/>
    </w:pPr>
    <w:rPr>
      <w:b/>
      <w:bCs/>
    </w:rPr>
  </w:style>
  <w:style w:type="paragraph" w:styleId="TOC1">
    <w:name w:val="toc 1"/>
    <w:basedOn w:val="Normal"/>
    <w:next w:val="Normal"/>
    <w:autoRedefine/>
    <w:uiPriority w:val="39"/>
    <w:unhideWhenUsed/>
    <w:rsid w:val="003F17DD"/>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3F17DD"/>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3F17DD"/>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3F17DD"/>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3F17DD"/>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3F17DD"/>
    <w:rPr>
      <w:b/>
      <w:bCs/>
      <w:sz w:val="28"/>
      <w:szCs w:val="22"/>
    </w:rPr>
  </w:style>
  <w:style w:type="paragraph" w:customStyle="1" w:styleId="ZZAnxtitle">
    <w:name w:val="ZZ_Anx_title"/>
    <w:basedOn w:val="Normal-pool"/>
    <w:link w:val="ZZAnxtitleChar"/>
    <w:rsid w:val="003F17DD"/>
    <w:pPr>
      <w:spacing w:before="360" w:after="120"/>
      <w:ind w:left="1247"/>
    </w:pPr>
    <w:rPr>
      <w:b/>
      <w:bCs/>
      <w:sz w:val="28"/>
      <w:szCs w:val="26"/>
    </w:rPr>
  </w:style>
  <w:style w:type="paragraph" w:styleId="NormalWeb">
    <w:name w:val="Normal (Web)"/>
    <w:basedOn w:val="Normal"/>
    <w:uiPriority w:val="99"/>
    <w:semiHidden/>
    <w:unhideWhenUsed/>
    <w:rsid w:val="007C29E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F17DD"/>
    <w:pPr>
      <w:spacing w:before="40" w:after="40"/>
    </w:pPr>
    <w:rPr>
      <w:sz w:val="18"/>
    </w:rPr>
  </w:style>
  <w:style w:type="paragraph" w:customStyle="1" w:styleId="Footnote-Text">
    <w:name w:val="Footnote-Text"/>
    <w:basedOn w:val="Normal-pool"/>
    <w:rsid w:val="003F17DD"/>
    <w:pPr>
      <w:spacing w:before="20" w:after="40"/>
      <w:ind w:left="1247"/>
    </w:pPr>
    <w:rPr>
      <w:sz w:val="18"/>
    </w:rPr>
  </w:style>
  <w:style w:type="paragraph" w:customStyle="1" w:styleId="AConvName">
    <w:name w:val="A_ConvName"/>
    <w:basedOn w:val="Normal-pool"/>
    <w:next w:val="Normal-pool"/>
    <w:rsid w:val="003F17DD"/>
    <w:pPr>
      <w:tabs>
        <w:tab w:val="clear" w:pos="1247"/>
      </w:tabs>
      <w:spacing w:before="120" w:after="240"/>
    </w:pPr>
    <w:rPr>
      <w:rFonts w:ascii="Arial" w:hAnsi="Arial"/>
      <w:b/>
      <w:sz w:val="28"/>
    </w:rPr>
  </w:style>
  <w:style w:type="paragraph" w:customStyle="1" w:styleId="ASymbol">
    <w:name w:val="A_Symbol"/>
    <w:basedOn w:val="Normal-pool"/>
    <w:rsid w:val="003F17DD"/>
    <w:pPr>
      <w:tabs>
        <w:tab w:val="clear" w:pos="1247"/>
      </w:tabs>
    </w:pPr>
  </w:style>
  <w:style w:type="paragraph" w:customStyle="1" w:styleId="AText">
    <w:name w:val="A_Text"/>
    <w:basedOn w:val="Normal-pool"/>
    <w:rsid w:val="003F17DD"/>
    <w:pPr>
      <w:spacing w:before="120"/>
    </w:pPr>
  </w:style>
  <w:style w:type="paragraph" w:customStyle="1" w:styleId="ATwoLetters">
    <w:name w:val="A_TwoLetters"/>
    <w:basedOn w:val="Normal-pool"/>
    <w:next w:val="Normal-pool"/>
    <w:rsid w:val="003F17DD"/>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F17DD"/>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C29EE"/>
    <w:rPr>
      <w:rFonts w:ascii="Tahoma" w:hAnsi="Tahoma" w:cs="Tahoma"/>
      <w:sz w:val="16"/>
      <w:szCs w:val="16"/>
    </w:rPr>
  </w:style>
  <w:style w:type="character" w:customStyle="1" w:styleId="BalloonTextChar">
    <w:name w:val="Balloon Text Char"/>
    <w:basedOn w:val="DefaultParagraphFont"/>
    <w:link w:val="BalloonText"/>
    <w:rsid w:val="007C29EE"/>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F17DD"/>
    <w:rPr>
      <w:sz w:val="16"/>
      <w:szCs w:val="16"/>
      <w:lang w:val="fr-FR"/>
    </w:rPr>
  </w:style>
  <w:style w:type="paragraph" w:styleId="CommentText">
    <w:name w:val="annotation text"/>
    <w:basedOn w:val="Normal"/>
    <w:link w:val="CommentTextChar"/>
    <w:unhideWhenUsed/>
    <w:rsid w:val="003F17DD"/>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F17DD"/>
    <w:rPr>
      <w:rFonts w:eastAsia="Times New Roman"/>
      <w:lang w:val="fr-FR" w:eastAsia="en-US"/>
    </w:rPr>
  </w:style>
  <w:style w:type="paragraph" w:styleId="CommentSubject">
    <w:name w:val="annotation subject"/>
    <w:basedOn w:val="CommentText"/>
    <w:next w:val="CommentText"/>
    <w:link w:val="CommentSubjectChar"/>
    <w:semiHidden/>
    <w:unhideWhenUsed/>
    <w:rsid w:val="003F17DD"/>
    <w:rPr>
      <w:b/>
      <w:bCs/>
    </w:rPr>
  </w:style>
  <w:style w:type="character" w:customStyle="1" w:styleId="CommentSubjectChar">
    <w:name w:val="Comment Subject Char"/>
    <w:basedOn w:val="CommentTextChar"/>
    <w:link w:val="CommentSubject"/>
    <w:semiHidden/>
    <w:rsid w:val="003F17DD"/>
    <w:rPr>
      <w:rFonts w:eastAsia="Times New Roman"/>
      <w:b/>
      <w:bCs/>
      <w:lang w:val="fr-FR" w:eastAsia="en-US"/>
    </w:rPr>
  </w:style>
  <w:style w:type="character" w:styleId="FollowedHyperlink">
    <w:name w:val="FollowedHyperlink"/>
    <w:uiPriority w:val="99"/>
    <w:semiHidden/>
    <w:rsid w:val="003F17DD"/>
    <w:rPr>
      <w:color w:val="0000FF"/>
      <w:u w:val="none"/>
      <w:lang w:val="fr-FR"/>
    </w:rPr>
  </w:style>
  <w:style w:type="character" w:customStyle="1" w:styleId="FooterChar">
    <w:name w:val="Footer Char"/>
    <w:basedOn w:val="DefaultParagraphFont"/>
    <w:link w:val="Footer"/>
    <w:rsid w:val="003F17DD"/>
    <w:rPr>
      <w:rFonts w:eastAsia="Times New Roman"/>
      <w:b/>
      <w:sz w:val="18"/>
      <w:lang w:val="fr-FR" w:eastAsia="en-US"/>
    </w:rPr>
  </w:style>
  <w:style w:type="character" w:customStyle="1" w:styleId="HeaderChar">
    <w:name w:val="Header Char"/>
    <w:basedOn w:val="DefaultParagraphFont"/>
    <w:link w:val="Header"/>
    <w:semiHidden/>
    <w:rsid w:val="003F17DD"/>
    <w:rPr>
      <w:rFonts w:eastAsia="Times New Roman"/>
      <w:b/>
      <w:sz w:val="18"/>
      <w:lang w:val="fr-FR" w:eastAsia="en-US"/>
    </w:rPr>
  </w:style>
  <w:style w:type="character" w:customStyle="1" w:styleId="Heading1Char">
    <w:name w:val="Heading 1 Char"/>
    <w:basedOn w:val="DefaultParagraphFont"/>
    <w:link w:val="Heading1"/>
    <w:rsid w:val="003F17DD"/>
    <w:rPr>
      <w:rFonts w:eastAsia="Times New Roman"/>
      <w:b/>
      <w:sz w:val="28"/>
      <w:szCs w:val="28"/>
      <w:lang w:val="fr-FR"/>
    </w:rPr>
  </w:style>
  <w:style w:type="character" w:customStyle="1" w:styleId="Heading2Char">
    <w:name w:val="Heading 2 Char"/>
    <w:basedOn w:val="DefaultParagraphFont"/>
    <w:link w:val="Heading2"/>
    <w:rsid w:val="003F17DD"/>
    <w:rPr>
      <w:rFonts w:eastAsia="Times New Roman"/>
      <w:b/>
      <w:sz w:val="24"/>
      <w:szCs w:val="24"/>
      <w:lang w:val="fr-FR"/>
    </w:rPr>
  </w:style>
  <w:style w:type="character" w:customStyle="1" w:styleId="Heading3Char">
    <w:name w:val="Heading 3 Char"/>
    <w:basedOn w:val="DefaultParagraphFont"/>
    <w:link w:val="Heading3"/>
    <w:rsid w:val="003F17DD"/>
    <w:rPr>
      <w:rFonts w:eastAsia="Times New Roman"/>
      <w:b/>
      <w:lang w:val="fr-FR"/>
    </w:rPr>
  </w:style>
  <w:style w:type="character" w:customStyle="1" w:styleId="Heading4Char">
    <w:name w:val="Heading 4 Char"/>
    <w:basedOn w:val="DefaultParagraphFont"/>
    <w:link w:val="Heading4"/>
    <w:rsid w:val="003F17DD"/>
    <w:rPr>
      <w:rFonts w:eastAsia="Times New Roman"/>
      <w:b/>
      <w:lang w:val="fr-FR" w:eastAsia="en-US"/>
    </w:rPr>
  </w:style>
  <w:style w:type="character" w:customStyle="1" w:styleId="Heading5Char">
    <w:name w:val="Heading 5 Char"/>
    <w:basedOn w:val="DefaultParagraphFont"/>
    <w:link w:val="Heading5"/>
    <w:rsid w:val="003F17DD"/>
    <w:rPr>
      <w:rFonts w:eastAsia="Times New Roman"/>
      <w:b/>
      <w:lang w:val="fr-FR"/>
    </w:rPr>
  </w:style>
  <w:style w:type="character" w:customStyle="1" w:styleId="Heading6Char">
    <w:name w:val="Heading 6 Char"/>
    <w:basedOn w:val="DefaultParagraphFont"/>
    <w:link w:val="Heading6"/>
    <w:rsid w:val="003F17DD"/>
    <w:rPr>
      <w:rFonts w:eastAsia="Times New Roman"/>
      <w:bCs/>
      <w:sz w:val="24"/>
      <w:lang w:val="fr-FR"/>
    </w:rPr>
  </w:style>
  <w:style w:type="character" w:customStyle="1" w:styleId="Heading7Char">
    <w:name w:val="Heading 7 Char"/>
    <w:basedOn w:val="DefaultParagraphFont"/>
    <w:link w:val="Heading7"/>
    <w:rsid w:val="003F17DD"/>
    <w:rPr>
      <w:rFonts w:eastAsia="Times New Roman"/>
      <w:b/>
      <w:snapToGrid w:val="0"/>
      <w:u w:val="single"/>
      <w:lang w:val="fr-FR"/>
    </w:rPr>
  </w:style>
  <w:style w:type="character" w:customStyle="1" w:styleId="Heading8Char">
    <w:name w:val="Heading 8 Char"/>
    <w:basedOn w:val="DefaultParagraphFont"/>
    <w:link w:val="Heading8"/>
    <w:rsid w:val="003F17DD"/>
    <w:rPr>
      <w:rFonts w:eastAsia="Times New Roman"/>
      <w:b/>
      <w:snapToGrid w:val="0"/>
      <w:u w:val="single"/>
      <w:lang w:val="fr-FR"/>
    </w:rPr>
  </w:style>
  <w:style w:type="character" w:customStyle="1" w:styleId="Heading9Char">
    <w:name w:val="Heading 9 Char"/>
    <w:basedOn w:val="DefaultParagraphFont"/>
    <w:link w:val="Heading9"/>
    <w:rsid w:val="003F17DD"/>
    <w:rPr>
      <w:rFonts w:eastAsia="Times New Roman"/>
      <w:snapToGrid w:val="0"/>
      <w:u w:val="single"/>
      <w:lang w:val="fr-FR" w:eastAsia="en-US"/>
    </w:rPr>
  </w:style>
  <w:style w:type="paragraph" w:styleId="ListParagraph">
    <w:name w:val="List Paragraph"/>
    <w:basedOn w:val="Normal"/>
    <w:link w:val="ListParagraphChar"/>
    <w:uiPriority w:val="34"/>
    <w:qFormat/>
    <w:rsid w:val="007C29EE"/>
    <w:pPr>
      <w:ind w:left="720"/>
      <w:contextualSpacing/>
    </w:pPr>
  </w:style>
  <w:style w:type="paragraph" w:styleId="NoSpacing">
    <w:name w:val="No Spacing"/>
    <w:uiPriority w:val="1"/>
    <w:qFormat/>
    <w:rsid w:val="007C29EE"/>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F17DD"/>
    <w:rPr>
      <w:rFonts w:eastAsia="Times New Roman"/>
      <w:lang w:eastAsia="en-US"/>
    </w:rPr>
  </w:style>
  <w:style w:type="character" w:styleId="PlaceholderText">
    <w:name w:val="Placeholder Text"/>
    <w:basedOn w:val="DefaultParagraphFont"/>
    <w:uiPriority w:val="99"/>
    <w:semiHidden/>
    <w:rsid w:val="007C29EE"/>
    <w:rPr>
      <w:color w:val="808080"/>
      <w:lang w:val="fr-FR"/>
    </w:rPr>
  </w:style>
  <w:style w:type="table" w:styleId="TableGrid">
    <w:name w:val="Table Grid"/>
    <w:basedOn w:val="TableNormal"/>
    <w:uiPriority w:val="59"/>
    <w:rsid w:val="007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F17DD"/>
    <w:pPr>
      <w:spacing w:before="120" w:after="240"/>
    </w:pPr>
    <w:rPr>
      <w:rFonts w:eastAsia="Times New Roman"/>
    </w:rPr>
  </w:style>
  <w:style w:type="character" w:customStyle="1" w:styleId="ALogoChar">
    <w:name w:val="A_Logo Char"/>
    <w:basedOn w:val="DefaultParagraphFont"/>
    <w:link w:val="ALogo"/>
    <w:rsid w:val="003F17DD"/>
    <w:rPr>
      <w:rFonts w:eastAsia="Times New Roman"/>
      <w:lang w:val="fr-FR"/>
    </w:rPr>
  </w:style>
  <w:style w:type="paragraph" w:customStyle="1" w:styleId="ASpacer">
    <w:name w:val="A_Spacer"/>
    <w:basedOn w:val="Normal-pool"/>
    <w:link w:val="ASpacerChar"/>
    <w:qFormat/>
    <w:rsid w:val="003F17DD"/>
    <w:rPr>
      <w:rFonts w:eastAsia="Times New Roman"/>
      <w:sz w:val="2"/>
    </w:rPr>
  </w:style>
  <w:style w:type="character" w:customStyle="1" w:styleId="ASpacerChar">
    <w:name w:val="A_Spacer Char"/>
    <w:basedOn w:val="DefaultParagraphFont"/>
    <w:link w:val="ASpacer"/>
    <w:rsid w:val="003F17DD"/>
    <w:rPr>
      <w:rFonts w:eastAsia="Times New Roman"/>
      <w:sz w:val="2"/>
      <w:lang w:val="fr-FR"/>
    </w:rPr>
  </w:style>
  <w:style w:type="paragraph" w:customStyle="1" w:styleId="AATitle1">
    <w:name w:val="AA_Title1"/>
    <w:basedOn w:val="Normal-pool"/>
    <w:qFormat/>
    <w:rsid w:val="003F17DD"/>
  </w:style>
  <w:style w:type="character" w:styleId="UnresolvedMention">
    <w:name w:val="Unresolved Mention"/>
    <w:basedOn w:val="DefaultParagraphFont"/>
    <w:uiPriority w:val="99"/>
    <w:semiHidden/>
    <w:rsid w:val="007C29EE"/>
    <w:rPr>
      <w:color w:val="605E5C"/>
      <w:shd w:val="clear" w:color="auto" w:fill="E1DFDD"/>
      <w:lang w:val="fr-FR"/>
    </w:rPr>
  </w:style>
  <w:style w:type="paragraph" w:customStyle="1" w:styleId="ANormal">
    <w:name w:val="A_Normal"/>
    <w:basedOn w:val="Normal-pool"/>
    <w:qFormat/>
    <w:rsid w:val="003F17DD"/>
    <w:rPr>
      <w:rFonts w:eastAsia="Times New Roman"/>
    </w:rPr>
  </w:style>
  <w:style w:type="paragraph" w:customStyle="1" w:styleId="AText0">
    <w:name w:val="A_Text0"/>
    <w:basedOn w:val="AText"/>
    <w:next w:val="Normal-pool"/>
    <w:qFormat/>
    <w:rsid w:val="003F17DD"/>
    <w:pPr>
      <w:spacing w:before="0" w:after="120"/>
    </w:pPr>
    <w:rPr>
      <w:rFonts w:eastAsia="Times New Roman"/>
    </w:rPr>
  </w:style>
  <w:style w:type="paragraph" w:styleId="Footer">
    <w:name w:val="footer"/>
    <w:basedOn w:val="Normal"/>
    <w:link w:val="FooterChar"/>
    <w:unhideWhenUsed/>
    <w:rsid w:val="003F17DD"/>
    <w:pPr>
      <w:tabs>
        <w:tab w:val="right" w:pos="8641"/>
      </w:tabs>
      <w:spacing w:after="120"/>
    </w:pPr>
    <w:rPr>
      <w:b/>
      <w:sz w:val="18"/>
    </w:rPr>
  </w:style>
  <w:style w:type="character" w:customStyle="1" w:styleId="FooterChar1">
    <w:name w:val="Footer Char1"/>
    <w:basedOn w:val="DefaultParagraphFont"/>
    <w:uiPriority w:val="99"/>
    <w:rsid w:val="007C29EE"/>
    <w:rPr>
      <w:rFonts w:eastAsia="Times New Roman"/>
      <w:b/>
      <w:sz w:val="18"/>
      <w:lang w:val="fr-FR" w:eastAsia="en-US"/>
    </w:rPr>
  </w:style>
  <w:style w:type="paragraph" w:customStyle="1" w:styleId="Normal-pool">
    <w:name w:val="Normal-pool"/>
    <w:link w:val="Normal-poolChar"/>
    <w:qFormat/>
    <w:rsid w:val="003F17DD"/>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F17DD"/>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F17DD"/>
    <w:pPr>
      <w:spacing w:before="60"/>
    </w:pPr>
    <w:rPr>
      <w:sz w:val="18"/>
    </w:rPr>
  </w:style>
  <w:style w:type="paragraph" w:styleId="Bibliography">
    <w:name w:val="Bibliography"/>
    <w:basedOn w:val="Normal"/>
    <w:next w:val="Normal"/>
    <w:uiPriority w:val="37"/>
    <w:semiHidden/>
    <w:rsid w:val="007C29EE"/>
  </w:style>
  <w:style w:type="paragraph" w:styleId="BlockText">
    <w:name w:val="Block Text"/>
    <w:basedOn w:val="Normal"/>
    <w:semiHidden/>
    <w:unhideWhenUsed/>
    <w:rsid w:val="007C29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29EE"/>
    <w:pPr>
      <w:spacing w:after="120"/>
    </w:pPr>
  </w:style>
  <w:style w:type="character" w:customStyle="1" w:styleId="BodyTextChar">
    <w:name w:val="Body Text Char"/>
    <w:basedOn w:val="DefaultParagraphFont"/>
    <w:link w:val="BodyText"/>
    <w:semiHidden/>
    <w:rsid w:val="007C29EE"/>
    <w:rPr>
      <w:rFonts w:eastAsia="Times New Roman"/>
      <w:lang w:val="fr-FR" w:eastAsia="en-US"/>
    </w:rPr>
  </w:style>
  <w:style w:type="paragraph" w:styleId="BodyText2">
    <w:name w:val="Body Text 2"/>
    <w:basedOn w:val="Normal"/>
    <w:link w:val="BodyText2Char"/>
    <w:semiHidden/>
    <w:unhideWhenUsed/>
    <w:rsid w:val="007C29EE"/>
    <w:pPr>
      <w:spacing w:after="120" w:line="480" w:lineRule="auto"/>
    </w:pPr>
  </w:style>
  <w:style w:type="character" w:customStyle="1" w:styleId="BodyText2Char">
    <w:name w:val="Body Text 2 Char"/>
    <w:basedOn w:val="DefaultParagraphFont"/>
    <w:link w:val="BodyText2"/>
    <w:semiHidden/>
    <w:rsid w:val="007C29EE"/>
    <w:rPr>
      <w:rFonts w:eastAsia="Times New Roman"/>
      <w:lang w:val="fr-FR" w:eastAsia="en-US"/>
    </w:rPr>
  </w:style>
  <w:style w:type="paragraph" w:styleId="BodyText3">
    <w:name w:val="Body Text 3"/>
    <w:basedOn w:val="Normal"/>
    <w:link w:val="BodyText3Char"/>
    <w:semiHidden/>
    <w:unhideWhenUsed/>
    <w:rsid w:val="007C29EE"/>
    <w:pPr>
      <w:spacing w:after="120"/>
    </w:pPr>
    <w:rPr>
      <w:sz w:val="16"/>
      <w:szCs w:val="16"/>
    </w:rPr>
  </w:style>
  <w:style w:type="character" w:customStyle="1" w:styleId="BodyText3Char">
    <w:name w:val="Body Text 3 Char"/>
    <w:basedOn w:val="DefaultParagraphFont"/>
    <w:link w:val="BodyText3"/>
    <w:semiHidden/>
    <w:rsid w:val="007C29EE"/>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7C29EE"/>
    <w:pPr>
      <w:spacing w:after="0"/>
      <w:ind w:firstLine="360"/>
    </w:pPr>
  </w:style>
  <w:style w:type="character" w:customStyle="1" w:styleId="BodyTextFirstIndentChar">
    <w:name w:val="Body Text First Indent Char"/>
    <w:basedOn w:val="BodyTextChar"/>
    <w:link w:val="BodyTextFirstIndent"/>
    <w:semiHidden/>
    <w:rsid w:val="007C29EE"/>
    <w:rPr>
      <w:rFonts w:eastAsia="Times New Roman"/>
      <w:lang w:val="fr-FR" w:eastAsia="en-US"/>
    </w:rPr>
  </w:style>
  <w:style w:type="paragraph" w:styleId="BodyTextIndent">
    <w:name w:val="Body Text Indent"/>
    <w:basedOn w:val="Normal"/>
    <w:link w:val="BodyTextIndentChar"/>
    <w:semiHidden/>
    <w:unhideWhenUsed/>
    <w:rsid w:val="007C29EE"/>
    <w:pPr>
      <w:spacing w:after="120"/>
      <w:ind w:left="283"/>
    </w:pPr>
  </w:style>
  <w:style w:type="character" w:customStyle="1" w:styleId="BodyTextIndentChar">
    <w:name w:val="Body Text Indent Char"/>
    <w:basedOn w:val="DefaultParagraphFont"/>
    <w:link w:val="BodyTextIndent"/>
    <w:semiHidden/>
    <w:rsid w:val="007C29EE"/>
    <w:rPr>
      <w:rFonts w:eastAsia="Times New Roman"/>
      <w:lang w:val="fr-FR" w:eastAsia="en-US"/>
    </w:rPr>
  </w:style>
  <w:style w:type="paragraph" w:styleId="BodyTextFirstIndent2">
    <w:name w:val="Body Text First Indent 2"/>
    <w:basedOn w:val="BodyTextIndent"/>
    <w:link w:val="BodyTextFirstIndent2Char"/>
    <w:semiHidden/>
    <w:unhideWhenUsed/>
    <w:rsid w:val="007C29EE"/>
    <w:pPr>
      <w:spacing w:after="0"/>
      <w:ind w:left="360" w:firstLine="360"/>
    </w:pPr>
  </w:style>
  <w:style w:type="character" w:customStyle="1" w:styleId="BodyTextFirstIndent2Char">
    <w:name w:val="Body Text First Indent 2 Char"/>
    <w:basedOn w:val="BodyTextIndentChar"/>
    <w:link w:val="BodyTextFirstIndent2"/>
    <w:semiHidden/>
    <w:rsid w:val="007C29EE"/>
    <w:rPr>
      <w:rFonts w:eastAsia="Times New Roman"/>
      <w:lang w:val="fr-FR" w:eastAsia="en-US"/>
    </w:rPr>
  </w:style>
  <w:style w:type="paragraph" w:styleId="BodyTextIndent2">
    <w:name w:val="Body Text Indent 2"/>
    <w:basedOn w:val="Normal"/>
    <w:link w:val="BodyTextIndent2Char"/>
    <w:semiHidden/>
    <w:unhideWhenUsed/>
    <w:rsid w:val="007C29EE"/>
    <w:pPr>
      <w:spacing w:after="120" w:line="480" w:lineRule="auto"/>
      <w:ind w:left="283"/>
    </w:pPr>
  </w:style>
  <w:style w:type="character" w:customStyle="1" w:styleId="BodyTextIndent2Char">
    <w:name w:val="Body Text Indent 2 Char"/>
    <w:basedOn w:val="DefaultParagraphFont"/>
    <w:link w:val="BodyTextIndent2"/>
    <w:semiHidden/>
    <w:rsid w:val="007C29EE"/>
    <w:rPr>
      <w:rFonts w:eastAsia="Times New Roman"/>
      <w:lang w:val="fr-FR" w:eastAsia="en-US"/>
    </w:rPr>
  </w:style>
  <w:style w:type="paragraph" w:styleId="BodyTextIndent3">
    <w:name w:val="Body Text Indent 3"/>
    <w:basedOn w:val="Normal"/>
    <w:link w:val="BodyTextIndent3Char"/>
    <w:semiHidden/>
    <w:unhideWhenUsed/>
    <w:rsid w:val="007C29EE"/>
    <w:pPr>
      <w:spacing w:after="120"/>
      <w:ind w:left="283"/>
    </w:pPr>
    <w:rPr>
      <w:sz w:val="16"/>
      <w:szCs w:val="16"/>
    </w:rPr>
  </w:style>
  <w:style w:type="character" w:customStyle="1" w:styleId="BodyTextIndent3Char">
    <w:name w:val="Body Text Indent 3 Char"/>
    <w:basedOn w:val="DefaultParagraphFont"/>
    <w:link w:val="BodyTextIndent3"/>
    <w:semiHidden/>
    <w:rsid w:val="007C29EE"/>
    <w:rPr>
      <w:rFonts w:eastAsia="Times New Roman"/>
      <w:sz w:val="16"/>
      <w:szCs w:val="16"/>
      <w:lang w:val="fr-FR" w:eastAsia="en-US"/>
    </w:rPr>
  </w:style>
  <w:style w:type="character" w:styleId="BookTitle">
    <w:name w:val="Book Title"/>
    <w:basedOn w:val="DefaultParagraphFont"/>
    <w:uiPriority w:val="33"/>
    <w:qFormat/>
    <w:rsid w:val="007C29EE"/>
    <w:rPr>
      <w:b/>
      <w:bCs/>
      <w:i/>
      <w:iCs/>
      <w:spacing w:val="5"/>
      <w:lang w:val="fr-FR"/>
    </w:rPr>
  </w:style>
  <w:style w:type="paragraph" w:styleId="Caption">
    <w:name w:val="caption"/>
    <w:basedOn w:val="Normal"/>
    <w:next w:val="Normal"/>
    <w:uiPriority w:val="35"/>
    <w:semiHidden/>
    <w:unhideWhenUsed/>
    <w:qFormat/>
    <w:rsid w:val="007C29EE"/>
    <w:pPr>
      <w:spacing w:after="200"/>
    </w:pPr>
    <w:rPr>
      <w:i/>
      <w:iCs/>
      <w:color w:val="1F497D" w:themeColor="text2"/>
      <w:sz w:val="18"/>
      <w:szCs w:val="18"/>
    </w:rPr>
  </w:style>
  <w:style w:type="paragraph" w:styleId="Closing">
    <w:name w:val="Closing"/>
    <w:basedOn w:val="Normal"/>
    <w:link w:val="ClosingChar"/>
    <w:semiHidden/>
    <w:unhideWhenUsed/>
    <w:rsid w:val="007C29EE"/>
    <w:pPr>
      <w:ind w:left="4252"/>
    </w:pPr>
  </w:style>
  <w:style w:type="character" w:customStyle="1" w:styleId="ClosingChar">
    <w:name w:val="Closing Char"/>
    <w:basedOn w:val="DefaultParagraphFont"/>
    <w:link w:val="Closing"/>
    <w:semiHidden/>
    <w:rsid w:val="007C29EE"/>
    <w:rPr>
      <w:rFonts w:eastAsia="Times New Roman"/>
      <w:lang w:val="fr-FR" w:eastAsia="en-US"/>
    </w:rPr>
  </w:style>
  <w:style w:type="table" w:styleId="ColorfulGrid">
    <w:name w:val="Colorful Grid"/>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29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29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29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29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29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29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29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29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29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29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29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29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29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29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29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29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29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29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29EE"/>
  </w:style>
  <w:style w:type="character" w:customStyle="1" w:styleId="DateChar">
    <w:name w:val="Date Char"/>
    <w:basedOn w:val="DefaultParagraphFont"/>
    <w:link w:val="Date"/>
    <w:semiHidden/>
    <w:rsid w:val="007C29EE"/>
    <w:rPr>
      <w:rFonts w:eastAsia="Times New Roman"/>
      <w:lang w:val="fr-FR" w:eastAsia="en-US"/>
    </w:rPr>
  </w:style>
  <w:style w:type="paragraph" w:styleId="DocumentMap">
    <w:name w:val="Document Map"/>
    <w:basedOn w:val="Normal"/>
    <w:link w:val="DocumentMapChar"/>
    <w:semiHidden/>
    <w:unhideWhenUsed/>
    <w:rsid w:val="007C29EE"/>
    <w:rPr>
      <w:rFonts w:ascii="Segoe UI" w:hAnsi="Segoe UI" w:cs="Segoe UI"/>
      <w:sz w:val="16"/>
      <w:szCs w:val="16"/>
    </w:rPr>
  </w:style>
  <w:style w:type="character" w:customStyle="1" w:styleId="DocumentMapChar">
    <w:name w:val="Document Map Char"/>
    <w:basedOn w:val="DefaultParagraphFont"/>
    <w:link w:val="DocumentMap"/>
    <w:semiHidden/>
    <w:rsid w:val="007C29EE"/>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7C29EE"/>
  </w:style>
  <w:style w:type="character" w:customStyle="1" w:styleId="E-mailSignatureChar">
    <w:name w:val="E-mail Signature Char"/>
    <w:basedOn w:val="DefaultParagraphFont"/>
    <w:link w:val="E-mailSignature"/>
    <w:semiHidden/>
    <w:rsid w:val="007C29EE"/>
    <w:rPr>
      <w:rFonts w:eastAsia="Times New Roman"/>
      <w:lang w:val="fr-FR" w:eastAsia="en-US"/>
    </w:rPr>
  </w:style>
  <w:style w:type="character" w:styleId="Emphasis">
    <w:name w:val="Emphasis"/>
    <w:basedOn w:val="DefaultParagraphFont"/>
    <w:qFormat/>
    <w:rsid w:val="007C29EE"/>
    <w:rPr>
      <w:i/>
      <w:iCs/>
      <w:lang w:val="fr-FR"/>
    </w:rPr>
  </w:style>
  <w:style w:type="character" w:styleId="EndnoteReference">
    <w:name w:val="endnote reference"/>
    <w:basedOn w:val="DefaultParagraphFont"/>
    <w:semiHidden/>
    <w:unhideWhenUsed/>
    <w:rsid w:val="007C29EE"/>
    <w:rPr>
      <w:vertAlign w:val="superscript"/>
      <w:lang w:val="fr-FR"/>
    </w:rPr>
  </w:style>
  <w:style w:type="paragraph" w:styleId="EndnoteText">
    <w:name w:val="endnote text"/>
    <w:basedOn w:val="Normal"/>
    <w:link w:val="EndnoteTextChar"/>
    <w:semiHidden/>
    <w:unhideWhenUsed/>
    <w:rsid w:val="007C29EE"/>
  </w:style>
  <w:style w:type="character" w:customStyle="1" w:styleId="EndnoteTextChar">
    <w:name w:val="Endnote Text Char"/>
    <w:basedOn w:val="DefaultParagraphFont"/>
    <w:link w:val="EndnoteText"/>
    <w:semiHidden/>
    <w:rsid w:val="007C29EE"/>
    <w:rPr>
      <w:rFonts w:eastAsia="Times New Roman"/>
      <w:lang w:val="fr-FR" w:eastAsia="en-US"/>
    </w:rPr>
  </w:style>
  <w:style w:type="paragraph" w:styleId="EnvelopeAddress">
    <w:name w:val="envelope address"/>
    <w:basedOn w:val="Normal"/>
    <w:semiHidden/>
    <w:unhideWhenUsed/>
    <w:rsid w:val="007C29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C29EE"/>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
    <w:basedOn w:val="Normal"/>
    <w:link w:val="FootnoteTextChar"/>
    <w:rsid w:val="003F17DD"/>
    <w:pPr>
      <w:tabs>
        <w:tab w:val="left" w:pos="4082"/>
      </w:tabs>
      <w:spacing w:before="20" w:after="40"/>
      <w:ind w:left="1247"/>
    </w:pPr>
    <w:rPr>
      <w:sz w:val="18"/>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rsid w:val="007C29EE"/>
    <w:rPr>
      <w:rFonts w:eastAsia="Times New Roman"/>
      <w:sz w:val="18"/>
      <w:lang w:val="fr-FR" w:eastAsia="en-US"/>
    </w:rPr>
  </w:style>
  <w:style w:type="table" w:styleId="GridTable1Light">
    <w:name w:val="Grid Table 1 Light"/>
    <w:basedOn w:val="TableNormal"/>
    <w:uiPriority w:val="46"/>
    <w:rsid w:val="007C2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2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29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29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29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29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29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29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29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29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29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29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29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29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7C29EE"/>
    <w:rPr>
      <w:color w:val="2B579A"/>
      <w:shd w:val="clear" w:color="auto" w:fill="E1DFDD"/>
      <w:lang w:val="fr-FR"/>
    </w:rPr>
  </w:style>
  <w:style w:type="character" w:styleId="HTMLAcronym">
    <w:name w:val="HTML Acronym"/>
    <w:basedOn w:val="DefaultParagraphFont"/>
    <w:semiHidden/>
    <w:unhideWhenUsed/>
    <w:rsid w:val="007C29EE"/>
    <w:rPr>
      <w:lang w:val="fr-FR"/>
    </w:rPr>
  </w:style>
  <w:style w:type="paragraph" w:styleId="HTMLAddress">
    <w:name w:val="HTML Address"/>
    <w:basedOn w:val="Normal"/>
    <w:link w:val="HTMLAddressChar"/>
    <w:semiHidden/>
    <w:unhideWhenUsed/>
    <w:rsid w:val="007C29EE"/>
    <w:rPr>
      <w:i/>
      <w:iCs/>
    </w:rPr>
  </w:style>
  <w:style w:type="character" w:customStyle="1" w:styleId="HTMLAddressChar">
    <w:name w:val="HTML Address Char"/>
    <w:basedOn w:val="DefaultParagraphFont"/>
    <w:link w:val="HTMLAddress"/>
    <w:semiHidden/>
    <w:rsid w:val="007C29EE"/>
    <w:rPr>
      <w:rFonts w:eastAsia="Times New Roman"/>
      <w:i/>
      <w:iCs/>
      <w:lang w:val="fr-FR" w:eastAsia="en-US"/>
    </w:rPr>
  </w:style>
  <w:style w:type="character" w:styleId="HTMLCite">
    <w:name w:val="HTML Cite"/>
    <w:basedOn w:val="DefaultParagraphFont"/>
    <w:semiHidden/>
    <w:unhideWhenUsed/>
    <w:rsid w:val="007C29EE"/>
    <w:rPr>
      <w:i/>
      <w:iCs/>
      <w:lang w:val="fr-FR"/>
    </w:rPr>
  </w:style>
  <w:style w:type="character" w:styleId="HTMLCode">
    <w:name w:val="HTML Code"/>
    <w:basedOn w:val="DefaultParagraphFont"/>
    <w:semiHidden/>
    <w:unhideWhenUsed/>
    <w:rsid w:val="007C29EE"/>
    <w:rPr>
      <w:rFonts w:ascii="Consolas" w:hAnsi="Consolas"/>
      <w:sz w:val="20"/>
      <w:szCs w:val="20"/>
      <w:lang w:val="fr-FR"/>
    </w:rPr>
  </w:style>
  <w:style w:type="character" w:styleId="HTMLDefinition">
    <w:name w:val="HTML Definition"/>
    <w:basedOn w:val="DefaultParagraphFont"/>
    <w:semiHidden/>
    <w:unhideWhenUsed/>
    <w:rsid w:val="007C29EE"/>
    <w:rPr>
      <w:i/>
      <w:iCs/>
      <w:lang w:val="fr-FR"/>
    </w:rPr>
  </w:style>
  <w:style w:type="character" w:styleId="HTMLKeyboard">
    <w:name w:val="HTML Keyboard"/>
    <w:basedOn w:val="DefaultParagraphFont"/>
    <w:semiHidden/>
    <w:unhideWhenUsed/>
    <w:rsid w:val="007C29EE"/>
    <w:rPr>
      <w:rFonts w:ascii="Consolas" w:hAnsi="Consolas"/>
      <w:sz w:val="20"/>
      <w:szCs w:val="20"/>
      <w:lang w:val="fr-FR"/>
    </w:rPr>
  </w:style>
  <w:style w:type="paragraph" w:styleId="HTMLPreformatted">
    <w:name w:val="HTML Preformatted"/>
    <w:basedOn w:val="Normal"/>
    <w:link w:val="HTMLPreformattedChar"/>
    <w:semiHidden/>
    <w:unhideWhenUsed/>
    <w:rsid w:val="007C29EE"/>
    <w:rPr>
      <w:rFonts w:ascii="Consolas" w:hAnsi="Consolas"/>
    </w:rPr>
  </w:style>
  <w:style w:type="character" w:customStyle="1" w:styleId="HTMLPreformattedChar">
    <w:name w:val="HTML Preformatted Char"/>
    <w:basedOn w:val="DefaultParagraphFont"/>
    <w:link w:val="HTMLPreformatted"/>
    <w:semiHidden/>
    <w:rsid w:val="007C29EE"/>
    <w:rPr>
      <w:rFonts w:ascii="Consolas" w:eastAsia="Times New Roman" w:hAnsi="Consolas"/>
      <w:lang w:val="fr-FR" w:eastAsia="en-US"/>
    </w:rPr>
  </w:style>
  <w:style w:type="character" w:styleId="HTMLSample">
    <w:name w:val="HTML Sample"/>
    <w:basedOn w:val="DefaultParagraphFont"/>
    <w:semiHidden/>
    <w:unhideWhenUsed/>
    <w:rsid w:val="007C29EE"/>
    <w:rPr>
      <w:rFonts w:ascii="Consolas" w:hAnsi="Consolas"/>
      <w:sz w:val="24"/>
      <w:szCs w:val="24"/>
      <w:lang w:val="fr-FR"/>
    </w:rPr>
  </w:style>
  <w:style w:type="character" w:styleId="HTMLTypewriter">
    <w:name w:val="HTML Typewriter"/>
    <w:basedOn w:val="DefaultParagraphFont"/>
    <w:semiHidden/>
    <w:unhideWhenUsed/>
    <w:rsid w:val="007C29EE"/>
    <w:rPr>
      <w:rFonts w:ascii="Consolas" w:hAnsi="Consolas"/>
      <w:sz w:val="20"/>
      <w:szCs w:val="20"/>
      <w:lang w:val="fr-FR"/>
    </w:rPr>
  </w:style>
  <w:style w:type="character" w:styleId="HTMLVariable">
    <w:name w:val="HTML Variable"/>
    <w:basedOn w:val="DefaultParagraphFont"/>
    <w:semiHidden/>
    <w:unhideWhenUsed/>
    <w:rsid w:val="007C29EE"/>
    <w:rPr>
      <w:i/>
      <w:iCs/>
      <w:lang w:val="fr-FR"/>
    </w:rPr>
  </w:style>
  <w:style w:type="paragraph" w:styleId="Index1">
    <w:name w:val="index 1"/>
    <w:basedOn w:val="Normal"/>
    <w:next w:val="Normal"/>
    <w:autoRedefine/>
    <w:semiHidden/>
    <w:unhideWhenUsed/>
    <w:rsid w:val="007C29EE"/>
    <w:pPr>
      <w:tabs>
        <w:tab w:val="clear" w:pos="1247"/>
      </w:tabs>
      <w:ind w:left="200" w:hanging="200"/>
    </w:pPr>
  </w:style>
  <w:style w:type="paragraph" w:styleId="Index2">
    <w:name w:val="index 2"/>
    <w:basedOn w:val="Normal"/>
    <w:next w:val="Normal"/>
    <w:autoRedefine/>
    <w:semiHidden/>
    <w:unhideWhenUsed/>
    <w:rsid w:val="007C29EE"/>
    <w:pPr>
      <w:tabs>
        <w:tab w:val="clear" w:pos="1247"/>
      </w:tabs>
      <w:ind w:left="400" w:hanging="200"/>
    </w:pPr>
  </w:style>
  <w:style w:type="paragraph" w:styleId="Index3">
    <w:name w:val="index 3"/>
    <w:basedOn w:val="Normal"/>
    <w:next w:val="Normal"/>
    <w:autoRedefine/>
    <w:semiHidden/>
    <w:unhideWhenUsed/>
    <w:rsid w:val="007C29EE"/>
    <w:pPr>
      <w:tabs>
        <w:tab w:val="clear" w:pos="1247"/>
      </w:tabs>
      <w:ind w:left="600" w:hanging="200"/>
    </w:pPr>
  </w:style>
  <w:style w:type="paragraph" w:styleId="Index4">
    <w:name w:val="index 4"/>
    <w:basedOn w:val="Normal"/>
    <w:next w:val="Normal"/>
    <w:autoRedefine/>
    <w:semiHidden/>
    <w:unhideWhenUsed/>
    <w:rsid w:val="007C29EE"/>
    <w:pPr>
      <w:tabs>
        <w:tab w:val="clear" w:pos="1247"/>
      </w:tabs>
      <w:ind w:left="800" w:hanging="200"/>
    </w:pPr>
  </w:style>
  <w:style w:type="paragraph" w:styleId="Index5">
    <w:name w:val="index 5"/>
    <w:basedOn w:val="Normal"/>
    <w:next w:val="Normal"/>
    <w:autoRedefine/>
    <w:semiHidden/>
    <w:unhideWhenUsed/>
    <w:rsid w:val="007C29EE"/>
    <w:pPr>
      <w:tabs>
        <w:tab w:val="clear" w:pos="1247"/>
      </w:tabs>
      <w:ind w:left="1000" w:hanging="200"/>
    </w:pPr>
  </w:style>
  <w:style w:type="paragraph" w:styleId="Index6">
    <w:name w:val="index 6"/>
    <w:basedOn w:val="Normal"/>
    <w:next w:val="Normal"/>
    <w:autoRedefine/>
    <w:semiHidden/>
    <w:unhideWhenUsed/>
    <w:rsid w:val="007C29EE"/>
    <w:pPr>
      <w:tabs>
        <w:tab w:val="clear" w:pos="1247"/>
      </w:tabs>
      <w:ind w:left="1200" w:hanging="200"/>
    </w:pPr>
  </w:style>
  <w:style w:type="paragraph" w:styleId="Index7">
    <w:name w:val="index 7"/>
    <w:basedOn w:val="Normal"/>
    <w:next w:val="Normal"/>
    <w:autoRedefine/>
    <w:semiHidden/>
    <w:unhideWhenUsed/>
    <w:rsid w:val="007C29EE"/>
    <w:pPr>
      <w:tabs>
        <w:tab w:val="clear" w:pos="1247"/>
      </w:tabs>
      <w:ind w:left="1400" w:hanging="200"/>
    </w:pPr>
  </w:style>
  <w:style w:type="paragraph" w:styleId="Index8">
    <w:name w:val="index 8"/>
    <w:basedOn w:val="Normal"/>
    <w:next w:val="Normal"/>
    <w:autoRedefine/>
    <w:semiHidden/>
    <w:unhideWhenUsed/>
    <w:rsid w:val="007C29EE"/>
    <w:pPr>
      <w:tabs>
        <w:tab w:val="clear" w:pos="1247"/>
      </w:tabs>
      <w:ind w:left="1600" w:hanging="200"/>
    </w:pPr>
  </w:style>
  <w:style w:type="paragraph" w:styleId="Index9">
    <w:name w:val="index 9"/>
    <w:basedOn w:val="Normal"/>
    <w:next w:val="Normal"/>
    <w:autoRedefine/>
    <w:semiHidden/>
    <w:unhideWhenUsed/>
    <w:rsid w:val="007C29EE"/>
    <w:pPr>
      <w:tabs>
        <w:tab w:val="clear" w:pos="1247"/>
      </w:tabs>
      <w:ind w:left="1800" w:hanging="200"/>
    </w:pPr>
  </w:style>
  <w:style w:type="paragraph" w:styleId="IndexHeading">
    <w:name w:val="index heading"/>
    <w:basedOn w:val="Normal"/>
    <w:next w:val="Index1"/>
    <w:semiHidden/>
    <w:unhideWhenUsed/>
    <w:rsid w:val="007C29EE"/>
    <w:rPr>
      <w:rFonts w:asciiTheme="majorHAnsi" w:eastAsiaTheme="majorEastAsia" w:hAnsiTheme="majorHAnsi" w:cstheme="majorBidi"/>
      <w:b/>
      <w:bCs/>
    </w:rPr>
  </w:style>
  <w:style w:type="character" w:styleId="IntenseEmphasis">
    <w:name w:val="Intense Emphasis"/>
    <w:basedOn w:val="DefaultParagraphFont"/>
    <w:uiPriority w:val="21"/>
    <w:qFormat/>
    <w:rsid w:val="007C29EE"/>
    <w:rPr>
      <w:i/>
      <w:iCs/>
      <w:color w:val="4F81BD" w:themeColor="accent1"/>
      <w:lang w:val="fr-FR"/>
    </w:rPr>
  </w:style>
  <w:style w:type="paragraph" w:styleId="IntenseQuote">
    <w:name w:val="Intense Quote"/>
    <w:basedOn w:val="Normal"/>
    <w:next w:val="Normal"/>
    <w:link w:val="IntenseQuoteChar"/>
    <w:uiPriority w:val="30"/>
    <w:qFormat/>
    <w:rsid w:val="007C2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29EE"/>
    <w:rPr>
      <w:rFonts w:eastAsia="Times New Roman"/>
      <w:i/>
      <w:iCs/>
      <w:color w:val="4F81BD" w:themeColor="accent1"/>
      <w:lang w:val="fr-FR" w:eastAsia="en-US"/>
    </w:rPr>
  </w:style>
  <w:style w:type="character" w:styleId="IntenseReference">
    <w:name w:val="Intense Reference"/>
    <w:basedOn w:val="DefaultParagraphFont"/>
    <w:uiPriority w:val="32"/>
    <w:qFormat/>
    <w:rsid w:val="007C29EE"/>
    <w:rPr>
      <w:b/>
      <w:bCs/>
      <w:smallCaps/>
      <w:color w:val="4F81BD" w:themeColor="accent1"/>
      <w:spacing w:val="5"/>
      <w:lang w:val="fr-FR"/>
    </w:rPr>
  </w:style>
  <w:style w:type="table" w:styleId="LightGrid">
    <w:name w:val="Light Grid"/>
    <w:basedOn w:val="TableNormal"/>
    <w:uiPriority w:val="62"/>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2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29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29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29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29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29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29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29EE"/>
    <w:rPr>
      <w:lang w:val="fr-FR"/>
    </w:rPr>
  </w:style>
  <w:style w:type="paragraph" w:styleId="List">
    <w:name w:val="List"/>
    <w:basedOn w:val="Normal"/>
    <w:semiHidden/>
    <w:unhideWhenUsed/>
    <w:rsid w:val="007C29EE"/>
    <w:pPr>
      <w:ind w:left="283" w:hanging="283"/>
      <w:contextualSpacing/>
    </w:pPr>
  </w:style>
  <w:style w:type="paragraph" w:styleId="List2">
    <w:name w:val="List 2"/>
    <w:basedOn w:val="Normal"/>
    <w:semiHidden/>
    <w:unhideWhenUsed/>
    <w:rsid w:val="007C29EE"/>
    <w:pPr>
      <w:ind w:left="566" w:hanging="283"/>
      <w:contextualSpacing/>
    </w:pPr>
  </w:style>
  <w:style w:type="paragraph" w:styleId="List3">
    <w:name w:val="List 3"/>
    <w:basedOn w:val="Normal"/>
    <w:semiHidden/>
    <w:unhideWhenUsed/>
    <w:rsid w:val="007C29EE"/>
    <w:pPr>
      <w:ind w:left="849" w:hanging="283"/>
      <w:contextualSpacing/>
    </w:pPr>
  </w:style>
  <w:style w:type="paragraph" w:styleId="List4">
    <w:name w:val="List 4"/>
    <w:basedOn w:val="Normal"/>
    <w:semiHidden/>
    <w:unhideWhenUsed/>
    <w:rsid w:val="007C29EE"/>
    <w:pPr>
      <w:ind w:left="1132" w:hanging="283"/>
      <w:contextualSpacing/>
    </w:pPr>
  </w:style>
  <w:style w:type="paragraph" w:styleId="List5">
    <w:name w:val="List 5"/>
    <w:basedOn w:val="Normal"/>
    <w:semiHidden/>
    <w:unhideWhenUsed/>
    <w:rsid w:val="007C29EE"/>
    <w:pPr>
      <w:ind w:left="1415" w:hanging="283"/>
      <w:contextualSpacing/>
    </w:pPr>
  </w:style>
  <w:style w:type="paragraph" w:styleId="ListBullet">
    <w:name w:val="List Bullet"/>
    <w:basedOn w:val="Normal"/>
    <w:semiHidden/>
    <w:rsid w:val="007C29EE"/>
    <w:pPr>
      <w:numPr>
        <w:numId w:val="6"/>
      </w:numPr>
      <w:contextualSpacing/>
    </w:pPr>
  </w:style>
  <w:style w:type="paragraph" w:styleId="ListBullet2">
    <w:name w:val="List Bullet 2"/>
    <w:basedOn w:val="Normal"/>
    <w:semiHidden/>
    <w:unhideWhenUsed/>
    <w:rsid w:val="007C29EE"/>
    <w:pPr>
      <w:numPr>
        <w:numId w:val="7"/>
      </w:numPr>
      <w:contextualSpacing/>
    </w:pPr>
  </w:style>
  <w:style w:type="paragraph" w:styleId="ListBullet3">
    <w:name w:val="List Bullet 3"/>
    <w:basedOn w:val="Normal"/>
    <w:semiHidden/>
    <w:unhideWhenUsed/>
    <w:rsid w:val="007C29EE"/>
    <w:pPr>
      <w:numPr>
        <w:numId w:val="8"/>
      </w:numPr>
      <w:contextualSpacing/>
    </w:pPr>
  </w:style>
  <w:style w:type="paragraph" w:styleId="ListBullet4">
    <w:name w:val="List Bullet 4"/>
    <w:basedOn w:val="Normal"/>
    <w:semiHidden/>
    <w:unhideWhenUsed/>
    <w:rsid w:val="007C29EE"/>
    <w:pPr>
      <w:numPr>
        <w:numId w:val="9"/>
      </w:numPr>
      <w:contextualSpacing/>
    </w:pPr>
  </w:style>
  <w:style w:type="paragraph" w:styleId="ListBullet5">
    <w:name w:val="List Bullet 5"/>
    <w:basedOn w:val="Normal"/>
    <w:semiHidden/>
    <w:unhideWhenUsed/>
    <w:rsid w:val="007C29EE"/>
    <w:pPr>
      <w:numPr>
        <w:numId w:val="10"/>
      </w:numPr>
      <w:contextualSpacing/>
    </w:pPr>
  </w:style>
  <w:style w:type="paragraph" w:styleId="ListContinue">
    <w:name w:val="List Continue"/>
    <w:basedOn w:val="Normal"/>
    <w:semiHidden/>
    <w:unhideWhenUsed/>
    <w:rsid w:val="007C29EE"/>
    <w:pPr>
      <w:spacing w:after="120"/>
      <w:ind w:left="283"/>
      <w:contextualSpacing/>
    </w:pPr>
  </w:style>
  <w:style w:type="paragraph" w:styleId="ListContinue2">
    <w:name w:val="List Continue 2"/>
    <w:basedOn w:val="Normal"/>
    <w:semiHidden/>
    <w:unhideWhenUsed/>
    <w:rsid w:val="007C29EE"/>
    <w:pPr>
      <w:spacing w:after="120"/>
      <w:ind w:left="566"/>
      <w:contextualSpacing/>
    </w:pPr>
  </w:style>
  <w:style w:type="paragraph" w:styleId="ListContinue3">
    <w:name w:val="List Continue 3"/>
    <w:basedOn w:val="Normal"/>
    <w:semiHidden/>
    <w:rsid w:val="007C29EE"/>
    <w:pPr>
      <w:spacing w:after="120"/>
      <w:ind w:left="849"/>
      <w:contextualSpacing/>
    </w:pPr>
  </w:style>
  <w:style w:type="paragraph" w:styleId="ListContinue4">
    <w:name w:val="List Continue 4"/>
    <w:basedOn w:val="Normal"/>
    <w:semiHidden/>
    <w:rsid w:val="007C29EE"/>
    <w:pPr>
      <w:spacing w:after="120"/>
      <w:ind w:left="1132"/>
      <w:contextualSpacing/>
    </w:pPr>
  </w:style>
  <w:style w:type="paragraph" w:styleId="ListContinue5">
    <w:name w:val="List Continue 5"/>
    <w:basedOn w:val="Normal"/>
    <w:semiHidden/>
    <w:rsid w:val="007C29EE"/>
    <w:pPr>
      <w:spacing w:after="120"/>
      <w:ind w:left="1415"/>
      <w:contextualSpacing/>
    </w:pPr>
  </w:style>
  <w:style w:type="paragraph" w:styleId="ListNumber">
    <w:name w:val="List Number"/>
    <w:basedOn w:val="Normal"/>
    <w:semiHidden/>
    <w:rsid w:val="003F17DD"/>
    <w:pPr>
      <w:numPr>
        <w:numId w:val="11"/>
      </w:numPr>
      <w:contextualSpacing/>
    </w:pPr>
  </w:style>
  <w:style w:type="paragraph" w:styleId="ListNumber2">
    <w:name w:val="List Number 2"/>
    <w:basedOn w:val="Normal"/>
    <w:semiHidden/>
    <w:unhideWhenUsed/>
    <w:rsid w:val="007C29EE"/>
    <w:pPr>
      <w:numPr>
        <w:numId w:val="12"/>
      </w:numPr>
      <w:contextualSpacing/>
    </w:pPr>
  </w:style>
  <w:style w:type="paragraph" w:styleId="ListNumber3">
    <w:name w:val="List Number 3"/>
    <w:basedOn w:val="Normal"/>
    <w:semiHidden/>
    <w:unhideWhenUsed/>
    <w:rsid w:val="007C29EE"/>
    <w:pPr>
      <w:numPr>
        <w:numId w:val="13"/>
      </w:numPr>
      <w:contextualSpacing/>
    </w:pPr>
  </w:style>
  <w:style w:type="paragraph" w:styleId="ListNumber4">
    <w:name w:val="List Number 4"/>
    <w:basedOn w:val="Normal"/>
    <w:semiHidden/>
    <w:unhideWhenUsed/>
    <w:rsid w:val="007C29EE"/>
    <w:pPr>
      <w:numPr>
        <w:numId w:val="14"/>
      </w:numPr>
      <w:contextualSpacing/>
    </w:pPr>
  </w:style>
  <w:style w:type="paragraph" w:styleId="ListNumber5">
    <w:name w:val="List Number 5"/>
    <w:basedOn w:val="Normal"/>
    <w:semiHidden/>
    <w:unhideWhenUsed/>
    <w:rsid w:val="007C29EE"/>
    <w:pPr>
      <w:numPr>
        <w:numId w:val="15"/>
      </w:numPr>
      <w:contextualSpacing/>
    </w:pPr>
  </w:style>
  <w:style w:type="table" w:styleId="ListTable1Light">
    <w:name w:val="List Table 1 Light"/>
    <w:basedOn w:val="TableNormal"/>
    <w:uiPriority w:val="46"/>
    <w:rsid w:val="007C29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29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29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29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29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29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29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29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29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29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29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29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29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29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29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29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29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29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29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29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29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29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29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29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29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29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29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29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29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29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29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29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29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29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29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29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29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29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29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29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29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29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29E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7C29EE"/>
    <w:rPr>
      <w:rFonts w:ascii="Consolas" w:eastAsia="Times New Roman" w:hAnsi="Consolas"/>
      <w:lang w:val="fr-FR" w:eastAsia="en-US"/>
    </w:rPr>
  </w:style>
  <w:style w:type="table" w:styleId="MediumGrid1">
    <w:name w:val="Medium Grid 1"/>
    <w:basedOn w:val="TableNormal"/>
    <w:uiPriority w:val="67"/>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29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29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29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29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29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29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29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7C29EE"/>
    <w:rPr>
      <w:color w:val="2B579A"/>
      <w:shd w:val="clear" w:color="auto" w:fill="E1DFDD"/>
      <w:lang w:val="fr-FR"/>
    </w:rPr>
  </w:style>
  <w:style w:type="paragraph" w:styleId="MessageHeader">
    <w:name w:val="Message Header"/>
    <w:basedOn w:val="Normal"/>
    <w:link w:val="MessageHeaderChar"/>
    <w:semiHidden/>
    <w:rsid w:val="007C2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29EE"/>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7C29EE"/>
    <w:pPr>
      <w:ind w:left="720"/>
    </w:pPr>
  </w:style>
  <w:style w:type="paragraph" w:styleId="NoteHeading">
    <w:name w:val="Note Heading"/>
    <w:basedOn w:val="Normal"/>
    <w:next w:val="Normal"/>
    <w:link w:val="NoteHeadingChar"/>
    <w:semiHidden/>
    <w:unhideWhenUsed/>
    <w:rsid w:val="007C29EE"/>
  </w:style>
  <w:style w:type="character" w:customStyle="1" w:styleId="NoteHeadingChar">
    <w:name w:val="Note Heading Char"/>
    <w:basedOn w:val="DefaultParagraphFont"/>
    <w:link w:val="NoteHeading"/>
    <w:semiHidden/>
    <w:rsid w:val="007C29EE"/>
    <w:rPr>
      <w:rFonts w:eastAsia="Times New Roman"/>
      <w:lang w:val="fr-FR" w:eastAsia="en-US"/>
    </w:rPr>
  </w:style>
  <w:style w:type="table" w:styleId="PlainTable1">
    <w:name w:val="Plain Table 1"/>
    <w:basedOn w:val="TableNormal"/>
    <w:uiPriority w:val="41"/>
    <w:rsid w:val="007C2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2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29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2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2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29EE"/>
    <w:rPr>
      <w:rFonts w:ascii="Consolas" w:hAnsi="Consolas"/>
      <w:sz w:val="21"/>
      <w:szCs w:val="21"/>
    </w:rPr>
  </w:style>
  <w:style w:type="character" w:customStyle="1" w:styleId="PlainTextChar">
    <w:name w:val="Plain Text Char"/>
    <w:basedOn w:val="DefaultParagraphFont"/>
    <w:link w:val="PlainText"/>
    <w:semiHidden/>
    <w:rsid w:val="007C29EE"/>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7C2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E"/>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7C29EE"/>
  </w:style>
  <w:style w:type="character" w:customStyle="1" w:styleId="SalutationChar">
    <w:name w:val="Salutation Char"/>
    <w:basedOn w:val="DefaultParagraphFont"/>
    <w:link w:val="Salutation"/>
    <w:semiHidden/>
    <w:rsid w:val="007C29EE"/>
    <w:rPr>
      <w:rFonts w:eastAsia="Times New Roman"/>
      <w:lang w:val="fr-FR" w:eastAsia="en-US"/>
    </w:rPr>
  </w:style>
  <w:style w:type="paragraph" w:styleId="Signature">
    <w:name w:val="Signature"/>
    <w:basedOn w:val="Normal"/>
    <w:link w:val="SignatureChar"/>
    <w:semiHidden/>
    <w:unhideWhenUsed/>
    <w:rsid w:val="007C29EE"/>
    <w:pPr>
      <w:ind w:left="4252"/>
    </w:pPr>
  </w:style>
  <w:style w:type="character" w:customStyle="1" w:styleId="SignatureChar">
    <w:name w:val="Signature Char"/>
    <w:basedOn w:val="DefaultParagraphFont"/>
    <w:link w:val="Signature"/>
    <w:semiHidden/>
    <w:rsid w:val="007C29EE"/>
    <w:rPr>
      <w:rFonts w:eastAsia="Times New Roman"/>
      <w:lang w:val="fr-FR" w:eastAsia="en-US"/>
    </w:rPr>
  </w:style>
  <w:style w:type="character" w:styleId="SmartHyperlink">
    <w:name w:val="Smart Hyperlink"/>
    <w:basedOn w:val="DefaultParagraphFont"/>
    <w:uiPriority w:val="99"/>
    <w:semiHidden/>
    <w:rsid w:val="007C29EE"/>
    <w:rPr>
      <w:u w:val="dotted"/>
      <w:lang w:val="fr-FR"/>
    </w:rPr>
  </w:style>
  <w:style w:type="character" w:styleId="SmartLink">
    <w:name w:val="Smart Link"/>
    <w:basedOn w:val="DefaultParagraphFont"/>
    <w:uiPriority w:val="99"/>
    <w:semiHidden/>
    <w:unhideWhenUsed/>
    <w:rsid w:val="007C29EE"/>
    <w:rPr>
      <w:color w:val="0000FF"/>
      <w:u w:val="single"/>
      <w:shd w:val="clear" w:color="auto" w:fill="F3F2F1"/>
      <w:lang w:val="fr-FR"/>
    </w:rPr>
  </w:style>
  <w:style w:type="character" w:styleId="Strong">
    <w:name w:val="Strong"/>
    <w:basedOn w:val="DefaultParagraphFont"/>
    <w:qFormat/>
    <w:rsid w:val="007C29EE"/>
    <w:rPr>
      <w:b/>
      <w:bCs/>
      <w:lang w:val="fr-FR"/>
    </w:rPr>
  </w:style>
  <w:style w:type="paragraph" w:styleId="Subtitle">
    <w:name w:val="Subtitle"/>
    <w:basedOn w:val="Normal"/>
    <w:next w:val="Normal"/>
    <w:link w:val="SubtitleChar"/>
    <w:qFormat/>
    <w:rsid w:val="007C29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9EE"/>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7C29EE"/>
    <w:rPr>
      <w:i/>
      <w:iCs/>
      <w:color w:val="404040" w:themeColor="text1" w:themeTint="BF"/>
      <w:lang w:val="fr-FR"/>
    </w:rPr>
  </w:style>
  <w:style w:type="character" w:styleId="SubtleReference">
    <w:name w:val="Subtle Reference"/>
    <w:basedOn w:val="DefaultParagraphFont"/>
    <w:uiPriority w:val="31"/>
    <w:qFormat/>
    <w:rsid w:val="007C29EE"/>
    <w:rPr>
      <w:smallCaps/>
      <w:color w:val="5A5A5A" w:themeColor="text1" w:themeTint="A5"/>
      <w:lang w:val="fr-FR"/>
    </w:rPr>
  </w:style>
  <w:style w:type="table" w:styleId="Table3Deffects1">
    <w:name w:val="Table 3D effect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2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29EE"/>
    <w:pPr>
      <w:tabs>
        <w:tab w:val="clear" w:pos="1247"/>
      </w:tabs>
      <w:ind w:left="200" w:hanging="200"/>
    </w:pPr>
  </w:style>
  <w:style w:type="table" w:styleId="TableProfessional">
    <w:name w:val="Table Professional"/>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C2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9EE"/>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7C29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9E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SmartLink1">
    <w:name w:val="SmartLink1"/>
    <w:basedOn w:val="DefaultParagraphFont"/>
    <w:uiPriority w:val="99"/>
    <w:semiHidden/>
    <w:unhideWhenUsed/>
    <w:rsid w:val="00E62558"/>
    <w:rPr>
      <w:color w:val="0000FF"/>
      <w:u w:val="single"/>
      <w:shd w:val="clear" w:color="auto" w:fill="F3F2F1"/>
      <w:lang w:val="fr-FR"/>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E62558"/>
    <w:pPr>
      <w:tabs>
        <w:tab w:val="clear" w:pos="1247"/>
        <w:tab w:val="clear" w:pos="1814"/>
        <w:tab w:val="clear" w:pos="2381"/>
        <w:tab w:val="clear" w:pos="2948"/>
        <w:tab w:val="clear" w:pos="3515"/>
      </w:tabs>
      <w:spacing w:after="160" w:line="240" w:lineRule="exact"/>
      <w:jc w:val="both"/>
    </w:pPr>
    <w:rPr>
      <w:szCs w:val="18"/>
      <w:vertAlign w:val="superscript"/>
    </w:rPr>
  </w:style>
  <w:style w:type="character" w:customStyle="1" w:styleId="Normal-poolChar">
    <w:name w:val="Normal-pool Char"/>
    <w:link w:val="Normal-pool"/>
    <w:locked/>
    <w:rsid w:val="00E62558"/>
  </w:style>
  <w:style w:type="character" w:customStyle="1" w:styleId="ZZAnxtitleChar">
    <w:name w:val="ZZ_Anx_title Char"/>
    <w:link w:val="ZZAnxtitle"/>
    <w:rsid w:val="00E62558"/>
    <w:rPr>
      <w:b/>
      <w:bCs/>
      <w:sz w:val="28"/>
      <w:szCs w:val="26"/>
    </w:rPr>
  </w:style>
  <w:style w:type="character" w:customStyle="1" w:styleId="NormalNonumberChar">
    <w:name w:val="Normal_No_number Char"/>
    <w:link w:val="NormalNonumber"/>
    <w:rsid w:val="00E62558"/>
  </w:style>
  <w:style w:type="numbering" w:customStyle="1" w:styleId="Normallist1">
    <w:name w:val="Normal_list1"/>
    <w:basedOn w:val="NoList"/>
    <w:rsid w:val="00E62558"/>
  </w:style>
  <w:style w:type="character" w:customStyle="1" w:styleId="job-value">
    <w:name w:val="job-value"/>
    <w:basedOn w:val="DefaultParagraphFont"/>
    <w:semiHidden/>
    <w:rsid w:val="00E62558"/>
    <w:rPr>
      <w:lang w:val="fr-FR"/>
    </w:rPr>
  </w:style>
  <w:style w:type="character" w:customStyle="1" w:styleId="job-symbol">
    <w:name w:val="job-symbol"/>
    <w:basedOn w:val="DefaultParagraphFont"/>
    <w:semiHidden/>
    <w:rsid w:val="00E62558"/>
    <w:rPr>
      <w:lang w:val="fr-FR"/>
    </w:rPr>
  </w:style>
  <w:style w:type="character" w:customStyle="1" w:styleId="CH2Char">
    <w:name w:val="CH2 Char"/>
    <w:link w:val="CH2"/>
    <w:locked/>
    <w:rsid w:val="00E62558"/>
    <w:rPr>
      <w:b/>
      <w:sz w:val="24"/>
      <w:szCs w:val="24"/>
    </w:rPr>
  </w:style>
  <w:style w:type="paragraph" w:styleId="Revision">
    <w:name w:val="Revision"/>
    <w:hidden/>
    <w:uiPriority w:val="99"/>
    <w:semiHidden/>
    <w:rsid w:val="00E62558"/>
    <w:rPr>
      <w:rFonts w:eastAsia="Times New Roman"/>
      <w:lang w:val="en-US" w:eastAsia="en-US"/>
    </w:rPr>
  </w:style>
  <w:style w:type="character" w:customStyle="1" w:styleId="ui-provider">
    <w:name w:val="ui-provider"/>
    <w:basedOn w:val="DefaultParagraphFont"/>
    <w:semiHidden/>
    <w:rsid w:val="00E62558"/>
    <w:rPr>
      <w:lang w:val="fr-FR"/>
    </w:rPr>
  </w:style>
  <w:style w:type="numbering" w:customStyle="1" w:styleId="Normallist2">
    <w:name w:val="Normal_list2"/>
    <w:basedOn w:val="NoList"/>
    <w:rsid w:val="00E62558"/>
  </w:style>
  <w:style w:type="paragraph" w:customStyle="1" w:styleId="Normalpool">
    <w:name w:val="Normal_pool"/>
    <w:link w:val="NormalpoolChar"/>
    <w:qFormat/>
    <w:rsid w:val="00E62558"/>
    <w:pPr>
      <w:tabs>
        <w:tab w:val="left" w:pos="624"/>
      </w:tabs>
    </w:pPr>
    <w:rPr>
      <w:rFonts w:eastAsia="Times New Roman"/>
      <w:lang w:eastAsia="en-US"/>
    </w:rPr>
  </w:style>
  <w:style w:type="character" w:customStyle="1" w:styleId="NormalpoolChar">
    <w:name w:val="Normal_pool Char"/>
    <w:link w:val="Normalpool"/>
    <w:locked/>
    <w:rsid w:val="00E62558"/>
    <w:rPr>
      <w:rFonts w:eastAsia="Times New Roman"/>
      <w:lang w:eastAsia="en-US"/>
    </w:rPr>
  </w:style>
  <w:style w:type="character" w:customStyle="1" w:styleId="job-number">
    <w:name w:val="job-number"/>
    <w:basedOn w:val="DefaultParagraphFont"/>
    <w:rsid w:val="00E62558"/>
    <w:rPr>
      <w:lang w:val="fr-FR"/>
    </w:rPr>
  </w:style>
  <w:style w:type="character" w:customStyle="1" w:styleId="ZZAnxheaderChar">
    <w:name w:val="ZZ_Anx_header Char"/>
    <w:link w:val="ZZAnxheader"/>
    <w:rsid w:val="00E62558"/>
    <w:rPr>
      <w:b/>
      <w:bCs/>
      <w:sz w:val="28"/>
      <w:szCs w:val="22"/>
    </w:rPr>
  </w:style>
  <w:style w:type="numbering" w:customStyle="1" w:styleId="Normallist3">
    <w:name w:val="Normal_list3"/>
    <w:basedOn w:val="NoList"/>
    <w:rsid w:val="00E62558"/>
  </w:style>
  <w:style w:type="character" w:customStyle="1" w:styleId="ListParagraphChar">
    <w:name w:val="List Paragraph Char"/>
    <w:link w:val="ListParagraph"/>
    <w:uiPriority w:val="34"/>
    <w:locked/>
    <w:rsid w:val="00E62558"/>
    <w:rPr>
      <w:rFonts w:eastAsia="Times New Roman"/>
      <w:lang w:eastAsia="en-US"/>
    </w:rPr>
  </w:style>
  <w:style w:type="paragraph" w:customStyle="1" w:styleId="Style15">
    <w:name w:val="Style15"/>
    <w:basedOn w:val="Normal"/>
    <w:qFormat/>
    <w:rsid w:val="00E62558"/>
    <w:pPr>
      <w:tabs>
        <w:tab w:val="clear" w:pos="1247"/>
        <w:tab w:val="clear" w:pos="1814"/>
        <w:tab w:val="clear" w:pos="2381"/>
        <w:tab w:val="clear" w:pos="2948"/>
        <w:tab w:val="clear" w:pos="3515"/>
        <w:tab w:val="left" w:pos="720"/>
        <w:tab w:val="left" w:pos="1080"/>
      </w:tabs>
    </w:pPr>
    <w:rPr>
      <w:b/>
      <w:color w:val="000000"/>
    </w:rPr>
  </w:style>
  <w:style w:type="paragraph" w:customStyle="1" w:styleId="Heading4TEAP">
    <w:name w:val="Heading 4 TEAP"/>
    <w:basedOn w:val="Heading3"/>
    <w:semiHidden/>
    <w:qFormat/>
    <w:rsid w:val="00E62558"/>
    <w:pPr>
      <w:widowControl w:val="0"/>
      <w:numPr>
        <w:numId w:val="0"/>
      </w:numPr>
      <w:tabs>
        <w:tab w:val="clear" w:pos="1871"/>
        <w:tab w:val="clear" w:pos="2495"/>
        <w:tab w:val="clear" w:pos="3119"/>
        <w:tab w:val="clear" w:pos="3742"/>
        <w:tab w:val="clear" w:pos="4366"/>
      </w:tabs>
      <w:suppressAutoHyphens w:val="0"/>
      <w:adjustRightInd w:val="0"/>
      <w:spacing w:before="120" w:after="240" w:line="259" w:lineRule="auto"/>
      <w:ind w:left="851" w:right="29" w:hanging="851"/>
      <w:outlineLvl w:val="3"/>
    </w:pPr>
    <w:rPr>
      <w:rFonts w:eastAsia="SimSun"/>
      <w:bCs/>
      <w:iCs/>
      <w:snapToGrid w:val="0"/>
      <w:color w:val="000000" w:themeColor="text1"/>
      <w:sz w:val="22"/>
      <w:szCs w:val="22"/>
      <w:shd w:val="clear" w:color="auto" w:fill="FFFFFF"/>
      <w:lang w:eastAsia="ja-JP"/>
    </w:rPr>
  </w:style>
  <w:style w:type="paragraph" w:customStyle="1" w:styleId="Style10ptAfter6pt1">
    <w:name w:val="Style 10 pt After:  6 pt1"/>
    <w:basedOn w:val="Normal"/>
    <w:autoRedefine/>
    <w:semiHidden/>
    <w:rsid w:val="00E62558"/>
    <w:pPr>
      <w:keepNext/>
      <w:keepLines/>
      <w:tabs>
        <w:tab w:val="clear" w:pos="1247"/>
        <w:tab w:val="clear" w:pos="1814"/>
        <w:tab w:val="clear" w:pos="2381"/>
        <w:tab w:val="clear" w:pos="2948"/>
        <w:tab w:val="clear" w:pos="3515"/>
      </w:tabs>
      <w:spacing w:after="120"/>
    </w:pPr>
    <w:rPr>
      <w:color w:val="000000" w:themeColor="text1"/>
      <w:sz w:val="22"/>
    </w:rPr>
  </w:style>
  <w:style w:type="character" w:customStyle="1" w:styleId="normaltextrun">
    <w:name w:val="normaltextrun"/>
    <w:basedOn w:val="DefaultParagraphFont"/>
    <w:rsid w:val="00E62558"/>
    <w:rPr>
      <w:lang w:val="fr-FR"/>
    </w:rPr>
  </w:style>
  <w:style w:type="character" w:customStyle="1" w:styleId="eop">
    <w:name w:val="eop"/>
    <w:basedOn w:val="DefaultParagraphFont"/>
    <w:semiHidden/>
    <w:rsid w:val="00E62558"/>
    <w:rPr>
      <w:lang w:val="fr-FR"/>
    </w:rPr>
  </w:style>
  <w:style w:type="paragraph" w:customStyle="1" w:styleId="paragraph">
    <w:name w:val="paragraph"/>
    <w:basedOn w:val="Normal"/>
    <w:semiHidden/>
    <w:rsid w:val="00E62558"/>
    <w:pPr>
      <w:tabs>
        <w:tab w:val="clear" w:pos="1247"/>
        <w:tab w:val="clear" w:pos="1814"/>
        <w:tab w:val="clear" w:pos="2381"/>
        <w:tab w:val="clear" w:pos="2948"/>
        <w:tab w:val="clear" w:pos="3515"/>
      </w:tabs>
      <w:spacing w:before="100" w:beforeAutospacing="1" w:after="100" w:afterAutospacing="1"/>
    </w:pPr>
    <w:rPr>
      <w:sz w:val="24"/>
      <w:szCs w:val="24"/>
    </w:rPr>
  </w:style>
  <w:style w:type="numbering" w:customStyle="1" w:styleId="Normallist4">
    <w:name w:val="Normal_list4"/>
    <w:basedOn w:val="NoList"/>
    <w:rsid w:val="00E62558"/>
  </w:style>
  <w:style w:type="character" w:customStyle="1" w:styleId="cf01">
    <w:name w:val="cf01"/>
    <w:basedOn w:val="DefaultParagraphFont"/>
    <w:rsid w:val="00E62558"/>
    <w:rPr>
      <w:rFonts w:ascii="Segoe UI" w:hAnsi="Segoe UI" w:cs="Segoe UI" w:hint="default"/>
      <w:i/>
      <w:iCs/>
      <w:sz w:val="18"/>
      <w:szCs w:val="18"/>
      <w:lang w:val="fr-FR"/>
    </w:rPr>
  </w:style>
  <w:style w:type="character" w:customStyle="1" w:styleId="CH1Char">
    <w:name w:val="CH1 Char"/>
    <w:link w:val="CH1"/>
    <w:locked/>
    <w:rsid w:val="00E62558"/>
    <w:rPr>
      <w:b/>
      <w:sz w:val="28"/>
      <w:szCs w:val="28"/>
    </w:rPr>
  </w:style>
  <w:style w:type="table" w:customStyle="1" w:styleId="TableGrid10">
    <w:name w:val="Table Grid1"/>
    <w:basedOn w:val="TableNormal"/>
    <w:next w:val="TableGrid"/>
    <w:uiPriority w:val="39"/>
    <w:rsid w:val="00E62558"/>
    <w:rPr>
      <w:rFonts w:asciiTheme="minorHAnsi" w:eastAsia="Aptos"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E62558"/>
  </w:style>
  <w:style w:type="character" w:customStyle="1" w:styleId="Hyperlink0">
    <w:name w:val="Hyperlink.0"/>
    <w:autoRedefine/>
    <w:rsid w:val="00E62558"/>
    <w:rPr>
      <w:color w:val="0000FF"/>
      <w:u w:val="single" w:color="0000FF"/>
      <w:lang w:val="fr-FR"/>
    </w:rPr>
  </w:style>
  <w:style w:type="character" w:customStyle="1" w:styleId="CommentTextChar2">
    <w:name w:val="Comment Text Char2"/>
    <w:basedOn w:val="DefaultParagraphFont"/>
    <w:uiPriority w:val="99"/>
    <w:rsid w:val="00E62558"/>
    <w:rPr>
      <w:rFonts w:ascii="Arial" w:hAnsi="Arial"/>
      <w:lang w:val="fr-FR" w:eastAsia="zh-CN"/>
    </w:rPr>
  </w:style>
  <w:style w:type="paragraph" w:customStyle="1" w:styleId="Default">
    <w:name w:val="Default"/>
    <w:rsid w:val="00E62558"/>
    <w:pPr>
      <w:autoSpaceDE w:val="0"/>
      <w:autoSpaceDN w:val="0"/>
      <w:adjustRightInd w:val="0"/>
    </w:pPr>
    <w:rPr>
      <w:rFonts w:eastAsiaTheme="minorHAnsi"/>
      <w:color w:val="000000"/>
      <w:sz w:val="24"/>
      <w:szCs w:val="24"/>
      <w:lang w:eastAsia="en-US"/>
      <w14:ligatures w14:val="standardContextual"/>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qFormat/>
    <w:rsid w:val="00E62558"/>
    <w:rPr>
      <w:b w:val="0"/>
      <w:bCs w:val="0"/>
      <w:i/>
      <w:iCs w:val="0"/>
      <w:noProof w:val="0"/>
      <w:color w:val="000000"/>
      <w:sz w:val="24"/>
      <w:lang w:val="fr-FR" w:eastAsia="en-US"/>
    </w:rPr>
  </w:style>
  <w:style w:type="paragraph" w:customStyle="1" w:styleId="ListBulletTEAP">
    <w:name w:val="List Bullet TEAP"/>
    <w:basedOn w:val="ListBullet"/>
    <w:qFormat/>
    <w:rsid w:val="00E62558"/>
    <w:pPr>
      <w:numPr>
        <w:numId w:val="16"/>
      </w:numPr>
      <w:tabs>
        <w:tab w:val="clear" w:pos="1247"/>
        <w:tab w:val="clear" w:pos="1814"/>
        <w:tab w:val="clear" w:pos="2381"/>
        <w:tab w:val="clear" w:pos="2948"/>
        <w:tab w:val="clear" w:pos="3515"/>
      </w:tabs>
      <w:spacing w:after="240"/>
      <w:ind w:left="0" w:firstLine="0"/>
      <w:contextualSpacing w:val="0"/>
    </w:pPr>
    <w:rPr>
      <w:sz w:val="22"/>
    </w:rPr>
  </w:style>
  <w:style w:type="table" w:customStyle="1" w:styleId="TableGrid0">
    <w:name w:val="Table Grid0"/>
    <w:basedOn w:val="TableNormal"/>
    <w:uiPriority w:val="39"/>
    <w:locked/>
    <w:rsid w:val="00E6255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locked/>
    <w:rsid w:val="00E62558"/>
    <w:pPr>
      <w:tabs>
        <w:tab w:val="clear" w:pos="1247"/>
        <w:tab w:val="clear" w:pos="1814"/>
        <w:tab w:val="clear" w:pos="2381"/>
        <w:tab w:val="clear" w:pos="2948"/>
        <w:tab w:val="clear" w:pos="3515"/>
      </w:tabs>
      <w:autoSpaceDE w:val="0"/>
      <w:autoSpaceDN w:val="0"/>
      <w:spacing w:after="200"/>
      <w:ind w:left="720"/>
    </w:pPr>
    <w:rPr>
      <w:rFonts w:ascii="Cambria" w:hAnsi="Cambria"/>
      <w:sz w:val="22"/>
      <w:szCs w:val="22"/>
    </w:rPr>
  </w:style>
  <w:style w:type="table" w:customStyle="1" w:styleId="GridTable5Dark-Accent11">
    <w:name w:val="Grid Table 5 Dark - Accent 11"/>
    <w:basedOn w:val="TableNormal"/>
    <w:next w:val="GridTable5Dark-Accent1"/>
    <w:uiPriority w:val="50"/>
    <w:rsid w:val="00E62558"/>
    <w:rPr>
      <w:rFonts w:ascii="Calibri" w:eastAsia="Calibri" w:hAnsi="Calibri"/>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Listeactuelle1">
    <w:name w:val="Liste actuelle1"/>
    <w:uiPriority w:val="99"/>
    <w:rsid w:val="00B179B3"/>
    <w:pPr>
      <w:numPr>
        <w:numId w:val="24"/>
      </w:numPr>
    </w:pPr>
  </w:style>
  <w:style w:type="numbering" w:customStyle="1" w:styleId="Listeactuelle2">
    <w:name w:val="Liste actuelle2"/>
    <w:uiPriority w:val="99"/>
    <w:rsid w:val="00B179B3"/>
    <w:pPr>
      <w:numPr>
        <w:numId w:val="25"/>
      </w:numPr>
    </w:pPr>
  </w:style>
  <w:style w:type="numbering" w:customStyle="1" w:styleId="Listeactuelle3">
    <w:name w:val="Liste actuelle3"/>
    <w:uiPriority w:val="99"/>
    <w:rsid w:val="00B179B3"/>
    <w:pPr>
      <w:numPr>
        <w:numId w:val="26"/>
      </w:numPr>
    </w:pPr>
  </w:style>
  <w:style w:type="numbering" w:customStyle="1" w:styleId="Listeactuelle4">
    <w:name w:val="Liste actuelle4"/>
    <w:uiPriority w:val="99"/>
    <w:rsid w:val="00B179B3"/>
    <w:pPr>
      <w:numPr>
        <w:numId w:val="27"/>
      </w:numPr>
    </w:pPr>
  </w:style>
  <w:style w:type="numbering" w:customStyle="1" w:styleId="Listeactuelle5">
    <w:name w:val="Liste actuelle5"/>
    <w:uiPriority w:val="99"/>
    <w:rsid w:val="004B3FC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zone.unep.org/science/assessment/teap/teap-expertise-required" TargetMode="External"/><Relationship Id="rId13" Type="http://schemas.openxmlformats.org/officeDocument/2006/relationships/hyperlink" Target="https://ozone.unep.org/treaties/montreal-protocol/meetings/thirtieth-meeting-parties/decisions/annex-i-adjustments." TargetMode="External"/><Relationship Id="rId3" Type="http://schemas.openxmlformats.org/officeDocument/2006/relationships/hyperlink" Target="https://ozone.unep.org/system/files/documents/TEAP-DecisionXXXVII6-replenishment-TF-report-May2026-RTF-report.pdf" TargetMode="External"/><Relationship Id="rId7" Type="http://schemas.openxmlformats.org/officeDocument/2006/relationships/hyperlink" Target="https://ozone.unep.org/science/assessment/teap/teap-expertise-required" TargetMode="External"/><Relationship Id="rId12" Type="http://schemas.openxmlformats.org/officeDocument/2006/relationships/hyperlink" Target="https://www.multilateralfund.org/our-impact" TargetMode="External"/><Relationship Id="rId2" Type="http://schemas.openxmlformats.org/officeDocument/2006/relationships/hyperlink" Target="https://ozone.unep.org/meetings/48th-meeting-open-ended-working-group-parties/pre-session-documents" TargetMode="External"/><Relationship Id="rId1" Type="http://schemas.openxmlformats.org/officeDocument/2006/relationships/hyperlink" Target="https://ozone.unep.org/meetings/48th-meeting-open-ended-working-group-parties/pre-session-documents" TargetMode="External"/><Relationship Id="rId6" Type="http://schemas.openxmlformats.org/officeDocument/2006/relationships/hyperlink" Target="https://ozone.unep.org/system/files/documents/TEAP-May2026-Progress-Report-vol1.pdf" TargetMode="External"/><Relationship Id="rId11" Type="http://schemas.openxmlformats.org/officeDocument/2006/relationships/hyperlink" Target="https://www.multilateralfund.org/our-impact" TargetMode="External"/><Relationship Id="rId5" Type="http://schemas.openxmlformats.org/officeDocument/2006/relationships/hyperlink" Target="https://ozone.unep.org/system/files/documents/TEAP-May2026-Progress-Report-vol1.pdf" TargetMode="External"/><Relationship Id="rId10" Type="http://schemas.openxmlformats.org/officeDocument/2006/relationships/hyperlink" Target="https://ozone.unep.org/node/1941" TargetMode="External"/><Relationship Id="rId4" Type="http://schemas.openxmlformats.org/officeDocument/2006/relationships/hyperlink" Target="https://ozone.unep.org/system/files/documents/TEAP-DecisionXXXVII6-replenishment-TF-report-May2026-RTF-report.pdf" TargetMode="External"/><Relationship Id="rId9" Type="http://schemas.openxmlformats.org/officeDocument/2006/relationships/hyperlink" Target="https://ozone.unep.org/node/1941" TargetMode="External"/><Relationship Id="rId14" Type="http://schemas.openxmlformats.org/officeDocument/2006/relationships/hyperlink" Target="https://ozone.unep.org/treaties/montreal-protocol/meetings/thirtieth-meeting-parties/decisions/annex-i-adju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3.xml><?xml version="1.0" encoding="utf-8"?>
<ds:datastoreItem xmlns:ds="http://schemas.openxmlformats.org/officeDocument/2006/customXml" ds:itemID="{F04E0CA2-4F2E-4D81-AFC2-88CC93924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15</TotalTime>
  <Pages>31</Pages>
  <Words>18174</Words>
  <Characters>103594</Characters>
  <Application>Microsoft Office Word</Application>
  <DocSecurity>0</DocSecurity>
  <PresentationFormat/>
  <Lines>863</Lines>
  <Paragraphs>243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NATIONS UNIES</vt:lpstr>
    </vt:vector>
  </TitlesOfParts>
  <Manager/>
  <Company/>
  <LinksUpToDate>false</LinksUpToDate>
  <CharactersWithSpaces>121525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Julius Njenga</cp:lastModifiedBy>
  <cp:revision>10</cp:revision>
  <cp:lastPrinted>2026-07-07T09:49:00Z</cp:lastPrinted>
  <dcterms:created xsi:type="dcterms:W3CDTF">2026-07-06T09:25:00Z</dcterms:created>
  <dcterms:modified xsi:type="dcterms:W3CDTF">2026-07-07T09:49:00Z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ies>
</file>