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4"/>
        <w:gridCol w:w="5385"/>
        <w:gridCol w:w="1417"/>
      </w:tblGrid>
      <w:tr w:rsidR="00160E27" w:rsidRPr="00C66A9A" w14:paraId="70ABBD62" w14:textId="77777777" w:rsidTr="007604C3">
        <w:trPr>
          <w:trHeight w:val="850"/>
        </w:trPr>
        <w:tc>
          <w:tcPr>
            <w:tcW w:w="2694" w:type="dxa"/>
          </w:tcPr>
          <w:p w14:paraId="58900C20" w14:textId="0B4F19E6" w:rsidR="00160E27" w:rsidRPr="00C66A9A" w:rsidRDefault="007604C3" w:rsidP="00095E7F">
            <w:pPr>
              <w:pStyle w:val="AUnitedNations"/>
              <w:tabs>
                <w:tab w:val="clear" w:pos="624"/>
                <w:tab w:val="clear" w:pos="1871"/>
                <w:tab w:val="clear" w:pos="2495"/>
                <w:tab w:val="clear" w:pos="3119"/>
                <w:tab w:val="clear" w:pos="3742"/>
                <w:tab w:val="clear" w:pos="4366"/>
                <w:tab w:val="clear" w:pos="4990"/>
              </w:tabs>
              <w:rPr>
                <w:rFonts w:eastAsiaTheme="minorEastAsia"/>
              </w:rPr>
            </w:pPr>
            <w:r w:rsidRPr="005D0209">
              <w:t xml:space="preserve">ОРГАНИЗАЦИЯ </w:t>
            </w:r>
            <w:r w:rsidRPr="005D0209">
              <w:br/>
              <w:t xml:space="preserve">ОБЪЕДИНЕННЫХ </w:t>
            </w:r>
            <w:r w:rsidRPr="005D0209">
              <w:br/>
              <w:t>НАЦИЙ</w:t>
            </w:r>
          </w:p>
        </w:tc>
        <w:tc>
          <w:tcPr>
            <w:tcW w:w="5385" w:type="dxa"/>
          </w:tcPr>
          <w:p w14:paraId="292E0E94" w14:textId="0A3CC085" w:rsidR="00160E27" w:rsidRPr="00C66A9A" w:rsidRDefault="007604C3" w:rsidP="00095E7F">
            <w:pPr>
              <w:pStyle w:val="Normal-pool"/>
              <w:tabs>
                <w:tab w:val="clear" w:pos="624"/>
                <w:tab w:val="clear" w:pos="1247"/>
                <w:tab w:val="clear" w:pos="1871"/>
                <w:tab w:val="clear" w:pos="2495"/>
                <w:tab w:val="clear" w:pos="3119"/>
                <w:tab w:val="clear" w:pos="3742"/>
                <w:tab w:val="clear" w:pos="4366"/>
                <w:tab w:val="clear" w:pos="4990"/>
              </w:tabs>
              <w:rPr>
                <w:rFonts w:eastAsiaTheme="minorEastAsia"/>
              </w:rPr>
            </w:pPr>
            <w:r w:rsidRPr="005D0209">
              <w:rPr>
                <w:noProof/>
              </w:rPr>
              <w:drawing>
                <wp:anchor distT="0" distB="0" distL="114300" distR="114300" simplePos="0" relativeHeight="251660288" behindDoc="0" locked="0" layoutInCell="1" allowOverlap="1" wp14:anchorId="57B25727" wp14:editId="6FC64CC8">
                  <wp:simplePos x="0" y="0"/>
                  <wp:positionH relativeFrom="column">
                    <wp:posOffset>-635</wp:posOffset>
                  </wp:positionH>
                  <wp:positionV relativeFrom="paragraph">
                    <wp:posOffset>3175</wp:posOffset>
                  </wp:positionV>
                  <wp:extent cx="1269153" cy="573559"/>
                  <wp:effectExtent l="0" t="0" r="0" b="0"/>
                  <wp:wrapNone/>
                  <wp:docPr id="1684097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097457"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66F218BB" w14:textId="77777777" w:rsidR="00160E27" w:rsidRPr="00C66A9A" w:rsidRDefault="00160E27" w:rsidP="00095E7F">
            <w:pPr>
              <w:pStyle w:val="Normal-pool"/>
              <w:tabs>
                <w:tab w:val="clear" w:pos="624"/>
                <w:tab w:val="clear" w:pos="1247"/>
                <w:tab w:val="clear" w:pos="1871"/>
                <w:tab w:val="clear" w:pos="2495"/>
                <w:tab w:val="clear" w:pos="3119"/>
                <w:tab w:val="clear" w:pos="3742"/>
                <w:tab w:val="clear" w:pos="4366"/>
                <w:tab w:val="clear" w:pos="4990"/>
              </w:tabs>
              <w:rPr>
                <w:rFonts w:eastAsiaTheme="minorEastAsia"/>
              </w:rPr>
            </w:pPr>
          </w:p>
        </w:tc>
      </w:tr>
    </w:tbl>
    <w:p w14:paraId="78FC0621" w14:textId="77777777" w:rsidR="006533B3" w:rsidRPr="00C66A9A" w:rsidRDefault="006533B3" w:rsidP="00095E7F">
      <w:pPr>
        <w:pStyle w:val="ASpacer"/>
        <w:tabs>
          <w:tab w:val="clear" w:pos="624"/>
          <w:tab w:val="clear" w:pos="1247"/>
          <w:tab w:val="clear" w:pos="1871"/>
          <w:tab w:val="clear" w:pos="2495"/>
          <w:tab w:val="clear" w:pos="3119"/>
          <w:tab w:val="clear" w:pos="3742"/>
          <w:tab w:val="clear" w:pos="4366"/>
          <w:tab w:val="clear" w:pos="4990"/>
        </w:tabs>
        <w:rPr>
          <w:rFonts w:eastAsiaTheme="minorEastAsia"/>
        </w:rPr>
      </w:pPr>
    </w:p>
    <w:tbl>
      <w:tblPr>
        <w:tblW w:w="9496" w:type="dxa"/>
        <w:tblLayout w:type="fixed"/>
        <w:tblLook w:val="0000" w:firstRow="0" w:lastRow="0" w:firstColumn="0" w:lastColumn="0" w:noHBand="0" w:noVBand="0"/>
      </w:tblPr>
      <w:tblGrid>
        <w:gridCol w:w="6237"/>
        <w:gridCol w:w="3259"/>
      </w:tblGrid>
      <w:tr w:rsidR="00160E27" w:rsidRPr="00C66A9A" w14:paraId="43DD3BF0" w14:textId="77777777" w:rsidTr="00095E7F">
        <w:trPr>
          <w:trHeight w:val="340"/>
        </w:trPr>
        <w:tc>
          <w:tcPr>
            <w:tcW w:w="3284" w:type="pct"/>
            <w:vAlign w:val="bottom"/>
          </w:tcPr>
          <w:p w14:paraId="16C8126C" w14:textId="77777777" w:rsidR="00160E27" w:rsidRPr="00C66A9A" w:rsidRDefault="00160E27" w:rsidP="00095E7F">
            <w:pPr>
              <w:pStyle w:val="Normal-pool"/>
              <w:tabs>
                <w:tab w:val="clear" w:pos="624"/>
                <w:tab w:val="clear" w:pos="1247"/>
                <w:tab w:val="clear" w:pos="1871"/>
                <w:tab w:val="clear" w:pos="2495"/>
                <w:tab w:val="clear" w:pos="3119"/>
                <w:tab w:val="clear" w:pos="3742"/>
                <w:tab w:val="clear" w:pos="4366"/>
                <w:tab w:val="clear" w:pos="4990"/>
              </w:tabs>
              <w:rPr>
                <w:rFonts w:eastAsiaTheme="minorEastAsia"/>
              </w:rPr>
            </w:pPr>
          </w:p>
        </w:tc>
        <w:tc>
          <w:tcPr>
            <w:tcW w:w="1716" w:type="pct"/>
            <w:noWrap/>
            <w:vAlign w:val="bottom"/>
          </w:tcPr>
          <w:p w14:paraId="147767FE" w14:textId="4109B4CD" w:rsidR="00160E27" w:rsidRPr="00C66A9A" w:rsidRDefault="00160E27" w:rsidP="00095E7F">
            <w:pPr>
              <w:pStyle w:val="ASymbol"/>
              <w:tabs>
                <w:tab w:val="clear" w:pos="1871"/>
                <w:tab w:val="clear" w:pos="2495"/>
                <w:tab w:val="clear" w:pos="2920"/>
                <w:tab w:val="clear" w:pos="3119"/>
                <w:tab w:val="clear" w:pos="3742"/>
                <w:tab w:val="clear" w:pos="4366"/>
                <w:tab w:val="clear" w:pos="4990"/>
              </w:tabs>
            </w:pPr>
            <w:r w:rsidRPr="007604C3">
              <w:rPr>
                <w:b/>
                <w:bCs/>
                <w:color w:val="000000"/>
                <w:sz w:val="28"/>
                <w:lang w:val="en-US"/>
              </w:rPr>
              <w:t>UNEP</w:t>
            </w:r>
            <w:r w:rsidRPr="007604C3">
              <w:rPr>
                <w:color w:val="000000"/>
                <w:lang w:val="en-US"/>
              </w:rPr>
              <w:t>/OzL.Pro.WG.1/48/2/Add.1</w:t>
            </w:r>
            <w:bookmarkStart w:id="0" w:name="Symbol1A"/>
            <w:bookmarkStart w:id="1" w:name="Symbol1B"/>
            <w:bookmarkStart w:id="2" w:name="Symbol1C"/>
            <w:bookmarkEnd w:id="0"/>
            <w:bookmarkEnd w:id="1"/>
            <w:bookmarkEnd w:id="2"/>
          </w:p>
        </w:tc>
      </w:tr>
    </w:tbl>
    <w:p w14:paraId="645C13F3" w14:textId="77777777" w:rsidR="00160E27" w:rsidRPr="00C66A9A" w:rsidRDefault="00160E27" w:rsidP="00095E7F">
      <w:pPr>
        <w:pStyle w:val="ASpacer"/>
        <w:tabs>
          <w:tab w:val="clear" w:pos="624"/>
          <w:tab w:val="clear" w:pos="1247"/>
          <w:tab w:val="clear" w:pos="1871"/>
          <w:tab w:val="clear" w:pos="2495"/>
          <w:tab w:val="clear" w:pos="3119"/>
          <w:tab w:val="clear" w:pos="3742"/>
          <w:tab w:val="clear" w:pos="4366"/>
          <w:tab w:val="clear" w:pos="4990"/>
        </w:tabs>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160E27" w:rsidRPr="00C66A9A" w14:paraId="0C8325FE" w14:textId="77777777" w:rsidTr="00160E27">
        <w:trPr>
          <w:trHeight w:val="2098"/>
        </w:trPr>
        <w:tc>
          <w:tcPr>
            <w:tcW w:w="5386" w:type="dxa"/>
          </w:tcPr>
          <w:p w14:paraId="6A6CB42E" w14:textId="3957F416" w:rsidR="00160E27" w:rsidRPr="007604C3" w:rsidRDefault="007604C3" w:rsidP="00095E7F">
            <w:pPr>
              <w:pStyle w:val="AConvName"/>
              <w:tabs>
                <w:tab w:val="clear" w:pos="624"/>
                <w:tab w:val="clear" w:pos="1247"/>
                <w:tab w:val="clear" w:pos="1871"/>
                <w:tab w:val="clear" w:pos="2495"/>
                <w:tab w:val="clear" w:pos="3119"/>
                <w:tab w:val="clear" w:pos="3742"/>
                <w:tab w:val="clear" w:pos="4366"/>
                <w:tab w:val="clear" w:pos="4990"/>
              </w:tabs>
              <w:rPr>
                <w:rFonts w:eastAsiaTheme="minorEastAsia"/>
                <w:lang w:val="ru-RU"/>
              </w:rPr>
            </w:pPr>
            <w:r w:rsidRPr="007604C3">
              <w:rPr>
                <w:lang w:val="ru-RU"/>
              </w:rPr>
              <w:t xml:space="preserve">Монреальский протокол </w:t>
            </w:r>
            <w:r w:rsidRPr="007604C3">
              <w:rPr>
                <w:lang w:val="ru-RU"/>
              </w:rPr>
              <w:br/>
              <w:t xml:space="preserve">по веществам, разрушающим </w:t>
            </w:r>
            <w:r w:rsidRPr="007604C3">
              <w:rPr>
                <w:lang w:val="ru-RU"/>
              </w:rPr>
              <w:br/>
              <w:t>озоновый слой</w:t>
            </w:r>
          </w:p>
        </w:tc>
        <w:tc>
          <w:tcPr>
            <w:tcW w:w="992" w:type="dxa"/>
          </w:tcPr>
          <w:p w14:paraId="674925B2" w14:textId="77777777" w:rsidR="00160E27" w:rsidRPr="00C66A9A" w:rsidRDefault="00160E27" w:rsidP="00095E7F">
            <w:pPr>
              <w:pStyle w:val="Normal-pool"/>
              <w:tabs>
                <w:tab w:val="clear" w:pos="624"/>
                <w:tab w:val="clear" w:pos="1247"/>
                <w:tab w:val="clear" w:pos="1871"/>
                <w:tab w:val="clear" w:pos="2495"/>
                <w:tab w:val="clear" w:pos="3119"/>
                <w:tab w:val="clear" w:pos="3742"/>
                <w:tab w:val="clear" w:pos="4366"/>
                <w:tab w:val="clear" w:pos="4990"/>
              </w:tabs>
              <w:rPr>
                <w:rFonts w:eastAsiaTheme="minorEastAsia"/>
                <w:lang w:val="ru-RU"/>
              </w:rPr>
            </w:pPr>
          </w:p>
        </w:tc>
        <w:tc>
          <w:tcPr>
            <w:tcW w:w="3118" w:type="dxa"/>
          </w:tcPr>
          <w:p w14:paraId="7115D761" w14:textId="1C969D52" w:rsidR="00160E27" w:rsidRPr="00C66A9A" w:rsidRDefault="00160E27" w:rsidP="00095E7F">
            <w:pPr>
              <w:pStyle w:val="AText"/>
              <w:tabs>
                <w:tab w:val="clear" w:pos="624"/>
                <w:tab w:val="clear" w:pos="1247"/>
                <w:tab w:val="clear" w:pos="1871"/>
                <w:tab w:val="clear" w:pos="2495"/>
                <w:tab w:val="clear" w:pos="3119"/>
                <w:tab w:val="clear" w:pos="3742"/>
                <w:tab w:val="clear" w:pos="4366"/>
                <w:tab w:val="clear" w:pos="4990"/>
              </w:tabs>
              <w:ind w:left="-111"/>
              <w:rPr>
                <w:rFonts w:eastAsiaTheme="minorEastAsia"/>
              </w:rPr>
            </w:pPr>
            <w:r w:rsidRPr="00C66A9A">
              <w:rPr>
                <w:color w:val="000000"/>
                <w:lang w:val="en-US"/>
              </w:rPr>
              <w:t xml:space="preserve">Distr.: General </w:t>
            </w:r>
            <w:bookmarkStart w:id="3" w:name="Distribution"/>
            <w:bookmarkEnd w:id="3"/>
          </w:p>
          <w:p w14:paraId="594A64AE" w14:textId="292D337D" w:rsidR="00160E27" w:rsidRPr="00C66A9A" w:rsidRDefault="00F13A82" w:rsidP="00095E7F">
            <w:pPr>
              <w:pStyle w:val="AText0"/>
              <w:tabs>
                <w:tab w:val="clear" w:pos="624"/>
                <w:tab w:val="clear" w:pos="1247"/>
                <w:tab w:val="clear" w:pos="1871"/>
                <w:tab w:val="clear" w:pos="2495"/>
                <w:tab w:val="clear" w:pos="3119"/>
                <w:tab w:val="clear" w:pos="3742"/>
                <w:tab w:val="clear" w:pos="4366"/>
              </w:tabs>
              <w:ind w:left="-111"/>
              <w:rPr>
                <w:rFonts w:eastAsiaTheme="minorEastAsia"/>
              </w:rPr>
            </w:pPr>
            <w:bookmarkStart w:id="4" w:name="DistributionDate"/>
            <w:r w:rsidRPr="00C66A9A">
              <w:rPr>
                <w:color w:val="000000"/>
                <w:lang w:val="en-US"/>
              </w:rPr>
              <w:t xml:space="preserve">20 </w:t>
            </w:r>
            <w:r w:rsidR="007604C3">
              <w:rPr>
                <w:color w:val="000000"/>
                <w:lang w:val="en-US"/>
              </w:rPr>
              <w:t>May</w:t>
            </w:r>
            <w:r w:rsidRPr="00C66A9A">
              <w:rPr>
                <w:color w:val="000000"/>
                <w:lang w:val="en-US"/>
              </w:rPr>
              <w:t xml:space="preserve"> 2026</w:t>
            </w:r>
            <w:bookmarkEnd w:id="4"/>
          </w:p>
          <w:p w14:paraId="7C380776" w14:textId="08973D49" w:rsidR="00160E27" w:rsidRPr="00C66A9A" w:rsidRDefault="00160E27" w:rsidP="00095E7F">
            <w:pPr>
              <w:pStyle w:val="AText"/>
              <w:tabs>
                <w:tab w:val="clear" w:pos="624"/>
                <w:tab w:val="clear" w:pos="1247"/>
                <w:tab w:val="clear" w:pos="1871"/>
                <w:tab w:val="clear" w:pos="2495"/>
                <w:tab w:val="clear" w:pos="3119"/>
                <w:tab w:val="clear" w:pos="3742"/>
                <w:tab w:val="clear" w:pos="4366"/>
                <w:tab w:val="clear" w:pos="4990"/>
              </w:tabs>
              <w:ind w:left="-111"/>
              <w:rPr>
                <w:rFonts w:eastAsiaTheme="minorEastAsia"/>
              </w:rPr>
            </w:pPr>
            <w:bookmarkStart w:id="5" w:name="DistributionLang"/>
            <w:r w:rsidRPr="00C66A9A">
              <w:rPr>
                <w:color w:val="000000"/>
                <w:lang w:val="en-US"/>
              </w:rPr>
              <w:t>Russian</w:t>
            </w:r>
            <w:r w:rsidR="007604C3">
              <w:rPr>
                <w:color w:val="000000"/>
                <w:lang w:val="en-US"/>
              </w:rPr>
              <w:br/>
            </w:r>
            <w:r w:rsidRPr="00C66A9A">
              <w:rPr>
                <w:color w:val="000000"/>
                <w:lang w:val="en-US"/>
              </w:rPr>
              <w:t>Original: English</w:t>
            </w:r>
            <w:bookmarkEnd w:id="5"/>
          </w:p>
        </w:tc>
      </w:tr>
    </w:tbl>
    <w:p w14:paraId="479DFA60" w14:textId="77777777" w:rsidR="00160E27" w:rsidRPr="00C66A9A" w:rsidRDefault="00160E27" w:rsidP="00095E7F">
      <w:pPr>
        <w:pStyle w:val="ASpacer"/>
        <w:tabs>
          <w:tab w:val="clear" w:pos="624"/>
          <w:tab w:val="clear" w:pos="1247"/>
          <w:tab w:val="clear" w:pos="1871"/>
          <w:tab w:val="clear" w:pos="2495"/>
          <w:tab w:val="clear" w:pos="3119"/>
          <w:tab w:val="clear" w:pos="3742"/>
          <w:tab w:val="clear" w:pos="4366"/>
          <w:tab w:val="clear" w:pos="4990"/>
        </w:tabs>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60E27" w:rsidRPr="00C66A9A" w14:paraId="314B37A5" w14:textId="77777777" w:rsidTr="00160E27">
        <w:trPr>
          <w:trHeight w:val="57"/>
        </w:trPr>
        <w:tc>
          <w:tcPr>
            <w:tcW w:w="5301" w:type="dxa"/>
          </w:tcPr>
          <w:p w14:paraId="5B414474" w14:textId="45247281" w:rsidR="00160E27" w:rsidRPr="00C66A9A" w:rsidRDefault="00160E27" w:rsidP="00095E7F">
            <w:pPr>
              <w:pStyle w:val="AATitle"/>
              <w:tabs>
                <w:tab w:val="clear" w:pos="624"/>
                <w:tab w:val="clear" w:pos="1247"/>
                <w:tab w:val="clear" w:pos="1871"/>
                <w:tab w:val="clear" w:pos="2495"/>
                <w:tab w:val="clear" w:pos="3119"/>
                <w:tab w:val="clear" w:pos="3742"/>
                <w:tab w:val="clear" w:pos="4366"/>
                <w:tab w:val="clear" w:pos="4990"/>
              </w:tabs>
              <w:rPr>
                <w:rFonts w:eastAsiaTheme="minorEastAsia"/>
                <w:lang w:val="ru-RU"/>
              </w:rPr>
            </w:pPr>
            <w:bookmarkStart w:id="6" w:name="CorNot1Text"/>
            <w:r w:rsidRPr="00C66A9A">
              <w:rPr>
                <w:bCs/>
                <w:color w:val="000000"/>
                <w:lang w:val="ru-RU"/>
              </w:rPr>
              <w:t xml:space="preserve">Рабочая группа открытого состава Сторон </w:t>
            </w:r>
            <w:r w:rsidR="007604C3" w:rsidRPr="002779D8">
              <w:rPr>
                <w:bCs/>
                <w:color w:val="000000"/>
                <w:lang w:val="ru-RU"/>
              </w:rPr>
              <w:br/>
            </w:r>
            <w:r w:rsidRPr="00C66A9A">
              <w:rPr>
                <w:bCs/>
                <w:color w:val="000000"/>
                <w:lang w:val="ru-RU"/>
              </w:rPr>
              <w:t xml:space="preserve">Монреальского протокола по веществам, </w:t>
            </w:r>
            <w:r w:rsidR="007604C3" w:rsidRPr="002779D8">
              <w:rPr>
                <w:bCs/>
                <w:color w:val="000000"/>
                <w:lang w:val="ru-RU"/>
              </w:rPr>
              <w:br/>
            </w:r>
            <w:r w:rsidRPr="00C66A9A">
              <w:rPr>
                <w:bCs/>
                <w:color w:val="000000"/>
                <w:lang w:val="ru-RU"/>
              </w:rPr>
              <w:t>разрушающим озоновый слой</w:t>
            </w:r>
            <w:r w:rsidRPr="00C66A9A">
              <w:rPr>
                <w:color w:val="000000"/>
                <w:lang w:val="ru-RU"/>
              </w:rPr>
              <w:t xml:space="preserve"> </w:t>
            </w:r>
          </w:p>
          <w:p w14:paraId="26F1E92C" w14:textId="620DFA53" w:rsidR="00160E27" w:rsidRPr="00C66A9A" w:rsidRDefault="00160E27" w:rsidP="00095E7F">
            <w:pPr>
              <w:pStyle w:val="AATitle"/>
              <w:tabs>
                <w:tab w:val="clear" w:pos="624"/>
                <w:tab w:val="clear" w:pos="1247"/>
                <w:tab w:val="clear" w:pos="1871"/>
                <w:tab w:val="clear" w:pos="2495"/>
                <w:tab w:val="clear" w:pos="3119"/>
                <w:tab w:val="clear" w:pos="3742"/>
                <w:tab w:val="clear" w:pos="4366"/>
                <w:tab w:val="clear" w:pos="4990"/>
              </w:tabs>
              <w:rPr>
                <w:rFonts w:eastAsiaTheme="minorEastAsia"/>
                <w:lang w:val="ru-RU"/>
              </w:rPr>
            </w:pPr>
            <w:r w:rsidRPr="00C66A9A">
              <w:rPr>
                <w:bCs/>
                <w:color w:val="000000"/>
                <w:lang w:val="ru-RU"/>
              </w:rPr>
              <w:t>Сорок восьмое совещание</w:t>
            </w:r>
            <w:r w:rsidRPr="00C66A9A">
              <w:rPr>
                <w:color w:val="000000"/>
                <w:lang w:val="ru-RU"/>
              </w:rPr>
              <w:t xml:space="preserve"> </w:t>
            </w:r>
            <w:bookmarkEnd w:id="6"/>
          </w:p>
          <w:p w14:paraId="178DC04A" w14:textId="0919ED12" w:rsidR="00160E27" w:rsidRPr="00C66A9A" w:rsidRDefault="00160E27" w:rsidP="00095E7F">
            <w:pPr>
              <w:pStyle w:val="AATitle1"/>
              <w:tabs>
                <w:tab w:val="clear" w:pos="624"/>
                <w:tab w:val="clear" w:pos="1247"/>
                <w:tab w:val="clear" w:pos="1871"/>
                <w:tab w:val="clear" w:pos="2495"/>
                <w:tab w:val="clear" w:pos="3119"/>
                <w:tab w:val="clear" w:pos="3742"/>
                <w:tab w:val="clear" w:pos="4366"/>
                <w:tab w:val="clear" w:pos="4990"/>
              </w:tabs>
              <w:rPr>
                <w:rFonts w:eastAsiaTheme="minorEastAsia"/>
                <w:lang w:val="ru-RU"/>
              </w:rPr>
            </w:pPr>
            <w:bookmarkStart w:id="7" w:name="CorNot1VenueDate"/>
            <w:r w:rsidRPr="00C66A9A">
              <w:rPr>
                <w:color w:val="000000"/>
                <w:lang w:val="ru-RU"/>
              </w:rPr>
              <w:t xml:space="preserve">Бангкок, 13–17 июля 2026 года </w:t>
            </w:r>
            <w:bookmarkEnd w:id="7"/>
          </w:p>
          <w:p w14:paraId="174CBC1D" w14:textId="38DE6916" w:rsidR="008C7DBB" w:rsidRPr="00C66A9A" w:rsidRDefault="00C421D0" w:rsidP="00095E7F">
            <w:pPr>
              <w:pStyle w:val="AATitle1"/>
              <w:tabs>
                <w:tab w:val="clear" w:pos="624"/>
                <w:tab w:val="clear" w:pos="1247"/>
                <w:tab w:val="clear" w:pos="1871"/>
                <w:tab w:val="clear" w:pos="2495"/>
                <w:tab w:val="clear" w:pos="3119"/>
                <w:tab w:val="clear" w:pos="3742"/>
                <w:tab w:val="clear" w:pos="4366"/>
                <w:tab w:val="clear" w:pos="4990"/>
              </w:tabs>
              <w:rPr>
                <w:rFonts w:eastAsiaTheme="minorEastAsia"/>
                <w:b/>
                <w:bCs/>
              </w:rPr>
            </w:pPr>
            <w:bookmarkStart w:id="8" w:name="CorNot1AgItem"/>
            <w:r w:rsidRPr="00C66A9A">
              <w:rPr>
                <w:color w:val="000000"/>
                <w:lang w:val="ru-RU"/>
              </w:rPr>
              <w:t>Пункты 3–5 предварительной повестки дня</w:t>
            </w:r>
            <w:r w:rsidR="00B2288E">
              <w:rPr>
                <w:color w:val="000000"/>
                <w:lang w:val="en-US"/>
              </w:rPr>
              <w:t>*</w:t>
            </w:r>
            <w:bookmarkStart w:id="9" w:name="_Hlk76459712"/>
            <w:bookmarkStart w:id="10" w:name="_Hlk69114350"/>
            <w:bookmarkEnd w:id="8"/>
            <w:bookmarkEnd w:id="9"/>
            <w:bookmarkEnd w:id="10"/>
          </w:p>
        </w:tc>
        <w:tc>
          <w:tcPr>
            <w:tcW w:w="4195" w:type="dxa"/>
          </w:tcPr>
          <w:p w14:paraId="75D96D83" w14:textId="77777777" w:rsidR="00160E27" w:rsidRPr="00C66A9A" w:rsidRDefault="00160E27" w:rsidP="00095E7F">
            <w:pPr>
              <w:pStyle w:val="Normal-pool"/>
              <w:tabs>
                <w:tab w:val="clear" w:pos="624"/>
                <w:tab w:val="clear" w:pos="1247"/>
                <w:tab w:val="clear" w:pos="1871"/>
                <w:tab w:val="clear" w:pos="2495"/>
                <w:tab w:val="clear" w:pos="3119"/>
                <w:tab w:val="clear" w:pos="3742"/>
                <w:tab w:val="clear" w:pos="4366"/>
                <w:tab w:val="clear" w:pos="4990"/>
              </w:tabs>
              <w:rPr>
                <w:rFonts w:eastAsiaTheme="minorEastAsia"/>
              </w:rPr>
            </w:pPr>
          </w:p>
        </w:tc>
      </w:tr>
    </w:tbl>
    <w:p w14:paraId="3A4C40F4" w14:textId="77777777" w:rsidR="00E62558" w:rsidRPr="00C66A9A" w:rsidRDefault="00E62558" w:rsidP="00B2288E">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C66A9A">
        <w:rPr>
          <w:bCs/>
          <w:lang w:val="ru-RU"/>
        </w:rPr>
        <w:footnoteReference w:customMarkFollows="1" w:id="2"/>
        <w:t>Вопросы для обсуждения Рабочей группой открытого состава Сторон Монреальского протокола на ее сорок восьмом совещании и информация для ее сведения</w:t>
      </w:r>
    </w:p>
    <w:p w14:paraId="1A64A34A" w14:textId="3C0A2878" w:rsidR="00E62558" w:rsidRPr="00C66A9A" w:rsidRDefault="00E62558" w:rsidP="00CA414D">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right="567" w:firstLine="0"/>
      </w:pPr>
      <w:r w:rsidRPr="00C66A9A">
        <w:rPr>
          <w:lang w:val="ru-RU"/>
        </w:rPr>
        <w:tab/>
      </w:r>
      <w:r w:rsidRPr="00C66A9A">
        <w:rPr>
          <w:bCs/>
          <w:lang w:val="ru-RU"/>
        </w:rPr>
        <w:t xml:space="preserve">Записка </w:t>
      </w:r>
      <w:r w:rsidR="00502C0C" w:rsidRPr="00C66A9A">
        <w:rPr>
          <w:bCs/>
          <w:lang w:val="ru-RU"/>
        </w:rPr>
        <w:t>секретариата</w:t>
      </w:r>
    </w:p>
    <w:p w14:paraId="21D90EC6" w14:textId="347B43D5" w:rsidR="00E62558" w:rsidRPr="00C66A9A" w:rsidRDefault="00E62558" w:rsidP="00CA414D">
      <w:pPr>
        <w:pStyle w:val="CH3"/>
        <w:keepNext w:val="0"/>
        <w:keepLines w:val="0"/>
        <w:tabs>
          <w:tab w:val="clear" w:pos="851"/>
          <w:tab w:val="clear" w:pos="1247"/>
          <w:tab w:val="clear" w:pos="1871"/>
          <w:tab w:val="clear" w:pos="2495"/>
          <w:tab w:val="clear" w:pos="3119"/>
          <w:tab w:val="clear" w:pos="3742"/>
          <w:tab w:val="clear" w:pos="4366"/>
          <w:tab w:val="clear" w:pos="4990"/>
        </w:tabs>
        <w:spacing w:before="0"/>
        <w:ind w:right="567" w:firstLine="0"/>
      </w:pPr>
      <w:r w:rsidRPr="00C66A9A">
        <w:rPr>
          <w:lang w:val="ru-RU"/>
        </w:rPr>
        <w:tab/>
      </w:r>
      <w:r w:rsidRPr="00C66A9A">
        <w:rPr>
          <w:bCs/>
          <w:lang w:val="ru-RU"/>
        </w:rPr>
        <w:t>Добавление</w:t>
      </w:r>
    </w:p>
    <w:p w14:paraId="1F1880F2" w14:textId="2D169A65" w:rsidR="00E62558" w:rsidRPr="00C66A9A" w:rsidRDefault="00435B54" w:rsidP="00435B54">
      <w:pPr>
        <w:pStyle w:val="CH1"/>
        <w:keepNext w:val="0"/>
        <w:keepLines w:val="0"/>
        <w:tabs>
          <w:tab w:val="clear" w:pos="1247"/>
          <w:tab w:val="clear" w:pos="1871"/>
          <w:tab w:val="clear" w:pos="2495"/>
          <w:tab w:val="clear" w:pos="3119"/>
          <w:tab w:val="clear" w:pos="3742"/>
          <w:tab w:val="clear" w:pos="4366"/>
          <w:tab w:val="clear" w:pos="4990"/>
        </w:tabs>
        <w:spacing w:before="0"/>
      </w:pPr>
      <w:r>
        <w:rPr>
          <w:bCs/>
          <w:lang w:val="en-US"/>
        </w:rPr>
        <w:tab/>
      </w:r>
      <w:r w:rsidR="00E62558" w:rsidRPr="00C66A9A">
        <w:rPr>
          <w:bCs/>
          <w:lang w:val="ru-RU"/>
        </w:rPr>
        <w:t>I.</w:t>
      </w:r>
      <w:r w:rsidR="00E62558" w:rsidRPr="00C66A9A">
        <w:rPr>
          <w:lang w:val="ru-RU"/>
        </w:rPr>
        <w:tab/>
      </w:r>
      <w:r w:rsidR="00E62558" w:rsidRPr="00C66A9A">
        <w:rPr>
          <w:bCs/>
          <w:lang w:val="ru-RU"/>
        </w:rPr>
        <w:t>Введение</w:t>
      </w:r>
    </w:p>
    <w:p w14:paraId="0A17948A" w14:textId="7D3F186B" w:rsidR="00E62558" w:rsidRPr="00435B54" w:rsidRDefault="00E62558" w:rsidP="00DD181C">
      <w:pPr>
        <w:pStyle w:val="Normalnumber"/>
        <w:tabs>
          <w:tab w:val="left" w:pos="624"/>
        </w:tabs>
        <w:ind w:left="1247"/>
        <w:rPr>
          <w:sz w:val="20"/>
          <w:szCs w:val="20"/>
          <w:lang w:val="ru-RU"/>
        </w:rPr>
      </w:pPr>
      <w:r w:rsidRPr="00435B54">
        <w:rPr>
          <w:sz w:val="20"/>
          <w:szCs w:val="20"/>
          <w:lang w:val="ru-RU"/>
        </w:rPr>
        <w:t>В настоящем добавлении к записке секретариата о вопросах для обсуждения Рабочей группой открытого состава Сторон Монреальского протокола по веществам, разрушающим озоновый слой, на ее сорок восьмом совещании и информации для ее сведения (UNEP/OzL.Pro.WG.1/48/2) содержится информация, появившаяся после подготовки указанной записки. В разделе II добавления приводится новая и обновленная информация, представленная Группой по техническому обзору и экономической оценке в ее докладе (2026 год) и секретариатом в связи с пунктами 3–5 предварительной повестки дня. В разделе III содержится обновленная информация, актуальн</w:t>
      </w:r>
      <w:r w:rsidR="003370A5" w:rsidRPr="00435B54">
        <w:rPr>
          <w:sz w:val="20"/>
          <w:szCs w:val="20"/>
          <w:lang w:val="ru-RU"/>
        </w:rPr>
        <w:t>ая</w:t>
      </w:r>
      <w:r w:rsidRPr="00435B54">
        <w:rPr>
          <w:sz w:val="20"/>
          <w:szCs w:val="20"/>
          <w:lang w:val="ru-RU"/>
        </w:rPr>
        <w:t xml:space="preserve"> для тридцать восьмого Совещания Сторон Монреальского протокола, относительно представлений </w:t>
      </w:r>
      <w:r w:rsidR="00B2288E" w:rsidRPr="00435B54">
        <w:rPr>
          <w:sz w:val="20"/>
          <w:szCs w:val="20"/>
          <w:lang w:val="ru-RU"/>
        </w:rPr>
        <w:t>Сторон</w:t>
      </w:r>
      <w:r w:rsidRPr="00435B54">
        <w:rPr>
          <w:sz w:val="20"/>
          <w:szCs w:val="20"/>
          <w:lang w:val="ru-RU"/>
        </w:rPr>
        <w:t xml:space="preserve"> в ответ на решение XXXVII/3 о переработанных, использованных и невостребованных регулируемых веществах и</w:t>
      </w:r>
      <w:r w:rsidR="003370A5" w:rsidRPr="00435B54">
        <w:rPr>
          <w:sz w:val="20"/>
          <w:szCs w:val="20"/>
          <w:lang w:val="ru-RU"/>
        </w:rPr>
        <w:t xml:space="preserve"> решение</w:t>
      </w:r>
      <w:r w:rsidR="00502C0C">
        <w:rPr>
          <w:sz w:val="20"/>
          <w:szCs w:val="20"/>
        </w:rPr>
        <w:t> </w:t>
      </w:r>
      <w:r w:rsidRPr="00435B54">
        <w:rPr>
          <w:sz w:val="20"/>
          <w:szCs w:val="20"/>
          <w:lang w:val="ru-RU"/>
        </w:rPr>
        <w:t>XXXVII/5 о национальных и региональных инициативах в поддержку осуществления Кигалийской поправки к Монреальскому протоколу.</w:t>
      </w:r>
    </w:p>
    <w:p w14:paraId="45AA36B1" w14:textId="012A399A" w:rsidR="00E62558" w:rsidRPr="00435B54" w:rsidRDefault="00E62558" w:rsidP="00DD181C">
      <w:pPr>
        <w:pStyle w:val="Normalnumber"/>
        <w:tabs>
          <w:tab w:val="left" w:pos="624"/>
        </w:tabs>
        <w:ind w:left="1247"/>
        <w:rPr>
          <w:sz w:val="20"/>
          <w:szCs w:val="20"/>
          <w:lang w:val="ru-RU"/>
        </w:rPr>
      </w:pPr>
      <w:bookmarkStart w:id="11" w:name="_Hlk137637470"/>
      <w:r w:rsidRPr="00435B54">
        <w:rPr>
          <w:sz w:val="20"/>
          <w:szCs w:val="20"/>
          <w:lang w:val="ru-RU"/>
        </w:rPr>
        <w:t>Доклад Группы по техническому обзору и экономической оценке (2026</w:t>
      </w:r>
      <w:r w:rsidR="00B2288E" w:rsidRPr="00435B54">
        <w:rPr>
          <w:sz w:val="20"/>
          <w:szCs w:val="20"/>
        </w:rPr>
        <w:t> </w:t>
      </w:r>
      <w:r w:rsidRPr="00435B54">
        <w:rPr>
          <w:sz w:val="20"/>
          <w:szCs w:val="20"/>
          <w:lang w:val="ru-RU"/>
        </w:rPr>
        <w:t>год) в настоящее время состоит из двух томов</w:t>
      </w:r>
      <w:r w:rsidRPr="00435B54">
        <w:rPr>
          <w:sz w:val="20"/>
          <w:szCs w:val="20"/>
          <w:vertAlign w:val="superscript"/>
          <w:lang w:val="ru-RU"/>
        </w:rPr>
        <w:footnoteReference w:id="3"/>
      </w:r>
      <w:r w:rsidRPr="00435B54">
        <w:rPr>
          <w:sz w:val="20"/>
          <w:szCs w:val="20"/>
          <w:lang w:val="ru-RU"/>
        </w:rPr>
        <w:t>:</w:t>
      </w:r>
    </w:p>
    <w:p w14:paraId="2E0105DC" w14:textId="519F363D" w:rsidR="00E62558" w:rsidRPr="00435B54" w:rsidRDefault="007F4F7F" w:rsidP="00D407CB">
      <w:pPr>
        <w:pStyle w:val="ListParagraph"/>
        <w:numPr>
          <w:ilvl w:val="1"/>
          <w:numId w:val="1"/>
        </w:numPr>
        <w:spacing w:after="120"/>
        <w:ind w:left="1247"/>
        <w:rPr>
          <w:sz w:val="20"/>
          <w:szCs w:val="20"/>
          <w:lang w:val="ru-RU"/>
        </w:rPr>
      </w:pPr>
      <w:r w:rsidRPr="00435B54">
        <w:rPr>
          <w:sz w:val="20"/>
          <w:szCs w:val="20"/>
          <w:lang w:val="ru-RU"/>
        </w:rPr>
        <w:t xml:space="preserve">том </w:t>
      </w:r>
      <w:r w:rsidR="00E62558" w:rsidRPr="00435B54">
        <w:rPr>
          <w:sz w:val="20"/>
          <w:szCs w:val="20"/>
          <w:lang w:val="ru-RU"/>
        </w:rPr>
        <w:t xml:space="preserve">1: Доклад о ходе работы (май 2026 года); </w:t>
      </w:r>
    </w:p>
    <w:p w14:paraId="784A8F6D" w14:textId="5416E90A" w:rsidR="00E62558" w:rsidRPr="00435B54" w:rsidRDefault="007F4F7F" w:rsidP="00435B54">
      <w:pPr>
        <w:pStyle w:val="ListParagraph"/>
        <w:numPr>
          <w:ilvl w:val="1"/>
          <w:numId w:val="1"/>
        </w:numPr>
        <w:spacing w:after="240"/>
        <w:ind w:left="1247" w:firstLine="624"/>
        <w:rPr>
          <w:sz w:val="20"/>
          <w:szCs w:val="20"/>
          <w:lang w:val="ru-RU"/>
        </w:rPr>
      </w:pPr>
      <w:r w:rsidRPr="00435B54">
        <w:rPr>
          <w:sz w:val="20"/>
          <w:szCs w:val="20"/>
          <w:lang w:val="ru-RU"/>
        </w:rPr>
        <w:t xml:space="preserve">том </w:t>
      </w:r>
      <w:r w:rsidR="00E62558" w:rsidRPr="00435B54">
        <w:rPr>
          <w:sz w:val="20"/>
          <w:szCs w:val="20"/>
          <w:lang w:val="ru-RU"/>
        </w:rPr>
        <w:t>2: Оценка потребностей в финансировании для пополнения Многостороннего фонда на период 2027–2029 годов.</w:t>
      </w:r>
    </w:p>
    <w:bookmarkEnd w:id="11"/>
    <w:p w14:paraId="5F6D45E0" w14:textId="180830AC" w:rsidR="00E62558" w:rsidRPr="00C66A9A" w:rsidRDefault="00435B54" w:rsidP="00435B54">
      <w:pPr>
        <w:pStyle w:val="CH1"/>
        <w:tabs>
          <w:tab w:val="clear" w:pos="1247"/>
          <w:tab w:val="clear" w:pos="1871"/>
          <w:tab w:val="clear" w:pos="2495"/>
          <w:tab w:val="clear" w:pos="3119"/>
          <w:tab w:val="clear" w:pos="3742"/>
          <w:tab w:val="clear" w:pos="4366"/>
          <w:tab w:val="clear" w:pos="4990"/>
        </w:tabs>
        <w:spacing w:before="0"/>
        <w:rPr>
          <w:lang w:val="ru-RU"/>
        </w:rPr>
      </w:pPr>
      <w:r w:rsidRPr="002779D8">
        <w:rPr>
          <w:bCs/>
          <w:lang w:val="ru-RU"/>
        </w:rPr>
        <w:lastRenderedPageBreak/>
        <w:tab/>
      </w:r>
      <w:r w:rsidR="00E62558" w:rsidRPr="00C66A9A">
        <w:rPr>
          <w:bCs/>
          <w:lang w:val="ru-RU"/>
        </w:rPr>
        <w:t>II.</w:t>
      </w:r>
      <w:r w:rsidR="00E62558" w:rsidRPr="00C66A9A">
        <w:rPr>
          <w:lang w:val="ru-RU"/>
        </w:rPr>
        <w:tab/>
      </w:r>
      <w:r w:rsidR="00E62558" w:rsidRPr="00C66A9A">
        <w:rPr>
          <w:bCs/>
          <w:lang w:val="ru-RU"/>
        </w:rPr>
        <w:t>Краткое изложение вопросов для обсуждения Рабочей группой открытого состава на ее сорок восьмом совещании</w:t>
      </w:r>
      <w:r w:rsidR="00E62558" w:rsidRPr="00C66A9A">
        <w:rPr>
          <w:lang w:val="ru-RU"/>
        </w:rPr>
        <w:t xml:space="preserve"> </w:t>
      </w:r>
    </w:p>
    <w:p w14:paraId="7E1E972F" w14:textId="77777777" w:rsidR="00E62558" w:rsidRPr="00C66A9A" w:rsidRDefault="00E62558" w:rsidP="00502C0C">
      <w:pPr>
        <w:pStyle w:val="Normalnumber"/>
        <w:ind w:left="1247"/>
        <w:rPr>
          <w:lang w:val="ru-RU"/>
        </w:rPr>
      </w:pPr>
      <w:r w:rsidRPr="00C66A9A">
        <w:rPr>
          <w:lang w:val="ru-RU"/>
        </w:rPr>
        <w:t>Вопросы, включенные в настоящее добавление, излагаются ниже в том порядке, в котором соответствующие пункты перечислены в предварительной повестке дня совещания.</w:t>
      </w:r>
    </w:p>
    <w:p w14:paraId="769AED18" w14:textId="0D3D722B" w:rsidR="00E62558" w:rsidRPr="00C66A9A" w:rsidRDefault="00E62558" w:rsidP="00502C0C">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right="567" w:firstLine="0"/>
        <w:rPr>
          <w:lang w:val="ru-RU"/>
        </w:rPr>
      </w:pPr>
      <w:r w:rsidRPr="00C66A9A">
        <w:rPr>
          <w:lang w:val="ru-RU"/>
        </w:rPr>
        <w:tab/>
      </w:r>
      <w:r w:rsidRPr="00C66A9A">
        <w:rPr>
          <w:bCs/>
          <w:lang w:val="ru-RU"/>
        </w:rPr>
        <w:t>Пункт 3 повестки дня</w:t>
      </w:r>
    </w:p>
    <w:p w14:paraId="308697D9" w14:textId="1917243D" w:rsidR="00E62558" w:rsidRPr="00C66A9A" w:rsidRDefault="00E62558" w:rsidP="00502C0C">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right="567" w:firstLine="0"/>
        <w:rPr>
          <w:lang w:val="ru-RU"/>
        </w:rPr>
      </w:pPr>
      <w:r w:rsidRPr="00C66A9A">
        <w:rPr>
          <w:lang w:val="ru-RU"/>
        </w:rPr>
        <w:tab/>
      </w:r>
      <w:r w:rsidRPr="00C66A9A">
        <w:rPr>
          <w:bCs/>
          <w:lang w:val="ru-RU"/>
        </w:rPr>
        <w:t>Доклад Группы по техническому обзору и экономической оценке о пополнении Многостороннего фонда для осуществления Монреальского протокола на трехгодичный период 2027–2029 годов (решение XXXVII/6)</w:t>
      </w:r>
      <w:r w:rsidRPr="00C66A9A">
        <w:rPr>
          <w:lang w:val="ru-RU"/>
        </w:rPr>
        <w:t xml:space="preserve"> </w:t>
      </w:r>
    </w:p>
    <w:p w14:paraId="367C297D" w14:textId="5DA203A3" w:rsidR="00E62558" w:rsidRPr="00502C0C" w:rsidRDefault="003A747F" w:rsidP="00DD181C">
      <w:pPr>
        <w:pStyle w:val="Normalnumber"/>
        <w:tabs>
          <w:tab w:val="left" w:pos="624"/>
        </w:tabs>
        <w:ind w:left="1247"/>
        <w:rPr>
          <w:sz w:val="20"/>
          <w:szCs w:val="20"/>
          <w:lang w:val="ru-RU"/>
        </w:rPr>
      </w:pPr>
      <w:r w:rsidRPr="00502C0C">
        <w:rPr>
          <w:sz w:val="20"/>
          <w:szCs w:val="20"/>
          <w:lang w:val="ru-RU"/>
        </w:rPr>
        <w:t>В соответствии с решением XXXVII/6 и как указано в записке секретариата (UNEP/OzL.Pro.WG.1/48/2, пункты 4–9), Группа по техническому обзору и экономической оценке учредила целевую группу для подготовки доклада</w:t>
      </w:r>
      <w:r w:rsidR="00E62558" w:rsidRPr="00502C0C">
        <w:rPr>
          <w:rStyle w:val="FootnoteReference"/>
          <w:szCs w:val="20"/>
          <w:lang w:val="ru-RU"/>
        </w:rPr>
        <w:footnoteReference w:id="4"/>
      </w:r>
      <w:r w:rsidR="00CB22CD">
        <w:rPr>
          <w:sz w:val="20"/>
          <w:szCs w:val="20"/>
          <w:lang w:val="ru-RU"/>
        </w:rPr>
        <w:t xml:space="preserve"> </w:t>
      </w:r>
      <w:r w:rsidRPr="00502C0C">
        <w:rPr>
          <w:sz w:val="20"/>
          <w:szCs w:val="20"/>
          <w:lang w:val="ru-RU"/>
        </w:rPr>
        <w:t xml:space="preserve">о </w:t>
      </w:r>
      <w:r w:rsidR="003370A5" w:rsidRPr="00502C0C">
        <w:rPr>
          <w:sz w:val="20"/>
          <w:szCs w:val="20"/>
          <w:lang w:val="ru-RU"/>
        </w:rPr>
        <w:t>соответствующем</w:t>
      </w:r>
      <w:r w:rsidRPr="00502C0C">
        <w:rPr>
          <w:sz w:val="20"/>
          <w:szCs w:val="20"/>
          <w:lang w:val="ru-RU"/>
        </w:rPr>
        <w:t xml:space="preserve"> уровне пополнения Многостороннего фонда для осуществления Монреальского протокола на трехгодичный период 2027–2029 годов </w:t>
      </w:r>
      <w:r w:rsidR="003370A5" w:rsidRPr="00502C0C">
        <w:rPr>
          <w:sz w:val="20"/>
          <w:szCs w:val="20"/>
          <w:lang w:val="ru-RU"/>
        </w:rPr>
        <w:t>с целью</w:t>
      </w:r>
      <w:r w:rsidRPr="00502C0C">
        <w:rPr>
          <w:sz w:val="20"/>
          <w:szCs w:val="20"/>
          <w:lang w:val="ru-RU"/>
        </w:rPr>
        <w:t xml:space="preserve"> поддержки Сторон, действующих в соответствии с пунктом 1 статьи 5 (Сторон, действующих в рамках статьи 5), и представить ее через Рабочую группу открытого состава на ее </w:t>
      </w:r>
      <w:r w:rsidR="002779D8">
        <w:rPr>
          <w:sz w:val="20"/>
          <w:szCs w:val="20"/>
          <w:lang w:val="ru-RU"/>
        </w:rPr>
        <w:t>сорок</w:t>
      </w:r>
      <w:r w:rsidR="002779D8" w:rsidRPr="00502C0C">
        <w:rPr>
          <w:sz w:val="20"/>
          <w:szCs w:val="20"/>
          <w:lang w:val="ru-RU"/>
        </w:rPr>
        <w:t xml:space="preserve"> </w:t>
      </w:r>
      <w:r w:rsidRPr="00502C0C">
        <w:rPr>
          <w:sz w:val="20"/>
          <w:szCs w:val="20"/>
          <w:lang w:val="ru-RU"/>
        </w:rPr>
        <w:t>восьмом совещании для рассмотрения тридцать восьм</w:t>
      </w:r>
      <w:r w:rsidR="001320FF">
        <w:rPr>
          <w:sz w:val="20"/>
          <w:szCs w:val="20"/>
          <w:lang w:val="ru-RU"/>
        </w:rPr>
        <w:t>ы</w:t>
      </w:r>
      <w:r w:rsidRPr="00502C0C">
        <w:rPr>
          <w:sz w:val="20"/>
          <w:szCs w:val="20"/>
          <w:lang w:val="ru-RU"/>
        </w:rPr>
        <w:t xml:space="preserve">м Совещанием Сторон. Резюме доклада, полученное от Группы, приводится без официального редактирования в приложении I к настоящему </w:t>
      </w:r>
      <w:r w:rsidR="002779D8">
        <w:rPr>
          <w:sz w:val="20"/>
          <w:szCs w:val="20"/>
          <w:lang w:val="ru-RU"/>
        </w:rPr>
        <w:t>добавлению</w:t>
      </w:r>
      <w:r w:rsidRPr="00502C0C">
        <w:rPr>
          <w:sz w:val="20"/>
          <w:szCs w:val="20"/>
          <w:lang w:val="ru-RU"/>
        </w:rPr>
        <w:t xml:space="preserve">. </w:t>
      </w:r>
      <w:bookmarkStart w:id="12" w:name="_Hlk42353497"/>
    </w:p>
    <w:bookmarkEnd w:id="12"/>
    <w:p w14:paraId="54506917" w14:textId="1495C62D" w:rsidR="00E62558" w:rsidRPr="00502C0C" w:rsidRDefault="00A84A35" w:rsidP="00DD181C">
      <w:pPr>
        <w:pStyle w:val="Normalnumber"/>
        <w:tabs>
          <w:tab w:val="left" w:pos="624"/>
        </w:tabs>
        <w:ind w:left="1247"/>
        <w:rPr>
          <w:sz w:val="20"/>
          <w:szCs w:val="20"/>
          <w:lang w:val="ru-RU"/>
        </w:rPr>
      </w:pPr>
      <w:r w:rsidRPr="00502C0C">
        <w:rPr>
          <w:sz w:val="20"/>
          <w:szCs w:val="20"/>
          <w:lang w:val="ru-RU"/>
        </w:rPr>
        <w:t>В докладе целевая группа в нескольких главах и приложениях представляет подробный анализ своих оценок потребностей в финансировании на трехгодичный период 2027</w:t>
      </w:r>
      <w:r w:rsidR="00B06737" w:rsidRPr="002779D8">
        <w:rPr>
          <w:sz w:val="20"/>
          <w:szCs w:val="20"/>
          <w:lang w:val="ru-RU"/>
        </w:rPr>
        <w:noBreakHyphen/>
      </w:r>
      <w:r w:rsidRPr="00502C0C">
        <w:rPr>
          <w:sz w:val="20"/>
          <w:szCs w:val="20"/>
          <w:lang w:val="ru-RU"/>
        </w:rPr>
        <w:t>2029</w:t>
      </w:r>
      <w:r w:rsidR="00B06737">
        <w:rPr>
          <w:sz w:val="20"/>
          <w:szCs w:val="20"/>
        </w:rPr>
        <w:t> </w:t>
      </w:r>
      <w:r w:rsidRPr="00502C0C">
        <w:rPr>
          <w:sz w:val="20"/>
          <w:szCs w:val="20"/>
          <w:lang w:val="ru-RU"/>
        </w:rPr>
        <w:t>годов, а также ориентировочные суммы на трехгодичные периоды 2030–2032 и 2033–2035 годов. Для подготовки оценок использовались данные, представленные Сторонами в секретариат в соответствии со статьей 7; информация, содержащаяся в плане работы Многостороннего фонда на период 2026–2028 годов; соответствующие решения Исполнительного комитета Многостороннего фонда, принятые на его совещаниях</w:t>
      </w:r>
      <w:r w:rsidR="003370A5" w:rsidRPr="00502C0C">
        <w:rPr>
          <w:sz w:val="20"/>
          <w:szCs w:val="20"/>
          <w:lang w:val="ru-RU"/>
        </w:rPr>
        <w:t xml:space="preserve"> </w:t>
      </w:r>
      <w:r w:rsidRPr="00502C0C">
        <w:rPr>
          <w:sz w:val="20"/>
          <w:szCs w:val="20"/>
          <w:lang w:val="ru-RU"/>
        </w:rPr>
        <w:t xml:space="preserve">до девяносто седьмого включительно; действующие руководящие </w:t>
      </w:r>
      <w:r w:rsidR="00135856" w:rsidRPr="00502C0C">
        <w:rPr>
          <w:sz w:val="20"/>
          <w:szCs w:val="20"/>
          <w:lang w:val="ru-RU"/>
        </w:rPr>
        <w:t>указания</w:t>
      </w:r>
      <w:r w:rsidRPr="00502C0C">
        <w:rPr>
          <w:sz w:val="20"/>
          <w:szCs w:val="20"/>
          <w:lang w:val="ru-RU"/>
        </w:rPr>
        <w:t xml:space="preserve"> для расчета </w:t>
      </w:r>
      <w:r w:rsidR="003370A5" w:rsidRPr="00502C0C">
        <w:rPr>
          <w:sz w:val="20"/>
          <w:szCs w:val="20"/>
          <w:lang w:val="ru-RU"/>
        </w:rPr>
        <w:t>расходов</w:t>
      </w:r>
      <w:r w:rsidRPr="00502C0C">
        <w:rPr>
          <w:sz w:val="20"/>
          <w:szCs w:val="20"/>
          <w:lang w:val="ru-RU"/>
        </w:rPr>
        <w:t>; существующие и рассчитанны</w:t>
      </w:r>
      <w:r w:rsidR="00CD135E">
        <w:rPr>
          <w:sz w:val="20"/>
          <w:szCs w:val="20"/>
          <w:lang w:val="ru-RU"/>
        </w:rPr>
        <w:t>е</w:t>
      </w:r>
      <w:r w:rsidRPr="00502C0C">
        <w:rPr>
          <w:sz w:val="20"/>
          <w:szCs w:val="20"/>
          <w:lang w:val="ru-RU"/>
        </w:rPr>
        <w:t xml:space="preserve"> экспертами </w:t>
      </w:r>
      <w:r w:rsidR="003370A5" w:rsidRPr="00502C0C">
        <w:rPr>
          <w:sz w:val="20"/>
          <w:szCs w:val="20"/>
          <w:lang w:val="ru-RU"/>
        </w:rPr>
        <w:t>значения для</w:t>
      </w:r>
      <w:r w:rsidRPr="00502C0C">
        <w:rPr>
          <w:sz w:val="20"/>
          <w:szCs w:val="20"/>
          <w:lang w:val="ru-RU"/>
        </w:rPr>
        <w:t xml:space="preserve"> экономической эффективности; а также соответствующая информация, </w:t>
      </w:r>
      <w:r w:rsidR="003370A5" w:rsidRPr="00502C0C">
        <w:rPr>
          <w:sz w:val="20"/>
          <w:szCs w:val="20"/>
          <w:lang w:val="ru-RU"/>
        </w:rPr>
        <w:t>предоставленная секретариатом</w:t>
      </w:r>
      <w:r w:rsidRPr="00502C0C">
        <w:rPr>
          <w:sz w:val="20"/>
          <w:szCs w:val="20"/>
          <w:lang w:val="ru-RU"/>
        </w:rPr>
        <w:t xml:space="preserve"> Многостороннего фонда и секретариат</w:t>
      </w:r>
      <w:r w:rsidR="003370A5" w:rsidRPr="00502C0C">
        <w:rPr>
          <w:sz w:val="20"/>
          <w:szCs w:val="20"/>
          <w:lang w:val="ru-RU"/>
        </w:rPr>
        <w:t>ом</w:t>
      </w:r>
      <w:r w:rsidRPr="00502C0C">
        <w:rPr>
          <w:sz w:val="20"/>
          <w:szCs w:val="20"/>
          <w:lang w:val="ru-RU"/>
        </w:rPr>
        <w:t xml:space="preserve"> по озону. </w:t>
      </w:r>
    </w:p>
    <w:p w14:paraId="0C92737B" w14:textId="76A5DE80" w:rsidR="007225B3" w:rsidRPr="00502C0C" w:rsidRDefault="00B21A41" w:rsidP="007136EB">
      <w:pPr>
        <w:pStyle w:val="Normalnumber"/>
        <w:tabs>
          <w:tab w:val="clear" w:pos="1361"/>
        </w:tabs>
        <w:ind w:left="1247"/>
        <w:rPr>
          <w:sz w:val="20"/>
          <w:szCs w:val="20"/>
          <w:lang w:val="ru-RU" w:eastAsia="en-GB"/>
        </w:rPr>
      </w:pPr>
      <w:r w:rsidRPr="00502C0C">
        <w:rPr>
          <w:sz w:val="20"/>
          <w:szCs w:val="20"/>
          <w:lang w:val="ru-RU"/>
        </w:rPr>
        <w:t xml:space="preserve">Сметные расходы охватывают мероприятия, связанные с поэтапным отказом от потребления и производства гидрохлорфторуглеродов (ГХФУ); с поэтапным сокращением потребления и производства гидрофторуглеродов (ГФУ), включая меры по предотвращению выбросов ГФУ-23 в качестве побочного продукта; а также с укреплением институционального потенциала и стандартными </w:t>
      </w:r>
      <w:r w:rsidR="00D407CB" w:rsidRPr="00502C0C">
        <w:rPr>
          <w:sz w:val="20"/>
          <w:szCs w:val="20"/>
          <w:lang w:val="ru-RU"/>
        </w:rPr>
        <w:t>мероприятиями</w:t>
      </w:r>
      <w:r w:rsidRPr="00502C0C">
        <w:rPr>
          <w:sz w:val="20"/>
          <w:szCs w:val="20"/>
          <w:lang w:val="ru-RU"/>
        </w:rPr>
        <w:t xml:space="preserve"> (т. е. расходы, связанные с Программой содействия соблюдению требований Программы Организации Объединенных Наций по окружающей среде, другими учреждениями-исполнителями, секретариатом Многостороннего фонда и казначеем Фонда). Финансирование мероприятий по повышению энергоэффективности, которое рассматривается в ряде решений Исполнительного комитета, также включено в расчетные потребности в финансировании на нужды поэтапного вывода из обращения ГХФУ и поэтапного сокращения оборота ГФУ в течение трехгодичного периода 2027–2029 годов. В сметные расходы для трехгодичных периодов 2027–2029 и 2030–2032 годов также включен </w:t>
      </w:r>
      <w:r w:rsidR="00135856" w:rsidRPr="00502C0C">
        <w:rPr>
          <w:sz w:val="20"/>
          <w:szCs w:val="20"/>
          <w:lang w:val="ru-RU"/>
        </w:rPr>
        <w:t>механизм финансирования</w:t>
      </w:r>
      <w:r w:rsidRPr="00502C0C">
        <w:rPr>
          <w:sz w:val="20"/>
          <w:szCs w:val="20"/>
          <w:lang w:val="ru-RU"/>
        </w:rPr>
        <w:t xml:space="preserve"> для </w:t>
      </w:r>
      <w:r w:rsidR="00135856" w:rsidRPr="00502C0C">
        <w:rPr>
          <w:sz w:val="20"/>
          <w:szCs w:val="20"/>
          <w:lang w:val="ru-RU"/>
        </w:rPr>
        <w:t>экспериментальных</w:t>
      </w:r>
      <w:r w:rsidRPr="00502C0C">
        <w:rPr>
          <w:sz w:val="20"/>
          <w:szCs w:val="20"/>
          <w:lang w:val="ru-RU"/>
        </w:rPr>
        <w:t xml:space="preserve"> проектов</w:t>
      </w:r>
      <w:r w:rsidR="00135856" w:rsidRPr="00502C0C">
        <w:rPr>
          <w:sz w:val="20"/>
          <w:szCs w:val="20"/>
          <w:lang w:val="ru-RU"/>
        </w:rPr>
        <w:t xml:space="preserve"> по</w:t>
      </w:r>
      <w:r w:rsidRPr="00502C0C">
        <w:rPr>
          <w:sz w:val="20"/>
          <w:szCs w:val="20"/>
          <w:lang w:val="ru-RU"/>
        </w:rPr>
        <w:t xml:space="preserve"> регионально</w:t>
      </w:r>
      <w:r w:rsidR="00135856" w:rsidRPr="00502C0C">
        <w:rPr>
          <w:sz w:val="20"/>
          <w:szCs w:val="20"/>
          <w:lang w:val="ru-RU"/>
        </w:rPr>
        <w:t>му</w:t>
      </w:r>
      <w:r w:rsidRPr="00502C0C">
        <w:rPr>
          <w:sz w:val="20"/>
          <w:szCs w:val="20"/>
          <w:lang w:val="ru-RU"/>
        </w:rPr>
        <w:t xml:space="preserve"> атмосферно</w:t>
      </w:r>
      <w:r w:rsidR="00135856" w:rsidRPr="00502C0C">
        <w:rPr>
          <w:sz w:val="20"/>
          <w:szCs w:val="20"/>
          <w:lang w:val="ru-RU"/>
        </w:rPr>
        <w:t>му</w:t>
      </w:r>
      <w:r w:rsidRPr="00502C0C">
        <w:rPr>
          <w:sz w:val="20"/>
          <w:szCs w:val="20"/>
          <w:lang w:val="ru-RU"/>
        </w:rPr>
        <w:t xml:space="preserve"> мониторинг</w:t>
      </w:r>
      <w:r w:rsidR="00135856" w:rsidRPr="00502C0C">
        <w:rPr>
          <w:sz w:val="20"/>
          <w:szCs w:val="20"/>
          <w:lang w:val="ru-RU"/>
        </w:rPr>
        <w:t>у</w:t>
      </w:r>
      <w:r w:rsidRPr="00502C0C">
        <w:rPr>
          <w:sz w:val="20"/>
          <w:szCs w:val="20"/>
          <w:lang w:val="ru-RU"/>
        </w:rPr>
        <w:t xml:space="preserve"> регулируемых веществ. Подробный анализ сметных расходов на мероприятия по повышению энергоэффективности и региональный атмосферный мониторинг изложен в главах 7 и 10 доклада целевой группы</w:t>
      </w:r>
      <w:r w:rsidR="000C3D65">
        <w:rPr>
          <w:sz w:val="20"/>
          <w:szCs w:val="20"/>
          <w:lang w:val="ru-RU"/>
        </w:rPr>
        <w:t>,</w:t>
      </w:r>
      <w:r w:rsidRPr="00502C0C">
        <w:rPr>
          <w:sz w:val="20"/>
          <w:szCs w:val="20"/>
          <w:lang w:val="ru-RU"/>
        </w:rPr>
        <w:t xml:space="preserve"> соответственно.</w:t>
      </w:r>
    </w:p>
    <w:p w14:paraId="6A9A5722" w14:textId="59043D45" w:rsidR="00135856" w:rsidRPr="00502C0C" w:rsidRDefault="00135856" w:rsidP="00470485">
      <w:pPr>
        <w:pStyle w:val="Normalnumber"/>
        <w:tabs>
          <w:tab w:val="clear" w:pos="1361"/>
        </w:tabs>
        <w:ind w:left="1247"/>
        <w:rPr>
          <w:sz w:val="20"/>
          <w:szCs w:val="20"/>
          <w:lang w:val="ru-RU" w:eastAsia="en-GB"/>
        </w:rPr>
      </w:pPr>
      <w:r w:rsidRPr="00502C0C">
        <w:rPr>
          <w:sz w:val="20"/>
          <w:szCs w:val="20"/>
          <w:lang w:val="ru-RU"/>
        </w:rPr>
        <w:t xml:space="preserve">В соответствии с решением </w:t>
      </w:r>
      <w:r w:rsidRPr="00502C0C">
        <w:rPr>
          <w:sz w:val="20"/>
          <w:szCs w:val="20"/>
        </w:rPr>
        <w:t>XXXVII</w:t>
      </w:r>
      <w:r w:rsidRPr="00502C0C">
        <w:rPr>
          <w:sz w:val="20"/>
          <w:szCs w:val="20"/>
          <w:lang w:val="ru-RU"/>
        </w:rPr>
        <w:t xml:space="preserve">/6, сметные расходы на удовлетворение особых потребностей стран с низким и очень низким объемом потребления были включены в общие сметные расходы для всех трех трехгодичных периодов с учетом соответствующих решений Исполнительного комитета. Хотя эти оценки были сделаны на основе действующих руководящих указаний для расчета расходов, дальнейший анализ особых потребностей этих стран, изложенный в главе 6 доклада целевой группы, указывает на необходимость </w:t>
      </w:r>
      <w:r w:rsidRPr="00502C0C">
        <w:rPr>
          <w:sz w:val="20"/>
          <w:szCs w:val="20"/>
          <w:lang w:val="ru-RU"/>
        </w:rPr>
        <w:lastRenderedPageBreak/>
        <w:t>предусмотреть более значительный объем финансирования для</w:t>
      </w:r>
      <w:r w:rsidR="002779D8">
        <w:rPr>
          <w:sz w:val="20"/>
          <w:szCs w:val="20"/>
          <w:lang w:val="ru-RU"/>
        </w:rPr>
        <w:t xml:space="preserve"> обзора</w:t>
      </w:r>
      <w:r w:rsidRPr="00502C0C">
        <w:rPr>
          <w:sz w:val="20"/>
          <w:szCs w:val="20"/>
          <w:lang w:val="ru-RU"/>
        </w:rPr>
        <w:t xml:space="preserve"> в рамках возможного пересмотра руководящих указаний для расчета расходов в 2028 году.</w:t>
      </w:r>
    </w:p>
    <w:p w14:paraId="4343236A" w14:textId="1A5043F3" w:rsidR="00135856" w:rsidRPr="00502C0C" w:rsidRDefault="00683F82" w:rsidP="007136EB">
      <w:pPr>
        <w:pStyle w:val="Normalnumber"/>
        <w:tabs>
          <w:tab w:val="clear" w:pos="1361"/>
        </w:tabs>
        <w:ind w:left="1247"/>
        <w:rPr>
          <w:sz w:val="20"/>
          <w:szCs w:val="20"/>
          <w:lang w:val="ru-RU"/>
        </w:rPr>
      </w:pPr>
      <w:r w:rsidRPr="00683F82">
        <w:rPr>
          <w:sz w:val="20"/>
          <w:szCs w:val="20"/>
          <w:lang w:val="ru-RU"/>
        </w:rPr>
        <w:t>Кроме того</w:t>
      </w:r>
      <w:r w:rsidR="00135856" w:rsidRPr="00502C0C">
        <w:rPr>
          <w:sz w:val="20"/>
          <w:szCs w:val="20"/>
          <w:lang w:val="ru-RU"/>
        </w:rPr>
        <w:t>, целевая группа отдельно рассмотрела вопросы, связанные с регулированием жизненного цикла хладагентов, и вопросы применения цифровых технологий в секторе обслуживания в главах 8 и 9</w:t>
      </w:r>
      <w:r w:rsidR="00325F34">
        <w:rPr>
          <w:sz w:val="20"/>
          <w:szCs w:val="20"/>
          <w:lang w:val="ru-RU"/>
        </w:rPr>
        <w:t>,</w:t>
      </w:r>
      <w:r w:rsidR="00135856" w:rsidRPr="00502C0C">
        <w:rPr>
          <w:sz w:val="20"/>
          <w:szCs w:val="20"/>
          <w:lang w:val="ru-RU"/>
        </w:rPr>
        <w:t xml:space="preserve"> соответственно. Хотя подробная информация по </w:t>
      </w:r>
      <w:r w:rsidR="003370A5" w:rsidRPr="00502C0C">
        <w:rPr>
          <w:sz w:val="20"/>
          <w:szCs w:val="20"/>
          <w:lang w:val="ru-RU"/>
        </w:rPr>
        <w:t>упомянутым</w:t>
      </w:r>
      <w:r w:rsidR="00135856" w:rsidRPr="00502C0C">
        <w:rPr>
          <w:sz w:val="20"/>
          <w:szCs w:val="20"/>
          <w:lang w:val="ru-RU"/>
        </w:rPr>
        <w:t xml:space="preserve"> темам была представлена для рассмотрения Сторонами, она не принималась во внимание при определении расчетных потребностей в финансировании для трех трехгодичных периодов.</w:t>
      </w:r>
    </w:p>
    <w:p w14:paraId="2ABDE06B" w14:textId="4BD7108F" w:rsidR="00E62558" w:rsidRPr="00502C0C" w:rsidRDefault="00135856" w:rsidP="007136EB">
      <w:pPr>
        <w:pStyle w:val="Normalnumber"/>
        <w:tabs>
          <w:tab w:val="clear" w:pos="1361"/>
        </w:tabs>
        <w:ind w:left="1247"/>
        <w:rPr>
          <w:sz w:val="20"/>
          <w:szCs w:val="20"/>
          <w:lang w:val="ru-RU"/>
        </w:rPr>
      </w:pPr>
      <w:r w:rsidRPr="00502C0C">
        <w:rPr>
          <w:sz w:val="20"/>
          <w:szCs w:val="20"/>
          <w:lang w:val="ru-RU"/>
        </w:rPr>
        <w:t>В отношении потребления ГХФУ целевая группа определила расчетные потребности в финансировании исходя из допущения о полном выводе этих веществ из обращения к 2030</w:t>
      </w:r>
      <w:r w:rsidR="00B06737">
        <w:rPr>
          <w:sz w:val="20"/>
          <w:szCs w:val="20"/>
        </w:rPr>
        <w:t> </w:t>
      </w:r>
      <w:r w:rsidRPr="00502C0C">
        <w:rPr>
          <w:sz w:val="20"/>
          <w:szCs w:val="20"/>
          <w:lang w:val="ru-RU"/>
        </w:rPr>
        <w:t>году при сохранении ограниченных квот на нужды обслуживания оборудования в период 2030–2040 годов</w:t>
      </w:r>
      <w:r w:rsidR="00E62558" w:rsidRPr="00502C0C">
        <w:rPr>
          <w:rStyle w:val="FootnoteReference"/>
          <w:szCs w:val="20"/>
          <w:lang w:val="ru-RU" w:eastAsia="en-GB"/>
        </w:rPr>
        <w:footnoteReference w:id="5"/>
      </w:r>
      <w:r w:rsidRPr="00502C0C">
        <w:rPr>
          <w:sz w:val="20"/>
          <w:szCs w:val="20"/>
          <w:lang w:val="ru-RU"/>
        </w:rPr>
        <w:t>.</w:t>
      </w:r>
      <w:r w:rsidR="00973FCC" w:rsidRPr="00502C0C">
        <w:rPr>
          <w:sz w:val="20"/>
          <w:szCs w:val="20"/>
          <w:lang w:val="ru-RU"/>
        </w:rPr>
        <w:t xml:space="preserve"> </w:t>
      </w:r>
      <w:r w:rsidRPr="00502C0C">
        <w:rPr>
          <w:sz w:val="20"/>
          <w:szCs w:val="20"/>
          <w:lang w:val="ru-RU"/>
        </w:rPr>
        <w:t>Кроме того, предполагается, что потребности в финансировании после 2030</w:t>
      </w:r>
      <w:r w:rsidR="00B06737">
        <w:rPr>
          <w:sz w:val="20"/>
          <w:szCs w:val="20"/>
        </w:rPr>
        <w:t> </w:t>
      </w:r>
      <w:r w:rsidRPr="00502C0C">
        <w:rPr>
          <w:sz w:val="20"/>
          <w:szCs w:val="20"/>
          <w:lang w:val="ru-RU"/>
        </w:rPr>
        <w:t xml:space="preserve">года будут в основном ограничиваться выплатами утвержденных траншей в рамках планов регулирования поэтапного вывода из обращения ГХФУ. Также целевая группа исходила из того, что 90 процентов средств, выделенных на осуществление планов </w:t>
      </w:r>
      <w:r w:rsidR="003370A5" w:rsidRPr="00502C0C">
        <w:rPr>
          <w:sz w:val="20"/>
          <w:szCs w:val="20"/>
          <w:lang w:val="ru-RU"/>
        </w:rPr>
        <w:t>регулирования поэтапного вывода из</w:t>
      </w:r>
      <w:r w:rsidRPr="00502C0C">
        <w:rPr>
          <w:sz w:val="20"/>
          <w:szCs w:val="20"/>
          <w:lang w:val="ru-RU"/>
        </w:rPr>
        <w:t xml:space="preserve"> обращения ГХФУ, будут распределены в течение трехгодичного периода 2027–2029 годов, а остальные 10 процентов – в течение трехгодичного периода 2030–2032 годов</w:t>
      </w:r>
      <w:r w:rsidR="00E62558" w:rsidRPr="00502C0C">
        <w:rPr>
          <w:rStyle w:val="FootnoteReference"/>
          <w:szCs w:val="20"/>
          <w:lang w:val="ru-RU" w:eastAsia="en-GB"/>
        </w:rPr>
        <w:footnoteReference w:id="6"/>
      </w:r>
      <w:r w:rsidRPr="00502C0C">
        <w:rPr>
          <w:sz w:val="20"/>
          <w:szCs w:val="20"/>
          <w:lang w:val="ru-RU"/>
        </w:rPr>
        <w:t>.</w:t>
      </w:r>
    </w:p>
    <w:p w14:paraId="51573572" w14:textId="66D98AC0" w:rsidR="00E62558" w:rsidRPr="00502C0C" w:rsidRDefault="00D407CB" w:rsidP="00DD181C">
      <w:pPr>
        <w:pStyle w:val="Normalnumber"/>
        <w:tabs>
          <w:tab w:val="left" w:pos="624"/>
        </w:tabs>
        <w:ind w:left="1247"/>
        <w:rPr>
          <w:sz w:val="20"/>
          <w:szCs w:val="20"/>
          <w:lang w:val="ru-RU" w:eastAsia="en-GB"/>
        </w:rPr>
      </w:pPr>
      <w:r w:rsidRPr="00502C0C">
        <w:rPr>
          <w:sz w:val="20"/>
          <w:szCs w:val="20"/>
          <w:lang w:val="ru-RU" w:eastAsia="en-GB"/>
        </w:rPr>
        <w:t xml:space="preserve">В целях выполнения изложенного в решении </w:t>
      </w:r>
      <w:r w:rsidRPr="00502C0C">
        <w:rPr>
          <w:sz w:val="20"/>
          <w:szCs w:val="20"/>
          <w:lang w:eastAsia="en-GB"/>
        </w:rPr>
        <w:t>XXXVII</w:t>
      </w:r>
      <w:r w:rsidRPr="00502C0C">
        <w:rPr>
          <w:sz w:val="20"/>
          <w:szCs w:val="20"/>
          <w:lang w:val="ru-RU" w:eastAsia="en-GB"/>
        </w:rPr>
        <w:t>/6 поручения Сторон разработать методологию, основанную на соблюдении и не зависящую от плана работы Многостороннего фонда, целевая группа подготовила два сценария обеспечения экономической эффективности для 15 Сторон, которые не относятся к категории стран с низким объемом потребления, но у которых сохранилось приемлемое производственное потребление: сценарий 1 для ГХФУ, основанный на исторических средних показателях экономической эффективности; и сценарий 2 для ГХФУ, основанный на пороговых значениях экономической эффективности, установленных в соответствии с действующими руководящими указаниями для расчета расходов</w:t>
      </w:r>
      <w:r w:rsidR="00E62558" w:rsidRPr="00502C0C">
        <w:rPr>
          <w:sz w:val="20"/>
          <w:szCs w:val="20"/>
          <w:lang w:val="ru-RU" w:eastAsia="en-GB"/>
        </w:rPr>
        <w:t>.</w:t>
      </w:r>
    </w:p>
    <w:p w14:paraId="12B80896" w14:textId="6B599A84" w:rsidR="00BE4664" w:rsidRPr="00502C0C" w:rsidRDefault="00D407CB" w:rsidP="00B06737">
      <w:pPr>
        <w:pStyle w:val="Normalnumber"/>
        <w:tabs>
          <w:tab w:val="left" w:pos="624"/>
        </w:tabs>
        <w:ind w:left="1247"/>
        <w:rPr>
          <w:sz w:val="20"/>
          <w:szCs w:val="20"/>
          <w:lang w:val="ru-RU" w:eastAsia="en-GB"/>
        </w:rPr>
      </w:pPr>
      <w:r w:rsidRPr="00502C0C">
        <w:rPr>
          <w:sz w:val="20"/>
          <w:szCs w:val="20"/>
          <w:lang w:val="ru-RU" w:eastAsia="en-GB"/>
        </w:rPr>
        <w:t xml:space="preserve">Что касается сектора производства ГХФУ, то в оценках объема финансирования учтены расходы на осуществление оставшихся планов регулирования поэтапного прекращения производства ГХФУ, связанные с одним проектом, для которого, как ожидается, потребуется финансирование в </w:t>
      </w:r>
      <w:r w:rsidR="003370A5" w:rsidRPr="00502C0C">
        <w:rPr>
          <w:sz w:val="20"/>
          <w:szCs w:val="20"/>
          <w:lang w:val="ru-RU" w:eastAsia="en-GB"/>
        </w:rPr>
        <w:t xml:space="preserve">ходе </w:t>
      </w:r>
      <w:r w:rsidRPr="00502C0C">
        <w:rPr>
          <w:sz w:val="20"/>
          <w:szCs w:val="20"/>
          <w:lang w:val="ru-RU" w:eastAsia="en-GB"/>
        </w:rPr>
        <w:t xml:space="preserve">трехгодичного периода 2027–2029 годов. </w:t>
      </w:r>
    </w:p>
    <w:p w14:paraId="19AA48AF" w14:textId="0194A94F" w:rsidR="00E62558" w:rsidRPr="00502C0C" w:rsidRDefault="003370A5" w:rsidP="00B06737">
      <w:pPr>
        <w:pStyle w:val="Normalnumber"/>
        <w:tabs>
          <w:tab w:val="left" w:pos="624"/>
        </w:tabs>
        <w:ind w:left="1247"/>
        <w:rPr>
          <w:sz w:val="20"/>
          <w:szCs w:val="20"/>
          <w:lang w:val="ru-RU" w:eastAsia="en-GB"/>
        </w:rPr>
      </w:pPr>
      <w:r w:rsidRPr="00502C0C">
        <w:rPr>
          <w:sz w:val="20"/>
          <w:szCs w:val="20"/>
          <w:lang w:val="ru-RU" w:eastAsia="en-GB"/>
        </w:rPr>
        <w:t>Что касается сектора потребления ГФУ, то полученный с помощью применявшейся методологии расчетный объем финансирования необходим для удовлетворения потребностей Сторон, действующих в рамках статьи 5, в целях соблюдения ими следующих графиков поэтапного сокращения оборота в соответствии с Кигалийской поправкой</w:t>
      </w:r>
      <w:r w:rsidR="00E62558" w:rsidRPr="00502C0C">
        <w:rPr>
          <w:sz w:val="20"/>
          <w:szCs w:val="20"/>
          <w:lang w:val="ru-RU" w:eastAsia="en-GB"/>
        </w:rPr>
        <w:t>:</w:t>
      </w:r>
    </w:p>
    <w:p w14:paraId="34B31520" w14:textId="3445FF58" w:rsidR="00E62558" w:rsidRPr="00502C0C" w:rsidRDefault="003370A5" w:rsidP="00B06737">
      <w:pPr>
        <w:pStyle w:val="Normalnumber"/>
        <w:numPr>
          <w:ilvl w:val="1"/>
          <w:numId w:val="1"/>
        </w:numPr>
        <w:tabs>
          <w:tab w:val="clear" w:pos="2495"/>
          <w:tab w:val="left" w:pos="624"/>
        </w:tabs>
        <w:ind w:left="1247" w:firstLine="624"/>
        <w:rPr>
          <w:sz w:val="20"/>
          <w:szCs w:val="20"/>
          <w:lang w:val="ru-RU" w:eastAsia="en-GB"/>
        </w:rPr>
      </w:pPr>
      <w:r w:rsidRPr="00502C0C">
        <w:rPr>
          <w:sz w:val="20"/>
          <w:szCs w:val="20"/>
          <w:lang w:val="ru-RU" w:eastAsia="en-GB"/>
        </w:rPr>
        <w:t xml:space="preserve">Стороны, входящие в группу 1 и действующие в рамках статьи 5: сокращение выбросов на 10 процентов по сравнению с базовым уровнем к 2029 году и на 30 процентов по сравнению с базовым уровнем к 2035 году; </w:t>
      </w:r>
    </w:p>
    <w:p w14:paraId="50F416F9" w14:textId="44B81F43" w:rsidR="00E62558" w:rsidRPr="00B06737" w:rsidRDefault="003370A5" w:rsidP="00B06737">
      <w:pPr>
        <w:pStyle w:val="Normalnumber"/>
        <w:numPr>
          <w:ilvl w:val="1"/>
          <w:numId w:val="1"/>
        </w:numPr>
        <w:tabs>
          <w:tab w:val="clear" w:pos="2495"/>
          <w:tab w:val="left" w:pos="624"/>
        </w:tabs>
        <w:ind w:left="1247" w:firstLine="624"/>
        <w:rPr>
          <w:sz w:val="20"/>
          <w:szCs w:val="20"/>
          <w:lang w:val="ru-RU" w:eastAsia="en-GB"/>
        </w:rPr>
      </w:pPr>
      <w:r w:rsidRPr="00B06737">
        <w:rPr>
          <w:sz w:val="20"/>
          <w:szCs w:val="20"/>
          <w:lang w:val="ru-RU" w:eastAsia="en-GB"/>
        </w:rPr>
        <w:t>Стороны, входящие в группу 2 и действующие в рамках статьи 5: замораживание на базовом уровне к 2028 году и сокращение на 10 процентов по сравнению с базовым уровнем к 2032 году</w:t>
      </w:r>
      <w:r w:rsidR="00A14382" w:rsidRPr="00B06737">
        <w:rPr>
          <w:sz w:val="20"/>
          <w:szCs w:val="20"/>
          <w:lang w:val="ru-RU" w:eastAsia="en-GB"/>
        </w:rPr>
        <w:t>.</w:t>
      </w:r>
    </w:p>
    <w:p w14:paraId="3F221D0F" w14:textId="350DF17C" w:rsidR="00E62558" w:rsidRPr="00502C0C" w:rsidRDefault="003370A5" w:rsidP="00DD181C">
      <w:pPr>
        <w:pStyle w:val="Normalnumber"/>
        <w:tabs>
          <w:tab w:val="left" w:pos="624"/>
        </w:tabs>
        <w:ind w:left="1247"/>
        <w:rPr>
          <w:sz w:val="20"/>
          <w:szCs w:val="20"/>
          <w:lang w:val="ru-RU" w:eastAsia="en-GB"/>
        </w:rPr>
      </w:pPr>
      <w:r w:rsidRPr="00502C0C">
        <w:rPr>
          <w:sz w:val="20"/>
          <w:szCs w:val="20"/>
          <w:lang w:val="ru-RU" w:eastAsia="en-GB"/>
        </w:rPr>
        <w:t>Хотя в анализе учитывается, что по состоянию на апрель 2026 года Кигалийскую поправку ратифицировали 125 из 144 Сторон, действующих в рамках статьи 5, в нем предполагается, что все оставшиеся Стороны ратифицируют эту поправку к 2029 году, в результате чего все Стороны, действующие в рамках статьи 5, получат право на финансирование в</w:t>
      </w:r>
      <w:r w:rsidR="002779D8">
        <w:rPr>
          <w:sz w:val="20"/>
          <w:szCs w:val="20"/>
          <w:lang w:val="ru-RU" w:eastAsia="en-GB"/>
        </w:rPr>
        <w:t xml:space="preserve"> течение</w:t>
      </w:r>
      <w:r w:rsidRPr="00502C0C">
        <w:rPr>
          <w:sz w:val="20"/>
          <w:szCs w:val="20"/>
          <w:lang w:val="ru-RU" w:eastAsia="en-GB"/>
        </w:rPr>
        <w:t xml:space="preserve"> трехгодичного периода 2027–2029 годов. </w:t>
      </w:r>
    </w:p>
    <w:p w14:paraId="1AC190AF" w14:textId="5BEBBBA6" w:rsidR="00E62558" w:rsidRPr="00502C0C" w:rsidRDefault="00F84532" w:rsidP="00DD181C">
      <w:pPr>
        <w:pStyle w:val="Normalnumber"/>
        <w:tabs>
          <w:tab w:val="left" w:pos="624"/>
        </w:tabs>
        <w:ind w:left="1247"/>
        <w:rPr>
          <w:sz w:val="20"/>
          <w:szCs w:val="20"/>
          <w:lang w:val="ru-RU" w:eastAsia="en-GB"/>
        </w:rPr>
      </w:pPr>
      <w:r w:rsidRPr="00502C0C">
        <w:rPr>
          <w:sz w:val="20"/>
          <w:szCs w:val="20"/>
          <w:lang w:val="ru-RU"/>
        </w:rPr>
        <w:t xml:space="preserve">Используемая модель основана на информации </w:t>
      </w:r>
      <w:r w:rsidR="003370A5" w:rsidRPr="00502C0C">
        <w:rPr>
          <w:sz w:val="20"/>
          <w:szCs w:val="20"/>
          <w:lang w:val="ru-RU"/>
        </w:rPr>
        <w:t>о базовом</w:t>
      </w:r>
      <w:r w:rsidRPr="00502C0C">
        <w:rPr>
          <w:sz w:val="20"/>
          <w:szCs w:val="20"/>
          <w:lang w:val="ru-RU"/>
        </w:rPr>
        <w:t xml:space="preserve"> уровне ГФУ, представленной секретариату, и позволяет </w:t>
      </w:r>
      <w:r w:rsidR="003370A5" w:rsidRPr="00502C0C">
        <w:rPr>
          <w:sz w:val="20"/>
          <w:szCs w:val="20"/>
          <w:lang w:val="ru-RU"/>
        </w:rPr>
        <w:t>определить</w:t>
      </w:r>
      <w:r w:rsidRPr="00502C0C">
        <w:rPr>
          <w:sz w:val="20"/>
          <w:szCs w:val="20"/>
          <w:lang w:val="ru-RU"/>
        </w:rPr>
        <w:t xml:space="preserve"> отсутствующие значения </w:t>
      </w:r>
      <w:r w:rsidR="003370A5" w:rsidRPr="00502C0C">
        <w:rPr>
          <w:sz w:val="20"/>
          <w:szCs w:val="20"/>
          <w:lang w:val="ru-RU"/>
        </w:rPr>
        <w:t>базовых уровней</w:t>
      </w:r>
      <w:r w:rsidRPr="00502C0C">
        <w:rPr>
          <w:sz w:val="20"/>
          <w:szCs w:val="20"/>
          <w:lang w:val="ru-RU"/>
        </w:rPr>
        <w:t xml:space="preserve"> с применением методологий, </w:t>
      </w:r>
      <w:r w:rsidR="003370A5" w:rsidRPr="00502C0C">
        <w:rPr>
          <w:sz w:val="20"/>
          <w:szCs w:val="20"/>
          <w:lang w:val="ru-RU"/>
        </w:rPr>
        <w:t>использованных</w:t>
      </w:r>
      <w:r w:rsidRPr="00502C0C">
        <w:rPr>
          <w:sz w:val="20"/>
          <w:szCs w:val="20"/>
          <w:lang w:val="ru-RU"/>
        </w:rPr>
        <w:t xml:space="preserve"> в предыдущих докладах целевой группы. Также она учитывает уже одобренные планы выполнения Кигалийской поправки в отношении ГФУ, </w:t>
      </w:r>
      <w:r w:rsidRPr="00502C0C">
        <w:rPr>
          <w:sz w:val="20"/>
          <w:szCs w:val="20"/>
          <w:lang w:val="ru-RU"/>
        </w:rPr>
        <w:lastRenderedPageBreak/>
        <w:t>использует существующие пороговые значения для экономической эффективности</w:t>
      </w:r>
      <w:r w:rsidR="003370A5" w:rsidRPr="00502C0C">
        <w:rPr>
          <w:sz w:val="20"/>
          <w:szCs w:val="20"/>
          <w:lang w:val="ru-RU"/>
        </w:rPr>
        <w:t xml:space="preserve"> и</w:t>
      </w:r>
      <w:r w:rsidRPr="00502C0C">
        <w:rPr>
          <w:sz w:val="20"/>
          <w:szCs w:val="20"/>
          <w:lang w:val="ru-RU"/>
        </w:rPr>
        <w:t xml:space="preserve"> оценки</w:t>
      </w:r>
      <w:r w:rsidR="003370A5" w:rsidRPr="00502C0C">
        <w:rPr>
          <w:sz w:val="20"/>
          <w:szCs w:val="20"/>
          <w:lang w:val="ru-RU"/>
        </w:rPr>
        <w:t xml:space="preserve"> экспертов</w:t>
      </w:r>
      <w:r w:rsidRPr="00502C0C">
        <w:rPr>
          <w:sz w:val="20"/>
          <w:szCs w:val="20"/>
          <w:lang w:val="ru-RU"/>
        </w:rPr>
        <w:t xml:space="preserve">, когда стандартные значения недоступны, </w:t>
      </w:r>
      <w:r w:rsidR="003370A5" w:rsidRPr="00502C0C">
        <w:rPr>
          <w:sz w:val="20"/>
          <w:szCs w:val="20"/>
          <w:lang w:val="ru-RU"/>
        </w:rPr>
        <w:t>а также</w:t>
      </w:r>
      <w:r w:rsidRPr="00502C0C">
        <w:rPr>
          <w:sz w:val="20"/>
          <w:szCs w:val="20"/>
          <w:lang w:val="ru-RU"/>
        </w:rPr>
        <w:t xml:space="preserve"> распределяет финансирование по трехгодичным периодам с учетом различных графиков осуществления, целевых показателей сокращения и циклов утверждения.</w:t>
      </w:r>
    </w:p>
    <w:p w14:paraId="3F8D83BF" w14:textId="16217178" w:rsidR="00135856" w:rsidRPr="00502C0C" w:rsidRDefault="003370A5" w:rsidP="00DD181C">
      <w:pPr>
        <w:pStyle w:val="Normalnumber"/>
        <w:tabs>
          <w:tab w:val="left" w:pos="624"/>
        </w:tabs>
        <w:ind w:left="1247"/>
        <w:rPr>
          <w:sz w:val="20"/>
          <w:szCs w:val="20"/>
          <w:lang w:val="ru-RU" w:eastAsia="en-GB"/>
        </w:rPr>
      </w:pPr>
      <w:r w:rsidRPr="00502C0C">
        <w:rPr>
          <w:sz w:val="20"/>
          <w:szCs w:val="20"/>
          <w:lang w:val="ru-RU"/>
        </w:rPr>
        <w:t>Чтобы представить расчетный диапазон,</w:t>
      </w:r>
      <w:r w:rsidR="00F84532" w:rsidRPr="00502C0C">
        <w:rPr>
          <w:sz w:val="20"/>
          <w:szCs w:val="20"/>
          <w:lang w:val="ru-RU"/>
        </w:rPr>
        <w:t xml:space="preserve"> целевая группа </w:t>
      </w:r>
      <w:r w:rsidRPr="00502C0C">
        <w:rPr>
          <w:sz w:val="20"/>
          <w:szCs w:val="20"/>
          <w:lang w:val="ru-RU"/>
        </w:rPr>
        <w:t xml:space="preserve">определила совокупные расходы на поэтапное сокращение оборота </w:t>
      </w:r>
      <w:r w:rsidR="00F84532" w:rsidRPr="00502C0C">
        <w:rPr>
          <w:sz w:val="20"/>
          <w:szCs w:val="20"/>
          <w:lang w:val="ru-RU"/>
        </w:rPr>
        <w:t xml:space="preserve">ГФУ </w:t>
      </w:r>
      <w:r w:rsidRPr="00502C0C">
        <w:rPr>
          <w:sz w:val="20"/>
          <w:szCs w:val="20"/>
          <w:lang w:val="ru-RU"/>
        </w:rPr>
        <w:t>в рамках</w:t>
      </w:r>
      <w:r w:rsidR="00F84532" w:rsidRPr="00502C0C">
        <w:rPr>
          <w:sz w:val="20"/>
          <w:szCs w:val="20"/>
          <w:lang w:val="ru-RU"/>
        </w:rPr>
        <w:t xml:space="preserve"> этапов </w:t>
      </w:r>
      <w:r w:rsidR="00F84532" w:rsidRPr="00502C0C">
        <w:rPr>
          <w:sz w:val="20"/>
          <w:szCs w:val="20"/>
        </w:rPr>
        <w:t>I</w:t>
      </w:r>
      <w:r w:rsidR="00F84532" w:rsidRPr="00502C0C">
        <w:rPr>
          <w:sz w:val="20"/>
          <w:szCs w:val="20"/>
          <w:lang w:val="ru-RU"/>
        </w:rPr>
        <w:t xml:space="preserve"> и </w:t>
      </w:r>
      <w:r w:rsidR="00F84532" w:rsidRPr="00502C0C">
        <w:rPr>
          <w:sz w:val="20"/>
          <w:szCs w:val="20"/>
        </w:rPr>
        <w:t>II</w:t>
      </w:r>
      <w:r w:rsidR="00F84532" w:rsidRPr="00502C0C">
        <w:rPr>
          <w:sz w:val="20"/>
          <w:szCs w:val="20"/>
          <w:lang w:val="ru-RU"/>
        </w:rPr>
        <w:t xml:space="preserve"> </w:t>
      </w:r>
      <w:r w:rsidRPr="00502C0C">
        <w:rPr>
          <w:sz w:val="20"/>
          <w:szCs w:val="20"/>
          <w:lang w:val="ru-RU"/>
        </w:rPr>
        <w:t>планов выполнения Кигалийской поправки в отношении ГФУ</w:t>
      </w:r>
      <w:r w:rsidR="00F84532" w:rsidRPr="00502C0C">
        <w:rPr>
          <w:sz w:val="20"/>
          <w:szCs w:val="20"/>
          <w:lang w:val="ru-RU"/>
        </w:rPr>
        <w:t xml:space="preserve"> </w:t>
      </w:r>
      <w:r w:rsidRPr="00502C0C">
        <w:rPr>
          <w:sz w:val="20"/>
          <w:szCs w:val="20"/>
          <w:lang w:val="ru-RU"/>
        </w:rPr>
        <w:t xml:space="preserve">в течение всех трех трехгодичных периодов </w:t>
      </w:r>
      <w:r w:rsidR="00F84532" w:rsidRPr="00502C0C">
        <w:rPr>
          <w:sz w:val="20"/>
          <w:szCs w:val="20"/>
          <w:lang w:val="ru-RU"/>
        </w:rPr>
        <w:t>с уч</w:t>
      </w:r>
      <w:r w:rsidRPr="00502C0C">
        <w:rPr>
          <w:sz w:val="20"/>
          <w:szCs w:val="20"/>
          <w:lang w:val="ru-RU"/>
        </w:rPr>
        <w:t>е</w:t>
      </w:r>
      <w:r w:rsidR="00F84532" w:rsidRPr="00502C0C">
        <w:rPr>
          <w:sz w:val="20"/>
          <w:szCs w:val="20"/>
          <w:lang w:val="ru-RU"/>
        </w:rPr>
        <w:t xml:space="preserve">том целевых показателей сокращения до 2035 года, </w:t>
      </w:r>
      <w:r w:rsidRPr="00502C0C">
        <w:rPr>
          <w:sz w:val="20"/>
          <w:szCs w:val="20"/>
          <w:lang w:val="ru-RU"/>
        </w:rPr>
        <w:t>а затем</w:t>
      </w:r>
      <w:r w:rsidR="00F84532" w:rsidRPr="00502C0C">
        <w:rPr>
          <w:sz w:val="20"/>
          <w:szCs w:val="20"/>
          <w:lang w:val="ru-RU"/>
        </w:rPr>
        <w:t xml:space="preserve"> применила два сценария финансирования: сценарий 1 </w:t>
      </w:r>
      <w:r w:rsidRPr="00502C0C">
        <w:rPr>
          <w:sz w:val="20"/>
          <w:szCs w:val="20"/>
          <w:lang w:val="ru-RU"/>
        </w:rPr>
        <w:t xml:space="preserve">для </w:t>
      </w:r>
      <w:r w:rsidR="00F84532" w:rsidRPr="00502C0C">
        <w:rPr>
          <w:sz w:val="20"/>
          <w:szCs w:val="20"/>
          <w:lang w:val="ru-RU"/>
        </w:rPr>
        <w:t xml:space="preserve">ГФУ, предусматривающий </w:t>
      </w:r>
      <w:r w:rsidRPr="00502C0C">
        <w:rPr>
          <w:sz w:val="20"/>
          <w:szCs w:val="20"/>
          <w:lang w:val="ru-RU"/>
        </w:rPr>
        <w:t>использование</w:t>
      </w:r>
      <w:r w:rsidR="00F84532" w:rsidRPr="00502C0C">
        <w:rPr>
          <w:sz w:val="20"/>
          <w:szCs w:val="20"/>
          <w:lang w:val="ru-RU"/>
        </w:rPr>
        <w:t xml:space="preserve"> пороговых значений экономической эффективности в соответствии с руководящими указаниями </w:t>
      </w:r>
      <w:r w:rsidRPr="00502C0C">
        <w:rPr>
          <w:sz w:val="20"/>
          <w:szCs w:val="20"/>
          <w:lang w:val="ru-RU"/>
        </w:rPr>
        <w:t>для расчета расходов</w:t>
      </w:r>
      <w:r w:rsidR="00F84532" w:rsidRPr="00502C0C">
        <w:rPr>
          <w:sz w:val="20"/>
          <w:szCs w:val="20"/>
          <w:lang w:val="ru-RU"/>
        </w:rPr>
        <w:t xml:space="preserve"> или оценк</w:t>
      </w:r>
      <w:r w:rsidRPr="00502C0C">
        <w:rPr>
          <w:sz w:val="20"/>
          <w:szCs w:val="20"/>
          <w:lang w:val="ru-RU"/>
        </w:rPr>
        <w:t>ами целевой группы</w:t>
      </w:r>
      <w:r w:rsidR="00F84532" w:rsidRPr="00502C0C">
        <w:rPr>
          <w:sz w:val="20"/>
          <w:szCs w:val="20"/>
          <w:lang w:val="ru-RU"/>
        </w:rPr>
        <w:t xml:space="preserve"> без уч</w:t>
      </w:r>
      <w:r w:rsidRPr="00502C0C">
        <w:rPr>
          <w:sz w:val="20"/>
          <w:szCs w:val="20"/>
          <w:lang w:val="ru-RU"/>
        </w:rPr>
        <w:t>е</w:t>
      </w:r>
      <w:r w:rsidR="00F84532" w:rsidRPr="00502C0C">
        <w:rPr>
          <w:sz w:val="20"/>
          <w:szCs w:val="20"/>
          <w:lang w:val="ru-RU"/>
        </w:rPr>
        <w:t>та малых и средних предприятий; и сценарий 2</w:t>
      </w:r>
      <w:r w:rsidRPr="00502C0C">
        <w:rPr>
          <w:sz w:val="20"/>
          <w:szCs w:val="20"/>
          <w:lang w:val="ru-RU"/>
        </w:rPr>
        <w:t xml:space="preserve"> для</w:t>
      </w:r>
      <w:r w:rsidR="00F84532" w:rsidRPr="00502C0C">
        <w:rPr>
          <w:sz w:val="20"/>
          <w:szCs w:val="20"/>
          <w:lang w:val="ru-RU"/>
        </w:rPr>
        <w:t xml:space="preserve"> ГФУ, предусматривающий применение скорректированных пороговых значений экономической эффективности с уч</w:t>
      </w:r>
      <w:r w:rsidRPr="00502C0C">
        <w:rPr>
          <w:sz w:val="20"/>
          <w:szCs w:val="20"/>
          <w:lang w:val="ru-RU"/>
        </w:rPr>
        <w:t>е</w:t>
      </w:r>
      <w:r w:rsidR="00F84532" w:rsidRPr="00502C0C">
        <w:rPr>
          <w:sz w:val="20"/>
          <w:szCs w:val="20"/>
          <w:lang w:val="ru-RU"/>
        </w:rPr>
        <w:t>том малых и средних предприятий.</w:t>
      </w:r>
    </w:p>
    <w:p w14:paraId="4F47D4E8" w14:textId="0B77F6D6" w:rsidR="00135856" w:rsidRPr="00502C0C" w:rsidRDefault="00135856" w:rsidP="00135856">
      <w:pPr>
        <w:pStyle w:val="Normalnumber"/>
        <w:tabs>
          <w:tab w:val="left" w:pos="624"/>
        </w:tabs>
        <w:ind w:left="1247"/>
        <w:rPr>
          <w:sz w:val="20"/>
          <w:szCs w:val="20"/>
          <w:lang w:val="ru-RU" w:eastAsia="en-GB"/>
        </w:rPr>
      </w:pPr>
      <w:r w:rsidRPr="00502C0C">
        <w:rPr>
          <w:sz w:val="20"/>
          <w:szCs w:val="20"/>
          <w:lang w:val="ru-RU" w:eastAsia="en-GB"/>
        </w:rPr>
        <w:t xml:space="preserve">Кроме того, для каждого сценария целевая группа предлагает два графика распределения ресурсов (А и В), приведенные в таблице 1.4 доклада целевой группы, которые отличаются распределением финансирования в ходе трехгодичных периодов: график А </w:t>
      </w:r>
      <w:r w:rsidRPr="00502C0C">
        <w:rPr>
          <w:sz w:val="20"/>
          <w:szCs w:val="20"/>
          <w:lang w:val="ru-RU"/>
        </w:rPr>
        <w:t xml:space="preserve">отражает ускоренное финансирование с опережающим </w:t>
      </w:r>
      <w:r w:rsidR="00D407CB" w:rsidRPr="00502C0C">
        <w:rPr>
          <w:sz w:val="20"/>
          <w:szCs w:val="20"/>
          <w:lang w:val="ru-RU"/>
        </w:rPr>
        <w:t>выделение</w:t>
      </w:r>
      <w:r w:rsidR="000A0EDD">
        <w:rPr>
          <w:sz w:val="20"/>
          <w:szCs w:val="20"/>
          <w:lang w:val="ru-RU"/>
        </w:rPr>
        <w:t>м</w:t>
      </w:r>
      <w:r w:rsidRPr="00502C0C">
        <w:rPr>
          <w:sz w:val="20"/>
          <w:szCs w:val="20"/>
          <w:lang w:val="ru-RU"/>
        </w:rPr>
        <w:t xml:space="preserve"> средств, тогда как график В предполагает постепенное выделение средств в</w:t>
      </w:r>
      <w:r w:rsidR="002779D8">
        <w:rPr>
          <w:sz w:val="20"/>
          <w:szCs w:val="20"/>
          <w:lang w:val="ru-RU"/>
        </w:rPr>
        <w:t xml:space="preserve"> течение </w:t>
      </w:r>
      <w:r w:rsidRPr="00502C0C">
        <w:rPr>
          <w:sz w:val="20"/>
          <w:szCs w:val="20"/>
          <w:lang w:val="ru-RU"/>
        </w:rPr>
        <w:t>последующих трехгодичных периодов</w:t>
      </w:r>
      <w:r w:rsidRPr="00502C0C">
        <w:rPr>
          <w:sz w:val="20"/>
          <w:szCs w:val="20"/>
          <w:lang w:val="ru-RU" w:eastAsia="en-GB"/>
        </w:rPr>
        <w:t xml:space="preserve">. </w:t>
      </w:r>
    </w:p>
    <w:p w14:paraId="67FD78CC" w14:textId="64B466FE" w:rsidR="00135856" w:rsidRPr="00502C0C" w:rsidRDefault="00135856" w:rsidP="00135856">
      <w:pPr>
        <w:pStyle w:val="Normalnumber"/>
        <w:tabs>
          <w:tab w:val="left" w:pos="624"/>
        </w:tabs>
        <w:ind w:left="1247"/>
        <w:rPr>
          <w:sz w:val="20"/>
          <w:szCs w:val="20"/>
          <w:lang w:val="ru-RU" w:eastAsia="en-GB"/>
        </w:rPr>
      </w:pPr>
      <w:r w:rsidRPr="00502C0C">
        <w:rPr>
          <w:sz w:val="20"/>
          <w:szCs w:val="20"/>
          <w:lang w:val="ru-RU" w:eastAsia="en-GB"/>
        </w:rPr>
        <w:t>Дополнительные допущения включают средние затраты на обеспечени</w:t>
      </w:r>
      <w:r w:rsidR="003370A5" w:rsidRPr="00502C0C">
        <w:rPr>
          <w:sz w:val="20"/>
          <w:szCs w:val="20"/>
          <w:lang w:val="ru-RU" w:eastAsia="en-GB"/>
        </w:rPr>
        <w:t>е</w:t>
      </w:r>
      <w:r w:rsidRPr="00502C0C">
        <w:rPr>
          <w:sz w:val="20"/>
          <w:szCs w:val="20"/>
          <w:lang w:val="ru-RU" w:eastAsia="en-GB"/>
        </w:rPr>
        <w:t xml:space="preserve"> учреждений в размере 9,6 процента и вычет в размере 15 процентов, применяемый в отношении иностранно</w:t>
      </w:r>
      <w:r w:rsidR="000A0EDD">
        <w:rPr>
          <w:sz w:val="20"/>
          <w:szCs w:val="20"/>
          <w:lang w:val="ru-RU" w:eastAsia="en-GB"/>
        </w:rPr>
        <w:t>й</w:t>
      </w:r>
      <w:r w:rsidRPr="00502C0C">
        <w:rPr>
          <w:sz w:val="20"/>
          <w:szCs w:val="20"/>
          <w:lang w:val="ru-RU" w:eastAsia="en-GB"/>
        </w:rPr>
        <w:t xml:space="preserve"> собственности в производственных секторах.</w:t>
      </w:r>
    </w:p>
    <w:p w14:paraId="32DA5D76" w14:textId="7ACC2B7D" w:rsidR="00135856" w:rsidRPr="00502C0C" w:rsidRDefault="00135856" w:rsidP="00135856">
      <w:pPr>
        <w:pStyle w:val="Normalnumber"/>
        <w:tabs>
          <w:tab w:val="left" w:pos="624"/>
        </w:tabs>
        <w:ind w:left="1247"/>
        <w:rPr>
          <w:sz w:val="20"/>
          <w:szCs w:val="20"/>
          <w:lang w:val="ru-RU" w:eastAsia="en-GB"/>
        </w:rPr>
      </w:pPr>
      <w:r w:rsidRPr="00502C0C">
        <w:rPr>
          <w:sz w:val="20"/>
          <w:szCs w:val="20"/>
          <w:lang w:val="ru-RU" w:eastAsia="en-GB"/>
        </w:rPr>
        <w:t xml:space="preserve">Что касается сектора производства ГФУ, то сметные расходы на 2027–2029 годы включают подготовку проектов, планы осуществления мероприятия по поэтапному </w:t>
      </w:r>
      <w:r w:rsidR="002779D8">
        <w:rPr>
          <w:sz w:val="20"/>
          <w:szCs w:val="20"/>
          <w:lang w:val="ru-RU" w:eastAsia="en-GB"/>
        </w:rPr>
        <w:t xml:space="preserve">прекращению производства </w:t>
      </w:r>
      <w:r w:rsidRPr="00502C0C">
        <w:rPr>
          <w:sz w:val="20"/>
          <w:szCs w:val="20"/>
          <w:lang w:val="ru-RU" w:eastAsia="en-GB"/>
        </w:rPr>
        <w:t>ГФУ в соответствии с Кигалийской поправкой для двух Сторон, а также проекты по предотвращению выбросов ГФУ-23 и соответствующую подготовительную работу для четырех Сторон, действующих в рамках статьи 5.</w:t>
      </w:r>
    </w:p>
    <w:p w14:paraId="018AB77D" w14:textId="38B49D7C" w:rsidR="00D407CB" w:rsidRPr="00502C0C" w:rsidRDefault="00135856" w:rsidP="00F4526B">
      <w:pPr>
        <w:pStyle w:val="Normalnumber"/>
        <w:tabs>
          <w:tab w:val="left" w:pos="624"/>
        </w:tabs>
        <w:ind w:left="1247"/>
        <w:rPr>
          <w:sz w:val="20"/>
          <w:szCs w:val="20"/>
          <w:lang w:val="ru-RU"/>
        </w:rPr>
      </w:pPr>
      <w:r w:rsidRPr="00502C0C">
        <w:rPr>
          <w:sz w:val="20"/>
          <w:szCs w:val="20"/>
          <w:lang w:val="ru-RU"/>
        </w:rPr>
        <w:t xml:space="preserve">На основе подробного анализа целевая группа дала следующую оценку </w:t>
      </w:r>
      <w:r w:rsidR="00D407CB" w:rsidRPr="00502C0C">
        <w:rPr>
          <w:sz w:val="20"/>
          <w:szCs w:val="20"/>
          <w:lang w:val="ru-RU"/>
        </w:rPr>
        <w:t>общих</w:t>
      </w:r>
      <w:r w:rsidRPr="00502C0C">
        <w:rPr>
          <w:sz w:val="20"/>
          <w:szCs w:val="20"/>
          <w:lang w:val="ru-RU"/>
        </w:rPr>
        <w:t xml:space="preserve"> потребност</w:t>
      </w:r>
      <w:r w:rsidR="00D407CB" w:rsidRPr="00502C0C">
        <w:rPr>
          <w:sz w:val="20"/>
          <w:szCs w:val="20"/>
          <w:lang w:val="ru-RU"/>
        </w:rPr>
        <w:t>ей</w:t>
      </w:r>
      <w:r w:rsidRPr="00502C0C">
        <w:rPr>
          <w:sz w:val="20"/>
          <w:szCs w:val="20"/>
          <w:lang w:val="ru-RU"/>
        </w:rPr>
        <w:t xml:space="preserve"> в финансировании для пополнения Многостороннего фонда на трехгодичный период 2027–2029 годов: в диапазоне от 1,282 до 1,361 млрд долл. США (нижний диапазон) и в диапазоне от 1,672 до 1,755 млрд долл. США (верхний диапазон), как показано в таблице 1</w:t>
      </w:r>
      <w:r w:rsidR="001D29CA" w:rsidRPr="00502C0C">
        <w:rPr>
          <w:sz w:val="20"/>
          <w:szCs w:val="20"/>
          <w:lang w:val="ru-RU"/>
        </w:rPr>
        <w:t xml:space="preserve">. </w:t>
      </w:r>
      <w:r w:rsidR="003370A5" w:rsidRPr="00502C0C">
        <w:rPr>
          <w:sz w:val="20"/>
          <w:szCs w:val="20"/>
          <w:lang w:val="ru-RU"/>
        </w:rPr>
        <w:t>Общие</w:t>
      </w:r>
      <w:r w:rsidR="00D407CB" w:rsidRPr="00502C0C">
        <w:rPr>
          <w:sz w:val="20"/>
          <w:szCs w:val="20"/>
          <w:lang w:val="ru-RU"/>
        </w:rPr>
        <w:t xml:space="preserve"> диапазоны</w:t>
      </w:r>
      <w:r w:rsidR="001D29CA" w:rsidRPr="00502C0C">
        <w:rPr>
          <w:sz w:val="20"/>
          <w:szCs w:val="20"/>
          <w:lang w:val="ru-RU"/>
        </w:rPr>
        <w:t xml:space="preserve"> потребност</w:t>
      </w:r>
      <w:r w:rsidRPr="00502C0C">
        <w:rPr>
          <w:sz w:val="20"/>
          <w:szCs w:val="20"/>
          <w:lang w:val="ru-RU"/>
        </w:rPr>
        <w:t>ей</w:t>
      </w:r>
      <w:r w:rsidR="001D29CA" w:rsidRPr="00502C0C">
        <w:rPr>
          <w:sz w:val="20"/>
          <w:szCs w:val="20"/>
          <w:lang w:val="ru-RU"/>
        </w:rPr>
        <w:t xml:space="preserve"> в финансировании рассчитываются на основе различных сценариев и графиков распределения ресурсов для поэтапного вывода из обращения ГХФУ и поэтапного сокращения оборота ГФУ. Подробная информация о методологии оценки приведен</w:t>
      </w:r>
      <w:r w:rsidR="000A0EDD">
        <w:rPr>
          <w:sz w:val="20"/>
          <w:szCs w:val="20"/>
          <w:lang w:val="ru-RU"/>
        </w:rPr>
        <w:t>а</w:t>
      </w:r>
      <w:r w:rsidR="001D29CA" w:rsidRPr="00502C0C">
        <w:rPr>
          <w:sz w:val="20"/>
          <w:szCs w:val="20"/>
          <w:lang w:val="ru-RU"/>
        </w:rPr>
        <w:t xml:space="preserve"> в приложениях к докладу. </w:t>
      </w:r>
    </w:p>
    <w:p w14:paraId="3EEBC626" w14:textId="75541165" w:rsidR="00D407CB" w:rsidRPr="00C66A9A" w:rsidRDefault="00D407CB" w:rsidP="00B06737">
      <w:pPr>
        <w:pStyle w:val="Titletable"/>
        <w:keepNext w:val="0"/>
        <w:keepLines w:val="0"/>
        <w:tabs>
          <w:tab w:val="clear" w:pos="624"/>
          <w:tab w:val="clear" w:pos="1247"/>
          <w:tab w:val="clear" w:pos="1871"/>
          <w:tab w:val="clear" w:pos="2495"/>
          <w:tab w:val="clear" w:pos="3119"/>
          <w:tab w:val="clear" w:pos="3742"/>
          <w:tab w:val="clear" w:pos="4366"/>
          <w:tab w:val="clear" w:pos="4990"/>
        </w:tabs>
        <w:rPr>
          <w:lang w:val="ru-RU"/>
        </w:rPr>
      </w:pPr>
      <w:bookmarkStart w:id="13" w:name="_Hlk42177853"/>
      <w:r w:rsidRPr="00B06737">
        <w:rPr>
          <w:b w:val="0"/>
          <w:bCs w:val="0"/>
          <w:lang w:val="ru-RU"/>
        </w:rPr>
        <w:t xml:space="preserve">Таблица 1 </w:t>
      </w:r>
      <w:r w:rsidR="00B06737" w:rsidRPr="002779D8">
        <w:rPr>
          <w:b w:val="0"/>
          <w:bCs w:val="0"/>
          <w:lang w:val="ru-RU"/>
        </w:rPr>
        <w:br/>
      </w:r>
      <w:r w:rsidRPr="00C66A9A">
        <w:rPr>
          <w:lang w:val="ru-RU"/>
        </w:rPr>
        <w:t>Расчетные общие потребности в финансировании для пополнения Многостороннего фонда на трехгодичный период 2027–2029 годов: диапазоны для сценариев максимума и</w:t>
      </w:r>
      <w:r w:rsidR="000A0EDD">
        <w:rPr>
          <w:lang w:val="ru-RU"/>
        </w:rPr>
        <w:t> </w:t>
      </w:r>
      <w:r w:rsidRPr="00C66A9A">
        <w:rPr>
          <w:lang w:val="ru-RU"/>
        </w:rPr>
        <w:t xml:space="preserve">минимума </w:t>
      </w:r>
    </w:p>
    <w:p w14:paraId="761D78AB" w14:textId="77777777" w:rsidR="00D407CB" w:rsidRPr="00B06737" w:rsidRDefault="00D407CB" w:rsidP="00B06737">
      <w:pPr>
        <w:pStyle w:val="Titletable"/>
        <w:keepNext w:val="0"/>
        <w:keepLines w:val="0"/>
        <w:tabs>
          <w:tab w:val="clear" w:pos="624"/>
          <w:tab w:val="clear" w:pos="1247"/>
          <w:tab w:val="clear" w:pos="1871"/>
          <w:tab w:val="clear" w:pos="2495"/>
          <w:tab w:val="clear" w:pos="3119"/>
          <w:tab w:val="clear" w:pos="3742"/>
          <w:tab w:val="clear" w:pos="4366"/>
          <w:tab w:val="clear" w:pos="4990"/>
        </w:tabs>
        <w:rPr>
          <w:b w:val="0"/>
          <w:bCs w:val="0"/>
          <w:sz w:val="18"/>
          <w:szCs w:val="18"/>
        </w:rPr>
      </w:pPr>
      <w:r w:rsidRPr="00B06737">
        <w:rPr>
          <w:b w:val="0"/>
          <w:bCs w:val="0"/>
          <w:sz w:val="18"/>
          <w:szCs w:val="18"/>
          <w:lang w:val="ru-RU"/>
        </w:rPr>
        <w:t>(млн долл. США)</w:t>
      </w:r>
    </w:p>
    <w:tbl>
      <w:tblPr>
        <w:tblW w:w="8307" w:type="dxa"/>
        <w:jc w:val="right"/>
        <w:tblLayout w:type="fixed"/>
        <w:tblCellMar>
          <w:left w:w="0" w:type="dxa"/>
          <w:right w:w="0" w:type="dxa"/>
        </w:tblCellMar>
        <w:tblLook w:val="04A0" w:firstRow="1" w:lastRow="0" w:firstColumn="1" w:lastColumn="0" w:noHBand="0" w:noVBand="1"/>
      </w:tblPr>
      <w:tblGrid>
        <w:gridCol w:w="4680"/>
        <w:gridCol w:w="1813"/>
        <w:gridCol w:w="1814"/>
      </w:tblGrid>
      <w:tr w:rsidR="00D407CB" w:rsidRPr="00C66A9A" w14:paraId="01917B81" w14:textId="77777777" w:rsidTr="00F05285">
        <w:trPr>
          <w:trHeight w:val="57"/>
          <w:jc w:val="right"/>
        </w:trPr>
        <w:tc>
          <w:tcPr>
            <w:tcW w:w="2817" w:type="pct"/>
            <w:tcBorders>
              <w:top w:val="single" w:sz="4" w:space="0" w:color="auto"/>
              <w:bottom w:val="single" w:sz="12" w:space="0" w:color="auto"/>
            </w:tcBorders>
            <w:noWrap/>
            <w:tcMar>
              <w:top w:w="0" w:type="dxa"/>
              <w:left w:w="108" w:type="dxa"/>
              <w:bottom w:w="0" w:type="dxa"/>
              <w:right w:w="108" w:type="dxa"/>
            </w:tcMar>
            <w:hideMark/>
          </w:tcPr>
          <w:p w14:paraId="63AB224B" w14:textId="77777777" w:rsidR="00D407CB" w:rsidRPr="00C66A9A" w:rsidRDefault="00D407CB" w:rsidP="00B06737">
            <w:pPr>
              <w:pStyle w:val="Normal-pool-Table"/>
              <w:tabs>
                <w:tab w:val="clear" w:pos="624"/>
                <w:tab w:val="clear" w:pos="1247"/>
                <w:tab w:val="clear" w:pos="1871"/>
                <w:tab w:val="clear" w:pos="2495"/>
                <w:tab w:val="clear" w:pos="3119"/>
                <w:tab w:val="clear" w:pos="3742"/>
                <w:tab w:val="clear" w:pos="4366"/>
                <w:tab w:val="clear" w:pos="4990"/>
              </w:tabs>
              <w:spacing w:before="20" w:after="20"/>
              <w:rPr>
                <w:i/>
              </w:rPr>
            </w:pPr>
            <w:r w:rsidRPr="00C66A9A">
              <w:rPr>
                <w:i/>
                <w:iCs/>
                <w:color w:val="000000"/>
                <w:lang w:val="ru-RU"/>
              </w:rPr>
              <w:t>Трехгодичный период 2027–2029 годов</w:t>
            </w:r>
          </w:p>
        </w:tc>
        <w:tc>
          <w:tcPr>
            <w:tcW w:w="1091" w:type="pct"/>
            <w:tcBorders>
              <w:top w:val="single" w:sz="4" w:space="0" w:color="auto"/>
              <w:bottom w:val="single" w:sz="12" w:space="0" w:color="auto"/>
            </w:tcBorders>
            <w:tcMar>
              <w:top w:w="0" w:type="dxa"/>
              <w:left w:w="108" w:type="dxa"/>
              <w:bottom w:w="0" w:type="dxa"/>
              <w:right w:w="108" w:type="dxa"/>
            </w:tcMar>
            <w:hideMark/>
          </w:tcPr>
          <w:p w14:paraId="374F7FEC" w14:textId="77777777" w:rsidR="00D407CB" w:rsidRPr="00C66A9A" w:rsidRDefault="00D407CB" w:rsidP="00B06737">
            <w:pPr>
              <w:pStyle w:val="Normal-pool-Table"/>
              <w:tabs>
                <w:tab w:val="clear" w:pos="624"/>
                <w:tab w:val="clear" w:pos="1247"/>
                <w:tab w:val="clear" w:pos="1871"/>
                <w:tab w:val="clear" w:pos="2495"/>
                <w:tab w:val="clear" w:pos="3119"/>
                <w:tab w:val="clear" w:pos="3742"/>
                <w:tab w:val="clear" w:pos="4366"/>
                <w:tab w:val="clear" w:pos="4990"/>
              </w:tabs>
              <w:spacing w:before="20" w:after="20"/>
              <w:jc w:val="right"/>
              <w:rPr>
                <w:i/>
              </w:rPr>
            </w:pPr>
            <w:r w:rsidRPr="00C66A9A">
              <w:rPr>
                <w:i/>
                <w:iCs/>
                <w:color w:val="000000"/>
                <w:lang w:val="ru-RU"/>
              </w:rPr>
              <w:t>Верхний диапазон</w:t>
            </w:r>
            <w:r w:rsidRPr="00C66A9A">
              <w:rPr>
                <w:i/>
                <w:iCs/>
                <w:color w:val="000000"/>
                <w:vertAlign w:val="superscript"/>
                <w:lang w:val="ru-RU"/>
              </w:rPr>
              <w:t>a</w:t>
            </w:r>
          </w:p>
        </w:tc>
        <w:tc>
          <w:tcPr>
            <w:tcW w:w="1092" w:type="pct"/>
            <w:tcBorders>
              <w:top w:val="single" w:sz="4" w:space="0" w:color="auto"/>
              <w:bottom w:val="single" w:sz="12" w:space="0" w:color="auto"/>
            </w:tcBorders>
            <w:tcMar>
              <w:top w:w="0" w:type="dxa"/>
              <w:left w:w="108" w:type="dxa"/>
              <w:bottom w:w="0" w:type="dxa"/>
              <w:right w:w="108" w:type="dxa"/>
            </w:tcMar>
            <w:hideMark/>
          </w:tcPr>
          <w:p w14:paraId="7FEB510E" w14:textId="77777777" w:rsidR="00D407CB" w:rsidRPr="00C66A9A" w:rsidRDefault="00D407CB" w:rsidP="00B06737">
            <w:pPr>
              <w:pStyle w:val="Normal-pool-Table"/>
              <w:tabs>
                <w:tab w:val="clear" w:pos="624"/>
                <w:tab w:val="clear" w:pos="1247"/>
                <w:tab w:val="clear" w:pos="1871"/>
                <w:tab w:val="clear" w:pos="2495"/>
                <w:tab w:val="clear" w:pos="3119"/>
                <w:tab w:val="clear" w:pos="3742"/>
                <w:tab w:val="clear" w:pos="4366"/>
                <w:tab w:val="clear" w:pos="4990"/>
              </w:tabs>
              <w:spacing w:before="20" w:after="20"/>
              <w:jc w:val="right"/>
              <w:rPr>
                <w:i/>
              </w:rPr>
            </w:pPr>
            <w:r w:rsidRPr="00C66A9A">
              <w:rPr>
                <w:i/>
                <w:iCs/>
                <w:color w:val="000000"/>
                <w:lang w:val="ru-RU"/>
              </w:rPr>
              <w:t>Нижний диапазон</w:t>
            </w:r>
            <w:r w:rsidRPr="00C66A9A">
              <w:rPr>
                <w:i/>
                <w:iCs/>
                <w:color w:val="000000"/>
                <w:vertAlign w:val="superscript"/>
                <w:lang w:val="ru-RU"/>
              </w:rPr>
              <w:t>b</w:t>
            </w:r>
          </w:p>
        </w:tc>
      </w:tr>
      <w:tr w:rsidR="00D407CB" w:rsidRPr="00C66A9A" w14:paraId="1DF5AE65" w14:textId="77777777" w:rsidTr="00F05285">
        <w:trPr>
          <w:trHeight w:val="135"/>
          <w:jc w:val="right"/>
        </w:trPr>
        <w:tc>
          <w:tcPr>
            <w:tcW w:w="2817" w:type="pct"/>
            <w:tcBorders>
              <w:top w:val="single" w:sz="12" w:space="0" w:color="auto"/>
            </w:tcBorders>
            <w:noWrap/>
            <w:tcMar>
              <w:top w:w="0" w:type="dxa"/>
              <w:left w:w="108" w:type="dxa"/>
              <w:bottom w:w="0" w:type="dxa"/>
              <w:right w:w="108" w:type="dxa"/>
            </w:tcMar>
            <w:vAlign w:val="center"/>
            <w:hideMark/>
          </w:tcPr>
          <w:p w14:paraId="453BA941" w14:textId="230C849B" w:rsidR="00D407CB" w:rsidRPr="00C66A9A" w:rsidRDefault="00D407CB" w:rsidP="00B06737">
            <w:pPr>
              <w:pStyle w:val="Normal-pool-Table"/>
              <w:tabs>
                <w:tab w:val="clear" w:pos="624"/>
                <w:tab w:val="clear" w:pos="1247"/>
                <w:tab w:val="clear" w:pos="1871"/>
                <w:tab w:val="clear" w:pos="2495"/>
                <w:tab w:val="clear" w:pos="3119"/>
                <w:tab w:val="clear" w:pos="3742"/>
                <w:tab w:val="clear" w:pos="4366"/>
                <w:tab w:val="clear" w:pos="4990"/>
              </w:tabs>
              <w:spacing w:before="20" w:after="20"/>
              <w:rPr>
                <w:sz w:val="16"/>
                <w:lang w:val="ru-RU"/>
              </w:rPr>
            </w:pPr>
            <w:r w:rsidRPr="00C66A9A">
              <w:rPr>
                <w:color w:val="000000"/>
                <w:lang w:val="ru-RU"/>
              </w:rPr>
              <w:t>Мероприятия</w:t>
            </w:r>
            <w:r w:rsidR="003370A5" w:rsidRPr="00C66A9A">
              <w:rPr>
                <w:color w:val="000000"/>
                <w:lang w:val="ru-RU"/>
              </w:rPr>
              <w:t xml:space="preserve"> по</w:t>
            </w:r>
            <w:r w:rsidRPr="00C66A9A">
              <w:rPr>
                <w:color w:val="000000"/>
                <w:lang w:val="ru-RU"/>
              </w:rPr>
              <w:t xml:space="preserve"> ГХФУ (в том числе по повышению энергоэффективности)</w:t>
            </w:r>
          </w:p>
        </w:tc>
        <w:tc>
          <w:tcPr>
            <w:tcW w:w="1091" w:type="pct"/>
            <w:tcBorders>
              <w:top w:val="single" w:sz="12" w:space="0" w:color="auto"/>
            </w:tcBorders>
            <w:noWrap/>
            <w:tcMar>
              <w:top w:w="0" w:type="dxa"/>
              <w:left w:w="108" w:type="dxa"/>
              <w:bottom w:w="0" w:type="dxa"/>
              <w:right w:w="108" w:type="dxa"/>
            </w:tcMar>
            <w:vAlign w:val="bottom"/>
            <w:hideMark/>
          </w:tcPr>
          <w:p w14:paraId="1CD8EE98" w14:textId="77777777" w:rsidR="00D407CB" w:rsidRPr="00C66A9A" w:rsidRDefault="00D407CB" w:rsidP="00B06737">
            <w:pPr>
              <w:pStyle w:val="Normal-pool-Table"/>
              <w:tabs>
                <w:tab w:val="clear" w:pos="624"/>
                <w:tab w:val="clear" w:pos="1247"/>
                <w:tab w:val="clear" w:pos="1871"/>
                <w:tab w:val="clear" w:pos="2495"/>
                <w:tab w:val="clear" w:pos="3119"/>
                <w:tab w:val="clear" w:pos="3742"/>
                <w:tab w:val="clear" w:pos="4366"/>
                <w:tab w:val="clear" w:pos="4990"/>
              </w:tabs>
              <w:spacing w:before="20" w:after="20"/>
              <w:jc w:val="right"/>
              <w:rPr>
                <w:bCs/>
              </w:rPr>
            </w:pPr>
            <w:r w:rsidRPr="00C66A9A">
              <w:rPr>
                <w:color w:val="000000"/>
                <w:lang w:val="ru-RU"/>
              </w:rPr>
              <w:t>451</w:t>
            </w:r>
          </w:p>
        </w:tc>
        <w:tc>
          <w:tcPr>
            <w:tcW w:w="1092" w:type="pct"/>
            <w:tcBorders>
              <w:top w:val="single" w:sz="12" w:space="0" w:color="auto"/>
            </w:tcBorders>
            <w:noWrap/>
            <w:tcMar>
              <w:top w:w="0" w:type="dxa"/>
              <w:left w:w="108" w:type="dxa"/>
              <w:bottom w:w="0" w:type="dxa"/>
              <w:right w:w="108" w:type="dxa"/>
            </w:tcMar>
            <w:vAlign w:val="bottom"/>
            <w:hideMark/>
          </w:tcPr>
          <w:p w14:paraId="49460334" w14:textId="77777777" w:rsidR="00D407CB" w:rsidRPr="00C66A9A" w:rsidRDefault="00D407CB" w:rsidP="00B06737">
            <w:pPr>
              <w:pStyle w:val="Normal-pool-Table"/>
              <w:tabs>
                <w:tab w:val="clear" w:pos="624"/>
                <w:tab w:val="clear" w:pos="1247"/>
                <w:tab w:val="clear" w:pos="1871"/>
                <w:tab w:val="clear" w:pos="2495"/>
                <w:tab w:val="clear" w:pos="3119"/>
                <w:tab w:val="clear" w:pos="3742"/>
                <w:tab w:val="clear" w:pos="4366"/>
                <w:tab w:val="clear" w:pos="4990"/>
              </w:tabs>
              <w:spacing w:before="20" w:after="20"/>
              <w:jc w:val="right"/>
              <w:rPr>
                <w:bCs/>
              </w:rPr>
            </w:pPr>
            <w:r w:rsidRPr="00C66A9A">
              <w:rPr>
                <w:color w:val="000000"/>
                <w:lang w:val="ru-RU"/>
              </w:rPr>
              <w:t>573</w:t>
            </w:r>
          </w:p>
        </w:tc>
      </w:tr>
      <w:tr w:rsidR="00D407CB" w:rsidRPr="00C66A9A" w14:paraId="3AFDF9AC" w14:textId="77777777" w:rsidTr="00F05285">
        <w:trPr>
          <w:trHeight w:val="42"/>
          <w:jc w:val="right"/>
        </w:trPr>
        <w:tc>
          <w:tcPr>
            <w:tcW w:w="2817" w:type="pct"/>
            <w:noWrap/>
            <w:tcMar>
              <w:top w:w="0" w:type="dxa"/>
              <w:left w:w="108" w:type="dxa"/>
              <w:bottom w:w="0" w:type="dxa"/>
              <w:right w:w="108" w:type="dxa"/>
            </w:tcMar>
            <w:vAlign w:val="center"/>
            <w:hideMark/>
          </w:tcPr>
          <w:p w14:paraId="51ED6129" w14:textId="08D6340D" w:rsidR="00D407CB" w:rsidRPr="002779D8" w:rsidRDefault="00D407CB" w:rsidP="000A0EDD">
            <w:pPr>
              <w:pStyle w:val="Normal-pool-Table"/>
              <w:tabs>
                <w:tab w:val="clear" w:pos="624"/>
                <w:tab w:val="clear" w:pos="1247"/>
                <w:tab w:val="clear" w:pos="1871"/>
                <w:tab w:val="clear" w:pos="2495"/>
                <w:tab w:val="clear" w:pos="3119"/>
                <w:tab w:val="clear" w:pos="3742"/>
                <w:tab w:val="clear" w:pos="4366"/>
                <w:tab w:val="clear" w:pos="4990"/>
              </w:tabs>
              <w:spacing w:before="20" w:after="20"/>
              <w:rPr>
                <w:sz w:val="16"/>
                <w:lang w:val="ru-RU"/>
              </w:rPr>
            </w:pPr>
            <w:r w:rsidRPr="00C66A9A">
              <w:rPr>
                <w:color w:val="000000"/>
                <w:lang w:val="ru-RU"/>
              </w:rPr>
              <w:t>Мероприятия</w:t>
            </w:r>
            <w:r w:rsidR="003370A5" w:rsidRPr="00C66A9A">
              <w:rPr>
                <w:color w:val="000000"/>
                <w:lang w:val="ru-RU"/>
              </w:rPr>
              <w:t xml:space="preserve"> по</w:t>
            </w:r>
            <w:r w:rsidRPr="00C66A9A">
              <w:rPr>
                <w:color w:val="000000"/>
                <w:lang w:val="ru-RU"/>
              </w:rPr>
              <w:t xml:space="preserve"> ГФУ (в том числе по повышению энергоэффективности, предупреждению выбросов ГФУ</w:t>
            </w:r>
            <w:r w:rsidR="00F4526B" w:rsidRPr="002779D8">
              <w:rPr>
                <w:color w:val="000000"/>
                <w:lang w:val="ru-RU"/>
              </w:rPr>
              <w:noBreakHyphen/>
            </w:r>
            <w:r w:rsidRPr="00C66A9A">
              <w:rPr>
                <w:color w:val="000000"/>
                <w:lang w:val="ru-RU"/>
              </w:rPr>
              <w:t>23 и региональному мониторингу атмосферы)</w:t>
            </w:r>
          </w:p>
        </w:tc>
        <w:tc>
          <w:tcPr>
            <w:tcW w:w="1091" w:type="pct"/>
            <w:noWrap/>
            <w:tcMar>
              <w:top w:w="0" w:type="dxa"/>
              <w:left w:w="108" w:type="dxa"/>
              <w:bottom w:w="0" w:type="dxa"/>
              <w:right w:w="108" w:type="dxa"/>
            </w:tcMar>
            <w:vAlign w:val="bottom"/>
            <w:hideMark/>
          </w:tcPr>
          <w:p w14:paraId="1AB53A3D" w14:textId="77777777" w:rsidR="00D407CB" w:rsidRPr="00C66A9A" w:rsidRDefault="00D407CB" w:rsidP="00B06737">
            <w:pPr>
              <w:pStyle w:val="Normal-pool-Table"/>
              <w:tabs>
                <w:tab w:val="clear" w:pos="624"/>
                <w:tab w:val="clear" w:pos="1247"/>
                <w:tab w:val="clear" w:pos="1871"/>
                <w:tab w:val="clear" w:pos="2495"/>
                <w:tab w:val="clear" w:pos="3119"/>
                <w:tab w:val="clear" w:pos="3742"/>
                <w:tab w:val="clear" w:pos="4366"/>
                <w:tab w:val="clear" w:pos="4990"/>
              </w:tabs>
              <w:spacing w:before="20" w:after="20"/>
              <w:jc w:val="right"/>
              <w:rPr>
                <w:bCs/>
              </w:rPr>
            </w:pPr>
            <w:r w:rsidRPr="00C66A9A">
              <w:rPr>
                <w:color w:val="000000"/>
                <w:lang w:val="ru-RU"/>
              </w:rPr>
              <w:t>702–781</w:t>
            </w:r>
          </w:p>
        </w:tc>
        <w:tc>
          <w:tcPr>
            <w:tcW w:w="1092" w:type="pct"/>
            <w:noWrap/>
            <w:tcMar>
              <w:top w:w="0" w:type="dxa"/>
              <w:left w:w="108" w:type="dxa"/>
              <w:bottom w:w="0" w:type="dxa"/>
              <w:right w:w="108" w:type="dxa"/>
            </w:tcMar>
            <w:vAlign w:val="bottom"/>
            <w:hideMark/>
          </w:tcPr>
          <w:p w14:paraId="3587EF8E" w14:textId="77777777" w:rsidR="00D407CB" w:rsidRPr="00C66A9A" w:rsidRDefault="00D407CB" w:rsidP="00B06737">
            <w:pPr>
              <w:pStyle w:val="Normal-pool-Table"/>
              <w:tabs>
                <w:tab w:val="clear" w:pos="624"/>
                <w:tab w:val="clear" w:pos="1247"/>
                <w:tab w:val="clear" w:pos="1871"/>
                <w:tab w:val="clear" w:pos="2495"/>
                <w:tab w:val="clear" w:pos="3119"/>
                <w:tab w:val="clear" w:pos="3742"/>
                <w:tab w:val="clear" w:pos="4366"/>
                <w:tab w:val="clear" w:pos="4990"/>
              </w:tabs>
              <w:spacing w:before="20" w:after="20"/>
              <w:jc w:val="right"/>
              <w:rPr>
                <w:bCs/>
              </w:rPr>
            </w:pPr>
            <w:r w:rsidRPr="00C66A9A">
              <w:rPr>
                <w:color w:val="000000"/>
                <w:lang w:val="ru-RU"/>
              </w:rPr>
              <w:t>970–1053</w:t>
            </w:r>
          </w:p>
        </w:tc>
      </w:tr>
      <w:tr w:rsidR="00D407CB" w:rsidRPr="00C66A9A" w14:paraId="431B9A84" w14:textId="77777777" w:rsidTr="00F05285">
        <w:trPr>
          <w:trHeight w:val="57"/>
          <w:jc w:val="right"/>
        </w:trPr>
        <w:tc>
          <w:tcPr>
            <w:tcW w:w="2817" w:type="pct"/>
            <w:tcBorders>
              <w:bottom w:val="single" w:sz="4" w:space="0" w:color="auto"/>
            </w:tcBorders>
            <w:tcMar>
              <w:top w:w="0" w:type="dxa"/>
              <w:left w:w="108" w:type="dxa"/>
              <w:bottom w:w="0" w:type="dxa"/>
              <w:right w:w="108" w:type="dxa"/>
            </w:tcMar>
            <w:vAlign w:val="center"/>
            <w:hideMark/>
          </w:tcPr>
          <w:p w14:paraId="3C600238" w14:textId="4495B5E8" w:rsidR="00D407CB" w:rsidRPr="00C66A9A" w:rsidRDefault="00D407CB" w:rsidP="00B06737">
            <w:pPr>
              <w:pStyle w:val="Normal-pool-Table"/>
              <w:tabs>
                <w:tab w:val="clear" w:pos="624"/>
                <w:tab w:val="clear" w:pos="1247"/>
                <w:tab w:val="clear" w:pos="1871"/>
                <w:tab w:val="clear" w:pos="2495"/>
                <w:tab w:val="clear" w:pos="3119"/>
                <w:tab w:val="clear" w:pos="3742"/>
                <w:tab w:val="clear" w:pos="4366"/>
                <w:tab w:val="clear" w:pos="4990"/>
              </w:tabs>
              <w:spacing w:before="20" w:after="20"/>
              <w:rPr>
                <w:lang w:val="ru-RU"/>
              </w:rPr>
            </w:pPr>
            <w:r w:rsidRPr="00C66A9A">
              <w:rPr>
                <w:color w:val="000000"/>
                <w:lang w:val="ru-RU"/>
              </w:rPr>
              <w:t>Укрепление институционального потенциала и стандартн</w:t>
            </w:r>
            <w:r w:rsidR="003370A5" w:rsidRPr="00C66A9A">
              <w:rPr>
                <w:color w:val="000000"/>
                <w:lang w:val="ru-RU"/>
              </w:rPr>
              <w:t>ые мероприятия</w:t>
            </w:r>
            <w:r w:rsidRPr="00C66A9A">
              <w:rPr>
                <w:color w:val="000000"/>
                <w:lang w:val="ru-RU"/>
              </w:rPr>
              <w:t xml:space="preserve"> </w:t>
            </w:r>
          </w:p>
        </w:tc>
        <w:tc>
          <w:tcPr>
            <w:tcW w:w="1091" w:type="pct"/>
            <w:tcBorders>
              <w:bottom w:val="single" w:sz="4" w:space="0" w:color="auto"/>
            </w:tcBorders>
            <w:noWrap/>
            <w:tcMar>
              <w:top w:w="0" w:type="dxa"/>
              <w:left w:w="108" w:type="dxa"/>
              <w:bottom w:w="0" w:type="dxa"/>
              <w:right w:w="108" w:type="dxa"/>
            </w:tcMar>
            <w:vAlign w:val="bottom"/>
            <w:hideMark/>
          </w:tcPr>
          <w:p w14:paraId="4A41E3CD" w14:textId="77777777" w:rsidR="00D407CB" w:rsidRPr="00C66A9A" w:rsidRDefault="00D407CB" w:rsidP="00B06737">
            <w:pPr>
              <w:pStyle w:val="Normal-pool-Table"/>
              <w:tabs>
                <w:tab w:val="clear" w:pos="624"/>
                <w:tab w:val="clear" w:pos="1247"/>
                <w:tab w:val="clear" w:pos="1871"/>
                <w:tab w:val="clear" w:pos="2495"/>
                <w:tab w:val="clear" w:pos="3119"/>
                <w:tab w:val="clear" w:pos="3742"/>
                <w:tab w:val="clear" w:pos="4366"/>
                <w:tab w:val="clear" w:pos="4990"/>
              </w:tabs>
              <w:spacing w:before="20" w:after="20"/>
              <w:jc w:val="right"/>
              <w:rPr>
                <w:bCs/>
              </w:rPr>
            </w:pPr>
            <w:r w:rsidRPr="00C66A9A">
              <w:rPr>
                <w:color w:val="000000"/>
                <w:lang w:val="ru-RU"/>
              </w:rPr>
              <w:t>129</w:t>
            </w:r>
          </w:p>
        </w:tc>
        <w:tc>
          <w:tcPr>
            <w:tcW w:w="1092" w:type="pct"/>
            <w:tcBorders>
              <w:bottom w:val="single" w:sz="4" w:space="0" w:color="auto"/>
            </w:tcBorders>
            <w:noWrap/>
            <w:tcMar>
              <w:top w:w="0" w:type="dxa"/>
              <w:left w:w="108" w:type="dxa"/>
              <w:bottom w:w="0" w:type="dxa"/>
              <w:right w:w="108" w:type="dxa"/>
            </w:tcMar>
            <w:vAlign w:val="bottom"/>
            <w:hideMark/>
          </w:tcPr>
          <w:p w14:paraId="5CCD17EC" w14:textId="77777777" w:rsidR="00D407CB" w:rsidRPr="00C66A9A" w:rsidRDefault="00D407CB" w:rsidP="00B06737">
            <w:pPr>
              <w:pStyle w:val="Normal-pool-Table"/>
              <w:tabs>
                <w:tab w:val="clear" w:pos="624"/>
                <w:tab w:val="clear" w:pos="1247"/>
                <w:tab w:val="clear" w:pos="1871"/>
                <w:tab w:val="clear" w:pos="2495"/>
                <w:tab w:val="clear" w:pos="3119"/>
                <w:tab w:val="clear" w:pos="3742"/>
                <w:tab w:val="clear" w:pos="4366"/>
                <w:tab w:val="clear" w:pos="4990"/>
              </w:tabs>
              <w:spacing w:before="20" w:after="20"/>
              <w:jc w:val="right"/>
              <w:rPr>
                <w:bCs/>
              </w:rPr>
            </w:pPr>
            <w:r w:rsidRPr="00C66A9A">
              <w:rPr>
                <w:color w:val="000000"/>
                <w:lang w:val="ru-RU"/>
              </w:rPr>
              <w:t>129</w:t>
            </w:r>
          </w:p>
        </w:tc>
      </w:tr>
      <w:tr w:rsidR="00D407CB" w:rsidRPr="00C66A9A" w14:paraId="24494AD3" w14:textId="77777777" w:rsidTr="00F05285">
        <w:trPr>
          <w:trHeight w:val="57"/>
          <w:jc w:val="right"/>
        </w:trPr>
        <w:tc>
          <w:tcPr>
            <w:tcW w:w="2817" w:type="pct"/>
            <w:tcBorders>
              <w:top w:val="single" w:sz="4" w:space="0" w:color="auto"/>
              <w:bottom w:val="single" w:sz="12" w:space="0" w:color="auto"/>
            </w:tcBorders>
            <w:noWrap/>
            <w:tcMar>
              <w:top w:w="0" w:type="dxa"/>
              <w:left w:w="108" w:type="dxa"/>
              <w:bottom w:w="0" w:type="dxa"/>
              <w:right w:w="108" w:type="dxa"/>
            </w:tcMar>
            <w:vAlign w:val="center"/>
            <w:hideMark/>
          </w:tcPr>
          <w:p w14:paraId="1503955E" w14:textId="77777777" w:rsidR="00D407CB" w:rsidRPr="00C66A9A" w:rsidRDefault="00D407CB" w:rsidP="00B06737">
            <w:pPr>
              <w:pStyle w:val="Normal-pool-Table"/>
              <w:tabs>
                <w:tab w:val="clear" w:pos="624"/>
                <w:tab w:val="clear" w:pos="1247"/>
                <w:tab w:val="clear" w:pos="1871"/>
                <w:tab w:val="clear" w:pos="2495"/>
                <w:tab w:val="clear" w:pos="3119"/>
                <w:tab w:val="clear" w:pos="3742"/>
                <w:tab w:val="clear" w:pos="4366"/>
                <w:tab w:val="clear" w:pos="4990"/>
              </w:tabs>
              <w:spacing w:before="20" w:after="20"/>
              <w:rPr>
                <w:b/>
              </w:rPr>
            </w:pPr>
            <w:r w:rsidRPr="00C66A9A">
              <w:rPr>
                <w:b/>
                <w:bCs/>
                <w:color w:val="000000"/>
                <w:lang w:val="ru-RU"/>
              </w:rPr>
              <w:t>Всего</w:t>
            </w:r>
          </w:p>
        </w:tc>
        <w:tc>
          <w:tcPr>
            <w:tcW w:w="1091" w:type="pct"/>
            <w:tcBorders>
              <w:top w:val="single" w:sz="4" w:space="0" w:color="auto"/>
              <w:bottom w:val="single" w:sz="12" w:space="0" w:color="auto"/>
            </w:tcBorders>
            <w:noWrap/>
            <w:tcMar>
              <w:top w:w="0" w:type="dxa"/>
              <w:left w:w="108" w:type="dxa"/>
              <w:bottom w:w="0" w:type="dxa"/>
              <w:right w:w="108" w:type="dxa"/>
            </w:tcMar>
            <w:hideMark/>
          </w:tcPr>
          <w:p w14:paraId="458601B4" w14:textId="243B25AB" w:rsidR="00D407CB" w:rsidRPr="00C66A9A" w:rsidRDefault="00D407CB" w:rsidP="00B06737">
            <w:pPr>
              <w:pStyle w:val="Normal-pool-Table"/>
              <w:tabs>
                <w:tab w:val="clear" w:pos="624"/>
                <w:tab w:val="clear" w:pos="1247"/>
                <w:tab w:val="clear" w:pos="1871"/>
                <w:tab w:val="clear" w:pos="2495"/>
                <w:tab w:val="clear" w:pos="3119"/>
                <w:tab w:val="clear" w:pos="3742"/>
                <w:tab w:val="clear" w:pos="4366"/>
                <w:tab w:val="clear" w:pos="4990"/>
              </w:tabs>
              <w:spacing w:before="20" w:after="20"/>
              <w:jc w:val="right"/>
              <w:rPr>
                <w:b/>
              </w:rPr>
            </w:pPr>
            <w:r w:rsidRPr="00C66A9A">
              <w:rPr>
                <w:b/>
                <w:bCs/>
                <w:color w:val="000000"/>
                <w:lang w:val="ru-RU"/>
              </w:rPr>
              <w:t>1</w:t>
            </w:r>
            <w:r w:rsidR="00F4526B">
              <w:rPr>
                <w:b/>
                <w:bCs/>
                <w:color w:val="000000"/>
                <w:lang w:val="en-US"/>
              </w:rPr>
              <w:t xml:space="preserve"> </w:t>
            </w:r>
            <w:r w:rsidRPr="00C66A9A">
              <w:rPr>
                <w:b/>
                <w:bCs/>
                <w:color w:val="000000"/>
                <w:lang w:val="ru-RU"/>
              </w:rPr>
              <w:t>282–1</w:t>
            </w:r>
            <w:r w:rsidR="00057D7B">
              <w:rPr>
                <w:b/>
                <w:bCs/>
                <w:color w:val="000000"/>
                <w:lang w:val="ru-RU"/>
              </w:rPr>
              <w:t xml:space="preserve"> </w:t>
            </w:r>
            <w:r w:rsidRPr="00C66A9A">
              <w:rPr>
                <w:b/>
                <w:bCs/>
                <w:color w:val="000000"/>
                <w:lang w:val="ru-RU"/>
              </w:rPr>
              <w:t>361</w:t>
            </w:r>
          </w:p>
        </w:tc>
        <w:tc>
          <w:tcPr>
            <w:tcW w:w="1092" w:type="pct"/>
            <w:tcBorders>
              <w:top w:val="single" w:sz="4" w:space="0" w:color="auto"/>
              <w:bottom w:val="single" w:sz="12" w:space="0" w:color="auto"/>
            </w:tcBorders>
            <w:noWrap/>
            <w:tcMar>
              <w:top w:w="0" w:type="dxa"/>
              <w:left w:w="108" w:type="dxa"/>
              <w:bottom w:w="0" w:type="dxa"/>
              <w:right w:w="108" w:type="dxa"/>
            </w:tcMar>
            <w:hideMark/>
          </w:tcPr>
          <w:p w14:paraId="40FC25F7" w14:textId="6703EFF7" w:rsidR="00D407CB" w:rsidRPr="00C66A9A" w:rsidRDefault="00D407CB" w:rsidP="00B06737">
            <w:pPr>
              <w:pStyle w:val="Normal-pool-Table"/>
              <w:tabs>
                <w:tab w:val="clear" w:pos="624"/>
                <w:tab w:val="clear" w:pos="1247"/>
                <w:tab w:val="clear" w:pos="1871"/>
                <w:tab w:val="clear" w:pos="2495"/>
                <w:tab w:val="clear" w:pos="3119"/>
                <w:tab w:val="clear" w:pos="3742"/>
                <w:tab w:val="clear" w:pos="4366"/>
                <w:tab w:val="clear" w:pos="4990"/>
              </w:tabs>
              <w:spacing w:before="20" w:after="20"/>
              <w:jc w:val="right"/>
              <w:rPr>
                <w:b/>
              </w:rPr>
            </w:pPr>
            <w:r w:rsidRPr="00C66A9A">
              <w:rPr>
                <w:b/>
                <w:bCs/>
                <w:color w:val="000000"/>
                <w:lang w:val="ru-RU"/>
              </w:rPr>
              <w:t>1</w:t>
            </w:r>
            <w:r w:rsidR="00F4526B">
              <w:rPr>
                <w:b/>
                <w:bCs/>
                <w:color w:val="000000"/>
                <w:lang w:val="en-US"/>
              </w:rPr>
              <w:t xml:space="preserve"> </w:t>
            </w:r>
            <w:r w:rsidRPr="00C66A9A">
              <w:rPr>
                <w:b/>
                <w:bCs/>
                <w:color w:val="000000"/>
                <w:lang w:val="ru-RU"/>
              </w:rPr>
              <w:t>672–1</w:t>
            </w:r>
            <w:r w:rsidR="00F4526B">
              <w:rPr>
                <w:b/>
                <w:bCs/>
                <w:color w:val="000000"/>
                <w:lang w:val="en-US"/>
              </w:rPr>
              <w:t xml:space="preserve"> </w:t>
            </w:r>
            <w:r w:rsidRPr="00C66A9A">
              <w:rPr>
                <w:b/>
                <w:bCs/>
                <w:color w:val="000000"/>
                <w:lang w:val="ru-RU"/>
              </w:rPr>
              <w:t>755</w:t>
            </w:r>
          </w:p>
        </w:tc>
      </w:tr>
    </w:tbl>
    <w:p w14:paraId="2AC84F2E" w14:textId="7B02C42C" w:rsidR="00D407CB" w:rsidRPr="008F3BA3" w:rsidRDefault="00D407CB" w:rsidP="00F7633C">
      <w:pPr>
        <w:pStyle w:val="Normal-pool"/>
        <w:tabs>
          <w:tab w:val="clear" w:pos="624"/>
          <w:tab w:val="clear" w:pos="1247"/>
          <w:tab w:val="clear" w:pos="1871"/>
          <w:tab w:val="clear" w:pos="2495"/>
          <w:tab w:val="clear" w:pos="3119"/>
          <w:tab w:val="clear" w:pos="3742"/>
          <w:tab w:val="clear" w:pos="4366"/>
          <w:tab w:val="clear" w:pos="4990"/>
        </w:tabs>
        <w:spacing w:before="40" w:after="40"/>
        <w:ind w:left="1247" w:firstLine="624"/>
        <w:rPr>
          <w:sz w:val="17"/>
          <w:szCs w:val="17"/>
          <w:lang w:val="ru-RU"/>
        </w:rPr>
      </w:pPr>
      <w:r w:rsidRPr="008F3BA3">
        <w:rPr>
          <w:sz w:val="17"/>
          <w:szCs w:val="17"/>
          <w:lang w:val="ru-RU"/>
        </w:rPr>
        <w:tab/>
      </w:r>
      <w:r w:rsidRPr="008F3BA3">
        <w:rPr>
          <w:i/>
          <w:iCs/>
          <w:sz w:val="17"/>
          <w:szCs w:val="17"/>
          <w:lang w:val="ru-RU"/>
        </w:rPr>
        <w:t>Сокращения:</w:t>
      </w:r>
      <w:r w:rsidRPr="008F3BA3">
        <w:rPr>
          <w:sz w:val="17"/>
          <w:szCs w:val="17"/>
          <w:lang w:val="ru-RU"/>
        </w:rPr>
        <w:t xml:space="preserve"> ГХФУ – гидрохлорфторуглероды; ГФУ – гидрофторуглероды.</w:t>
      </w:r>
    </w:p>
    <w:p w14:paraId="619258F9" w14:textId="77777777" w:rsidR="00D407CB" w:rsidRPr="008F3BA3" w:rsidRDefault="00D407CB" w:rsidP="00F7633C">
      <w:pPr>
        <w:pStyle w:val="Normal-pool"/>
        <w:tabs>
          <w:tab w:val="clear" w:pos="624"/>
          <w:tab w:val="clear" w:pos="1247"/>
          <w:tab w:val="clear" w:pos="1871"/>
          <w:tab w:val="clear" w:pos="2495"/>
          <w:tab w:val="clear" w:pos="3119"/>
          <w:tab w:val="clear" w:pos="3742"/>
          <w:tab w:val="clear" w:pos="4366"/>
          <w:tab w:val="clear" w:pos="4990"/>
        </w:tabs>
        <w:spacing w:before="40" w:after="40"/>
        <w:ind w:left="1247" w:firstLine="624"/>
        <w:rPr>
          <w:sz w:val="17"/>
          <w:szCs w:val="17"/>
          <w:lang w:val="ru-RU"/>
        </w:rPr>
      </w:pPr>
      <w:r w:rsidRPr="008F3BA3">
        <w:rPr>
          <w:sz w:val="17"/>
          <w:szCs w:val="17"/>
          <w:lang w:val="ru-RU"/>
        </w:rPr>
        <w:tab/>
      </w:r>
      <w:r w:rsidRPr="008F3BA3">
        <w:rPr>
          <w:sz w:val="17"/>
          <w:szCs w:val="17"/>
          <w:vertAlign w:val="superscript"/>
          <w:lang w:val="ru-RU"/>
        </w:rPr>
        <w:t>a</w:t>
      </w:r>
      <w:r w:rsidRPr="008F3BA3">
        <w:rPr>
          <w:sz w:val="17"/>
          <w:szCs w:val="17"/>
          <w:lang w:val="ru-RU"/>
        </w:rPr>
        <w:t xml:space="preserve"> Нижний диапазон рассчитан на основе следующих сценариев:</w:t>
      </w:r>
    </w:p>
    <w:p w14:paraId="466C2A50" w14:textId="77777777" w:rsidR="00D407CB" w:rsidRPr="008F3BA3" w:rsidRDefault="00D407CB">
      <w:pPr>
        <w:pStyle w:val="Normal-pool"/>
        <w:numPr>
          <w:ilvl w:val="0"/>
          <w:numId w:val="19"/>
        </w:numPr>
        <w:tabs>
          <w:tab w:val="clear" w:pos="624"/>
          <w:tab w:val="clear" w:pos="1247"/>
          <w:tab w:val="clear" w:pos="1871"/>
          <w:tab w:val="clear" w:pos="2495"/>
          <w:tab w:val="clear" w:pos="3119"/>
          <w:tab w:val="clear" w:pos="3742"/>
          <w:tab w:val="clear" w:pos="4366"/>
          <w:tab w:val="clear" w:pos="4990"/>
        </w:tabs>
        <w:spacing w:before="40" w:after="40"/>
        <w:ind w:left="1871" w:firstLine="624"/>
        <w:rPr>
          <w:sz w:val="17"/>
          <w:szCs w:val="17"/>
          <w:lang w:val="ru-RU"/>
        </w:rPr>
      </w:pPr>
      <w:r w:rsidRPr="008F3BA3">
        <w:rPr>
          <w:sz w:val="17"/>
          <w:szCs w:val="17"/>
          <w:lang w:val="ru-RU"/>
        </w:rPr>
        <w:t xml:space="preserve">сценарий 1 для ГХФУ (исторические пороговые значения для экономической эффективности в производственных секторах) с выделением 90 процентов финансирования в течение трехгодичного периода 2027–2029 годов и 10 процентов – в течение трехгодичного периода 2030–2032 годов; </w:t>
      </w:r>
    </w:p>
    <w:p w14:paraId="3EA02172" w14:textId="7E58911C" w:rsidR="00D407CB" w:rsidRPr="008F3BA3" w:rsidRDefault="00D407CB">
      <w:pPr>
        <w:pStyle w:val="Normal-pool"/>
        <w:numPr>
          <w:ilvl w:val="0"/>
          <w:numId w:val="19"/>
        </w:numPr>
        <w:tabs>
          <w:tab w:val="clear" w:pos="624"/>
          <w:tab w:val="clear" w:pos="1247"/>
          <w:tab w:val="clear" w:pos="1871"/>
          <w:tab w:val="clear" w:pos="2495"/>
          <w:tab w:val="clear" w:pos="3119"/>
          <w:tab w:val="clear" w:pos="3742"/>
          <w:tab w:val="clear" w:pos="4366"/>
          <w:tab w:val="clear" w:pos="4990"/>
        </w:tabs>
        <w:spacing w:before="40" w:after="40"/>
        <w:ind w:left="1871" w:firstLine="624"/>
        <w:rPr>
          <w:sz w:val="17"/>
          <w:szCs w:val="17"/>
          <w:lang w:val="ru-RU"/>
        </w:rPr>
      </w:pPr>
      <w:r w:rsidRPr="008F3BA3">
        <w:rPr>
          <w:sz w:val="17"/>
          <w:szCs w:val="17"/>
          <w:lang w:val="ru-RU"/>
        </w:rPr>
        <w:t xml:space="preserve">для ГФУ совокупный диапазон расходов оценивается с использованием двух сценариев: сценарий 1 для ГФУ (руководящие указания для расчета расходов или пороговые значения для экономической эффективности, определенные экспертами без учета малых и средних предприятий) и сценарий 2 </w:t>
      </w:r>
      <w:r w:rsidR="003370A5" w:rsidRPr="008F3BA3">
        <w:rPr>
          <w:sz w:val="17"/>
          <w:szCs w:val="17"/>
          <w:lang w:val="ru-RU"/>
        </w:rPr>
        <w:t xml:space="preserve">для </w:t>
      </w:r>
      <w:r w:rsidRPr="008F3BA3">
        <w:rPr>
          <w:sz w:val="17"/>
          <w:szCs w:val="17"/>
          <w:lang w:val="ru-RU"/>
        </w:rPr>
        <w:t>ГФУ (руководящие указания для расчета расходов или пороговые значения для экономической эффективности, определенные экспертами с учетом малых и средних предприятий) с графиком распределения ресурсов B (подход с постепенным финансированием).</w:t>
      </w:r>
    </w:p>
    <w:p w14:paraId="202FD8D9" w14:textId="7F9D72D4" w:rsidR="00D407CB" w:rsidRPr="008F3BA3" w:rsidRDefault="00D407CB" w:rsidP="00F7633C">
      <w:pPr>
        <w:pStyle w:val="Normal-pool"/>
        <w:tabs>
          <w:tab w:val="clear" w:pos="624"/>
          <w:tab w:val="clear" w:pos="1247"/>
          <w:tab w:val="clear" w:pos="1871"/>
          <w:tab w:val="clear" w:pos="2495"/>
          <w:tab w:val="clear" w:pos="3119"/>
          <w:tab w:val="clear" w:pos="3742"/>
          <w:tab w:val="clear" w:pos="4366"/>
          <w:tab w:val="clear" w:pos="4990"/>
        </w:tabs>
        <w:spacing w:before="40" w:after="40"/>
        <w:ind w:left="1871"/>
        <w:rPr>
          <w:sz w:val="17"/>
          <w:szCs w:val="17"/>
          <w:lang w:val="ru-RU"/>
        </w:rPr>
      </w:pPr>
      <w:r w:rsidRPr="008F3BA3">
        <w:rPr>
          <w:sz w:val="17"/>
          <w:szCs w:val="17"/>
          <w:lang w:val="ru-RU"/>
        </w:rPr>
        <w:lastRenderedPageBreak/>
        <w:tab/>
      </w:r>
      <w:r w:rsidR="00FC2D34" w:rsidRPr="008F3BA3">
        <w:rPr>
          <w:sz w:val="17"/>
          <w:szCs w:val="17"/>
          <w:vertAlign w:val="superscript"/>
          <w:lang w:val="en-US"/>
        </w:rPr>
        <w:t>b</w:t>
      </w:r>
      <w:r w:rsidRPr="008F3BA3">
        <w:rPr>
          <w:sz w:val="17"/>
          <w:szCs w:val="17"/>
          <w:lang w:val="ru-RU"/>
        </w:rPr>
        <w:t xml:space="preserve"> Верхний диапазон рассчитан на основе следующих сценариев:</w:t>
      </w:r>
    </w:p>
    <w:p w14:paraId="669ECCC7" w14:textId="06632FF4" w:rsidR="00D407CB" w:rsidRPr="008F3BA3" w:rsidRDefault="00D407CB">
      <w:pPr>
        <w:pStyle w:val="Normal-pool"/>
        <w:numPr>
          <w:ilvl w:val="0"/>
          <w:numId w:val="18"/>
        </w:numPr>
        <w:tabs>
          <w:tab w:val="clear" w:pos="624"/>
          <w:tab w:val="clear" w:pos="1247"/>
          <w:tab w:val="clear" w:pos="1871"/>
          <w:tab w:val="clear" w:pos="2495"/>
          <w:tab w:val="clear" w:pos="3119"/>
          <w:tab w:val="clear" w:pos="3742"/>
          <w:tab w:val="clear" w:pos="4366"/>
          <w:tab w:val="clear" w:pos="4990"/>
        </w:tabs>
        <w:spacing w:before="40" w:after="40"/>
        <w:ind w:left="1871" w:firstLine="624"/>
        <w:rPr>
          <w:sz w:val="17"/>
          <w:szCs w:val="17"/>
          <w:lang w:val="ru-RU"/>
        </w:rPr>
      </w:pPr>
      <w:r w:rsidRPr="008F3BA3">
        <w:rPr>
          <w:sz w:val="17"/>
          <w:szCs w:val="17"/>
          <w:lang w:val="ru-RU"/>
        </w:rPr>
        <w:t>сценарий 2 для ГХФУ (пороговые значения для экономической эффективности применены в соответствии с руководящими указаниями для расчета расходов в производственных секторах) с выделением 90 процентов финансирования в течение трехгодичного периода 2027</w:t>
      </w:r>
      <w:r w:rsidR="00F82054" w:rsidRPr="008F3BA3">
        <w:rPr>
          <w:sz w:val="17"/>
          <w:szCs w:val="17"/>
          <w:lang w:val="ru-RU"/>
        </w:rPr>
        <w:noBreakHyphen/>
      </w:r>
      <w:r w:rsidRPr="008F3BA3">
        <w:rPr>
          <w:sz w:val="17"/>
          <w:szCs w:val="17"/>
          <w:lang w:val="ru-RU"/>
        </w:rPr>
        <w:t>2029 годов и 10 процентов – в течение трехгодичного периода 2030–2032 годов;</w:t>
      </w:r>
    </w:p>
    <w:p w14:paraId="7522E739" w14:textId="3EB37775" w:rsidR="00D407CB" w:rsidRPr="008F3BA3" w:rsidRDefault="00D407CB">
      <w:pPr>
        <w:pStyle w:val="Normal-pool"/>
        <w:numPr>
          <w:ilvl w:val="0"/>
          <w:numId w:val="18"/>
        </w:numPr>
        <w:tabs>
          <w:tab w:val="clear" w:pos="624"/>
          <w:tab w:val="clear" w:pos="1247"/>
          <w:tab w:val="clear" w:pos="1871"/>
          <w:tab w:val="clear" w:pos="2495"/>
          <w:tab w:val="clear" w:pos="3119"/>
          <w:tab w:val="clear" w:pos="3742"/>
          <w:tab w:val="clear" w:pos="4366"/>
          <w:tab w:val="clear" w:pos="4990"/>
        </w:tabs>
        <w:spacing w:before="40" w:after="120"/>
        <w:ind w:left="1871" w:firstLine="624"/>
        <w:rPr>
          <w:sz w:val="17"/>
          <w:szCs w:val="17"/>
          <w:lang w:val="ru-RU"/>
        </w:rPr>
      </w:pPr>
      <w:r w:rsidRPr="008F3BA3">
        <w:rPr>
          <w:sz w:val="17"/>
          <w:szCs w:val="17"/>
          <w:lang w:val="ru-RU"/>
        </w:rPr>
        <w:t>для ГФУ совокупный диапазон расходов оценивается с использованием двух сценариев: сценария 1 для ГФУ и сценария 2 для ГФУ с графиком распределения ресурсов А (подход с опережающим финансированием).</w:t>
      </w:r>
    </w:p>
    <w:p w14:paraId="570D7C5A" w14:textId="76E5FC94" w:rsidR="00D407CB" w:rsidRPr="00F82054" w:rsidRDefault="00D407CB" w:rsidP="00591ECA">
      <w:pPr>
        <w:pStyle w:val="Normalnumber"/>
        <w:ind w:left="1247"/>
        <w:rPr>
          <w:sz w:val="20"/>
          <w:szCs w:val="20"/>
          <w:lang w:val="ru-RU"/>
        </w:rPr>
      </w:pPr>
      <w:r w:rsidRPr="00F82054">
        <w:rPr>
          <w:sz w:val="20"/>
          <w:szCs w:val="20"/>
          <w:lang w:val="ru-RU"/>
        </w:rPr>
        <w:t xml:space="preserve">В соответствии со своим </w:t>
      </w:r>
      <w:r w:rsidR="003370A5" w:rsidRPr="00F82054">
        <w:rPr>
          <w:sz w:val="20"/>
          <w:szCs w:val="20"/>
          <w:lang w:val="ru-RU"/>
        </w:rPr>
        <w:t>техническим заданием</w:t>
      </w:r>
      <w:r w:rsidRPr="00F82054">
        <w:rPr>
          <w:sz w:val="20"/>
          <w:szCs w:val="20"/>
          <w:lang w:val="ru-RU"/>
        </w:rPr>
        <w:t xml:space="preserve"> целевая группа также представляет ориентировочные диапазоны потребностей в финансировании на следующие два трехгодичных периода – 2030–2032 годов и 2033–2035 годов, как показано в таблице 2. </w:t>
      </w:r>
    </w:p>
    <w:p w14:paraId="3B687245" w14:textId="0484EF33" w:rsidR="00D407CB" w:rsidRPr="00C66A9A" w:rsidRDefault="00D407CB" w:rsidP="00591ECA">
      <w:pPr>
        <w:pStyle w:val="Titletab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C66A9A">
        <w:rPr>
          <w:b w:val="0"/>
          <w:bCs w:val="0"/>
          <w:lang w:val="ru-RU"/>
        </w:rPr>
        <w:t>Таблица 2</w:t>
      </w:r>
      <w:r w:rsidRPr="00C66A9A">
        <w:rPr>
          <w:lang w:val="ru-RU"/>
        </w:rPr>
        <w:t xml:space="preserve"> </w:t>
      </w:r>
      <w:r w:rsidR="00F7633C" w:rsidRPr="002779D8">
        <w:rPr>
          <w:lang w:val="ru-RU"/>
        </w:rPr>
        <w:br/>
      </w:r>
      <w:r w:rsidRPr="00C66A9A">
        <w:rPr>
          <w:lang w:val="ru-RU"/>
        </w:rPr>
        <w:t>Ориентировочные общие потребности в финансировании для пополнения Многостороннего фонда на трехгодичные периоды 2030–2032 годов и 2033–2035 годов: нижний и верхний диапазоны</w:t>
      </w:r>
    </w:p>
    <w:p w14:paraId="30F49849" w14:textId="77777777" w:rsidR="00D407CB" w:rsidRPr="00F7633C" w:rsidRDefault="00D407CB" w:rsidP="00F7633C">
      <w:pPr>
        <w:pStyle w:val="Titletable"/>
        <w:keepNext w:val="0"/>
        <w:keepLines w:val="0"/>
        <w:tabs>
          <w:tab w:val="clear" w:pos="624"/>
          <w:tab w:val="clear" w:pos="1247"/>
          <w:tab w:val="clear" w:pos="1871"/>
          <w:tab w:val="clear" w:pos="2495"/>
          <w:tab w:val="clear" w:pos="3119"/>
          <w:tab w:val="clear" w:pos="3742"/>
          <w:tab w:val="clear" w:pos="4366"/>
          <w:tab w:val="clear" w:pos="4990"/>
        </w:tabs>
        <w:rPr>
          <w:b w:val="0"/>
          <w:bCs w:val="0"/>
          <w:sz w:val="18"/>
        </w:rPr>
      </w:pPr>
      <w:r w:rsidRPr="00F7633C">
        <w:rPr>
          <w:b w:val="0"/>
          <w:bCs w:val="0"/>
          <w:sz w:val="18"/>
          <w:lang w:val="ru-RU"/>
        </w:rPr>
        <w:t>(млн долл. США)</w:t>
      </w:r>
    </w:p>
    <w:tbl>
      <w:tblPr>
        <w:tblW w:w="8264" w:type="dxa"/>
        <w:tblInd w:w="1250" w:type="dxa"/>
        <w:tblLayout w:type="fixed"/>
        <w:tblLook w:val="04A0" w:firstRow="1" w:lastRow="0" w:firstColumn="1" w:lastColumn="0" w:noHBand="0" w:noVBand="1"/>
      </w:tblPr>
      <w:tblGrid>
        <w:gridCol w:w="4654"/>
        <w:gridCol w:w="1805"/>
        <w:gridCol w:w="1805"/>
      </w:tblGrid>
      <w:tr w:rsidR="00D407CB" w:rsidRPr="00C66A9A" w14:paraId="2B5CAC31" w14:textId="77777777" w:rsidTr="00F05285">
        <w:trPr>
          <w:trHeight w:val="65"/>
        </w:trPr>
        <w:tc>
          <w:tcPr>
            <w:tcW w:w="2816" w:type="pct"/>
            <w:tcBorders>
              <w:top w:val="single" w:sz="4" w:space="0" w:color="auto"/>
              <w:bottom w:val="single" w:sz="12" w:space="0" w:color="auto"/>
            </w:tcBorders>
            <w:noWrap/>
            <w:vAlign w:val="bottom"/>
          </w:tcPr>
          <w:p w14:paraId="3282EC7B" w14:textId="77777777"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rPr>
                <w:b/>
                <w:bCs/>
              </w:rPr>
            </w:pPr>
            <w:r w:rsidRPr="00C66A9A">
              <w:rPr>
                <w:i/>
                <w:iCs/>
                <w:color w:val="000000"/>
                <w:lang w:val="ru-RU"/>
              </w:rPr>
              <w:t>Трехгодичный период</w:t>
            </w:r>
          </w:p>
        </w:tc>
        <w:tc>
          <w:tcPr>
            <w:tcW w:w="1092" w:type="pct"/>
            <w:tcBorders>
              <w:top w:val="single" w:sz="4" w:space="0" w:color="auto"/>
              <w:bottom w:val="single" w:sz="12" w:space="0" w:color="auto"/>
            </w:tcBorders>
            <w:noWrap/>
            <w:vAlign w:val="bottom"/>
          </w:tcPr>
          <w:p w14:paraId="63B6FADB" w14:textId="77777777"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jc w:val="right"/>
              <w:rPr>
                <w:b/>
              </w:rPr>
            </w:pPr>
            <w:r w:rsidRPr="00C66A9A">
              <w:rPr>
                <w:i/>
                <w:iCs/>
                <w:color w:val="000000"/>
                <w:lang w:val="ru-RU"/>
              </w:rPr>
              <w:t>Верхний диапазон</w:t>
            </w:r>
            <w:r w:rsidRPr="00C66A9A">
              <w:rPr>
                <w:i/>
                <w:iCs/>
                <w:color w:val="000000"/>
                <w:vertAlign w:val="superscript"/>
                <w:lang w:val="ru-RU"/>
              </w:rPr>
              <w:t>a</w:t>
            </w:r>
          </w:p>
        </w:tc>
        <w:tc>
          <w:tcPr>
            <w:tcW w:w="1092" w:type="pct"/>
            <w:tcBorders>
              <w:top w:val="single" w:sz="4" w:space="0" w:color="auto"/>
              <w:bottom w:val="single" w:sz="12" w:space="0" w:color="auto"/>
            </w:tcBorders>
            <w:noWrap/>
            <w:vAlign w:val="bottom"/>
          </w:tcPr>
          <w:p w14:paraId="7DC28B08" w14:textId="77777777"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jc w:val="right"/>
              <w:rPr>
                <w:b/>
              </w:rPr>
            </w:pPr>
            <w:r w:rsidRPr="00C66A9A">
              <w:rPr>
                <w:i/>
                <w:iCs/>
                <w:color w:val="000000"/>
                <w:lang w:val="ru-RU"/>
              </w:rPr>
              <w:t>Нижний диапазон</w:t>
            </w:r>
            <w:r w:rsidRPr="00C66A9A">
              <w:rPr>
                <w:i/>
                <w:iCs/>
                <w:color w:val="000000"/>
                <w:vertAlign w:val="superscript"/>
                <w:lang w:val="ru-RU"/>
              </w:rPr>
              <w:t>b</w:t>
            </w:r>
          </w:p>
        </w:tc>
      </w:tr>
      <w:tr w:rsidR="00D407CB" w:rsidRPr="00C66A9A" w14:paraId="38888568" w14:textId="77777777" w:rsidTr="00F05285">
        <w:trPr>
          <w:trHeight w:val="65"/>
        </w:trPr>
        <w:tc>
          <w:tcPr>
            <w:tcW w:w="2816" w:type="pct"/>
            <w:tcBorders>
              <w:top w:val="single" w:sz="12" w:space="0" w:color="auto"/>
            </w:tcBorders>
            <w:noWrap/>
            <w:hideMark/>
          </w:tcPr>
          <w:p w14:paraId="1D469810" w14:textId="1A340F96" w:rsidR="00D407CB" w:rsidRPr="00F87FB4"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rPr>
                <w:b/>
                <w:bCs/>
                <w:lang w:val="ru-RU"/>
              </w:rPr>
            </w:pPr>
            <w:r w:rsidRPr="00C66A9A">
              <w:rPr>
                <w:b/>
                <w:bCs/>
                <w:color w:val="000000"/>
                <w:lang w:val="ru-RU"/>
              </w:rPr>
              <w:t>2030–2032</w:t>
            </w:r>
            <w:r w:rsidR="00F87FB4">
              <w:rPr>
                <w:b/>
                <w:bCs/>
                <w:color w:val="000000"/>
                <w:lang w:val="en-US"/>
              </w:rPr>
              <w:t xml:space="preserve"> </w:t>
            </w:r>
            <w:r w:rsidR="00F87FB4">
              <w:rPr>
                <w:b/>
                <w:bCs/>
                <w:color w:val="000000"/>
                <w:lang w:val="ru-RU"/>
              </w:rPr>
              <w:t>годы</w:t>
            </w:r>
          </w:p>
        </w:tc>
        <w:tc>
          <w:tcPr>
            <w:tcW w:w="1092" w:type="pct"/>
            <w:tcBorders>
              <w:top w:val="single" w:sz="12" w:space="0" w:color="auto"/>
            </w:tcBorders>
            <w:noWrap/>
          </w:tcPr>
          <w:p w14:paraId="3844637F" w14:textId="77777777"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jc w:val="right"/>
              <w:rPr>
                <w:b/>
              </w:rPr>
            </w:pPr>
          </w:p>
        </w:tc>
        <w:tc>
          <w:tcPr>
            <w:tcW w:w="1092" w:type="pct"/>
            <w:tcBorders>
              <w:top w:val="single" w:sz="12" w:space="0" w:color="auto"/>
            </w:tcBorders>
            <w:noWrap/>
          </w:tcPr>
          <w:p w14:paraId="32A9D621" w14:textId="77777777"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jc w:val="right"/>
              <w:rPr>
                <w:b/>
              </w:rPr>
            </w:pPr>
          </w:p>
        </w:tc>
      </w:tr>
      <w:tr w:rsidR="00D407CB" w:rsidRPr="00C66A9A" w14:paraId="34AF7E02" w14:textId="77777777" w:rsidTr="00F05285">
        <w:trPr>
          <w:trHeight w:val="65"/>
        </w:trPr>
        <w:tc>
          <w:tcPr>
            <w:tcW w:w="2816" w:type="pct"/>
            <w:noWrap/>
          </w:tcPr>
          <w:p w14:paraId="6872C351" w14:textId="216EE89B"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ind w:left="113"/>
            </w:pPr>
            <w:r w:rsidRPr="00C66A9A">
              <w:rPr>
                <w:color w:val="000000"/>
                <w:lang w:val="ru-RU"/>
              </w:rPr>
              <w:t>Мероприятия</w:t>
            </w:r>
            <w:r w:rsidR="003370A5" w:rsidRPr="00C66A9A">
              <w:rPr>
                <w:color w:val="000000"/>
                <w:lang w:val="ru-RU"/>
              </w:rPr>
              <w:t xml:space="preserve"> по</w:t>
            </w:r>
            <w:r w:rsidRPr="00C66A9A">
              <w:rPr>
                <w:color w:val="000000"/>
                <w:lang w:val="ru-RU"/>
              </w:rPr>
              <w:t xml:space="preserve"> ГХФУ</w:t>
            </w:r>
          </w:p>
        </w:tc>
        <w:tc>
          <w:tcPr>
            <w:tcW w:w="1092" w:type="pct"/>
            <w:noWrap/>
            <w:vAlign w:val="center"/>
          </w:tcPr>
          <w:p w14:paraId="15BBE0C8" w14:textId="77777777"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jc w:val="right"/>
              <w:rPr>
                <w:bCs/>
              </w:rPr>
            </w:pPr>
            <w:r w:rsidRPr="00C66A9A">
              <w:rPr>
                <w:color w:val="000000"/>
                <w:lang w:val="ru-RU"/>
              </w:rPr>
              <w:t>83</w:t>
            </w:r>
          </w:p>
        </w:tc>
        <w:tc>
          <w:tcPr>
            <w:tcW w:w="1092" w:type="pct"/>
            <w:noWrap/>
            <w:vAlign w:val="center"/>
          </w:tcPr>
          <w:p w14:paraId="63AB10C7" w14:textId="77777777"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ind w:left="9"/>
              <w:jc w:val="right"/>
              <w:rPr>
                <w:bCs/>
              </w:rPr>
            </w:pPr>
            <w:r w:rsidRPr="00C66A9A">
              <w:rPr>
                <w:color w:val="000000"/>
                <w:lang w:val="ru-RU"/>
              </w:rPr>
              <w:t>96</w:t>
            </w:r>
          </w:p>
        </w:tc>
      </w:tr>
      <w:tr w:rsidR="00D407CB" w:rsidRPr="00C66A9A" w14:paraId="297F5CAF" w14:textId="77777777" w:rsidTr="00F05285">
        <w:trPr>
          <w:trHeight w:val="65"/>
        </w:trPr>
        <w:tc>
          <w:tcPr>
            <w:tcW w:w="2816" w:type="pct"/>
            <w:noWrap/>
          </w:tcPr>
          <w:p w14:paraId="4B81D2CA" w14:textId="36F78CEE"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ind w:left="113"/>
            </w:pPr>
            <w:r w:rsidRPr="00C66A9A">
              <w:rPr>
                <w:color w:val="000000"/>
                <w:lang w:val="ru-RU"/>
              </w:rPr>
              <w:t>Мероприятия</w:t>
            </w:r>
            <w:r w:rsidR="003370A5" w:rsidRPr="00C66A9A">
              <w:rPr>
                <w:color w:val="000000"/>
                <w:lang w:val="ru-RU"/>
              </w:rPr>
              <w:t xml:space="preserve"> по</w:t>
            </w:r>
            <w:r w:rsidRPr="00C66A9A">
              <w:rPr>
                <w:color w:val="000000"/>
                <w:lang w:val="ru-RU"/>
              </w:rPr>
              <w:t xml:space="preserve"> ГФУ</w:t>
            </w:r>
          </w:p>
        </w:tc>
        <w:tc>
          <w:tcPr>
            <w:tcW w:w="1092" w:type="pct"/>
            <w:noWrap/>
            <w:vAlign w:val="center"/>
          </w:tcPr>
          <w:p w14:paraId="4E8074D6" w14:textId="77777777"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jc w:val="right"/>
              <w:rPr>
                <w:bCs/>
              </w:rPr>
            </w:pPr>
            <w:r w:rsidRPr="00C66A9A">
              <w:rPr>
                <w:color w:val="000000"/>
                <w:lang w:val="ru-RU"/>
              </w:rPr>
              <w:t>877–908</w:t>
            </w:r>
          </w:p>
        </w:tc>
        <w:tc>
          <w:tcPr>
            <w:tcW w:w="1092" w:type="pct"/>
            <w:noWrap/>
            <w:vAlign w:val="center"/>
          </w:tcPr>
          <w:p w14:paraId="310F0D56" w14:textId="77777777"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ind w:left="9"/>
              <w:jc w:val="right"/>
              <w:rPr>
                <w:bCs/>
              </w:rPr>
            </w:pPr>
            <w:r w:rsidRPr="00C66A9A">
              <w:rPr>
                <w:color w:val="000000"/>
                <w:lang w:val="ru-RU"/>
              </w:rPr>
              <w:t>1 050–1 085</w:t>
            </w:r>
          </w:p>
        </w:tc>
      </w:tr>
      <w:tr w:rsidR="00D407CB" w:rsidRPr="00C66A9A" w14:paraId="4808F6C1" w14:textId="77777777" w:rsidTr="00F05285">
        <w:trPr>
          <w:trHeight w:val="65"/>
        </w:trPr>
        <w:tc>
          <w:tcPr>
            <w:tcW w:w="2816" w:type="pct"/>
            <w:tcBorders>
              <w:bottom w:val="single" w:sz="4" w:space="0" w:color="auto"/>
            </w:tcBorders>
            <w:noWrap/>
            <w:vAlign w:val="center"/>
          </w:tcPr>
          <w:p w14:paraId="16136125" w14:textId="5F88D906"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ind w:left="113"/>
              <w:rPr>
                <w:b/>
                <w:lang w:val="ru-RU"/>
              </w:rPr>
            </w:pPr>
            <w:r w:rsidRPr="00C66A9A">
              <w:rPr>
                <w:color w:val="000000"/>
                <w:lang w:val="ru-RU"/>
              </w:rPr>
              <w:t xml:space="preserve">Укрепление институционального потенциала и </w:t>
            </w:r>
            <w:r w:rsidR="003370A5" w:rsidRPr="00C66A9A">
              <w:rPr>
                <w:color w:val="000000"/>
                <w:lang w:val="ru-RU"/>
              </w:rPr>
              <w:t>стандартные мероприятия</w:t>
            </w:r>
            <w:r w:rsidRPr="00C66A9A">
              <w:rPr>
                <w:color w:val="000000"/>
                <w:lang w:val="ru-RU"/>
              </w:rPr>
              <w:t xml:space="preserve"> </w:t>
            </w:r>
          </w:p>
        </w:tc>
        <w:tc>
          <w:tcPr>
            <w:tcW w:w="1092" w:type="pct"/>
            <w:tcBorders>
              <w:bottom w:val="single" w:sz="4" w:space="0" w:color="auto"/>
            </w:tcBorders>
            <w:noWrap/>
            <w:vAlign w:val="center"/>
          </w:tcPr>
          <w:p w14:paraId="00828B6E" w14:textId="77777777"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jc w:val="right"/>
              <w:rPr>
                <w:bCs/>
              </w:rPr>
            </w:pPr>
            <w:r w:rsidRPr="00C66A9A">
              <w:rPr>
                <w:color w:val="000000"/>
                <w:lang w:val="ru-RU"/>
              </w:rPr>
              <w:t>137</w:t>
            </w:r>
          </w:p>
        </w:tc>
        <w:tc>
          <w:tcPr>
            <w:tcW w:w="1092" w:type="pct"/>
            <w:tcBorders>
              <w:bottom w:val="single" w:sz="4" w:space="0" w:color="auto"/>
            </w:tcBorders>
            <w:noWrap/>
            <w:vAlign w:val="center"/>
          </w:tcPr>
          <w:p w14:paraId="2B2BBD46" w14:textId="77777777"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ind w:left="9"/>
              <w:jc w:val="right"/>
              <w:rPr>
                <w:bCs/>
              </w:rPr>
            </w:pPr>
            <w:r w:rsidRPr="00C66A9A">
              <w:rPr>
                <w:color w:val="000000"/>
                <w:lang w:val="ru-RU"/>
              </w:rPr>
              <w:t>137</w:t>
            </w:r>
          </w:p>
        </w:tc>
      </w:tr>
      <w:tr w:rsidR="00D407CB" w:rsidRPr="00C66A9A" w14:paraId="5983BE3C" w14:textId="77777777" w:rsidTr="00F05285">
        <w:trPr>
          <w:trHeight w:val="65"/>
        </w:trPr>
        <w:tc>
          <w:tcPr>
            <w:tcW w:w="2816" w:type="pct"/>
            <w:tcBorders>
              <w:top w:val="single" w:sz="4" w:space="0" w:color="auto"/>
              <w:bottom w:val="single" w:sz="8" w:space="0" w:color="auto"/>
            </w:tcBorders>
            <w:noWrap/>
          </w:tcPr>
          <w:p w14:paraId="1AEF24AB" w14:textId="77777777"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pPr>
            <w:r w:rsidRPr="00C66A9A">
              <w:rPr>
                <w:b/>
                <w:bCs/>
                <w:color w:val="000000"/>
                <w:lang w:val="ru-RU"/>
              </w:rPr>
              <w:t>Всего</w:t>
            </w:r>
          </w:p>
        </w:tc>
        <w:tc>
          <w:tcPr>
            <w:tcW w:w="1092" w:type="pct"/>
            <w:tcBorders>
              <w:top w:val="single" w:sz="4" w:space="0" w:color="auto"/>
              <w:bottom w:val="single" w:sz="8" w:space="0" w:color="auto"/>
            </w:tcBorders>
            <w:noWrap/>
            <w:vAlign w:val="center"/>
          </w:tcPr>
          <w:p w14:paraId="635E681F" w14:textId="2324BA16"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jc w:val="right"/>
              <w:rPr>
                <w:b/>
                <w:bCs/>
              </w:rPr>
            </w:pPr>
            <w:r w:rsidRPr="00C66A9A">
              <w:rPr>
                <w:b/>
                <w:bCs/>
                <w:color w:val="000000"/>
                <w:lang w:val="ru-RU"/>
              </w:rPr>
              <w:t>1</w:t>
            </w:r>
            <w:r w:rsidR="00F7633C">
              <w:rPr>
                <w:b/>
                <w:bCs/>
                <w:color w:val="000000"/>
                <w:lang w:val="en-US"/>
              </w:rPr>
              <w:t xml:space="preserve"> </w:t>
            </w:r>
            <w:r w:rsidRPr="00C66A9A">
              <w:rPr>
                <w:b/>
                <w:bCs/>
                <w:color w:val="000000"/>
                <w:lang w:val="ru-RU"/>
              </w:rPr>
              <w:t>097–1</w:t>
            </w:r>
            <w:r w:rsidR="00F7633C">
              <w:rPr>
                <w:b/>
                <w:bCs/>
                <w:color w:val="000000"/>
                <w:lang w:val="en-US"/>
              </w:rPr>
              <w:t xml:space="preserve"> </w:t>
            </w:r>
            <w:r w:rsidRPr="00C66A9A">
              <w:rPr>
                <w:b/>
                <w:bCs/>
                <w:color w:val="000000"/>
                <w:lang w:val="ru-RU"/>
              </w:rPr>
              <w:t>128</w:t>
            </w:r>
          </w:p>
        </w:tc>
        <w:tc>
          <w:tcPr>
            <w:tcW w:w="1092" w:type="pct"/>
            <w:tcBorders>
              <w:top w:val="single" w:sz="4" w:space="0" w:color="auto"/>
              <w:bottom w:val="single" w:sz="8" w:space="0" w:color="auto"/>
            </w:tcBorders>
            <w:noWrap/>
            <w:vAlign w:val="center"/>
          </w:tcPr>
          <w:p w14:paraId="37CD4959" w14:textId="2985CE41"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ind w:left="9"/>
              <w:jc w:val="right"/>
              <w:rPr>
                <w:b/>
                <w:bCs/>
              </w:rPr>
            </w:pPr>
            <w:r w:rsidRPr="00C66A9A">
              <w:rPr>
                <w:b/>
                <w:bCs/>
                <w:color w:val="000000"/>
                <w:lang w:val="ru-RU"/>
              </w:rPr>
              <w:t>1</w:t>
            </w:r>
            <w:r w:rsidR="00F7633C">
              <w:rPr>
                <w:b/>
                <w:bCs/>
                <w:color w:val="000000"/>
                <w:lang w:val="en-US"/>
              </w:rPr>
              <w:t xml:space="preserve"> </w:t>
            </w:r>
            <w:r w:rsidRPr="00C66A9A">
              <w:rPr>
                <w:b/>
                <w:bCs/>
                <w:color w:val="000000"/>
                <w:lang w:val="ru-RU"/>
              </w:rPr>
              <w:t>283–1</w:t>
            </w:r>
            <w:r w:rsidR="00F7633C">
              <w:rPr>
                <w:b/>
                <w:bCs/>
                <w:color w:val="000000"/>
                <w:lang w:val="en-US"/>
              </w:rPr>
              <w:t xml:space="preserve"> </w:t>
            </w:r>
            <w:r w:rsidRPr="00C66A9A">
              <w:rPr>
                <w:b/>
                <w:bCs/>
                <w:color w:val="000000"/>
                <w:lang w:val="ru-RU"/>
              </w:rPr>
              <w:t>318</w:t>
            </w:r>
          </w:p>
        </w:tc>
      </w:tr>
      <w:tr w:rsidR="00D407CB" w:rsidRPr="00C66A9A" w14:paraId="3045B746" w14:textId="77777777" w:rsidTr="00F05285">
        <w:trPr>
          <w:trHeight w:val="65"/>
        </w:trPr>
        <w:tc>
          <w:tcPr>
            <w:tcW w:w="2816" w:type="pct"/>
            <w:tcBorders>
              <w:top w:val="single" w:sz="8" w:space="0" w:color="auto"/>
            </w:tcBorders>
            <w:noWrap/>
            <w:hideMark/>
          </w:tcPr>
          <w:p w14:paraId="2E25FB02" w14:textId="162E3659"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rPr>
                <w:b/>
                <w:bCs/>
              </w:rPr>
            </w:pPr>
            <w:r w:rsidRPr="00C66A9A">
              <w:rPr>
                <w:b/>
                <w:bCs/>
                <w:color w:val="000000"/>
                <w:lang w:val="ru-RU"/>
              </w:rPr>
              <w:t>2033–2035</w:t>
            </w:r>
            <w:r w:rsidR="00F87FB4">
              <w:rPr>
                <w:b/>
                <w:bCs/>
                <w:color w:val="000000"/>
                <w:lang w:val="ru-RU"/>
              </w:rPr>
              <w:t xml:space="preserve"> годы</w:t>
            </w:r>
          </w:p>
        </w:tc>
        <w:tc>
          <w:tcPr>
            <w:tcW w:w="1092" w:type="pct"/>
            <w:tcBorders>
              <w:top w:val="single" w:sz="8" w:space="0" w:color="auto"/>
            </w:tcBorders>
            <w:noWrap/>
            <w:vAlign w:val="center"/>
          </w:tcPr>
          <w:p w14:paraId="021B5532" w14:textId="77777777"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jc w:val="right"/>
              <w:rPr>
                <w:b/>
              </w:rPr>
            </w:pPr>
          </w:p>
        </w:tc>
        <w:tc>
          <w:tcPr>
            <w:tcW w:w="1092" w:type="pct"/>
            <w:tcBorders>
              <w:top w:val="single" w:sz="8" w:space="0" w:color="auto"/>
            </w:tcBorders>
            <w:noWrap/>
            <w:vAlign w:val="center"/>
          </w:tcPr>
          <w:p w14:paraId="6DA00DFE" w14:textId="77777777"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jc w:val="right"/>
              <w:rPr>
                <w:b/>
              </w:rPr>
            </w:pPr>
          </w:p>
        </w:tc>
      </w:tr>
      <w:tr w:rsidR="00D407CB" w:rsidRPr="00C66A9A" w14:paraId="202950AF" w14:textId="77777777" w:rsidTr="00F05285">
        <w:trPr>
          <w:trHeight w:val="65"/>
        </w:trPr>
        <w:tc>
          <w:tcPr>
            <w:tcW w:w="2816" w:type="pct"/>
            <w:noWrap/>
          </w:tcPr>
          <w:p w14:paraId="7D94B558" w14:textId="1410F606"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ind w:left="113"/>
            </w:pPr>
            <w:r w:rsidRPr="00C66A9A">
              <w:rPr>
                <w:color w:val="000000"/>
                <w:lang w:val="ru-RU"/>
              </w:rPr>
              <w:t>Мероприятия</w:t>
            </w:r>
            <w:r w:rsidR="003370A5" w:rsidRPr="00C66A9A">
              <w:rPr>
                <w:color w:val="000000"/>
                <w:lang w:val="ru-RU"/>
              </w:rPr>
              <w:t xml:space="preserve"> по </w:t>
            </w:r>
            <w:r w:rsidRPr="00C66A9A">
              <w:rPr>
                <w:color w:val="000000"/>
                <w:lang w:val="ru-RU"/>
              </w:rPr>
              <w:t>ГХФУ</w:t>
            </w:r>
          </w:p>
        </w:tc>
        <w:tc>
          <w:tcPr>
            <w:tcW w:w="1092" w:type="pct"/>
            <w:noWrap/>
            <w:vAlign w:val="center"/>
          </w:tcPr>
          <w:p w14:paraId="4CFDE4A8" w14:textId="1F44B6D9"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jc w:val="right"/>
              <w:rPr>
                <w:bCs/>
              </w:rPr>
            </w:pPr>
            <w:r w:rsidRPr="00C66A9A">
              <w:rPr>
                <w:color w:val="000000"/>
                <w:lang w:val="ru-RU"/>
              </w:rPr>
              <w:t>–</w:t>
            </w:r>
          </w:p>
        </w:tc>
        <w:tc>
          <w:tcPr>
            <w:tcW w:w="1092" w:type="pct"/>
            <w:noWrap/>
            <w:vAlign w:val="center"/>
          </w:tcPr>
          <w:p w14:paraId="4339EC41" w14:textId="5564D857"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jc w:val="right"/>
              <w:rPr>
                <w:bCs/>
              </w:rPr>
            </w:pPr>
            <w:r w:rsidRPr="00C66A9A">
              <w:rPr>
                <w:color w:val="000000"/>
                <w:lang w:val="ru-RU"/>
              </w:rPr>
              <w:t>–</w:t>
            </w:r>
          </w:p>
        </w:tc>
      </w:tr>
      <w:tr w:rsidR="00D407CB" w:rsidRPr="00C66A9A" w14:paraId="15E5FBC0" w14:textId="77777777" w:rsidTr="00F05285">
        <w:trPr>
          <w:trHeight w:val="65"/>
        </w:trPr>
        <w:tc>
          <w:tcPr>
            <w:tcW w:w="2816" w:type="pct"/>
            <w:noWrap/>
          </w:tcPr>
          <w:p w14:paraId="6C08FF98" w14:textId="6D83B253"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ind w:left="113"/>
            </w:pPr>
            <w:r w:rsidRPr="00C66A9A">
              <w:rPr>
                <w:color w:val="000000"/>
                <w:lang w:val="ru-RU"/>
              </w:rPr>
              <w:t>Мероприятия</w:t>
            </w:r>
            <w:r w:rsidR="003370A5" w:rsidRPr="00C66A9A">
              <w:rPr>
                <w:color w:val="000000"/>
                <w:lang w:val="ru-RU"/>
              </w:rPr>
              <w:t xml:space="preserve"> по </w:t>
            </w:r>
            <w:r w:rsidRPr="00C66A9A">
              <w:rPr>
                <w:color w:val="000000"/>
                <w:lang w:val="ru-RU"/>
              </w:rPr>
              <w:t>ГФУ</w:t>
            </w:r>
          </w:p>
        </w:tc>
        <w:tc>
          <w:tcPr>
            <w:tcW w:w="1092" w:type="pct"/>
            <w:noWrap/>
            <w:vAlign w:val="center"/>
          </w:tcPr>
          <w:p w14:paraId="30426900" w14:textId="77777777"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jc w:val="right"/>
              <w:rPr>
                <w:bCs/>
              </w:rPr>
            </w:pPr>
            <w:r w:rsidRPr="00C66A9A">
              <w:rPr>
                <w:color w:val="000000"/>
                <w:lang w:val="ru-RU"/>
              </w:rPr>
              <w:t>488–503</w:t>
            </w:r>
          </w:p>
        </w:tc>
        <w:tc>
          <w:tcPr>
            <w:tcW w:w="1092" w:type="pct"/>
            <w:noWrap/>
            <w:vAlign w:val="center"/>
          </w:tcPr>
          <w:p w14:paraId="7EC2E55C" w14:textId="77777777"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jc w:val="right"/>
              <w:rPr>
                <w:bCs/>
              </w:rPr>
            </w:pPr>
            <w:r w:rsidRPr="00C66A9A">
              <w:rPr>
                <w:color w:val="000000"/>
                <w:lang w:val="ru-RU"/>
              </w:rPr>
              <w:t>583–600</w:t>
            </w:r>
          </w:p>
        </w:tc>
      </w:tr>
      <w:tr w:rsidR="00D407CB" w:rsidRPr="00C66A9A" w14:paraId="1058E9DC" w14:textId="77777777" w:rsidTr="00F05285">
        <w:trPr>
          <w:trHeight w:val="65"/>
        </w:trPr>
        <w:tc>
          <w:tcPr>
            <w:tcW w:w="2816" w:type="pct"/>
            <w:tcBorders>
              <w:bottom w:val="single" w:sz="4" w:space="0" w:color="auto"/>
            </w:tcBorders>
            <w:noWrap/>
            <w:vAlign w:val="center"/>
          </w:tcPr>
          <w:p w14:paraId="32F7BBDC" w14:textId="77777777"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ind w:left="113"/>
              <w:rPr>
                <w:lang w:val="ru-RU"/>
              </w:rPr>
            </w:pPr>
            <w:r w:rsidRPr="00C66A9A">
              <w:rPr>
                <w:color w:val="000000"/>
                <w:lang w:val="ru-RU"/>
              </w:rPr>
              <w:t xml:space="preserve">Укрепление институционального потенциала и стандартные мероприятия </w:t>
            </w:r>
          </w:p>
        </w:tc>
        <w:tc>
          <w:tcPr>
            <w:tcW w:w="1092" w:type="pct"/>
            <w:tcBorders>
              <w:bottom w:val="single" w:sz="4" w:space="0" w:color="auto"/>
            </w:tcBorders>
            <w:noWrap/>
            <w:vAlign w:val="center"/>
          </w:tcPr>
          <w:p w14:paraId="64EEA8DB" w14:textId="77777777"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jc w:val="right"/>
              <w:rPr>
                <w:bCs/>
              </w:rPr>
            </w:pPr>
            <w:r w:rsidRPr="00C66A9A">
              <w:rPr>
                <w:color w:val="000000"/>
                <w:lang w:val="ru-RU"/>
              </w:rPr>
              <w:t>145</w:t>
            </w:r>
          </w:p>
        </w:tc>
        <w:tc>
          <w:tcPr>
            <w:tcW w:w="1092" w:type="pct"/>
            <w:tcBorders>
              <w:bottom w:val="single" w:sz="4" w:space="0" w:color="auto"/>
            </w:tcBorders>
            <w:noWrap/>
            <w:vAlign w:val="center"/>
          </w:tcPr>
          <w:p w14:paraId="32D0D3C5" w14:textId="77777777"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jc w:val="right"/>
              <w:rPr>
                <w:bCs/>
              </w:rPr>
            </w:pPr>
            <w:r w:rsidRPr="00C66A9A">
              <w:rPr>
                <w:color w:val="000000"/>
                <w:lang w:val="ru-RU"/>
              </w:rPr>
              <w:t>145</w:t>
            </w:r>
          </w:p>
        </w:tc>
      </w:tr>
      <w:tr w:rsidR="00D407CB" w:rsidRPr="00C66A9A" w14:paraId="2E35DA05" w14:textId="77777777" w:rsidTr="00F05285">
        <w:trPr>
          <w:trHeight w:val="65"/>
        </w:trPr>
        <w:tc>
          <w:tcPr>
            <w:tcW w:w="2816" w:type="pct"/>
            <w:tcBorders>
              <w:top w:val="single" w:sz="4" w:space="0" w:color="auto"/>
              <w:bottom w:val="single" w:sz="12" w:space="0" w:color="auto"/>
            </w:tcBorders>
            <w:noWrap/>
          </w:tcPr>
          <w:p w14:paraId="3E1066BA" w14:textId="77777777"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pPr>
            <w:r w:rsidRPr="00C66A9A">
              <w:rPr>
                <w:b/>
                <w:bCs/>
                <w:color w:val="000000"/>
                <w:lang w:val="ru-RU"/>
              </w:rPr>
              <w:t>Всего</w:t>
            </w:r>
          </w:p>
        </w:tc>
        <w:tc>
          <w:tcPr>
            <w:tcW w:w="1092" w:type="pct"/>
            <w:tcBorders>
              <w:top w:val="single" w:sz="4" w:space="0" w:color="auto"/>
              <w:bottom w:val="single" w:sz="12" w:space="0" w:color="auto"/>
            </w:tcBorders>
            <w:noWrap/>
            <w:vAlign w:val="center"/>
          </w:tcPr>
          <w:p w14:paraId="1641C431" w14:textId="77777777"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jc w:val="right"/>
              <w:rPr>
                <w:b/>
                <w:bCs/>
              </w:rPr>
            </w:pPr>
            <w:r w:rsidRPr="00C66A9A">
              <w:rPr>
                <w:b/>
                <w:bCs/>
                <w:color w:val="000000"/>
                <w:lang w:val="ru-RU"/>
              </w:rPr>
              <w:t>633–648</w:t>
            </w:r>
          </w:p>
        </w:tc>
        <w:tc>
          <w:tcPr>
            <w:tcW w:w="1092" w:type="pct"/>
            <w:tcBorders>
              <w:top w:val="single" w:sz="4" w:space="0" w:color="auto"/>
              <w:bottom w:val="single" w:sz="12" w:space="0" w:color="auto"/>
            </w:tcBorders>
            <w:noWrap/>
            <w:vAlign w:val="center"/>
          </w:tcPr>
          <w:p w14:paraId="74103E60" w14:textId="77777777" w:rsidR="00D407CB" w:rsidRPr="00C66A9A" w:rsidRDefault="00D407CB" w:rsidP="00F7633C">
            <w:pPr>
              <w:pStyle w:val="Normal-pool-Table"/>
              <w:tabs>
                <w:tab w:val="clear" w:pos="624"/>
                <w:tab w:val="clear" w:pos="1247"/>
                <w:tab w:val="clear" w:pos="1871"/>
                <w:tab w:val="clear" w:pos="2495"/>
                <w:tab w:val="clear" w:pos="3119"/>
                <w:tab w:val="clear" w:pos="3742"/>
                <w:tab w:val="clear" w:pos="4366"/>
                <w:tab w:val="clear" w:pos="4990"/>
              </w:tabs>
              <w:spacing w:before="20" w:after="20"/>
              <w:jc w:val="right"/>
              <w:rPr>
                <w:b/>
                <w:bCs/>
              </w:rPr>
            </w:pPr>
            <w:r w:rsidRPr="00C66A9A">
              <w:rPr>
                <w:b/>
                <w:bCs/>
                <w:color w:val="000000"/>
                <w:lang w:val="ru-RU"/>
              </w:rPr>
              <w:t>728–745</w:t>
            </w:r>
          </w:p>
        </w:tc>
      </w:tr>
    </w:tbl>
    <w:p w14:paraId="62F9AFEE" w14:textId="5368A8B6" w:rsidR="00D407CB" w:rsidRPr="008F3BA3" w:rsidRDefault="00D407CB" w:rsidP="00116759">
      <w:pPr>
        <w:pStyle w:val="Normal-pool"/>
        <w:tabs>
          <w:tab w:val="clear" w:pos="624"/>
          <w:tab w:val="clear" w:pos="1247"/>
          <w:tab w:val="clear" w:pos="1871"/>
          <w:tab w:val="clear" w:pos="2495"/>
          <w:tab w:val="clear" w:pos="3119"/>
          <w:tab w:val="clear" w:pos="3742"/>
          <w:tab w:val="clear" w:pos="4366"/>
          <w:tab w:val="clear" w:pos="4990"/>
        </w:tabs>
        <w:spacing w:before="40" w:after="40"/>
        <w:ind w:left="1247" w:firstLine="624"/>
        <w:rPr>
          <w:sz w:val="17"/>
          <w:szCs w:val="17"/>
          <w:lang w:val="ru-RU"/>
        </w:rPr>
      </w:pPr>
      <w:r w:rsidRPr="00AC405E">
        <w:rPr>
          <w:sz w:val="17"/>
          <w:szCs w:val="17"/>
          <w:lang w:val="ru-RU"/>
        </w:rPr>
        <w:tab/>
      </w:r>
      <w:r w:rsidRPr="008F3BA3">
        <w:rPr>
          <w:i/>
          <w:iCs/>
          <w:sz w:val="17"/>
          <w:szCs w:val="17"/>
          <w:lang w:val="ru-RU"/>
        </w:rPr>
        <w:t>Сокращения:</w:t>
      </w:r>
      <w:r w:rsidRPr="008F3BA3">
        <w:rPr>
          <w:sz w:val="17"/>
          <w:szCs w:val="17"/>
          <w:lang w:val="ru-RU"/>
        </w:rPr>
        <w:t xml:space="preserve"> ГХФУ – гидрохлорфторуглероды; ГФУ – гидрофторуглероды.</w:t>
      </w:r>
    </w:p>
    <w:p w14:paraId="1FDF2D8E" w14:textId="77777777" w:rsidR="00D407CB" w:rsidRPr="008F3BA3" w:rsidRDefault="00D407CB" w:rsidP="00F7633C">
      <w:pPr>
        <w:pStyle w:val="Normal-pool"/>
        <w:tabs>
          <w:tab w:val="clear" w:pos="624"/>
          <w:tab w:val="clear" w:pos="1247"/>
          <w:tab w:val="clear" w:pos="1871"/>
          <w:tab w:val="clear" w:pos="2495"/>
          <w:tab w:val="clear" w:pos="3119"/>
          <w:tab w:val="clear" w:pos="3742"/>
          <w:tab w:val="clear" w:pos="4366"/>
          <w:tab w:val="clear" w:pos="4990"/>
        </w:tabs>
        <w:spacing w:before="40" w:after="40"/>
        <w:ind w:left="1871"/>
        <w:rPr>
          <w:sz w:val="17"/>
          <w:szCs w:val="17"/>
          <w:lang w:val="ru-RU"/>
        </w:rPr>
      </w:pPr>
      <w:r w:rsidRPr="008F3BA3">
        <w:rPr>
          <w:sz w:val="17"/>
          <w:szCs w:val="17"/>
          <w:lang w:val="ru-RU"/>
        </w:rPr>
        <w:tab/>
      </w:r>
      <w:r w:rsidRPr="008F3BA3">
        <w:rPr>
          <w:sz w:val="17"/>
          <w:szCs w:val="17"/>
          <w:vertAlign w:val="superscript"/>
          <w:lang w:val="ru-RU"/>
        </w:rPr>
        <w:t>a</w:t>
      </w:r>
      <w:r w:rsidRPr="008F3BA3">
        <w:rPr>
          <w:sz w:val="17"/>
          <w:szCs w:val="17"/>
          <w:lang w:val="ru-RU"/>
        </w:rPr>
        <w:t xml:space="preserve"> Нижний диапазон рассчитан на основе следующих сценариев:</w:t>
      </w:r>
    </w:p>
    <w:p w14:paraId="4FE3703C" w14:textId="77777777" w:rsidR="00D407CB" w:rsidRPr="008F3BA3" w:rsidRDefault="00D407CB">
      <w:pPr>
        <w:pStyle w:val="Normal-pool"/>
        <w:numPr>
          <w:ilvl w:val="0"/>
          <w:numId w:val="20"/>
        </w:numPr>
        <w:tabs>
          <w:tab w:val="clear" w:pos="624"/>
          <w:tab w:val="clear" w:pos="1247"/>
          <w:tab w:val="clear" w:pos="1871"/>
          <w:tab w:val="clear" w:pos="2495"/>
          <w:tab w:val="clear" w:pos="3119"/>
          <w:tab w:val="clear" w:pos="3742"/>
          <w:tab w:val="clear" w:pos="4366"/>
          <w:tab w:val="clear" w:pos="4990"/>
        </w:tabs>
        <w:spacing w:before="40" w:after="40"/>
        <w:ind w:left="1871" w:firstLine="624"/>
        <w:rPr>
          <w:sz w:val="17"/>
          <w:szCs w:val="17"/>
          <w:lang w:val="ru-RU"/>
        </w:rPr>
      </w:pPr>
      <w:r w:rsidRPr="008F3BA3">
        <w:rPr>
          <w:sz w:val="17"/>
          <w:szCs w:val="17"/>
          <w:lang w:val="ru-RU"/>
        </w:rPr>
        <w:t xml:space="preserve">сценарий 1 для ГХФУ (исторические пороговые значения для экономической эффективности в производственных секторах) с выделением 90 процентов финансирования в течение трехгодичного периода 2027–2029 годов и 10 процентов – в течение трехгодичного периода 2030–2032 годов; </w:t>
      </w:r>
    </w:p>
    <w:p w14:paraId="63558ADB" w14:textId="6FF50CE1" w:rsidR="00D407CB" w:rsidRPr="008F3BA3" w:rsidRDefault="00D407CB">
      <w:pPr>
        <w:pStyle w:val="Normal-pool"/>
        <w:numPr>
          <w:ilvl w:val="0"/>
          <w:numId w:val="20"/>
        </w:numPr>
        <w:tabs>
          <w:tab w:val="clear" w:pos="624"/>
          <w:tab w:val="clear" w:pos="1247"/>
          <w:tab w:val="clear" w:pos="1871"/>
          <w:tab w:val="clear" w:pos="2495"/>
          <w:tab w:val="clear" w:pos="3119"/>
          <w:tab w:val="clear" w:pos="3742"/>
          <w:tab w:val="clear" w:pos="4366"/>
          <w:tab w:val="clear" w:pos="4990"/>
        </w:tabs>
        <w:spacing w:before="40" w:after="40"/>
        <w:ind w:left="1871" w:firstLine="624"/>
        <w:rPr>
          <w:sz w:val="17"/>
          <w:szCs w:val="17"/>
          <w:lang w:val="ru-RU"/>
        </w:rPr>
      </w:pPr>
      <w:r w:rsidRPr="008F3BA3">
        <w:rPr>
          <w:sz w:val="17"/>
          <w:szCs w:val="17"/>
          <w:lang w:val="ru-RU"/>
        </w:rPr>
        <w:t>для ГФУ совокупный диапазон расходов оценивается с использованием двух сценариев: сценарий 1 для ГФУ (руководящие указания для расчета расходов или пороговые значения для экономической эффективности, определенные экспертами без учета малых и средних предприятий) и сценарий 2 для ГФУ (руководящие указания для расчета расходов или пороговые значения для экономической эффективности, определенные экспертами с учетом малых и средних предприятий) с графиком распределения ресурсов А (подход с опережающим финансированием).</w:t>
      </w:r>
    </w:p>
    <w:p w14:paraId="63BCE453" w14:textId="4108900D" w:rsidR="00D407CB" w:rsidRPr="008F3BA3" w:rsidRDefault="00F7633C" w:rsidP="00F7633C">
      <w:pPr>
        <w:pStyle w:val="Normal-pool"/>
        <w:tabs>
          <w:tab w:val="clear" w:pos="624"/>
          <w:tab w:val="clear" w:pos="1247"/>
          <w:tab w:val="clear" w:pos="1871"/>
          <w:tab w:val="clear" w:pos="2495"/>
          <w:tab w:val="clear" w:pos="3119"/>
          <w:tab w:val="clear" w:pos="3742"/>
          <w:tab w:val="clear" w:pos="4366"/>
          <w:tab w:val="clear" w:pos="4990"/>
        </w:tabs>
        <w:spacing w:before="40" w:after="40"/>
        <w:ind w:left="1871"/>
        <w:rPr>
          <w:sz w:val="17"/>
          <w:szCs w:val="17"/>
          <w:lang w:val="ru-RU"/>
        </w:rPr>
      </w:pPr>
      <w:r w:rsidRPr="008F3BA3">
        <w:rPr>
          <w:sz w:val="17"/>
          <w:szCs w:val="17"/>
          <w:vertAlign w:val="superscript"/>
          <w:lang w:val="en-US"/>
        </w:rPr>
        <w:t>b</w:t>
      </w:r>
      <w:r w:rsidR="00D407CB" w:rsidRPr="008F3BA3">
        <w:rPr>
          <w:sz w:val="17"/>
          <w:szCs w:val="17"/>
          <w:lang w:val="ru-RU"/>
        </w:rPr>
        <w:t xml:space="preserve"> Верхний диапазон рассчитан на основе следующих сценариев:</w:t>
      </w:r>
    </w:p>
    <w:p w14:paraId="60902C27" w14:textId="2FD04B50" w:rsidR="00D407CB" w:rsidRPr="008F3BA3" w:rsidRDefault="00D407CB">
      <w:pPr>
        <w:pStyle w:val="Normal-pool"/>
        <w:numPr>
          <w:ilvl w:val="0"/>
          <w:numId w:val="21"/>
        </w:numPr>
        <w:tabs>
          <w:tab w:val="clear" w:pos="624"/>
          <w:tab w:val="clear" w:pos="1247"/>
          <w:tab w:val="clear" w:pos="1871"/>
          <w:tab w:val="clear" w:pos="2495"/>
          <w:tab w:val="clear" w:pos="3119"/>
          <w:tab w:val="clear" w:pos="3742"/>
          <w:tab w:val="clear" w:pos="4366"/>
          <w:tab w:val="clear" w:pos="4990"/>
        </w:tabs>
        <w:spacing w:before="40" w:after="40"/>
        <w:ind w:left="1871" w:firstLine="624"/>
        <w:rPr>
          <w:sz w:val="17"/>
          <w:szCs w:val="17"/>
          <w:lang w:val="ru-RU"/>
        </w:rPr>
      </w:pPr>
      <w:r w:rsidRPr="008F3BA3">
        <w:rPr>
          <w:sz w:val="17"/>
          <w:szCs w:val="17"/>
          <w:lang w:val="ru-RU"/>
        </w:rPr>
        <w:t>сценарий 2 для ГХФУ (пороговые значения для экономической эффективности применены в соответствии с руководящими указаниями для расчета расходов в производственных секторах) с выделением 90 процентов финансирования в течение трехгодичного периода 2027</w:t>
      </w:r>
      <w:r w:rsidR="00F7633C" w:rsidRPr="008F3BA3">
        <w:rPr>
          <w:sz w:val="17"/>
          <w:szCs w:val="17"/>
          <w:lang w:val="ru-RU"/>
        </w:rPr>
        <w:noBreakHyphen/>
      </w:r>
      <w:r w:rsidRPr="008F3BA3">
        <w:rPr>
          <w:sz w:val="17"/>
          <w:szCs w:val="17"/>
          <w:lang w:val="ru-RU"/>
        </w:rPr>
        <w:t xml:space="preserve">2029 годов и 10 процентов – в течение трехгодичного периода 2030–2032 годов; </w:t>
      </w:r>
    </w:p>
    <w:p w14:paraId="15FAB281" w14:textId="4FCC8381" w:rsidR="00D407CB" w:rsidRPr="008F3BA3" w:rsidRDefault="00D407CB">
      <w:pPr>
        <w:pStyle w:val="Normal-pool"/>
        <w:numPr>
          <w:ilvl w:val="0"/>
          <w:numId w:val="21"/>
        </w:numPr>
        <w:tabs>
          <w:tab w:val="clear" w:pos="624"/>
          <w:tab w:val="clear" w:pos="1247"/>
          <w:tab w:val="clear" w:pos="1871"/>
          <w:tab w:val="clear" w:pos="2495"/>
          <w:tab w:val="clear" w:pos="3119"/>
          <w:tab w:val="clear" w:pos="3742"/>
          <w:tab w:val="clear" w:pos="4366"/>
          <w:tab w:val="clear" w:pos="4990"/>
        </w:tabs>
        <w:spacing w:before="40" w:after="120"/>
        <w:ind w:left="1871" w:firstLine="624"/>
        <w:rPr>
          <w:sz w:val="17"/>
          <w:szCs w:val="17"/>
          <w:lang w:val="ru-RU"/>
        </w:rPr>
      </w:pPr>
      <w:r w:rsidRPr="008F3BA3">
        <w:rPr>
          <w:sz w:val="17"/>
          <w:szCs w:val="17"/>
          <w:lang w:val="ru-RU"/>
        </w:rPr>
        <w:t xml:space="preserve">для ГФУ совокупный диапазон расходов оценивается с использованием двух сценариев: сценария 1 для ГФУ и сценария 2 для ГФУ с графиком распределения ресурсов В (подход с постепенным финансированием). </w:t>
      </w:r>
    </w:p>
    <w:p w14:paraId="5FDCF999" w14:textId="677B8554" w:rsidR="00134051" w:rsidRPr="00F87FB4" w:rsidRDefault="00D407CB" w:rsidP="00F87FB4">
      <w:pPr>
        <w:pStyle w:val="Normalnumber"/>
        <w:ind w:left="1247"/>
        <w:rPr>
          <w:sz w:val="20"/>
          <w:szCs w:val="20"/>
          <w:lang w:val="ru-RU"/>
        </w:rPr>
      </w:pPr>
      <w:r w:rsidRPr="00F87FB4">
        <w:rPr>
          <w:sz w:val="20"/>
          <w:szCs w:val="20"/>
          <w:lang w:val="ru-RU"/>
        </w:rPr>
        <w:t>Рабочая группа открытого состава, возможно, пожелает рассмотреть первоначальные результаты работы целевой группы. Как обычно, Стороны</w:t>
      </w:r>
      <w:r w:rsidR="003370A5" w:rsidRPr="00F87FB4">
        <w:rPr>
          <w:sz w:val="20"/>
          <w:szCs w:val="20"/>
          <w:lang w:val="ru-RU"/>
        </w:rPr>
        <w:t xml:space="preserve"> могут пожелать </w:t>
      </w:r>
      <w:r w:rsidRPr="00F87FB4">
        <w:rPr>
          <w:sz w:val="20"/>
          <w:szCs w:val="20"/>
          <w:lang w:val="ru-RU"/>
        </w:rPr>
        <w:t>обсудить и согласовать добавочную информацию для включения в дополнительный доклад, который может быть подготовлен целевой группой до начала тридцать восьмого Совещания Сторон.</w:t>
      </w:r>
    </w:p>
    <w:bookmarkEnd w:id="13"/>
    <w:p w14:paraId="1D6538FC" w14:textId="1E4F3281" w:rsidR="00E62558" w:rsidRPr="00C66A9A" w:rsidRDefault="00E62558" w:rsidP="00F87FB4">
      <w:pPr>
        <w:pStyle w:val="CH2"/>
        <w:tabs>
          <w:tab w:val="clear" w:pos="851"/>
          <w:tab w:val="clear" w:pos="1247"/>
          <w:tab w:val="clear" w:pos="1871"/>
          <w:tab w:val="clear" w:pos="2495"/>
          <w:tab w:val="clear" w:pos="3119"/>
          <w:tab w:val="clear" w:pos="3742"/>
          <w:tab w:val="clear" w:pos="4366"/>
          <w:tab w:val="clear" w:pos="4990"/>
        </w:tabs>
        <w:spacing w:before="0"/>
        <w:ind w:right="567" w:firstLine="0"/>
        <w:rPr>
          <w:lang w:val="ru-RU"/>
        </w:rPr>
      </w:pPr>
      <w:r w:rsidRPr="00C66A9A">
        <w:rPr>
          <w:lang w:val="ru-RU"/>
        </w:rPr>
        <w:tab/>
      </w:r>
      <w:r w:rsidRPr="00C66A9A">
        <w:rPr>
          <w:bCs/>
          <w:lang w:val="ru-RU"/>
        </w:rPr>
        <w:t>Пункт 4 повестки дня</w:t>
      </w:r>
    </w:p>
    <w:p w14:paraId="4F47E32D" w14:textId="0CF00E9E" w:rsidR="00E62558" w:rsidRPr="00C66A9A" w:rsidRDefault="00E62558" w:rsidP="00F87FB4">
      <w:pPr>
        <w:keepNext/>
        <w:keepLines/>
        <w:suppressAutoHyphens/>
        <w:spacing w:after="120"/>
        <w:ind w:left="1247" w:right="567"/>
        <w:rPr>
          <w:b/>
          <w:lang w:val="ru-RU"/>
        </w:rPr>
      </w:pPr>
      <w:r w:rsidRPr="00C66A9A">
        <w:rPr>
          <w:lang w:val="ru-RU"/>
        </w:rPr>
        <w:tab/>
      </w:r>
      <w:r w:rsidRPr="00C66A9A">
        <w:rPr>
          <w:b/>
          <w:bCs/>
          <w:lang w:val="ru-RU"/>
        </w:rPr>
        <w:t>Сообщения Группы по техническому обзору и экономической оценке, посвященные ее докладу о ходе работы за 2026 год</w:t>
      </w:r>
    </w:p>
    <w:p w14:paraId="13E32811" w14:textId="0125A2D9" w:rsidR="00E62558" w:rsidRPr="00F87FB4" w:rsidRDefault="00E62558" w:rsidP="00F87FB4">
      <w:pPr>
        <w:pStyle w:val="Normalnumber"/>
        <w:ind w:left="1247"/>
        <w:rPr>
          <w:sz w:val="20"/>
          <w:szCs w:val="20"/>
          <w:lang w:val="ru-RU"/>
        </w:rPr>
      </w:pPr>
      <w:r w:rsidRPr="00F87FB4">
        <w:rPr>
          <w:sz w:val="20"/>
          <w:szCs w:val="20"/>
          <w:lang w:val="ru-RU"/>
        </w:rPr>
        <w:t xml:space="preserve">В рамках пункта 4 предварительной повестки дня Стороны рассмотрят информацию, представленную Группой по техническому обзору и экономической оценке в ее докладе о ходе </w:t>
      </w:r>
      <w:r w:rsidRPr="00F87FB4">
        <w:rPr>
          <w:sz w:val="20"/>
          <w:szCs w:val="20"/>
          <w:lang w:val="ru-RU"/>
        </w:rPr>
        <w:lastRenderedPageBreak/>
        <w:t>работы (2026 год)</w:t>
      </w:r>
      <w:r w:rsidRPr="00F87FB4">
        <w:rPr>
          <w:rStyle w:val="FootnoteReference"/>
          <w:szCs w:val="20"/>
          <w:lang w:val="ru-RU"/>
        </w:rPr>
        <w:footnoteReference w:id="7"/>
      </w:r>
      <w:r w:rsidRPr="00F87FB4">
        <w:rPr>
          <w:sz w:val="20"/>
          <w:szCs w:val="20"/>
          <w:lang w:val="ru-RU"/>
        </w:rPr>
        <w:t xml:space="preserve">, который включает доклады о ходе работы ее комитетов по техническим вариантам замены; </w:t>
      </w:r>
      <w:r w:rsidR="004B7D17" w:rsidRPr="00F87FB4">
        <w:rPr>
          <w:sz w:val="20"/>
          <w:szCs w:val="20"/>
          <w:lang w:val="ru-RU"/>
        </w:rPr>
        <w:t xml:space="preserve">ответы на решения </w:t>
      </w:r>
      <w:r w:rsidR="002779D8">
        <w:rPr>
          <w:sz w:val="20"/>
          <w:szCs w:val="20"/>
          <w:lang w:val="ru-RU"/>
        </w:rPr>
        <w:t>с</w:t>
      </w:r>
      <w:r w:rsidR="004B7D17" w:rsidRPr="00F87FB4">
        <w:rPr>
          <w:sz w:val="20"/>
          <w:szCs w:val="20"/>
          <w:lang w:val="ru-RU"/>
        </w:rPr>
        <w:t xml:space="preserve">овещаний Сторон, касающиеся </w:t>
      </w:r>
      <w:r w:rsidRPr="00F87FB4">
        <w:rPr>
          <w:sz w:val="20"/>
          <w:szCs w:val="20"/>
          <w:lang w:val="ru-RU"/>
        </w:rPr>
        <w:t xml:space="preserve"> </w:t>
      </w:r>
      <w:r w:rsidR="004B7D17" w:rsidRPr="00F87FB4">
        <w:rPr>
          <w:sz w:val="20"/>
          <w:szCs w:val="20"/>
          <w:lang w:val="ru-RU"/>
        </w:rPr>
        <w:t xml:space="preserve">галона 1301 и других регулируемых веществ, используемых для пожаротушения (решение </w:t>
      </w:r>
      <w:r w:rsidR="004B7D17" w:rsidRPr="00F87FB4">
        <w:rPr>
          <w:sz w:val="20"/>
          <w:szCs w:val="20"/>
        </w:rPr>
        <w:t>XXXVII</w:t>
      </w:r>
      <w:r w:rsidR="004B7D17" w:rsidRPr="00F87FB4">
        <w:rPr>
          <w:sz w:val="20"/>
          <w:szCs w:val="20"/>
          <w:lang w:val="ru-RU"/>
        </w:rPr>
        <w:t>/4); дозированных ингаляторов с пропеллентами с низким потенциалом глобального потепления (решение</w:t>
      </w:r>
      <w:r w:rsidR="00F87FB4">
        <w:rPr>
          <w:sz w:val="20"/>
          <w:szCs w:val="20"/>
          <w:lang w:val="ru-RU"/>
        </w:rPr>
        <w:t> </w:t>
      </w:r>
      <w:r w:rsidR="004B7D17" w:rsidRPr="00F87FB4">
        <w:rPr>
          <w:sz w:val="20"/>
          <w:szCs w:val="20"/>
        </w:rPr>
        <w:t>XXXVI</w:t>
      </w:r>
      <w:r w:rsidR="004B7D17" w:rsidRPr="00F87FB4">
        <w:rPr>
          <w:sz w:val="20"/>
          <w:szCs w:val="20"/>
          <w:lang w:val="ru-RU"/>
        </w:rPr>
        <w:t xml:space="preserve">/6), вариантов организации Группы и ее комитетов по техническим вариантам замены (решение </w:t>
      </w:r>
      <w:r w:rsidR="004B7D17" w:rsidRPr="00F87FB4">
        <w:rPr>
          <w:sz w:val="20"/>
          <w:szCs w:val="20"/>
        </w:rPr>
        <w:t>XXXV</w:t>
      </w:r>
      <w:r w:rsidR="004B7D17" w:rsidRPr="00F87FB4">
        <w:rPr>
          <w:sz w:val="20"/>
          <w:szCs w:val="20"/>
          <w:lang w:val="ru-RU"/>
        </w:rPr>
        <w:t>/20)</w:t>
      </w:r>
      <w:r w:rsidRPr="00F87FB4">
        <w:rPr>
          <w:sz w:val="20"/>
          <w:szCs w:val="20"/>
          <w:lang w:val="ru-RU"/>
        </w:rPr>
        <w:t xml:space="preserve">; </w:t>
      </w:r>
      <w:r w:rsidR="004B7D17" w:rsidRPr="00F87FB4">
        <w:rPr>
          <w:sz w:val="20"/>
          <w:szCs w:val="20"/>
          <w:lang w:val="ru-RU"/>
        </w:rPr>
        <w:t>изменений в членском составе Группы</w:t>
      </w:r>
      <w:r w:rsidRPr="00F87FB4">
        <w:rPr>
          <w:sz w:val="20"/>
          <w:szCs w:val="20"/>
          <w:lang w:val="ru-RU"/>
        </w:rPr>
        <w:t xml:space="preserve">; </w:t>
      </w:r>
      <w:r w:rsidR="004B7D17" w:rsidRPr="00F87FB4">
        <w:rPr>
          <w:sz w:val="20"/>
          <w:szCs w:val="20"/>
          <w:lang w:val="ru-RU"/>
        </w:rPr>
        <w:t>и других вопросов</w:t>
      </w:r>
      <w:r w:rsidRPr="00F87FB4">
        <w:rPr>
          <w:sz w:val="20"/>
          <w:szCs w:val="20"/>
          <w:lang w:val="ru-RU"/>
        </w:rPr>
        <w:t xml:space="preserve">, </w:t>
      </w:r>
      <w:r w:rsidR="004B7D17" w:rsidRPr="00F87FB4">
        <w:rPr>
          <w:sz w:val="20"/>
          <w:szCs w:val="20"/>
          <w:lang w:val="ru-RU"/>
        </w:rPr>
        <w:t>включая оценку технологии уничтожения,</w:t>
      </w:r>
      <w:r w:rsidRPr="00F87FB4">
        <w:rPr>
          <w:sz w:val="20"/>
          <w:szCs w:val="20"/>
          <w:lang w:val="ru-RU"/>
        </w:rPr>
        <w:t xml:space="preserve"> </w:t>
      </w:r>
      <w:r w:rsidR="004B7D17" w:rsidRPr="00F87FB4">
        <w:rPr>
          <w:sz w:val="20"/>
          <w:szCs w:val="20"/>
          <w:lang w:val="ru-RU"/>
        </w:rPr>
        <w:t>представленной Канадой, и обновленную информацию о перфторалкильных и полифторалкильных веществах (ПФАВ)</w:t>
      </w:r>
      <w:r w:rsidRPr="00F87FB4">
        <w:rPr>
          <w:sz w:val="20"/>
          <w:szCs w:val="20"/>
          <w:lang w:val="ru-RU"/>
        </w:rPr>
        <w:t xml:space="preserve">. </w:t>
      </w:r>
    </w:p>
    <w:p w14:paraId="0C84CB2D" w14:textId="254AB487" w:rsidR="00E62558" w:rsidRPr="00F87FB4" w:rsidRDefault="00245BA1" w:rsidP="00F87FB4">
      <w:pPr>
        <w:pStyle w:val="Normalnumber"/>
        <w:ind w:left="1247"/>
        <w:rPr>
          <w:sz w:val="20"/>
          <w:szCs w:val="20"/>
          <w:lang w:val="ru-RU"/>
        </w:rPr>
      </w:pPr>
      <w:r w:rsidRPr="00F87FB4">
        <w:rPr>
          <w:sz w:val="20"/>
          <w:szCs w:val="20"/>
          <w:lang w:val="ru-RU"/>
        </w:rPr>
        <w:t xml:space="preserve">Основные выводы из докладов о ходе работы комитетов по техническим вариантам замены, изложенные в докладе о ходе работы Группы, приводятся в приложении </w:t>
      </w:r>
      <w:r w:rsidRPr="00F87FB4">
        <w:rPr>
          <w:sz w:val="20"/>
          <w:szCs w:val="20"/>
        </w:rPr>
        <w:t>I</w:t>
      </w:r>
      <w:r w:rsidRPr="00F87FB4">
        <w:rPr>
          <w:sz w:val="20"/>
          <w:szCs w:val="20"/>
          <w:lang w:val="ru-RU"/>
        </w:rPr>
        <w:t xml:space="preserve"> к настоящему дополнению без официального редактирования. Во избежание дублирования из приложения А были исключены части основных выводов, касающиеся решений XXXVII/4, XXXVI/6 и XXXV/20, а также информация о других ключевых вопроса</w:t>
      </w:r>
      <w:r w:rsidR="00D407CB" w:rsidRPr="00F87FB4">
        <w:rPr>
          <w:sz w:val="20"/>
          <w:szCs w:val="20"/>
          <w:lang w:val="ru-RU"/>
        </w:rPr>
        <w:t>х</w:t>
      </w:r>
      <w:r w:rsidRPr="00F87FB4">
        <w:rPr>
          <w:sz w:val="20"/>
          <w:szCs w:val="20"/>
          <w:lang w:val="ru-RU"/>
        </w:rPr>
        <w:t>; эти вопросы рассматриваются исключительно в подразделах a), b), c) и e) ниже</w:t>
      </w:r>
      <w:r w:rsidR="00E62558" w:rsidRPr="00F87FB4">
        <w:rPr>
          <w:sz w:val="20"/>
          <w:szCs w:val="20"/>
          <w:lang w:val="ru-RU"/>
        </w:rPr>
        <w:t xml:space="preserve">. </w:t>
      </w:r>
    </w:p>
    <w:p w14:paraId="5D733D43" w14:textId="7B021204" w:rsidR="00E62558" w:rsidRPr="00C66A9A" w:rsidRDefault="00F87FB4" w:rsidP="00435B54">
      <w:pPr>
        <w:pStyle w:val="CH3"/>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Pr>
          <w:bCs/>
          <w:lang w:val="ru-RU"/>
        </w:rPr>
        <w:tab/>
      </w:r>
      <w:r w:rsidR="00E62558" w:rsidRPr="00C66A9A">
        <w:rPr>
          <w:bCs/>
          <w:lang w:val="ru-RU"/>
        </w:rPr>
        <w:t>a)</w:t>
      </w:r>
      <w:r w:rsidR="00E62558" w:rsidRPr="00C66A9A">
        <w:rPr>
          <w:lang w:val="ru-RU"/>
        </w:rPr>
        <w:tab/>
      </w:r>
      <w:r w:rsidR="00E62558" w:rsidRPr="00C66A9A">
        <w:rPr>
          <w:bCs/>
          <w:lang w:val="ru-RU"/>
        </w:rPr>
        <w:t>Галон 1301 и его продолжающееся использование в авиационной промышленности;</w:t>
      </w:r>
      <w:r w:rsidR="00E62558" w:rsidRPr="00C66A9A">
        <w:rPr>
          <w:lang w:val="ru-RU"/>
        </w:rPr>
        <w:t xml:space="preserve"> </w:t>
      </w:r>
      <w:r w:rsidR="00E62558" w:rsidRPr="00C66A9A">
        <w:rPr>
          <w:bCs/>
          <w:lang w:val="ru-RU"/>
        </w:rPr>
        <w:t>обращение с другими регулируемыми веществами, используемыми для пожаротушения (решение XXXVII/4)</w:t>
      </w:r>
    </w:p>
    <w:p w14:paraId="29020ADC" w14:textId="2EA9C05E" w:rsidR="00E62558" w:rsidRPr="00F87FB4" w:rsidRDefault="00245BA1" w:rsidP="00F87FB4">
      <w:pPr>
        <w:pStyle w:val="Normalnumber"/>
        <w:ind w:left="1247"/>
        <w:rPr>
          <w:sz w:val="20"/>
          <w:szCs w:val="20"/>
          <w:lang w:val="ru-RU"/>
        </w:rPr>
      </w:pPr>
      <w:r w:rsidRPr="00F87FB4">
        <w:rPr>
          <w:sz w:val="20"/>
          <w:szCs w:val="20"/>
          <w:lang w:val="ru-RU"/>
        </w:rPr>
        <w:t xml:space="preserve">Как отмечается в записке </w:t>
      </w:r>
      <w:r w:rsidR="004B0F79" w:rsidRPr="00F87FB4">
        <w:rPr>
          <w:sz w:val="20"/>
          <w:szCs w:val="20"/>
          <w:lang w:val="ru-RU"/>
        </w:rPr>
        <w:t xml:space="preserve">секретариата </w:t>
      </w:r>
      <w:r w:rsidRPr="00F87FB4">
        <w:rPr>
          <w:sz w:val="20"/>
          <w:szCs w:val="20"/>
          <w:lang w:val="ru-RU"/>
        </w:rPr>
        <w:t>(UNEP/OzL.Pro.WG.1/48/2, пункты 10–15), в решении XXXVII/4 тридцать седьмое Совещание Сторон поручило секретариату взаимодействовать с секретариатом Международной организации гражданской авиации (ИКАО) по вопросу о средствах пожаротушения, регулируемых в рамках Монреальского протокола, и содействовать обмен</w:t>
      </w:r>
      <w:r w:rsidR="00D407CB" w:rsidRPr="00F87FB4">
        <w:rPr>
          <w:sz w:val="20"/>
          <w:szCs w:val="20"/>
          <w:lang w:val="ru-RU"/>
        </w:rPr>
        <w:t>у</w:t>
      </w:r>
      <w:r w:rsidRPr="00F87FB4">
        <w:rPr>
          <w:sz w:val="20"/>
          <w:szCs w:val="20"/>
          <w:lang w:val="ru-RU"/>
        </w:rPr>
        <w:t xml:space="preserve"> информацией между Группой по техническому обзору и экономической оценке через ее Комитет по техническим вариантам замены для пожаротушения и соответствующими техническими комитетами и рабочими группами ИКАО, с тем чтобы Группа могла представить Сторонам до начала сорок восьмого </w:t>
      </w:r>
      <w:r w:rsidR="00C66A9A" w:rsidRPr="00F87FB4">
        <w:rPr>
          <w:sz w:val="20"/>
          <w:szCs w:val="20"/>
          <w:lang w:val="ru-RU"/>
        </w:rPr>
        <w:t>совещания</w:t>
      </w:r>
      <w:r w:rsidRPr="00F87FB4">
        <w:rPr>
          <w:sz w:val="20"/>
          <w:szCs w:val="20"/>
          <w:lang w:val="ru-RU"/>
        </w:rPr>
        <w:t xml:space="preserve"> Рабочей группы открытого состава доклад о наличии галонов и глобальном распределении запасов галонов. Ответ Группы, подготовленный Комитетом по техническим вариантам замены для пожаротушения, представлен в разделе 3.8 ее доклада о ходе работы. Ниже приводится его краткое изложение</w:t>
      </w:r>
      <w:r w:rsidRPr="00F87FB4">
        <w:rPr>
          <w:sz w:val="20"/>
          <w:szCs w:val="20"/>
        </w:rPr>
        <w:t>.</w:t>
      </w:r>
    </w:p>
    <w:p w14:paraId="718B4815" w14:textId="0D5F5DD7" w:rsidR="00245BA1" w:rsidRPr="00F87FB4" w:rsidRDefault="00E62558" w:rsidP="00F87FB4">
      <w:pPr>
        <w:pStyle w:val="Normalnumber"/>
        <w:ind w:left="1247"/>
        <w:rPr>
          <w:sz w:val="20"/>
          <w:szCs w:val="20"/>
          <w:lang w:val="ru-RU"/>
        </w:rPr>
      </w:pPr>
      <w:r w:rsidRPr="00F87FB4">
        <w:rPr>
          <w:sz w:val="20"/>
          <w:szCs w:val="20"/>
          <w:lang w:val="ru-RU"/>
        </w:rPr>
        <w:t>В ответ на письмо секретариата в адрес ИКАО от 4 февраля 2026 года, упомянутое в записке секретариата, секретариат ИКАО в письме от 29 апреля 2026 года назначил руководителя секции эксплуатационной безопасности Аэронавигационно</w:t>
      </w:r>
      <w:r w:rsidR="00245BA1" w:rsidRPr="00F87FB4">
        <w:rPr>
          <w:sz w:val="20"/>
          <w:szCs w:val="20"/>
          <w:lang w:val="ru-RU"/>
        </w:rPr>
        <w:t>го</w:t>
      </w:r>
      <w:r w:rsidRPr="00F87FB4">
        <w:rPr>
          <w:sz w:val="20"/>
          <w:szCs w:val="20"/>
          <w:lang w:val="ru-RU"/>
        </w:rPr>
        <w:t xml:space="preserve"> управления координатором по вопросам, касающимся регулирования галонов и их альтернатив в гражданской авиации.</w:t>
      </w:r>
      <w:r w:rsidR="00245BA1" w:rsidRPr="00F87FB4">
        <w:rPr>
          <w:sz w:val="20"/>
          <w:szCs w:val="20"/>
          <w:lang w:val="ru-RU"/>
        </w:rPr>
        <w:t xml:space="preserve"> Письмо также ссылается на резолюцию ИКАО </w:t>
      </w:r>
      <w:r w:rsidR="00245BA1" w:rsidRPr="00F87FB4">
        <w:rPr>
          <w:sz w:val="20"/>
          <w:szCs w:val="20"/>
        </w:rPr>
        <w:t>A</w:t>
      </w:r>
      <w:r w:rsidR="00245BA1" w:rsidRPr="00F87FB4">
        <w:rPr>
          <w:sz w:val="20"/>
          <w:szCs w:val="20"/>
          <w:lang w:val="ru-RU"/>
        </w:rPr>
        <w:t xml:space="preserve">42-11 о замене галона, принятую Ассамблеей ИКАО на ее сорок второй сессии, </w:t>
      </w:r>
      <w:r w:rsidR="00C66A9A" w:rsidRPr="00F87FB4">
        <w:rPr>
          <w:sz w:val="20"/>
          <w:szCs w:val="20"/>
          <w:lang w:val="ru-RU"/>
        </w:rPr>
        <w:t>прошедшей</w:t>
      </w:r>
      <w:r w:rsidR="00245BA1" w:rsidRPr="00F87FB4">
        <w:rPr>
          <w:sz w:val="20"/>
          <w:szCs w:val="20"/>
          <w:lang w:val="ru-RU"/>
        </w:rPr>
        <w:t xml:space="preserve"> в Монреале</w:t>
      </w:r>
      <w:r w:rsidR="00D407CB" w:rsidRPr="00F87FB4">
        <w:rPr>
          <w:sz w:val="20"/>
          <w:szCs w:val="20"/>
          <w:lang w:val="ru-RU"/>
        </w:rPr>
        <w:t xml:space="preserve"> </w:t>
      </w:r>
      <w:r w:rsidR="00245BA1" w:rsidRPr="00F87FB4">
        <w:rPr>
          <w:sz w:val="20"/>
          <w:szCs w:val="20"/>
          <w:lang w:val="ru-RU"/>
        </w:rPr>
        <w:t>(Канада) с 23</w:t>
      </w:r>
      <w:r w:rsidR="00F87FB4">
        <w:rPr>
          <w:sz w:val="20"/>
          <w:szCs w:val="20"/>
          <w:lang w:val="ru-RU"/>
        </w:rPr>
        <w:t> </w:t>
      </w:r>
      <w:r w:rsidR="00245BA1" w:rsidRPr="00F87FB4">
        <w:rPr>
          <w:sz w:val="20"/>
          <w:szCs w:val="20"/>
          <w:lang w:val="ru-RU"/>
        </w:rPr>
        <w:t xml:space="preserve">сентября по 3 октября 2025 года. В частности, упоминается пункт 6 резолюции, в котором государствам было рекомендовано при содействии ИКАО наладить взаимодействие с секретариатом по озону, Группой по техническому обзору и экономической оценке и ее Комитетом по техническим вариантам </w:t>
      </w:r>
      <w:r w:rsidR="00D407CB" w:rsidRPr="00F87FB4">
        <w:rPr>
          <w:sz w:val="20"/>
          <w:szCs w:val="20"/>
          <w:lang w:val="ru-RU"/>
        </w:rPr>
        <w:t xml:space="preserve">замены </w:t>
      </w:r>
      <w:r w:rsidR="00245BA1" w:rsidRPr="00F87FB4">
        <w:rPr>
          <w:sz w:val="20"/>
          <w:szCs w:val="20"/>
          <w:lang w:val="ru-RU"/>
        </w:rPr>
        <w:t>для пожаротушения в целях оценки мировых запасов галона и содействия устойчивому регулировани</w:t>
      </w:r>
      <w:r w:rsidR="00D407CB" w:rsidRPr="00F87FB4">
        <w:rPr>
          <w:sz w:val="20"/>
          <w:szCs w:val="20"/>
          <w:lang w:val="ru-RU"/>
        </w:rPr>
        <w:t>ю</w:t>
      </w:r>
      <w:r w:rsidR="00245BA1" w:rsidRPr="00F87FB4">
        <w:rPr>
          <w:sz w:val="20"/>
          <w:szCs w:val="20"/>
          <w:lang w:val="ru-RU"/>
        </w:rPr>
        <w:t xml:space="preserve"> имеющихся запасов галона, в том числе с помощью </w:t>
      </w:r>
      <w:r w:rsidR="00D407CB" w:rsidRPr="00F87FB4">
        <w:rPr>
          <w:sz w:val="20"/>
          <w:szCs w:val="20"/>
          <w:lang w:val="ru-RU"/>
        </w:rPr>
        <w:t xml:space="preserve">подачи </w:t>
      </w:r>
      <w:r w:rsidR="00245BA1" w:rsidRPr="00F87FB4">
        <w:rPr>
          <w:sz w:val="20"/>
          <w:szCs w:val="20"/>
          <w:lang w:val="ru-RU"/>
        </w:rPr>
        <w:t xml:space="preserve">заявки в отношении основных видов применения </w:t>
      </w:r>
      <w:r w:rsidR="00D407CB" w:rsidRPr="00F87FB4">
        <w:rPr>
          <w:sz w:val="20"/>
          <w:szCs w:val="20"/>
          <w:lang w:val="ru-RU"/>
        </w:rPr>
        <w:t xml:space="preserve">в рамках Монреальского протокола </w:t>
      </w:r>
      <w:r w:rsidR="00245BA1" w:rsidRPr="00F87FB4">
        <w:rPr>
          <w:sz w:val="20"/>
          <w:szCs w:val="20"/>
          <w:lang w:val="ru-RU"/>
        </w:rPr>
        <w:t>для</w:t>
      </w:r>
      <w:r w:rsidR="00D407CB" w:rsidRPr="00F87FB4">
        <w:rPr>
          <w:sz w:val="20"/>
          <w:szCs w:val="20"/>
          <w:lang w:val="ru-RU"/>
        </w:rPr>
        <w:t xml:space="preserve"> использования</w:t>
      </w:r>
      <w:r w:rsidR="00245BA1" w:rsidRPr="00F87FB4">
        <w:rPr>
          <w:sz w:val="20"/>
          <w:szCs w:val="20"/>
          <w:lang w:val="ru-RU"/>
        </w:rPr>
        <w:t xml:space="preserve"> галона в грузовых отсеках воздушных судов </w:t>
      </w:r>
      <w:r w:rsidR="00D407CB" w:rsidRPr="00F87FB4">
        <w:rPr>
          <w:sz w:val="20"/>
          <w:szCs w:val="20"/>
          <w:lang w:val="ru-RU"/>
        </w:rPr>
        <w:t xml:space="preserve">с целью </w:t>
      </w:r>
      <w:r w:rsidR="00245BA1" w:rsidRPr="00F87FB4">
        <w:rPr>
          <w:sz w:val="20"/>
          <w:szCs w:val="20"/>
          <w:lang w:val="ru-RU"/>
        </w:rPr>
        <w:t>поддержания авиационной безопасности.</w:t>
      </w:r>
    </w:p>
    <w:p w14:paraId="6CF70961" w14:textId="7F62C393" w:rsidR="00E62558" w:rsidRPr="00F87FB4" w:rsidRDefault="00245BA1" w:rsidP="00F87FB4">
      <w:pPr>
        <w:pStyle w:val="Normalnumber"/>
        <w:ind w:left="1247"/>
        <w:rPr>
          <w:sz w:val="20"/>
          <w:szCs w:val="20"/>
          <w:lang w:val="ru-RU"/>
        </w:rPr>
      </w:pPr>
      <w:r w:rsidRPr="00F87FB4">
        <w:rPr>
          <w:sz w:val="20"/>
          <w:szCs w:val="20"/>
          <w:lang w:val="ru-RU"/>
        </w:rPr>
        <w:t>В этой связи важно также отметить, что в пункте 7 резолюции A42-11 Ассамблея поручила Совету ИКАО в координации с представителями отрасли и с учетом оценки глобальных запасов галона разработать предложение о пересмотре даты окончательного прекращения замены галонов для заявок на получение новых сертификатов типа воздушных судов. В соответствии с резолюцией предложение должно основываться на всеобъемлющих данных, включая наличие галонов и ход разработки альтернативных решений, а также учитывать соображения безопасности</w:t>
      </w:r>
      <w:r w:rsidR="00E62558" w:rsidRPr="00F87FB4">
        <w:rPr>
          <w:sz w:val="20"/>
          <w:szCs w:val="20"/>
          <w:lang w:val="ru-RU"/>
        </w:rPr>
        <w:t>.</w:t>
      </w:r>
    </w:p>
    <w:p w14:paraId="5C2FB736" w14:textId="54C2D96A" w:rsidR="00E62558" w:rsidRPr="009E6653" w:rsidRDefault="00E62558" w:rsidP="00F87FB4">
      <w:pPr>
        <w:pStyle w:val="Normalnumber"/>
        <w:ind w:left="1247"/>
        <w:rPr>
          <w:sz w:val="20"/>
          <w:szCs w:val="20"/>
          <w:lang w:val="ru-RU"/>
        </w:rPr>
      </w:pPr>
      <w:r w:rsidRPr="009E6653">
        <w:rPr>
          <w:sz w:val="20"/>
          <w:szCs w:val="20"/>
          <w:lang w:val="ru-RU"/>
        </w:rPr>
        <w:t xml:space="preserve">Тем временем Комитет по техническим вариантам замены для пожаротушения поддерживает связь с Консультативной группой по замене галона в грузовых отсеках, созданной при Международном координационном совете ассоциаций аэрокосмической промышленности. </w:t>
      </w:r>
      <w:r w:rsidR="00245BA1" w:rsidRPr="009E6653">
        <w:rPr>
          <w:sz w:val="20"/>
          <w:szCs w:val="20"/>
          <w:lang w:val="ru-RU"/>
        </w:rPr>
        <w:t>Две группы экспертов предложили секретариату по озону и секретариату ИКАО рассмотреть возможность подготовки совместного письма с запросом данных у Сторон Монреальского протокола в целях более точной оценки будущего использования галонов в гражданской авиации и потребностей в них.</w:t>
      </w:r>
      <w:r w:rsidRPr="009E6653">
        <w:rPr>
          <w:sz w:val="20"/>
          <w:szCs w:val="20"/>
          <w:lang w:val="ru-RU"/>
        </w:rPr>
        <w:t xml:space="preserve"> </w:t>
      </w:r>
    </w:p>
    <w:p w14:paraId="2D947EE4" w14:textId="4BE1CF4B" w:rsidR="00E62558" w:rsidRPr="00F87FB4" w:rsidRDefault="00245BA1" w:rsidP="00F87FB4">
      <w:pPr>
        <w:pStyle w:val="Normalnumber"/>
        <w:ind w:left="1247"/>
        <w:rPr>
          <w:sz w:val="20"/>
          <w:szCs w:val="20"/>
          <w:lang w:val="ru-RU"/>
        </w:rPr>
      </w:pPr>
      <w:r w:rsidRPr="00F87FB4">
        <w:rPr>
          <w:sz w:val="20"/>
          <w:szCs w:val="20"/>
          <w:lang w:val="ru-RU"/>
        </w:rPr>
        <w:lastRenderedPageBreak/>
        <w:t xml:space="preserve">Секретариат ИКАО также поручил создать официальную группу экспертов в рамках Группы по летной годности с участием, в частности, производителей оригинального оборудования, </w:t>
      </w:r>
      <w:r w:rsidR="00D407CB" w:rsidRPr="00F87FB4">
        <w:rPr>
          <w:sz w:val="20"/>
          <w:szCs w:val="20"/>
          <w:lang w:val="ru-RU"/>
        </w:rPr>
        <w:t xml:space="preserve">предприятий по </w:t>
      </w:r>
      <w:r w:rsidRPr="00F87FB4">
        <w:rPr>
          <w:sz w:val="20"/>
          <w:szCs w:val="20"/>
          <w:lang w:val="ru-RU"/>
        </w:rPr>
        <w:t>техническ</w:t>
      </w:r>
      <w:r w:rsidR="00D407CB" w:rsidRPr="00F87FB4">
        <w:rPr>
          <w:sz w:val="20"/>
          <w:szCs w:val="20"/>
          <w:lang w:val="ru-RU"/>
        </w:rPr>
        <w:t>ому</w:t>
      </w:r>
      <w:r w:rsidRPr="00F87FB4">
        <w:rPr>
          <w:sz w:val="20"/>
          <w:szCs w:val="20"/>
          <w:lang w:val="ru-RU"/>
        </w:rPr>
        <w:t xml:space="preserve"> обслуживани</w:t>
      </w:r>
      <w:r w:rsidR="00D407CB" w:rsidRPr="00F87FB4">
        <w:rPr>
          <w:sz w:val="20"/>
          <w:szCs w:val="20"/>
          <w:lang w:val="ru-RU"/>
        </w:rPr>
        <w:t>ю, ремонту и восстановлению</w:t>
      </w:r>
      <w:r w:rsidRPr="00F87FB4">
        <w:rPr>
          <w:sz w:val="20"/>
          <w:szCs w:val="20"/>
          <w:lang w:val="ru-RU"/>
        </w:rPr>
        <w:t>, поставщиков, предприятий по переработке, неправительственных организаций, Группы по техническо</w:t>
      </w:r>
      <w:r w:rsidR="00C66A9A" w:rsidRPr="00F87FB4">
        <w:rPr>
          <w:sz w:val="20"/>
          <w:szCs w:val="20"/>
          <w:lang w:val="ru-RU"/>
        </w:rPr>
        <w:t>му обзору</w:t>
      </w:r>
      <w:r w:rsidRPr="00F87FB4">
        <w:rPr>
          <w:sz w:val="20"/>
          <w:szCs w:val="20"/>
          <w:lang w:val="ru-RU"/>
        </w:rPr>
        <w:t xml:space="preserve"> и экономической оценке и ее Комитета по техническим вариантам замены для пожаротушения, а также других заинтересованных сторон.</w:t>
      </w:r>
    </w:p>
    <w:p w14:paraId="631306A8" w14:textId="0A95933F" w:rsidR="00245BA1" w:rsidRPr="00F87FB4" w:rsidRDefault="00245BA1" w:rsidP="00F87FB4">
      <w:pPr>
        <w:pStyle w:val="Normalnumber"/>
        <w:ind w:left="1247"/>
        <w:rPr>
          <w:sz w:val="20"/>
          <w:szCs w:val="20"/>
          <w:lang w:val="ru-RU"/>
        </w:rPr>
      </w:pPr>
      <w:r w:rsidRPr="00F87FB4">
        <w:rPr>
          <w:sz w:val="20"/>
          <w:szCs w:val="20"/>
          <w:lang w:val="ru-RU"/>
        </w:rPr>
        <w:t xml:space="preserve">В ответ на резолюцию </w:t>
      </w:r>
      <w:r w:rsidRPr="00F87FB4">
        <w:rPr>
          <w:sz w:val="20"/>
          <w:szCs w:val="20"/>
        </w:rPr>
        <w:t>A</w:t>
      </w:r>
      <w:r w:rsidRPr="00F87FB4">
        <w:rPr>
          <w:sz w:val="20"/>
          <w:szCs w:val="20"/>
          <w:lang w:val="ru-RU"/>
        </w:rPr>
        <w:t xml:space="preserve">42-11 Ассамблеи ИКАО и решение </w:t>
      </w:r>
      <w:r w:rsidRPr="00F87FB4">
        <w:rPr>
          <w:sz w:val="20"/>
          <w:szCs w:val="20"/>
        </w:rPr>
        <w:t>XXXVII</w:t>
      </w:r>
      <w:r w:rsidRPr="00F87FB4">
        <w:rPr>
          <w:sz w:val="20"/>
          <w:szCs w:val="20"/>
          <w:lang w:val="ru-RU"/>
        </w:rPr>
        <w:t xml:space="preserve">/4 тридцать седьмого Совещания Сторон Консультативная группа по замене галона в грузовых отсеках сформировала небольшую рабочую группу, в состав которой вошел член Комитета по техническим вариантам замены для пожаротушения, являющийся также членом Консультативной группы, в целях координации сбора данных и их анализа для оценки будущего спроса на галон 1301. Работа группы направлена как на определение количеств, необходимых для </w:t>
      </w:r>
      <w:r w:rsidR="00D407CB" w:rsidRPr="00F87FB4">
        <w:rPr>
          <w:sz w:val="20"/>
          <w:szCs w:val="20"/>
          <w:lang w:val="ru-RU"/>
        </w:rPr>
        <w:t xml:space="preserve">поддержания </w:t>
      </w:r>
      <w:r w:rsidRPr="00F87FB4">
        <w:rPr>
          <w:sz w:val="20"/>
          <w:szCs w:val="20"/>
          <w:lang w:val="ru-RU"/>
        </w:rPr>
        <w:t>существующего парка эксплуатируемых воздушных судов, так и на прогнозирование потребностей в галоне 1301, связанных с будущими поставками воздушных судов и их дальнейшей эксплуатацией. Результаты этой работы помогут определить, потребуется ли в будущем подача заявок в отношении основных видов применения.</w:t>
      </w:r>
    </w:p>
    <w:p w14:paraId="3C796621" w14:textId="4C13163B" w:rsidR="00245BA1" w:rsidRPr="00F87FB4" w:rsidRDefault="00245BA1" w:rsidP="00F87FB4">
      <w:pPr>
        <w:pStyle w:val="Normalnumber"/>
        <w:ind w:left="1247"/>
        <w:rPr>
          <w:sz w:val="20"/>
          <w:szCs w:val="20"/>
          <w:lang w:val="ru-RU"/>
        </w:rPr>
      </w:pPr>
      <w:r w:rsidRPr="00F87FB4">
        <w:rPr>
          <w:sz w:val="20"/>
          <w:szCs w:val="20"/>
          <w:lang w:val="ru-RU"/>
        </w:rPr>
        <w:t>На основе разнообразных соответствующих источников данных и ряда допущений, изложенных в докладе о ходе работы, группа оценила количество галона, заправленного в фактически эксплуатируемые воздушные суда в настоящее время (в среднем 2302 тонны). На основе этого анализа удалось рассчитать количества, необходимые для восполнения потерь, обусловленных срабатыванием систем при действительных пожарах или ложной тревоге, а также утечками и загрязнением в ходе технического обслуживания, и составить прогнозы будущих потребностей в галоне 1301 для новых воздушных судов (в среднем 175 тонн в год).</w:t>
      </w:r>
    </w:p>
    <w:p w14:paraId="5F7C738E" w14:textId="2D1DEED9" w:rsidR="00701F2A" w:rsidRPr="00F87FB4" w:rsidRDefault="00701F2A" w:rsidP="00F87FB4">
      <w:pPr>
        <w:pStyle w:val="Normalnumber"/>
        <w:ind w:left="1247"/>
        <w:rPr>
          <w:sz w:val="20"/>
          <w:szCs w:val="20"/>
          <w:lang w:val="ru-RU" w:eastAsia="en-GB"/>
        </w:rPr>
      </w:pPr>
      <w:r w:rsidRPr="00F87FB4">
        <w:rPr>
          <w:sz w:val="20"/>
          <w:szCs w:val="20"/>
          <w:lang w:val="ru-RU"/>
        </w:rPr>
        <w:t xml:space="preserve">Комитет по техническим вариантам замены для пожаротушения также провел оценку обновленных дат исчерпания запасов галона 1301 на основе пересмотренных данных о </w:t>
      </w:r>
      <w:r w:rsidR="00C66A9A" w:rsidRPr="00F87FB4">
        <w:rPr>
          <w:sz w:val="20"/>
          <w:szCs w:val="20"/>
          <w:lang w:val="ru-RU"/>
        </w:rPr>
        <w:t>запасах</w:t>
      </w:r>
      <w:r w:rsidRPr="00F87FB4">
        <w:rPr>
          <w:sz w:val="20"/>
          <w:szCs w:val="20"/>
          <w:lang w:val="ru-RU"/>
        </w:rPr>
        <w:t xml:space="preserve"> галонов в секторах из своей модели, скорректированных с учетом экспертных оценок и проверенных</w:t>
      </w:r>
      <w:r w:rsidR="00C66A9A" w:rsidRPr="00F87FB4">
        <w:rPr>
          <w:sz w:val="20"/>
          <w:szCs w:val="20"/>
          <w:lang w:val="ru-RU"/>
        </w:rPr>
        <w:t xml:space="preserve"> на</w:t>
      </w:r>
      <w:r w:rsidRPr="00F87FB4">
        <w:rPr>
          <w:sz w:val="20"/>
          <w:szCs w:val="20"/>
          <w:lang w:val="ru-RU"/>
        </w:rPr>
        <w:t xml:space="preserve"> 20 сценариях с различными объемами запасов и </w:t>
      </w:r>
      <w:r w:rsidR="00245BA1" w:rsidRPr="00F87FB4">
        <w:rPr>
          <w:sz w:val="20"/>
          <w:szCs w:val="20"/>
          <w:lang w:val="ru-RU"/>
        </w:rPr>
        <w:t>показателями</w:t>
      </w:r>
      <w:r w:rsidRPr="00F87FB4">
        <w:rPr>
          <w:sz w:val="20"/>
          <w:szCs w:val="20"/>
          <w:lang w:val="ru-RU"/>
        </w:rPr>
        <w:t xml:space="preserve"> выбросов. Для приведения прогнозируемых выбросов в соответствие с историческими данными о выбросах Комитета по техническим вариантам замены для пожаротушения за 2015–2024 годы применялись два подхода к моделированию. В ходе моделирования сначала прогнозировалось исчерпание имеющихся запасов, а затем рассматривалось использование резервных фон</w:t>
      </w:r>
      <w:r w:rsidR="00D407CB" w:rsidRPr="00F87FB4">
        <w:rPr>
          <w:sz w:val="20"/>
          <w:szCs w:val="20"/>
          <w:lang w:val="ru-RU"/>
        </w:rPr>
        <w:t>д</w:t>
      </w:r>
      <w:r w:rsidRPr="00F87FB4">
        <w:rPr>
          <w:sz w:val="20"/>
          <w:szCs w:val="20"/>
          <w:lang w:val="ru-RU"/>
        </w:rPr>
        <w:t>ов для поддержания постоянных видов применения, в том числе в гражданской авиации</w:t>
      </w:r>
      <w:r w:rsidR="00A503F2">
        <w:rPr>
          <w:sz w:val="20"/>
          <w:szCs w:val="20"/>
          <w:lang w:val="ru-RU"/>
        </w:rPr>
        <w:t>.</w:t>
      </w:r>
    </w:p>
    <w:p w14:paraId="6EB3F395" w14:textId="0F22F7CB" w:rsidR="00245BA1" w:rsidRPr="00F87FB4" w:rsidRDefault="00245BA1" w:rsidP="00F87FB4">
      <w:pPr>
        <w:pStyle w:val="Normalnumber"/>
        <w:ind w:left="1247"/>
        <w:rPr>
          <w:sz w:val="20"/>
          <w:szCs w:val="20"/>
          <w:lang w:val="ru-RU" w:eastAsia="en-GB"/>
        </w:rPr>
      </w:pPr>
      <w:r w:rsidRPr="00F87FB4">
        <w:rPr>
          <w:sz w:val="20"/>
          <w:szCs w:val="20"/>
          <w:lang w:val="ru-RU" w:eastAsia="en-GB"/>
        </w:rPr>
        <w:t>По</w:t>
      </w:r>
      <w:r w:rsidRPr="00F87FB4">
        <w:rPr>
          <w:sz w:val="20"/>
          <w:szCs w:val="20"/>
          <w:lang w:val="ru-RU"/>
        </w:rPr>
        <w:t xml:space="preserve"> результатам моделирования были получены расчетные сроки исчерпания запасов в диапазоне от 2030 до 2042 года. Вместе с тем сценарии, предполагающие нереалистично высокие показатели выбросов, были признаны неправдоподобными и в связи с этим исключены. На этом основании наиболее обоснованный срок исчерпания запасов, по оценкам, приходится на период от 2031 до 2039 года – или на 2035 год плюс-минус четыре года.</w:t>
      </w:r>
      <w:r w:rsidRPr="00F87FB4">
        <w:rPr>
          <w:sz w:val="20"/>
          <w:szCs w:val="20"/>
          <w:lang w:val="ru-RU" w:eastAsia="en-GB"/>
        </w:rPr>
        <w:t xml:space="preserve"> </w:t>
      </w:r>
    </w:p>
    <w:p w14:paraId="0E34944F" w14:textId="26D9B06C" w:rsidR="00E62558" w:rsidRPr="00F87FB4" w:rsidRDefault="00245BA1" w:rsidP="00F87FB4">
      <w:pPr>
        <w:pStyle w:val="Normalnumber"/>
        <w:ind w:left="1247"/>
        <w:rPr>
          <w:sz w:val="20"/>
          <w:szCs w:val="20"/>
          <w:lang w:val="ru-RU"/>
        </w:rPr>
      </w:pPr>
      <w:r w:rsidRPr="00F87FB4">
        <w:rPr>
          <w:sz w:val="20"/>
          <w:szCs w:val="20"/>
          <w:lang w:val="ru-RU"/>
        </w:rPr>
        <w:t>С учетом этих выводов Комитет предлагает Сторонам рассмотреть вопрос о том, не требуется ли внести изменения в процедуры подачи заявок в отношении основных видов применения, учитывая, что отдельные Стороны, возможно, больше не смогут самостоятельно определять свои годовые потребности в производстве и потреблении галона 1301</w:t>
      </w:r>
      <w:r w:rsidR="00D407CB" w:rsidRPr="00F87FB4">
        <w:rPr>
          <w:sz w:val="20"/>
          <w:szCs w:val="20"/>
          <w:lang w:val="ru-RU"/>
        </w:rPr>
        <w:t xml:space="preserve"> </w:t>
      </w:r>
      <w:r w:rsidRPr="00F87FB4">
        <w:rPr>
          <w:sz w:val="20"/>
          <w:szCs w:val="20"/>
          <w:lang w:val="ru-RU"/>
        </w:rPr>
        <w:t>для нужд гражданской авиации.</w:t>
      </w:r>
    </w:p>
    <w:p w14:paraId="122A55AC" w14:textId="35660F4C" w:rsidR="00E62558" w:rsidRPr="00F87FB4" w:rsidRDefault="00E62558" w:rsidP="00F87FB4">
      <w:pPr>
        <w:pStyle w:val="Normalnumber"/>
        <w:ind w:left="1247"/>
        <w:rPr>
          <w:sz w:val="20"/>
          <w:szCs w:val="20"/>
          <w:lang w:val="ru-RU"/>
        </w:rPr>
      </w:pPr>
      <w:r w:rsidRPr="00F87FB4">
        <w:rPr>
          <w:sz w:val="20"/>
          <w:szCs w:val="20"/>
          <w:lang w:val="ru-RU"/>
        </w:rPr>
        <w:t xml:space="preserve">В пункте 4 решения XXXVII/4 Сторонам было предложено на добровольной основе представить в секретариат по озону не позднее 31 марта 2026 года имеющуюся информацию о разработке альтернатив, пригодных для применения в качестве заменителей в целях пожаротушения, и поручить секретариату направить полученную информацию Группе по техническому обзору и экономической оценке в срок, позволяющий рассмотреть ее и включить в доклад о ходе работы в 2027 году, но не позднее. В ходе подготовки настоящего </w:t>
      </w:r>
      <w:r w:rsidR="002779D8">
        <w:rPr>
          <w:sz w:val="20"/>
          <w:szCs w:val="20"/>
          <w:lang w:val="ru-RU"/>
        </w:rPr>
        <w:t>добавле</w:t>
      </w:r>
      <w:r w:rsidRPr="00F87FB4">
        <w:rPr>
          <w:sz w:val="20"/>
          <w:szCs w:val="20"/>
          <w:lang w:val="ru-RU"/>
        </w:rPr>
        <w:t xml:space="preserve">ния </w:t>
      </w:r>
      <w:r w:rsidR="003F101A">
        <w:rPr>
          <w:sz w:val="20"/>
          <w:szCs w:val="20"/>
          <w:lang w:val="ru-RU"/>
        </w:rPr>
        <w:t>3 </w:t>
      </w:r>
      <w:r w:rsidR="003F101A" w:rsidRPr="00F87FB4">
        <w:rPr>
          <w:sz w:val="20"/>
          <w:szCs w:val="20"/>
          <w:lang w:val="ru-RU"/>
        </w:rPr>
        <w:t xml:space="preserve">Стороны </w:t>
      </w:r>
      <w:r w:rsidR="00F87FB4">
        <w:rPr>
          <w:sz w:val="20"/>
          <w:szCs w:val="20"/>
          <w:lang w:val="ru-RU"/>
        </w:rPr>
        <w:t>–</w:t>
      </w:r>
      <w:r w:rsidRPr="00F87FB4">
        <w:rPr>
          <w:sz w:val="20"/>
          <w:szCs w:val="20"/>
          <w:lang w:val="ru-RU"/>
        </w:rPr>
        <w:t xml:space="preserve"> Аргентина, Эквадор и Сент-Винсент и Гренадины </w:t>
      </w:r>
      <w:r w:rsidR="00292758">
        <w:rPr>
          <w:sz w:val="20"/>
          <w:szCs w:val="20"/>
          <w:lang w:val="ru-RU"/>
        </w:rPr>
        <w:t>–</w:t>
      </w:r>
      <w:r w:rsidRPr="00F87FB4">
        <w:rPr>
          <w:sz w:val="20"/>
          <w:szCs w:val="20"/>
          <w:lang w:val="ru-RU"/>
        </w:rPr>
        <w:t xml:space="preserve"> представили свои ответы на это решение, в дополнение к 33 Сторонам, которые сделали это до начал</w:t>
      </w:r>
      <w:r w:rsidR="00701F2A" w:rsidRPr="00F87FB4">
        <w:rPr>
          <w:sz w:val="20"/>
          <w:szCs w:val="20"/>
          <w:lang w:val="ru-RU"/>
        </w:rPr>
        <w:t>а</w:t>
      </w:r>
      <w:r w:rsidRPr="00F87FB4">
        <w:rPr>
          <w:sz w:val="20"/>
          <w:szCs w:val="20"/>
          <w:lang w:val="ru-RU"/>
        </w:rPr>
        <w:t xml:space="preserve"> подготовки записки секретариатом. Все эти материалы были переданы Группе по техническому обзору и экономической оценке для учета при подготовке ее доклада о ходе работы за 2026 год и, возможно, за 2027 год. </w:t>
      </w:r>
    </w:p>
    <w:p w14:paraId="7D255915" w14:textId="77777777" w:rsidR="00E62558" w:rsidRPr="008F3BA3" w:rsidRDefault="00E62558" w:rsidP="00F87FB4">
      <w:pPr>
        <w:pStyle w:val="Normalnumber"/>
        <w:ind w:left="1247"/>
        <w:rPr>
          <w:sz w:val="20"/>
          <w:szCs w:val="20"/>
          <w:lang w:val="ru-RU"/>
        </w:rPr>
      </w:pPr>
      <w:r w:rsidRPr="00F87FB4">
        <w:rPr>
          <w:sz w:val="20"/>
          <w:szCs w:val="20"/>
          <w:lang w:val="ru-RU"/>
        </w:rPr>
        <w:t>Рабочая группа открытого состава, возможно, пожелает рассмотреть доклад и предложить рекомендации в отношении дальнейших действий.</w:t>
      </w:r>
    </w:p>
    <w:p w14:paraId="3A190E12" w14:textId="77777777" w:rsidR="00AC405E" w:rsidRPr="00F87FB4" w:rsidRDefault="00AC405E" w:rsidP="008F3BA3">
      <w:pPr>
        <w:pStyle w:val="Normalnumber"/>
        <w:numPr>
          <w:ilvl w:val="0"/>
          <w:numId w:val="0"/>
        </w:numPr>
        <w:ind w:left="1247"/>
        <w:rPr>
          <w:sz w:val="20"/>
          <w:szCs w:val="20"/>
          <w:lang w:val="ru-RU"/>
        </w:rPr>
      </w:pPr>
    </w:p>
    <w:p w14:paraId="1CD78446" w14:textId="6F023CE5" w:rsidR="00E62558" w:rsidRPr="00C66A9A" w:rsidRDefault="00292758" w:rsidP="00435B54">
      <w:pPr>
        <w:pStyle w:val="CH3"/>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Pr>
          <w:bCs/>
          <w:lang w:val="ru-RU"/>
        </w:rPr>
        <w:lastRenderedPageBreak/>
        <w:tab/>
      </w:r>
      <w:r w:rsidR="00E62558" w:rsidRPr="00C66A9A">
        <w:rPr>
          <w:bCs/>
          <w:lang w:val="ru-RU"/>
        </w:rPr>
        <w:t>b)</w:t>
      </w:r>
      <w:r w:rsidR="00E62558" w:rsidRPr="00C66A9A">
        <w:rPr>
          <w:lang w:val="ru-RU"/>
        </w:rPr>
        <w:tab/>
      </w:r>
      <w:r w:rsidR="00E62558" w:rsidRPr="00C66A9A">
        <w:rPr>
          <w:bCs/>
          <w:lang w:val="ru-RU"/>
        </w:rPr>
        <w:t>Дозированные ингаляторы с пропеллентами с низким потенциалом глобального потепления (решение XXXVI/6)</w:t>
      </w:r>
      <w:bookmarkStart w:id="14" w:name="_Hlk192678240"/>
      <w:bookmarkEnd w:id="14"/>
    </w:p>
    <w:p w14:paraId="12FA3ED5" w14:textId="3A7EA4E3" w:rsidR="00E62558" w:rsidRPr="00292758" w:rsidRDefault="00E62558" w:rsidP="00292758">
      <w:pPr>
        <w:pStyle w:val="Normalnumber"/>
        <w:ind w:left="1247"/>
        <w:rPr>
          <w:color w:val="000000" w:themeColor="text1"/>
          <w:sz w:val="20"/>
          <w:szCs w:val="20"/>
          <w:lang w:val="en-GB"/>
        </w:rPr>
      </w:pPr>
      <w:r w:rsidRPr="00292758">
        <w:rPr>
          <w:sz w:val="20"/>
          <w:szCs w:val="20"/>
          <w:lang w:val="ru-RU"/>
        </w:rPr>
        <w:t xml:space="preserve">Как отмечается в записке секретариата (UNEP/OzL.Pro.WG.1/48/2, пункты 16–19), в решении XXXVI/6 тридцать шестое Совещание Сторон поручило Группе по техническому обзору и экономической оценке продолжать представлять в ее ежегодных докладах о ходе работы обновленную информацию о пропеллентах с низким потенциалом глобального потепления для дозированных ингаляторов и дополнить четырехгодичный доклад об оценке (2026 год) актуальной информацией о таких пропеллентах у всех Сторон, в том числе об их наличии, технической </w:t>
      </w:r>
      <w:r w:rsidR="00C66A9A" w:rsidRPr="00292758">
        <w:rPr>
          <w:sz w:val="20"/>
          <w:szCs w:val="20"/>
          <w:lang w:val="ru-RU"/>
        </w:rPr>
        <w:t>целесообразности</w:t>
      </w:r>
      <w:r w:rsidRPr="00292758">
        <w:rPr>
          <w:sz w:val="20"/>
          <w:szCs w:val="20"/>
          <w:lang w:val="ru-RU"/>
        </w:rPr>
        <w:t>, экономической эффективности, безопасности и проникновении на рынок. Ответ Группы, подготовленный Комитетом по техническим вариантам замены медицинских видов применения и химических веществ, изложен в разделе</w:t>
      </w:r>
      <w:r w:rsidR="00677DD8">
        <w:rPr>
          <w:sz w:val="20"/>
          <w:szCs w:val="20"/>
          <w:lang w:val="ru-RU"/>
        </w:rPr>
        <w:t> </w:t>
      </w:r>
      <w:r w:rsidRPr="00292758">
        <w:rPr>
          <w:sz w:val="20"/>
          <w:szCs w:val="20"/>
          <w:lang w:val="ru-RU"/>
        </w:rPr>
        <w:t xml:space="preserve">5.8 доклада о ходе работы. Ниже приводится его краткое изложение. </w:t>
      </w:r>
    </w:p>
    <w:p w14:paraId="6E977B9F" w14:textId="024497CB" w:rsidR="00531DFB" w:rsidRPr="00292758" w:rsidRDefault="00531DFB" w:rsidP="00292758">
      <w:pPr>
        <w:pStyle w:val="Normalnumber"/>
        <w:ind w:left="1247"/>
        <w:rPr>
          <w:sz w:val="20"/>
          <w:szCs w:val="20"/>
          <w:lang w:val="ru-RU"/>
        </w:rPr>
      </w:pPr>
      <w:r w:rsidRPr="00292758">
        <w:rPr>
          <w:sz w:val="20"/>
          <w:szCs w:val="20"/>
          <w:lang w:val="ru-RU"/>
        </w:rPr>
        <w:t xml:space="preserve">В недавних докладах о лечении астмы и хронической обструктивной болезни легких подчеркиваются постоянные усилия по улучшению контроля над этими заболеваниями и расширению доступа к лекарственным средствам. </w:t>
      </w:r>
      <w:r w:rsidRPr="00677DD8">
        <w:rPr>
          <w:sz w:val="20"/>
          <w:szCs w:val="20"/>
          <w:lang w:val="ru-RU"/>
        </w:rPr>
        <w:t xml:space="preserve">Лечение астмы предполагает применение </w:t>
      </w:r>
      <w:r w:rsidRPr="00292758">
        <w:rPr>
          <w:sz w:val="20"/>
          <w:szCs w:val="20"/>
          <w:lang w:val="ru-RU"/>
        </w:rPr>
        <w:t xml:space="preserve">ингаляционных кортикостероидов для снижения числа тяжелых приступов, однако сохраняются опасения в связи с чрезмерным использованием ингаляторов </w:t>
      </w:r>
      <w:r w:rsidR="00C66A9A" w:rsidRPr="00292758">
        <w:rPr>
          <w:sz w:val="20"/>
          <w:szCs w:val="20"/>
          <w:lang w:val="ru-RU"/>
        </w:rPr>
        <w:t>короткого</w:t>
      </w:r>
      <w:r w:rsidRPr="00292758">
        <w:rPr>
          <w:sz w:val="20"/>
          <w:szCs w:val="20"/>
          <w:lang w:val="ru-RU"/>
        </w:rPr>
        <w:t xml:space="preserve"> действия. В лечении хронической обструктивной болезни легких все большую роль играют ингаляторы длительного действия и новейшие биологические препараты для тяжелых форм заболевания. Вместе с тем высокая стоимость лекарственных средств и их ограниченная доступность по</w:t>
      </w:r>
      <w:r w:rsidR="00292758">
        <w:rPr>
          <w:sz w:val="20"/>
          <w:szCs w:val="20"/>
          <w:lang w:val="ru-RU"/>
        </w:rPr>
        <w:noBreakHyphen/>
      </w:r>
      <w:r w:rsidRPr="00292758">
        <w:rPr>
          <w:sz w:val="20"/>
          <w:szCs w:val="20"/>
          <w:lang w:val="ru-RU"/>
        </w:rPr>
        <w:t>прежнему остаются существенными препятствиями, особенно в странах с низким и средним уровнем дохода.</w:t>
      </w:r>
    </w:p>
    <w:p w14:paraId="05BDED34" w14:textId="20EC5B7C" w:rsidR="00E62558" w:rsidRPr="00292758" w:rsidRDefault="00A4398A" w:rsidP="00292758">
      <w:pPr>
        <w:pStyle w:val="Normalnumber"/>
        <w:ind w:left="1247"/>
        <w:rPr>
          <w:rFonts w:eastAsia="MS Mincho"/>
          <w:snapToGrid w:val="0"/>
          <w:sz w:val="20"/>
          <w:szCs w:val="20"/>
          <w:lang w:val="ru-RU"/>
        </w:rPr>
      </w:pPr>
      <w:r w:rsidRPr="00292758">
        <w:rPr>
          <w:sz w:val="20"/>
          <w:szCs w:val="20"/>
          <w:lang w:val="ru-RU"/>
        </w:rPr>
        <w:t>Для лечения астмы и хронической обструктивной болезни легких используются ингаляторы нескольких типов – в том числе дозированные ингаляторы под давлением, порошковые ингаляторы, жидкостные ингаляторы и небулайзеры. Наиболее широко используются дозированные ингаляторы под давлением: на них приходится около 70</w:t>
      </w:r>
      <w:r w:rsidR="00292758">
        <w:rPr>
          <w:sz w:val="20"/>
          <w:szCs w:val="20"/>
          <w:lang w:val="ru-RU"/>
        </w:rPr>
        <w:t> </w:t>
      </w:r>
      <w:r w:rsidRPr="00292758">
        <w:rPr>
          <w:sz w:val="20"/>
          <w:szCs w:val="20"/>
          <w:lang w:val="ru-RU"/>
        </w:rPr>
        <w:t>процентов от мирового объема лекарственных доз, вводимых с помощью ингаляторов; при этом б</w:t>
      </w:r>
      <w:r w:rsidR="00677DD8">
        <w:rPr>
          <w:sz w:val="20"/>
          <w:szCs w:val="20"/>
          <w:lang w:val="ru-RU"/>
        </w:rPr>
        <w:t>ó</w:t>
      </w:r>
      <w:r w:rsidRPr="00292758">
        <w:rPr>
          <w:sz w:val="20"/>
          <w:szCs w:val="20"/>
          <w:lang w:val="ru-RU"/>
        </w:rPr>
        <w:t>льшую их часть составляют дозированные ингаляторы под давлением с сальбутамолом. Хотя применение порошковых ингаляторов и других альтернатив растет, замена дозированных ингаляторов под давлением требует значительных инвестиций, изменений</w:t>
      </w:r>
      <w:r w:rsidR="00245BA1" w:rsidRPr="00292758">
        <w:rPr>
          <w:sz w:val="20"/>
          <w:szCs w:val="20"/>
          <w:lang w:val="ru-RU"/>
        </w:rPr>
        <w:t xml:space="preserve"> в</w:t>
      </w:r>
      <w:r w:rsidRPr="00292758">
        <w:rPr>
          <w:sz w:val="20"/>
          <w:szCs w:val="20"/>
          <w:lang w:val="ru-RU"/>
        </w:rPr>
        <w:t xml:space="preserve"> производственных процесс</w:t>
      </w:r>
      <w:r w:rsidR="00245BA1" w:rsidRPr="00292758">
        <w:rPr>
          <w:sz w:val="20"/>
          <w:szCs w:val="20"/>
          <w:lang w:val="ru-RU"/>
        </w:rPr>
        <w:t>ах</w:t>
      </w:r>
      <w:r w:rsidRPr="00292758">
        <w:rPr>
          <w:sz w:val="20"/>
          <w:szCs w:val="20"/>
          <w:lang w:val="ru-RU"/>
        </w:rPr>
        <w:t xml:space="preserve"> и времени.</w:t>
      </w:r>
    </w:p>
    <w:p w14:paraId="7032CBF5" w14:textId="70692F09" w:rsidR="00A4398A" w:rsidRPr="00292758" w:rsidRDefault="00A4398A" w:rsidP="00292758">
      <w:pPr>
        <w:pStyle w:val="Normalnumber"/>
        <w:ind w:left="1247"/>
        <w:rPr>
          <w:rFonts w:eastAsia="MS Mincho"/>
          <w:snapToGrid w:val="0"/>
          <w:sz w:val="20"/>
          <w:szCs w:val="20"/>
          <w:lang w:val="ru-RU"/>
        </w:rPr>
      </w:pPr>
      <w:r w:rsidRPr="00292758">
        <w:rPr>
          <w:sz w:val="20"/>
          <w:szCs w:val="20"/>
          <w:lang w:val="ru-RU"/>
        </w:rPr>
        <w:t>По мере снижения мирового потребления ГФУ доля этих веществ, используемая в дозированных ингаляторах под давлением, приобретает все большее значение. Новые регламенты Европейского союза, направленные на сокращение потребления ГФУ, могут повлиять на будущие поставки ГФУ фармацевтического класса, необходимых для ингаляторов. В связи с этим планируется провести соответствующие обзоры и принять меры политики для предотвращения дефицита и сохранения доступа к медицинской помощи.</w:t>
      </w:r>
    </w:p>
    <w:p w14:paraId="3AE7955B" w14:textId="685AFEA9" w:rsidR="00A4398A" w:rsidRPr="00292758" w:rsidRDefault="00A4398A" w:rsidP="00292758">
      <w:pPr>
        <w:pStyle w:val="Normalnumber"/>
        <w:ind w:left="1247"/>
        <w:rPr>
          <w:rFonts w:eastAsia="MS Mincho"/>
          <w:snapToGrid w:val="0"/>
          <w:sz w:val="20"/>
          <w:szCs w:val="20"/>
          <w:lang w:val="ru-RU"/>
        </w:rPr>
      </w:pPr>
      <w:r w:rsidRPr="00292758">
        <w:rPr>
          <w:sz w:val="20"/>
          <w:szCs w:val="20"/>
          <w:lang w:val="ru-RU"/>
        </w:rPr>
        <w:t>Соединенные Штаты Америки и крупные европейские страны по-прежнему доминируют на мировом рынке ингаляторов, при этом наблюдается рост спроса на новые комбинированные ингаляторы для лечения тяжелых форм астмы и хронической обструктивной болезни легких. Переход на порошковые ингаляторы или на дозированн</w:t>
      </w:r>
      <w:r w:rsidR="00245BA1" w:rsidRPr="00292758">
        <w:rPr>
          <w:sz w:val="20"/>
          <w:szCs w:val="20"/>
          <w:lang w:val="ru-RU"/>
        </w:rPr>
        <w:t>ы</w:t>
      </w:r>
      <w:r w:rsidRPr="00292758">
        <w:rPr>
          <w:sz w:val="20"/>
          <w:szCs w:val="20"/>
          <w:lang w:val="ru-RU"/>
        </w:rPr>
        <w:t>е ингаляторы под давлением, содержащие пропелленты с более низким потенциалом глобального потепления, потребует значительных технологических усовершенствований и инвестиций в инфраструктуру.</w:t>
      </w:r>
    </w:p>
    <w:p w14:paraId="09C8DDC8" w14:textId="16AD050F" w:rsidR="00E62558" w:rsidRPr="00292758" w:rsidRDefault="00A4398A" w:rsidP="00292758">
      <w:pPr>
        <w:pStyle w:val="Normalnumber"/>
        <w:ind w:left="1247"/>
        <w:rPr>
          <w:rFonts w:eastAsia="MS Mincho"/>
          <w:snapToGrid w:val="0"/>
          <w:sz w:val="20"/>
          <w:szCs w:val="20"/>
          <w:lang w:val="ru-RU"/>
        </w:rPr>
      </w:pPr>
      <w:r w:rsidRPr="00292758">
        <w:rPr>
          <w:sz w:val="20"/>
          <w:szCs w:val="20"/>
          <w:lang w:val="ru-RU"/>
        </w:rPr>
        <w:t xml:space="preserve">Обеспечение поставок ГФУ фармацевтического класса, используемых в ингаляторах, главным образом ГФУ-134а и ГФУ-227еа, становится все более сложной задачей в условиях перехода на альтернативы с более низким потенциалом глобального потепления. Производство таких пропеллентов в значительной степени </w:t>
      </w:r>
      <w:r w:rsidR="00C66A9A" w:rsidRPr="00292758">
        <w:rPr>
          <w:sz w:val="20"/>
          <w:szCs w:val="20"/>
          <w:lang w:val="ru-RU"/>
        </w:rPr>
        <w:t>сосредоточено под контролем</w:t>
      </w:r>
      <w:r w:rsidRPr="00292758">
        <w:rPr>
          <w:sz w:val="20"/>
          <w:szCs w:val="20"/>
          <w:lang w:val="ru-RU"/>
        </w:rPr>
        <w:t xml:space="preserve"> небольшого числа производителей, а изменение спроса в отрасли приводит к закрытию или слиянию предприятий, что может сказаться на долгосрочной стабильности поставок. Хотя ожидается, что поставки будут продолжаться до начала 2030-х годов, </w:t>
      </w:r>
      <w:r w:rsidR="00C66A9A" w:rsidRPr="00292758">
        <w:rPr>
          <w:sz w:val="20"/>
          <w:szCs w:val="20"/>
          <w:lang w:val="ru-RU"/>
        </w:rPr>
        <w:t>цены могут</w:t>
      </w:r>
      <w:r w:rsidRPr="00292758">
        <w:rPr>
          <w:sz w:val="20"/>
          <w:szCs w:val="20"/>
          <w:lang w:val="ru-RU"/>
        </w:rPr>
        <w:t xml:space="preserve"> вырасти, а из-за системы квот и ужесточения регламентов возможен региональный дефицит, особенно в Европе. Дополнительный административный контроль над производством и экспортом еще больше затрудняет доступ к этой продукции. Развитие производственных мощностей в таких странах, как Индия и Китай, может способствовать диверсификации будущих поставок как существующих ГФУ, так и более новых альтернативных веществ.</w:t>
      </w:r>
    </w:p>
    <w:p w14:paraId="7E1B79F2" w14:textId="0EC88675" w:rsidR="00A4398A" w:rsidRPr="00292758" w:rsidRDefault="00A4398A" w:rsidP="00292758">
      <w:pPr>
        <w:pStyle w:val="Normalnumber"/>
        <w:ind w:left="1247"/>
        <w:rPr>
          <w:rFonts w:eastAsia="MS Mincho"/>
          <w:snapToGrid w:val="0"/>
          <w:sz w:val="20"/>
          <w:szCs w:val="20"/>
          <w:lang w:val="ru-RU"/>
        </w:rPr>
      </w:pPr>
      <w:r w:rsidRPr="00292758">
        <w:rPr>
          <w:sz w:val="20"/>
          <w:szCs w:val="20"/>
          <w:lang w:val="ru-RU"/>
        </w:rPr>
        <w:t xml:space="preserve">Переход на пропелленты с более низким потенциалом глобального потепления в дозированных ингаляторах под давлением продолжается, однако все еще сопряжен со многими трудностями, в частности, связанными с меняющимися экологическими нормами, </w:t>
      </w:r>
      <w:r w:rsidRPr="00292758">
        <w:rPr>
          <w:sz w:val="20"/>
          <w:szCs w:val="20"/>
          <w:lang w:val="ru-RU"/>
        </w:rPr>
        <w:lastRenderedPageBreak/>
        <w:t>стабильностью поставок ГФУ фармацевтического класса, наличием приемлемых по цене альтернативных устройств, одобрением р</w:t>
      </w:r>
      <w:r w:rsidR="002779D8" w:rsidRPr="00292758">
        <w:rPr>
          <w:sz w:val="20"/>
          <w:szCs w:val="20"/>
          <w:lang w:val="ru-RU"/>
        </w:rPr>
        <w:t>ег</w:t>
      </w:r>
      <w:r w:rsidR="002779D8">
        <w:rPr>
          <w:sz w:val="20"/>
          <w:szCs w:val="20"/>
          <w:lang w:val="ru-RU"/>
        </w:rPr>
        <w:t>улирующих</w:t>
      </w:r>
      <w:r w:rsidR="002779D8" w:rsidRPr="00292758">
        <w:rPr>
          <w:sz w:val="20"/>
          <w:szCs w:val="20"/>
          <w:lang w:val="ru-RU"/>
        </w:rPr>
        <w:t xml:space="preserve"> </w:t>
      </w:r>
      <w:r w:rsidRPr="00292758">
        <w:rPr>
          <w:sz w:val="20"/>
          <w:szCs w:val="20"/>
          <w:lang w:val="ru-RU"/>
        </w:rPr>
        <w:t>органов и выходом на рынок новых ингаляторов, а также их приемлемостью для пациентов.</w:t>
      </w:r>
    </w:p>
    <w:p w14:paraId="6DE8F5F2" w14:textId="4A350AAD" w:rsidR="00A4398A" w:rsidRPr="00292758" w:rsidRDefault="00A4398A" w:rsidP="00292758">
      <w:pPr>
        <w:pStyle w:val="Normalnumber"/>
        <w:ind w:left="1247"/>
        <w:rPr>
          <w:rFonts w:eastAsia="MS Mincho"/>
          <w:snapToGrid w:val="0"/>
          <w:sz w:val="20"/>
          <w:szCs w:val="20"/>
          <w:lang w:val="ru-RU"/>
        </w:rPr>
      </w:pPr>
      <w:r w:rsidRPr="00292758">
        <w:rPr>
          <w:sz w:val="20"/>
          <w:szCs w:val="20"/>
          <w:lang w:val="ru-RU"/>
        </w:rPr>
        <w:t>В настоящ</w:t>
      </w:r>
      <w:r w:rsidR="00245BA1" w:rsidRPr="00292758">
        <w:rPr>
          <w:sz w:val="20"/>
          <w:szCs w:val="20"/>
          <w:lang w:val="ru-RU"/>
        </w:rPr>
        <w:t>ее</w:t>
      </w:r>
      <w:r w:rsidRPr="00292758">
        <w:rPr>
          <w:sz w:val="20"/>
          <w:szCs w:val="20"/>
          <w:lang w:val="ru-RU"/>
        </w:rPr>
        <w:t xml:space="preserve"> время ведется разработка двух ключевых альтернативных пропе</w:t>
      </w:r>
      <w:r w:rsidR="00245BA1" w:rsidRPr="00292758">
        <w:rPr>
          <w:sz w:val="20"/>
          <w:szCs w:val="20"/>
          <w:lang w:val="ru-RU"/>
        </w:rPr>
        <w:t>л</w:t>
      </w:r>
      <w:r w:rsidRPr="00292758">
        <w:rPr>
          <w:sz w:val="20"/>
          <w:szCs w:val="20"/>
          <w:lang w:val="ru-RU"/>
        </w:rPr>
        <w:t>лентов: ГФУ-152а (с потенциалом глобального потепления 124) и ГФО-1234</w:t>
      </w:r>
      <w:r w:rsidRPr="00292758">
        <w:rPr>
          <w:sz w:val="20"/>
          <w:szCs w:val="20"/>
        </w:rPr>
        <w:t>ze</w:t>
      </w:r>
      <w:r w:rsidRPr="00292758">
        <w:rPr>
          <w:sz w:val="20"/>
          <w:szCs w:val="20"/>
          <w:lang w:val="ru-RU"/>
        </w:rPr>
        <w:t xml:space="preserve">(Е). ГФУ-152а уже широко применяется в промышленности; он обладает более высокой воспламеняемостью, чем </w:t>
      </w:r>
      <w:r w:rsidR="00C66A9A" w:rsidRPr="00292758">
        <w:rPr>
          <w:sz w:val="20"/>
          <w:szCs w:val="20"/>
          <w:lang w:val="ru-RU"/>
        </w:rPr>
        <w:t>имеющиеся</w:t>
      </w:r>
      <w:r w:rsidRPr="00292758">
        <w:rPr>
          <w:sz w:val="20"/>
          <w:szCs w:val="20"/>
          <w:lang w:val="ru-RU"/>
        </w:rPr>
        <w:t xml:space="preserve"> пропелленты, и требует модернизации систем производственной безопасности, однако клинические исследования не выявили токсичности, и в ряде стран уже были поданы заявки на его регистрацию. ГФО-1234</w:t>
      </w:r>
      <w:r w:rsidRPr="00292758">
        <w:rPr>
          <w:sz w:val="20"/>
          <w:szCs w:val="20"/>
        </w:rPr>
        <w:t>ze</w:t>
      </w:r>
      <w:r w:rsidRPr="00292758">
        <w:rPr>
          <w:sz w:val="20"/>
          <w:szCs w:val="20"/>
          <w:lang w:val="ru-RU"/>
        </w:rPr>
        <w:t>(Е) тоже широко применяется в немедицинских целях, не проявил токсичности в ходе исследований и уже запущен в коммерческое производство для фармацевтических целей, при этом на основных рынках завершена процедура подачи документов в регулирующие органы.</w:t>
      </w:r>
    </w:p>
    <w:p w14:paraId="1E5C56CA" w14:textId="5C1F591D" w:rsidR="00A4398A" w:rsidRPr="00292758" w:rsidRDefault="00A4398A" w:rsidP="00292758">
      <w:pPr>
        <w:pStyle w:val="Normalnumber"/>
        <w:ind w:left="1247"/>
        <w:rPr>
          <w:sz w:val="20"/>
          <w:szCs w:val="20"/>
          <w:lang w:val="ru-RU"/>
        </w:rPr>
      </w:pPr>
      <w:r w:rsidRPr="00292758">
        <w:rPr>
          <w:sz w:val="20"/>
          <w:szCs w:val="20"/>
          <w:lang w:val="ru-RU"/>
        </w:rPr>
        <w:t>По имеющимся данным, не менее 10 компаний в мире занимаются разработкой дозированных ингаляторов под давлением, содержащих пропелленты фармацевтического класса с более низким потенциалом глобального потепления, в том числе три компании в Индии и одна в Бангладеш. Кроме того, несколько производителей препаратов-дженериков в Латинской Америке также разрабатыва</w:t>
      </w:r>
      <w:r w:rsidR="002779D8">
        <w:rPr>
          <w:sz w:val="20"/>
          <w:szCs w:val="20"/>
          <w:lang w:val="ru-RU"/>
        </w:rPr>
        <w:t>ю</w:t>
      </w:r>
      <w:r w:rsidRPr="00292758">
        <w:rPr>
          <w:sz w:val="20"/>
          <w:szCs w:val="20"/>
          <w:lang w:val="ru-RU"/>
        </w:rPr>
        <w:t xml:space="preserve">т дозированные ингаляторы под давлением </w:t>
      </w:r>
      <w:r w:rsidR="00245BA1" w:rsidRPr="00292758">
        <w:rPr>
          <w:sz w:val="20"/>
          <w:szCs w:val="20"/>
          <w:lang w:val="ru-RU"/>
        </w:rPr>
        <w:t xml:space="preserve">с </w:t>
      </w:r>
      <w:r w:rsidRPr="00292758">
        <w:rPr>
          <w:sz w:val="20"/>
          <w:szCs w:val="20"/>
          <w:lang w:val="ru-RU"/>
        </w:rPr>
        <w:t>более низким потенциалом глобального потепления, тогда как две компании в Китае начали разработку технологий для производства ГФО-1234</w:t>
      </w:r>
      <w:r w:rsidRPr="00292758">
        <w:rPr>
          <w:sz w:val="20"/>
          <w:szCs w:val="20"/>
        </w:rPr>
        <w:t>ze</w:t>
      </w:r>
      <w:r w:rsidRPr="00292758">
        <w:rPr>
          <w:sz w:val="20"/>
          <w:szCs w:val="20"/>
          <w:lang w:val="ru-RU"/>
        </w:rPr>
        <w:t xml:space="preserve">(Е) в качестве пропеллента в товарных количествах. </w:t>
      </w:r>
    </w:p>
    <w:p w14:paraId="49E3A11C" w14:textId="05BA3F97" w:rsidR="00531DFB" w:rsidRPr="00292758" w:rsidRDefault="00531DFB" w:rsidP="00292758">
      <w:pPr>
        <w:pStyle w:val="Normalnumber"/>
        <w:ind w:left="1247"/>
        <w:rPr>
          <w:sz w:val="20"/>
          <w:szCs w:val="20"/>
          <w:lang w:val="ru-RU"/>
        </w:rPr>
      </w:pPr>
      <w:r w:rsidRPr="00292758">
        <w:rPr>
          <w:sz w:val="20"/>
          <w:szCs w:val="20"/>
          <w:lang w:val="ru-RU"/>
        </w:rPr>
        <w:t>Малые и средние производственные предприятия в странах с низким и средним уровне</w:t>
      </w:r>
      <w:r w:rsidR="00A4398A" w:rsidRPr="00292758">
        <w:rPr>
          <w:sz w:val="20"/>
          <w:szCs w:val="20"/>
          <w:lang w:val="ru-RU"/>
        </w:rPr>
        <w:t xml:space="preserve">м дохода </w:t>
      </w:r>
      <w:r w:rsidRPr="00292758">
        <w:rPr>
          <w:sz w:val="20"/>
          <w:szCs w:val="20"/>
          <w:lang w:val="ru-RU"/>
        </w:rPr>
        <w:t xml:space="preserve">находятся в особенно уязвимом положении, потому что они часто не располагают лицензиями, финансированием и регламентационным потенциалом, необходимыми для перехода на продукцию с более низким потенциалом глобального потепления. Без поддержки многие из них могут столкнуться с трудностями в осуществлении этого перехода, что </w:t>
      </w:r>
      <w:r w:rsidR="00A4398A" w:rsidRPr="00292758">
        <w:rPr>
          <w:sz w:val="20"/>
          <w:szCs w:val="20"/>
          <w:lang w:val="ru-RU"/>
        </w:rPr>
        <w:t xml:space="preserve">рискует усугубить </w:t>
      </w:r>
      <w:r w:rsidRPr="00292758">
        <w:rPr>
          <w:sz w:val="20"/>
          <w:szCs w:val="20"/>
          <w:lang w:val="ru-RU"/>
        </w:rPr>
        <w:t>глобальное неравенство. В связи с этим им может потребоваться партнерство или объединение с крупными производителями</w:t>
      </w:r>
      <w:r w:rsidR="00A4398A" w:rsidRPr="00292758">
        <w:rPr>
          <w:sz w:val="20"/>
          <w:szCs w:val="20"/>
          <w:lang w:val="ru-RU"/>
        </w:rPr>
        <w:t>,</w:t>
      </w:r>
      <w:r w:rsidRPr="00292758">
        <w:rPr>
          <w:sz w:val="20"/>
          <w:szCs w:val="20"/>
          <w:lang w:val="ru-RU"/>
        </w:rPr>
        <w:t xml:space="preserve"> </w:t>
      </w:r>
      <w:r w:rsidR="00A4398A" w:rsidRPr="00292758">
        <w:rPr>
          <w:sz w:val="20"/>
          <w:szCs w:val="20"/>
          <w:lang w:val="ru-RU"/>
        </w:rPr>
        <w:t xml:space="preserve">чтобы обеспечить стабильность поставок и сохранить доступность ингаляторов по приемлемым ценам на своих рынках. </w:t>
      </w:r>
      <w:r w:rsidRPr="00292758">
        <w:rPr>
          <w:sz w:val="20"/>
          <w:szCs w:val="20"/>
          <w:lang w:val="ru-RU"/>
        </w:rPr>
        <w:t xml:space="preserve">Кроме того, существуют опасения, что энергетический и топливный кризисы могут усугубить бремя респираторных заболеваний в этих регионах. </w:t>
      </w:r>
    </w:p>
    <w:p w14:paraId="4C929007" w14:textId="0B8BBC4F" w:rsidR="00531DFB" w:rsidRPr="00292758" w:rsidRDefault="00531DFB" w:rsidP="00292758">
      <w:pPr>
        <w:pStyle w:val="Normalnumber"/>
        <w:ind w:left="1247"/>
        <w:rPr>
          <w:sz w:val="20"/>
          <w:szCs w:val="20"/>
          <w:lang w:val="ru-RU"/>
        </w:rPr>
      </w:pPr>
      <w:r w:rsidRPr="00292758">
        <w:rPr>
          <w:sz w:val="20"/>
          <w:szCs w:val="20"/>
          <w:lang w:val="ru-RU"/>
        </w:rPr>
        <w:t>После нескольких лет разработки первый дозированный ингалятор под давлением с пропеллентом, обладающим более низким потенциалом глобального потепления, был выпущен на рынок в Соединенном Королевстве. Вторая компания подала заявку на регистрацию, тогда как еще две завершили клинические испытания и намерены обратиться за получением разрешения на реализацию.</w:t>
      </w:r>
    </w:p>
    <w:p w14:paraId="0D202ED0" w14:textId="5AAFC98A" w:rsidR="00531DFB" w:rsidRPr="00292758" w:rsidRDefault="00531DFB" w:rsidP="00292758">
      <w:pPr>
        <w:pStyle w:val="Normalnumber"/>
        <w:ind w:left="1247"/>
        <w:rPr>
          <w:sz w:val="20"/>
          <w:szCs w:val="20"/>
          <w:lang w:val="ru-RU"/>
        </w:rPr>
      </w:pPr>
      <w:r w:rsidRPr="00292758">
        <w:rPr>
          <w:sz w:val="20"/>
          <w:szCs w:val="20"/>
          <w:lang w:val="ru-RU"/>
        </w:rPr>
        <w:t>В докладе также освещается влияние интеллектуальной собственности на процесс разработки дозированных ингаляторов под давлением с пропеллентами, обладающими более низким потенциалом глобального потепления, и отмечается наличие у Европейского союза законодательства, ограничивающего присутствие на рынке пластмассовых изделий одноразового использования при наличии подходящих альтернатив.</w:t>
      </w:r>
    </w:p>
    <w:p w14:paraId="4E717705" w14:textId="77777777" w:rsidR="00E62558" w:rsidRPr="00292758" w:rsidRDefault="00E62558" w:rsidP="00292758">
      <w:pPr>
        <w:pStyle w:val="Normalnumber"/>
        <w:ind w:left="1247"/>
        <w:rPr>
          <w:color w:val="000000" w:themeColor="text1"/>
          <w:sz w:val="20"/>
          <w:szCs w:val="20"/>
          <w:lang w:val="ru-RU"/>
        </w:rPr>
      </w:pPr>
      <w:r w:rsidRPr="00292758">
        <w:rPr>
          <w:sz w:val="20"/>
          <w:szCs w:val="20"/>
          <w:lang w:val="ru-RU"/>
        </w:rPr>
        <w:t>Рабочая группа открытого состава, возможно, пожелает рассмотреть доклад и предложить рекомендации в отношении дальнейших действий.</w:t>
      </w:r>
    </w:p>
    <w:p w14:paraId="71EFE9C8" w14:textId="2DCC3CFB" w:rsidR="00E62558" w:rsidRPr="00C66A9A" w:rsidRDefault="00292758" w:rsidP="00435B54">
      <w:pPr>
        <w:pStyle w:val="CH3"/>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Pr>
          <w:bCs/>
          <w:lang w:val="ru-RU"/>
        </w:rPr>
        <w:tab/>
      </w:r>
      <w:r w:rsidR="00E62558" w:rsidRPr="00C66A9A">
        <w:rPr>
          <w:bCs/>
          <w:lang w:val="ru-RU"/>
        </w:rPr>
        <w:t>c)</w:t>
      </w:r>
      <w:r w:rsidR="00E62558" w:rsidRPr="00C66A9A">
        <w:rPr>
          <w:lang w:val="ru-RU"/>
        </w:rPr>
        <w:tab/>
      </w:r>
      <w:r w:rsidR="00E62558" w:rsidRPr="00C66A9A">
        <w:rPr>
          <w:bCs/>
          <w:lang w:val="ru-RU"/>
        </w:rPr>
        <w:t>Варианты организации Группы и ее комитетов по техническим вариантам замены (решение XXXV/20)</w:t>
      </w:r>
    </w:p>
    <w:p w14:paraId="1BE89E3C" w14:textId="023A1B9D" w:rsidR="00E62558" w:rsidRPr="00292758" w:rsidRDefault="00E62558" w:rsidP="00292758">
      <w:pPr>
        <w:pStyle w:val="Normalnumber"/>
        <w:ind w:left="1247"/>
        <w:rPr>
          <w:sz w:val="20"/>
          <w:szCs w:val="20"/>
          <w:lang w:val="ru-RU"/>
        </w:rPr>
      </w:pPr>
      <w:r w:rsidRPr="00292758">
        <w:rPr>
          <w:sz w:val="20"/>
          <w:szCs w:val="20"/>
          <w:lang w:val="ru-RU"/>
        </w:rPr>
        <w:t xml:space="preserve">Как указано в записке секретариата (UNEP/OzL.Pro.WG.1/48/2, пункты 20–22), в решении XXXV/20 тридцать пятое Совещание Сторон поручило Группе по техническому обзору и экономической оценке представить в ее докладе о ходе работы, подготовленном к сорок седьмому совещанию Рабочей группы открытого состава, варианты организации работы Группы и ее комитетов по техническим вариантам замены с учетом круга ведения Группы по техническому обзору и экономической оценке, определенного в решении XXIV/8, и на основе консультаций с сопредседателями и членами комитетов по техническим вариантам замены, а также с учетом их опыта работы на экспериментальной основе с использованием новых способов организации их </w:t>
      </w:r>
      <w:r w:rsidR="00C66A9A" w:rsidRPr="00292758">
        <w:rPr>
          <w:sz w:val="20"/>
          <w:szCs w:val="20"/>
          <w:lang w:val="ru-RU"/>
        </w:rPr>
        <w:t>деятельности</w:t>
      </w:r>
      <w:r w:rsidRPr="00292758">
        <w:rPr>
          <w:sz w:val="20"/>
          <w:szCs w:val="20"/>
          <w:lang w:val="ru-RU"/>
        </w:rPr>
        <w:t xml:space="preserve">. </w:t>
      </w:r>
    </w:p>
    <w:p w14:paraId="3E648558" w14:textId="6DA884CA" w:rsidR="00C624C0" w:rsidRPr="00292758" w:rsidRDefault="00C624C0" w:rsidP="00292758">
      <w:pPr>
        <w:pStyle w:val="Normalnumber"/>
        <w:ind w:left="1247"/>
        <w:rPr>
          <w:sz w:val="20"/>
          <w:szCs w:val="20"/>
          <w:lang w:val="ru-RU"/>
        </w:rPr>
      </w:pPr>
      <w:r w:rsidRPr="00292758">
        <w:rPr>
          <w:sz w:val="20"/>
          <w:szCs w:val="20"/>
          <w:lang w:val="ru-RU"/>
        </w:rPr>
        <w:t xml:space="preserve">Изначальный ответ Группы на решение </w:t>
      </w:r>
      <w:r w:rsidRPr="00292758">
        <w:rPr>
          <w:sz w:val="20"/>
          <w:szCs w:val="20"/>
        </w:rPr>
        <w:t>XXXV</w:t>
      </w:r>
      <w:r w:rsidRPr="00292758">
        <w:rPr>
          <w:sz w:val="20"/>
          <w:szCs w:val="20"/>
          <w:lang w:val="ru-RU"/>
        </w:rPr>
        <w:t xml:space="preserve">/20, подготовленный рабочей группой в составе восьми членов, был представлен Рабочей группе открытого состава на ее сорок </w:t>
      </w:r>
      <w:r w:rsidRPr="00292758">
        <w:rPr>
          <w:sz w:val="20"/>
          <w:szCs w:val="20"/>
          <w:lang w:val="ru-RU"/>
        </w:rPr>
        <w:lastRenderedPageBreak/>
        <w:t>седьмом совещании</w:t>
      </w:r>
      <w:r w:rsidRPr="00292758">
        <w:rPr>
          <w:rStyle w:val="FootnoteReference"/>
          <w:szCs w:val="20"/>
          <w:lang w:val="ru-RU"/>
        </w:rPr>
        <w:footnoteReference w:id="8"/>
      </w:r>
      <w:r w:rsidRPr="00292758">
        <w:rPr>
          <w:sz w:val="20"/>
          <w:szCs w:val="20"/>
          <w:lang w:val="ru-RU"/>
        </w:rPr>
        <w:t xml:space="preserve">. В докладе о ходе работы (2026 год) Группа представляет дополнительный анализ и выделяет предпочтительные варианты своей реорганизации. Анализ, проведенный </w:t>
      </w:r>
      <w:r w:rsidR="00021097" w:rsidRPr="00292758">
        <w:rPr>
          <w:sz w:val="20"/>
          <w:szCs w:val="20"/>
          <w:lang w:val="ru-RU"/>
        </w:rPr>
        <w:t>вновь созванной</w:t>
      </w:r>
      <w:r w:rsidRPr="00292758">
        <w:rPr>
          <w:sz w:val="20"/>
          <w:szCs w:val="20"/>
          <w:lang w:val="ru-RU"/>
        </w:rPr>
        <w:t xml:space="preserve"> рабочей группой, изложен в главе 8 доклада. Его краткое изложение приводится в следующих пунктах.</w:t>
      </w:r>
    </w:p>
    <w:p w14:paraId="3687FC10" w14:textId="1A4598C0" w:rsidR="00E62558" w:rsidRPr="00292758" w:rsidRDefault="00C624C0" w:rsidP="00292758">
      <w:pPr>
        <w:pStyle w:val="Normalnumber"/>
        <w:ind w:left="1247"/>
        <w:rPr>
          <w:sz w:val="20"/>
          <w:szCs w:val="20"/>
          <w:lang w:val="ru-RU"/>
        </w:rPr>
      </w:pPr>
      <w:r w:rsidRPr="00292758">
        <w:rPr>
          <w:sz w:val="20"/>
          <w:szCs w:val="20"/>
          <w:lang w:val="ru-RU"/>
        </w:rPr>
        <w:t>В настоящее время в состав Группы по техническому обзору и экономической оценке входит 21 член: 3 сопредседателя Группы, 12 сопредседателей комитетов по техническим вариантам замены и 6 старших экспертов</w:t>
      </w:r>
      <w:r w:rsidR="00C66A9A" w:rsidRPr="00292758">
        <w:rPr>
          <w:sz w:val="20"/>
          <w:szCs w:val="20"/>
          <w:lang w:val="ru-RU"/>
        </w:rPr>
        <w:t xml:space="preserve"> со следующим г</w:t>
      </w:r>
      <w:r w:rsidRPr="00292758">
        <w:rPr>
          <w:sz w:val="20"/>
          <w:szCs w:val="20"/>
          <w:lang w:val="ru-RU"/>
        </w:rPr>
        <w:t>ендерн</w:t>
      </w:r>
      <w:r w:rsidR="00C66A9A" w:rsidRPr="00292758">
        <w:rPr>
          <w:sz w:val="20"/>
          <w:szCs w:val="20"/>
          <w:lang w:val="ru-RU"/>
        </w:rPr>
        <w:t>ым</w:t>
      </w:r>
      <w:r w:rsidRPr="00292758">
        <w:rPr>
          <w:sz w:val="20"/>
          <w:szCs w:val="20"/>
          <w:lang w:val="ru-RU"/>
        </w:rPr>
        <w:t xml:space="preserve"> распределение</w:t>
      </w:r>
      <w:r w:rsidR="00C66A9A" w:rsidRPr="00292758">
        <w:rPr>
          <w:sz w:val="20"/>
          <w:szCs w:val="20"/>
          <w:lang w:val="ru-RU"/>
        </w:rPr>
        <w:t>м</w:t>
      </w:r>
      <w:r w:rsidRPr="00292758">
        <w:rPr>
          <w:sz w:val="20"/>
          <w:szCs w:val="20"/>
          <w:lang w:val="ru-RU"/>
        </w:rPr>
        <w:t>: 6 женщин и 15 мужчин</w:t>
      </w:r>
      <w:r w:rsidR="002779D8" w:rsidRPr="00B958A7">
        <w:rPr>
          <w:sz w:val="20"/>
          <w:szCs w:val="20"/>
          <w:lang w:val="ru-RU"/>
        </w:rPr>
        <w:t xml:space="preserve">. </w:t>
      </w:r>
      <w:r w:rsidR="002779D8">
        <w:rPr>
          <w:sz w:val="20"/>
          <w:szCs w:val="20"/>
          <w:lang w:val="ru-RU"/>
        </w:rPr>
        <w:t>П</w:t>
      </w:r>
      <w:r w:rsidR="00C66A9A" w:rsidRPr="00292758">
        <w:rPr>
          <w:sz w:val="20"/>
          <w:szCs w:val="20"/>
          <w:lang w:val="ru-RU"/>
        </w:rPr>
        <w:t xml:space="preserve">ри этом </w:t>
      </w:r>
      <w:r w:rsidRPr="00292758">
        <w:rPr>
          <w:sz w:val="20"/>
          <w:szCs w:val="20"/>
          <w:lang w:val="ru-RU"/>
        </w:rPr>
        <w:t xml:space="preserve">48 процентов членов представляют Стороны, действующие в рамках статьи 5. Более 150 экспертов работают в составе Группы и ее комитетов по техническим вариантам замены на добровольной и безвозмездной основе. </w:t>
      </w:r>
    </w:p>
    <w:p w14:paraId="19DDC1EA" w14:textId="3EF54073" w:rsidR="00E62558" w:rsidRDefault="00C624C0" w:rsidP="00292758">
      <w:pPr>
        <w:pStyle w:val="Normalnumber"/>
        <w:ind w:left="1247"/>
        <w:rPr>
          <w:sz w:val="20"/>
          <w:szCs w:val="20"/>
          <w:lang w:val="ru-RU"/>
        </w:rPr>
      </w:pPr>
      <w:r w:rsidRPr="00292758">
        <w:rPr>
          <w:sz w:val="20"/>
          <w:szCs w:val="20"/>
          <w:lang w:val="ru-RU"/>
        </w:rPr>
        <w:t xml:space="preserve">По оценке Группы, в целом действующий состав и структура комитетов по техническим вариантам замены функционируют эффективно и позволяют им </w:t>
      </w:r>
      <w:r w:rsidR="00C66A9A" w:rsidRPr="00292758">
        <w:rPr>
          <w:sz w:val="20"/>
          <w:szCs w:val="20"/>
          <w:lang w:val="ru-RU"/>
        </w:rPr>
        <w:t>вести успешную работу</w:t>
      </w:r>
      <w:r w:rsidRPr="00292758">
        <w:rPr>
          <w:sz w:val="20"/>
          <w:szCs w:val="20"/>
          <w:lang w:val="ru-RU"/>
        </w:rPr>
        <w:t>. Дополнительный анализ, представленный на рассмотрение Сторон, касается, в частности, предпочтительных для каждого комитета вариантов для регулирования ожидаемых изменений</w:t>
      </w:r>
      <w:r w:rsidR="00C66A9A" w:rsidRPr="00292758">
        <w:rPr>
          <w:sz w:val="20"/>
          <w:szCs w:val="20"/>
          <w:lang w:val="ru-RU"/>
        </w:rPr>
        <w:t xml:space="preserve"> объема работы</w:t>
      </w:r>
      <w:r w:rsidRPr="00292758">
        <w:rPr>
          <w:sz w:val="20"/>
          <w:szCs w:val="20"/>
          <w:lang w:val="ru-RU"/>
        </w:rPr>
        <w:t xml:space="preserve"> начиная с 2027 года. Эти варианты обусловлены текущими практическим</w:t>
      </w:r>
      <w:r w:rsidR="00021097" w:rsidRPr="00292758">
        <w:rPr>
          <w:sz w:val="20"/>
          <w:szCs w:val="20"/>
          <w:lang w:val="ru-RU"/>
        </w:rPr>
        <w:t>и</w:t>
      </w:r>
      <w:r w:rsidRPr="00292758">
        <w:rPr>
          <w:sz w:val="20"/>
          <w:szCs w:val="20"/>
          <w:lang w:val="ru-RU"/>
        </w:rPr>
        <w:t xml:space="preserve"> реалиями, в том числе ожидаемым выбытием членов, ограничениями в части поддержки участия и существующими кадровыми потребност</w:t>
      </w:r>
      <w:r w:rsidR="00021097" w:rsidRPr="00292758">
        <w:rPr>
          <w:sz w:val="20"/>
          <w:szCs w:val="20"/>
          <w:lang w:val="ru-RU"/>
        </w:rPr>
        <w:t>ями</w:t>
      </w:r>
      <w:r w:rsidRPr="00292758">
        <w:rPr>
          <w:sz w:val="20"/>
          <w:szCs w:val="20"/>
          <w:lang w:val="ru-RU"/>
        </w:rPr>
        <w:t xml:space="preserve">, а также постепенным развитием механизмов работы на основе подкомитетов в двух </w:t>
      </w:r>
      <w:r w:rsidR="00C66A9A" w:rsidRPr="00292758">
        <w:rPr>
          <w:sz w:val="20"/>
          <w:szCs w:val="20"/>
          <w:lang w:val="ru-RU"/>
        </w:rPr>
        <w:t>самых больших</w:t>
      </w:r>
      <w:r w:rsidRPr="00292758">
        <w:rPr>
          <w:sz w:val="20"/>
          <w:szCs w:val="20"/>
          <w:lang w:val="ru-RU"/>
        </w:rPr>
        <w:t xml:space="preserve"> комитетах по техническим вариантам замены. </w:t>
      </w:r>
      <w:r w:rsidR="00FB3AC8" w:rsidRPr="00292758">
        <w:rPr>
          <w:sz w:val="20"/>
          <w:szCs w:val="20"/>
          <w:lang w:val="ru-RU"/>
        </w:rPr>
        <w:t>Варианты должны оставаться гибкими и могут быть пересмотрены по мере изменения потребностей Сторон.</w:t>
      </w:r>
    </w:p>
    <w:p w14:paraId="5778E09F" w14:textId="19425066" w:rsidR="002779D8" w:rsidRPr="00FB3AC8" w:rsidRDefault="002779D8" w:rsidP="00292758">
      <w:pPr>
        <w:pStyle w:val="Normalnumber"/>
        <w:ind w:left="1247"/>
        <w:rPr>
          <w:sz w:val="20"/>
          <w:szCs w:val="20"/>
          <w:lang w:val="ru-RU"/>
        </w:rPr>
      </w:pPr>
      <w:r w:rsidRPr="002779D8">
        <w:rPr>
          <w:sz w:val="20"/>
          <w:szCs w:val="20"/>
          <w:lang w:val="ru-RU"/>
        </w:rPr>
        <w:t>В этой связи Группа ссылается на обновленную матрицу экспертных знаний, в которой отражены выявленные пробелы и содержится призыв к Сторонам выдвигать кандидатуры экспертов для удовлетворения соответствующих потребностей.</w:t>
      </w:r>
    </w:p>
    <w:p w14:paraId="3AFE1072" w14:textId="59DC144F" w:rsidR="00C624C0" w:rsidRPr="00292758" w:rsidRDefault="00C624C0" w:rsidP="00292758">
      <w:pPr>
        <w:pStyle w:val="Normalnumber"/>
        <w:ind w:left="1247"/>
        <w:rPr>
          <w:sz w:val="20"/>
          <w:szCs w:val="20"/>
          <w:lang w:val="ru-RU"/>
        </w:rPr>
      </w:pPr>
      <w:r w:rsidRPr="00292758">
        <w:rPr>
          <w:sz w:val="20"/>
          <w:szCs w:val="20"/>
          <w:lang w:val="ru-RU"/>
        </w:rPr>
        <w:t xml:space="preserve">Для каждого комитета по техническим вариантам замены в докладе приводится справочная информация о сфере его деятельности и рассматриваемых им вопросах, а также анализ предпочтительного варианта его будущей структуры с указанием, если это уместно, связанных с ним преимуществ и недостатков. В кратком изложении предпочтительные для Группы варианты выглядят следующим образом: </w:t>
      </w:r>
    </w:p>
    <w:p w14:paraId="4F2A8D4A" w14:textId="02EB828E" w:rsidR="00C624C0" w:rsidRPr="00292758" w:rsidRDefault="00C624C0">
      <w:pPr>
        <w:pStyle w:val="Normalnumber"/>
        <w:numPr>
          <w:ilvl w:val="0"/>
          <w:numId w:val="17"/>
        </w:numPr>
        <w:ind w:left="1247" w:firstLine="624"/>
        <w:rPr>
          <w:sz w:val="20"/>
          <w:szCs w:val="20"/>
          <w:lang w:val="ru-RU"/>
        </w:rPr>
      </w:pPr>
      <w:r w:rsidRPr="00292758">
        <w:rPr>
          <w:sz w:val="20"/>
          <w:szCs w:val="20"/>
          <w:lang w:val="ru-RU"/>
        </w:rPr>
        <w:t xml:space="preserve">Комитет по техническим вариантам замены гибких и жестких пеноматериалов, в состав которого в настоящее время входят </w:t>
      </w:r>
      <w:r w:rsidR="00C81462">
        <w:rPr>
          <w:sz w:val="20"/>
          <w:szCs w:val="20"/>
          <w:lang w:val="ru-RU"/>
        </w:rPr>
        <w:t>2</w:t>
      </w:r>
      <w:r w:rsidRPr="00292758">
        <w:rPr>
          <w:sz w:val="20"/>
          <w:szCs w:val="20"/>
          <w:lang w:val="ru-RU"/>
        </w:rPr>
        <w:t xml:space="preserve"> сопредседателя и 19 членов, считается эффективно функционирующим и имеющим оптимальный размер. Он проводит важные оценки альтернатив и технических разработок в секторе пеноматериалов. В перспективе возможны незначительные корректировки (например, менее частое проведение совещаний или сокращение состава после завершения ключевых переходных процессов), однако на данном этапе предпочтительным считается сохранение имеющейся структуры в целях обеспечения общей стабильности</w:t>
      </w:r>
      <w:r w:rsidR="00C81462">
        <w:rPr>
          <w:sz w:val="20"/>
          <w:szCs w:val="20"/>
          <w:lang w:val="ru-RU"/>
        </w:rPr>
        <w:t>;</w:t>
      </w:r>
      <w:r w:rsidRPr="00292758">
        <w:rPr>
          <w:sz w:val="20"/>
          <w:szCs w:val="20"/>
          <w:lang w:val="ru-RU"/>
        </w:rPr>
        <w:t xml:space="preserve"> </w:t>
      </w:r>
    </w:p>
    <w:p w14:paraId="6B336886" w14:textId="18367360" w:rsidR="00C624C0" w:rsidRPr="00292758" w:rsidRDefault="00C624C0">
      <w:pPr>
        <w:pStyle w:val="Normalnumber"/>
        <w:numPr>
          <w:ilvl w:val="0"/>
          <w:numId w:val="17"/>
        </w:numPr>
        <w:ind w:left="1247" w:firstLine="624"/>
        <w:rPr>
          <w:sz w:val="20"/>
          <w:szCs w:val="20"/>
          <w:lang w:val="ru-RU"/>
        </w:rPr>
      </w:pPr>
      <w:r w:rsidRPr="00292758">
        <w:rPr>
          <w:sz w:val="20"/>
          <w:szCs w:val="20"/>
          <w:lang w:val="ru-RU"/>
        </w:rPr>
        <w:t xml:space="preserve">Комитет по техническим вариантам замены для пожаротушения, в состав которого в настоящее время входят два сопредседателя и 17 членов, рассматривается как необходимый орган, выполняющий такие ключевые функции, как моделирование выбросов, учет запасов галонов и оценку потребностей в поставках для авиации. С учетом последних изменений в секторе пожаротушения и вероятности подачи заявок в отношении основных видов применения в будущем (в частности для гражданской авиации и других долгосрочных видов применения), существующая структура Комитета – с обновленным составом членов или их заменой и, в идеале, с дополнительным сопредседателем, представляющим Сторону, действующую в рамках статьи 5, – признана целесообразной. В связи с этим Группа рекомендует сохранить текущую структуру, отмечая, что сокращение состава может подорвать способность Комитета удовлетворять будущие потребности, особенно связанные с основными видами применения в авиации и системами предыдущих поколений; </w:t>
      </w:r>
    </w:p>
    <w:p w14:paraId="4E5DC7A3" w14:textId="0CE8878A" w:rsidR="00C624C0" w:rsidRPr="00292758" w:rsidRDefault="00C624C0">
      <w:pPr>
        <w:pStyle w:val="Normalnumber"/>
        <w:numPr>
          <w:ilvl w:val="0"/>
          <w:numId w:val="17"/>
        </w:numPr>
        <w:ind w:left="1247" w:firstLine="624"/>
        <w:rPr>
          <w:sz w:val="20"/>
          <w:szCs w:val="20"/>
          <w:lang w:val="ru-RU"/>
        </w:rPr>
      </w:pPr>
      <w:r w:rsidRPr="00292758">
        <w:rPr>
          <w:sz w:val="20"/>
          <w:szCs w:val="20"/>
          <w:lang w:val="ru-RU"/>
        </w:rPr>
        <w:t xml:space="preserve">Комитет по техническим вариантам замены бромистого метила, в состав которого в настоящее время входят </w:t>
      </w:r>
      <w:r w:rsidR="0012398D">
        <w:rPr>
          <w:sz w:val="20"/>
          <w:szCs w:val="20"/>
          <w:lang w:val="ru-RU"/>
        </w:rPr>
        <w:t>2</w:t>
      </w:r>
      <w:r w:rsidRPr="00292758">
        <w:rPr>
          <w:sz w:val="20"/>
          <w:szCs w:val="20"/>
          <w:lang w:val="ru-RU"/>
        </w:rPr>
        <w:t xml:space="preserve"> сопредседателя и 16 членов, сообщает, что регулируемые виды применения бромистого метила были в основном поэтапно выведены из обращения, однако применение в целях карантинной обработки и обработки перед транспортировкой по</w:t>
      </w:r>
      <w:r w:rsidR="0012398D">
        <w:rPr>
          <w:sz w:val="20"/>
          <w:szCs w:val="20"/>
          <w:lang w:val="ru-RU"/>
        </w:rPr>
        <w:noBreakHyphen/>
      </w:r>
      <w:r w:rsidRPr="00292758">
        <w:rPr>
          <w:sz w:val="20"/>
          <w:szCs w:val="20"/>
          <w:lang w:val="ru-RU"/>
        </w:rPr>
        <w:t xml:space="preserve">прежнему остается значительным. Комитет рекомендует сохранить группу экспертов среднего размера для сохранения накопленных знаний и контроля над оставшимися регулируемыми видами применения и видами применения, в отношении которых </w:t>
      </w:r>
      <w:r w:rsidRPr="00292758">
        <w:rPr>
          <w:sz w:val="20"/>
          <w:szCs w:val="20"/>
          <w:lang w:val="ru-RU"/>
        </w:rPr>
        <w:lastRenderedPageBreak/>
        <w:t>предоставлены исключения, а также для дальнейшего содействия альтернативам и стратегиям сокращения выбросов;</w:t>
      </w:r>
    </w:p>
    <w:p w14:paraId="078FE578" w14:textId="41BAFE14" w:rsidR="00C624C0" w:rsidRPr="00292758" w:rsidRDefault="00C624C0">
      <w:pPr>
        <w:pStyle w:val="Normalnumber"/>
        <w:numPr>
          <w:ilvl w:val="0"/>
          <w:numId w:val="17"/>
        </w:numPr>
        <w:ind w:left="1247" w:firstLine="624"/>
        <w:rPr>
          <w:sz w:val="20"/>
          <w:szCs w:val="20"/>
          <w:lang w:val="ru-RU"/>
        </w:rPr>
      </w:pPr>
      <w:r w:rsidRPr="00292758">
        <w:rPr>
          <w:sz w:val="20"/>
          <w:szCs w:val="20"/>
          <w:lang w:val="ru-RU"/>
        </w:rPr>
        <w:t xml:space="preserve">Комитет по техническим вариантам замены медицинских видов применения и химических веществ, в состав которого в настоящее время входят </w:t>
      </w:r>
      <w:r w:rsidR="0012398D">
        <w:rPr>
          <w:sz w:val="20"/>
          <w:szCs w:val="20"/>
          <w:lang w:val="ru-RU"/>
        </w:rPr>
        <w:t>3</w:t>
      </w:r>
      <w:r w:rsidRPr="00292758">
        <w:rPr>
          <w:sz w:val="20"/>
          <w:szCs w:val="20"/>
          <w:lang w:val="ru-RU"/>
        </w:rPr>
        <w:t xml:space="preserve"> сопредседателя и 39</w:t>
      </w:r>
      <w:r w:rsidR="00FE574B">
        <w:rPr>
          <w:sz w:val="20"/>
          <w:szCs w:val="20"/>
          <w:lang w:val="ru-RU"/>
        </w:rPr>
        <w:t> </w:t>
      </w:r>
      <w:r w:rsidRPr="00292758">
        <w:rPr>
          <w:sz w:val="20"/>
          <w:szCs w:val="20"/>
          <w:lang w:val="ru-RU"/>
        </w:rPr>
        <w:t>членов, работает с широким и постоянно растущи</w:t>
      </w:r>
      <w:r w:rsidR="002E3173" w:rsidRPr="00292758">
        <w:rPr>
          <w:sz w:val="20"/>
          <w:szCs w:val="20"/>
          <w:lang w:val="ru-RU"/>
        </w:rPr>
        <w:t>м</w:t>
      </w:r>
      <w:r w:rsidRPr="00292758">
        <w:rPr>
          <w:sz w:val="20"/>
          <w:szCs w:val="20"/>
          <w:lang w:val="ru-RU"/>
        </w:rPr>
        <w:t xml:space="preserve"> кругом вопросов, охватывающим фармацевтические препараты, растворители, производство полупроводников и новые вопросы в химической отрасли, такие как выбросы ПФАВ и ГФУ. Ввиду растущего объема работы и сложности задач предлагается возможная будущая реструктуризация с образованием двух подкомитетов </w:t>
      </w:r>
      <w:r w:rsidR="003C7E55" w:rsidRPr="00292758">
        <w:rPr>
          <w:sz w:val="20"/>
          <w:szCs w:val="20"/>
          <w:lang w:val="ru-RU"/>
        </w:rPr>
        <w:t xml:space="preserve">– </w:t>
      </w:r>
      <w:r w:rsidRPr="00292758">
        <w:rPr>
          <w:sz w:val="20"/>
          <w:szCs w:val="20"/>
          <w:lang w:val="ru-RU"/>
        </w:rPr>
        <w:t>по «аэрозолям и медицинским видам применения» и по «химическим веществам»</w:t>
      </w:r>
      <w:r w:rsidR="003C7E55" w:rsidRPr="00292758">
        <w:rPr>
          <w:sz w:val="20"/>
          <w:szCs w:val="20"/>
          <w:lang w:val="ru-RU"/>
        </w:rPr>
        <w:t xml:space="preserve"> –</w:t>
      </w:r>
      <w:r w:rsidRPr="00292758">
        <w:rPr>
          <w:sz w:val="20"/>
          <w:szCs w:val="20"/>
          <w:lang w:val="ru-RU"/>
        </w:rPr>
        <w:t xml:space="preserve"> и увеличением числа сопредседателей до четырех, что позволит повысить эффективность работы при сохранении широкого технического охвата;</w:t>
      </w:r>
    </w:p>
    <w:p w14:paraId="690E8A1A" w14:textId="228B33C2" w:rsidR="003C7E55" w:rsidRPr="00292758" w:rsidRDefault="003C7E55">
      <w:pPr>
        <w:pStyle w:val="Normalnumber"/>
        <w:numPr>
          <w:ilvl w:val="0"/>
          <w:numId w:val="17"/>
        </w:numPr>
        <w:ind w:left="1247" w:firstLine="624"/>
        <w:rPr>
          <w:sz w:val="20"/>
          <w:szCs w:val="20"/>
          <w:lang w:val="ru-RU"/>
        </w:rPr>
      </w:pPr>
      <w:r w:rsidRPr="00292758">
        <w:rPr>
          <w:sz w:val="20"/>
          <w:szCs w:val="20"/>
          <w:lang w:val="ru-RU"/>
        </w:rPr>
        <w:t xml:space="preserve">Комитет по техническим вариантам замены холодильного оборудования, систем кондиционирования воздуха и тепловых насосов, в состав которого в настоящее время входят </w:t>
      </w:r>
      <w:r w:rsidR="002E2A7F">
        <w:rPr>
          <w:sz w:val="20"/>
          <w:szCs w:val="20"/>
          <w:lang w:val="ru-RU"/>
        </w:rPr>
        <w:t>4 </w:t>
      </w:r>
      <w:r w:rsidRPr="00292758">
        <w:rPr>
          <w:sz w:val="20"/>
          <w:szCs w:val="20"/>
          <w:lang w:val="ru-RU"/>
        </w:rPr>
        <w:t>сопредседателя и 42 члена, сталкивается с растущ</w:t>
      </w:r>
      <w:r w:rsidR="002E2A7F">
        <w:rPr>
          <w:sz w:val="20"/>
          <w:szCs w:val="20"/>
          <w:lang w:val="ru-RU"/>
        </w:rPr>
        <w:t>им</w:t>
      </w:r>
      <w:r w:rsidRPr="00292758">
        <w:rPr>
          <w:sz w:val="20"/>
          <w:szCs w:val="20"/>
          <w:lang w:val="ru-RU"/>
        </w:rPr>
        <w:t xml:space="preserve"> объемом работы в связи с глобальным ростом спроса на системы охлаждения, политикой в области энергоэффективности и осуществлением Кигалийской поправки. Он предлагает сохранить большой комитет с подкомитетами по «охлаждению и отоплению для нужд комфорта» и по «холодовой цепи и другим видам применения», что позволит обеспечить специализацию при сохранении координации по общим вопросам.</w:t>
      </w:r>
    </w:p>
    <w:p w14:paraId="13864C62" w14:textId="3E2E21DC" w:rsidR="00531DFB" w:rsidRPr="00292758" w:rsidRDefault="00531DFB" w:rsidP="00292758">
      <w:pPr>
        <w:pStyle w:val="Normalnumber"/>
        <w:ind w:left="1247"/>
        <w:rPr>
          <w:sz w:val="20"/>
          <w:szCs w:val="20"/>
          <w:lang w:val="ru-RU"/>
        </w:rPr>
      </w:pPr>
      <w:r w:rsidRPr="00292758">
        <w:rPr>
          <w:sz w:val="20"/>
          <w:szCs w:val="20"/>
          <w:lang w:val="ru-RU"/>
        </w:rPr>
        <w:t>Группа по техническому обзору и экономической оценке выделяет общие трудности, с которыми сталкиваются все комитеты по техническим вариант</w:t>
      </w:r>
      <w:r w:rsidR="004B7D17" w:rsidRPr="00292758">
        <w:rPr>
          <w:sz w:val="20"/>
          <w:szCs w:val="20"/>
          <w:lang w:val="ru-RU"/>
        </w:rPr>
        <w:t>а</w:t>
      </w:r>
      <w:r w:rsidRPr="00292758">
        <w:rPr>
          <w:sz w:val="20"/>
          <w:szCs w:val="20"/>
          <w:lang w:val="ru-RU"/>
        </w:rPr>
        <w:t xml:space="preserve">м замены: расширение объема работы в связи с пересекающимися </w:t>
      </w:r>
      <w:r w:rsidR="004B7D17" w:rsidRPr="00292758">
        <w:rPr>
          <w:sz w:val="20"/>
          <w:szCs w:val="20"/>
          <w:lang w:val="ru-RU"/>
        </w:rPr>
        <w:t xml:space="preserve">режимами </w:t>
      </w:r>
      <w:r w:rsidRPr="00292758">
        <w:rPr>
          <w:sz w:val="20"/>
          <w:szCs w:val="20"/>
          <w:lang w:val="ru-RU"/>
        </w:rPr>
        <w:t xml:space="preserve">поэтапного вывода из обращения </w:t>
      </w:r>
      <w:r w:rsidR="002779D8">
        <w:rPr>
          <w:sz w:val="20"/>
          <w:szCs w:val="20"/>
          <w:lang w:val="ru-RU"/>
        </w:rPr>
        <w:t>озоноразрушающих веществ</w:t>
      </w:r>
      <w:r w:rsidRPr="00292758">
        <w:rPr>
          <w:sz w:val="20"/>
          <w:szCs w:val="20"/>
          <w:lang w:val="ru-RU"/>
        </w:rPr>
        <w:t xml:space="preserve"> и поэтапного сокращения оборота ГФУ, </w:t>
      </w:r>
      <w:r w:rsidR="00C66A9A" w:rsidRPr="00292758">
        <w:rPr>
          <w:sz w:val="20"/>
          <w:szCs w:val="20"/>
          <w:lang w:val="ru-RU"/>
        </w:rPr>
        <w:t>утрату</w:t>
      </w:r>
      <w:r w:rsidRPr="00292758">
        <w:rPr>
          <w:sz w:val="20"/>
          <w:szCs w:val="20"/>
          <w:lang w:val="ru-RU"/>
        </w:rPr>
        <w:t xml:space="preserve"> опытных членов в связи с</w:t>
      </w:r>
      <w:r w:rsidR="00C66A9A" w:rsidRPr="00292758">
        <w:rPr>
          <w:sz w:val="20"/>
          <w:szCs w:val="20"/>
          <w:lang w:val="ru-RU"/>
        </w:rPr>
        <w:t xml:space="preserve"> их</w:t>
      </w:r>
      <w:r w:rsidRPr="00292758">
        <w:rPr>
          <w:sz w:val="20"/>
          <w:szCs w:val="20"/>
          <w:lang w:val="ru-RU"/>
        </w:rPr>
        <w:t xml:space="preserve"> выходом на пенсию, сложности с финансированием участия (в особенности в части путевых расходов) и трудности с поддержанием консенсуса в условиях все более активного перехода на виртуальные форматы работы. Хотя дистанционное сотрудничество способствует непрерывности работы, Группа подчеркивает, что очные совещания по-прежнему незаменимы для укрепления доверия и достижения эффективного консенсус</w:t>
      </w:r>
      <w:r w:rsidR="004B7D17" w:rsidRPr="00292758">
        <w:rPr>
          <w:sz w:val="20"/>
          <w:szCs w:val="20"/>
          <w:lang w:val="ru-RU"/>
        </w:rPr>
        <w:t>а.</w:t>
      </w:r>
    </w:p>
    <w:p w14:paraId="7239D791" w14:textId="77777777" w:rsidR="00E62558" w:rsidRPr="00292758" w:rsidRDefault="00E62558" w:rsidP="00292758">
      <w:pPr>
        <w:pStyle w:val="Normalnumber"/>
        <w:ind w:left="1247"/>
        <w:rPr>
          <w:sz w:val="20"/>
          <w:szCs w:val="20"/>
          <w:lang w:val="ru-RU"/>
        </w:rPr>
      </w:pPr>
      <w:r w:rsidRPr="00292758">
        <w:rPr>
          <w:sz w:val="20"/>
          <w:szCs w:val="20"/>
          <w:lang w:val="ru-RU"/>
        </w:rPr>
        <w:t>Рабочая группа открытого состава, возможно, пожелает рассмотреть доклад и предложить рекомендации в отношении дальнейших действий.</w:t>
      </w:r>
    </w:p>
    <w:p w14:paraId="300FD175" w14:textId="430E89C6" w:rsidR="00E62558" w:rsidRPr="00C66A9A" w:rsidRDefault="00FE574B" w:rsidP="00435B54">
      <w:pPr>
        <w:pStyle w:val="CH3"/>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Pr>
          <w:bCs/>
          <w:lang w:val="ru-RU"/>
        </w:rPr>
        <w:tab/>
      </w:r>
      <w:r w:rsidR="00E62558" w:rsidRPr="00C66A9A">
        <w:rPr>
          <w:bCs/>
          <w:lang w:val="ru-RU"/>
        </w:rPr>
        <w:t>d)</w:t>
      </w:r>
      <w:r w:rsidR="00E62558" w:rsidRPr="00C66A9A">
        <w:rPr>
          <w:lang w:val="ru-RU"/>
        </w:rPr>
        <w:tab/>
      </w:r>
      <w:r w:rsidR="00E62558" w:rsidRPr="00C66A9A">
        <w:rPr>
          <w:bCs/>
          <w:lang w:val="ru-RU"/>
        </w:rPr>
        <w:t>Изменения в членском составе Группы</w:t>
      </w:r>
    </w:p>
    <w:p w14:paraId="69E3520A" w14:textId="08DDAA9D" w:rsidR="00E62558" w:rsidRPr="00FE574B" w:rsidRDefault="00E62558" w:rsidP="00FE574B">
      <w:pPr>
        <w:pStyle w:val="Normalnumber"/>
        <w:ind w:left="1247"/>
        <w:rPr>
          <w:sz w:val="20"/>
          <w:szCs w:val="20"/>
          <w:lang w:val="ru-RU"/>
        </w:rPr>
      </w:pPr>
      <w:r w:rsidRPr="00FE574B">
        <w:rPr>
          <w:sz w:val="20"/>
          <w:szCs w:val="20"/>
          <w:lang w:val="ru-RU"/>
        </w:rPr>
        <w:t xml:space="preserve">В приложении 2 к своему докладу о ходе работы </w:t>
      </w:r>
      <w:r w:rsidR="00C66A9A" w:rsidRPr="00FE574B">
        <w:rPr>
          <w:sz w:val="20"/>
          <w:szCs w:val="20"/>
          <w:lang w:val="ru-RU"/>
        </w:rPr>
        <w:t>(</w:t>
      </w:r>
      <w:r w:rsidRPr="00FE574B">
        <w:rPr>
          <w:sz w:val="20"/>
          <w:szCs w:val="20"/>
          <w:lang w:val="ru-RU"/>
        </w:rPr>
        <w:t>2026 год</w:t>
      </w:r>
      <w:r w:rsidR="00C66A9A" w:rsidRPr="00FE574B">
        <w:rPr>
          <w:sz w:val="20"/>
          <w:szCs w:val="20"/>
          <w:lang w:val="ru-RU"/>
        </w:rPr>
        <w:t>)</w:t>
      </w:r>
      <w:r w:rsidRPr="00FE574B">
        <w:rPr>
          <w:sz w:val="20"/>
          <w:szCs w:val="20"/>
          <w:lang w:val="ru-RU"/>
        </w:rPr>
        <w:t xml:space="preserve"> Группа по техническому обзору и экономической оценке представила информацию о положении дел со своим членским составом и членским составом комитетов по техническим вариантам замены по состоянию на май 2026 года. </w:t>
      </w:r>
    </w:p>
    <w:p w14:paraId="50CF2FFC" w14:textId="0C29661D" w:rsidR="00E62558" w:rsidRPr="00FE574B" w:rsidRDefault="00E62558" w:rsidP="00FE574B">
      <w:pPr>
        <w:pStyle w:val="Normalnumber"/>
        <w:ind w:left="1247"/>
        <w:rPr>
          <w:sz w:val="20"/>
          <w:szCs w:val="20"/>
          <w:lang w:val="ru-RU"/>
        </w:rPr>
      </w:pPr>
      <w:r w:rsidRPr="00FE574B">
        <w:rPr>
          <w:sz w:val="20"/>
          <w:szCs w:val="20"/>
          <w:lang w:val="ru-RU"/>
        </w:rPr>
        <w:t>Перечень членов Группы, срок пребывания которых в составе Группы истекает в конце 2026 года и для повторного назначения которых требуется решение тридцать восьмого Совещания Сторон, представлен в таблице 3. Перечень членов комитетов по техническим вариантам замены, срок пребывания которых в составе комитет</w:t>
      </w:r>
      <w:r w:rsidR="00C66A9A" w:rsidRPr="00FE574B">
        <w:rPr>
          <w:sz w:val="20"/>
          <w:szCs w:val="20"/>
          <w:lang w:val="ru-RU"/>
        </w:rPr>
        <w:t>ов</w:t>
      </w:r>
      <w:r w:rsidRPr="00FE574B">
        <w:rPr>
          <w:sz w:val="20"/>
          <w:szCs w:val="20"/>
          <w:lang w:val="ru-RU"/>
        </w:rPr>
        <w:t xml:space="preserve"> истекает в конце 2026 года и для повторного назначения которых не требуется решение тридцать восьмого Совещания Сторон, приводится в приложении III к настоящему добавлению.</w:t>
      </w:r>
    </w:p>
    <w:p w14:paraId="39C04D93" w14:textId="77777777" w:rsidR="00EE3E6E" w:rsidRDefault="00EE3E6E">
      <w:pPr>
        <w:rPr>
          <w:sz w:val="20"/>
          <w:szCs w:val="20"/>
          <w:lang w:val="ru-RU"/>
        </w:rPr>
      </w:pPr>
      <w:r>
        <w:rPr>
          <w:b/>
          <w:bCs/>
          <w:lang w:val="ru-RU"/>
        </w:rPr>
        <w:br w:type="page"/>
      </w:r>
    </w:p>
    <w:p w14:paraId="3770B508" w14:textId="71A7499F" w:rsidR="00E62558" w:rsidRPr="00C66A9A" w:rsidRDefault="00E62558" w:rsidP="00FE574B">
      <w:pPr>
        <w:pStyle w:val="Titletable"/>
        <w:tabs>
          <w:tab w:val="clear" w:pos="624"/>
          <w:tab w:val="clear" w:pos="1247"/>
          <w:tab w:val="clear" w:pos="1871"/>
          <w:tab w:val="clear" w:pos="2495"/>
          <w:tab w:val="clear" w:pos="3119"/>
          <w:tab w:val="clear" w:pos="3742"/>
          <w:tab w:val="clear" w:pos="4366"/>
          <w:tab w:val="clear" w:pos="4990"/>
        </w:tabs>
        <w:spacing w:before="120"/>
        <w:rPr>
          <w:lang w:val="ru-RU"/>
        </w:rPr>
      </w:pPr>
      <w:r w:rsidRPr="00C66A9A">
        <w:rPr>
          <w:b w:val="0"/>
          <w:bCs w:val="0"/>
          <w:lang w:val="ru-RU"/>
        </w:rPr>
        <w:lastRenderedPageBreak/>
        <w:t>Таблица 3</w:t>
      </w:r>
      <w:r w:rsidRPr="00C66A9A">
        <w:rPr>
          <w:lang w:val="ru-RU"/>
        </w:rPr>
        <w:t xml:space="preserve"> </w:t>
      </w:r>
      <w:r w:rsidR="00FE574B">
        <w:rPr>
          <w:lang w:val="ru-RU"/>
        </w:rPr>
        <w:br/>
      </w:r>
      <w:r w:rsidRPr="00C66A9A">
        <w:rPr>
          <w:lang w:val="ru-RU"/>
        </w:rPr>
        <w:t>Члены Группы по техническому обзору и экономической оценке, срок пребывания которых в составе Группы истекает в конце 2026 года и для повторного назначения которых требуется решение тридцать восьмого Совещания Сторон</w:t>
      </w:r>
    </w:p>
    <w:tbl>
      <w:tblPr>
        <w:tblW w:w="8307" w:type="dxa"/>
        <w:jc w:val="right"/>
        <w:tblLayout w:type="fixed"/>
        <w:tblLook w:val="04A0" w:firstRow="1" w:lastRow="0" w:firstColumn="1" w:lastColumn="0" w:noHBand="0" w:noVBand="1"/>
      </w:tblPr>
      <w:tblGrid>
        <w:gridCol w:w="2079"/>
        <w:gridCol w:w="2599"/>
        <w:gridCol w:w="3629"/>
      </w:tblGrid>
      <w:tr w:rsidR="00E62558" w:rsidRPr="00C66A9A" w14:paraId="5B232D45" w14:textId="77777777" w:rsidTr="00591ECA">
        <w:trPr>
          <w:trHeight w:val="57"/>
          <w:tblHeader/>
          <w:jc w:val="right"/>
        </w:trPr>
        <w:tc>
          <w:tcPr>
            <w:tcW w:w="2079" w:type="dxa"/>
            <w:tcBorders>
              <w:top w:val="single" w:sz="4" w:space="0" w:color="auto"/>
              <w:bottom w:val="single" w:sz="12" w:space="0" w:color="auto"/>
            </w:tcBorders>
            <w:vAlign w:val="bottom"/>
          </w:tcPr>
          <w:p w14:paraId="79DDCF9E" w14:textId="77777777"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rPr>
                <w:i/>
              </w:rPr>
            </w:pPr>
            <w:r w:rsidRPr="00C66A9A">
              <w:rPr>
                <w:i/>
                <w:iCs/>
                <w:color w:val="000000"/>
                <w:lang w:val="ru-RU"/>
              </w:rPr>
              <w:t>Имя, фамилия</w:t>
            </w:r>
          </w:p>
        </w:tc>
        <w:tc>
          <w:tcPr>
            <w:tcW w:w="2599" w:type="dxa"/>
            <w:tcBorders>
              <w:top w:val="single" w:sz="4" w:space="0" w:color="auto"/>
              <w:bottom w:val="single" w:sz="12" w:space="0" w:color="auto"/>
            </w:tcBorders>
            <w:vAlign w:val="bottom"/>
          </w:tcPr>
          <w:p w14:paraId="4D72C6D3" w14:textId="77777777"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ind w:left="-612" w:firstLine="612"/>
              <w:rPr>
                <w:i/>
              </w:rPr>
            </w:pPr>
            <w:r w:rsidRPr="00C66A9A">
              <w:rPr>
                <w:i/>
                <w:iCs/>
                <w:color w:val="000000"/>
                <w:lang w:val="ru-RU"/>
              </w:rPr>
              <w:t>Должность</w:t>
            </w:r>
          </w:p>
        </w:tc>
        <w:tc>
          <w:tcPr>
            <w:tcW w:w="3629" w:type="dxa"/>
            <w:tcBorders>
              <w:top w:val="single" w:sz="4" w:space="0" w:color="auto"/>
              <w:bottom w:val="single" w:sz="12" w:space="0" w:color="auto"/>
            </w:tcBorders>
            <w:vAlign w:val="bottom"/>
          </w:tcPr>
          <w:p w14:paraId="4742722E" w14:textId="77777777"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ind w:left="-107"/>
              <w:rPr>
                <w:i/>
              </w:rPr>
            </w:pPr>
            <w:r w:rsidRPr="00C66A9A">
              <w:rPr>
                <w:i/>
                <w:iCs/>
                <w:color w:val="000000"/>
                <w:lang w:val="ru-RU"/>
              </w:rPr>
              <w:t>Страна</w:t>
            </w:r>
          </w:p>
        </w:tc>
      </w:tr>
      <w:tr w:rsidR="00E62558" w:rsidRPr="00C66A9A" w14:paraId="5F0E2522" w14:textId="77777777" w:rsidTr="00591ECA">
        <w:trPr>
          <w:trHeight w:val="57"/>
          <w:jc w:val="right"/>
        </w:trPr>
        <w:tc>
          <w:tcPr>
            <w:tcW w:w="2079" w:type="dxa"/>
          </w:tcPr>
          <w:p w14:paraId="6F8C92BF" w14:textId="77777777"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rPr>
                <w:szCs w:val="18"/>
              </w:rPr>
            </w:pPr>
            <w:r w:rsidRPr="00C66A9A">
              <w:rPr>
                <w:color w:val="000000"/>
                <w:szCs w:val="18"/>
                <w:lang w:val="ru-RU"/>
              </w:rPr>
              <w:t>Марта Писано</w:t>
            </w:r>
          </w:p>
        </w:tc>
        <w:tc>
          <w:tcPr>
            <w:tcW w:w="2599" w:type="dxa"/>
          </w:tcPr>
          <w:p w14:paraId="7EE68BB0" w14:textId="5BCF822A"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ind w:left="-612" w:firstLine="612"/>
              <w:rPr>
                <w:szCs w:val="18"/>
              </w:rPr>
            </w:pPr>
            <w:r w:rsidRPr="00C66A9A">
              <w:rPr>
                <w:color w:val="000000"/>
                <w:szCs w:val="18"/>
                <w:lang w:val="ru-RU"/>
              </w:rPr>
              <w:t>Сопредседатель ГТОЭ</w:t>
            </w:r>
            <w:r w:rsidR="002779D8">
              <w:rPr>
                <w:color w:val="000000"/>
                <w:szCs w:val="18"/>
                <w:lang w:val="ru-RU"/>
              </w:rPr>
              <w:t>О</w:t>
            </w:r>
          </w:p>
        </w:tc>
        <w:tc>
          <w:tcPr>
            <w:tcW w:w="3629" w:type="dxa"/>
          </w:tcPr>
          <w:p w14:paraId="6D89EB20" w14:textId="77777777"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ind w:left="-107"/>
              <w:rPr>
                <w:szCs w:val="18"/>
              </w:rPr>
            </w:pPr>
            <w:r w:rsidRPr="00C66A9A">
              <w:rPr>
                <w:color w:val="000000"/>
                <w:szCs w:val="18"/>
                <w:lang w:val="ru-RU"/>
              </w:rPr>
              <w:t>Колумбия</w:t>
            </w:r>
          </w:p>
        </w:tc>
      </w:tr>
      <w:tr w:rsidR="00E62558" w:rsidRPr="00C932A4" w14:paraId="1E2CF1F0" w14:textId="77777777" w:rsidTr="00591ECA">
        <w:trPr>
          <w:trHeight w:val="57"/>
          <w:jc w:val="right"/>
        </w:trPr>
        <w:tc>
          <w:tcPr>
            <w:tcW w:w="2079" w:type="dxa"/>
          </w:tcPr>
          <w:p w14:paraId="3CB36297" w14:textId="77777777"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rPr>
                <w:szCs w:val="18"/>
              </w:rPr>
            </w:pPr>
            <w:r w:rsidRPr="00C66A9A">
              <w:rPr>
                <w:color w:val="000000"/>
                <w:szCs w:val="18"/>
                <w:lang w:val="ru-RU"/>
              </w:rPr>
              <w:t>Эшли Вудкок</w:t>
            </w:r>
          </w:p>
        </w:tc>
        <w:tc>
          <w:tcPr>
            <w:tcW w:w="2599" w:type="dxa"/>
          </w:tcPr>
          <w:p w14:paraId="48DA2182" w14:textId="6C9B7F7F"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ind w:left="-612" w:firstLine="612"/>
              <w:rPr>
                <w:szCs w:val="18"/>
              </w:rPr>
            </w:pPr>
            <w:r w:rsidRPr="00C66A9A">
              <w:rPr>
                <w:color w:val="000000"/>
                <w:szCs w:val="18"/>
                <w:lang w:val="ru-RU"/>
              </w:rPr>
              <w:t>Сопредседатель ГТОЭ</w:t>
            </w:r>
            <w:r w:rsidR="002779D8">
              <w:rPr>
                <w:color w:val="000000"/>
                <w:szCs w:val="18"/>
                <w:lang w:val="ru-RU"/>
              </w:rPr>
              <w:t>О</w:t>
            </w:r>
          </w:p>
        </w:tc>
        <w:tc>
          <w:tcPr>
            <w:tcW w:w="3629" w:type="dxa"/>
          </w:tcPr>
          <w:p w14:paraId="73444C38" w14:textId="77777777"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ind w:left="-107"/>
              <w:rPr>
                <w:szCs w:val="18"/>
                <w:lang w:val="ru-RU"/>
              </w:rPr>
            </w:pPr>
            <w:r w:rsidRPr="00C66A9A">
              <w:rPr>
                <w:color w:val="000000"/>
                <w:szCs w:val="18"/>
                <w:lang w:val="ru-RU"/>
              </w:rPr>
              <w:t xml:space="preserve">Соединенное Королевство Великобритании и Северной Ирландии </w:t>
            </w:r>
          </w:p>
        </w:tc>
      </w:tr>
      <w:tr w:rsidR="00E62558" w:rsidRPr="00C66A9A" w14:paraId="4946080A" w14:textId="77777777" w:rsidTr="00591ECA">
        <w:trPr>
          <w:trHeight w:val="57"/>
          <w:jc w:val="right"/>
        </w:trPr>
        <w:tc>
          <w:tcPr>
            <w:tcW w:w="2079" w:type="dxa"/>
          </w:tcPr>
          <w:p w14:paraId="3D4A45C0" w14:textId="77777777"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rPr>
                <w:szCs w:val="18"/>
              </w:rPr>
            </w:pPr>
            <w:r w:rsidRPr="00C66A9A">
              <w:rPr>
                <w:color w:val="000000"/>
                <w:szCs w:val="18"/>
                <w:lang w:val="ru-RU"/>
              </w:rPr>
              <w:t>Фабио Полонара</w:t>
            </w:r>
          </w:p>
        </w:tc>
        <w:tc>
          <w:tcPr>
            <w:tcW w:w="2599" w:type="dxa"/>
          </w:tcPr>
          <w:p w14:paraId="6562AE1D" w14:textId="77777777"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ind w:left="-612" w:firstLine="612"/>
              <w:rPr>
                <w:szCs w:val="18"/>
              </w:rPr>
            </w:pPr>
            <w:r w:rsidRPr="00C66A9A">
              <w:rPr>
                <w:color w:val="000000"/>
                <w:szCs w:val="18"/>
                <w:lang w:val="ru-RU"/>
              </w:rPr>
              <w:t>Сопредседатель КТВХ</w:t>
            </w:r>
          </w:p>
        </w:tc>
        <w:tc>
          <w:tcPr>
            <w:tcW w:w="3629" w:type="dxa"/>
          </w:tcPr>
          <w:p w14:paraId="15BE86CC" w14:textId="77777777"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ind w:left="-107"/>
              <w:rPr>
                <w:szCs w:val="18"/>
              </w:rPr>
            </w:pPr>
            <w:r w:rsidRPr="00C66A9A">
              <w:rPr>
                <w:color w:val="000000"/>
                <w:szCs w:val="18"/>
                <w:lang w:val="ru-RU"/>
              </w:rPr>
              <w:t>Италия</w:t>
            </w:r>
          </w:p>
        </w:tc>
      </w:tr>
      <w:tr w:rsidR="00E62558" w:rsidRPr="00C66A9A" w14:paraId="76B731E4" w14:textId="77777777" w:rsidTr="00591ECA">
        <w:trPr>
          <w:trHeight w:val="315"/>
          <w:jc w:val="right"/>
        </w:trPr>
        <w:tc>
          <w:tcPr>
            <w:tcW w:w="2079" w:type="dxa"/>
          </w:tcPr>
          <w:p w14:paraId="1EAF4FDC" w14:textId="77777777"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rPr>
                <w:szCs w:val="18"/>
              </w:rPr>
            </w:pPr>
            <w:r w:rsidRPr="00C66A9A">
              <w:rPr>
                <w:color w:val="000000"/>
                <w:szCs w:val="18"/>
                <w:lang w:val="ru-RU"/>
              </w:rPr>
              <w:t xml:space="preserve">Суэли Машаду Карвальу </w:t>
            </w:r>
          </w:p>
        </w:tc>
        <w:tc>
          <w:tcPr>
            <w:tcW w:w="2599" w:type="dxa"/>
          </w:tcPr>
          <w:p w14:paraId="469777CC" w14:textId="7C963B45"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ind w:left="-612" w:firstLine="612"/>
              <w:rPr>
                <w:szCs w:val="18"/>
              </w:rPr>
            </w:pPr>
            <w:r w:rsidRPr="00C66A9A">
              <w:rPr>
                <w:color w:val="000000"/>
                <w:szCs w:val="18"/>
                <w:lang w:val="ru-RU"/>
              </w:rPr>
              <w:t>Старший эксперт ГТОЭ</w:t>
            </w:r>
            <w:r w:rsidR="002779D8">
              <w:rPr>
                <w:color w:val="000000"/>
                <w:szCs w:val="18"/>
                <w:lang w:val="ru-RU"/>
              </w:rPr>
              <w:t>О</w:t>
            </w:r>
          </w:p>
        </w:tc>
        <w:tc>
          <w:tcPr>
            <w:tcW w:w="3629" w:type="dxa"/>
          </w:tcPr>
          <w:p w14:paraId="3BDBB4E3" w14:textId="77777777"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ind w:left="-107"/>
              <w:rPr>
                <w:szCs w:val="18"/>
              </w:rPr>
            </w:pPr>
            <w:r w:rsidRPr="00C66A9A">
              <w:rPr>
                <w:color w:val="000000"/>
                <w:szCs w:val="18"/>
                <w:lang w:val="ru-RU"/>
              </w:rPr>
              <w:t>Бразилия</w:t>
            </w:r>
          </w:p>
        </w:tc>
      </w:tr>
      <w:tr w:rsidR="00E62558" w:rsidRPr="00C66A9A" w14:paraId="4B0FDE67" w14:textId="77777777" w:rsidTr="00591ECA">
        <w:trPr>
          <w:trHeight w:val="344"/>
          <w:jc w:val="right"/>
        </w:trPr>
        <w:tc>
          <w:tcPr>
            <w:tcW w:w="2079" w:type="dxa"/>
          </w:tcPr>
          <w:p w14:paraId="6D01F854" w14:textId="77777777"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rPr>
                <w:szCs w:val="18"/>
              </w:rPr>
            </w:pPr>
            <w:r w:rsidRPr="00C66A9A">
              <w:rPr>
                <w:color w:val="000000"/>
                <w:szCs w:val="18"/>
                <w:lang w:val="ru-RU"/>
              </w:rPr>
              <w:t>Сукумар Девотта</w:t>
            </w:r>
          </w:p>
        </w:tc>
        <w:tc>
          <w:tcPr>
            <w:tcW w:w="2599" w:type="dxa"/>
          </w:tcPr>
          <w:p w14:paraId="7FA09C22" w14:textId="1BBAA9BC"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ind w:left="-612" w:firstLine="612"/>
              <w:rPr>
                <w:szCs w:val="18"/>
              </w:rPr>
            </w:pPr>
            <w:r w:rsidRPr="00C66A9A">
              <w:rPr>
                <w:color w:val="000000"/>
                <w:szCs w:val="18"/>
                <w:lang w:val="ru-RU"/>
              </w:rPr>
              <w:t>Старший эксперт ГТОЭ</w:t>
            </w:r>
            <w:r w:rsidR="002779D8">
              <w:rPr>
                <w:color w:val="000000"/>
                <w:szCs w:val="18"/>
                <w:lang w:val="ru-RU"/>
              </w:rPr>
              <w:t>О</w:t>
            </w:r>
          </w:p>
        </w:tc>
        <w:tc>
          <w:tcPr>
            <w:tcW w:w="3629" w:type="dxa"/>
          </w:tcPr>
          <w:p w14:paraId="4F92BAAA" w14:textId="77777777"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ind w:left="-107"/>
              <w:rPr>
                <w:szCs w:val="18"/>
              </w:rPr>
            </w:pPr>
            <w:r w:rsidRPr="00C66A9A">
              <w:rPr>
                <w:color w:val="000000"/>
                <w:szCs w:val="18"/>
                <w:lang w:val="ru-RU"/>
              </w:rPr>
              <w:t>Индия</w:t>
            </w:r>
          </w:p>
        </w:tc>
      </w:tr>
      <w:tr w:rsidR="00E62558" w:rsidRPr="00C66A9A" w14:paraId="28FE8C30" w14:textId="77777777" w:rsidTr="00591ECA">
        <w:trPr>
          <w:trHeight w:val="344"/>
          <w:jc w:val="right"/>
        </w:trPr>
        <w:tc>
          <w:tcPr>
            <w:tcW w:w="2079" w:type="dxa"/>
          </w:tcPr>
          <w:p w14:paraId="3AD3FCAB" w14:textId="2DA304F3"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rPr>
                <w:szCs w:val="18"/>
              </w:rPr>
            </w:pPr>
            <w:r w:rsidRPr="00C66A9A">
              <w:rPr>
                <w:color w:val="000000"/>
                <w:szCs w:val="18"/>
                <w:lang w:val="ru-RU"/>
              </w:rPr>
              <w:t xml:space="preserve">Бассам </w:t>
            </w:r>
            <w:r w:rsidR="00C624C0" w:rsidRPr="00C66A9A">
              <w:rPr>
                <w:color w:val="000000"/>
                <w:szCs w:val="18"/>
                <w:lang w:val="ru-RU"/>
              </w:rPr>
              <w:t>аль-А</w:t>
            </w:r>
            <w:r w:rsidRPr="00C66A9A">
              <w:rPr>
                <w:color w:val="000000"/>
                <w:szCs w:val="18"/>
                <w:lang w:val="ru-RU"/>
              </w:rPr>
              <w:t>сад</w:t>
            </w:r>
          </w:p>
        </w:tc>
        <w:tc>
          <w:tcPr>
            <w:tcW w:w="2599" w:type="dxa"/>
          </w:tcPr>
          <w:p w14:paraId="7191117F" w14:textId="2FDD0016"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ind w:left="-612" w:firstLine="612"/>
              <w:rPr>
                <w:szCs w:val="18"/>
              </w:rPr>
            </w:pPr>
            <w:r w:rsidRPr="00C66A9A">
              <w:rPr>
                <w:color w:val="000000"/>
                <w:szCs w:val="18"/>
                <w:lang w:val="ru-RU"/>
              </w:rPr>
              <w:t>Старший эксперт ГТОЭ</w:t>
            </w:r>
            <w:r w:rsidR="002779D8">
              <w:rPr>
                <w:color w:val="000000"/>
                <w:szCs w:val="18"/>
                <w:lang w:val="ru-RU"/>
              </w:rPr>
              <w:t>О</w:t>
            </w:r>
          </w:p>
        </w:tc>
        <w:tc>
          <w:tcPr>
            <w:tcW w:w="3629" w:type="dxa"/>
          </w:tcPr>
          <w:p w14:paraId="65592C1F" w14:textId="77777777"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ind w:left="-107"/>
              <w:rPr>
                <w:szCs w:val="18"/>
              </w:rPr>
            </w:pPr>
            <w:r w:rsidRPr="00C66A9A">
              <w:rPr>
                <w:color w:val="000000"/>
                <w:szCs w:val="18"/>
                <w:lang w:val="ru-RU"/>
              </w:rPr>
              <w:t>Ливан</w:t>
            </w:r>
          </w:p>
        </w:tc>
      </w:tr>
      <w:tr w:rsidR="00E62558" w:rsidRPr="00C932A4" w14:paraId="431E150E" w14:textId="77777777" w:rsidTr="00591ECA">
        <w:trPr>
          <w:trHeight w:val="344"/>
          <w:jc w:val="right"/>
        </w:trPr>
        <w:tc>
          <w:tcPr>
            <w:tcW w:w="2079" w:type="dxa"/>
          </w:tcPr>
          <w:p w14:paraId="4854C8A1" w14:textId="77777777"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rPr>
                <w:szCs w:val="18"/>
              </w:rPr>
            </w:pPr>
            <w:r w:rsidRPr="00C66A9A">
              <w:rPr>
                <w:color w:val="000000"/>
                <w:szCs w:val="18"/>
                <w:lang w:val="ru-RU"/>
              </w:rPr>
              <w:t>Рэй Глакман</w:t>
            </w:r>
          </w:p>
        </w:tc>
        <w:tc>
          <w:tcPr>
            <w:tcW w:w="2599" w:type="dxa"/>
          </w:tcPr>
          <w:p w14:paraId="77A1B55B" w14:textId="6CBB4BB6"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ind w:left="-612" w:firstLine="612"/>
              <w:rPr>
                <w:szCs w:val="18"/>
              </w:rPr>
            </w:pPr>
            <w:r w:rsidRPr="00C66A9A">
              <w:rPr>
                <w:color w:val="000000"/>
                <w:szCs w:val="18"/>
                <w:lang w:val="ru-RU"/>
              </w:rPr>
              <w:t>Старший эксперт ГТОЭ</w:t>
            </w:r>
            <w:r w:rsidR="002779D8">
              <w:rPr>
                <w:color w:val="000000"/>
                <w:szCs w:val="18"/>
                <w:lang w:val="ru-RU"/>
              </w:rPr>
              <w:t>О</w:t>
            </w:r>
          </w:p>
        </w:tc>
        <w:tc>
          <w:tcPr>
            <w:tcW w:w="3629" w:type="dxa"/>
          </w:tcPr>
          <w:p w14:paraId="11B76158" w14:textId="77777777"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ind w:left="-107"/>
              <w:rPr>
                <w:szCs w:val="18"/>
                <w:lang w:val="ru-RU"/>
              </w:rPr>
            </w:pPr>
            <w:r w:rsidRPr="00C66A9A">
              <w:rPr>
                <w:color w:val="000000"/>
                <w:szCs w:val="18"/>
                <w:lang w:val="ru-RU"/>
              </w:rPr>
              <w:t>Соединенное Королевство Великобритании и Северной Ирландии</w:t>
            </w:r>
          </w:p>
        </w:tc>
      </w:tr>
      <w:tr w:rsidR="00E62558" w:rsidRPr="00C66A9A" w14:paraId="12BDA98E" w14:textId="77777777" w:rsidTr="00591ECA">
        <w:trPr>
          <w:trHeight w:val="344"/>
          <w:jc w:val="right"/>
        </w:trPr>
        <w:tc>
          <w:tcPr>
            <w:tcW w:w="2079" w:type="dxa"/>
          </w:tcPr>
          <w:p w14:paraId="741A9ABE" w14:textId="77777777"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rPr>
                <w:szCs w:val="18"/>
              </w:rPr>
            </w:pPr>
            <w:r w:rsidRPr="00C66A9A">
              <w:rPr>
                <w:color w:val="000000"/>
                <w:szCs w:val="18"/>
                <w:lang w:val="ru-RU"/>
              </w:rPr>
              <w:t>Марко Гонсалес</w:t>
            </w:r>
          </w:p>
        </w:tc>
        <w:tc>
          <w:tcPr>
            <w:tcW w:w="2599" w:type="dxa"/>
          </w:tcPr>
          <w:p w14:paraId="3BAF5100" w14:textId="043DB504"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ind w:left="-612" w:firstLine="612"/>
              <w:rPr>
                <w:szCs w:val="18"/>
              </w:rPr>
            </w:pPr>
            <w:r w:rsidRPr="00C66A9A">
              <w:rPr>
                <w:color w:val="000000"/>
                <w:szCs w:val="18"/>
                <w:lang w:val="ru-RU"/>
              </w:rPr>
              <w:t>Старший эксперт ГТОЭ</w:t>
            </w:r>
            <w:r w:rsidR="002779D8">
              <w:rPr>
                <w:color w:val="000000"/>
                <w:szCs w:val="18"/>
                <w:lang w:val="ru-RU"/>
              </w:rPr>
              <w:t>О</w:t>
            </w:r>
          </w:p>
        </w:tc>
        <w:tc>
          <w:tcPr>
            <w:tcW w:w="3629" w:type="dxa"/>
          </w:tcPr>
          <w:p w14:paraId="4FC34F15" w14:textId="77777777"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ind w:left="-107"/>
              <w:rPr>
                <w:szCs w:val="18"/>
              </w:rPr>
            </w:pPr>
            <w:r w:rsidRPr="00C66A9A">
              <w:rPr>
                <w:color w:val="000000"/>
                <w:szCs w:val="18"/>
                <w:lang w:val="ru-RU"/>
              </w:rPr>
              <w:t>Коста-Рика</w:t>
            </w:r>
          </w:p>
        </w:tc>
      </w:tr>
      <w:tr w:rsidR="00E62558" w:rsidRPr="00C66A9A" w14:paraId="763D2DC1" w14:textId="77777777" w:rsidTr="00591ECA">
        <w:trPr>
          <w:trHeight w:val="344"/>
          <w:jc w:val="right"/>
        </w:trPr>
        <w:tc>
          <w:tcPr>
            <w:tcW w:w="2079" w:type="dxa"/>
            <w:tcBorders>
              <w:bottom w:val="single" w:sz="12" w:space="0" w:color="auto"/>
            </w:tcBorders>
          </w:tcPr>
          <w:p w14:paraId="111E66A9" w14:textId="77777777"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rPr>
                <w:szCs w:val="18"/>
              </w:rPr>
            </w:pPr>
            <w:r w:rsidRPr="00C66A9A">
              <w:rPr>
                <w:color w:val="000000"/>
                <w:szCs w:val="18"/>
                <w:lang w:val="ru-RU"/>
              </w:rPr>
              <w:t>Шицю Чжан</w:t>
            </w:r>
          </w:p>
        </w:tc>
        <w:tc>
          <w:tcPr>
            <w:tcW w:w="2599" w:type="dxa"/>
            <w:tcBorders>
              <w:bottom w:val="single" w:sz="12" w:space="0" w:color="auto"/>
            </w:tcBorders>
          </w:tcPr>
          <w:p w14:paraId="56550C1A" w14:textId="7DC44E89"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ind w:left="-612" w:firstLine="612"/>
              <w:rPr>
                <w:szCs w:val="18"/>
              </w:rPr>
            </w:pPr>
            <w:r w:rsidRPr="00C66A9A">
              <w:rPr>
                <w:color w:val="000000"/>
                <w:szCs w:val="18"/>
                <w:lang w:val="ru-RU"/>
              </w:rPr>
              <w:t>Старший эксперт ГТОЭ</w:t>
            </w:r>
            <w:r w:rsidR="002779D8">
              <w:rPr>
                <w:color w:val="000000"/>
                <w:szCs w:val="18"/>
                <w:lang w:val="ru-RU"/>
              </w:rPr>
              <w:t>О</w:t>
            </w:r>
          </w:p>
        </w:tc>
        <w:tc>
          <w:tcPr>
            <w:tcW w:w="3629" w:type="dxa"/>
            <w:tcBorders>
              <w:bottom w:val="single" w:sz="12" w:space="0" w:color="auto"/>
            </w:tcBorders>
          </w:tcPr>
          <w:p w14:paraId="17BE2FD1" w14:textId="77777777" w:rsidR="00E62558" w:rsidRPr="00C66A9A" w:rsidRDefault="00E62558" w:rsidP="00FE574B">
            <w:pPr>
              <w:pStyle w:val="Normal-pool-Table"/>
              <w:tabs>
                <w:tab w:val="clear" w:pos="624"/>
                <w:tab w:val="clear" w:pos="1247"/>
                <w:tab w:val="clear" w:pos="1871"/>
                <w:tab w:val="clear" w:pos="2495"/>
                <w:tab w:val="clear" w:pos="3119"/>
                <w:tab w:val="clear" w:pos="3742"/>
                <w:tab w:val="clear" w:pos="4366"/>
                <w:tab w:val="clear" w:pos="4990"/>
              </w:tabs>
              <w:ind w:left="-107"/>
              <w:rPr>
                <w:szCs w:val="18"/>
              </w:rPr>
            </w:pPr>
            <w:r w:rsidRPr="00C66A9A">
              <w:rPr>
                <w:color w:val="000000"/>
                <w:szCs w:val="18"/>
                <w:lang w:val="ru-RU"/>
              </w:rPr>
              <w:t>Китай</w:t>
            </w:r>
          </w:p>
        </w:tc>
      </w:tr>
    </w:tbl>
    <w:p w14:paraId="2411343C" w14:textId="108E5198" w:rsidR="00E62558" w:rsidRPr="00C66A9A" w:rsidRDefault="00E62558" w:rsidP="00591ECA">
      <w:pPr>
        <w:pStyle w:val="Normal-pool"/>
        <w:tabs>
          <w:tab w:val="clear" w:pos="624"/>
          <w:tab w:val="clear" w:pos="1247"/>
          <w:tab w:val="clear" w:pos="1871"/>
          <w:tab w:val="clear" w:pos="2495"/>
          <w:tab w:val="clear" w:pos="3119"/>
          <w:tab w:val="clear" w:pos="3742"/>
          <w:tab w:val="clear" w:pos="4366"/>
          <w:tab w:val="clear" w:pos="4990"/>
        </w:tabs>
        <w:spacing w:before="60" w:after="120"/>
        <w:ind w:left="1247" w:firstLine="624"/>
        <w:rPr>
          <w:sz w:val="18"/>
          <w:lang w:val="ru-RU"/>
        </w:rPr>
      </w:pPr>
      <w:r w:rsidRPr="00C66A9A">
        <w:rPr>
          <w:sz w:val="18"/>
          <w:lang w:val="ru-RU"/>
        </w:rPr>
        <w:tab/>
      </w:r>
      <w:r w:rsidRPr="00C66A9A">
        <w:rPr>
          <w:i/>
          <w:iCs/>
          <w:sz w:val="18"/>
          <w:lang w:val="ru-RU"/>
        </w:rPr>
        <w:t xml:space="preserve">Сокращение: </w:t>
      </w:r>
      <w:r w:rsidRPr="00C66A9A">
        <w:rPr>
          <w:sz w:val="18"/>
          <w:lang w:val="ru-RU"/>
        </w:rPr>
        <w:t>КТВХ – Комитет по техническим вариантам замены холодильного оборудования, систем кондиционирования воздуха и тепловых насосов; ГТОЭО – Группа по техническому обзору и экономической оценке.</w:t>
      </w:r>
    </w:p>
    <w:p w14:paraId="430DA3A9" w14:textId="6765A80F" w:rsidR="00E62558" w:rsidRPr="00591ECA" w:rsidRDefault="00E62558" w:rsidP="00591ECA">
      <w:pPr>
        <w:pStyle w:val="Normalnumber"/>
        <w:ind w:left="1247"/>
        <w:rPr>
          <w:sz w:val="20"/>
          <w:szCs w:val="20"/>
          <w:lang w:val="ru-RU"/>
        </w:rPr>
      </w:pPr>
      <w:r w:rsidRPr="00591ECA">
        <w:rPr>
          <w:sz w:val="20"/>
          <w:szCs w:val="20"/>
          <w:lang w:val="ru-RU"/>
        </w:rPr>
        <w:t>Стороны могут пожелать выдвинуть кандидатуры, по мере необходимости</w:t>
      </w:r>
      <w:r w:rsidR="00C66A9A" w:rsidRPr="00591ECA">
        <w:rPr>
          <w:sz w:val="20"/>
          <w:szCs w:val="20"/>
          <w:lang w:val="ru-RU"/>
        </w:rPr>
        <w:t xml:space="preserve"> и</w:t>
      </w:r>
      <w:r w:rsidRPr="00591ECA">
        <w:rPr>
          <w:sz w:val="20"/>
          <w:szCs w:val="20"/>
          <w:lang w:val="ru-RU"/>
        </w:rPr>
        <w:t xml:space="preserve"> в соответствии с пунктом 3 решения XXXI/8, в котором им предлагается «при выдвижении кандидатур экспертов в состав Группы, ее комитетов по техническим вариантам замены или ее временных вспомогательных органов использовать принятые в Группе форму выдвижения кандидатуры и соответствующие руководящие принципы, с тем чтобы содействовать представлению соответствующих кандидатур с учетом матрицы необходимых экспертных знаний и географической и гендерной сбалансированности, в добавление к экспертному опыту, необходимому для решения новых вопросов, связанных с Кигалийской поправкой, таких как энергоэффективность, стандарты безопасности и климатические выгоды». В пункте 5 того же решения содержится настоятельный призыв к Сторонам «придерживаться круга ведения Группы и консультироваться с сопредседателями Группы, а также обращаться к матрице необходимых экспертных знаний до выдвижения кандидатур для назначения в состав Группы».</w:t>
      </w:r>
    </w:p>
    <w:p w14:paraId="7D4C5744" w14:textId="614AC497" w:rsidR="00E62558" w:rsidRPr="00591ECA" w:rsidRDefault="00E62558" w:rsidP="00591ECA">
      <w:pPr>
        <w:pStyle w:val="Normalnumber"/>
        <w:ind w:left="1247"/>
        <w:rPr>
          <w:sz w:val="20"/>
          <w:szCs w:val="20"/>
          <w:lang w:val="ru-RU"/>
        </w:rPr>
      </w:pPr>
      <w:r w:rsidRPr="00591ECA">
        <w:rPr>
          <w:sz w:val="20"/>
          <w:szCs w:val="20"/>
          <w:lang w:val="ru-RU"/>
        </w:rPr>
        <w:t>Матрица необходимых экспертных знаний, определенная Группой по состоянию на май 2026 года, содержится в приложении 3 к ее докладу о ходе работы и воспроизводится в приложении I</w:t>
      </w:r>
      <w:r w:rsidR="008772D4" w:rsidRPr="00591ECA">
        <w:rPr>
          <w:sz w:val="20"/>
          <w:szCs w:val="20"/>
        </w:rPr>
        <w:t>V</w:t>
      </w:r>
      <w:r w:rsidRPr="00591ECA">
        <w:rPr>
          <w:sz w:val="20"/>
          <w:szCs w:val="20"/>
          <w:lang w:val="ru-RU"/>
        </w:rPr>
        <w:t xml:space="preserve"> к настоящему добавлению, а также имеется на веб-сайте секретариата</w:t>
      </w:r>
      <w:r w:rsidRPr="00591ECA">
        <w:rPr>
          <w:rStyle w:val="FootnoteReference"/>
          <w:color w:val="000000" w:themeColor="text1"/>
          <w:szCs w:val="20"/>
          <w:lang w:val="ru-RU"/>
        </w:rPr>
        <w:footnoteReference w:id="9"/>
      </w:r>
      <w:r w:rsidRPr="00591ECA">
        <w:rPr>
          <w:sz w:val="20"/>
          <w:szCs w:val="20"/>
          <w:lang w:val="ru-RU"/>
        </w:rPr>
        <w:t xml:space="preserve">. </w:t>
      </w:r>
    </w:p>
    <w:p w14:paraId="74BCD9D7" w14:textId="471C9902" w:rsidR="00E62558" w:rsidRPr="00591ECA" w:rsidRDefault="00E62558" w:rsidP="00591ECA">
      <w:pPr>
        <w:pStyle w:val="Normalnumber"/>
        <w:ind w:left="1247"/>
        <w:rPr>
          <w:sz w:val="20"/>
          <w:szCs w:val="20"/>
          <w:lang w:val="ru-RU"/>
        </w:rPr>
      </w:pPr>
      <w:r w:rsidRPr="00591ECA">
        <w:rPr>
          <w:sz w:val="20"/>
          <w:szCs w:val="20"/>
          <w:lang w:val="ru-RU"/>
        </w:rPr>
        <w:t>В соответствии с пунктом 4 решения XXXI/8 секретариат опубликует на портале совещаний в разделе сорок восьмого совещания Рабочей группы открытого состава и</w:t>
      </w:r>
      <w:r w:rsidR="00C66A9A" w:rsidRPr="00591ECA">
        <w:rPr>
          <w:sz w:val="20"/>
          <w:szCs w:val="20"/>
          <w:lang w:val="ru-RU"/>
        </w:rPr>
        <w:t xml:space="preserve"> </w:t>
      </w:r>
      <w:r w:rsidRPr="00591ECA">
        <w:rPr>
          <w:sz w:val="20"/>
          <w:szCs w:val="20"/>
          <w:lang w:val="ru-RU"/>
        </w:rPr>
        <w:t xml:space="preserve">позднее в 2026 году на портале совещаний в разделе тридцать восьмого Совещания Сторон все формы, представленные Сторонами, выдвигающими кандидатуры членов Группы, чтобы упростить рассмотрение предложенных Сторонами кандидатур и консультации </w:t>
      </w:r>
      <w:r w:rsidR="00C66A9A" w:rsidRPr="00591ECA">
        <w:rPr>
          <w:sz w:val="20"/>
          <w:szCs w:val="20"/>
          <w:lang w:val="ru-RU"/>
        </w:rPr>
        <w:t>в</w:t>
      </w:r>
      <w:r w:rsidRPr="00591ECA">
        <w:rPr>
          <w:sz w:val="20"/>
          <w:szCs w:val="20"/>
          <w:lang w:val="ru-RU"/>
        </w:rPr>
        <w:t xml:space="preserve"> </w:t>
      </w:r>
      <w:r w:rsidR="00C66A9A" w:rsidRPr="00591ECA">
        <w:rPr>
          <w:sz w:val="20"/>
          <w:szCs w:val="20"/>
          <w:lang w:val="ru-RU"/>
        </w:rPr>
        <w:t>их отношении</w:t>
      </w:r>
      <w:r w:rsidRPr="00591ECA">
        <w:rPr>
          <w:sz w:val="20"/>
          <w:szCs w:val="20"/>
          <w:lang w:val="ru-RU"/>
        </w:rPr>
        <w:t>.</w:t>
      </w:r>
    </w:p>
    <w:p w14:paraId="0BFDFCFA" w14:textId="77777777" w:rsidR="00E62558" w:rsidRPr="00591ECA" w:rsidRDefault="00E62558" w:rsidP="00591ECA">
      <w:pPr>
        <w:pStyle w:val="Normalnumber"/>
        <w:ind w:left="1247"/>
        <w:rPr>
          <w:sz w:val="20"/>
          <w:szCs w:val="20"/>
        </w:rPr>
      </w:pPr>
      <w:r w:rsidRPr="00591ECA">
        <w:rPr>
          <w:sz w:val="20"/>
          <w:szCs w:val="20"/>
          <w:lang w:val="ru-RU"/>
        </w:rPr>
        <w:t>Кандидатуры в комитеты по техническим вариантам замены, за исключением кандидатур на должности сопредседателей, а также кандидатур на должности во временных вспомогательных органах, могут выдвигаться в любое время. Назначения производятся сопредседателями соответствующих комитетов в консультации с Группой.</w:t>
      </w:r>
    </w:p>
    <w:p w14:paraId="29DEBDA4" w14:textId="26170625" w:rsidR="00E62558" w:rsidRPr="00C66A9A" w:rsidRDefault="00591ECA" w:rsidP="00591ECA">
      <w:pPr>
        <w:pStyle w:val="CH3"/>
        <w:keepNext w:val="0"/>
        <w:keepLines w:val="0"/>
        <w:tabs>
          <w:tab w:val="clear" w:pos="1247"/>
          <w:tab w:val="clear" w:pos="1871"/>
          <w:tab w:val="clear" w:pos="2495"/>
          <w:tab w:val="clear" w:pos="3119"/>
          <w:tab w:val="clear" w:pos="3742"/>
          <w:tab w:val="clear" w:pos="4366"/>
          <w:tab w:val="clear" w:pos="4990"/>
        </w:tabs>
        <w:spacing w:before="0"/>
        <w:ind w:right="284"/>
      </w:pPr>
      <w:r>
        <w:rPr>
          <w:bCs/>
          <w:lang w:val="en-US"/>
        </w:rPr>
        <w:tab/>
      </w:r>
      <w:r w:rsidR="00E62558" w:rsidRPr="00C66A9A">
        <w:rPr>
          <w:bCs/>
          <w:lang w:val="ru-RU"/>
        </w:rPr>
        <w:t>e)</w:t>
      </w:r>
      <w:r w:rsidR="00E62558" w:rsidRPr="00C66A9A">
        <w:rPr>
          <w:lang w:val="ru-RU"/>
        </w:rPr>
        <w:tab/>
      </w:r>
      <w:r w:rsidR="002779D8">
        <w:rPr>
          <w:bCs/>
          <w:lang w:val="ru-RU"/>
        </w:rPr>
        <w:t>Прочие</w:t>
      </w:r>
      <w:r w:rsidR="00E62558" w:rsidRPr="00C66A9A">
        <w:rPr>
          <w:bCs/>
          <w:lang w:val="ru-RU"/>
        </w:rPr>
        <w:t xml:space="preserve"> вопросы</w:t>
      </w:r>
    </w:p>
    <w:p w14:paraId="611E069B" w14:textId="42EFA00B" w:rsidR="00E62558" w:rsidRPr="00FB3AC8" w:rsidRDefault="007A1303" w:rsidP="00FB3AC8">
      <w:pPr>
        <w:pStyle w:val="Normalnumber"/>
        <w:ind w:left="1247"/>
        <w:rPr>
          <w:sz w:val="20"/>
          <w:szCs w:val="20"/>
          <w:lang w:val="ru-RU"/>
        </w:rPr>
      </w:pPr>
      <w:r w:rsidRPr="00FB3AC8">
        <w:rPr>
          <w:sz w:val="20"/>
          <w:szCs w:val="20"/>
          <w:lang w:val="ru-RU"/>
        </w:rPr>
        <w:t>В рамках настоящего подпункта повестки дня секретариат приводит в следующих пунктах краткое изложение информации, представленной Группой в связи с оценкой технологии уничтожения, внесенной на рассмотрени</w:t>
      </w:r>
      <w:r w:rsidR="00254AB7" w:rsidRPr="00FB3AC8">
        <w:rPr>
          <w:sz w:val="20"/>
          <w:szCs w:val="20"/>
          <w:lang w:val="ru-RU"/>
        </w:rPr>
        <w:t>е</w:t>
      </w:r>
      <w:r w:rsidRPr="00FB3AC8">
        <w:rPr>
          <w:sz w:val="20"/>
          <w:szCs w:val="20"/>
          <w:lang w:val="ru-RU"/>
        </w:rPr>
        <w:t xml:space="preserve"> Канадой, а также обновленную информацию о ПФАВ.</w:t>
      </w:r>
      <w:r w:rsidR="00E62558" w:rsidRPr="00FB3AC8">
        <w:rPr>
          <w:sz w:val="20"/>
          <w:szCs w:val="20"/>
          <w:lang w:val="ru-RU"/>
        </w:rPr>
        <w:t xml:space="preserve"> </w:t>
      </w:r>
    </w:p>
    <w:p w14:paraId="57F053D4" w14:textId="76DFD8EF" w:rsidR="00E62558" w:rsidRPr="00FB3AC8" w:rsidRDefault="007A1303" w:rsidP="00FB3AC8">
      <w:pPr>
        <w:pStyle w:val="Normalnumber"/>
        <w:ind w:left="1247"/>
        <w:rPr>
          <w:sz w:val="20"/>
          <w:szCs w:val="20"/>
          <w:lang w:val="ru-RU"/>
        </w:rPr>
      </w:pPr>
      <w:r w:rsidRPr="00FB3AC8">
        <w:rPr>
          <w:sz w:val="20"/>
          <w:szCs w:val="20"/>
          <w:lang w:val="ru-RU"/>
        </w:rPr>
        <w:t xml:space="preserve">Если какая-либо Сторона пожелает обсудить эти или любые другие вопросы, связанные с докладом Группы о ходе работы (2026 год) на сорок восьмом совещании Рабочей группы открытого состава, она может поднять их во время утверждения повестки дня и просить включить такие вопросы в повестку дня в случае необходимости. </w:t>
      </w:r>
    </w:p>
    <w:p w14:paraId="39CCDEF5" w14:textId="59EC627A" w:rsidR="00E62558" w:rsidRPr="00C66A9A" w:rsidRDefault="00FB3AC8" w:rsidP="00591ECA">
      <w:pPr>
        <w:pStyle w:val="CH4"/>
        <w:keepNext w:val="0"/>
        <w:keepLines w:val="0"/>
        <w:tabs>
          <w:tab w:val="clear" w:pos="1247"/>
          <w:tab w:val="clear" w:pos="1871"/>
          <w:tab w:val="clear" w:pos="2495"/>
          <w:tab w:val="clear" w:pos="3119"/>
          <w:tab w:val="clear" w:pos="3742"/>
          <w:tab w:val="clear" w:pos="4366"/>
          <w:tab w:val="clear" w:pos="4990"/>
        </w:tabs>
        <w:spacing w:before="0"/>
        <w:rPr>
          <w:rFonts w:eastAsia="MS Mincho"/>
          <w:snapToGrid w:val="0"/>
          <w:lang w:val="ru-RU"/>
        </w:rPr>
      </w:pPr>
      <w:r w:rsidRPr="002779D8">
        <w:rPr>
          <w:bCs/>
          <w:lang w:val="ru-RU"/>
        </w:rPr>
        <w:lastRenderedPageBreak/>
        <w:tab/>
      </w:r>
      <w:r w:rsidR="00E62558" w:rsidRPr="00C66A9A">
        <w:rPr>
          <w:bCs/>
          <w:lang w:val="en-US"/>
        </w:rPr>
        <w:t>i</w:t>
      </w:r>
      <w:r w:rsidR="00E62558" w:rsidRPr="00C66A9A">
        <w:rPr>
          <w:bCs/>
          <w:lang w:val="ru-RU"/>
        </w:rPr>
        <w:t>)</w:t>
      </w:r>
      <w:r w:rsidR="00E62558" w:rsidRPr="00C66A9A">
        <w:rPr>
          <w:lang w:val="ru-RU"/>
        </w:rPr>
        <w:tab/>
      </w:r>
      <w:r w:rsidR="007A1303" w:rsidRPr="00C66A9A">
        <w:rPr>
          <w:lang w:val="ru-RU"/>
        </w:rPr>
        <w:t>Оценка технологии уничтожения, представленной Канадой, и рекомендация в ее отношении</w:t>
      </w:r>
    </w:p>
    <w:p w14:paraId="039228E9" w14:textId="5E9A9E9B" w:rsidR="00E62558" w:rsidRPr="00FB3AC8" w:rsidRDefault="007A1303" w:rsidP="00FB3AC8">
      <w:pPr>
        <w:pStyle w:val="Normalnumber"/>
        <w:ind w:left="1247"/>
        <w:rPr>
          <w:rFonts w:eastAsia="MS Mincho"/>
          <w:snapToGrid w:val="0"/>
          <w:sz w:val="20"/>
          <w:szCs w:val="20"/>
          <w:lang w:val="ru-RU"/>
        </w:rPr>
      </w:pPr>
      <w:r w:rsidRPr="00FB3AC8">
        <w:rPr>
          <w:sz w:val="20"/>
          <w:szCs w:val="20"/>
          <w:lang w:val="ru-RU"/>
        </w:rPr>
        <w:t xml:space="preserve">За прошедшие годы Стороны приняли ряд решений об утверждении технологий уничтожения регулируемых веществ в целях осуществления Монреальского протокола. Действующий перечень утвержденных технологий уничтожения содержится в приложении </w:t>
      </w:r>
      <w:r w:rsidRPr="00FB3AC8">
        <w:rPr>
          <w:sz w:val="20"/>
          <w:szCs w:val="20"/>
        </w:rPr>
        <w:t>II</w:t>
      </w:r>
      <w:r w:rsidRPr="00FB3AC8">
        <w:rPr>
          <w:sz w:val="20"/>
          <w:szCs w:val="20"/>
          <w:lang w:val="ru-RU"/>
        </w:rPr>
        <w:t xml:space="preserve"> к докладу о</w:t>
      </w:r>
      <w:r w:rsidR="00754C8B" w:rsidRPr="00FB3AC8">
        <w:rPr>
          <w:sz w:val="20"/>
          <w:szCs w:val="20"/>
          <w:lang w:val="ru-RU"/>
        </w:rPr>
        <w:t xml:space="preserve"> ходе</w:t>
      </w:r>
      <w:r w:rsidRPr="00FB3AC8">
        <w:rPr>
          <w:sz w:val="20"/>
          <w:szCs w:val="20"/>
          <w:lang w:val="ru-RU"/>
        </w:rPr>
        <w:t xml:space="preserve"> работ</w:t>
      </w:r>
      <w:r w:rsidR="00754C8B" w:rsidRPr="00FB3AC8">
        <w:rPr>
          <w:sz w:val="20"/>
          <w:szCs w:val="20"/>
          <w:lang w:val="ru-RU"/>
        </w:rPr>
        <w:t>ы</w:t>
      </w:r>
      <w:r w:rsidRPr="00FB3AC8">
        <w:rPr>
          <w:sz w:val="20"/>
          <w:szCs w:val="20"/>
          <w:lang w:val="ru-RU"/>
        </w:rPr>
        <w:t xml:space="preserve"> тридцатого Совещания Сторон с поправками, внесенными тридцать пятым Совещанием Сторон в решении </w:t>
      </w:r>
      <w:r w:rsidRPr="00FB3AC8">
        <w:rPr>
          <w:sz w:val="20"/>
          <w:szCs w:val="20"/>
        </w:rPr>
        <w:t>XXXV</w:t>
      </w:r>
      <w:r w:rsidRPr="00FB3AC8">
        <w:rPr>
          <w:sz w:val="20"/>
          <w:szCs w:val="20"/>
          <w:lang w:val="ru-RU"/>
        </w:rPr>
        <w:t>/5</w:t>
      </w:r>
      <w:r w:rsidR="00E62558" w:rsidRPr="00FB3AC8">
        <w:rPr>
          <w:rStyle w:val="FootnoteReference"/>
          <w:rFonts w:eastAsia="MS Mincho"/>
          <w:snapToGrid w:val="0"/>
          <w:szCs w:val="20"/>
          <w:lang w:val="ru-RU"/>
        </w:rPr>
        <w:footnoteReference w:id="10"/>
      </w:r>
      <w:r w:rsidRPr="00FB3AC8">
        <w:rPr>
          <w:sz w:val="20"/>
          <w:szCs w:val="20"/>
          <w:lang w:val="ru-RU"/>
        </w:rPr>
        <w:t>.</w:t>
      </w:r>
      <w:r w:rsidR="00E62558" w:rsidRPr="00FB3AC8">
        <w:rPr>
          <w:sz w:val="20"/>
          <w:szCs w:val="20"/>
          <w:lang w:val="ru-RU"/>
        </w:rPr>
        <w:t xml:space="preserve"> </w:t>
      </w:r>
    </w:p>
    <w:p w14:paraId="73340321" w14:textId="74FB02B3" w:rsidR="007A1303" w:rsidRPr="00FB3AC8" w:rsidRDefault="007A1303" w:rsidP="00FB3AC8">
      <w:pPr>
        <w:pStyle w:val="Normalnumber"/>
        <w:ind w:left="1247"/>
        <w:rPr>
          <w:rFonts w:eastAsia="MS Mincho"/>
          <w:snapToGrid w:val="0"/>
          <w:sz w:val="20"/>
          <w:szCs w:val="20"/>
          <w:lang w:val="ru-RU"/>
        </w:rPr>
      </w:pPr>
      <w:r w:rsidRPr="00FB3AC8">
        <w:rPr>
          <w:sz w:val="20"/>
          <w:szCs w:val="20"/>
          <w:lang w:val="ru-RU"/>
        </w:rPr>
        <w:t xml:space="preserve">В решении </w:t>
      </w:r>
      <w:r w:rsidRPr="00FB3AC8">
        <w:rPr>
          <w:sz w:val="20"/>
          <w:szCs w:val="20"/>
        </w:rPr>
        <w:t>XXXV</w:t>
      </w:r>
      <w:r w:rsidRPr="00FB3AC8">
        <w:rPr>
          <w:sz w:val="20"/>
          <w:szCs w:val="20"/>
          <w:lang w:val="ru-RU"/>
        </w:rPr>
        <w:t xml:space="preserve">/5 о технологиях уничтожения регулируемых веществ Сторонам было предложено представить в секретариат информацию, относящуюся к обзору технологий уничтожения. В соответствии с решением </w:t>
      </w:r>
      <w:r w:rsidRPr="00FB3AC8">
        <w:rPr>
          <w:sz w:val="20"/>
          <w:szCs w:val="20"/>
        </w:rPr>
        <w:t>IV</w:t>
      </w:r>
      <w:r w:rsidRPr="00FB3AC8">
        <w:rPr>
          <w:sz w:val="20"/>
          <w:szCs w:val="20"/>
          <w:lang w:val="ru-RU"/>
        </w:rPr>
        <w:t>/11, принятым на четвертом Совещании Сторон, такие обзоры проводятся Группой по техническому обзору и экономической оценке, которая готовит соответствующие рекомендации для рассмотрения Совещанием Сторон. В рамках этой работы Группа также предоставляет через свой Комитет по техническим вариантам замены медицинских видов применения и химических веществ технические консультации по вопросам выбросов других загрязняющих веществ и технического потенциала технологий уничтожения для рассмотрения Сторонами. В этой связи секретариат получил от двух Сторон запросы в отношении их технологий уничтожения, на которые Комитет дал ответы через секретариат.</w:t>
      </w:r>
    </w:p>
    <w:p w14:paraId="7BE0BCEB" w14:textId="01E7ED0D" w:rsidR="007A1303" w:rsidRPr="00FB3AC8" w:rsidRDefault="007A1303" w:rsidP="00FB3AC8">
      <w:pPr>
        <w:pStyle w:val="Normalnumber"/>
        <w:ind w:left="1247"/>
        <w:rPr>
          <w:rFonts w:eastAsia="MS Mincho"/>
          <w:snapToGrid w:val="0"/>
          <w:sz w:val="20"/>
          <w:szCs w:val="20"/>
          <w:lang w:val="ru-RU"/>
        </w:rPr>
      </w:pPr>
      <w:r w:rsidRPr="00FB3AC8">
        <w:rPr>
          <w:sz w:val="20"/>
          <w:szCs w:val="20"/>
          <w:lang w:val="ru-RU"/>
        </w:rPr>
        <w:t>В ноябре 2025 года Канада представила в секретариат конфиденциальную и неконфиденциальную информацию о запатентованной технологии паровой плазменной дуги для оценки Группой по техническому обзору и экономической оценке. Ее Комитет по техническим вариантам замены медицинских видов применения и химических веществ рассмотрел представленные материалы, запросил разъяснения у Канады и провел независимую техническую оценку, включая коллегиальный обзор и обсуждение в целях достижения консенсуса.</w:t>
      </w:r>
    </w:p>
    <w:p w14:paraId="5D14E7BD" w14:textId="7A84EF7D" w:rsidR="007A1303" w:rsidRPr="00FB3AC8" w:rsidRDefault="007A1303" w:rsidP="00FB3AC8">
      <w:pPr>
        <w:pStyle w:val="Normalnumber"/>
        <w:ind w:left="1247"/>
        <w:rPr>
          <w:sz w:val="20"/>
          <w:szCs w:val="20"/>
          <w:lang w:val="ru-RU" w:eastAsia="en-GB"/>
        </w:rPr>
      </w:pPr>
      <w:r w:rsidRPr="00FB3AC8">
        <w:rPr>
          <w:sz w:val="20"/>
          <w:szCs w:val="20"/>
          <w:lang w:val="ru-RU"/>
        </w:rPr>
        <w:t>При проведении оценки Комитет руководствовался установленными критериями для технологий уничтожения, уделяя особое внимание подтвержденному коэффициенту эффективности уничтожения, предельным значениям выбросов (в том числе диоксинов и фуранов, кислотных газов, твердых частиц и монооксида углерода) и минимальной мощности</w:t>
      </w:r>
      <w:r w:rsidR="008772D4" w:rsidRPr="00FB3AC8">
        <w:rPr>
          <w:sz w:val="20"/>
          <w:szCs w:val="20"/>
          <w:lang w:val="ru-RU"/>
        </w:rPr>
        <w:t xml:space="preserve"> </w:t>
      </w:r>
      <w:r w:rsidR="00C66A9A" w:rsidRPr="00FB3AC8">
        <w:rPr>
          <w:sz w:val="20"/>
          <w:szCs w:val="20"/>
          <w:lang w:val="ru-RU"/>
        </w:rPr>
        <w:t>пере</w:t>
      </w:r>
      <w:r w:rsidR="008772D4" w:rsidRPr="00FB3AC8">
        <w:rPr>
          <w:sz w:val="20"/>
          <w:szCs w:val="20"/>
          <w:lang w:val="ru-RU"/>
        </w:rPr>
        <w:t>работки</w:t>
      </w:r>
      <w:r w:rsidRPr="00FB3AC8">
        <w:rPr>
          <w:sz w:val="20"/>
          <w:szCs w:val="20"/>
          <w:lang w:val="ru-RU"/>
        </w:rPr>
        <w:t>. Данные оценивались применительно к нескольким регулируемым веществам, включая ХФУ-11, ХФУ-12, ГХФУ-22 и ГФУ-134а.</w:t>
      </w:r>
      <w:r w:rsidRPr="00FB3AC8">
        <w:rPr>
          <w:sz w:val="20"/>
          <w:szCs w:val="20"/>
          <w:lang w:val="ru-RU" w:eastAsia="en-GB"/>
        </w:rPr>
        <w:t xml:space="preserve"> </w:t>
      </w:r>
    </w:p>
    <w:p w14:paraId="010A3928" w14:textId="456BC4A1" w:rsidR="007A1303" w:rsidRPr="00FB3AC8" w:rsidRDefault="007A1303" w:rsidP="00FB3AC8">
      <w:pPr>
        <w:pStyle w:val="Normalnumber"/>
        <w:ind w:left="1247"/>
        <w:rPr>
          <w:rFonts w:eastAsia="MS Mincho"/>
          <w:snapToGrid w:val="0"/>
          <w:sz w:val="20"/>
          <w:szCs w:val="20"/>
          <w:lang w:val="ru-RU"/>
        </w:rPr>
      </w:pPr>
      <w:r w:rsidRPr="00FB3AC8">
        <w:rPr>
          <w:sz w:val="20"/>
          <w:szCs w:val="20"/>
          <w:lang w:val="ru-RU"/>
        </w:rPr>
        <w:t>По результатам рассмотрения Комитетом представленных Канадой данных о производительности было установлено, что коэффициент эффективности уничтожения ХФУ</w:t>
      </w:r>
      <w:r w:rsidR="007F5BF5" w:rsidRPr="002779D8">
        <w:rPr>
          <w:sz w:val="20"/>
          <w:szCs w:val="20"/>
          <w:lang w:val="ru-RU"/>
        </w:rPr>
        <w:noBreakHyphen/>
      </w:r>
      <w:r w:rsidRPr="00FB3AC8">
        <w:rPr>
          <w:sz w:val="20"/>
          <w:szCs w:val="20"/>
          <w:lang w:val="ru-RU"/>
        </w:rPr>
        <w:t>12, ХФУ-11, ГХФУ-22 и ГФУ-134а составляет более 99,99 процент</w:t>
      </w:r>
      <w:r w:rsidR="006D237C">
        <w:rPr>
          <w:sz w:val="20"/>
          <w:szCs w:val="20"/>
          <w:lang w:val="ru-RU"/>
        </w:rPr>
        <w:t>а</w:t>
      </w:r>
      <w:r w:rsidRPr="00FB3AC8">
        <w:rPr>
          <w:sz w:val="20"/>
          <w:szCs w:val="20"/>
          <w:lang w:val="ru-RU"/>
        </w:rPr>
        <w:t>, что соответствует критериям эффективности уничтожения</w:t>
      </w:r>
      <w:r w:rsidRPr="00FB3AC8">
        <w:rPr>
          <w:rFonts w:eastAsia="MS Mincho"/>
          <w:snapToGrid w:val="0"/>
          <w:sz w:val="20"/>
          <w:szCs w:val="20"/>
          <w:vertAlign w:val="superscript"/>
          <w:lang w:val="ru-RU"/>
        </w:rPr>
        <w:footnoteReference w:id="11"/>
      </w:r>
      <w:r w:rsidRPr="00FB3AC8">
        <w:rPr>
          <w:sz w:val="20"/>
          <w:szCs w:val="20"/>
          <w:lang w:val="ru-RU"/>
        </w:rPr>
        <w:t xml:space="preserve"> для этих регулируемых веществ в рамках Монреальского протокола. Также было установлено, что выбросы загрязняющих веществ не достигают рекомендуемых пороговых значений, а </w:t>
      </w:r>
      <w:r w:rsidR="008772D4" w:rsidRPr="00FB3AC8">
        <w:rPr>
          <w:sz w:val="20"/>
          <w:szCs w:val="20"/>
          <w:lang w:val="ru-RU"/>
        </w:rPr>
        <w:t xml:space="preserve">мощность </w:t>
      </w:r>
      <w:r w:rsidR="00C66A9A" w:rsidRPr="00FB3AC8">
        <w:rPr>
          <w:sz w:val="20"/>
          <w:szCs w:val="20"/>
          <w:lang w:val="ru-RU"/>
        </w:rPr>
        <w:t>пере</w:t>
      </w:r>
      <w:r w:rsidR="008772D4" w:rsidRPr="00FB3AC8">
        <w:rPr>
          <w:sz w:val="20"/>
          <w:szCs w:val="20"/>
          <w:lang w:val="ru-RU"/>
        </w:rPr>
        <w:t>работки</w:t>
      </w:r>
      <w:r w:rsidRPr="00FB3AC8">
        <w:rPr>
          <w:sz w:val="20"/>
          <w:szCs w:val="20"/>
          <w:lang w:val="ru-RU"/>
        </w:rPr>
        <w:t xml:space="preserve"> превыша</w:t>
      </w:r>
      <w:r w:rsidR="008772D4" w:rsidRPr="00FB3AC8">
        <w:rPr>
          <w:sz w:val="20"/>
          <w:szCs w:val="20"/>
          <w:lang w:val="ru-RU"/>
        </w:rPr>
        <w:t>е</w:t>
      </w:r>
      <w:r w:rsidRPr="00FB3AC8">
        <w:rPr>
          <w:sz w:val="20"/>
          <w:szCs w:val="20"/>
          <w:lang w:val="ru-RU"/>
        </w:rPr>
        <w:t xml:space="preserve">т минимальные критерии. На этом основании Комитет пришел к выводу о том, что эта технология удовлетворяет техническим требованиям к уничтожению концентрированных источников веществ, включенных в </w:t>
      </w:r>
      <w:r w:rsidR="00C66A9A" w:rsidRPr="00FB3AC8">
        <w:rPr>
          <w:sz w:val="20"/>
          <w:szCs w:val="20"/>
          <w:lang w:val="ru-RU"/>
        </w:rPr>
        <w:t xml:space="preserve">группу </w:t>
      </w:r>
      <w:r w:rsidR="00C66A9A" w:rsidRPr="00FB3AC8">
        <w:rPr>
          <w:sz w:val="20"/>
          <w:szCs w:val="20"/>
        </w:rPr>
        <w:t>I</w:t>
      </w:r>
      <w:r w:rsidR="00C66A9A" w:rsidRPr="00FB3AC8">
        <w:rPr>
          <w:sz w:val="20"/>
          <w:szCs w:val="20"/>
          <w:lang w:val="ru-RU"/>
        </w:rPr>
        <w:t xml:space="preserve"> </w:t>
      </w:r>
      <w:r w:rsidRPr="00FB3AC8">
        <w:rPr>
          <w:sz w:val="20"/>
          <w:szCs w:val="20"/>
          <w:lang w:val="ru-RU"/>
        </w:rPr>
        <w:t>приложени</w:t>
      </w:r>
      <w:r w:rsidR="006D237C">
        <w:rPr>
          <w:sz w:val="20"/>
          <w:szCs w:val="20"/>
          <w:lang w:val="ru-RU"/>
        </w:rPr>
        <w:t>я</w:t>
      </w:r>
      <w:r w:rsidRPr="00FB3AC8">
        <w:rPr>
          <w:sz w:val="20"/>
          <w:szCs w:val="20"/>
          <w:lang w:val="ru-RU"/>
        </w:rPr>
        <w:t xml:space="preserve"> </w:t>
      </w:r>
      <w:r w:rsidRPr="00FB3AC8">
        <w:rPr>
          <w:sz w:val="20"/>
          <w:szCs w:val="20"/>
        </w:rPr>
        <w:t>A</w:t>
      </w:r>
      <w:r w:rsidRPr="00FB3AC8">
        <w:rPr>
          <w:sz w:val="20"/>
          <w:szCs w:val="20"/>
          <w:lang w:val="ru-RU"/>
        </w:rPr>
        <w:t>,</w:t>
      </w:r>
      <w:r w:rsidR="00C66A9A" w:rsidRPr="00FB3AC8">
        <w:rPr>
          <w:sz w:val="20"/>
          <w:szCs w:val="20"/>
          <w:lang w:val="ru-RU"/>
        </w:rPr>
        <w:t xml:space="preserve"> группу </w:t>
      </w:r>
      <w:r w:rsidR="00C66A9A" w:rsidRPr="00FB3AC8">
        <w:rPr>
          <w:sz w:val="20"/>
          <w:szCs w:val="20"/>
        </w:rPr>
        <w:t>I</w:t>
      </w:r>
      <w:r w:rsidR="00C66A9A" w:rsidRPr="00FB3AC8">
        <w:rPr>
          <w:sz w:val="20"/>
          <w:szCs w:val="20"/>
          <w:lang w:val="ru-RU"/>
        </w:rPr>
        <w:t xml:space="preserve"> </w:t>
      </w:r>
      <w:r w:rsidRPr="00FB3AC8">
        <w:rPr>
          <w:sz w:val="20"/>
          <w:szCs w:val="20"/>
          <w:lang w:val="ru-RU"/>
        </w:rPr>
        <w:t>приложени</w:t>
      </w:r>
      <w:r w:rsidR="006D237C">
        <w:rPr>
          <w:sz w:val="20"/>
          <w:szCs w:val="20"/>
          <w:lang w:val="ru-RU"/>
        </w:rPr>
        <w:t>я</w:t>
      </w:r>
      <w:r w:rsidRPr="00FB3AC8">
        <w:rPr>
          <w:sz w:val="20"/>
          <w:szCs w:val="20"/>
          <w:lang w:val="ru-RU"/>
        </w:rPr>
        <w:t xml:space="preserve"> </w:t>
      </w:r>
      <w:r w:rsidRPr="00FB3AC8">
        <w:rPr>
          <w:sz w:val="20"/>
          <w:szCs w:val="20"/>
        </w:rPr>
        <w:t>C</w:t>
      </w:r>
      <w:r w:rsidRPr="00FB3AC8">
        <w:rPr>
          <w:sz w:val="20"/>
          <w:szCs w:val="20"/>
          <w:lang w:val="ru-RU"/>
        </w:rPr>
        <w:t xml:space="preserve"> </w:t>
      </w:r>
      <w:r w:rsidR="00C66A9A" w:rsidRPr="00FB3AC8">
        <w:rPr>
          <w:sz w:val="20"/>
          <w:szCs w:val="20"/>
          <w:lang w:val="ru-RU"/>
        </w:rPr>
        <w:t xml:space="preserve">и в </w:t>
      </w:r>
      <w:r w:rsidRPr="00FB3AC8">
        <w:rPr>
          <w:sz w:val="20"/>
          <w:szCs w:val="20"/>
          <w:lang w:val="ru-RU"/>
        </w:rPr>
        <w:t>групп</w:t>
      </w:r>
      <w:r w:rsidR="00C66A9A" w:rsidRPr="00FB3AC8">
        <w:rPr>
          <w:sz w:val="20"/>
          <w:szCs w:val="20"/>
          <w:lang w:val="ru-RU"/>
        </w:rPr>
        <w:t>у</w:t>
      </w:r>
      <w:r w:rsidR="006D237C">
        <w:rPr>
          <w:sz w:val="20"/>
          <w:szCs w:val="20"/>
          <w:lang w:val="ru-RU"/>
        </w:rPr>
        <w:t> </w:t>
      </w:r>
      <w:r w:rsidRPr="00FB3AC8">
        <w:rPr>
          <w:sz w:val="20"/>
          <w:szCs w:val="20"/>
        </w:rPr>
        <w:t>I</w:t>
      </w:r>
      <w:r w:rsidRPr="00FB3AC8">
        <w:rPr>
          <w:sz w:val="20"/>
          <w:szCs w:val="20"/>
          <w:lang w:val="ru-RU"/>
        </w:rPr>
        <w:t xml:space="preserve"> приложени</w:t>
      </w:r>
      <w:r w:rsidR="006D237C">
        <w:rPr>
          <w:sz w:val="20"/>
          <w:szCs w:val="20"/>
          <w:lang w:val="ru-RU"/>
        </w:rPr>
        <w:t>я</w:t>
      </w:r>
      <w:r w:rsidRPr="00FB3AC8">
        <w:rPr>
          <w:sz w:val="20"/>
          <w:szCs w:val="20"/>
          <w:lang w:val="ru-RU"/>
        </w:rPr>
        <w:t xml:space="preserve"> </w:t>
      </w:r>
      <w:r w:rsidRPr="00FB3AC8">
        <w:rPr>
          <w:sz w:val="20"/>
          <w:szCs w:val="20"/>
        </w:rPr>
        <w:t>F</w:t>
      </w:r>
      <w:r w:rsidR="00C66A9A" w:rsidRPr="00FB3AC8">
        <w:rPr>
          <w:sz w:val="20"/>
          <w:szCs w:val="20"/>
          <w:lang w:val="ru-RU"/>
        </w:rPr>
        <w:t>.</w:t>
      </w:r>
    </w:p>
    <w:p w14:paraId="39BE131F" w14:textId="6EDBAAFF" w:rsidR="007A1303" w:rsidRPr="00FB3AC8" w:rsidRDefault="007A1303" w:rsidP="00FB3AC8">
      <w:pPr>
        <w:pStyle w:val="Normalnumber"/>
        <w:ind w:left="1247"/>
        <w:rPr>
          <w:rFonts w:eastAsia="MS Mincho"/>
          <w:snapToGrid w:val="0"/>
          <w:sz w:val="20"/>
          <w:szCs w:val="20"/>
          <w:lang w:val="ru-RU"/>
        </w:rPr>
      </w:pPr>
      <w:r w:rsidRPr="00FB3AC8">
        <w:rPr>
          <w:sz w:val="20"/>
          <w:szCs w:val="20"/>
          <w:lang w:val="ru-RU"/>
        </w:rPr>
        <w:t xml:space="preserve">Комитет также рассмотрел вопрос соответствия данной технологии существующим категориям плазменных дуг и пришел к выводу о том, что, несмотря на схожесть с ранее </w:t>
      </w:r>
      <w:r w:rsidR="00C66A9A" w:rsidRPr="00FB3AC8">
        <w:rPr>
          <w:sz w:val="20"/>
          <w:szCs w:val="20"/>
          <w:lang w:val="ru-RU"/>
        </w:rPr>
        <w:t>одобренными</w:t>
      </w:r>
      <w:r w:rsidRPr="00FB3AC8">
        <w:rPr>
          <w:sz w:val="20"/>
          <w:szCs w:val="20"/>
          <w:lang w:val="ru-RU"/>
        </w:rPr>
        <w:t xml:space="preserve"> системами, она </w:t>
      </w:r>
      <w:r w:rsidR="00C66A9A" w:rsidRPr="00FB3AC8">
        <w:rPr>
          <w:sz w:val="20"/>
          <w:szCs w:val="20"/>
          <w:lang w:val="ru-RU"/>
        </w:rPr>
        <w:t>обладает достаточными отличиями</w:t>
      </w:r>
      <w:r w:rsidRPr="00FB3AC8">
        <w:rPr>
          <w:sz w:val="20"/>
          <w:szCs w:val="20"/>
          <w:lang w:val="ru-RU"/>
        </w:rPr>
        <w:t xml:space="preserve">. В связи с этим Группа по техническому обзору и экономической оценке рекомендует утвердить данную технологию в рамках новой общей категории «паровая плазменная дуга» для уничтожения концентрированных источников регулируемых веществ, включенных в </w:t>
      </w:r>
      <w:r w:rsidR="00C66A9A" w:rsidRPr="00FB3AC8">
        <w:rPr>
          <w:sz w:val="20"/>
          <w:szCs w:val="20"/>
          <w:lang w:val="ru-RU"/>
        </w:rPr>
        <w:t xml:space="preserve">группу </w:t>
      </w:r>
      <w:r w:rsidR="00C66A9A" w:rsidRPr="00FB3AC8">
        <w:rPr>
          <w:sz w:val="20"/>
          <w:szCs w:val="20"/>
        </w:rPr>
        <w:t>I</w:t>
      </w:r>
      <w:r w:rsidR="00C66A9A" w:rsidRPr="00FB3AC8">
        <w:rPr>
          <w:sz w:val="20"/>
          <w:szCs w:val="20"/>
          <w:lang w:val="ru-RU"/>
        </w:rPr>
        <w:t xml:space="preserve"> приложени</w:t>
      </w:r>
      <w:r w:rsidR="006D237C">
        <w:rPr>
          <w:sz w:val="20"/>
          <w:szCs w:val="20"/>
          <w:lang w:val="ru-RU"/>
        </w:rPr>
        <w:t>я</w:t>
      </w:r>
      <w:r w:rsidR="007F5BF5">
        <w:rPr>
          <w:sz w:val="20"/>
          <w:szCs w:val="20"/>
        </w:rPr>
        <w:t> </w:t>
      </w:r>
      <w:r w:rsidR="00C66A9A" w:rsidRPr="00FB3AC8">
        <w:rPr>
          <w:sz w:val="20"/>
          <w:szCs w:val="20"/>
        </w:rPr>
        <w:t>A</w:t>
      </w:r>
      <w:r w:rsidR="00C66A9A" w:rsidRPr="00FB3AC8">
        <w:rPr>
          <w:sz w:val="20"/>
          <w:szCs w:val="20"/>
          <w:lang w:val="ru-RU"/>
        </w:rPr>
        <w:t xml:space="preserve">, группу </w:t>
      </w:r>
      <w:r w:rsidR="00C66A9A" w:rsidRPr="00FB3AC8">
        <w:rPr>
          <w:sz w:val="20"/>
          <w:szCs w:val="20"/>
        </w:rPr>
        <w:t>I</w:t>
      </w:r>
      <w:r w:rsidR="00C66A9A" w:rsidRPr="00FB3AC8">
        <w:rPr>
          <w:sz w:val="20"/>
          <w:szCs w:val="20"/>
          <w:lang w:val="ru-RU"/>
        </w:rPr>
        <w:t xml:space="preserve"> приложени</w:t>
      </w:r>
      <w:r w:rsidR="006D237C">
        <w:rPr>
          <w:sz w:val="20"/>
          <w:szCs w:val="20"/>
          <w:lang w:val="ru-RU"/>
        </w:rPr>
        <w:t>я</w:t>
      </w:r>
      <w:r w:rsidR="00C66A9A" w:rsidRPr="00FB3AC8">
        <w:rPr>
          <w:sz w:val="20"/>
          <w:szCs w:val="20"/>
          <w:lang w:val="ru-RU"/>
        </w:rPr>
        <w:t xml:space="preserve"> </w:t>
      </w:r>
      <w:r w:rsidR="00C66A9A" w:rsidRPr="00FB3AC8">
        <w:rPr>
          <w:sz w:val="20"/>
          <w:szCs w:val="20"/>
        </w:rPr>
        <w:t>C</w:t>
      </w:r>
      <w:r w:rsidR="00C66A9A" w:rsidRPr="00FB3AC8">
        <w:rPr>
          <w:sz w:val="20"/>
          <w:szCs w:val="20"/>
          <w:lang w:val="ru-RU"/>
        </w:rPr>
        <w:t xml:space="preserve"> и в группу </w:t>
      </w:r>
      <w:r w:rsidR="00C66A9A" w:rsidRPr="00FB3AC8">
        <w:rPr>
          <w:sz w:val="20"/>
          <w:szCs w:val="20"/>
        </w:rPr>
        <w:t>I</w:t>
      </w:r>
      <w:r w:rsidR="00C66A9A" w:rsidRPr="00FB3AC8">
        <w:rPr>
          <w:sz w:val="20"/>
          <w:szCs w:val="20"/>
          <w:lang w:val="ru-RU"/>
        </w:rPr>
        <w:t xml:space="preserve"> приложени</w:t>
      </w:r>
      <w:r w:rsidR="006D237C">
        <w:rPr>
          <w:sz w:val="20"/>
          <w:szCs w:val="20"/>
          <w:lang w:val="ru-RU"/>
        </w:rPr>
        <w:t>я</w:t>
      </w:r>
      <w:r w:rsidR="00C66A9A" w:rsidRPr="00FB3AC8">
        <w:rPr>
          <w:sz w:val="20"/>
          <w:szCs w:val="20"/>
          <w:lang w:val="ru-RU"/>
        </w:rPr>
        <w:t xml:space="preserve"> </w:t>
      </w:r>
      <w:r w:rsidR="00C66A9A" w:rsidRPr="00FB3AC8">
        <w:rPr>
          <w:sz w:val="20"/>
          <w:szCs w:val="20"/>
        </w:rPr>
        <w:t>F</w:t>
      </w:r>
      <w:r w:rsidR="00950BF9">
        <w:rPr>
          <w:sz w:val="20"/>
          <w:szCs w:val="20"/>
          <w:lang w:val="ru-RU"/>
        </w:rPr>
        <w:t xml:space="preserve">, </w:t>
      </w:r>
      <w:r w:rsidRPr="00FB3AC8">
        <w:rPr>
          <w:sz w:val="20"/>
          <w:szCs w:val="20"/>
          <w:lang w:val="ru-RU"/>
        </w:rPr>
        <w:t>в целях осуществления Монреальского протокола.</w:t>
      </w:r>
      <w:r w:rsidRPr="00FB3AC8">
        <w:rPr>
          <w:sz w:val="20"/>
          <w:szCs w:val="20"/>
          <w:lang w:val="ru-RU" w:eastAsia="en-GB"/>
        </w:rPr>
        <w:t xml:space="preserve"> </w:t>
      </w:r>
    </w:p>
    <w:p w14:paraId="02CE469D" w14:textId="55AFE121" w:rsidR="00E62558" w:rsidRPr="008F3BA3" w:rsidRDefault="007A1303" w:rsidP="00FB3AC8">
      <w:pPr>
        <w:pStyle w:val="Normalnumber"/>
        <w:ind w:left="1247"/>
        <w:rPr>
          <w:rFonts w:eastAsia="MS Mincho"/>
          <w:snapToGrid w:val="0"/>
          <w:sz w:val="20"/>
          <w:szCs w:val="20"/>
          <w:lang w:val="ru-RU"/>
        </w:rPr>
      </w:pPr>
      <w:r w:rsidRPr="00FB3AC8">
        <w:rPr>
          <w:rFonts w:eastAsia="MS Mincho"/>
          <w:snapToGrid w:val="0"/>
          <w:sz w:val="20"/>
          <w:szCs w:val="20"/>
          <w:lang w:val="ru-RU"/>
        </w:rPr>
        <w:t>Рабочая группа открытого состава, возможно, пожелает рассмотреть этот вопрос и предложить рекомендации в отношении дальнейших действий</w:t>
      </w:r>
      <w:r w:rsidR="00E62558" w:rsidRPr="00FB3AC8">
        <w:rPr>
          <w:rFonts w:eastAsia="MS Mincho"/>
          <w:snapToGrid w:val="0"/>
          <w:sz w:val="20"/>
          <w:szCs w:val="20"/>
          <w:lang w:val="ru-RU"/>
        </w:rPr>
        <w:t>.</w:t>
      </w:r>
    </w:p>
    <w:p w14:paraId="0D9A3574" w14:textId="77777777" w:rsidR="0024418D" w:rsidRPr="00FB3AC8" w:rsidRDefault="0024418D" w:rsidP="008F3BA3">
      <w:pPr>
        <w:pStyle w:val="Normalnumber"/>
        <w:numPr>
          <w:ilvl w:val="0"/>
          <w:numId w:val="0"/>
        </w:numPr>
        <w:ind w:left="1247"/>
        <w:rPr>
          <w:rFonts w:eastAsia="MS Mincho"/>
          <w:snapToGrid w:val="0"/>
          <w:sz w:val="20"/>
          <w:szCs w:val="20"/>
          <w:lang w:val="ru-RU"/>
        </w:rPr>
      </w:pPr>
    </w:p>
    <w:p w14:paraId="3E77B16E" w14:textId="1637B033" w:rsidR="00E62558" w:rsidRPr="00C66A9A" w:rsidRDefault="007F5BF5" w:rsidP="00591ECA">
      <w:pPr>
        <w:pStyle w:val="CH4"/>
        <w:keepNext w:val="0"/>
        <w:keepLines w:val="0"/>
        <w:tabs>
          <w:tab w:val="clear" w:pos="1247"/>
          <w:tab w:val="clear" w:pos="1871"/>
          <w:tab w:val="clear" w:pos="2495"/>
          <w:tab w:val="clear" w:pos="3119"/>
          <w:tab w:val="clear" w:pos="3742"/>
          <w:tab w:val="clear" w:pos="4366"/>
          <w:tab w:val="clear" w:pos="4990"/>
        </w:tabs>
        <w:spacing w:before="0"/>
        <w:rPr>
          <w:lang w:val="ru-RU"/>
        </w:rPr>
      </w:pPr>
      <w:r w:rsidRPr="002779D8">
        <w:rPr>
          <w:bCs/>
          <w:lang w:val="ru-RU"/>
        </w:rPr>
        <w:lastRenderedPageBreak/>
        <w:tab/>
      </w:r>
      <w:r w:rsidR="00E62558" w:rsidRPr="00C66A9A">
        <w:rPr>
          <w:bCs/>
          <w:lang w:val="ru-RU"/>
        </w:rPr>
        <w:t>ii)</w:t>
      </w:r>
      <w:r w:rsidR="00E62558" w:rsidRPr="00C66A9A">
        <w:rPr>
          <w:lang w:val="ru-RU"/>
        </w:rPr>
        <w:tab/>
      </w:r>
      <w:r w:rsidR="00E62558" w:rsidRPr="00C66A9A">
        <w:rPr>
          <w:bCs/>
          <w:lang w:val="ru-RU"/>
        </w:rPr>
        <w:t>Новоявленные вопросы политики и информация о секторах, связанных с ПФАВ</w:t>
      </w:r>
    </w:p>
    <w:p w14:paraId="10DE8BE1" w14:textId="52FBA0D7" w:rsidR="00E62558" w:rsidRPr="007F5BF5" w:rsidRDefault="00E62558" w:rsidP="007F5BF5">
      <w:pPr>
        <w:pStyle w:val="Normalnumber"/>
        <w:ind w:left="1247"/>
        <w:rPr>
          <w:sz w:val="20"/>
          <w:szCs w:val="20"/>
          <w:lang w:val="ru-RU"/>
        </w:rPr>
      </w:pPr>
      <w:r w:rsidRPr="007F5BF5">
        <w:rPr>
          <w:sz w:val="20"/>
          <w:szCs w:val="20"/>
          <w:lang w:val="ru-RU"/>
        </w:rPr>
        <w:t xml:space="preserve">Как и в предыдущих докладах Группы по техническому обзору и экономической оценке, в главе 7 ее доклада о ходе работы (2026 год) представлена обновленная информация о ПФАВ, имеющая отношение к </w:t>
      </w:r>
      <w:r w:rsidR="003B5B78" w:rsidRPr="007F5BF5">
        <w:rPr>
          <w:sz w:val="20"/>
          <w:szCs w:val="20"/>
          <w:lang w:val="ru-RU"/>
        </w:rPr>
        <w:t xml:space="preserve">вопросам </w:t>
      </w:r>
      <w:r w:rsidRPr="007F5BF5">
        <w:rPr>
          <w:sz w:val="20"/>
          <w:szCs w:val="20"/>
          <w:lang w:val="ru-RU"/>
        </w:rPr>
        <w:t>политик</w:t>
      </w:r>
      <w:r w:rsidR="003B5B78" w:rsidRPr="007F5BF5">
        <w:rPr>
          <w:sz w:val="20"/>
          <w:szCs w:val="20"/>
          <w:lang w:val="ru-RU"/>
        </w:rPr>
        <w:t>и</w:t>
      </w:r>
      <w:r w:rsidRPr="007F5BF5">
        <w:rPr>
          <w:sz w:val="20"/>
          <w:szCs w:val="20"/>
          <w:lang w:val="ru-RU"/>
        </w:rPr>
        <w:t>, и описаны потенциальные последствия перехода от веществ, регулируемых Монреальским протоколом, к альтернативным веществам в секторах пожаротушения, пеноматериалов, а также холодильного оборудования, систем кондиционирования воздуха и тепловых насосов.</w:t>
      </w:r>
    </w:p>
    <w:p w14:paraId="785FE5F8" w14:textId="4943A287" w:rsidR="00B93154" w:rsidRPr="007F5BF5" w:rsidRDefault="00B93154" w:rsidP="007F5BF5">
      <w:pPr>
        <w:pStyle w:val="Normalnumber"/>
        <w:ind w:left="1247"/>
        <w:rPr>
          <w:sz w:val="20"/>
          <w:szCs w:val="20"/>
          <w:lang w:val="ru-RU"/>
        </w:rPr>
      </w:pPr>
      <w:r w:rsidRPr="007F5BF5">
        <w:rPr>
          <w:sz w:val="20"/>
          <w:szCs w:val="20"/>
          <w:lang w:val="ru-RU"/>
        </w:rPr>
        <w:t xml:space="preserve">Группа подчеркивает, что, хотя ПФАВ нередко ошибочно объединяют под общим названием «вечные химикаты», </w:t>
      </w:r>
      <w:r w:rsidR="003B5B78" w:rsidRPr="007F5BF5">
        <w:rPr>
          <w:sz w:val="20"/>
          <w:szCs w:val="20"/>
          <w:lang w:val="ru-RU"/>
        </w:rPr>
        <w:t>в действительности</w:t>
      </w:r>
      <w:r w:rsidRPr="007F5BF5">
        <w:rPr>
          <w:sz w:val="20"/>
          <w:szCs w:val="20"/>
          <w:lang w:val="ru-RU"/>
        </w:rPr>
        <w:t xml:space="preserve"> не все они являются стойкими, биоаккумулируемыми и токсичными. Значительная часть опасений связана с такими </w:t>
      </w:r>
      <w:r w:rsidR="003B5B78" w:rsidRPr="007F5BF5">
        <w:rPr>
          <w:sz w:val="20"/>
          <w:szCs w:val="20"/>
          <w:lang w:val="ru-RU"/>
        </w:rPr>
        <w:t xml:space="preserve">химическими </w:t>
      </w:r>
      <w:r w:rsidRPr="007F5BF5">
        <w:rPr>
          <w:sz w:val="20"/>
          <w:szCs w:val="20"/>
          <w:lang w:val="ru-RU"/>
        </w:rPr>
        <w:t xml:space="preserve">веществами, как перфтороктановая кислота (ПФОК) и перфтороктановая сульфоновая </w:t>
      </w:r>
      <w:r w:rsidR="003B5B78" w:rsidRPr="007F5BF5">
        <w:rPr>
          <w:sz w:val="20"/>
          <w:szCs w:val="20"/>
          <w:lang w:val="ru-RU"/>
        </w:rPr>
        <w:t>кислота (</w:t>
      </w:r>
      <w:r w:rsidRPr="007F5BF5">
        <w:rPr>
          <w:sz w:val="20"/>
          <w:szCs w:val="20"/>
          <w:lang w:val="ru-RU"/>
        </w:rPr>
        <w:t xml:space="preserve">ПФОС), </w:t>
      </w:r>
      <w:r w:rsidR="003B5B78" w:rsidRPr="007F5BF5">
        <w:rPr>
          <w:sz w:val="20"/>
          <w:szCs w:val="20"/>
          <w:lang w:val="ru-RU"/>
        </w:rPr>
        <w:t xml:space="preserve">которые </w:t>
      </w:r>
      <w:r w:rsidRPr="007F5BF5">
        <w:rPr>
          <w:sz w:val="20"/>
          <w:szCs w:val="20"/>
          <w:lang w:val="ru-RU"/>
        </w:rPr>
        <w:t xml:space="preserve">отличаются высокой стойкостью, </w:t>
      </w:r>
      <w:r w:rsidR="003B5B78" w:rsidRPr="007F5BF5">
        <w:rPr>
          <w:sz w:val="20"/>
          <w:szCs w:val="20"/>
          <w:lang w:val="ru-RU"/>
        </w:rPr>
        <w:t>вредны</w:t>
      </w:r>
      <w:r w:rsidRPr="007F5BF5">
        <w:rPr>
          <w:sz w:val="20"/>
          <w:szCs w:val="20"/>
          <w:lang w:val="ru-RU"/>
        </w:rPr>
        <w:t xml:space="preserve"> для здоровья и уже подпадают под строгие ограничения во многих юрисдикциях.</w:t>
      </w:r>
    </w:p>
    <w:p w14:paraId="418A2037" w14:textId="15722DAE" w:rsidR="00B93154" w:rsidRPr="007F5BF5" w:rsidRDefault="00B93154" w:rsidP="007F5BF5">
      <w:pPr>
        <w:pStyle w:val="Normalnumber"/>
        <w:ind w:left="1247"/>
        <w:rPr>
          <w:sz w:val="20"/>
          <w:szCs w:val="20"/>
          <w:lang w:val="ru-RU"/>
        </w:rPr>
      </w:pPr>
      <w:r w:rsidRPr="007F5BF5">
        <w:rPr>
          <w:sz w:val="20"/>
          <w:szCs w:val="20"/>
          <w:lang w:val="ru-RU"/>
        </w:rPr>
        <w:t xml:space="preserve">Как и в предыдущих докладах, Группа отмечает, что определения понятия «ПФАВ» существенно различаются в международных, национальных и региональных регламентах, </w:t>
      </w:r>
      <w:r w:rsidR="003B5B78" w:rsidRPr="007F5BF5">
        <w:rPr>
          <w:sz w:val="20"/>
          <w:szCs w:val="20"/>
          <w:lang w:val="ru-RU"/>
        </w:rPr>
        <w:t xml:space="preserve">и это </w:t>
      </w:r>
      <w:r w:rsidRPr="007F5BF5">
        <w:rPr>
          <w:sz w:val="20"/>
          <w:szCs w:val="20"/>
          <w:lang w:val="ru-RU"/>
        </w:rPr>
        <w:t>приводит к несогласованному подходу к веществам, имеющим отношение</w:t>
      </w:r>
      <w:r w:rsidR="00754C8B" w:rsidRPr="007F5BF5">
        <w:rPr>
          <w:sz w:val="20"/>
          <w:szCs w:val="20"/>
          <w:lang w:val="ru-RU"/>
        </w:rPr>
        <w:t xml:space="preserve"> к</w:t>
      </w:r>
      <w:r w:rsidRPr="007F5BF5">
        <w:rPr>
          <w:sz w:val="20"/>
          <w:szCs w:val="20"/>
          <w:lang w:val="ru-RU"/>
        </w:rPr>
        <w:t xml:space="preserve"> Монреальскому протоколу. Разные организации и правительства используют разные критерии, и порой определения настолько широки, что могут охватывать хладагенты, огнетушащие вещества, пенообразователи, фторполимеры и пропелленты для медицинских аэрозолей, регулируемые в рамках Монреальского протокола, а также вещества, используемые в качестве их заменителей. Регламенты, в которых учитывается исключительно химическая структура, а не действительн</w:t>
      </w:r>
      <w:r w:rsidR="003B5B78" w:rsidRPr="007F5BF5">
        <w:rPr>
          <w:sz w:val="20"/>
          <w:szCs w:val="20"/>
          <w:lang w:val="ru-RU"/>
        </w:rPr>
        <w:t>о существующие</w:t>
      </w:r>
      <w:r w:rsidRPr="007F5BF5">
        <w:rPr>
          <w:sz w:val="20"/>
          <w:szCs w:val="20"/>
          <w:lang w:val="ru-RU"/>
        </w:rPr>
        <w:t xml:space="preserve"> риски для окружающей среды или здоровья человека, могут привести к непреднамеренному запрету веществ, не обладающи</w:t>
      </w:r>
      <w:r w:rsidR="003B5B78" w:rsidRPr="007F5BF5">
        <w:rPr>
          <w:sz w:val="20"/>
          <w:szCs w:val="20"/>
          <w:lang w:val="ru-RU"/>
        </w:rPr>
        <w:t>х</w:t>
      </w:r>
      <w:r w:rsidRPr="007F5BF5">
        <w:rPr>
          <w:sz w:val="20"/>
          <w:szCs w:val="20"/>
          <w:lang w:val="ru-RU"/>
        </w:rPr>
        <w:t xml:space="preserve"> высокой токсичностью или стойкостью.</w:t>
      </w:r>
    </w:p>
    <w:p w14:paraId="702E0C99" w14:textId="453676CC" w:rsidR="003B5B78" w:rsidRPr="007F5BF5" w:rsidRDefault="002779D8" w:rsidP="007F5BF5">
      <w:pPr>
        <w:pStyle w:val="Normalnumber"/>
        <w:ind w:left="1247"/>
        <w:rPr>
          <w:sz w:val="20"/>
          <w:szCs w:val="20"/>
          <w:lang w:val="ru-RU"/>
        </w:rPr>
      </w:pPr>
      <w:r>
        <w:rPr>
          <w:sz w:val="20"/>
          <w:szCs w:val="20"/>
          <w:lang w:val="ru-RU"/>
        </w:rPr>
        <w:t>П</w:t>
      </w:r>
      <w:r w:rsidR="003B5B78" w:rsidRPr="007F5BF5">
        <w:rPr>
          <w:sz w:val="20"/>
          <w:szCs w:val="20"/>
          <w:lang w:val="ru-RU"/>
        </w:rPr>
        <w:t>одходы</w:t>
      </w:r>
      <w:r>
        <w:rPr>
          <w:sz w:val="20"/>
          <w:szCs w:val="20"/>
          <w:lang w:val="ru-RU"/>
        </w:rPr>
        <w:t xml:space="preserve"> к нормативному регулированию</w:t>
      </w:r>
      <w:r w:rsidR="003B5B78" w:rsidRPr="007F5BF5">
        <w:rPr>
          <w:sz w:val="20"/>
          <w:szCs w:val="20"/>
          <w:lang w:val="ru-RU"/>
        </w:rPr>
        <w:t xml:space="preserve"> также существенно различаются. Стокгольмская конвенция о стойких органических загрязнителях распространяется только на конкретные ПФАВ, такие как ПФОС и ПФОК, не затрагивая при этом вещества, имеющие отношение к Монреальскому протоколу. В то же время предлагаемые Европейским союзом ограничения на </w:t>
      </w:r>
      <w:r w:rsidR="005C4F3E" w:rsidRPr="007F5BF5">
        <w:rPr>
          <w:sz w:val="20"/>
          <w:szCs w:val="20"/>
          <w:lang w:val="ru-RU"/>
        </w:rPr>
        <w:t xml:space="preserve">использование </w:t>
      </w:r>
      <w:r w:rsidR="003B5B78" w:rsidRPr="007F5BF5">
        <w:rPr>
          <w:sz w:val="20"/>
          <w:szCs w:val="20"/>
          <w:lang w:val="ru-RU"/>
        </w:rPr>
        <w:t>ПФАВ в рамках регламента «Регистрация, оценка, разрешение и ограничения применения химических веществ» (</w:t>
      </w:r>
      <w:r w:rsidR="003B5B78" w:rsidRPr="007F5BF5">
        <w:rPr>
          <w:sz w:val="20"/>
          <w:szCs w:val="20"/>
        </w:rPr>
        <w:t>REACH</w:t>
      </w:r>
      <w:r w:rsidR="003B5B78" w:rsidRPr="007F5BF5">
        <w:rPr>
          <w:sz w:val="20"/>
          <w:szCs w:val="20"/>
          <w:lang w:val="ru-RU"/>
        </w:rPr>
        <w:t>) могут затронуть альтернативы озоноразрушающим веществам и веществам с высоким потенциалом глобального потепления. Канада рассматривает возможность ввести более широкие ограничения на использование ПФАВ, которые могут охватить ряд веществ, имеющих отношение к Монреальскому протоколу, но при этом не затронут фторполимеры. В Соединенных Штатах Америки Агентство по охране окружающей среды применяет подход, основанный на оценке рисков с учетом токсичности и степени воздействия, а в ряде штатов были приняты более широкие определения и ограничения в отношении ПФАВ.</w:t>
      </w:r>
    </w:p>
    <w:p w14:paraId="79FA7265" w14:textId="5C84EA80" w:rsidR="00E62558" w:rsidRPr="007F5BF5" w:rsidRDefault="003B5B78" w:rsidP="007F5BF5">
      <w:pPr>
        <w:pStyle w:val="Normalnumber"/>
        <w:ind w:left="1247"/>
        <w:rPr>
          <w:sz w:val="20"/>
          <w:szCs w:val="20"/>
          <w:lang w:val="ru-RU"/>
        </w:rPr>
      </w:pPr>
      <w:r w:rsidRPr="007F5BF5">
        <w:rPr>
          <w:sz w:val="20"/>
          <w:szCs w:val="20"/>
          <w:lang w:val="ru-RU"/>
        </w:rPr>
        <w:t>Неопределенность в отношении будущего регулирования ПФАВ уже замедляет инвестиции в разработку альтернативных технологий. Компании не решаются вкладывать средства в альтернативы, которые впоследствии могут оказаться под запретом. Эта неопределенность может замедлить прогресс в достижении целей Монреальского протокола и Кигалийской поправки, ограничивая доступность заменителей с низким потенциалом глобального потепления и сдерживая инновации.</w:t>
      </w:r>
    </w:p>
    <w:p w14:paraId="3AE301D4" w14:textId="030905CA" w:rsidR="00080F41" w:rsidRPr="007F5BF5" w:rsidRDefault="00080F41" w:rsidP="007F5BF5">
      <w:pPr>
        <w:pStyle w:val="Normalnumber"/>
        <w:ind w:left="1247"/>
        <w:rPr>
          <w:sz w:val="20"/>
          <w:szCs w:val="20"/>
          <w:lang w:val="ru-RU"/>
        </w:rPr>
      </w:pPr>
      <w:r w:rsidRPr="007F5BF5">
        <w:rPr>
          <w:sz w:val="20"/>
          <w:szCs w:val="20"/>
          <w:lang w:val="ru-RU"/>
        </w:rPr>
        <w:t xml:space="preserve">В секторе пожаротушения галоны по-прежнему широко используются в системах противопожарной защиты воздушных судов, поскольку альтернативные решения для некоторых областей применения, особенно для грузовых отсеков и гондол двигателей, остаются технически несовершенными, несмотря на десятилетия исследований. Потенциальные заменители, такие как 2-БТП и фторкетоны, могут быть отнесены к ПФАВ в соответствии с широкими определениями, что создает неопределенность в отношении их долгосрочной применимости. В связи с этим заинтересованные стороны в отрасли гражданской авиации вновь рассматривают вопрос о возможности дальнейшего долгосрочного использования галона 1301, что может продлить зависимость от озоноразрушающих веществ на многие десятилетия, поскольку </w:t>
      </w:r>
      <w:r w:rsidR="00C66A9A" w:rsidRPr="007F5BF5">
        <w:rPr>
          <w:sz w:val="20"/>
          <w:szCs w:val="20"/>
          <w:lang w:val="ru-RU"/>
        </w:rPr>
        <w:t>проектирование</w:t>
      </w:r>
      <w:r w:rsidRPr="007F5BF5">
        <w:rPr>
          <w:sz w:val="20"/>
          <w:szCs w:val="20"/>
          <w:lang w:val="ru-RU"/>
        </w:rPr>
        <w:t xml:space="preserve"> и сертификаци</w:t>
      </w:r>
      <w:r w:rsidR="002779D8">
        <w:rPr>
          <w:sz w:val="20"/>
          <w:szCs w:val="20"/>
          <w:lang w:val="ru-RU"/>
        </w:rPr>
        <w:t>я</w:t>
      </w:r>
      <w:r w:rsidRPr="007F5BF5">
        <w:rPr>
          <w:sz w:val="20"/>
          <w:szCs w:val="20"/>
          <w:lang w:val="ru-RU"/>
        </w:rPr>
        <w:t xml:space="preserve"> авиационных систем </w:t>
      </w:r>
      <w:r w:rsidR="00C66A9A" w:rsidRPr="007F5BF5">
        <w:rPr>
          <w:sz w:val="20"/>
          <w:szCs w:val="20"/>
          <w:lang w:val="ru-RU"/>
        </w:rPr>
        <w:t>занимают очень много времени</w:t>
      </w:r>
      <w:r w:rsidRPr="007F5BF5">
        <w:rPr>
          <w:sz w:val="20"/>
          <w:szCs w:val="20"/>
          <w:lang w:val="ru-RU"/>
        </w:rPr>
        <w:t>.</w:t>
      </w:r>
    </w:p>
    <w:p w14:paraId="3B2F83EC" w14:textId="1BE572C6" w:rsidR="003B5B78" w:rsidRPr="007F5BF5" w:rsidRDefault="003B5B78" w:rsidP="007F5BF5">
      <w:pPr>
        <w:pStyle w:val="Normalnumber"/>
        <w:ind w:left="1247"/>
        <w:rPr>
          <w:sz w:val="20"/>
          <w:szCs w:val="20"/>
          <w:lang w:val="ru-RU"/>
        </w:rPr>
      </w:pPr>
      <w:r w:rsidRPr="007F5BF5">
        <w:rPr>
          <w:sz w:val="20"/>
          <w:szCs w:val="20"/>
          <w:lang w:val="ru-RU"/>
        </w:rPr>
        <w:t xml:space="preserve">В секторе </w:t>
      </w:r>
      <w:r w:rsidR="00080F41" w:rsidRPr="007F5BF5">
        <w:rPr>
          <w:sz w:val="20"/>
          <w:szCs w:val="20"/>
          <w:lang w:val="ru-RU"/>
        </w:rPr>
        <w:t xml:space="preserve">пеноматериалов для теплоизоляции, который играет важную роль в сокращении энергопотребления в зданиях и холодильных системах, производители уже отложили принятие решений о выборе пенообразователей из-за неопределенности, связанной с фторированными альтернативами и возможными будущими запретами. Поскольку ни одно пенообразующее вещество </w:t>
      </w:r>
      <w:r w:rsidRPr="007F5BF5">
        <w:rPr>
          <w:sz w:val="20"/>
          <w:szCs w:val="20"/>
          <w:lang w:val="ru-RU"/>
        </w:rPr>
        <w:t>не является оптимальным для всех видов применения, сокращение числа доступных вариантов может создать технические и экономические трудности.</w:t>
      </w:r>
    </w:p>
    <w:p w14:paraId="3E2F74C1" w14:textId="35E216F4" w:rsidR="003B5B78" w:rsidRPr="007F5BF5" w:rsidRDefault="003B5B78" w:rsidP="007F5BF5">
      <w:pPr>
        <w:pStyle w:val="Normalnumber"/>
        <w:ind w:left="1247"/>
        <w:rPr>
          <w:sz w:val="20"/>
          <w:szCs w:val="20"/>
          <w:lang w:val="ru-RU"/>
        </w:rPr>
      </w:pPr>
      <w:r w:rsidRPr="007F5BF5">
        <w:rPr>
          <w:sz w:val="20"/>
          <w:szCs w:val="20"/>
          <w:lang w:val="ru-RU"/>
        </w:rPr>
        <w:lastRenderedPageBreak/>
        <w:t>В медицинском секторе это может затронуть дозированные медицинские ингаляторы под давлением, применяемые для лечения астмы и хронической обструктивной болезни легких. В настоящее время отрасль переходит от пропеллентов с высоким потенциалом глобального потепления к альтернативам с более низким потенциалом глобального потепления, таким как ГФУ-152а и ГФО-1234</w:t>
      </w:r>
      <w:r w:rsidR="005C4F3E" w:rsidRPr="007F5BF5">
        <w:rPr>
          <w:sz w:val="20"/>
          <w:szCs w:val="20"/>
        </w:rPr>
        <w:t>ze</w:t>
      </w:r>
      <w:r w:rsidRPr="007F5BF5">
        <w:rPr>
          <w:sz w:val="20"/>
          <w:szCs w:val="20"/>
          <w:lang w:val="ru-RU"/>
        </w:rPr>
        <w:t>(Е). Вместе с тем некоторые предлагаемые регламенты в отношении ПФАВ могут ввести ограничения на использование ГФО-1234ze(Е), несмотря на его чрезвычайно низкий потенциал глобального потепления. Поскольку разработка новых ингаляторов занимает много лет и на них полагаются сотни миллионов пациентов, неопределенность в отношении будущих регламентов вызывает обеспокоенность в секторах здравоохранения и фармацевтики.</w:t>
      </w:r>
    </w:p>
    <w:p w14:paraId="6C9361C8" w14:textId="585B1479" w:rsidR="00080F41" w:rsidRPr="007F5BF5" w:rsidRDefault="00080F41" w:rsidP="007F5BF5">
      <w:pPr>
        <w:pStyle w:val="Normalnumber"/>
        <w:ind w:left="1247"/>
        <w:rPr>
          <w:sz w:val="20"/>
          <w:szCs w:val="20"/>
          <w:lang w:val="ru-RU"/>
        </w:rPr>
      </w:pPr>
      <w:r w:rsidRPr="007F5BF5">
        <w:rPr>
          <w:sz w:val="20"/>
          <w:szCs w:val="20"/>
          <w:lang w:val="ru-RU"/>
        </w:rPr>
        <w:t>Сектор холодильного оборудования, систем кондиционирования воздуха и тепловых насосов считается особенно важным, поскольку на него приходится б</w:t>
      </w:r>
      <w:r w:rsidR="006B454A">
        <w:rPr>
          <w:sz w:val="20"/>
          <w:szCs w:val="20"/>
          <w:lang w:val="ru-RU"/>
        </w:rPr>
        <w:t>ó</w:t>
      </w:r>
      <w:r w:rsidRPr="007F5BF5">
        <w:rPr>
          <w:sz w:val="20"/>
          <w:szCs w:val="20"/>
          <w:lang w:val="ru-RU"/>
        </w:rPr>
        <w:t xml:space="preserve">льшая часть мирового потребления ГФУ, на которое распространяется Кигалийская поправка. По оценке Группы, почти все широко применяемые фторированные хладагенты, за исключением ГФУ-32, могут быть охвачены широким определением ПФАВ. Хотя нефторированные альтернативы, такие как углеводороды, аммиак и диоксид углерода, пригодны для некоторых областей применения, у них тоже есть ограничения, связанные с воспламеняемостью, токсичностью, давлением, эффективностью, а также пригодностью для определенных климатических условий и типов зданий. Широкие запреты </w:t>
      </w:r>
      <w:r w:rsidR="005C4F3E" w:rsidRPr="007F5BF5">
        <w:rPr>
          <w:sz w:val="20"/>
          <w:szCs w:val="20"/>
          <w:lang w:val="ru-RU"/>
        </w:rPr>
        <w:t xml:space="preserve">на использование </w:t>
      </w:r>
      <w:r w:rsidRPr="007F5BF5">
        <w:rPr>
          <w:sz w:val="20"/>
          <w:szCs w:val="20"/>
          <w:lang w:val="ru-RU"/>
        </w:rPr>
        <w:t xml:space="preserve">ПФАВ могут, таким образом, сократить выбор хладагентов, замедлить внедрение тепловых насосов, снизить энергоэффективность и </w:t>
      </w:r>
      <w:r w:rsidR="00C66A9A" w:rsidRPr="007F5BF5">
        <w:rPr>
          <w:sz w:val="20"/>
          <w:szCs w:val="20"/>
          <w:lang w:val="ru-RU"/>
        </w:rPr>
        <w:t>в итоге</w:t>
      </w:r>
      <w:r w:rsidRPr="007F5BF5">
        <w:rPr>
          <w:sz w:val="20"/>
          <w:szCs w:val="20"/>
          <w:lang w:val="ru-RU"/>
        </w:rPr>
        <w:t xml:space="preserve"> увеличить выбросы парниковых газов.</w:t>
      </w:r>
    </w:p>
    <w:p w14:paraId="601E2EA8" w14:textId="0D58AC41" w:rsidR="003B5B78" w:rsidRPr="007F5BF5" w:rsidRDefault="003B5B78" w:rsidP="007F5BF5">
      <w:pPr>
        <w:pStyle w:val="Normalnumber"/>
        <w:ind w:left="1247"/>
        <w:rPr>
          <w:sz w:val="20"/>
          <w:szCs w:val="20"/>
          <w:lang w:val="ru-RU"/>
        </w:rPr>
      </w:pPr>
      <w:r w:rsidRPr="007F5BF5">
        <w:rPr>
          <w:sz w:val="20"/>
          <w:szCs w:val="20"/>
          <w:lang w:val="ru-RU"/>
        </w:rPr>
        <w:t xml:space="preserve">Еще одну серьезную проблему, отмеченную в докладе, представляют фторполимеры, используемые в холодильном оборудовании, системах кондиционирования воздуха и тепловых насосах. Ввиду их долговечности и химической стойкости эти материалы незаменимы для производства уплотнительных элементов, компрессоров, клапанов, изоляции проводов, теплообменников, покрытий и электроники. </w:t>
      </w:r>
      <w:r w:rsidR="002779D8">
        <w:rPr>
          <w:sz w:val="20"/>
          <w:szCs w:val="20"/>
          <w:lang w:val="ru-RU"/>
        </w:rPr>
        <w:t>О</w:t>
      </w:r>
      <w:r w:rsidRPr="007F5BF5">
        <w:rPr>
          <w:sz w:val="20"/>
          <w:szCs w:val="20"/>
          <w:lang w:val="ru-RU"/>
        </w:rPr>
        <w:t>граничения на применение фторполимеров могут привести к сбоям в производстве в масштабах всей отрасли, независимо от типа используемого хладагента, поскольку для многих систем, работающих на диоксиде углерода, аммиаке или углеводородах, также необходимы фторполимеры.</w:t>
      </w:r>
    </w:p>
    <w:p w14:paraId="32849B16" w14:textId="35C2F5D7" w:rsidR="003B5B78" w:rsidRPr="007F5BF5" w:rsidRDefault="003B5B78" w:rsidP="007F5BF5">
      <w:pPr>
        <w:pStyle w:val="Normalnumber"/>
        <w:ind w:left="1247"/>
        <w:rPr>
          <w:sz w:val="20"/>
          <w:szCs w:val="20"/>
          <w:lang w:val="ru-RU"/>
        </w:rPr>
      </w:pPr>
      <w:r w:rsidRPr="007F5BF5">
        <w:rPr>
          <w:sz w:val="20"/>
          <w:szCs w:val="20"/>
          <w:lang w:val="ru-RU"/>
        </w:rPr>
        <w:t xml:space="preserve">В соответствии с решением </w:t>
      </w:r>
      <w:r w:rsidRPr="007F5BF5">
        <w:rPr>
          <w:sz w:val="20"/>
          <w:szCs w:val="20"/>
        </w:rPr>
        <w:t>XXXV</w:t>
      </w:r>
      <w:r w:rsidRPr="007F5BF5">
        <w:rPr>
          <w:sz w:val="20"/>
          <w:szCs w:val="20"/>
          <w:lang w:val="ru-RU"/>
        </w:rPr>
        <w:t>/3 о потенциальных областях, на которых следует сосредоточиться при подготовке четырехгодичных докладов (2026 год) Группы по оценке экологических последствий, Группы по научной оценке и Группы по техническому обзору и экономической оценке</w:t>
      </w:r>
      <w:r w:rsidR="002779D8" w:rsidRPr="006D6D6A">
        <w:rPr>
          <w:sz w:val="20"/>
          <w:szCs w:val="20"/>
          <w:lang w:val="ru-RU"/>
        </w:rPr>
        <w:t>,</w:t>
      </w:r>
      <w:r w:rsidRPr="007F5BF5">
        <w:rPr>
          <w:sz w:val="20"/>
          <w:szCs w:val="20"/>
          <w:lang w:val="ru-RU"/>
        </w:rPr>
        <w:t xml:space="preserve"> всем группам было предложено включить в их четырехгодичные доклады по итогам оценки за 2026 год информацию о регулируемых веществах, их альтернативах и продуктах распада, в частности о ПФАВ. Группа по техническому обзору и экономической оценке согласовывает с двумя другими группами объем информации по этой теме, подлежащей включению в соответствующие четырехгодичные доклады об оценке. </w:t>
      </w:r>
    </w:p>
    <w:p w14:paraId="363D0EB0" w14:textId="57014C72" w:rsidR="00E62558" w:rsidRPr="00C66A9A" w:rsidRDefault="00E62558" w:rsidP="00F630FD">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right="284" w:firstLine="0"/>
        <w:rPr>
          <w:lang w:val="ru-RU"/>
        </w:rPr>
      </w:pPr>
      <w:r w:rsidRPr="00C66A9A">
        <w:rPr>
          <w:lang w:val="ru-RU"/>
        </w:rPr>
        <w:tab/>
      </w:r>
      <w:r w:rsidRPr="00C66A9A">
        <w:rPr>
          <w:bCs/>
          <w:lang w:val="ru-RU"/>
        </w:rPr>
        <w:t>Пункт 5 повестки дня</w:t>
      </w:r>
    </w:p>
    <w:p w14:paraId="5F694EE0" w14:textId="39ECD571" w:rsidR="00E62558" w:rsidRPr="00C66A9A" w:rsidRDefault="00E62558" w:rsidP="00F630FD">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right="284" w:firstLine="0"/>
        <w:rPr>
          <w:lang w:val="ru-RU"/>
        </w:rPr>
      </w:pPr>
      <w:r w:rsidRPr="00C66A9A">
        <w:rPr>
          <w:lang w:val="ru-RU"/>
        </w:rPr>
        <w:tab/>
      </w:r>
      <w:r w:rsidRPr="00C66A9A">
        <w:rPr>
          <w:bCs/>
          <w:lang w:val="ru-RU"/>
        </w:rPr>
        <w:t>Усиление регионального атмосферного мониторинга веществ, регулируемых в рамках Монреальского протокола (решение XXXVII/1)</w:t>
      </w:r>
    </w:p>
    <w:p w14:paraId="6603D884" w14:textId="41670C8C" w:rsidR="00E62558" w:rsidRPr="009701E2" w:rsidRDefault="0025575A" w:rsidP="009701E2">
      <w:pPr>
        <w:pStyle w:val="Normalnumber"/>
        <w:ind w:left="1247"/>
        <w:rPr>
          <w:sz w:val="20"/>
          <w:szCs w:val="20"/>
          <w:lang w:val="ru-RU"/>
        </w:rPr>
      </w:pPr>
      <w:r w:rsidRPr="009701E2">
        <w:rPr>
          <w:sz w:val="20"/>
          <w:szCs w:val="20"/>
          <w:lang w:val="ru-RU"/>
        </w:rPr>
        <w:t>Как отмечается в записке секретариата (</w:t>
      </w:r>
      <w:r w:rsidRPr="009701E2">
        <w:rPr>
          <w:sz w:val="20"/>
          <w:szCs w:val="20"/>
        </w:rPr>
        <w:t>UNEP</w:t>
      </w:r>
      <w:r w:rsidRPr="009701E2">
        <w:rPr>
          <w:sz w:val="20"/>
          <w:szCs w:val="20"/>
          <w:lang w:val="ru-RU"/>
        </w:rPr>
        <w:t>/</w:t>
      </w:r>
      <w:proofErr w:type="spellStart"/>
      <w:r w:rsidRPr="009701E2">
        <w:rPr>
          <w:sz w:val="20"/>
          <w:szCs w:val="20"/>
        </w:rPr>
        <w:t>OzL</w:t>
      </w:r>
      <w:proofErr w:type="spellEnd"/>
      <w:r w:rsidRPr="009701E2">
        <w:rPr>
          <w:sz w:val="20"/>
          <w:szCs w:val="20"/>
          <w:lang w:val="ru-RU"/>
        </w:rPr>
        <w:t>.</w:t>
      </w:r>
      <w:r w:rsidRPr="009701E2">
        <w:rPr>
          <w:sz w:val="20"/>
          <w:szCs w:val="20"/>
        </w:rPr>
        <w:t>Pro</w:t>
      </w:r>
      <w:r w:rsidRPr="009701E2">
        <w:rPr>
          <w:sz w:val="20"/>
          <w:szCs w:val="20"/>
          <w:lang w:val="ru-RU"/>
        </w:rPr>
        <w:t>.</w:t>
      </w:r>
      <w:r w:rsidRPr="009701E2">
        <w:rPr>
          <w:sz w:val="20"/>
          <w:szCs w:val="20"/>
        </w:rPr>
        <w:t>WG</w:t>
      </w:r>
      <w:r w:rsidRPr="009701E2">
        <w:rPr>
          <w:sz w:val="20"/>
          <w:szCs w:val="20"/>
          <w:lang w:val="ru-RU"/>
        </w:rPr>
        <w:t xml:space="preserve">.1/48/2, пункты 26–30), в решении </w:t>
      </w:r>
      <w:r w:rsidRPr="009701E2">
        <w:rPr>
          <w:sz w:val="20"/>
          <w:szCs w:val="20"/>
        </w:rPr>
        <w:t>XXXVII</w:t>
      </w:r>
      <w:r w:rsidRPr="009701E2">
        <w:rPr>
          <w:sz w:val="20"/>
          <w:szCs w:val="20"/>
          <w:lang w:val="ru-RU"/>
        </w:rPr>
        <w:t>/1 секретариату было поручено представить Рабочей группе открытого состава на ее сорок восьмом совещании а также на тридцать восьмом Совещании Сторон доклад о ходе работы по осуществлению следующих мероприятий и о любых результатах: оценка пригодности потенциальных участков для мониторинга выбросов регулируемых веществ, расположенных в регионах и местах, указанных в информации, представленной Консультативным комитетом Общего целевого фонда для финансирования связанной с Венской конвенцией об охране озонового слоя деятельности по проведению исследований и систематических наблюдений, при добровольном участии заинтересованных сторон и в консультации с ними</w:t>
      </w:r>
      <w:r w:rsidR="00E62558" w:rsidRPr="009701E2">
        <w:rPr>
          <w:sz w:val="20"/>
          <w:szCs w:val="20"/>
          <w:lang w:val="ru-RU"/>
        </w:rPr>
        <w:t>; подготовка, в консультации с заинтересованными Сторонами, выразившими интерес, возможны</w:t>
      </w:r>
      <w:r w:rsidRPr="009701E2">
        <w:rPr>
          <w:sz w:val="20"/>
          <w:szCs w:val="20"/>
          <w:lang w:val="ru-RU"/>
        </w:rPr>
        <w:t xml:space="preserve">х </w:t>
      </w:r>
      <w:r w:rsidR="00E62558" w:rsidRPr="009701E2">
        <w:rPr>
          <w:sz w:val="20"/>
          <w:szCs w:val="20"/>
          <w:lang w:val="ru-RU"/>
        </w:rPr>
        <w:t>дальнейши</w:t>
      </w:r>
      <w:r w:rsidRPr="009701E2">
        <w:rPr>
          <w:sz w:val="20"/>
          <w:szCs w:val="20"/>
          <w:lang w:val="ru-RU"/>
        </w:rPr>
        <w:t>х</w:t>
      </w:r>
      <w:r w:rsidR="00E62558" w:rsidRPr="009701E2">
        <w:rPr>
          <w:sz w:val="20"/>
          <w:szCs w:val="20"/>
          <w:lang w:val="ru-RU"/>
        </w:rPr>
        <w:t xml:space="preserve"> шаг</w:t>
      </w:r>
      <w:r w:rsidRPr="009701E2">
        <w:rPr>
          <w:sz w:val="20"/>
          <w:szCs w:val="20"/>
          <w:lang w:val="ru-RU"/>
        </w:rPr>
        <w:t>ов</w:t>
      </w:r>
      <w:r w:rsidR="00E62558" w:rsidRPr="009701E2">
        <w:rPr>
          <w:sz w:val="20"/>
          <w:szCs w:val="20"/>
          <w:lang w:val="ru-RU"/>
        </w:rPr>
        <w:t xml:space="preserve"> по организации мониторинга на потенциальных участках с учетом приоритетности, представленной Консультативным комитетом на тридцать седьмом Совещании Сторон, и поэтапного подхода к отбору проб, изложенного в добавлении к записке секретариата о вопросах для обсуждения и информации для сведения тридцать седьмого Совещания Сторон (</w:t>
      </w:r>
      <w:r w:rsidR="00E62558" w:rsidRPr="009701E2">
        <w:rPr>
          <w:sz w:val="20"/>
          <w:szCs w:val="20"/>
        </w:rPr>
        <w:t>UNEP</w:t>
      </w:r>
      <w:r w:rsidR="00E62558" w:rsidRPr="009701E2">
        <w:rPr>
          <w:sz w:val="20"/>
          <w:szCs w:val="20"/>
          <w:lang w:val="ru-RU"/>
        </w:rPr>
        <w:t>/</w:t>
      </w:r>
      <w:proofErr w:type="spellStart"/>
      <w:r w:rsidR="00E62558" w:rsidRPr="009701E2">
        <w:rPr>
          <w:sz w:val="20"/>
          <w:szCs w:val="20"/>
        </w:rPr>
        <w:t>OzL</w:t>
      </w:r>
      <w:proofErr w:type="spellEnd"/>
      <w:r w:rsidR="00E62558" w:rsidRPr="009701E2">
        <w:rPr>
          <w:sz w:val="20"/>
          <w:szCs w:val="20"/>
          <w:lang w:val="ru-RU"/>
        </w:rPr>
        <w:t>.</w:t>
      </w:r>
      <w:r w:rsidR="00E62558" w:rsidRPr="009701E2">
        <w:rPr>
          <w:sz w:val="20"/>
          <w:szCs w:val="20"/>
        </w:rPr>
        <w:t>Pro</w:t>
      </w:r>
      <w:r w:rsidR="00E62558" w:rsidRPr="009701E2">
        <w:rPr>
          <w:sz w:val="20"/>
          <w:szCs w:val="20"/>
          <w:lang w:val="ru-RU"/>
        </w:rPr>
        <w:t>.37/2/</w:t>
      </w:r>
      <w:r w:rsidR="00E62558" w:rsidRPr="009701E2">
        <w:rPr>
          <w:sz w:val="20"/>
          <w:szCs w:val="20"/>
        </w:rPr>
        <w:t>Add</w:t>
      </w:r>
      <w:r w:rsidR="00E62558" w:rsidRPr="009701E2">
        <w:rPr>
          <w:sz w:val="20"/>
          <w:szCs w:val="20"/>
          <w:lang w:val="ru-RU"/>
        </w:rPr>
        <w:t xml:space="preserve">.1). </w:t>
      </w:r>
      <w:r w:rsidRPr="009701E2">
        <w:rPr>
          <w:sz w:val="20"/>
          <w:szCs w:val="20"/>
          <w:lang w:val="ru-RU"/>
        </w:rPr>
        <w:t xml:space="preserve">В целях поддержки этих мероприятий </w:t>
      </w:r>
      <w:r w:rsidR="00F630FD" w:rsidRPr="009701E2">
        <w:rPr>
          <w:sz w:val="20"/>
          <w:szCs w:val="20"/>
          <w:lang w:val="ru-RU"/>
        </w:rPr>
        <w:t xml:space="preserve">секретариату </w:t>
      </w:r>
      <w:r w:rsidRPr="009701E2">
        <w:rPr>
          <w:sz w:val="20"/>
          <w:szCs w:val="20"/>
          <w:lang w:val="ru-RU"/>
        </w:rPr>
        <w:t>было разрешено в порядке исключения использовать статью бюджета на 2026 год в размере 100 000 долл</w:t>
      </w:r>
      <w:r w:rsidR="00F630FD">
        <w:rPr>
          <w:sz w:val="20"/>
          <w:szCs w:val="20"/>
          <w:lang w:val="ru-RU"/>
        </w:rPr>
        <w:t>. США</w:t>
      </w:r>
      <w:r w:rsidRPr="009701E2">
        <w:rPr>
          <w:sz w:val="20"/>
          <w:szCs w:val="20"/>
          <w:lang w:val="ru-RU"/>
        </w:rPr>
        <w:t>, выделенных из остатка кассовых средств Целевого фонда для Монреальского протокола</w:t>
      </w:r>
      <w:r w:rsidR="00E62558" w:rsidRPr="009701E2">
        <w:rPr>
          <w:sz w:val="20"/>
          <w:szCs w:val="20"/>
          <w:lang w:val="ru-RU"/>
        </w:rPr>
        <w:t>.</w:t>
      </w:r>
      <w:r w:rsidRPr="009701E2">
        <w:rPr>
          <w:color w:val="333333"/>
          <w:sz w:val="20"/>
          <w:szCs w:val="20"/>
          <w:shd w:val="clear" w:color="auto" w:fill="FFFFFF"/>
          <w:lang w:val="ru-RU"/>
        </w:rPr>
        <w:t xml:space="preserve"> </w:t>
      </w:r>
      <w:r w:rsidRPr="009701E2">
        <w:rPr>
          <w:sz w:val="20"/>
          <w:szCs w:val="20"/>
          <w:lang w:val="ru-RU"/>
        </w:rPr>
        <w:t>В следующих пунктах приводится краткое изложение доклада секретариата о ходе работы.</w:t>
      </w:r>
      <w:r w:rsidR="00E62558" w:rsidRPr="009701E2">
        <w:rPr>
          <w:sz w:val="20"/>
          <w:szCs w:val="20"/>
          <w:lang w:val="ru-RU"/>
        </w:rPr>
        <w:t xml:space="preserve"> </w:t>
      </w:r>
    </w:p>
    <w:p w14:paraId="41D144DA" w14:textId="232C308C" w:rsidR="00B93154" w:rsidRPr="009701E2" w:rsidRDefault="00B93154" w:rsidP="009701E2">
      <w:pPr>
        <w:pStyle w:val="Normalnumber"/>
        <w:ind w:left="1247"/>
        <w:rPr>
          <w:sz w:val="20"/>
          <w:szCs w:val="20"/>
          <w:lang w:val="ru-RU"/>
        </w:rPr>
      </w:pPr>
      <w:r w:rsidRPr="009701E2">
        <w:rPr>
          <w:sz w:val="20"/>
          <w:szCs w:val="20"/>
          <w:lang w:val="ru-RU"/>
        </w:rPr>
        <w:lastRenderedPageBreak/>
        <w:t xml:space="preserve">В соответствии с решением </w:t>
      </w:r>
      <w:r w:rsidRPr="009701E2">
        <w:rPr>
          <w:sz w:val="20"/>
          <w:szCs w:val="20"/>
        </w:rPr>
        <w:t>XXXVII</w:t>
      </w:r>
      <w:r w:rsidRPr="009701E2">
        <w:rPr>
          <w:sz w:val="20"/>
          <w:szCs w:val="20"/>
          <w:lang w:val="ru-RU"/>
        </w:rPr>
        <w:t>/1 и по итогам тридцать седьмого Совещания Сторон секретариат продолжил анализ существующих участков для мониторинга и имеющейся инфраструктуры, уделяя особое внимание пяти регионам, определенны</w:t>
      </w:r>
      <w:r w:rsidR="002779D8">
        <w:rPr>
          <w:sz w:val="20"/>
          <w:szCs w:val="20"/>
          <w:lang w:val="ru-RU"/>
        </w:rPr>
        <w:t>м</w:t>
      </w:r>
      <w:r w:rsidRPr="009701E2">
        <w:rPr>
          <w:sz w:val="20"/>
          <w:szCs w:val="20"/>
          <w:lang w:val="ru-RU"/>
        </w:rPr>
        <w:t xml:space="preserve"> Консультативным комитетом в качестве приоритетных. В координации с секретариатом Всемирной метеорологической организации (ВМО) сотрудник секретариата по озону посетил штаб</w:t>
      </w:r>
      <w:r w:rsidR="008D2DAF">
        <w:rPr>
          <w:sz w:val="20"/>
          <w:szCs w:val="20"/>
          <w:lang w:val="ru-RU"/>
        </w:rPr>
        <w:noBreakHyphen/>
      </w:r>
      <w:r w:rsidRPr="009701E2">
        <w:rPr>
          <w:sz w:val="20"/>
          <w:szCs w:val="20"/>
          <w:lang w:val="ru-RU"/>
        </w:rPr>
        <w:t>квартиру ВМО в Женеве в конце 2025 года и совместно с экспертами ВМО провел работу по выявлению подходящих существующих станций и соответствующей инфраструктуры в рамках сети Глобальной службы атмосферы и других координируемых ВМО сетей. В ходе оценки также учитывал</w:t>
      </w:r>
      <w:r w:rsidR="002779D8">
        <w:rPr>
          <w:sz w:val="20"/>
          <w:szCs w:val="20"/>
          <w:lang w:val="ru-RU"/>
        </w:rPr>
        <w:t>и</w:t>
      </w:r>
      <w:r w:rsidRPr="009701E2">
        <w:rPr>
          <w:sz w:val="20"/>
          <w:szCs w:val="20"/>
          <w:lang w:val="ru-RU"/>
        </w:rPr>
        <w:t>сь наличие местного технического и научного потенциала, необходимого для обеспечения деятельности по проведению измерений. Результаты этой работы были представлены Консультативному комитету на его двадцатом совещании, организованном секретариатом 9 марта 2026 года в онлайновом режиме.</w:t>
      </w:r>
    </w:p>
    <w:p w14:paraId="2B4BE202" w14:textId="35C224DE" w:rsidR="00B93154" w:rsidRPr="009701E2" w:rsidRDefault="00B93154" w:rsidP="009701E2">
      <w:pPr>
        <w:pStyle w:val="Normalnumber"/>
        <w:ind w:left="1247"/>
        <w:rPr>
          <w:sz w:val="20"/>
          <w:szCs w:val="20"/>
          <w:lang w:val="ru-RU"/>
        </w:rPr>
      </w:pPr>
      <w:r w:rsidRPr="009701E2">
        <w:rPr>
          <w:sz w:val="20"/>
          <w:szCs w:val="20"/>
          <w:lang w:val="ru-RU"/>
        </w:rPr>
        <w:t>Приняв к сведению результаты работы секретариата и вклад ВМО, Консультативный комитет подчеркнул, помимо прочего, важность обеспечения устойчивого научного потенциала для обслуживания измерительных приборов, особенно применительно к долгосрочным измерениям, проводимым на станциях мониторинга. Комитет также пришел к выводу о том, что следующий этап работы следует посвятить изучению заинтересованности Сторон в приоритетных регионах в организации таких мероприятий по мониторингу на своей территории.</w:t>
      </w:r>
    </w:p>
    <w:p w14:paraId="0118F6D6" w14:textId="37F0C581" w:rsidR="00B93154" w:rsidRPr="009701E2" w:rsidRDefault="00B93154" w:rsidP="009701E2">
      <w:pPr>
        <w:pStyle w:val="Normalnumber"/>
        <w:ind w:left="1247"/>
        <w:rPr>
          <w:sz w:val="20"/>
          <w:szCs w:val="20"/>
          <w:lang w:val="ru-RU"/>
        </w:rPr>
      </w:pPr>
      <w:r w:rsidRPr="009701E2">
        <w:rPr>
          <w:sz w:val="20"/>
          <w:szCs w:val="20"/>
          <w:lang w:val="ru-RU"/>
        </w:rPr>
        <w:t xml:space="preserve">Сопредседатель Консультативного комитета провел неофициальные консультации со страновыми представителями и учеными в пяти странах, расположенных в пяти приоритетных регионах, при содействии секретариата. Эти обсуждения были организованы с целью </w:t>
      </w:r>
      <w:r w:rsidR="005C4F3E" w:rsidRPr="009701E2">
        <w:rPr>
          <w:sz w:val="20"/>
          <w:szCs w:val="20"/>
          <w:lang w:val="ru-RU"/>
        </w:rPr>
        <w:t xml:space="preserve">прояснить </w:t>
      </w:r>
      <w:r w:rsidRPr="009701E2">
        <w:rPr>
          <w:sz w:val="20"/>
          <w:szCs w:val="20"/>
          <w:lang w:val="ru-RU"/>
        </w:rPr>
        <w:t xml:space="preserve">технические и научные вопросы, связанные с возможным созданием станций мониторинга, на основе ранее подготовленных документов, а также получить более полное представление о соответствующих национальных условиях. По итогам консультаций и к моменту подготовки настоящего добавления секретариат получил от двух Сторон выражения заинтересованности в дальнейшем обсуждении возможности создать станции мониторинга в их странах. </w:t>
      </w:r>
    </w:p>
    <w:p w14:paraId="63E7D15B" w14:textId="35FB9145" w:rsidR="00E62558" w:rsidRPr="009701E2" w:rsidRDefault="00B93154" w:rsidP="009701E2">
      <w:pPr>
        <w:pStyle w:val="Normalnumber"/>
        <w:ind w:left="1247"/>
        <w:rPr>
          <w:sz w:val="20"/>
          <w:szCs w:val="20"/>
          <w:lang w:val="ru-RU"/>
        </w:rPr>
      </w:pPr>
      <w:r w:rsidRPr="009701E2">
        <w:rPr>
          <w:sz w:val="20"/>
          <w:szCs w:val="20"/>
          <w:lang w:val="ru-RU"/>
        </w:rPr>
        <w:t>Кроме того, в связи с объявленным секретариатом на тридцать седьмом Совещании Сторон намерением разработать интерактивный и удобный в использовании онлайновый инструмент для оценки расходов на создание и эксплуатацию станции мониторинга, первая версия инструмента будет представлена на сорок восьмом совещании Рабочей группы открытого состава с целью предложить Сторонам испытать ее и направить в секретариат замечания и предложения, которые помогут подготовить окончательную версию и выпустить ее на тридцать восьмом Совещании Сторон.</w:t>
      </w:r>
    </w:p>
    <w:p w14:paraId="4F5780D3" w14:textId="77777777" w:rsidR="00E62558" w:rsidRPr="009701E2" w:rsidRDefault="00E62558" w:rsidP="009701E2">
      <w:pPr>
        <w:pStyle w:val="Normalnumber"/>
        <w:spacing w:after="240"/>
        <w:ind w:left="1247"/>
        <w:rPr>
          <w:color w:val="000000" w:themeColor="text1"/>
          <w:sz w:val="20"/>
          <w:szCs w:val="20"/>
          <w:lang w:val="ru-RU"/>
        </w:rPr>
      </w:pPr>
      <w:r w:rsidRPr="009701E2">
        <w:rPr>
          <w:sz w:val="20"/>
          <w:szCs w:val="20"/>
          <w:lang w:val="ru-RU"/>
        </w:rPr>
        <w:t>Рабочая группа открытого состава, возможно, пожелает рассмотреть доклад и предложить рекомендации в отношении дальнейших действий.</w:t>
      </w:r>
    </w:p>
    <w:p w14:paraId="6AF606A7" w14:textId="5E2E4155" w:rsidR="00E62558" w:rsidRPr="00C66A9A" w:rsidRDefault="009701E2" w:rsidP="009701E2">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sidRPr="002779D8">
        <w:rPr>
          <w:bCs/>
          <w:lang w:val="ru-RU"/>
        </w:rPr>
        <w:tab/>
      </w:r>
      <w:r w:rsidR="00E62558" w:rsidRPr="00C66A9A">
        <w:rPr>
          <w:bCs/>
          <w:lang w:val="ru-RU"/>
        </w:rPr>
        <w:t>III.</w:t>
      </w:r>
      <w:r w:rsidR="00E62558" w:rsidRPr="00C66A9A">
        <w:rPr>
          <w:lang w:val="ru-RU"/>
        </w:rPr>
        <w:tab/>
      </w:r>
      <w:r w:rsidR="00E62558" w:rsidRPr="00C66A9A">
        <w:rPr>
          <w:bCs/>
          <w:lang w:val="ru-RU"/>
        </w:rPr>
        <w:t>Актуальные вопросы для тридцать восьмого Совещания Сторон, включая обновленную информацию о выполнении ранее принятых решений</w:t>
      </w:r>
    </w:p>
    <w:p w14:paraId="7B6A1300" w14:textId="6477B1EF" w:rsidR="00E62558" w:rsidRPr="00C66A9A" w:rsidRDefault="009701E2" w:rsidP="009701E2">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2779D8">
        <w:rPr>
          <w:bCs/>
          <w:lang w:val="ru-RU"/>
        </w:rPr>
        <w:tab/>
      </w:r>
      <w:r w:rsidR="00E62558" w:rsidRPr="00C66A9A">
        <w:rPr>
          <w:bCs/>
          <w:lang w:val="ru-RU"/>
        </w:rPr>
        <w:t>A.</w:t>
      </w:r>
      <w:r w:rsidR="00E62558" w:rsidRPr="00C66A9A">
        <w:rPr>
          <w:lang w:val="ru-RU"/>
        </w:rPr>
        <w:tab/>
      </w:r>
      <w:r w:rsidR="00E62558" w:rsidRPr="00C66A9A">
        <w:rPr>
          <w:bCs/>
          <w:lang w:val="ru-RU"/>
        </w:rPr>
        <w:t>Рециркулированные, использованные и невостребованные регулируемые вещества (решения XXXVII/3, пункт 3, XXXVII/4, пункт</w:t>
      </w:r>
      <w:r>
        <w:rPr>
          <w:bCs/>
          <w:lang w:val="en-US"/>
        </w:rPr>
        <w:t> </w:t>
      </w:r>
      <w:r w:rsidR="00E62558" w:rsidRPr="00C66A9A">
        <w:rPr>
          <w:bCs/>
          <w:lang w:val="ru-RU"/>
        </w:rPr>
        <w:t>3, и XXXVI/7, пункт 5)</w:t>
      </w:r>
    </w:p>
    <w:p w14:paraId="2F67DB37" w14:textId="219233A3" w:rsidR="00E62558" w:rsidRPr="009701E2" w:rsidRDefault="00E62558" w:rsidP="00152721">
      <w:pPr>
        <w:pStyle w:val="Normalnumber"/>
        <w:tabs>
          <w:tab w:val="left" w:pos="624"/>
        </w:tabs>
        <w:ind w:left="1247"/>
        <w:rPr>
          <w:sz w:val="20"/>
          <w:szCs w:val="20"/>
          <w:lang w:val="ru-RU"/>
        </w:rPr>
      </w:pPr>
      <w:r w:rsidRPr="009701E2">
        <w:rPr>
          <w:sz w:val="20"/>
          <w:szCs w:val="20"/>
          <w:lang w:val="ru-RU"/>
        </w:rPr>
        <w:t>Как указано в записке секретариата (UNEP/OzL.Pro.WG.1/48/2, пункты 47–48), в пункте</w:t>
      </w:r>
      <w:r w:rsidR="009701E2">
        <w:rPr>
          <w:sz w:val="20"/>
          <w:szCs w:val="20"/>
        </w:rPr>
        <w:t> </w:t>
      </w:r>
      <w:r w:rsidRPr="009701E2">
        <w:rPr>
          <w:sz w:val="20"/>
          <w:szCs w:val="20"/>
          <w:lang w:val="ru-RU"/>
        </w:rPr>
        <w:t xml:space="preserve">3 решения XXXVII/3 тридцать седьмое Совещание Сторон предложило Сторонам на добровольной основе представить в секретариат по озону не позднее 31 мая 2026 года информацию о действующих объектах по восстановлению и уничтожению и, при наличии, о соответствующих мощностях этих объектов, включая информацию </w:t>
      </w:r>
      <w:r w:rsidR="00C66A9A" w:rsidRPr="009701E2">
        <w:rPr>
          <w:sz w:val="20"/>
          <w:szCs w:val="20"/>
          <w:lang w:val="ru-RU"/>
        </w:rPr>
        <w:t>о выявлении</w:t>
      </w:r>
      <w:r w:rsidRPr="009701E2">
        <w:rPr>
          <w:sz w:val="20"/>
          <w:szCs w:val="20"/>
          <w:lang w:val="ru-RU"/>
        </w:rPr>
        <w:t xml:space="preserve"> действующих объектов по восстановлению и уничтожению, которые могут принимать отработанные хладагенты из других стран, а также об условиях, связанных с экспортом отработанных хладагентов для удаления </w:t>
      </w:r>
      <w:r w:rsidR="00C66A9A" w:rsidRPr="009701E2">
        <w:rPr>
          <w:sz w:val="20"/>
          <w:szCs w:val="20"/>
          <w:lang w:val="ru-RU"/>
        </w:rPr>
        <w:t>при помощи</w:t>
      </w:r>
      <w:r w:rsidRPr="009701E2">
        <w:rPr>
          <w:sz w:val="20"/>
          <w:szCs w:val="20"/>
          <w:lang w:val="ru-RU"/>
        </w:rPr>
        <w:t xml:space="preserve"> таких объектов с учетом любых законодательных ограничений в отношении трансграничных перевозок. В том же пункте секретариату было поручено представить эту информацию Сторонам. </w:t>
      </w:r>
    </w:p>
    <w:p w14:paraId="3E519C54" w14:textId="65260674" w:rsidR="00E62558" w:rsidRPr="009701E2" w:rsidRDefault="00B93154" w:rsidP="00152721">
      <w:pPr>
        <w:pStyle w:val="Normalnumber"/>
        <w:tabs>
          <w:tab w:val="left" w:pos="624"/>
        </w:tabs>
        <w:ind w:left="1247"/>
        <w:rPr>
          <w:sz w:val="20"/>
          <w:szCs w:val="20"/>
          <w:lang w:val="ru-RU"/>
        </w:rPr>
      </w:pPr>
      <w:r w:rsidRPr="009701E2">
        <w:rPr>
          <w:sz w:val="20"/>
          <w:szCs w:val="20"/>
          <w:lang w:val="ru-RU"/>
        </w:rPr>
        <w:t xml:space="preserve">На момент подготовки настоящего доклада шесть Сторон, а именно, Австралия, </w:t>
      </w:r>
      <w:r w:rsidR="00C66A9A" w:rsidRPr="009701E2">
        <w:rPr>
          <w:sz w:val="20"/>
          <w:szCs w:val="20"/>
          <w:lang w:val="ru-RU"/>
        </w:rPr>
        <w:t xml:space="preserve">Аргентина, </w:t>
      </w:r>
      <w:r w:rsidRPr="009701E2">
        <w:rPr>
          <w:sz w:val="20"/>
          <w:szCs w:val="20"/>
          <w:lang w:val="ru-RU"/>
        </w:rPr>
        <w:t xml:space="preserve">Канада, Европейский союз, Перу и Соединенные Штаты Америки, представили информацию в соответствии с пунктом 3 решения. Полученные материалы были направлены на </w:t>
      </w:r>
      <w:r w:rsidRPr="009701E2">
        <w:rPr>
          <w:sz w:val="20"/>
          <w:szCs w:val="20"/>
          <w:lang w:val="ru-RU"/>
        </w:rPr>
        <w:lastRenderedPageBreak/>
        <w:t>рассмотрение Группы по техническому обзору и экономической оценке. Как предусмотрено в решении, представленная информация будет в надлежащее время размещена на веб-сайте секретариата</w:t>
      </w:r>
      <w:r w:rsidR="00E62558" w:rsidRPr="009701E2">
        <w:rPr>
          <w:sz w:val="20"/>
          <w:szCs w:val="20"/>
          <w:lang w:val="ru-RU"/>
        </w:rPr>
        <w:t>.</w:t>
      </w:r>
    </w:p>
    <w:p w14:paraId="5BE72A11" w14:textId="69CC80B6" w:rsidR="00E62558" w:rsidRPr="00C66A9A" w:rsidRDefault="009701E2" w:rsidP="009701E2">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2779D8">
        <w:rPr>
          <w:bCs/>
          <w:lang w:val="ru-RU"/>
        </w:rPr>
        <w:tab/>
      </w:r>
      <w:r w:rsidR="00E62558" w:rsidRPr="00C66A9A">
        <w:rPr>
          <w:bCs/>
          <w:lang w:val="ru-RU"/>
        </w:rPr>
        <w:t>B.</w:t>
      </w:r>
      <w:r w:rsidR="00E62558" w:rsidRPr="00C66A9A">
        <w:rPr>
          <w:lang w:val="ru-RU"/>
        </w:rPr>
        <w:tab/>
      </w:r>
      <w:r w:rsidR="00E62558" w:rsidRPr="00C66A9A">
        <w:rPr>
          <w:bCs/>
          <w:lang w:val="ru-RU"/>
        </w:rPr>
        <w:t>Национальные и региональные инициативы в поддержку осуществления Кигалийской поправки к Монреальскому протоколу (решение XXXVII/5)</w:t>
      </w:r>
    </w:p>
    <w:p w14:paraId="4E45A910" w14:textId="08EAE1B8" w:rsidR="00E62558" w:rsidRPr="009701E2" w:rsidRDefault="00E62558" w:rsidP="009A08F3">
      <w:pPr>
        <w:pStyle w:val="Normalnumber"/>
        <w:ind w:left="1247"/>
        <w:rPr>
          <w:sz w:val="20"/>
          <w:szCs w:val="20"/>
          <w:lang w:val="ru-RU"/>
        </w:rPr>
      </w:pPr>
      <w:r w:rsidRPr="009701E2">
        <w:rPr>
          <w:sz w:val="20"/>
          <w:szCs w:val="20"/>
          <w:lang w:val="ru-RU"/>
        </w:rPr>
        <w:t xml:space="preserve">Как указано в записке </w:t>
      </w:r>
      <w:r w:rsidR="007A1303" w:rsidRPr="009701E2">
        <w:rPr>
          <w:sz w:val="20"/>
          <w:szCs w:val="20"/>
          <w:lang w:val="ru-RU"/>
        </w:rPr>
        <w:t>с</w:t>
      </w:r>
      <w:r w:rsidRPr="009701E2">
        <w:rPr>
          <w:sz w:val="20"/>
          <w:szCs w:val="20"/>
          <w:lang w:val="ru-RU"/>
        </w:rPr>
        <w:t xml:space="preserve">екретариата (UNEP/OzL.Pro.WG.1/48/2, пункты 45 и 46), в пункте 1 решения XXXVII/5 тридцать седьмое Совещание Сторон предложило Сторонам представить в секретариат по озону не позднее 1 июня 2026 года информацию, в том числе о мерах политики, мероприятиях и основных извлеченных уроках, в отношении центров передового опыта в вопросах устойчивого охлаждения и испытательных центров в сфере энергоэффективности в связи с </w:t>
      </w:r>
      <w:r w:rsidR="00C66A9A" w:rsidRPr="009701E2">
        <w:rPr>
          <w:sz w:val="20"/>
          <w:szCs w:val="20"/>
          <w:lang w:val="ru-RU"/>
        </w:rPr>
        <w:t>осуществлением</w:t>
      </w:r>
      <w:r w:rsidRPr="009701E2">
        <w:rPr>
          <w:sz w:val="20"/>
          <w:szCs w:val="20"/>
          <w:lang w:val="ru-RU"/>
        </w:rPr>
        <w:t xml:space="preserve"> Кигалийской поправки. </w:t>
      </w:r>
    </w:p>
    <w:p w14:paraId="1646DDD4" w14:textId="75252C38" w:rsidR="00B93154" w:rsidRPr="009701E2" w:rsidRDefault="00B93154" w:rsidP="009A08F3">
      <w:pPr>
        <w:pStyle w:val="Normalnumber"/>
        <w:ind w:left="1247"/>
        <w:rPr>
          <w:sz w:val="20"/>
          <w:szCs w:val="20"/>
          <w:lang w:val="ru-RU"/>
        </w:rPr>
      </w:pPr>
      <w:r w:rsidRPr="009701E2">
        <w:rPr>
          <w:sz w:val="20"/>
          <w:szCs w:val="20"/>
          <w:lang w:val="ru-RU"/>
        </w:rPr>
        <w:t>На момент подготовки настоящего добавления 21 Сторона, а именно Армения, Буркина</w:t>
      </w:r>
      <w:r w:rsidR="009701E2" w:rsidRPr="002779D8">
        <w:rPr>
          <w:sz w:val="20"/>
          <w:szCs w:val="20"/>
          <w:lang w:val="ru-RU"/>
        </w:rPr>
        <w:noBreakHyphen/>
      </w:r>
      <w:r w:rsidRPr="009701E2">
        <w:rPr>
          <w:sz w:val="20"/>
          <w:szCs w:val="20"/>
          <w:lang w:val="ru-RU"/>
        </w:rPr>
        <w:t>Фасо, Вануату, Гаити, Грузия, Зимбабве, Иордания, Катар, Кения, Китай, Колумбия, Либерия, Мали, Нигерия, Оман, Перу, Словакия, Соединенное Королевство Великобритании и Северной Ирландии, Сомали, Тувалу и Эквадор, представили такую информацию. Секретариат систематизирует и обобщит представленную информацию и направит ее на рассмотрение тридцать восьмого Совещания Сторон.</w:t>
      </w:r>
    </w:p>
    <w:p w14:paraId="756330C3" w14:textId="77777777" w:rsidR="000C0073" w:rsidRDefault="000C0073" w:rsidP="009A08F3">
      <w:pPr>
        <w:pStyle w:val="Normalnumber"/>
        <w:numPr>
          <w:ilvl w:val="0"/>
          <w:numId w:val="0"/>
        </w:numPr>
        <w:ind w:left="1247"/>
        <w:rPr>
          <w:sz w:val="20"/>
          <w:szCs w:val="20"/>
          <w:lang w:val="ru-RU"/>
        </w:rPr>
        <w:sectPr w:rsidR="000C0073" w:rsidSect="00750FFD">
          <w:headerReference w:type="even" r:id="rId12"/>
          <w:headerReference w:type="default" r:id="rId13"/>
          <w:footerReference w:type="even" r:id="rId14"/>
          <w:footerReference w:type="default" r:id="rId15"/>
          <w:footerReference w:type="first" r:id="rId16"/>
          <w:pgSz w:w="11907" w:h="16839" w:code="9"/>
          <w:pgMar w:top="907" w:right="992" w:bottom="1418" w:left="1418" w:header="539" w:footer="975" w:gutter="0"/>
          <w:cols w:space="539"/>
          <w:titlePg/>
          <w:docGrid w:linePitch="360"/>
        </w:sectPr>
      </w:pPr>
    </w:p>
    <w:p w14:paraId="0A45396A" w14:textId="77777777" w:rsidR="00295439" w:rsidRPr="003A2354" w:rsidRDefault="00295439" w:rsidP="00787637">
      <w:pPr>
        <w:pStyle w:val="ZZAnxheader"/>
        <w:tabs>
          <w:tab w:val="clear" w:pos="624"/>
          <w:tab w:val="clear" w:pos="1247"/>
          <w:tab w:val="clear" w:pos="1871"/>
          <w:tab w:val="clear" w:pos="2495"/>
          <w:tab w:val="clear" w:pos="3119"/>
          <w:tab w:val="clear" w:pos="3742"/>
          <w:tab w:val="clear" w:pos="4366"/>
          <w:tab w:val="clear" w:pos="4990"/>
        </w:tabs>
        <w:spacing w:after="240"/>
        <w:rPr>
          <w:lang w:val="ru-RU"/>
        </w:rPr>
      </w:pPr>
      <w:r>
        <w:rPr>
          <w:lang w:val="ru-RU"/>
        </w:rPr>
        <w:lastRenderedPageBreak/>
        <w:t>Приложение I</w:t>
      </w:r>
      <w:r w:rsidRPr="00581216">
        <w:rPr>
          <w:b w:val="0"/>
          <w:bCs w:val="0"/>
          <w:lang w:val="ru-RU"/>
        </w:rPr>
        <w:footnoteReference w:customMarkFollows="1" w:id="12"/>
        <w:t>*</w:t>
      </w:r>
    </w:p>
    <w:p w14:paraId="1CB851F4" w14:textId="77777777" w:rsidR="00295439" w:rsidRPr="003A2354" w:rsidRDefault="00295439" w:rsidP="00787637">
      <w:pPr>
        <w:pStyle w:val="ZZAnxtitle"/>
        <w:tabs>
          <w:tab w:val="clear" w:pos="624"/>
          <w:tab w:val="clear" w:pos="1247"/>
          <w:tab w:val="clear" w:pos="1871"/>
          <w:tab w:val="clear" w:pos="2495"/>
          <w:tab w:val="clear" w:pos="3119"/>
          <w:tab w:val="clear" w:pos="3742"/>
          <w:tab w:val="clear" w:pos="4366"/>
          <w:tab w:val="clear" w:pos="4990"/>
        </w:tabs>
        <w:spacing w:before="0"/>
        <w:ind w:right="567"/>
        <w:rPr>
          <w:lang w:val="ru-RU"/>
        </w:rPr>
      </w:pPr>
      <w:r>
        <w:rPr>
          <w:lang w:val="ru-RU"/>
        </w:rPr>
        <w:t xml:space="preserve">Доклад Группы по техническому обзору и экономической оценке 2026 года (том 2) </w:t>
      </w:r>
    </w:p>
    <w:p w14:paraId="662CCB30" w14:textId="377E3187" w:rsidR="00295439" w:rsidRPr="003A2354" w:rsidRDefault="00295439" w:rsidP="00787637">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right="567" w:firstLine="0"/>
        <w:rPr>
          <w:lang w:val="ru-RU"/>
        </w:rPr>
      </w:pPr>
      <w:r>
        <w:rPr>
          <w:lang w:val="ru-RU"/>
        </w:rPr>
        <w:tab/>
      </w:r>
      <w:r>
        <w:rPr>
          <w:bCs/>
          <w:lang w:val="ru-RU"/>
        </w:rPr>
        <w:t>Оценка потребностей в финансировании для пополнения Многостороннего фонда на период 2027–2029 годов</w:t>
      </w:r>
      <w:r>
        <w:rPr>
          <w:lang w:val="ru-RU"/>
        </w:rPr>
        <w:t xml:space="preserve"> </w:t>
      </w:r>
    </w:p>
    <w:p w14:paraId="5F7BF090" w14:textId="5F161E8A" w:rsidR="00295439" w:rsidRPr="003A2354" w:rsidRDefault="00295439" w:rsidP="00787637">
      <w:pPr>
        <w:pStyle w:val="CH1"/>
        <w:keepNext w:val="0"/>
        <w:keepLines w:val="0"/>
        <w:tabs>
          <w:tab w:val="clear" w:pos="851"/>
          <w:tab w:val="clear" w:pos="1247"/>
          <w:tab w:val="clear" w:pos="1871"/>
          <w:tab w:val="clear" w:pos="2495"/>
          <w:tab w:val="clear" w:pos="3119"/>
          <w:tab w:val="clear" w:pos="3742"/>
          <w:tab w:val="clear" w:pos="4366"/>
          <w:tab w:val="clear" w:pos="4990"/>
        </w:tabs>
        <w:spacing w:before="0"/>
        <w:ind w:right="567" w:firstLine="0"/>
        <w:rPr>
          <w:lang w:val="ru-RU"/>
        </w:rPr>
      </w:pPr>
      <w:r>
        <w:rPr>
          <w:lang w:val="ru-RU"/>
        </w:rPr>
        <w:tab/>
      </w:r>
      <w:r>
        <w:rPr>
          <w:bCs/>
          <w:lang w:val="ru-RU"/>
        </w:rPr>
        <w:t>Краткое изложение</w:t>
      </w:r>
    </w:p>
    <w:p w14:paraId="30C8B561" w14:textId="77777777" w:rsidR="00295439" w:rsidRPr="003A2354" w:rsidRDefault="00295439" w:rsidP="00295439">
      <w:pPr>
        <w:pStyle w:val="NormalNonumber"/>
        <w:rPr>
          <w:rFonts w:eastAsia="SimSun"/>
          <w:lang w:val="ru-RU"/>
        </w:rPr>
      </w:pPr>
      <w:r>
        <w:rPr>
          <w:lang w:val="ru-RU"/>
        </w:rPr>
        <w:t>Многосторонний фонд Монреальского протокола (МФ) пополнялся одиннадцать раз с момента первоначальной капитализации в размере 240 млн долл</w:t>
      </w:r>
      <w:r w:rsidRPr="00E35BC8">
        <w:rPr>
          <w:lang w:val="ru-RU"/>
        </w:rPr>
        <w:t>.</w:t>
      </w:r>
      <w:r>
        <w:rPr>
          <w:lang w:val="ru-RU"/>
        </w:rPr>
        <w:t xml:space="preserve"> США на период 1991–1993 годов. Пополнения Многостороннего фонда (МФ) отражены в таблице КИ.1; они включают ожидаемые поступления из МФ и других источников за предыдущий трехгодичный период, обозначаемые как «переходящий остаток», а также проценты, начисленные Фонду в течение данного трехгодичного периода.</w:t>
      </w:r>
    </w:p>
    <w:p w14:paraId="1EE327C0" w14:textId="43E21229" w:rsidR="00295439" w:rsidRPr="001D30BE" w:rsidRDefault="00295439" w:rsidP="00295439">
      <w:pPr>
        <w:pStyle w:val="Titletable"/>
        <w:rPr>
          <w:rFonts w:eastAsiaTheme="minorEastAsia"/>
        </w:rPr>
      </w:pPr>
      <w:r w:rsidRPr="001D30BE">
        <w:rPr>
          <w:b w:val="0"/>
          <w:bCs w:val="0"/>
          <w:lang w:val="ru-RU"/>
        </w:rPr>
        <w:t xml:space="preserve">Таблица КИ.1 </w:t>
      </w:r>
      <w:r w:rsidR="00787637" w:rsidRPr="001D30BE">
        <w:rPr>
          <w:b w:val="0"/>
          <w:bCs w:val="0"/>
          <w:lang w:val="ru-RU"/>
        </w:rPr>
        <w:br/>
      </w:r>
      <w:r w:rsidRPr="001D30BE">
        <w:rPr>
          <w:lang w:val="ru-RU"/>
        </w:rPr>
        <w:t>Пополнение МФ (в долл. США)</w:t>
      </w:r>
      <w:r w:rsidRPr="0092078E">
        <w:rPr>
          <w:b w:val="0"/>
          <w:bCs w:val="0"/>
          <w:lang w:val="ru-RU"/>
        </w:rPr>
        <w:t>*</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1"/>
        <w:gridCol w:w="1661"/>
        <w:gridCol w:w="1661"/>
        <w:gridCol w:w="1662"/>
        <w:gridCol w:w="1662"/>
      </w:tblGrid>
      <w:tr w:rsidR="00295439" w:rsidRPr="00D245AD" w14:paraId="7AAE95D7" w14:textId="77777777" w:rsidTr="0092078E">
        <w:trPr>
          <w:jc w:val="right"/>
        </w:trPr>
        <w:tc>
          <w:tcPr>
            <w:tcW w:w="1661" w:type="dxa"/>
            <w:tcBorders>
              <w:top w:val="single" w:sz="4" w:space="0" w:color="auto"/>
              <w:bottom w:val="single" w:sz="12" w:space="0" w:color="auto"/>
            </w:tcBorders>
            <w:vAlign w:val="bottom"/>
          </w:tcPr>
          <w:p w14:paraId="0B78BE9B" w14:textId="77777777" w:rsidR="00295439" w:rsidRPr="00D245AD" w:rsidRDefault="00295439" w:rsidP="00787637">
            <w:pPr>
              <w:pStyle w:val="Normal-pool-Table"/>
              <w:tabs>
                <w:tab w:val="clear" w:pos="624"/>
                <w:tab w:val="clear" w:pos="1247"/>
                <w:tab w:val="clear" w:pos="1871"/>
                <w:tab w:val="clear" w:pos="2495"/>
                <w:tab w:val="clear" w:pos="3119"/>
                <w:tab w:val="clear" w:pos="3742"/>
                <w:tab w:val="clear" w:pos="4366"/>
                <w:tab w:val="clear" w:pos="4990"/>
              </w:tabs>
              <w:rPr>
                <w:rFonts w:eastAsiaTheme="minorEastAsia"/>
                <w:i/>
                <w:iCs/>
              </w:rPr>
            </w:pPr>
            <w:r>
              <w:rPr>
                <w:i/>
                <w:iCs/>
                <w:color w:val="000000"/>
                <w:lang w:val="ru-RU"/>
              </w:rPr>
              <w:t>Трехгодичный период</w:t>
            </w:r>
          </w:p>
        </w:tc>
        <w:tc>
          <w:tcPr>
            <w:tcW w:w="1661" w:type="dxa"/>
            <w:tcBorders>
              <w:top w:val="single" w:sz="4" w:space="0" w:color="auto"/>
              <w:bottom w:val="single" w:sz="12" w:space="0" w:color="auto"/>
            </w:tcBorders>
            <w:vAlign w:val="bottom"/>
          </w:tcPr>
          <w:p w14:paraId="3234E938" w14:textId="77777777" w:rsidR="00295439" w:rsidRPr="00D245AD"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i/>
                <w:iCs/>
              </w:rPr>
            </w:pPr>
            <w:r>
              <w:rPr>
                <w:i/>
                <w:iCs/>
                <w:color w:val="000000"/>
                <w:lang w:val="ru-RU"/>
              </w:rPr>
              <w:t>Утверждено</w:t>
            </w:r>
            <w:r>
              <w:rPr>
                <w:color w:val="000000"/>
                <w:lang w:val="ru-RU"/>
              </w:rPr>
              <w:t xml:space="preserve"> </w:t>
            </w:r>
          </w:p>
        </w:tc>
        <w:tc>
          <w:tcPr>
            <w:tcW w:w="1661" w:type="dxa"/>
            <w:tcBorders>
              <w:top w:val="single" w:sz="4" w:space="0" w:color="auto"/>
              <w:bottom w:val="single" w:sz="12" w:space="0" w:color="auto"/>
            </w:tcBorders>
            <w:vAlign w:val="bottom"/>
          </w:tcPr>
          <w:p w14:paraId="32E3E9ED" w14:textId="77777777" w:rsidR="00295439" w:rsidRPr="00D245AD"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i/>
                <w:iCs/>
              </w:rPr>
            </w:pPr>
            <w:r>
              <w:rPr>
                <w:i/>
                <w:iCs/>
                <w:color w:val="000000"/>
                <w:lang w:val="ru-RU"/>
              </w:rPr>
              <w:t>Переходящий остаток</w:t>
            </w:r>
          </w:p>
        </w:tc>
        <w:tc>
          <w:tcPr>
            <w:tcW w:w="1662" w:type="dxa"/>
            <w:tcBorders>
              <w:top w:val="single" w:sz="4" w:space="0" w:color="auto"/>
              <w:bottom w:val="single" w:sz="12" w:space="0" w:color="auto"/>
            </w:tcBorders>
            <w:vAlign w:val="bottom"/>
          </w:tcPr>
          <w:p w14:paraId="6C92081B" w14:textId="77777777" w:rsidR="00295439" w:rsidRPr="00D245AD"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i/>
                <w:iCs/>
              </w:rPr>
            </w:pPr>
            <w:r>
              <w:rPr>
                <w:i/>
                <w:iCs/>
                <w:color w:val="000000"/>
                <w:lang w:val="ru-RU"/>
              </w:rPr>
              <w:t>Начисленные проценты</w:t>
            </w:r>
          </w:p>
        </w:tc>
        <w:tc>
          <w:tcPr>
            <w:tcW w:w="1662" w:type="dxa"/>
            <w:tcBorders>
              <w:top w:val="single" w:sz="4" w:space="0" w:color="auto"/>
              <w:bottom w:val="single" w:sz="12" w:space="0" w:color="auto"/>
            </w:tcBorders>
            <w:vAlign w:val="bottom"/>
          </w:tcPr>
          <w:p w14:paraId="394DD9F0" w14:textId="77777777" w:rsidR="00295439" w:rsidRPr="00D245AD"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i/>
                <w:iCs/>
              </w:rPr>
            </w:pPr>
            <w:r>
              <w:rPr>
                <w:i/>
                <w:iCs/>
                <w:color w:val="000000"/>
                <w:lang w:val="ru-RU"/>
              </w:rPr>
              <w:t>Итого, бюджет МФ</w:t>
            </w:r>
          </w:p>
        </w:tc>
      </w:tr>
      <w:tr w:rsidR="00295439" w:rsidRPr="00D245AD" w14:paraId="17297C4F" w14:textId="77777777" w:rsidTr="005B6360">
        <w:trPr>
          <w:jc w:val="right"/>
        </w:trPr>
        <w:tc>
          <w:tcPr>
            <w:tcW w:w="1661" w:type="dxa"/>
            <w:tcBorders>
              <w:top w:val="single" w:sz="12" w:space="0" w:color="auto"/>
            </w:tcBorders>
            <w:vAlign w:val="center"/>
          </w:tcPr>
          <w:p w14:paraId="16B74827" w14:textId="4725D410"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rPr>
                <w:rFonts w:eastAsiaTheme="minorEastAsia"/>
                <w:szCs w:val="18"/>
              </w:rPr>
            </w:pPr>
            <w:r w:rsidRPr="00676F93">
              <w:rPr>
                <w:color w:val="000000"/>
                <w:szCs w:val="18"/>
                <w:lang w:val="ru-RU"/>
              </w:rPr>
              <w:t>1994</w:t>
            </w:r>
            <w:r w:rsidR="00787637" w:rsidRPr="00676F93">
              <w:rPr>
                <w:color w:val="000000"/>
                <w:szCs w:val="18"/>
                <w:lang w:val="en-US"/>
              </w:rPr>
              <w:t>–</w:t>
            </w:r>
            <w:r w:rsidRPr="00676F93">
              <w:rPr>
                <w:color w:val="000000"/>
                <w:szCs w:val="18"/>
                <w:lang w:val="ru-RU"/>
              </w:rPr>
              <w:t>1996</w:t>
            </w:r>
          </w:p>
        </w:tc>
        <w:tc>
          <w:tcPr>
            <w:tcW w:w="1661" w:type="dxa"/>
            <w:tcBorders>
              <w:top w:val="single" w:sz="12" w:space="0" w:color="auto"/>
            </w:tcBorders>
            <w:vAlign w:val="center"/>
          </w:tcPr>
          <w:p w14:paraId="1057BB24"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455 000 000</w:t>
            </w:r>
          </w:p>
        </w:tc>
        <w:tc>
          <w:tcPr>
            <w:tcW w:w="1661" w:type="dxa"/>
            <w:tcBorders>
              <w:top w:val="single" w:sz="12" w:space="0" w:color="auto"/>
            </w:tcBorders>
            <w:vAlign w:val="center"/>
          </w:tcPr>
          <w:p w14:paraId="10B305AF"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55 000 000</w:t>
            </w:r>
          </w:p>
        </w:tc>
        <w:tc>
          <w:tcPr>
            <w:tcW w:w="1662" w:type="dxa"/>
            <w:tcBorders>
              <w:top w:val="single" w:sz="12" w:space="0" w:color="auto"/>
            </w:tcBorders>
            <w:vAlign w:val="center"/>
          </w:tcPr>
          <w:p w14:paraId="3EEDC77E"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н. п.</w:t>
            </w:r>
          </w:p>
        </w:tc>
        <w:tc>
          <w:tcPr>
            <w:tcW w:w="1662" w:type="dxa"/>
            <w:tcBorders>
              <w:top w:val="single" w:sz="12" w:space="0" w:color="auto"/>
            </w:tcBorders>
            <w:vAlign w:val="center"/>
          </w:tcPr>
          <w:p w14:paraId="430AFA19"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510 000 000</w:t>
            </w:r>
          </w:p>
        </w:tc>
      </w:tr>
      <w:tr w:rsidR="00295439" w:rsidRPr="00D245AD" w14:paraId="3D285D21" w14:textId="77777777" w:rsidTr="005B6360">
        <w:trPr>
          <w:jc w:val="right"/>
        </w:trPr>
        <w:tc>
          <w:tcPr>
            <w:tcW w:w="1661" w:type="dxa"/>
            <w:vAlign w:val="center"/>
          </w:tcPr>
          <w:p w14:paraId="2D929367" w14:textId="75B7BB0E"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rPr>
                <w:rFonts w:eastAsiaTheme="minorEastAsia"/>
                <w:szCs w:val="18"/>
              </w:rPr>
            </w:pPr>
            <w:r w:rsidRPr="00676F93">
              <w:rPr>
                <w:color w:val="000000"/>
                <w:szCs w:val="18"/>
                <w:lang w:val="ru-RU"/>
              </w:rPr>
              <w:t>1997</w:t>
            </w:r>
            <w:r w:rsidR="00787637" w:rsidRPr="00676F93">
              <w:rPr>
                <w:color w:val="000000"/>
                <w:szCs w:val="18"/>
                <w:lang w:val="en-US"/>
              </w:rPr>
              <w:t>–</w:t>
            </w:r>
            <w:r w:rsidRPr="00676F93">
              <w:rPr>
                <w:color w:val="000000"/>
                <w:szCs w:val="18"/>
                <w:lang w:val="ru-RU"/>
              </w:rPr>
              <w:t>1999</w:t>
            </w:r>
          </w:p>
        </w:tc>
        <w:tc>
          <w:tcPr>
            <w:tcW w:w="1661" w:type="dxa"/>
            <w:vAlign w:val="center"/>
          </w:tcPr>
          <w:p w14:paraId="6B2DB2CD"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466 000 000</w:t>
            </w:r>
          </w:p>
        </w:tc>
        <w:tc>
          <w:tcPr>
            <w:tcW w:w="1661" w:type="dxa"/>
            <w:vAlign w:val="center"/>
          </w:tcPr>
          <w:p w14:paraId="53316140"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74 000 000</w:t>
            </w:r>
          </w:p>
        </w:tc>
        <w:tc>
          <w:tcPr>
            <w:tcW w:w="1662" w:type="dxa"/>
            <w:vAlign w:val="center"/>
          </w:tcPr>
          <w:p w14:paraId="286CBAFA"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н. п.</w:t>
            </w:r>
          </w:p>
        </w:tc>
        <w:tc>
          <w:tcPr>
            <w:tcW w:w="1662" w:type="dxa"/>
            <w:vAlign w:val="center"/>
          </w:tcPr>
          <w:p w14:paraId="6E4DE3C8"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540 000 000</w:t>
            </w:r>
          </w:p>
        </w:tc>
      </w:tr>
      <w:tr w:rsidR="00295439" w:rsidRPr="00D245AD" w14:paraId="03175107" w14:textId="77777777" w:rsidTr="005B6360">
        <w:trPr>
          <w:jc w:val="right"/>
        </w:trPr>
        <w:tc>
          <w:tcPr>
            <w:tcW w:w="1661" w:type="dxa"/>
            <w:vAlign w:val="center"/>
          </w:tcPr>
          <w:p w14:paraId="50897D00" w14:textId="319740B1"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rPr>
                <w:rFonts w:eastAsiaTheme="minorEastAsia"/>
                <w:szCs w:val="18"/>
              </w:rPr>
            </w:pPr>
            <w:r w:rsidRPr="00676F93">
              <w:rPr>
                <w:color w:val="000000"/>
                <w:szCs w:val="18"/>
                <w:lang w:val="ru-RU"/>
              </w:rPr>
              <w:t>2000</w:t>
            </w:r>
            <w:r w:rsidR="00787637" w:rsidRPr="00676F93">
              <w:rPr>
                <w:color w:val="000000"/>
                <w:szCs w:val="18"/>
                <w:lang w:val="en-US"/>
              </w:rPr>
              <w:t>–</w:t>
            </w:r>
            <w:r w:rsidRPr="00676F93">
              <w:rPr>
                <w:color w:val="000000"/>
                <w:szCs w:val="18"/>
                <w:lang w:val="ru-RU"/>
              </w:rPr>
              <w:t>2002</w:t>
            </w:r>
          </w:p>
        </w:tc>
        <w:tc>
          <w:tcPr>
            <w:tcW w:w="1661" w:type="dxa"/>
            <w:vAlign w:val="center"/>
          </w:tcPr>
          <w:p w14:paraId="458D43D0"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440 000 000</w:t>
            </w:r>
          </w:p>
        </w:tc>
        <w:tc>
          <w:tcPr>
            <w:tcW w:w="1661" w:type="dxa"/>
            <w:vAlign w:val="center"/>
          </w:tcPr>
          <w:p w14:paraId="576F6218"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35 700 000</w:t>
            </w:r>
          </w:p>
        </w:tc>
        <w:tc>
          <w:tcPr>
            <w:tcW w:w="1662" w:type="dxa"/>
            <w:vAlign w:val="center"/>
          </w:tcPr>
          <w:p w14:paraId="67132342"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н. п.</w:t>
            </w:r>
          </w:p>
        </w:tc>
        <w:tc>
          <w:tcPr>
            <w:tcW w:w="1662" w:type="dxa"/>
            <w:vAlign w:val="center"/>
          </w:tcPr>
          <w:p w14:paraId="643C946F"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475 700 000</w:t>
            </w:r>
          </w:p>
        </w:tc>
      </w:tr>
      <w:tr w:rsidR="00295439" w:rsidRPr="00D245AD" w14:paraId="4CCD7D59" w14:textId="77777777" w:rsidTr="005B6360">
        <w:trPr>
          <w:jc w:val="right"/>
        </w:trPr>
        <w:tc>
          <w:tcPr>
            <w:tcW w:w="1661" w:type="dxa"/>
            <w:vAlign w:val="center"/>
          </w:tcPr>
          <w:p w14:paraId="308C1FD5" w14:textId="0157E2F1"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rPr>
                <w:rFonts w:eastAsiaTheme="minorEastAsia"/>
                <w:szCs w:val="18"/>
              </w:rPr>
            </w:pPr>
            <w:r w:rsidRPr="00676F93">
              <w:rPr>
                <w:color w:val="000000"/>
                <w:szCs w:val="18"/>
                <w:lang w:val="ru-RU"/>
              </w:rPr>
              <w:t>2003</w:t>
            </w:r>
            <w:r w:rsidR="00787637" w:rsidRPr="00676F93">
              <w:rPr>
                <w:color w:val="000000"/>
                <w:szCs w:val="18"/>
                <w:lang w:val="en-US"/>
              </w:rPr>
              <w:t>–</w:t>
            </w:r>
            <w:r w:rsidRPr="00676F93">
              <w:rPr>
                <w:color w:val="000000"/>
                <w:szCs w:val="18"/>
                <w:lang w:val="ru-RU"/>
              </w:rPr>
              <w:t>2005</w:t>
            </w:r>
          </w:p>
        </w:tc>
        <w:tc>
          <w:tcPr>
            <w:tcW w:w="1661" w:type="dxa"/>
            <w:vAlign w:val="center"/>
          </w:tcPr>
          <w:p w14:paraId="0AAE0141"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474 000 000</w:t>
            </w:r>
          </w:p>
        </w:tc>
        <w:tc>
          <w:tcPr>
            <w:tcW w:w="1661" w:type="dxa"/>
            <w:vAlign w:val="center"/>
          </w:tcPr>
          <w:p w14:paraId="5072E10C"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76 000 000</w:t>
            </w:r>
          </w:p>
        </w:tc>
        <w:tc>
          <w:tcPr>
            <w:tcW w:w="1662" w:type="dxa"/>
            <w:vAlign w:val="center"/>
          </w:tcPr>
          <w:p w14:paraId="6230594E"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23 000 000</w:t>
            </w:r>
          </w:p>
        </w:tc>
        <w:tc>
          <w:tcPr>
            <w:tcW w:w="1662" w:type="dxa"/>
            <w:vAlign w:val="center"/>
          </w:tcPr>
          <w:p w14:paraId="73DEFE44"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573 000 000</w:t>
            </w:r>
          </w:p>
        </w:tc>
      </w:tr>
      <w:tr w:rsidR="00295439" w:rsidRPr="00D245AD" w14:paraId="22D7F187" w14:textId="77777777" w:rsidTr="005B6360">
        <w:trPr>
          <w:jc w:val="right"/>
        </w:trPr>
        <w:tc>
          <w:tcPr>
            <w:tcW w:w="1661" w:type="dxa"/>
            <w:vAlign w:val="center"/>
          </w:tcPr>
          <w:p w14:paraId="024EA8E9" w14:textId="33C3E36D"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rPr>
                <w:rFonts w:eastAsiaTheme="minorEastAsia"/>
                <w:szCs w:val="18"/>
              </w:rPr>
            </w:pPr>
            <w:r w:rsidRPr="00676F93">
              <w:rPr>
                <w:color w:val="000000"/>
                <w:szCs w:val="18"/>
                <w:lang w:val="ru-RU"/>
              </w:rPr>
              <w:t>2006</w:t>
            </w:r>
            <w:r w:rsidR="00787637" w:rsidRPr="00676F93">
              <w:rPr>
                <w:color w:val="000000"/>
                <w:szCs w:val="18"/>
                <w:lang w:val="en-US"/>
              </w:rPr>
              <w:t>–</w:t>
            </w:r>
            <w:r w:rsidRPr="00676F93">
              <w:rPr>
                <w:color w:val="000000"/>
                <w:szCs w:val="18"/>
                <w:lang w:val="ru-RU"/>
              </w:rPr>
              <w:t>2008</w:t>
            </w:r>
          </w:p>
        </w:tc>
        <w:tc>
          <w:tcPr>
            <w:tcW w:w="1661" w:type="dxa"/>
            <w:vAlign w:val="center"/>
          </w:tcPr>
          <w:p w14:paraId="1EB2A380"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400 400 000</w:t>
            </w:r>
          </w:p>
        </w:tc>
        <w:tc>
          <w:tcPr>
            <w:tcW w:w="1661" w:type="dxa"/>
            <w:vAlign w:val="center"/>
          </w:tcPr>
          <w:p w14:paraId="46372976"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59 600 000</w:t>
            </w:r>
          </w:p>
        </w:tc>
        <w:tc>
          <w:tcPr>
            <w:tcW w:w="1662" w:type="dxa"/>
            <w:vAlign w:val="center"/>
          </w:tcPr>
          <w:p w14:paraId="4D3E7B0B"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10 000 000</w:t>
            </w:r>
          </w:p>
        </w:tc>
        <w:tc>
          <w:tcPr>
            <w:tcW w:w="1662" w:type="dxa"/>
            <w:vAlign w:val="center"/>
          </w:tcPr>
          <w:p w14:paraId="71033367"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470 000 000</w:t>
            </w:r>
          </w:p>
        </w:tc>
      </w:tr>
      <w:tr w:rsidR="00295439" w:rsidRPr="00D245AD" w14:paraId="650FF011" w14:textId="77777777" w:rsidTr="005B6360">
        <w:trPr>
          <w:jc w:val="right"/>
        </w:trPr>
        <w:tc>
          <w:tcPr>
            <w:tcW w:w="1661" w:type="dxa"/>
            <w:vAlign w:val="center"/>
          </w:tcPr>
          <w:p w14:paraId="51598C4D" w14:textId="348B8371"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rPr>
                <w:rFonts w:eastAsiaTheme="minorEastAsia"/>
                <w:szCs w:val="18"/>
              </w:rPr>
            </w:pPr>
            <w:r w:rsidRPr="00676F93">
              <w:rPr>
                <w:color w:val="000000"/>
                <w:szCs w:val="18"/>
                <w:lang w:val="ru-RU"/>
              </w:rPr>
              <w:t>2009</w:t>
            </w:r>
            <w:r w:rsidR="00787637" w:rsidRPr="00676F93">
              <w:rPr>
                <w:color w:val="000000"/>
                <w:szCs w:val="18"/>
                <w:lang w:val="en-US"/>
              </w:rPr>
              <w:t>–</w:t>
            </w:r>
            <w:r w:rsidRPr="00676F93">
              <w:rPr>
                <w:color w:val="000000"/>
                <w:szCs w:val="18"/>
                <w:lang w:val="ru-RU"/>
              </w:rPr>
              <w:t>2011</w:t>
            </w:r>
          </w:p>
        </w:tc>
        <w:tc>
          <w:tcPr>
            <w:tcW w:w="1661" w:type="dxa"/>
            <w:vAlign w:val="center"/>
          </w:tcPr>
          <w:p w14:paraId="73685204"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400 000 000</w:t>
            </w:r>
          </w:p>
        </w:tc>
        <w:tc>
          <w:tcPr>
            <w:tcW w:w="1661" w:type="dxa"/>
            <w:vAlign w:val="center"/>
          </w:tcPr>
          <w:p w14:paraId="041F60D0"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73 900 000</w:t>
            </w:r>
          </w:p>
        </w:tc>
        <w:tc>
          <w:tcPr>
            <w:tcW w:w="1662" w:type="dxa"/>
            <w:vAlign w:val="center"/>
          </w:tcPr>
          <w:p w14:paraId="42D1BAB1"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(16 100 000)</w:t>
            </w:r>
          </w:p>
        </w:tc>
        <w:tc>
          <w:tcPr>
            <w:tcW w:w="1662" w:type="dxa"/>
            <w:vAlign w:val="center"/>
          </w:tcPr>
          <w:p w14:paraId="02F3FBCF"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490 000 000</w:t>
            </w:r>
          </w:p>
        </w:tc>
      </w:tr>
      <w:tr w:rsidR="00295439" w:rsidRPr="00D245AD" w14:paraId="7B748FB8" w14:textId="77777777" w:rsidTr="005B6360">
        <w:trPr>
          <w:jc w:val="right"/>
        </w:trPr>
        <w:tc>
          <w:tcPr>
            <w:tcW w:w="1661" w:type="dxa"/>
            <w:vAlign w:val="center"/>
          </w:tcPr>
          <w:p w14:paraId="2F799B0A" w14:textId="13041881"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rPr>
                <w:rFonts w:eastAsiaTheme="minorEastAsia"/>
                <w:szCs w:val="18"/>
              </w:rPr>
            </w:pPr>
            <w:r w:rsidRPr="00676F93">
              <w:rPr>
                <w:color w:val="000000"/>
                <w:szCs w:val="18"/>
                <w:lang w:val="ru-RU"/>
              </w:rPr>
              <w:t>2012</w:t>
            </w:r>
            <w:r w:rsidR="00787637" w:rsidRPr="00676F93">
              <w:rPr>
                <w:color w:val="000000"/>
                <w:szCs w:val="18"/>
                <w:lang w:val="en-US"/>
              </w:rPr>
              <w:t>–</w:t>
            </w:r>
            <w:r w:rsidRPr="00676F93">
              <w:rPr>
                <w:color w:val="000000"/>
                <w:szCs w:val="18"/>
                <w:lang w:val="ru-RU"/>
              </w:rPr>
              <w:t>2014</w:t>
            </w:r>
          </w:p>
        </w:tc>
        <w:tc>
          <w:tcPr>
            <w:tcW w:w="1661" w:type="dxa"/>
            <w:vAlign w:val="center"/>
          </w:tcPr>
          <w:p w14:paraId="673D9776"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400 000 000</w:t>
            </w:r>
          </w:p>
        </w:tc>
        <w:tc>
          <w:tcPr>
            <w:tcW w:w="1661" w:type="dxa"/>
            <w:vAlign w:val="center"/>
          </w:tcPr>
          <w:p w14:paraId="40E878FC"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34 900 000</w:t>
            </w:r>
          </w:p>
        </w:tc>
        <w:tc>
          <w:tcPr>
            <w:tcW w:w="1662" w:type="dxa"/>
            <w:vAlign w:val="center"/>
          </w:tcPr>
          <w:p w14:paraId="317643B3"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15 100 000</w:t>
            </w:r>
          </w:p>
        </w:tc>
        <w:tc>
          <w:tcPr>
            <w:tcW w:w="1662" w:type="dxa"/>
            <w:vAlign w:val="center"/>
          </w:tcPr>
          <w:p w14:paraId="210FEFF0"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450 000 000</w:t>
            </w:r>
          </w:p>
        </w:tc>
      </w:tr>
      <w:tr w:rsidR="00295439" w:rsidRPr="00D245AD" w14:paraId="06C92A72" w14:textId="77777777" w:rsidTr="005B6360">
        <w:trPr>
          <w:jc w:val="right"/>
        </w:trPr>
        <w:tc>
          <w:tcPr>
            <w:tcW w:w="1661" w:type="dxa"/>
            <w:vAlign w:val="center"/>
          </w:tcPr>
          <w:p w14:paraId="41BA7543" w14:textId="03048816"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rPr>
                <w:rFonts w:eastAsiaTheme="minorEastAsia"/>
                <w:szCs w:val="18"/>
              </w:rPr>
            </w:pPr>
            <w:r w:rsidRPr="00676F93">
              <w:rPr>
                <w:color w:val="000000"/>
                <w:szCs w:val="18"/>
                <w:lang w:val="ru-RU"/>
              </w:rPr>
              <w:t>2015</w:t>
            </w:r>
            <w:r w:rsidR="00787637" w:rsidRPr="00676F93">
              <w:rPr>
                <w:color w:val="000000"/>
                <w:szCs w:val="18"/>
                <w:lang w:val="en-US"/>
              </w:rPr>
              <w:t>–</w:t>
            </w:r>
            <w:r w:rsidRPr="00676F93">
              <w:rPr>
                <w:color w:val="000000"/>
                <w:szCs w:val="18"/>
                <w:lang w:val="ru-RU"/>
              </w:rPr>
              <w:t>2017</w:t>
            </w:r>
          </w:p>
        </w:tc>
        <w:tc>
          <w:tcPr>
            <w:tcW w:w="1661" w:type="dxa"/>
            <w:vAlign w:val="center"/>
          </w:tcPr>
          <w:p w14:paraId="29316914"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437 500 000</w:t>
            </w:r>
          </w:p>
        </w:tc>
        <w:tc>
          <w:tcPr>
            <w:tcW w:w="1661" w:type="dxa"/>
            <w:vAlign w:val="center"/>
          </w:tcPr>
          <w:p w14:paraId="6798E0A8"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64 000 000</w:t>
            </w:r>
          </w:p>
        </w:tc>
        <w:tc>
          <w:tcPr>
            <w:tcW w:w="1662" w:type="dxa"/>
            <w:vAlign w:val="center"/>
          </w:tcPr>
          <w:p w14:paraId="6EEF764E"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6 000 000</w:t>
            </w:r>
          </w:p>
        </w:tc>
        <w:tc>
          <w:tcPr>
            <w:tcW w:w="1662" w:type="dxa"/>
            <w:vAlign w:val="center"/>
          </w:tcPr>
          <w:p w14:paraId="739A700A"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507 500 000</w:t>
            </w:r>
          </w:p>
        </w:tc>
      </w:tr>
      <w:tr w:rsidR="00295439" w:rsidRPr="00D245AD" w14:paraId="5FAD6C55" w14:textId="77777777" w:rsidTr="005B6360">
        <w:trPr>
          <w:jc w:val="right"/>
        </w:trPr>
        <w:tc>
          <w:tcPr>
            <w:tcW w:w="1661" w:type="dxa"/>
            <w:vAlign w:val="center"/>
          </w:tcPr>
          <w:p w14:paraId="6E6DFFCC"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rPr>
                <w:rFonts w:eastAsiaTheme="minorEastAsia"/>
                <w:szCs w:val="18"/>
              </w:rPr>
            </w:pPr>
            <w:r w:rsidRPr="00676F93">
              <w:rPr>
                <w:color w:val="000000"/>
                <w:szCs w:val="18"/>
                <w:lang w:val="ru-RU"/>
              </w:rPr>
              <w:t>2018–2020**</w:t>
            </w:r>
          </w:p>
        </w:tc>
        <w:tc>
          <w:tcPr>
            <w:tcW w:w="1661" w:type="dxa"/>
            <w:vAlign w:val="center"/>
          </w:tcPr>
          <w:p w14:paraId="0CFB31A5"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500 000 000</w:t>
            </w:r>
          </w:p>
        </w:tc>
        <w:tc>
          <w:tcPr>
            <w:tcW w:w="1661" w:type="dxa"/>
            <w:vAlign w:val="center"/>
          </w:tcPr>
          <w:p w14:paraId="1BAC3639"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34 000 000</w:t>
            </w:r>
          </w:p>
        </w:tc>
        <w:tc>
          <w:tcPr>
            <w:tcW w:w="1662" w:type="dxa"/>
            <w:vAlign w:val="center"/>
          </w:tcPr>
          <w:p w14:paraId="38A8F3C9"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6 000 000</w:t>
            </w:r>
          </w:p>
        </w:tc>
        <w:tc>
          <w:tcPr>
            <w:tcW w:w="1662" w:type="dxa"/>
            <w:vAlign w:val="center"/>
          </w:tcPr>
          <w:p w14:paraId="449D4002"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540 000 000</w:t>
            </w:r>
          </w:p>
        </w:tc>
      </w:tr>
      <w:tr w:rsidR="00295439" w:rsidRPr="00D245AD" w14:paraId="43B685DD" w14:textId="77777777" w:rsidTr="005B6360">
        <w:trPr>
          <w:jc w:val="right"/>
        </w:trPr>
        <w:tc>
          <w:tcPr>
            <w:tcW w:w="1661" w:type="dxa"/>
            <w:vAlign w:val="center"/>
          </w:tcPr>
          <w:p w14:paraId="1B21F064" w14:textId="13C3A6C3"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rPr>
                <w:rFonts w:eastAsiaTheme="minorEastAsia"/>
                <w:szCs w:val="18"/>
              </w:rPr>
            </w:pPr>
            <w:r w:rsidRPr="00676F93">
              <w:rPr>
                <w:color w:val="000000"/>
                <w:szCs w:val="18"/>
                <w:lang w:val="ru-RU"/>
              </w:rPr>
              <w:t>2021</w:t>
            </w:r>
            <w:r w:rsidR="00787637" w:rsidRPr="00676F93">
              <w:rPr>
                <w:color w:val="000000"/>
                <w:szCs w:val="18"/>
                <w:lang w:val="en-US"/>
              </w:rPr>
              <w:t>–</w:t>
            </w:r>
            <w:r w:rsidRPr="00676F93">
              <w:rPr>
                <w:color w:val="000000"/>
                <w:szCs w:val="18"/>
                <w:lang w:val="ru-RU"/>
              </w:rPr>
              <w:t>2023</w:t>
            </w:r>
          </w:p>
        </w:tc>
        <w:tc>
          <w:tcPr>
            <w:tcW w:w="1661" w:type="dxa"/>
            <w:vAlign w:val="center"/>
          </w:tcPr>
          <w:p w14:paraId="000FFB4F"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475 000 000</w:t>
            </w:r>
          </w:p>
        </w:tc>
        <w:tc>
          <w:tcPr>
            <w:tcW w:w="1661" w:type="dxa"/>
            <w:vAlign w:val="center"/>
          </w:tcPr>
          <w:p w14:paraId="0028A40D"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65 000 000</w:t>
            </w:r>
          </w:p>
        </w:tc>
        <w:tc>
          <w:tcPr>
            <w:tcW w:w="1662" w:type="dxa"/>
            <w:vAlign w:val="center"/>
          </w:tcPr>
          <w:p w14:paraId="322A297E"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н. п.</w:t>
            </w:r>
          </w:p>
        </w:tc>
        <w:tc>
          <w:tcPr>
            <w:tcW w:w="1662" w:type="dxa"/>
            <w:vAlign w:val="center"/>
          </w:tcPr>
          <w:p w14:paraId="168692B2"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540 000 000</w:t>
            </w:r>
          </w:p>
        </w:tc>
      </w:tr>
      <w:tr w:rsidR="00295439" w:rsidRPr="00D245AD" w14:paraId="141F32B2" w14:textId="77777777" w:rsidTr="005B6360">
        <w:trPr>
          <w:jc w:val="right"/>
        </w:trPr>
        <w:tc>
          <w:tcPr>
            <w:tcW w:w="1661" w:type="dxa"/>
            <w:tcBorders>
              <w:bottom w:val="single" w:sz="12" w:space="0" w:color="auto"/>
            </w:tcBorders>
            <w:vAlign w:val="center"/>
          </w:tcPr>
          <w:p w14:paraId="4C3A48E6" w14:textId="134CF0F9"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rPr>
                <w:rFonts w:eastAsiaTheme="minorEastAsia"/>
                <w:szCs w:val="18"/>
              </w:rPr>
            </w:pPr>
            <w:r w:rsidRPr="00676F93">
              <w:rPr>
                <w:color w:val="000000"/>
                <w:szCs w:val="18"/>
                <w:lang w:val="ru-RU"/>
              </w:rPr>
              <w:t>2024</w:t>
            </w:r>
            <w:r w:rsidR="00787637" w:rsidRPr="00676F93">
              <w:rPr>
                <w:color w:val="000000"/>
                <w:szCs w:val="18"/>
                <w:lang w:val="en-US"/>
              </w:rPr>
              <w:t>–</w:t>
            </w:r>
            <w:r w:rsidRPr="00676F93">
              <w:rPr>
                <w:color w:val="000000"/>
                <w:szCs w:val="18"/>
                <w:lang w:val="ru-RU"/>
              </w:rPr>
              <w:t>2026</w:t>
            </w:r>
          </w:p>
        </w:tc>
        <w:tc>
          <w:tcPr>
            <w:tcW w:w="1661" w:type="dxa"/>
            <w:tcBorders>
              <w:bottom w:val="single" w:sz="12" w:space="0" w:color="auto"/>
            </w:tcBorders>
            <w:vAlign w:val="center"/>
          </w:tcPr>
          <w:p w14:paraId="730B82AF"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525 600 000</w:t>
            </w:r>
          </w:p>
        </w:tc>
        <w:tc>
          <w:tcPr>
            <w:tcW w:w="1661" w:type="dxa"/>
            <w:tcBorders>
              <w:bottom w:val="single" w:sz="12" w:space="0" w:color="auto"/>
            </w:tcBorders>
            <w:vAlign w:val="center"/>
          </w:tcPr>
          <w:p w14:paraId="1BA15954"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428 699 680</w:t>
            </w:r>
          </w:p>
        </w:tc>
        <w:tc>
          <w:tcPr>
            <w:tcW w:w="1662" w:type="dxa"/>
            <w:tcBorders>
              <w:bottom w:val="single" w:sz="12" w:space="0" w:color="auto"/>
            </w:tcBorders>
            <w:vAlign w:val="center"/>
          </w:tcPr>
          <w:p w14:paraId="17ECB8C5"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10 700 320</w:t>
            </w:r>
          </w:p>
        </w:tc>
        <w:tc>
          <w:tcPr>
            <w:tcW w:w="1662" w:type="dxa"/>
            <w:tcBorders>
              <w:bottom w:val="single" w:sz="12" w:space="0" w:color="auto"/>
            </w:tcBorders>
            <w:vAlign w:val="center"/>
          </w:tcPr>
          <w:p w14:paraId="6F791B74" w14:textId="77777777" w:rsidR="00295439" w:rsidRPr="00676F93" w:rsidRDefault="00295439" w:rsidP="00787637">
            <w:pPr>
              <w:pStyle w:val="Normal-pool-Table"/>
              <w:tabs>
                <w:tab w:val="clear" w:pos="624"/>
                <w:tab w:val="clear" w:pos="1247"/>
                <w:tab w:val="clear" w:pos="1871"/>
                <w:tab w:val="clear" w:pos="2495"/>
                <w:tab w:val="clear" w:pos="3119"/>
                <w:tab w:val="clear" w:pos="3742"/>
                <w:tab w:val="clear" w:pos="4366"/>
                <w:tab w:val="clear" w:pos="4990"/>
              </w:tabs>
              <w:jc w:val="right"/>
              <w:rPr>
                <w:rFonts w:eastAsiaTheme="minorEastAsia"/>
                <w:szCs w:val="18"/>
              </w:rPr>
            </w:pPr>
            <w:r w:rsidRPr="00676F93">
              <w:rPr>
                <w:color w:val="000000"/>
                <w:szCs w:val="18"/>
                <w:lang w:val="ru-RU"/>
              </w:rPr>
              <w:t>965 000 000</w:t>
            </w:r>
          </w:p>
        </w:tc>
      </w:tr>
    </w:tbl>
    <w:p w14:paraId="0BE88C64" w14:textId="5C0E2823" w:rsidR="00295439" w:rsidRPr="00787637" w:rsidRDefault="00295439" w:rsidP="00787637">
      <w:pPr>
        <w:pStyle w:val="Normal-pool"/>
        <w:tabs>
          <w:tab w:val="clear" w:pos="624"/>
          <w:tab w:val="clear" w:pos="1247"/>
          <w:tab w:val="clear" w:pos="1871"/>
          <w:tab w:val="clear" w:pos="2495"/>
          <w:tab w:val="clear" w:pos="3119"/>
          <w:tab w:val="clear" w:pos="3742"/>
          <w:tab w:val="clear" w:pos="4366"/>
          <w:tab w:val="clear" w:pos="4990"/>
        </w:tabs>
        <w:spacing w:before="60"/>
        <w:ind w:left="1247" w:firstLine="624"/>
        <w:rPr>
          <w:rFonts w:eastAsiaTheme="minorEastAsia"/>
          <w:i/>
          <w:sz w:val="18"/>
          <w:szCs w:val="18"/>
          <w:lang w:val="ru-RU"/>
        </w:rPr>
      </w:pPr>
      <w:r w:rsidRPr="00787637">
        <w:rPr>
          <w:sz w:val="18"/>
          <w:szCs w:val="18"/>
          <w:lang w:val="ru-RU"/>
        </w:rPr>
        <w:tab/>
        <w:t>* Не включает первоначальное пополнение в размере 240 млн долл</w:t>
      </w:r>
      <w:r w:rsidR="0092078E">
        <w:rPr>
          <w:sz w:val="18"/>
          <w:szCs w:val="18"/>
          <w:lang w:val="ru-RU"/>
        </w:rPr>
        <w:t>.</w:t>
      </w:r>
      <w:r w:rsidRPr="00787637">
        <w:rPr>
          <w:sz w:val="18"/>
          <w:szCs w:val="18"/>
          <w:lang w:val="ru-RU"/>
        </w:rPr>
        <w:t xml:space="preserve"> США на период 1991</w:t>
      </w:r>
      <w:r w:rsidR="00787637" w:rsidRPr="00683F82">
        <w:rPr>
          <w:sz w:val="18"/>
          <w:szCs w:val="18"/>
          <w:lang w:val="ru-RU"/>
        </w:rPr>
        <w:noBreakHyphen/>
      </w:r>
      <w:r w:rsidRPr="00787637">
        <w:rPr>
          <w:sz w:val="18"/>
          <w:szCs w:val="18"/>
          <w:lang w:val="ru-RU"/>
        </w:rPr>
        <w:t>1993</w:t>
      </w:r>
      <w:r w:rsidR="00787637">
        <w:rPr>
          <w:sz w:val="18"/>
          <w:szCs w:val="18"/>
          <w:lang w:val="en-US"/>
        </w:rPr>
        <w:t> </w:t>
      </w:r>
      <w:r w:rsidRPr="00787637">
        <w:rPr>
          <w:sz w:val="18"/>
          <w:szCs w:val="18"/>
          <w:lang w:val="ru-RU"/>
        </w:rPr>
        <w:t>годов.</w:t>
      </w:r>
    </w:p>
    <w:p w14:paraId="735E94DE" w14:textId="744AF428" w:rsidR="00295439" w:rsidRPr="00787637" w:rsidRDefault="00295439" w:rsidP="00787637">
      <w:pPr>
        <w:pStyle w:val="Normal-pool"/>
        <w:tabs>
          <w:tab w:val="clear" w:pos="624"/>
          <w:tab w:val="clear" w:pos="1247"/>
          <w:tab w:val="clear" w:pos="1871"/>
          <w:tab w:val="clear" w:pos="2495"/>
          <w:tab w:val="clear" w:pos="3119"/>
          <w:tab w:val="clear" w:pos="3742"/>
          <w:tab w:val="clear" w:pos="4366"/>
          <w:tab w:val="clear" w:pos="4990"/>
        </w:tabs>
        <w:spacing w:before="60" w:after="120"/>
        <w:ind w:left="1247" w:firstLine="624"/>
        <w:rPr>
          <w:rFonts w:eastAsiaTheme="minorEastAsia"/>
          <w:i/>
          <w:sz w:val="18"/>
          <w:szCs w:val="18"/>
          <w:lang w:val="ru-RU"/>
        </w:rPr>
      </w:pPr>
      <w:r w:rsidRPr="00787637">
        <w:rPr>
          <w:sz w:val="18"/>
          <w:szCs w:val="18"/>
          <w:lang w:val="ru-RU"/>
        </w:rPr>
        <w:tab/>
        <w:t>** Кроме того, на пятом внеочередном Совещании Сторон также было отмечено, что остаток средств в размере 246 млн долл</w:t>
      </w:r>
      <w:r w:rsidR="0092078E">
        <w:rPr>
          <w:sz w:val="18"/>
          <w:szCs w:val="18"/>
          <w:lang w:val="ru-RU"/>
        </w:rPr>
        <w:t>.</w:t>
      </w:r>
      <w:r w:rsidRPr="00787637">
        <w:rPr>
          <w:sz w:val="18"/>
          <w:szCs w:val="18"/>
          <w:lang w:val="ru-RU"/>
        </w:rPr>
        <w:t xml:space="preserve"> США, подлежащий перечислению в Многосторонний фонд в ходе трехгодичного периода 2018–2020 годов, будет использован после 2023 года для поддержки осуществления Монреальского протокола (решение Вн.V/1).</w:t>
      </w:r>
    </w:p>
    <w:p w14:paraId="0E81FFDD" w14:textId="16A348B2" w:rsidR="00295439" w:rsidRPr="00BE1039" w:rsidRDefault="00295439" w:rsidP="00787637">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 xml:space="preserve">С момента своего создания и к моменту 97-го совещания Исполнительного комитета (ИК-97) МФ оказал поддержку 144 </w:t>
      </w:r>
      <w:r w:rsidR="00384E4F">
        <w:rPr>
          <w:lang w:val="ru-RU"/>
        </w:rPr>
        <w:t>Сторонам</w:t>
      </w:r>
      <w:r>
        <w:rPr>
          <w:lang w:val="ru-RU"/>
        </w:rPr>
        <w:t xml:space="preserve">, действующим в рамках </w:t>
      </w:r>
      <w:r w:rsidR="00384E4F">
        <w:rPr>
          <w:lang w:val="ru-RU"/>
        </w:rPr>
        <w:t xml:space="preserve">статьи </w:t>
      </w:r>
      <w:r>
        <w:rPr>
          <w:lang w:val="ru-RU"/>
        </w:rPr>
        <w:t>5, утвердив выделение 4,38 млрд долл</w:t>
      </w:r>
      <w:r w:rsidRPr="00E35BC8">
        <w:rPr>
          <w:lang w:val="ru-RU"/>
        </w:rPr>
        <w:t>.</w:t>
      </w:r>
      <w:r>
        <w:rPr>
          <w:lang w:val="ru-RU"/>
        </w:rPr>
        <w:t xml:space="preserve"> США (включая расходы на сопровождение) на осуществление в общей сложности 10 363 проектов, 87 процентов из которых уже завершены</w:t>
      </w:r>
      <w:r w:rsidRPr="00D245AD">
        <w:rPr>
          <w:rStyle w:val="FootnoteReference"/>
          <w:lang w:val="ru-RU"/>
        </w:rPr>
        <w:footnoteReference w:id="13"/>
      </w:r>
      <w:r>
        <w:rPr>
          <w:lang w:val="ru-RU"/>
        </w:rPr>
        <w:t xml:space="preserve">. </w:t>
      </w:r>
    </w:p>
    <w:p w14:paraId="2C417476" w14:textId="1D27F3F8" w:rsidR="00295439" w:rsidRPr="00BE1039" w:rsidRDefault="00295439" w:rsidP="00787637">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 xml:space="preserve">Пополнение МФ на трехгодичный период 2027–2029 годов обеспечит Сторонам, действующим в рамках статьи 5, финансирование дополнительных расходов, связанных с завершением поэтапного отказа от применения ОРВ и продолжением поэтапного сокращения оборота гидрофторуглеродов (ГФУ). Вещества, включенные в группу I приложения C (гидрохлорфторуглероды (ГХФУ)) и в </w:t>
      </w:r>
      <w:r w:rsidR="002779D8">
        <w:rPr>
          <w:lang w:val="ru-RU"/>
        </w:rPr>
        <w:t>п</w:t>
      </w:r>
      <w:r>
        <w:rPr>
          <w:lang w:val="ru-RU"/>
        </w:rPr>
        <w:t>риложени</w:t>
      </w:r>
      <w:r w:rsidR="00C8338A">
        <w:rPr>
          <w:lang w:val="ru-RU"/>
        </w:rPr>
        <w:t>е</w:t>
      </w:r>
      <w:r>
        <w:rPr>
          <w:lang w:val="ru-RU"/>
        </w:rPr>
        <w:t xml:space="preserve"> F (ГФУ), являются единственными веществами, регулируемыми в рамках Монреальского протокола, потребление и производство которых по-прежнему разрешены.</w:t>
      </w:r>
    </w:p>
    <w:p w14:paraId="661DAF07" w14:textId="702A273D" w:rsidR="00295439" w:rsidRPr="00BE1039" w:rsidRDefault="00295439" w:rsidP="008F3BA3">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2268" w:hanging="624"/>
        <w:rPr>
          <w:lang w:val="ru-RU"/>
        </w:rPr>
      </w:pPr>
      <w:r>
        <w:rPr>
          <w:lang w:val="ru-RU"/>
        </w:rPr>
        <w:t>В отношении регулируемых веществ, включенных в группу I приложения C (ГХФУ), целевым показателем соблюдения на трехгодичный период 2027–2029</w:t>
      </w:r>
      <w:r w:rsidR="00F85F25">
        <w:rPr>
          <w:lang w:val="ru-RU"/>
        </w:rPr>
        <w:t xml:space="preserve"> годов</w:t>
      </w:r>
      <w:r>
        <w:rPr>
          <w:lang w:val="ru-RU"/>
        </w:rPr>
        <w:t xml:space="preserve"> является сокращение на 97,5 процент</w:t>
      </w:r>
      <w:r w:rsidR="00F85F25">
        <w:rPr>
          <w:lang w:val="ru-RU"/>
        </w:rPr>
        <w:t>а</w:t>
      </w:r>
      <w:r>
        <w:rPr>
          <w:lang w:val="ru-RU"/>
        </w:rPr>
        <w:t xml:space="preserve"> по сравнению с базовым уровнем к 1 января 2030 года.</w:t>
      </w:r>
    </w:p>
    <w:p w14:paraId="1BD0896B" w14:textId="5B3EA66E" w:rsidR="00295439" w:rsidRPr="00BE1039" w:rsidRDefault="00295439" w:rsidP="008F3BA3">
      <w:pPr>
        <w:pStyle w:val="NormalNonumber"/>
        <w:tabs>
          <w:tab w:val="clear" w:pos="624"/>
          <w:tab w:val="clear" w:pos="1247"/>
          <w:tab w:val="clear" w:pos="1871"/>
          <w:tab w:val="clear" w:pos="2495"/>
          <w:tab w:val="clear" w:pos="3119"/>
          <w:tab w:val="clear" w:pos="3742"/>
          <w:tab w:val="clear" w:pos="4366"/>
          <w:tab w:val="clear" w:pos="4990"/>
        </w:tabs>
        <w:ind w:left="2693"/>
        <w:rPr>
          <w:lang w:val="ru-RU"/>
        </w:rPr>
      </w:pPr>
      <w:r>
        <w:rPr>
          <w:lang w:val="ru-RU"/>
        </w:rPr>
        <w:lastRenderedPageBreak/>
        <w:t>Среднегодовой показатель в 2,5 процента предназначен исключительно для обслуживания холодильного оборудования и оборудования для кондиционирования воздуха, существующего в 2030–2040 годы. В решении</w:t>
      </w:r>
      <w:r w:rsidR="00F85F25">
        <w:rPr>
          <w:lang w:val="ru-RU"/>
        </w:rPr>
        <w:t> </w:t>
      </w:r>
      <w:r>
        <w:rPr>
          <w:lang w:val="ru-RU"/>
        </w:rPr>
        <w:t>XXX/2, ссылающемся на приложение I к докладу</w:t>
      </w:r>
      <w:r w:rsidRPr="009748B2">
        <w:rPr>
          <w:rStyle w:val="FootnoteReference"/>
          <w:lang w:val="ru-RU"/>
        </w:rPr>
        <w:footnoteReference w:id="14"/>
      </w:r>
      <w:r w:rsidR="00575CB2">
        <w:rPr>
          <w:lang w:val="ru-RU"/>
        </w:rPr>
        <w:t xml:space="preserve"> </w:t>
      </w:r>
      <w:r>
        <w:rPr>
          <w:lang w:val="ru-RU"/>
        </w:rPr>
        <w:t xml:space="preserve">о ходе работы СС-30, была внесена поправка в эту часть </w:t>
      </w:r>
      <w:r w:rsidR="002779D8">
        <w:rPr>
          <w:lang w:val="ru-RU"/>
        </w:rPr>
        <w:t xml:space="preserve">статьи </w:t>
      </w:r>
      <w:r>
        <w:rPr>
          <w:lang w:val="ru-RU"/>
        </w:rPr>
        <w:t xml:space="preserve">5 (а также в </w:t>
      </w:r>
      <w:r w:rsidR="002779D8">
        <w:rPr>
          <w:lang w:val="ru-RU"/>
        </w:rPr>
        <w:t>статью</w:t>
      </w:r>
      <w:r>
        <w:rPr>
          <w:lang w:val="ru-RU"/>
        </w:rPr>
        <w:t xml:space="preserve"> 2F) с целью включения других видов применения, к которым относятся: обслуживание оборудования для пожаротушения и противопожарной защиты, существующего на 1 января 2030 года; использование растворителей в производстве ракетных двигателей; а также медицинский аэрозоль для местного применения, предназначенный для специализированного лечения ожогов.</w:t>
      </w:r>
    </w:p>
    <w:p w14:paraId="2A349A99" w14:textId="77777777" w:rsidR="00295439" w:rsidRPr="00BE1039" w:rsidRDefault="00295439" w:rsidP="008F3BA3">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2268" w:hanging="624"/>
        <w:rPr>
          <w:lang w:val="ru-RU"/>
        </w:rPr>
      </w:pPr>
      <w:r>
        <w:rPr>
          <w:lang w:val="ru-RU"/>
        </w:rPr>
        <w:t>В отношении регулируемых веществ, перечисленных в приложении F (ГФУ), на период 2027–2029 годов и последующие два трехгодичных периода установлены следующие целевые показатели соблюдения:</w:t>
      </w:r>
    </w:p>
    <w:p w14:paraId="3F1BB96C" w14:textId="6C2C9E3E" w:rsidR="00295439" w:rsidRPr="00BE1039" w:rsidRDefault="00295439" w:rsidP="008F3BA3">
      <w:pPr>
        <w:pStyle w:val="NormalNonumber"/>
        <w:tabs>
          <w:tab w:val="clear" w:pos="624"/>
          <w:tab w:val="clear" w:pos="1247"/>
          <w:tab w:val="clear" w:pos="1871"/>
          <w:tab w:val="clear" w:pos="2495"/>
          <w:tab w:val="clear" w:pos="3119"/>
          <w:tab w:val="clear" w:pos="3742"/>
          <w:tab w:val="clear" w:pos="4366"/>
          <w:tab w:val="clear" w:pos="4990"/>
        </w:tabs>
        <w:ind w:left="2693"/>
        <w:rPr>
          <w:strike/>
          <w:lang w:val="ru-RU"/>
        </w:rPr>
      </w:pPr>
      <w:r>
        <w:rPr>
          <w:lang w:val="ru-RU"/>
        </w:rPr>
        <w:t>Стороны группы 1: сокращение на 10 процентов по сравнению с базовым уровнем к 1 января 2029 года, а в последующие трехгодичные периоды 2030</w:t>
      </w:r>
      <w:r w:rsidR="009C13ED" w:rsidRPr="002779D8">
        <w:rPr>
          <w:lang w:val="ru-RU"/>
        </w:rPr>
        <w:noBreakHyphen/>
      </w:r>
      <w:r>
        <w:rPr>
          <w:lang w:val="ru-RU"/>
        </w:rPr>
        <w:t>2032</w:t>
      </w:r>
      <w:r w:rsidR="009C13ED" w:rsidRPr="002779D8">
        <w:rPr>
          <w:lang w:val="ru-RU"/>
        </w:rPr>
        <w:t xml:space="preserve"> </w:t>
      </w:r>
      <w:r w:rsidR="009C13ED">
        <w:rPr>
          <w:lang w:val="ru-RU"/>
        </w:rPr>
        <w:t>годов</w:t>
      </w:r>
      <w:r>
        <w:rPr>
          <w:lang w:val="ru-RU"/>
        </w:rPr>
        <w:t xml:space="preserve"> и 2033–2035 годов </w:t>
      </w:r>
      <w:r w:rsidR="009C13ED" w:rsidRPr="002779D8">
        <w:rPr>
          <w:lang w:val="ru-RU"/>
        </w:rPr>
        <w:t>–</w:t>
      </w:r>
      <w:r>
        <w:rPr>
          <w:lang w:val="ru-RU"/>
        </w:rPr>
        <w:t xml:space="preserve"> сокращение на 30 процентов по сравнению с базовым уровнем к 1 января 2035 года.</w:t>
      </w:r>
    </w:p>
    <w:p w14:paraId="25A535E8" w14:textId="04D61B41" w:rsidR="00295439" w:rsidRPr="00BE1039" w:rsidRDefault="00295439" w:rsidP="008F3BA3">
      <w:pPr>
        <w:pStyle w:val="NormalNonumber"/>
        <w:tabs>
          <w:tab w:val="clear" w:pos="624"/>
          <w:tab w:val="clear" w:pos="1247"/>
          <w:tab w:val="clear" w:pos="1871"/>
          <w:tab w:val="clear" w:pos="2495"/>
          <w:tab w:val="clear" w:pos="3119"/>
          <w:tab w:val="clear" w:pos="3742"/>
          <w:tab w:val="clear" w:pos="4366"/>
          <w:tab w:val="clear" w:pos="4990"/>
        </w:tabs>
        <w:ind w:left="2693"/>
        <w:rPr>
          <w:strike/>
          <w:lang w:val="ru-RU"/>
        </w:rPr>
      </w:pPr>
      <w:r>
        <w:rPr>
          <w:lang w:val="ru-RU"/>
        </w:rPr>
        <w:t>Стороны группы 2</w:t>
      </w:r>
      <w:r w:rsidRPr="00D245AD">
        <w:rPr>
          <w:rStyle w:val="FootnoteReference"/>
          <w:lang w:val="ru-RU"/>
        </w:rPr>
        <w:footnoteReference w:id="15"/>
      </w:r>
      <w:r>
        <w:rPr>
          <w:lang w:val="ru-RU"/>
        </w:rPr>
        <w:t>: замораживание производства и потребления к 1 января 2028</w:t>
      </w:r>
      <w:r w:rsidR="009C13ED">
        <w:rPr>
          <w:lang w:val="en-US"/>
        </w:rPr>
        <w:t> </w:t>
      </w:r>
      <w:r>
        <w:rPr>
          <w:lang w:val="ru-RU"/>
        </w:rPr>
        <w:t>года, а в последующие тре</w:t>
      </w:r>
      <w:r w:rsidR="002779D8">
        <w:rPr>
          <w:lang w:val="ru-RU"/>
        </w:rPr>
        <w:t>хгодичные</w:t>
      </w:r>
      <w:r>
        <w:rPr>
          <w:lang w:val="ru-RU"/>
        </w:rPr>
        <w:t xml:space="preserve"> периоды 2030–2032</w:t>
      </w:r>
      <w:r w:rsidR="009C13ED">
        <w:rPr>
          <w:lang w:val="ru-RU"/>
        </w:rPr>
        <w:t xml:space="preserve"> годов</w:t>
      </w:r>
      <w:r>
        <w:rPr>
          <w:lang w:val="ru-RU"/>
        </w:rPr>
        <w:t xml:space="preserve"> и 2033</w:t>
      </w:r>
      <w:r w:rsidR="009C13ED">
        <w:rPr>
          <w:lang w:val="ru-RU"/>
        </w:rPr>
        <w:noBreakHyphen/>
      </w:r>
      <w:r>
        <w:rPr>
          <w:lang w:val="ru-RU"/>
        </w:rPr>
        <w:t>2035</w:t>
      </w:r>
      <w:r w:rsidR="009C13ED">
        <w:rPr>
          <w:lang w:val="ru-RU"/>
        </w:rPr>
        <w:t> </w:t>
      </w:r>
      <w:r>
        <w:rPr>
          <w:lang w:val="ru-RU"/>
        </w:rPr>
        <w:t xml:space="preserve">годов </w:t>
      </w:r>
      <w:r w:rsidR="009C13ED" w:rsidRPr="002779D8">
        <w:rPr>
          <w:lang w:val="ru-RU"/>
        </w:rPr>
        <w:t>–</w:t>
      </w:r>
      <w:r>
        <w:rPr>
          <w:lang w:val="ru-RU"/>
        </w:rPr>
        <w:t xml:space="preserve"> сокращение на 10 процентов по сравнению с базовым уровнем к 1 января 2032</w:t>
      </w:r>
      <w:r w:rsidR="009C13ED">
        <w:rPr>
          <w:lang w:val="en-US"/>
        </w:rPr>
        <w:t> </w:t>
      </w:r>
      <w:r>
        <w:rPr>
          <w:lang w:val="ru-RU"/>
        </w:rPr>
        <w:t xml:space="preserve">года и на 20 процентов к 1 января 2037 года. </w:t>
      </w:r>
    </w:p>
    <w:p w14:paraId="4E11DEAC" w14:textId="37EA6A79" w:rsidR="00295439" w:rsidRPr="00BE1039" w:rsidRDefault="00295439" w:rsidP="009C13ED">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right="284" w:firstLine="0"/>
        <w:rPr>
          <w:lang w:val="ru-RU"/>
        </w:rPr>
      </w:pPr>
      <w:r>
        <w:rPr>
          <w:lang w:val="ru-RU"/>
        </w:rPr>
        <w:tab/>
      </w:r>
      <w:r>
        <w:rPr>
          <w:bCs/>
          <w:lang w:val="ru-RU"/>
        </w:rPr>
        <w:t>Решение XXXVII/6 и подход ГТОЭО</w:t>
      </w:r>
    </w:p>
    <w:p w14:paraId="1E983AB6" w14:textId="7A516641" w:rsidR="00295439" w:rsidRPr="00BE1039" w:rsidRDefault="00295439" w:rsidP="009C13ED">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На тридцать седьмом Совещании Сторон (СС-37) было принято решение XXXVII/6, в котором содержится техническое задание (ТЗ) для работы Группы по техническому обзору и экономической оценке (ГТОЭО) по подготовке доклада о соответствующем объеме пополнения МФ на трехгодичный период 2027–2029 годов. Стороны поручили ГТОЭО подготовить доклад для СС-38 и представить его Рабочей групп</w:t>
      </w:r>
      <w:r w:rsidR="00BA77FF">
        <w:rPr>
          <w:lang w:val="ru-RU"/>
        </w:rPr>
        <w:t>е</w:t>
      </w:r>
      <w:r>
        <w:rPr>
          <w:lang w:val="ru-RU"/>
        </w:rPr>
        <w:t xml:space="preserve"> открытого состава на ее </w:t>
      </w:r>
      <w:r w:rsidR="002779D8">
        <w:rPr>
          <w:lang w:val="ru-RU"/>
        </w:rPr>
        <w:t>сорок восьмо</w:t>
      </w:r>
      <w:r>
        <w:rPr>
          <w:lang w:val="ru-RU"/>
        </w:rPr>
        <w:t>м совещании (РГОС</w:t>
      </w:r>
      <w:r w:rsidR="009C13ED">
        <w:rPr>
          <w:lang w:val="ru-RU"/>
        </w:rPr>
        <w:noBreakHyphen/>
      </w:r>
      <w:r>
        <w:rPr>
          <w:lang w:val="ru-RU"/>
        </w:rPr>
        <w:t xml:space="preserve">48), с тем чтобы Стороны могли принять решение на СС-38. </w:t>
      </w:r>
    </w:p>
    <w:p w14:paraId="511123DE" w14:textId="53187321" w:rsidR="00295439" w:rsidRPr="00BE1039" w:rsidRDefault="00295439" w:rsidP="009C13ED">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В соответствии с решением XXXVII/6 ГТОЭО учредила целевую группу по вопросу о пополнении (ЦГВП), в состав которой вошли представители ГТОЭО и ее комитетов по техническим вариантам замены, а также другие внешние эксперты. В декабре 2025 года один из старших экспертов ГТОЭО принял участие в 97-м совещании Исполнительного комитета (ИК</w:t>
      </w:r>
      <w:r w:rsidR="009C13ED">
        <w:rPr>
          <w:lang w:val="ru-RU"/>
        </w:rPr>
        <w:noBreakHyphen/>
      </w:r>
      <w:r>
        <w:rPr>
          <w:lang w:val="ru-RU"/>
        </w:rPr>
        <w:t xml:space="preserve">97) с целью проведения неформальных консультаций с членами Исполнительного комитета, а также c представителями двусторонних организаций и международных агентств, присутствовавшими на этом совещании. </w:t>
      </w:r>
    </w:p>
    <w:p w14:paraId="1999EDFE" w14:textId="435BE479" w:rsidR="00295439" w:rsidRPr="00BE1039" w:rsidRDefault="00295439" w:rsidP="009C13ED">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В этом докладе целевая группа по вопросу о пополнении (ЦГВП) провела оценку потребностей в финансировании на трехгодичный период 2027–2029 годов и последующие трехгодичные периоды на основе официальных данных, представленных в соответствии со статьей 7, и с учетом «Сводного плана работы Многостороннего фонда на период 2026–2028 годов»</w:t>
      </w:r>
      <w:r w:rsidRPr="00D245AD">
        <w:rPr>
          <w:vertAlign w:val="superscript"/>
          <w:lang w:val="ru-RU"/>
        </w:rPr>
        <w:footnoteReference w:id="16"/>
      </w:r>
      <w:r>
        <w:rPr>
          <w:lang w:val="ru-RU"/>
        </w:rPr>
        <w:t xml:space="preserve">, соответствующих решений Исполнительного комитета, принятых на его совещаниях вплоть до 97-го, а также информации, полученной от </w:t>
      </w:r>
      <w:r>
        <w:rPr>
          <w:lang w:val="en-US"/>
        </w:rPr>
        <w:t>c</w:t>
      </w:r>
      <w:r>
        <w:rPr>
          <w:lang w:val="ru-RU"/>
        </w:rPr>
        <w:t>секретариата Многостороннего фонда (СМФ) и секретариата по озону (СО). ЦГВП работала преимущественно в онлайновом формате и провела совещание в Монреале в феврале 2026 года, в ходе которого также состоялись консультации с СМФ. ЦГВП подготовила проект доклада, который был рассмотрен на совещании ГТОЭО, состоявшемся в апреле 2026 года в Брюсселе. После учета всех замечаний ГТОЭО в мае 2026 года направила доклад ЦГВП в секретариат по озону для его публикации и рассмотрения Сторонами.</w:t>
      </w:r>
    </w:p>
    <w:p w14:paraId="414BE3CB" w14:textId="49398629" w:rsidR="00295439" w:rsidRPr="003A2354" w:rsidRDefault="00295439" w:rsidP="00326AA8">
      <w:pPr>
        <w:pStyle w:val="CH2"/>
        <w:tabs>
          <w:tab w:val="clear" w:pos="851"/>
          <w:tab w:val="clear" w:pos="1247"/>
          <w:tab w:val="clear" w:pos="1871"/>
          <w:tab w:val="clear" w:pos="2495"/>
          <w:tab w:val="clear" w:pos="3119"/>
          <w:tab w:val="clear" w:pos="3742"/>
          <w:tab w:val="clear" w:pos="4366"/>
          <w:tab w:val="clear" w:pos="4990"/>
        </w:tabs>
        <w:spacing w:before="0"/>
        <w:ind w:right="567" w:firstLine="0"/>
        <w:rPr>
          <w:lang w:val="ru-RU"/>
        </w:rPr>
      </w:pPr>
      <w:r>
        <w:rPr>
          <w:lang w:val="ru-RU"/>
        </w:rPr>
        <w:lastRenderedPageBreak/>
        <w:tab/>
      </w:r>
      <w:r w:rsidRPr="002779D8">
        <w:rPr>
          <w:bCs/>
          <w:lang w:val="ru-RU"/>
        </w:rPr>
        <w:t>Поэтапный вывод из обращения ГХФУ в секторах потребления и производства</w:t>
      </w:r>
    </w:p>
    <w:p w14:paraId="176EB745" w14:textId="7152519C" w:rsidR="00295439" w:rsidRPr="003A2354" w:rsidRDefault="00295439" w:rsidP="00326AA8">
      <w:pPr>
        <w:pStyle w:val="CH3"/>
        <w:tabs>
          <w:tab w:val="clear" w:pos="851"/>
          <w:tab w:val="clear" w:pos="1247"/>
          <w:tab w:val="clear" w:pos="1871"/>
          <w:tab w:val="clear" w:pos="2495"/>
          <w:tab w:val="clear" w:pos="3119"/>
          <w:tab w:val="clear" w:pos="3742"/>
          <w:tab w:val="clear" w:pos="4366"/>
          <w:tab w:val="clear" w:pos="4990"/>
        </w:tabs>
        <w:spacing w:before="0"/>
        <w:ind w:right="567" w:firstLine="0"/>
        <w:rPr>
          <w:i/>
          <w:iCs/>
          <w:lang w:val="ru-RU"/>
        </w:rPr>
      </w:pPr>
      <w:r>
        <w:rPr>
          <w:lang w:val="ru-RU"/>
        </w:rPr>
        <w:tab/>
      </w:r>
      <w:r>
        <w:rPr>
          <w:bCs/>
          <w:i/>
          <w:iCs/>
          <w:lang w:val="ru-RU"/>
        </w:rPr>
        <w:t>Сектор потребления ГХФУ</w:t>
      </w:r>
    </w:p>
    <w:p w14:paraId="0D798159" w14:textId="77777777" w:rsidR="00295439" w:rsidRPr="003A2354" w:rsidRDefault="00295439" w:rsidP="00326AA8">
      <w:pPr>
        <w:pStyle w:val="NormalNonumber"/>
        <w:keepNext/>
        <w:keepLines/>
        <w:tabs>
          <w:tab w:val="clear" w:pos="624"/>
          <w:tab w:val="clear" w:pos="1247"/>
          <w:tab w:val="clear" w:pos="1871"/>
          <w:tab w:val="clear" w:pos="2495"/>
          <w:tab w:val="clear" w:pos="3119"/>
          <w:tab w:val="clear" w:pos="3742"/>
          <w:tab w:val="clear" w:pos="4366"/>
          <w:tab w:val="clear" w:pos="4990"/>
        </w:tabs>
        <w:rPr>
          <w:lang w:val="ru-RU"/>
        </w:rPr>
      </w:pPr>
      <w:r>
        <w:rPr>
          <w:lang w:val="ru-RU"/>
        </w:rPr>
        <w:t>Большинство Сторон, действующих в рамках статьи 5, представили планы заключительного этапа и траншей для полного вывода из обращения ГХФУ к 2030 году. Таким образом, в конце трехгодичного периода 2027–2029 годов МФ отпразднует переход к завершению применения оставшихся объемов ГХФУ у нескольких Сторон, которые представят последние этапы ПРПГ и заявки на выделение траншей.</w:t>
      </w:r>
    </w:p>
    <w:p w14:paraId="0963FE6A" w14:textId="32498261" w:rsidR="00295439" w:rsidRPr="003A2354" w:rsidRDefault="00295439" w:rsidP="00326AA8">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При этом потребности в финансировании для постепенного вывода из обращения ГХФУ в течение этого трехгодичного периода был</w:t>
      </w:r>
      <w:r w:rsidR="005208CB">
        <w:rPr>
          <w:lang w:val="ru-RU"/>
        </w:rPr>
        <w:t>и</w:t>
      </w:r>
      <w:r>
        <w:rPr>
          <w:lang w:val="ru-RU"/>
        </w:rPr>
        <w:t xml:space="preserve"> рассчитан</w:t>
      </w:r>
      <w:r w:rsidR="005208CB">
        <w:rPr>
          <w:lang w:val="ru-RU"/>
        </w:rPr>
        <w:t>ы</w:t>
      </w:r>
      <w:r>
        <w:rPr>
          <w:lang w:val="ru-RU"/>
        </w:rPr>
        <w:t xml:space="preserve"> с учетом того, что подавляющее большинство ПРПГ предусматрива</w:t>
      </w:r>
      <w:r w:rsidR="002779D8">
        <w:rPr>
          <w:lang w:val="ru-RU"/>
        </w:rPr>
        <w:t>е</w:t>
      </w:r>
      <w:r>
        <w:rPr>
          <w:lang w:val="ru-RU"/>
        </w:rPr>
        <w:t>т полный отказ к 2030 году. Стороны, желающие добиться полного поэтапного вывода из обращения ГХФУ к 1 января 2030 года, могут это сделать, однако должны обеспечить с помощью нормативных мер и мер политики, чтобы ГХФУ не импортировались после наступления этой даты, за исключением объемов, разрешенных для проведения технического обслуживания в период с 2030 по 2040 год, если возникнет такая необходимость, в соответствии с положениями Монреальского протокола.</w:t>
      </w:r>
    </w:p>
    <w:p w14:paraId="5C23DC22" w14:textId="47DA9FB2" w:rsidR="00295439" w:rsidRPr="003A2354" w:rsidRDefault="00295439" w:rsidP="00326AA8">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 xml:space="preserve">Исполнительный комитет в решении 86/51 постановил, что для рассмотрения заявок на получение заключительных траншей в рамках </w:t>
      </w:r>
      <w:r w:rsidR="002779D8">
        <w:rPr>
          <w:lang w:val="ru-RU"/>
        </w:rPr>
        <w:t xml:space="preserve">планов </w:t>
      </w:r>
      <w:r>
        <w:rPr>
          <w:lang w:val="ru-RU"/>
        </w:rPr>
        <w:t xml:space="preserve">регулирования поэтапного вывода из обращения ГХФУ (ПРПГ) от любой страны-потребителя, запрашивающей финансирование для полного поэтапного отказа от применения ГХФУ, соответствующее правительство должно представить подробное описание действующей нормативно-правовой базы и политических механизмов для осуществления мер, направленных на обеспечение соответствия потребления ГХФУ положениям пункта 8 ter e) i) статьи 5 Монреальского протокола в период 2030–2040 годов. Если страна намеревается осуществлять потребление в период 2030–2040 годов, необходимо внести изменения в ее соглашение с Исполнительным комитетом, охватывающее период после 2030 года. Важно подчеркнуть, что у </w:t>
      </w:r>
      <w:r w:rsidR="00E13411">
        <w:rPr>
          <w:lang w:val="ru-RU"/>
        </w:rPr>
        <w:t>Сторон</w:t>
      </w:r>
      <w:r>
        <w:rPr>
          <w:lang w:val="ru-RU"/>
        </w:rPr>
        <w:t>, имеющих ПРПГ, предусматривающие полный отказ от применения ГХФУ, больше не осталось объемов потребления ГХФУ, удовлетворяющих критериям для финансирования. Соответственно, изменения в соглашении могут повлиять на целевые показатели, но не на объемы финансирования.</w:t>
      </w:r>
    </w:p>
    <w:p w14:paraId="66C0E3F5" w14:textId="4FC38DEF" w:rsidR="00295439" w:rsidRPr="002779D8" w:rsidRDefault="00295439" w:rsidP="00326AA8">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 xml:space="preserve">В ТЗ, утвержденном Сторонами в решении XXXVII/6, </w:t>
      </w:r>
      <w:r w:rsidR="002779D8">
        <w:rPr>
          <w:lang w:val="ru-RU"/>
        </w:rPr>
        <w:t>Ц</w:t>
      </w:r>
      <w:r>
        <w:rPr>
          <w:lang w:val="ru-RU"/>
        </w:rPr>
        <w:t>ГВП поручалось использовать «четко сформулированн</w:t>
      </w:r>
      <w:r w:rsidR="002779D8">
        <w:rPr>
          <w:lang w:val="ru-RU"/>
        </w:rPr>
        <w:t>ую</w:t>
      </w:r>
      <w:r>
        <w:rPr>
          <w:lang w:val="ru-RU"/>
        </w:rPr>
        <w:t xml:space="preserve"> и основанн</w:t>
      </w:r>
      <w:r w:rsidR="002779D8">
        <w:rPr>
          <w:lang w:val="ru-RU"/>
        </w:rPr>
        <w:t>ую</w:t>
      </w:r>
      <w:r>
        <w:rPr>
          <w:lang w:val="ru-RU"/>
        </w:rPr>
        <w:t xml:space="preserve"> на соблюдении методологи</w:t>
      </w:r>
      <w:r w:rsidR="00D4319D">
        <w:rPr>
          <w:lang w:val="ru-RU"/>
        </w:rPr>
        <w:t>ю</w:t>
      </w:r>
      <w:r>
        <w:rPr>
          <w:lang w:val="ru-RU"/>
        </w:rPr>
        <w:t>, которая опирается на план работы Многостороннего фонда, но не зависит от него, и в которой применяется диапазон показателей экономическ</w:t>
      </w:r>
      <w:r w:rsidR="002779D8">
        <w:rPr>
          <w:lang w:val="ru-RU"/>
        </w:rPr>
        <w:t>о</w:t>
      </w:r>
      <w:r>
        <w:rPr>
          <w:lang w:val="ru-RU"/>
        </w:rPr>
        <w:t xml:space="preserve">й эффективности для обрабатывающих секторов, основанных на историческом опыте, а не только на пороговых значениях экономической эффективности, утвержденных Исполнительным комитетом». В ответ на это ЦГВП рассмотрела диапазон расчетных потребностей в финансировании для сектора потребления ГХФУ на основе двух сценариев экономической эффективности (ЭЭ) и применила его к 15 Сторонам, не являющимся </w:t>
      </w:r>
      <w:r w:rsidR="00E679A1">
        <w:rPr>
          <w:lang w:val="ru-RU"/>
        </w:rPr>
        <w:t xml:space="preserve">Сторонами </w:t>
      </w:r>
      <w:r>
        <w:rPr>
          <w:lang w:val="ru-RU"/>
        </w:rPr>
        <w:t>с низким уровнем потребления (</w:t>
      </w:r>
      <w:r w:rsidRPr="003A2354">
        <w:rPr>
          <w:lang w:val="ru-RU"/>
        </w:rPr>
        <w:t xml:space="preserve">включая Сторону с наибольшим объемом потребления </w:t>
      </w:r>
      <w:r w:rsidR="00E679A1">
        <w:rPr>
          <w:lang w:val="ru-RU"/>
        </w:rPr>
        <w:t>–</w:t>
      </w:r>
      <w:r w:rsidRPr="003A2354">
        <w:rPr>
          <w:lang w:val="ru-RU"/>
        </w:rPr>
        <w:t xml:space="preserve"> Китай),</w:t>
      </w:r>
      <w:r>
        <w:rPr>
          <w:lang w:val="ru-RU"/>
        </w:rPr>
        <w:t xml:space="preserve"> у которых</w:t>
      </w:r>
      <w:r w:rsidRPr="003A2354">
        <w:rPr>
          <w:lang w:val="ru-RU"/>
        </w:rPr>
        <w:t xml:space="preserve"> сохранился соотве</w:t>
      </w:r>
      <w:r>
        <w:rPr>
          <w:lang w:val="ru-RU"/>
        </w:rPr>
        <w:t>тс</w:t>
      </w:r>
      <w:r w:rsidRPr="003A2354">
        <w:rPr>
          <w:lang w:val="ru-RU"/>
        </w:rPr>
        <w:t>твующи</w:t>
      </w:r>
      <w:r>
        <w:rPr>
          <w:lang w:val="ru-RU"/>
        </w:rPr>
        <w:t>й</w:t>
      </w:r>
      <w:r w:rsidRPr="003A2354">
        <w:rPr>
          <w:lang w:val="ru-RU"/>
        </w:rPr>
        <w:t xml:space="preserve"> критериям уровень потребления в производственных секторах, следующим образом: </w:t>
      </w:r>
    </w:p>
    <w:p w14:paraId="10F62585" w14:textId="77777777" w:rsidR="00295439" w:rsidRPr="008F3BA3" w:rsidRDefault="00295439" w:rsidP="008F3BA3">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2495" w:hanging="624"/>
        <w:rPr>
          <w:b/>
          <w:bCs/>
          <w:lang w:val="ru-RU"/>
        </w:rPr>
      </w:pPr>
      <w:r w:rsidRPr="008F3BA3">
        <w:rPr>
          <w:b/>
          <w:bCs/>
          <w:lang w:val="ru-RU"/>
        </w:rPr>
        <w:t xml:space="preserve">Сценарий для ГФХУ 1: </w:t>
      </w:r>
      <w:r w:rsidRPr="00101DBB">
        <w:rPr>
          <w:lang w:val="ru-RU"/>
        </w:rPr>
        <w:t xml:space="preserve">применение средних </w:t>
      </w:r>
      <w:r w:rsidRPr="008F3BA3">
        <w:rPr>
          <w:lang w:val="ru-RU"/>
        </w:rPr>
        <w:t>исторических</w:t>
      </w:r>
      <w:r w:rsidRPr="00101DBB">
        <w:rPr>
          <w:lang w:val="ru-RU"/>
        </w:rPr>
        <w:t xml:space="preserve"> пороговых значений ЭЭ в производственных секторах для Сторон, не являющихся странами с НОП, у которых сохранился соответствующий критериям уровень потребления в производственных секторах</w:t>
      </w:r>
      <w:r w:rsidRPr="008F3BA3">
        <w:rPr>
          <w:lang w:val="ru-RU"/>
        </w:rPr>
        <w:t>;</w:t>
      </w:r>
      <w:r w:rsidRPr="008F3BA3">
        <w:rPr>
          <w:b/>
          <w:bCs/>
          <w:lang w:val="ru-RU"/>
        </w:rPr>
        <w:t xml:space="preserve"> </w:t>
      </w:r>
    </w:p>
    <w:p w14:paraId="4E0A07ED" w14:textId="7019FB61" w:rsidR="00295439" w:rsidRPr="008F3BA3" w:rsidRDefault="00295439" w:rsidP="008F3BA3">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2495" w:hanging="624"/>
        <w:rPr>
          <w:lang w:val="ru-RU"/>
        </w:rPr>
      </w:pPr>
      <w:r w:rsidRPr="008F3BA3">
        <w:rPr>
          <w:b/>
          <w:bCs/>
          <w:lang w:val="ru-RU"/>
        </w:rPr>
        <w:t xml:space="preserve">Сценарий для ГФХУ 2: </w:t>
      </w:r>
      <w:r w:rsidRPr="00101DBB">
        <w:rPr>
          <w:lang w:val="ru-RU"/>
        </w:rPr>
        <w:t xml:space="preserve">применение показателей </w:t>
      </w:r>
      <w:r w:rsidRPr="008F3BA3">
        <w:rPr>
          <w:lang w:val="ru-RU"/>
        </w:rPr>
        <w:t>ЭЭ из руководящих указани</w:t>
      </w:r>
      <w:r w:rsidR="002779D8" w:rsidRPr="008F3BA3">
        <w:rPr>
          <w:lang w:val="ru-RU"/>
        </w:rPr>
        <w:t>й</w:t>
      </w:r>
      <w:r w:rsidRPr="008F3BA3">
        <w:rPr>
          <w:lang w:val="ru-RU"/>
        </w:rPr>
        <w:t xml:space="preserve"> для расчета расходов</w:t>
      </w:r>
      <w:r w:rsidRPr="00101DBB">
        <w:rPr>
          <w:lang w:val="ru-RU"/>
        </w:rPr>
        <w:t xml:space="preserve"> в производственных секторах для Сторон, не являющихся странами с НОП, у которых сохранился соответствующий критериям уровень потребления в производственных секторах</w:t>
      </w:r>
      <w:r w:rsidRPr="008F3BA3">
        <w:rPr>
          <w:lang w:val="ru-RU"/>
        </w:rPr>
        <w:t>.</w:t>
      </w:r>
    </w:p>
    <w:p w14:paraId="71DEFA2B" w14:textId="77777777" w:rsidR="00295439" w:rsidRPr="003A2354" w:rsidRDefault="00295439" w:rsidP="00326AA8">
      <w:pPr>
        <w:pStyle w:val="NormalNonumber"/>
        <w:tabs>
          <w:tab w:val="clear" w:pos="624"/>
          <w:tab w:val="clear" w:pos="1247"/>
          <w:tab w:val="clear" w:pos="1871"/>
          <w:tab w:val="clear" w:pos="2495"/>
          <w:tab w:val="clear" w:pos="3119"/>
          <w:tab w:val="clear" w:pos="3742"/>
          <w:tab w:val="clear" w:pos="4366"/>
          <w:tab w:val="clear" w:pos="4990"/>
        </w:tabs>
        <w:rPr>
          <w:lang w:val="ru-RU"/>
        </w:rPr>
      </w:pPr>
      <w:r w:rsidRPr="003A2354">
        <w:rPr>
          <w:lang w:val="ru-RU"/>
        </w:rPr>
        <w:t xml:space="preserve">При расчете объемов финансирования ЦГВП применяла </w:t>
      </w:r>
      <w:r>
        <w:rPr>
          <w:lang w:val="ru-RU"/>
        </w:rPr>
        <w:t xml:space="preserve">вычет в </w:t>
      </w:r>
      <w:r w:rsidRPr="003A2354">
        <w:rPr>
          <w:lang w:val="ru-RU"/>
        </w:rPr>
        <w:t xml:space="preserve">размере 15 процентов </w:t>
      </w:r>
      <w:r>
        <w:rPr>
          <w:lang w:val="ru-RU"/>
        </w:rPr>
        <w:t xml:space="preserve">для учета возможной </w:t>
      </w:r>
      <w:r w:rsidRPr="003A2354">
        <w:rPr>
          <w:lang w:val="ru-RU"/>
        </w:rPr>
        <w:t>иностранной собственности в производственных секторах,</w:t>
      </w:r>
      <w:r>
        <w:rPr>
          <w:lang w:val="ru-RU"/>
        </w:rPr>
        <w:t xml:space="preserve"> не соответствующих критериям</w:t>
      </w:r>
      <w:r w:rsidRPr="003A2354">
        <w:rPr>
          <w:lang w:val="ru-RU"/>
        </w:rPr>
        <w:t>.</w:t>
      </w:r>
    </w:p>
    <w:p w14:paraId="1230331E" w14:textId="0A00CD3B" w:rsidR="00295439" w:rsidRPr="003A2354" w:rsidRDefault="00295439" w:rsidP="00326AA8">
      <w:pPr>
        <w:pStyle w:val="NormalNonumber"/>
        <w:tabs>
          <w:tab w:val="clear" w:pos="624"/>
          <w:tab w:val="clear" w:pos="1247"/>
          <w:tab w:val="clear" w:pos="1871"/>
          <w:tab w:val="clear" w:pos="2495"/>
          <w:tab w:val="clear" w:pos="3119"/>
          <w:tab w:val="clear" w:pos="3742"/>
          <w:tab w:val="clear" w:pos="4366"/>
          <w:tab w:val="clear" w:pos="4990"/>
        </w:tabs>
        <w:rPr>
          <w:lang w:val="ru-RU"/>
        </w:rPr>
      </w:pPr>
      <w:r w:rsidRPr="003A2354">
        <w:rPr>
          <w:lang w:val="ru-RU"/>
        </w:rPr>
        <w:t xml:space="preserve">ЦГВП рассмотрела варианты сценариев для определения диапазона финансирования в рамках своего ТЗ, в том числе вопрос о применении последних </w:t>
      </w:r>
      <w:r>
        <w:rPr>
          <w:lang w:val="ru-RU"/>
        </w:rPr>
        <w:t>значени</w:t>
      </w:r>
      <w:r w:rsidR="008B069D">
        <w:rPr>
          <w:lang w:val="ru-RU"/>
        </w:rPr>
        <w:t>й</w:t>
      </w:r>
      <w:r w:rsidRPr="003A2354">
        <w:rPr>
          <w:lang w:val="ru-RU"/>
        </w:rPr>
        <w:t xml:space="preserve"> экономической эффективности, утвержденных для Стороны с наибольшим потреблением ГХФУ, однако для применения этого или иных подходов, способных существенно изменить диапазон финансирования, потребуются руководящие указания Сторон.</w:t>
      </w:r>
    </w:p>
    <w:p w14:paraId="5E25C42A" w14:textId="2B0E99A0" w:rsidR="00295439" w:rsidRPr="003A2354" w:rsidRDefault="00295439" w:rsidP="00326AA8">
      <w:pPr>
        <w:pStyle w:val="NormalNonumber"/>
        <w:tabs>
          <w:tab w:val="clear" w:pos="624"/>
          <w:tab w:val="clear" w:pos="1247"/>
          <w:tab w:val="clear" w:pos="1871"/>
          <w:tab w:val="clear" w:pos="2495"/>
          <w:tab w:val="clear" w:pos="3119"/>
          <w:tab w:val="clear" w:pos="3742"/>
          <w:tab w:val="clear" w:pos="4366"/>
          <w:tab w:val="clear" w:pos="4990"/>
        </w:tabs>
        <w:rPr>
          <w:lang w:val="ru-RU"/>
        </w:rPr>
      </w:pPr>
      <w:r w:rsidRPr="003A2354">
        <w:rPr>
          <w:lang w:val="ru-RU"/>
        </w:rPr>
        <w:lastRenderedPageBreak/>
        <w:t xml:space="preserve">ЦГВП исходила из того, что полный вывод из обращения произойдет к 2030 году с учетом специальных </w:t>
      </w:r>
      <w:r>
        <w:rPr>
          <w:lang w:val="ru-RU"/>
        </w:rPr>
        <w:t>исключений</w:t>
      </w:r>
      <w:r w:rsidRPr="003A2354">
        <w:rPr>
          <w:lang w:val="ru-RU"/>
        </w:rPr>
        <w:t>, предусмотренных Монреальским протоколом и описанных выше, в отношении потребления для нужд технического обслуживания. Решением Исполнительного комитета 62/17 «двусторонним организациям и международным агентствам при подготовке многолетних П</w:t>
      </w:r>
      <w:r>
        <w:rPr>
          <w:lang w:val="ru-RU"/>
        </w:rPr>
        <w:t>РПГ</w:t>
      </w:r>
      <w:r w:rsidRPr="003A2354">
        <w:rPr>
          <w:lang w:val="ru-RU"/>
        </w:rPr>
        <w:t xml:space="preserve"> было предложено обеспечить, чтобы последний транш составлял 10</w:t>
      </w:r>
      <w:r w:rsidR="001D30BE">
        <w:rPr>
          <w:lang w:val="ru-RU"/>
        </w:rPr>
        <w:t> </w:t>
      </w:r>
      <w:r>
        <w:rPr>
          <w:lang w:val="ru-RU"/>
        </w:rPr>
        <w:t xml:space="preserve">процентов </w:t>
      </w:r>
      <w:r w:rsidRPr="003A2354">
        <w:rPr>
          <w:lang w:val="ru-RU"/>
        </w:rPr>
        <w:t xml:space="preserve">от общего объема финансирования для сектора технического обслуживания холодильного оборудования в соответствующем соглашении и был </w:t>
      </w:r>
      <w:r>
        <w:rPr>
          <w:lang w:val="ru-RU"/>
        </w:rPr>
        <w:t xml:space="preserve">запланирован </w:t>
      </w:r>
      <w:r w:rsidRPr="003A2354">
        <w:rPr>
          <w:lang w:val="ru-RU"/>
        </w:rPr>
        <w:t xml:space="preserve">на последний год плана». ЦГВП исходила из того, что последний транш </w:t>
      </w:r>
      <w:r>
        <w:rPr>
          <w:lang w:val="ru-RU"/>
        </w:rPr>
        <w:t>ПРПГ</w:t>
      </w:r>
      <w:r w:rsidRPr="003A2354">
        <w:rPr>
          <w:lang w:val="ru-RU"/>
        </w:rPr>
        <w:t xml:space="preserve"> будет осуществлен в 2030</w:t>
      </w:r>
      <w:r w:rsidR="001D30BE">
        <w:rPr>
          <w:lang w:val="ru-RU"/>
        </w:rPr>
        <w:t> </w:t>
      </w:r>
      <w:r w:rsidRPr="003A2354">
        <w:rPr>
          <w:lang w:val="ru-RU"/>
        </w:rPr>
        <w:t>году; соответственно, 90</w:t>
      </w:r>
      <w:r>
        <w:rPr>
          <w:lang w:val="ru-RU"/>
        </w:rPr>
        <w:t xml:space="preserve"> процентов </w:t>
      </w:r>
      <w:r w:rsidRPr="003A2354">
        <w:rPr>
          <w:lang w:val="ru-RU"/>
        </w:rPr>
        <w:t>от общего объема ресурсов, выделяемых на вывод из обращения, придется на трехгодичный период 2027–2029 годов, а 10</w:t>
      </w:r>
      <w:r>
        <w:rPr>
          <w:lang w:val="ru-RU"/>
        </w:rPr>
        <w:t xml:space="preserve"> процентов</w:t>
      </w:r>
      <w:r w:rsidRPr="003A2354">
        <w:rPr>
          <w:lang w:val="ru-RU"/>
        </w:rPr>
        <w:t xml:space="preserve"> для последнего транша будут выделены на следующий трехгодичный период 2030–2032 годов в соответствии с намерением, выраженным в решении 62/17</w:t>
      </w:r>
      <w:r>
        <w:rPr>
          <w:lang w:val="ru-RU"/>
        </w:rPr>
        <w:t xml:space="preserve"> И</w:t>
      </w:r>
      <w:r w:rsidR="00C932A4">
        <w:rPr>
          <w:lang w:val="ru-RU"/>
        </w:rPr>
        <w:t>сполнительного комитета</w:t>
      </w:r>
      <w:r w:rsidRPr="003A2354">
        <w:rPr>
          <w:lang w:val="ru-RU"/>
        </w:rPr>
        <w:t>.</w:t>
      </w:r>
    </w:p>
    <w:p w14:paraId="69E356EC" w14:textId="26CF6E7E" w:rsidR="00295439" w:rsidRPr="003A2354" w:rsidRDefault="00295439" w:rsidP="001D30BE">
      <w:pPr>
        <w:pStyle w:val="CH3"/>
        <w:keepNext w:val="0"/>
        <w:keepLines w:val="0"/>
        <w:tabs>
          <w:tab w:val="clear" w:pos="851"/>
          <w:tab w:val="clear" w:pos="1247"/>
          <w:tab w:val="clear" w:pos="1871"/>
          <w:tab w:val="clear" w:pos="2495"/>
          <w:tab w:val="clear" w:pos="3119"/>
          <w:tab w:val="clear" w:pos="3742"/>
          <w:tab w:val="clear" w:pos="4366"/>
          <w:tab w:val="clear" w:pos="4990"/>
        </w:tabs>
        <w:spacing w:before="0"/>
        <w:ind w:right="0" w:firstLine="0"/>
        <w:rPr>
          <w:b w:val="0"/>
          <w:bCs/>
          <w:i/>
          <w:iCs/>
          <w:lang w:val="ru-RU"/>
        </w:rPr>
      </w:pPr>
      <w:r>
        <w:rPr>
          <w:lang w:val="ru-RU"/>
        </w:rPr>
        <w:tab/>
      </w:r>
      <w:r>
        <w:rPr>
          <w:bCs/>
          <w:i/>
          <w:iCs/>
          <w:lang w:val="ru-RU"/>
        </w:rPr>
        <w:t xml:space="preserve">Сектор производства </w:t>
      </w:r>
    </w:p>
    <w:p w14:paraId="518A8981" w14:textId="77777777" w:rsidR="00295439" w:rsidRPr="003A2354" w:rsidRDefault="00295439" w:rsidP="001D30BE">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Общий объем производства ГХФУ значительно ниже совокупного базового уровня производства. В сводный план работы Многостороннего фонда на период 2026–2028 годов был включен только один проект в производственном секторе (план регулирования поэтапного прекращения производства ГХФУ в Китае, этап III (ПРППГ)), который потребует финансирования в течение трехгодичного периода 2027–2029 годов.</w:t>
      </w:r>
    </w:p>
    <w:p w14:paraId="4AC9F7AC" w14:textId="7D08FC50" w:rsidR="00295439" w:rsidRPr="003A2354" w:rsidRDefault="00295439" w:rsidP="001D30BE">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right="284" w:firstLine="0"/>
        <w:rPr>
          <w:lang w:val="ru-RU"/>
        </w:rPr>
      </w:pPr>
      <w:r>
        <w:rPr>
          <w:lang w:val="ru-RU"/>
        </w:rPr>
        <w:tab/>
      </w:r>
      <w:r>
        <w:rPr>
          <w:bCs/>
          <w:lang w:val="ru-RU"/>
        </w:rPr>
        <w:t>Сводная информация о расчетных объемах финансирования поэтапного вывода из обращения ГХФУ в секторах потребления и производства</w:t>
      </w:r>
    </w:p>
    <w:p w14:paraId="412F6B35" w14:textId="77777777" w:rsidR="00295439" w:rsidRPr="003A2354" w:rsidRDefault="00295439" w:rsidP="001D30BE">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В таблице КИ.2 приведены ориентировочные диапазоны общей потребности в финансировании на трехгодичные периоды 2027–2029 и 2030–2032 годов для секторов потребления и производства ГХФУ:</w:t>
      </w:r>
    </w:p>
    <w:p w14:paraId="5330B568" w14:textId="3C6A1A54" w:rsidR="00295439" w:rsidRPr="008F3BA3" w:rsidRDefault="00295439" w:rsidP="008F3BA3">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2495" w:hanging="624"/>
        <w:rPr>
          <w:b/>
          <w:bCs/>
          <w:lang w:val="ru-RU"/>
        </w:rPr>
      </w:pPr>
      <w:r w:rsidRPr="008F46AB">
        <w:rPr>
          <w:b/>
          <w:bCs/>
          <w:lang w:val="ru-RU"/>
        </w:rPr>
        <w:t>2027–2029 годы: от 451 млн</w:t>
      </w:r>
      <w:r w:rsidR="00FA4A52" w:rsidRPr="008F46AB">
        <w:rPr>
          <w:b/>
          <w:bCs/>
          <w:lang w:val="ru-RU"/>
        </w:rPr>
        <w:t xml:space="preserve"> долл. США</w:t>
      </w:r>
      <w:r w:rsidRPr="008F46AB">
        <w:rPr>
          <w:b/>
          <w:bCs/>
          <w:lang w:val="ru-RU"/>
        </w:rPr>
        <w:t xml:space="preserve"> до 573 млн долл. США</w:t>
      </w:r>
    </w:p>
    <w:p w14:paraId="0EAC38DE" w14:textId="45099FAB" w:rsidR="00295439" w:rsidRPr="008F3BA3" w:rsidRDefault="00295439" w:rsidP="008F3BA3">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2495" w:hanging="624"/>
        <w:rPr>
          <w:b/>
          <w:bCs/>
          <w:lang w:val="ru-RU"/>
        </w:rPr>
      </w:pPr>
      <w:r w:rsidRPr="008F46AB">
        <w:rPr>
          <w:b/>
          <w:bCs/>
          <w:lang w:val="ru-RU"/>
        </w:rPr>
        <w:t>2030–2032 годы: от 83</w:t>
      </w:r>
      <w:r w:rsidR="00FA4A52" w:rsidRPr="008F46AB">
        <w:rPr>
          <w:b/>
          <w:bCs/>
          <w:lang w:val="ru-RU"/>
        </w:rPr>
        <w:t xml:space="preserve"> млн долл. США</w:t>
      </w:r>
      <w:r w:rsidRPr="008F46AB">
        <w:rPr>
          <w:b/>
          <w:bCs/>
          <w:lang w:val="ru-RU"/>
        </w:rPr>
        <w:t xml:space="preserve"> до 96 млн долл. США</w:t>
      </w:r>
    </w:p>
    <w:p w14:paraId="000E4736" w14:textId="794EFF4B" w:rsidR="00295439" w:rsidRPr="007136EB" w:rsidRDefault="00295439" w:rsidP="00295439">
      <w:pPr>
        <w:pStyle w:val="Titletable"/>
        <w:rPr>
          <w:lang w:val="ru-RU"/>
        </w:rPr>
      </w:pPr>
      <w:r w:rsidRPr="001D30BE">
        <w:rPr>
          <w:b w:val="0"/>
          <w:bCs w:val="0"/>
          <w:lang w:val="ru-RU"/>
        </w:rPr>
        <w:t>Таблица К</w:t>
      </w:r>
      <w:r w:rsidR="002779D8">
        <w:rPr>
          <w:b w:val="0"/>
          <w:bCs w:val="0"/>
          <w:lang w:val="ru-RU"/>
        </w:rPr>
        <w:t>И</w:t>
      </w:r>
      <w:r w:rsidRPr="001D30BE">
        <w:rPr>
          <w:b w:val="0"/>
          <w:bCs w:val="0"/>
          <w:lang w:val="ru-RU"/>
        </w:rPr>
        <w:t xml:space="preserve">.2 </w:t>
      </w:r>
      <w:r w:rsidR="001D30BE" w:rsidRPr="001D30BE">
        <w:rPr>
          <w:b w:val="0"/>
          <w:bCs w:val="0"/>
          <w:lang w:val="ru-RU"/>
        </w:rPr>
        <w:br/>
      </w:r>
      <w:r>
        <w:rPr>
          <w:lang w:val="ru-RU"/>
        </w:rPr>
        <w:t xml:space="preserve">Расчетные общие потребности в финансировании полного поэтапного вывода из обращения ГХФУ в периоды 2027–2029 годов и </w:t>
      </w:r>
      <w:r w:rsidR="00B31300">
        <w:rPr>
          <w:lang w:val="ru-RU"/>
        </w:rPr>
        <w:t xml:space="preserve">2030–2032 </w:t>
      </w:r>
      <w:r>
        <w:rPr>
          <w:lang w:val="ru-RU"/>
        </w:rPr>
        <w:t>годов (млн долл. США)</w:t>
      </w:r>
    </w:p>
    <w:tbl>
      <w:tblPr>
        <w:tblW w:w="8307" w:type="dxa"/>
        <w:jc w:val="right"/>
        <w:tblLayout w:type="fixed"/>
        <w:tblCellMar>
          <w:left w:w="0" w:type="dxa"/>
          <w:right w:w="0" w:type="dxa"/>
        </w:tblCellMar>
        <w:tblLook w:val="04A0" w:firstRow="1" w:lastRow="0" w:firstColumn="1" w:lastColumn="0" w:noHBand="0" w:noVBand="1"/>
      </w:tblPr>
      <w:tblGrid>
        <w:gridCol w:w="1562"/>
        <w:gridCol w:w="2550"/>
        <w:gridCol w:w="1985"/>
        <w:gridCol w:w="2210"/>
      </w:tblGrid>
      <w:tr w:rsidR="00295439" w:rsidRPr="00D245AD" w14:paraId="6F87A45F" w14:textId="77777777" w:rsidTr="001D30BE">
        <w:trPr>
          <w:trHeight w:val="307"/>
          <w:jc w:val="right"/>
        </w:trPr>
        <w:tc>
          <w:tcPr>
            <w:tcW w:w="940" w:type="pct"/>
            <w:vMerge w:val="restart"/>
            <w:tcBorders>
              <w:top w:val="single" w:sz="4" w:space="0" w:color="auto"/>
              <w:bottom w:val="single" w:sz="12" w:space="0" w:color="auto"/>
            </w:tcBorders>
            <w:vAlign w:val="bottom"/>
          </w:tcPr>
          <w:p w14:paraId="3ECE9CB0" w14:textId="23B3D346" w:rsidR="00295439" w:rsidRPr="00D245AD" w:rsidRDefault="00295439" w:rsidP="001D30BE">
            <w:pPr>
              <w:pStyle w:val="Normal-pool-Table"/>
              <w:tabs>
                <w:tab w:val="clear" w:pos="624"/>
                <w:tab w:val="clear" w:pos="1247"/>
                <w:tab w:val="clear" w:pos="1871"/>
                <w:tab w:val="clear" w:pos="2495"/>
                <w:tab w:val="clear" w:pos="3119"/>
                <w:tab w:val="clear" w:pos="3742"/>
                <w:tab w:val="clear" w:pos="4366"/>
                <w:tab w:val="clear" w:pos="4990"/>
              </w:tabs>
              <w:rPr>
                <w:i/>
                <w:iCs/>
              </w:rPr>
            </w:pPr>
            <w:r>
              <w:rPr>
                <w:i/>
                <w:iCs/>
                <w:color w:val="000000"/>
                <w:lang w:val="ru-RU"/>
              </w:rPr>
              <w:t xml:space="preserve">Трехгодичный </w:t>
            </w:r>
            <w:r w:rsidR="001D30BE">
              <w:rPr>
                <w:i/>
                <w:iCs/>
                <w:color w:val="000000"/>
                <w:lang w:val="ru-RU"/>
              </w:rPr>
              <w:br/>
            </w:r>
            <w:r>
              <w:rPr>
                <w:i/>
                <w:iCs/>
                <w:color w:val="000000"/>
                <w:lang w:val="ru-RU"/>
              </w:rPr>
              <w:t>период</w:t>
            </w:r>
          </w:p>
        </w:tc>
        <w:tc>
          <w:tcPr>
            <w:tcW w:w="1535" w:type="pct"/>
            <w:vMerge w:val="restart"/>
            <w:tcBorders>
              <w:top w:val="single" w:sz="4" w:space="0" w:color="auto"/>
              <w:bottom w:val="single" w:sz="12" w:space="0" w:color="auto"/>
            </w:tcBorders>
            <w:vAlign w:val="bottom"/>
            <w:hideMark/>
          </w:tcPr>
          <w:p w14:paraId="175DDD04" w14:textId="77777777" w:rsidR="00295439" w:rsidRPr="00D245AD" w:rsidRDefault="00295439" w:rsidP="001D30BE">
            <w:pPr>
              <w:pStyle w:val="Normal-pool-Table"/>
              <w:tabs>
                <w:tab w:val="clear" w:pos="624"/>
                <w:tab w:val="clear" w:pos="1247"/>
                <w:tab w:val="clear" w:pos="1871"/>
                <w:tab w:val="clear" w:pos="2495"/>
                <w:tab w:val="clear" w:pos="3119"/>
                <w:tab w:val="clear" w:pos="3742"/>
                <w:tab w:val="clear" w:pos="4366"/>
                <w:tab w:val="clear" w:pos="4990"/>
              </w:tabs>
              <w:rPr>
                <w:rFonts w:ascii="Segoe UI" w:hAnsi="Segoe UI" w:cs="Segoe UI"/>
                <w:i/>
                <w:iCs/>
                <w:szCs w:val="18"/>
              </w:rPr>
            </w:pPr>
            <w:r>
              <w:rPr>
                <w:i/>
                <w:iCs/>
                <w:color w:val="000000"/>
                <w:lang w:val="ru-RU"/>
              </w:rPr>
              <w:t>Сектор</w:t>
            </w:r>
          </w:p>
        </w:tc>
        <w:tc>
          <w:tcPr>
            <w:tcW w:w="2526" w:type="pct"/>
            <w:gridSpan w:val="2"/>
            <w:tcBorders>
              <w:top w:val="single" w:sz="4" w:space="0" w:color="auto"/>
              <w:bottom w:val="single" w:sz="4" w:space="0" w:color="auto"/>
            </w:tcBorders>
            <w:vAlign w:val="bottom"/>
            <w:hideMark/>
          </w:tcPr>
          <w:p w14:paraId="06F491BD" w14:textId="77777777" w:rsidR="00295439" w:rsidRPr="00D245AD" w:rsidRDefault="00295439" w:rsidP="001D30BE">
            <w:pPr>
              <w:pStyle w:val="Normal-pool-Table"/>
              <w:tabs>
                <w:tab w:val="clear" w:pos="624"/>
                <w:tab w:val="clear" w:pos="1247"/>
                <w:tab w:val="clear" w:pos="1871"/>
                <w:tab w:val="clear" w:pos="2495"/>
                <w:tab w:val="clear" w:pos="3119"/>
                <w:tab w:val="clear" w:pos="3742"/>
                <w:tab w:val="clear" w:pos="4366"/>
                <w:tab w:val="clear" w:pos="4990"/>
              </w:tabs>
              <w:jc w:val="center"/>
              <w:rPr>
                <w:rFonts w:ascii="Segoe UI" w:hAnsi="Segoe UI" w:cs="Segoe UI"/>
                <w:i/>
                <w:iCs/>
                <w:szCs w:val="18"/>
              </w:rPr>
            </w:pPr>
            <w:r>
              <w:rPr>
                <w:i/>
                <w:iCs/>
                <w:color w:val="000000"/>
                <w:lang w:val="ru-RU"/>
              </w:rPr>
              <w:t>РАСЧЕТНЫЙ ДИАПАЗОН ФИНАНСИРОВАНИЯ ДЛЯ ГХФУ (млн долл. США)</w:t>
            </w:r>
          </w:p>
        </w:tc>
      </w:tr>
      <w:tr w:rsidR="00295439" w:rsidRPr="008F3BA3" w14:paraId="36EF540B" w14:textId="77777777" w:rsidTr="001D30BE">
        <w:trPr>
          <w:trHeight w:val="61"/>
          <w:jc w:val="right"/>
        </w:trPr>
        <w:tc>
          <w:tcPr>
            <w:tcW w:w="940" w:type="pct"/>
            <w:vMerge/>
            <w:tcBorders>
              <w:bottom w:val="single" w:sz="12" w:space="0" w:color="auto"/>
            </w:tcBorders>
            <w:vAlign w:val="bottom"/>
          </w:tcPr>
          <w:p w14:paraId="41B9D0DD" w14:textId="77777777" w:rsidR="00295439" w:rsidRPr="00D245AD" w:rsidRDefault="00295439" w:rsidP="001D30BE">
            <w:pPr>
              <w:pStyle w:val="Normal-pool-Table"/>
              <w:tabs>
                <w:tab w:val="clear" w:pos="624"/>
                <w:tab w:val="clear" w:pos="1247"/>
                <w:tab w:val="clear" w:pos="1871"/>
                <w:tab w:val="clear" w:pos="2495"/>
                <w:tab w:val="clear" w:pos="3119"/>
                <w:tab w:val="clear" w:pos="3742"/>
                <w:tab w:val="clear" w:pos="4366"/>
                <w:tab w:val="clear" w:pos="4990"/>
              </w:tabs>
              <w:rPr>
                <w:rFonts w:ascii="Segoe UI" w:hAnsi="Segoe UI" w:cs="Segoe UI"/>
                <w:i/>
                <w:iCs/>
                <w:szCs w:val="18"/>
                <w:lang w:val="en-US"/>
              </w:rPr>
            </w:pPr>
          </w:p>
        </w:tc>
        <w:tc>
          <w:tcPr>
            <w:tcW w:w="1535" w:type="pct"/>
            <w:vMerge/>
            <w:tcBorders>
              <w:bottom w:val="single" w:sz="12" w:space="0" w:color="auto"/>
            </w:tcBorders>
            <w:vAlign w:val="bottom"/>
            <w:hideMark/>
          </w:tcPr>
          <w:p w14:paraId="108E8DF9" w14:textId="77777777" w:rsidR="00295439" w:rsidRPr="00D245AD" w:rsidRDefault="00295439" w:rsidP="001D30BE">
            <w:pPr>
              <w:pStyle w:val="Normal-pool-Table"/>
              <w:tabs>
                <w:tab w:val="clear" w:pos="624"/>
                <w:tab w:val="clear" w:pos="1247"/>
                <w:tab w:val="clear" w:pos="1871"/>
                <w:tab w:val="clear" w:pos="2495"/>
                <w:tab w:val="clear" w:pos="3119"/>
                <w:tab w:val="clear" w:pos="3742"/>
                <w:tab w:val="clear" w:pos="4366"/>
                <w:tab w:val="clear" w:pos="4990"/>
              </w:tabs>
              <w:rPr>
                <w:rFonts w:ascii="Segoe UI" w:hAnsi="Segoe UI" w:cs="Segoe UI"/>
                <w:i/>
                <w:iCs/>
                <w:szCs w:val="18"/>
                <w:lang w:val="en-US"/>
              </w:rPr>
            </w:pPr>
          </w:p>
        </w:tc>
        <w:tc>
          <w:tcPr>
            <w:tcW w:w="1195" w:type="pct"/>
            <w:tcBorders>
              <w:top w:val="single" w:sz="4" w:space="0" w:color="auto"/>
              <w:bottom w:val="single" w:sz="12" w:space="0" w:color="auto"/>
            </w:tcBorders>
            <w:vAlign w:val="bottom"/>
            <w:hideMark/>
          </w:tcPr>
          <w:p w14:paraId="47E93B36" w14:textId="31F8D2C7" w:rsidR="00295439" w:rsidRPr="003A2354" w:rsidRDefault="00295439" w:rsidP="001D30BE">
            <w:pPr>
              <w:pStyle w:val="Normal-pool-Table"/>
              <w:tabs>
                <w:tab w:val="clear" w:pos="624"/>
                <w:tab w:val="clear" w:pos="1247"/>
                <w:tab w:val="clear" w:pos="1871"/>
                <w:tab w:val="clear" w:pos="2495"/>
                <w:tab w:val="clear" w:pos="3119"/>
                <w:tab w:val="clear" w:pos="3742"/>
                <w:tab w:val="clear" w:pos="4366"/>
                <w:tab w:val="clear" w:pos="4990"/>
              </w:tabs>
              <w:jc w:val="right"/>
              <w:rPr>
                <w:rFonts w:ascii="Segoe UI" w:hAnsi="Segoe UI" w:cs="Segoe UI"/>
                <w:i/>
                <w:iCs/>
                <w:szCs w:val="18"/>
                <w:lang w:val="ru-RU"/>
              </w:rPr>
            </w:pPr>
            <w:r>
              <w:rPr>
                <w:i/>
                <w:iCs/>
                <w:color w:val="000000"/>
                <w:lang w:val="ru-RU"/>
              </w:rPr>
              <w:t xml:space="preserve">Сценарий 1 для ГХФУ с распределением </w:t>
            </w:r>
            <w:r w:rsidR="001D30BE">
              <w:rPr>
                <w:i/>
                <w:iCs/>
                <w:color w:val="000000"/>
                <w:lang w:val="ru-RU"/>
              </w:rPr>
              <w:br/>
            </w:r>
            <w:r>
              <w:rPr>
                <w:i/>
                <w:iCs/>
                <w:color w:val="000000"/>
                <w:lang w:val="ru-RU"/>
              </w:rPr>
              <w:t>90%/10%</w:t>
            </w:r>
          </w:p>
        </w:tc>
        <w:tc>
          <w:tcPr>
            <w:tcW w:w="1331" w:type="pct"/>
            <w:tcBorders>
              <w:top w:val="single" w:sz="4" w:space="0" w:color="auto"/>
              <w:bottom w:val="single" w:sz="12" w:space="0" w:color="auto"/>
            </w:tcBorders>
            <w:vAlign w:val="bottom"/>
            <w:hideMark/>
          </w:tcPr>
          <w:p w14:paraId="59915178" w14:textId="4A0CD591" w:rsidR="00295439" w:rsidRPr="003A2354" w:rsidRDefault="00295439" w:rsidP="001D30BE">
            <w:pPr>
              <w:pStyle w:val="Normal-pool-Table"/>
              <w:tabs>
                <w:tab w:val="clear" w:pos="624"/>
                <w:tab w:val="clear" w:pos="1247"/>
                <w:tab w:val="clear" w:pos="1871"/>
                <w:tab w:val="clear" w:pos="2495"/>
                <w:tab w:val="clear" w:pos="3119"/>
                <w:tab w:val="clear" w:pos="3742"/>
                <w:tab w:val="clear" w:pos="4366"/>
                <w:tab w:val="clear" w:pos="4990"/>
              </w:tabs>
              <w:jc w:val="right"/>
              <w:rPr>
                <w:rFonts w:ascii="Segoe UI" w:hAnsi="Segoe UI" w:cs="Segoe UI"/>
                <w:i/>
                <w:iCs/>
                <w:szCs w:val="18"/>
                <w:lang w:val="ru-RU"/>
              </w:rPr>
            </w:pPr>
            <w:r>
              <w:rPr>
                <w:i/>
                <w:iCs/>
                <w:color w:val="000000"/>
                <w:lang w:val="ru-RU"/>
              </w:rPr>
              <w:t xml:space="preserve">Сценарий 2 для ГХФУ с распределением </w:t>
            </w:r>
            <w:r w:rsidR="001D30BE">
              <w:rPr>
                <w:i/>
                <w:iCs/>
                <w:color w:val="000000"/>
                <w:lang w:val="ru-RU"/>
              </w:rPr>
              <w:br/>
            </w:r>
            <w:r>
              <w:rPr>
                <w:i/>
                <w:iCs/>
                <w:color w:val="000000"/>
                <w:lang w:val="ru-RU"/>
              </w:rPr>
              <w:t>90%/10%</w:t>
            </w:r>
          </w:p>
        </w:tc>
      </w:tr>
      <w:tr w:rsidR="00295439" w:rsidRPr="00D245AD" w14:paraId="39F764C8" w14:textId="77777777" w:rsidTr="001D30BE">
        <w:trPr>
          <w:trHeight w:val="291"/>
          <w:jc w:val="right"/>
        </w:trPr>
        <w:tc>
          <w:tcPr>
            <w:tcW w:w="940" w:type="pct"/>
            <w:vMerge w:val="restart"/>
            <w:tcBorders>
              <w:top w:val="single" w:sz="12" w:space="0" w:color="auto"/>
            </w:tcBorders>
            <w:vAlign w:val="center"/>
          </w:tcPr>
          <w:p w14:paraId="1677EF9B" w14:textId="3A9D290A" w:rsidR="00295439" w:rsidRPr="00D245AD" w:rsidRDefault="001D30BE" w:rsidP="001D30BE">
            <w:pPr>
              <w:pStyle w:val="Normal-pool-Table"/>
              <w:tabs>
                <w:tab w:val="clear" w:pos="624"/>
                <w:tab w:val="clear" w:pos="1247"/>
                <w:tab w:val="clear" w:pos="1871"/>
                <w:tab w:val="clear" w:pos="2495"/>
                <w:tab w:val="clear" w:pos="3119"/>
                <w:tab w:val="clear" w:pos="3742"/>
                <w:tab w:val="clear" w:pos="4366"/>
                <w:tab w:val="clear" w:pos="4990"/>
              </w:tabs>
            </w:pPr>
            <w:r>
              <w:rPr>
                <w:color w:val="000000"/>
                <w:lang w:val="ru-RU"/>
              </w:rPr>
              <w:t>2027–2029</w:t>
            </w:r>
          </w:p>
        </w:tc>
        <w:tc>
          <w:tcPr>
            <w:tcW w:w="1535" w:type="pct"/>
            <w:tcBorders>
              <w:top w:val="single" w:sz="12" w:space="0" w:color="auto"/>
            </w:tcBorders>
            <w:vAlign w:val="bottom"/>
            <w:hideMark/>
          </w:tcPr>
          <w:p w14:paraId="122FDD56" w14:textId="77777777" w:rsidR="00295439" w:rsidRPr="00D245AD" w:rsidRDefault="00295439" w:rsidP="001D30BE">
            <w:pPr>
              <w:pStyle w:val="Normal-pool-Table"/>
              <w:tabs>
                <w:tab w:val="clear" w:pos="624"/>
                <w:tab w:val="clear" w:pos="1247"/>
                <w:tab w:val="clear" w:pos="1871"/>
                <w:tab w:val="clear" w:pos="2495"/>
                <w:tab w:val="clear" w:pos="3119"/>
                <w:tab w:val="clear" w:pos="3742"/>
                <w:tab w:val="clear" w:pos="4366"/>
                <w:tab w:val="clear" w:pos="4990"/>
              </w:tabs>
              <w:rPr>
                <w:rFonts w:ascii="Segoe UI" w:hAnsi="Segoe UI" w:cs="Segoe UI"/>
                <w:szCs w:val="18"/>
              </w:rPr>
            </w:pPr>
            <w:r>
              <w:rPr>
                <w:color w:val="000000"/>
                <w:lang w:val="ru-RU"/>
              </w:rPr>
              <w:t xml:space="preserve">Сектор потребления ГХФУ </w:t>
            </w:r>
          </w:p>
        </w:tc>
        <w:tc>
          <w:tcPr>
            <w:tcW w:w="1195" w:type="pct"/>
            <w:tcBorders>
              <w:top w:val="single" w:sz="12" w:space="0" w:color="auto"/>
            </w:tcBorders>
            <w:vAlign w:val="center"/>
            <w:hideMark/>
          </w:tcPr>
          <w:p w14:paraId="514ADF6B" w14:textId="77777777" w:rsidR="00295439" w:rsidRPr="00D245AD" w:rsidRDefault="00295439" w:rsidP="001D30BE">
            <w:pPr>
              <w:pStyle w:val="Normal-pool-Table"/>
              <w:tabs>
                <w:tab w:val="clear" w:pos="624"/>
                <w:tab w:val="clear" w:pos="1247"/>
                <w:tab w:val="clear" w:pos="1871"/>
                <w:tab w:val="clear" w:pos="2495"/>
                <w:tab w:val="clear" w:pos="3119"/>
                <w:tab w:val="clear" w:pos="3742"/>
                <w:tab w:val="clear" w:pos="4366"/>
                <w:tab w:val="clear" w:pos="4990"/>
              </w:tabs>
              <w:jc w:val="right"/>
              <w:rPr>
                <w:rFonts w:ascii="Segoe UI" w:hAnsi="Segoe UI" w:cs="Segoe UI"/>
                <w:szCs w:val="18"/>
              </w:rPr>
            </w:pPr>
            <w:r>
              <w:rPr>
                <w:color w:val="000000"/>
                <w:lang w:val="ru-RU"/>
              </w:rPr>
              <w:t>427,56</w:t>
            </w:r>
          </w:p>
        </w:tc>
        <w:tc>
          <w:tcPr>
            <w:tcW w:w="1331" w:type="pct"/>
            <w:tcBorders>
              <w:top w:val="single" w:sz="12" w:space="0" w:color="auto"/>
            </w:tcBorders>
            <w:vAlign w:val="center"/>
            <w:hideMark/>
          </w:tcPr>
          <w:p w14:paraId="4069E808" w14:textId="77777777" w:rsidR="00295439" w:rsidRPr="00D245AD" w:rsidRDefault="00295439" w:rsidP="001D30BE">
            <w:pPr>
              <w:pStyle w:val="Normal-pool-Table"/>
              <w:tabs>
                <w:tab w:val="clear" w:pos="624"/>
                <w:tab w:val="clear" w:pos="1247"/>
                <w:tab w:val="clear" w:pos="1871"/>
                <w:tab w:val="clear" w:pos="2495"/>
                <w:tab w:val="clear" w:pos="3119"/>
                <w:tab w:val="clear" w:pos="3742"/>
                <w:tab w:val="clear" w:pos="4366"/>
                <w:tab w:val="clear" w:pos="4990"/>
              </w:tabs>
              <w:jc w:val="right"/>
              <w:rPr>
                <w:rFonts w:ascii="Segoe UI" w:hAnsi="Segoe UI" w:cs="Segoe UI"/>
                <w:szCs w:val="18"/>
              </w:rPr>
            </w:pPr>
            <w:r>
              <w:rPr>
                <w:color w:val="000000"/>
                <w:lang w:val="ru-RU"/>
              </w:rPr>
              <w:t>549,44</w:t>
            </w:r>
          </w:p>
        </w:tc>
      </w:tr>
      <w:tr w:rsidR="00295439" w:rsidRPr="00D245AD" w14:paraId="47DF9BCF" w14:textId="77777777" w:rsidTr="001D30BE">
        <w:trPr>
          <w:trHeight w:val="291"/>
          <w:jc w:val="right"/>
        </w:trPr>
        <w:tc>
          <w:tcPr>
            <w:tcW w:w="940" w:type="pct"/>
            <w:vMerge/>
          </w:tcPr>
          <w:p w14:paraId="62E21962" w14:textId="77777777" w:rsidR="00295439" w:rsidRPr="00D245AD" w:rsidRDefault="00295439" w:rsidP="001D30BE">
            <w:pPr>
              <w:pStyle w:val="Normal-pool-Table"/>
              <w:tabs>
                <w:tab w:val="clear" w:pos="624"/>
                <w:tab w:val="clear" w:pos="1247"/>
                <w:tab w:val="clear" w:pos="1871"/>
                <w:tab w:val="clear" w:pos="2495"/>
                <w:tab w:val="clear" w:pos="3119"/>
                <w:tab w:val="clear" w:pos="3742"/>
                <w:tab w:val="clear" w:pos="4366"/>
                <w:tab w:val="clear" w:pos="4990"/>
              </w:tabs>
              <w:rPr>
                <w:lang w:val="en-US"/>
              </w:rPr>
            </w:pPr>
          </w:p>
        </w:tc>
        <w:tc>
          <w:tcPr>
            <w:tcW w:w="1535" w:type="pct"/>
            <w:tcBorders>
              <w:bottom w:val="single" w:sz="4" w:space="0" w:color="auto"/>
            </w:tcBorders>
            <w:vAlign w:val="bottom"/>
          </w:tcPr>
          <w:p w14:paraId="16F49E72" w14:textId="77777777" w:rsidR="00295439" w:rsidRPr="00D245AD" w:rsidRDefault="00295439" w:rsidP="001D30BE">
            <w:pPr>
              <w:pStyle w:val="Normal-pool-Table"/>
              <w:tabs>
                <w:tab w:val="clear" w:pos="624"/>
                <w:tab w:val="clear" w:pos="1247"/>
                <w:tab w:val="clear" w:pos="1871"/>
                <w:tab w:val="clear" w:pos="2495"/>
                <w:tab w:val="clear" w:pos="3119"/>
                <w:tab w:val="clear" w:pos="3742"/>
                <w:tab w:val="clear" w:pos="4366"/>
                <w:tab w:val="clear" w:pos="4990"/>
              </w:tabs>
            </w:pPr>
            <w:r>
              <w:rPr>
                <w:color w:val="000000"/>
                <w:lang w:val="ru-RU"/>
              </w:rPr>
              <w:t>Сектор производства ГХФУ</w:t>
            </w:r>
          </w:p>
        </w:tc>
        <w:tc>
          <w:tcPr>
            <w:tcW w:w="1195" w:type="pct"/>
            <w:tcBorders>
              <w:bottom w:val="single" w:sz="4" w:space="0" w:color="auto"/>
            </w:tcBorders>
            <w:vAlign w:val="center"/>
          </w:tcPr>
          <w:p w14:paraId="416F26B9" w14:textId="77777777" w:rsidR="00295439" w:rsidRPr="00D245AD" w:rsidRDefault="00295439" w:rsidP="001D30BE">
            <w:pPr>
              <w:pStyle w:val="Normal-pool-Table"/>
              <w:tabs>
                <w:tab w:val="clear" w:pos="624"/>
                <w:tab w:val="clear" w:pos="1247"/>
                <w:tab w:val="clear" w:pos="1871"/>
                <w:tab w:val="clear" w:pos="2495"/>
                <w:tab w:val="clear" w:pos="3119"/>
                <w:tab w:val="clear" w:pos="3742"/>
                <w:tab w:val="clear" w:pos="4366"/>
                <w:tab w:val="clear" w:pos="4990"/>
              </w:tabs>
              <w:jc w:val="right"/>
            </w:pPr>
            <w:r>
              <w:rPr>
                <w:color w:val="000000"/>
                <w:lang w:val="ru-RU"/>
              </w:rPr>
              <w:t>23,54</w:t>
            </w:r>
          </w:p>
        </w:tc>
        <w:tc>
          <w:tcPr>
            <w:tcW w:w="1331" w:type="pct"/>
            <w:tcBorders>
              <w:bottom w:val="single" w:sz="4" w:space="0" w:color="auto"/>
            </w:tcBorders>
            <w:vAlign w:val="center"/>
          </w:tcPr>
          <w:p w14:paraId="602D6098" w14:textId="77777777" w:rsidR="00295439" w:rsidRPr="00D245AD" w:rsidRDefault="00295439" w:rsidP="001D30BE">
            <w:pPr>
              <w:pStyle w:val="Normal-pool-Table"/>
              <w:tabs>
                <w:tab w:val="clear" w:pos="624"/>
                <w:tab w:val="clear" w:pos="1247"/>
                <w:tab w:val="clear" w:pos="1871"/>
                <w:tab w:val="clear" w:pos="2495"/>
                <w:tab w:val="clear" w:pos="3119"/>
                <w:tab w:val="clear" w:pos="3742"/>
                <w:tab w:val="clear" w:pos="4366"/>
                <w:tab w:val="clear" w:pos="4990"/>
              </w:tabs>
              <w:jc w:val="right"/>
            </w:pPr>
            <w:r>
              <w:rPr>
                <w:color w:val="000000"/>
                <w:lang w:val="ru-RU"/>
              </w:rPr>
              <w:t>23,54</w:t>
            </w:r>
          </w:p>
        </w:tc>
      </w:tr>
      <w:tr w:rsidR="00295439" w:rsidRPr="00D245AD" w14:paraId="07DAC17F" w14:textId="77777777" w:rsidTr="001D30BE">
        <w:trPr>
          <w:trHeight w:val="291"/>
          <w:jc w:val="right"/>
        </w:trPr>
        <w:tc>
          <w:tcPr>
            <w:tcW w:w="940" w:type="pct"/>
            <w:vMerge/>
          </w:tcPr>
          <w:p w14:paraId="68691FF3" w14:textId="77777777" w:rsidR="00295439" w:rsidRPr="00D245AD" w:rsidRDefault="00295439" w:rsidP="001D30BE">
            <w:pPr>
              <w:pStyle w:val="Normal-pool-Table"/>
              <w:tabs>
                <w:tab w:val="clear" w:pos="624"/>
                <w:tab w:val="clear" w:pos="1247"/>
                <w:tab w:val="clear" w:pos="1871"/>
                <w:tab w:val="clear" w:pos="2495"/>
                <w:tab w:val="clear" w:pos="3119"/>
                <w:tab w:val="clear" w:pos="3742"/>
                <w:tab w:val="clear" w:pos="4366"/>
                <w:tab w:val="clear" w:pos="4990"/>
              </w:tabs>
              <w:rPr>
                <w:lang w:val="en-US"/>
              </w:rPr>
            </w:pPr>
          </w:p>
        </w:tc>
        <w:tc>
          <w:tcPr>
            <w:tcW w:w="1535" w:type="pct"/>
            <w:tcBorders>
              <w:top w:val="single" w:sz="4" w:space="0" w:color="auto"/>
              <w:bottom w:val="single" w:sz="4" w:space="0" w:color="auto"/>
            </w:tcBorders>
            <w:vAlign w:val="bottom"/>
          </w:tcPr>
          <w:p w14:paraId="23FB9F9F" w14:textId="77777777" w:rsidR="00295439" w:rsidRPr="00D245AD" w:rsidRDefault="00295439" w:rsidP="001D30BE">
            <w:pPr>
              <w:pStyle w:val="Normal-pool-Table"/>
              <w:tabs>
                <w:tab w:val="clear" w:pos="624"/>
                <w:tab w:val="clear" w:pos="1247"/>
                <w:tab w:val="clear" w:pos="1871"/>
                <w:tab w:val="clear" w:pos="2495"/>
                <w:tab w:val="clear" w:pos="3119"/>
                <w:tab w:val="clear" w:pos="3742"/>
                <w:tab w:val="clear" w:pos="4366"/>
                <w:tab w:val="clear" w:pos="4990"/>
              </w:tabs>
              <w:rPr>
                <w:b/>
                <w:bCs/>
              </w:rPr>
            </w:pPr>
            <w:r>
              <w:rPr>
                <w:b/>
                <w:bCs/>
                <w:color w:val="000000"/>
                <w:lang w:val="ru-RU"/>
              </w:rPr>
              <w:t>ОБЩИЙ ДИАПАЗОН</w:t>
            </w:r>
          </w:p>
        </w:tc>
        <w:tc>
          <w:tcPr>
            <w:tcW w:w="1195" w:type="pct"/>
            <w:tcBorders>
              <w:top w:val="single" w:sz="4" w:space="0" w:color="auto"/>
              <w:bottom w:val="single" w:sz="4" w:space="0" w:color="auto"/>
            </w:tcBorders>
            <w:vAlign w:val="center"/>
          </w:tcPr>
          <w:p w14:paraId="07275149" w14:textId="77777777" w:rsidR="00295439" w:rsidRPr="00D245AD" w:rsidRDefault="00295439" w:rsidP="001D30BE">
            <w:pPr>
              <w:pStyle w:val="Normal-pool-Table"/>
              <w:tabs>
                <w:tab w:val="clear" w:pos="624"/>
                <w:tab w:val="clear" w:pos="1247"/>
                <w:tab w:val="clear" w:pos="1871"/>
                <w:tab w:val="clear" w:pos="2495"/>
                <w:tab w:val="clear" w:pos="3119"/>
                <w:tab w:val="clear" w:pos="3742"/>
                <w:tab w:val="clear" w:pos="4366"/>
                <w:tab w:val="clear" w:pos="4990"/>
              </w:tabs>
              <w:jc w:val="right"/>
              <w:rPr>
                <w:b/>
                <w:bCs/>
              </w:rPr>
            </w:pPr>
            <w:r>
              <w:rPr>
                <w:b/>
                <w:bCs/>
                <w:color w:val="000000"/>
                <w:lang w:val="ru-RU"/>
              </w:rPr>
              <w:t>451,10</w:t>
            </w:r>
          </w:p>
        </w:tc>
        <w:tc>
          <w:tcPr>
            <w:tcW w:w="1331" w:type="pct"/>
            <w:tcBorders>
              <w:top w:val="single" w:sz="4" w:space="0" w:color="auto"/>
              <w:bottom w:val="single" w:sz="4" w:space="0" w:color="auto"/>
            </w:tcBorders>
            <w:vAlign w:val="center"/>
          </w:tcPr>
          <w:p w14:paraId="0A660BAE" w14:textId="77777777" w:rsidR="00295439" w:rsidRPr="00D245AD" w:rsidRDefault="00295439" w:rsidP="001D30BE">
            <w:pPr>
              <w:pStyle w:val="Normal-pool-Table"/>
              <w:tabs>
                <w:tab w:val="clear" w:pos="624"/>
                <w:tab w:val="clear" w:pos="1247"/>
                <w:tab w:val="clear" w:pos="1871"/>
                <w:tab w:val="clear" w:pos="2495"/>
                <w:tab w:val="clear" w:pos="3119"/>
                <w:tab w:val="clear" w:pos="3742"/>
                <w:tab w:val="clear" w:pos="4366"/>
                <w:tab w:val="clear" w:pos="4990"/>
              </w:tabs>
              <w:jc w:val="right"/>
              <w:rPr>
                <w:b/>
                <w:bCs/>
              </w:rPr>
            </w:pPr>
            <w:r>
              <w:rPr>
                <w:b/>
                <w:bCs/>
                <w:color w:val="000000"/>
                <w:lang w:val="ru-RU"/>
              </w:rPr>
              <w:t>572,98</w:t>
            </w:r>
          </w:p>
        </w:tc>
      </w:tr>
      <w:tr w:rsidR="00295439" w:rsidRPr="00D245AD" w14:paraId="719A0012" w14:textId="77777777" w:rsidTr="001D30BE">
        <w:trPr>
          <w:trHeight w:val="291"/>
          <w:jc w:val="right"/>
        </w:trPr>
        <w:tc>
          <w:tcPr>
            <w:tcW w:w="940" w:type="pct"/>
            <w:vMerge w:val="restart"/>
            <w:tcBorders>
              <w:bottom w:val="single" w:sz="12" w:space="0" w:color="auto"/>
            </w:tcBorders>
            <w:vAlign w:val="center"/>
          </w:tcPr>
          <w:p w14:paraId="6E3DC9D9" w14:textId="478615FF" w:rsidR="00295439" w:rsidRPr="00D245AD" w:rsidRDefault="001D30BE" w:rsidP="001D30BE">
            <w:pPr>
              <w:pStyle w:val="Normal-pool-Table"/>
              <w:tabs>
                <w:tab w:val="clear" w:pos="624"/>
                <w:tab w:val="clear" w:pos="1247"/>
                <w:tab w:val="clear" w:pos="1871"/>
                <w:tab w:val="clear" w:pos="2495"/>
                <w:tab w:val="clear" w:pos="3119"/>
                <w:tab w:val="clear" w:pos="3742"/>
                <w:tab w:val="clear" w:pos="4366"/>
                <w:tab w:val="clear" w:pos="4990"/>
              </w:tabs>
            </w:pPr>
            <w:r>
              <w:rPr>
                <w:color w:val="000000"/>
                <w:lang w:val="ru-RU"/>
              </w:rPr>
              <w:t>2030–2032</w:t>
            </w:r>
          </w:p>
        </w:tc>
        <w:tc>
          <w:tcPr>
            <w:tcW w:w="1535" w:type="pct"/>
            <w:tcBorders>
              <w:top w:val="single" w:sz="4" w:space="0" w:color="auto"/>
            </w:tcBorders>
            <w:vAlign w:val="bottom"/>
          </w:tcPr>
          <w:p w14:paraId="53758A2F" w14:textId="77777777" w:rsidR="00295439" w:rsidRPr="00D245AD" w:rsidRDefault="00295439" w:rsidP="001D30BE">
            <w:pPr>
              <w:pStyle w:val="Normal-pool-Table"/>
              <w:tabs>
                <w:tab w:val="clear" w:pos="624"/>
                <w:tab w:val="clear" w:pos="1247"/>
                <w:tab w:val="clear" w:pos="1871"/>
                <w:tab w:val="clear" w:pos="2495"/>
                <w:tab w:val="clear" w:pos="3119"/>
                <w:tab w:val="clear" w:pos="3742"/>
                <w:tab w:val="clear" w:pos="4366"/>
                <w:tab w:val="clear" w:pos="4990"/>
              </w:tabs>
            </w:pPr>
            <w:r>
              <w:rPr>
                <w:color w:val="000000"/>
                <w:lang w:val="ru-RU"/>
              </w:rPr>
              <w:t xml:space="preserve">Сектор потребления ГХФУ </w:t>
            </w:r>
          </w:p>
        </w:tc>
        <w:tc>
          <w:tcPr>
            <w:tcW w:w="1195" w:type="pct"/>
            <w:tcBorders>
              <w:top w:val="single" w:sz="4" w:space="0" w:color="auto"/>
            </w:tcBorders>
            <w:vAlign w:val="center"/>
          </w:tcPr>
          <w:p w14:paraId="5F430CC2" w14:textId="77777777" w:rsidR="00295439" w:rsidRPr="00D245AD" w:rsidRDefault="00295439" w:rsidP="001D30BE">
            <w:pPr>
              <w:pStyle w:val="Normal-pool-Table"/>
              <w:tabs>
                <w:tab w:val="clear" w:pos="624"/>
                <w:tab w:val="clear" w:pos="1247"/>
                <w:tab w:val="clear" w:pos="1871"/>
                <w:tab w:val="clear" w:pos="2495"/>
                <w:tab w:val="clear" w:pos="3119"/>
                <w:tab w:val="clear" w:pos="3742"/>
                <w:tab w:val="clear" w:pos="4366"/>
                <w:tab w:val="clear" w:pos="4990"/>
              </w:tabs>
              <w:jc w:val="right"/>
            </w:pPr>
            <w:r>
              <w:rPr>
                <w:color w:val="000000"/>
                <w:lang w:val="ru-RU"/>
              </w:rPr>
              <w:t>58,96</w:t>
            </w:r>
          </w:p>
        </w:tc>
        <w:tc>
          <w:tcPr>
            <w:tcW w:w="1331" w:type="pct"/>
            <w:tcBorders>
              <w:top w:val="single" w:sz="4" w:space="0" w:color="auto"/>
            </w:tcBorders>
            <w:vAlign w:val="center"/>
          </w:tcPr>
          <w:p w14:paraId="2A4D4698" w14:textId="77777777" w:rsidR="00295439" w:rsidRPr="00D245AD" w:rsidRDefault="00295439" w:rsidP="001D30BE">
            <w:pPr>
              <w:pStyle w:val="Normal-pool-Table"/>
              <w:tabs>
                <w:tab w:val="clear" w:pos="624"/>
                <w:tab w:val="clear" w:pos="1247"/>
                <w:tab w:val="clear" w:pos="1871"/>
                <w:tab w:val="clear" w:pos="2495"/>
                <w:tab w:val="clear" w:pos="3119"/>
                <w:tab w:val="clear" w:pos="3742"/>
                <w:tab w:val="clear" w:pos="4366"/>
                <w:tab w:val="clear" w:pos="4990"/>
              </w:tabs>
              <w:jc w:val="right"/>
            </w:pPr>
            <w:r>
              <w:rPr>
                <w:color w:val="000000"/>
                <w:lang w:val="ru-RU"/>
              </w:rPr>
              <w:t>72,50</w:t>
            </w:r>
          </w:p>
        </w:tc>
      </w:tr>
      <w:tr w:rsidR="00295439" w:rsidRPr="00D245AD" w14:paraId="2DF14516" w14:textId="77777777" w:rsidTr="001D30BE">
        <w:trPr>
          <w:trHeight w:val="291"/>
          <w:jc w:val="right"/>
        </w:trPr>
        <w:tc>
          <w:tcPr>
            <w:tcW w:w="940" w:type="pct"/>
            <w:vMerge/>
            <w:tcBorders>
              <w:bottom w:val="single" w:sz="12" w:space="0" w:color="auto"/>
            </w:tcBorders>
          </w:tcPr>
          <w:p w14:paraId="3C019DFD" w14:textId="77777777" w:rsidR="00295439" w:rsidRPr="00D245AD" w:rsidRDefault="00295439" w:rsidP="001D30BE">
            <w:pPr>
              <w:pStyle w:val="Normal-pool-Table"/>
              <w:tabs>
                <w:tab w:val="clear" w:pos="624"/>
                <w:tab w:val="clear" w:pos="1247"/>
                <w:tab w:val="clear" w:pos="1871"/>
                <w:tab w:val="clear" w:pos="2495"/>
                <w:tab w:val="clear" w:pos="3119"/>
                <w:tab w:val="clear" w:pos="3742"/>
                <w:tab w:val="clear" w:pos="4366"/>
                <w:tab w:val="clear" w:pos="4990"/>
              </w:tabs>
              <w:rPr>
                <w:lang w:val="en-US"/>
              </w:rPr>
            </w:pPr>
          </w:p>
        </w:tc>
        <w:tc>
          <w:tcPr>
            <w:tcW w:w="1535" w:type="pct"/>
            <w:tcBorders>
              <w:bottom w:val="single" w:sz="4" w:space="0" w:color="auto"/>
            </w:tcBorders>
            <w:vAlign w:val="bottom"/>
          </w:tcPr>
          <w:p w14:paraId="2516B8AC" w14:textId="77777777" w:rsidR="00295439" w:rsidRPr="00D245AD" w:rsidRDefault="00295439" w:rsidP="001D30BE">
            <w:pPr>
              <w:pStyle w:val="Normal-pool-Table"/>
              <w:tabs>
                <w:tab w:val="clear" w:pos="624"/>
                <w:tab w:val="clear" w:pos="1247"/>
                <w:tab w:val="clear" w:pos="1871"/>
                <w:tab w:val="clear" w:pos="2495"/>
                <w:tab w:val="clear" w:pos="3119"/>
                <w:tab w:val="clear" w:pos="3742"/>
                <w:tab w:val="clear" w:pos="4366"/>
                <w:tab w:val="clear" w:pos="4990"/>
              </w:tabs>
            </w:pPr>
            <w:r>
              <w:rPr>
                <w:color w:val="000000"/>
                <w:lang w:val="ru-RU"/>
              </w:rPr>
              <w:t>Сектор производства ГХФУ</w:t>
            </w:r>
          </w:p>
        </w:tc>
        <w:tc>
          <w:tcPr>
            <w:tcW w:w="1195" w:type="pct"/>
            <w:tcBorders>
              <w:bottom w:val="single" w:sz="4" w:space="0" w:color="auto"/>
            </w:tcBorders>
            <w:vAlign w:val="center"/>
          </w:tcPr>
          <w:p w14:paraId="73B75614" w14:textId="77777777" w:rsidR="00295439" w:rsidRPr="00D245AD" w:rsidRDefault="00295439" w:rsidP="001D30BE">
            <w:pPr>
              <w:pStyle w:val="Normal-pool-Table"/>
              <w:tabs>
                <w:tab w:val="clear" w:pos="624"/>
                <w:tab w:val="clear" w:pos="1247"/>
                <w:tab w:val="clear" w:pos="1871"/>
                <w:tab w:val="clear" w:pos="2495"/>
                <w:tab w:val="clear" w:pos="3119"/>
                <w:tab w:val="clear" w:pos="3742"/>
                <w:tab w:val="clear" w:pos="4366"/>
                <w:tab w:val="clear" w:pos="4990"/>
              </w:tabs>
              <w:jc w:val="right"/>
            </w:pPr>
            <w:r>
              <w:rPr>
                <w:color w:val="000000"/>
                <w:lang w:val="ru-RU"/>
              </w:rPr>
              <w:t>23,54</w:t>
            </w:r>
          </w:p>
        </w:tc>
        <w:tc>
          <w:tcPr>
            <w:tcW w:w="1331" w:type="pct"/>
            <w:tcBorders>
              <w:bottom w:val="single" w:sz="4" w:space="0" w:color="auto"/>
            </w:tcBorders>
            <w:vAlign w:val="center"/>
          </w:tcPr>
          <w:p w14:paraId="5B6E34ED" w14:textId="77777777" w:rsidR="00295439" w:rsidRPr="00D245AD" w:rsidRDefault="00295439" w:rsidP="001D30BE">
            <w:pPr>
              <w:pStyle w:val="Normal-pool-Table"/>
              <w:tabs>
                <w:tab w:val="clear" w:pos="624"/>
                <w:tab w:val="clear" w:pos="1247"/>
                <w:tab w:val="clear" w:pos="1871"/>
                <w:tab w:val="clear" w:pos="2495"/>
                <w:tab w:val="clear" w:pos="3119"/>
                <w:tab w:val="clear" w:pos="3742"/>
                <w:tab w:val="clear" w:pos="4366"/>
                <w:tab w:val="clear" w:pos="4990"/>
              </w:tabs>
              <w:jc w:val="right"/>
            </w:pPr>
            <w:r>
              <w:rPr>
                <w:color w:val="000000"/>
                <w:lang w:val="ru-RU"/>
              </w:rPr>
              <w:t>23,54</w:t>
            </w:r>
          </w:p>
        </w:tc>
      </w:tr>
      <w:tr w:rsidR="00295439" w:rsidRPr="00D245AD" w14:paraId="340EFA01" w14:textId="77777777" w:rsidTr="001D30BE">
        <w:trPr>
          <w:trHeight w:val="291"/>
          <w:jc w:val="right"/>
        </w:trPr>
        <w:tc>
          <w:tcPr>
            <w:tcW w:w="940" w:type="pct"/>
            <w:vMerge/>
            <w:tcBorders>
              <w:bottom w:val="single" w:sz="12" w:space="0" w:color="auto"/>
            </w:tcBorders>
          </w:tcPr>
          <w:p w14:paraId="1BF4206E" w14:textId="77777777" w:rsidR="00295439" w:rsidRPr="00D245AD" w:rsidRDefault="00295439" w:rsidP="001D30BE">
            <w:pPr>
              <w:pStyle w:val="Normal-pool-Table"/>
              <w:tabs>
                <w:tab w:val="clear" w:pos="624"/>
                <w:tab w:val="clear" w:pos="1247"/>
                <w:tab w:val="clear" w:pos="1871"/>
                <w:tab w:val="clear" w:pos="2495"/>
                <w:tab w:val="clear" w:pos="3119"/>
                <w:tab w:val="clear" w:pos="3742"/>
                <w:tab w:val="clear" w:pos="4366"/>
                <w:tab w:val="clear" w:pos="4990"/>
              </w:tabs>
              <w:rPr>
                <w:lang w:val="en-US"/>
              </w:rPr>
            </w:pPr>
          </w:p>
        </w:tc>
        <w:tc>
          <w:tcPr>
            <w:tcW w:w="1535" w:type="pct"/>
            <w:tcBorders>
              <w:top w:val="single" w:sz="4" w:space="0" w:color="auto"/>
              <w:bottom w:val="single" w:sz="12" w:space="0" w:color="auto"/>
            </w:tcBorders>
            <w:vAlign w:val="bottom"/>
          </w:tcPr>
          <w:p w14:paraId="7F8CE1B7" w14:textId="77777777" w:rsidR="00295439" w:rsidRPr="00D245AD" w:rsidRDefault="00295439" w:rsidP="001D30BE">
            <w:pPr>
              <w:pStyle w:val="Normal-pool-Table"/>
              <w:tabs>
                <w:tab w:val="clear" w:pos="624"/>
                <w:tab w:val="clear" w:pos="1247"/>
                <w:tab w:val="clear" w:pos="1871"/>
                <w:tab w:val="clear" w:pos="2495"/>
                <w:tab w:val="clear" w:pos="3119"/>
                <w:tab w:val="clear" w:pos="3742"/>
                <w:tab w:val="clear" w:pos="4366"/>
                <w:tab w:val="clear" w:pos="4990"/>
              </w:tabs>
              <w:rPr>
                <w:b/>
                <w:bCs/>
              </w:rPr>
            </w:pPr>
            <w:r>
              <w:rPr>
                <w:b/>
                <w:bCs/>
                <w:color w:val="000000"/>
                <w:lang w:val="ru-RU"/>
              </w:rPr>
              <w:t>ОБЩИЙ ДИАПАЗОН</w:t>
            </w:r>
          </w:p>
        </w:tc>
        <w:tc>
          <w:tcPr>
            <w:tcW w:w="1195" w:type="pct"/>
            <w:tcBorders>
              <w:top w:val="single" w:sz="4" w:space="0" w:color="auto"/>
              <w:bottom w:val="single" w:sz="12" w:space="0" w:color="auto"/>
            </w:tcBorders>
            <w:vAlign w:val="center"/>
          </w:tcPr>
          <w:p w14:paraId="5ABC2DCD" w14:textId="77777777" w:rsidR="00295439" w:rsidRPr="00D245AD" w:rsidRDefault="00295439" w:rsidP="001D30BE">
            <w:pPr>
              <w:pStyle w:val="Normal-pool-Table"/>
              <w:tabs>
                <w:tab w:val="clear" w:pos="624"/>
                <w:tab w:val="clear" w:pos="1247"/>
                <w:tab w:val="clear" w:pos="1871"/>
                <w:tab w:val="clear" w:pos="2495"/>
                <w:tab w:val="clear" w:pos="3119"/>
                <w:tab w:val="clear" w:pos="3742"/>
                <w:tab w:val="clear" w:pos="4366"/>
                <w:tab w:val="clear" w:pos="4990"/>
              </w:tabs>
              <w:ind w:right="85"/>
              <w:jc w:val="right"/>
              <w:rPr>
                <w:b/>
                <w:bCs/>
              </w:rPr>
            </w:pPr>
            <w:r>
              <w:rPr>
                <w:b/>
                <w:bCs/>
                <w:color w:val="000000"/>
                <w:lang w:val="ru-RU"/>
              </w:rPr>
              <w:t>82,5</w:t>
            </w:r>
          </w:p>
        </w:tc>
        <w:tc>
          <w:tcPr>
            <w:tcW w:w="1331" w:type="pct"/>
            <w:tcBorders>
              <w:top w:val="single" w:sz="4" w:space="0" w:color="auto"/>
              <w:bottom w:val="single" w:sz="12" w:space="0" w:color="auto"/>
            </w:tcBorders>
            <w:vAlign w:val="center"/>
          </w:tcPr>
          <w:p w14:paraId="0036094A" w14:textId="77777777" w:rsidR="00295439" w:rsidRPr="00D245AD" w:rsidRDefault="00295439" w:rsidP="001D30BE">
            <w:pPr>
              <w:pStyle w:val="Normal-pool-Table"/>
              <w:tabs>
                <w:tab w:val="clear" w:pos="624"/>
                <w:tab w:val="clear" w:pos="1247"/>
                <w:tab w:val="clear" w:pos="1871"/>
                <w:tab w:val="clear" w:pos="2495"/>
                <w:tab w:val="clear" w:pos="3119"/>
                <w:tab w:val="clear" w:pos="3742"/>
                <w:tab w:val="clear" w:pos="4366"/>
                <w:tab w:val="clear" w:pos="4990"/>
              </w:tabs>
              <w:jc w:val="right"/>
              <w:rPr>
                <w:b/>
                <w:bCs/>
              </w:rPr>
            </w:pPr>
            <w:r>
              <w:rPr>
                <w:b/>
                <w:bCs/>
                <w:color w:val="000000"/>
                <w:lang w:val="ru-RU"/>
              </w:rPr>
              <w:t>96,04</w:t>
            </w:r>
          </w:p>
        </w:tc>
      </w:tr>
    </w:tbl>
    <w:p w14:paraId="513EB3A8" w14:textId="07AECD58" w:rsidR="00295439" w:rsidRPr="003A2354" w:rsidRDefault="00295439" w:rsidP="001D30BE">
      <w:pPr>
        <w:pStyle w:val="CH2"/>
        <w:keepNext w:val="0"/>
        <w:keepLines w:val="0"/>
        <w:tabs>
          <w:tab w:val="clear" w:pos="851"/>
          <w:tab w:val="clear" w:pos="1247"/>
          <w:tab w:val="clear" w:pos="1871"/>
          <w:tab w:val="clear" w:pos="2495"/>
          <w:tab w:val="clear" w:pos="3119"/>
          <w:tab w:val="clear" w:pos="3742"/>
          <w:tab w:val="clear" w:pos="4366"/>
          <w:tab w:val="clear" w:pos="4990"/>
        </w:tabs>
        <w:ind w:right="567" w:firstLine="0"/>
        <w:rPr>
          <w:lang w:val="ru-RU"/>
        </w:rPr>
      </w:pPr>
      <w:r>
        <w:rPr>
          <w:lang w:val="ru-RU"/>
        </w:rPr>
        <w:tab/>
      </w:r>
      <w:r>
        <w:rPr>
          <w:bCs/>
          <w:lang w:val="ru-RU"/>
        </w:rPr>
        <w:t>Поэтапное сокращение оборота ГФУ в секторах потребления и производства</w:t>
      </w:r>
    </w:p>
    <w:p w14:paraId="6D7F05C7" w14:textId="4C2E3505" w:rsidR="00295439" w:rsidRPr="003A2354" w:rsidRDefault="00295439" w:rsidP="001D30BE">
      <w:pPr>
        <w:pStyle w:val="CH3"/>
        <w:keepNext w:val="0"/>
        <w:keepLines w:val="0"/>
        <w:tabs>
          <w:tab w:val="clear" w:pos="851"/>
          <w:tab w:val="clear" w:pos="1247"/>
          <w:tab w:val="clear" w:pos="1871"/>
          <w:tab w:val="clear" w:pos="2495"/>
          <w:tab w:val="clear" w:pos="3119"/>
          <w:tab w:val="clear" w:pos="3742"/>
          <w:tab w:val="clear" w:pos="4366"/>
          <w:tab w:val="clear" w:pos="4990"/>
        </w:tabs>
        <w:spacing w:before="0"/>
        <w:ind w:right="567" w:firstLine="0"/>
        <w:rPr>
          <w:i/>
          <w:iCs/>
          <w:lang w:val="ru-RU"/>
        </w:rPr>
      </w:pPr>
      <w:r>
        <w:rPr>
          <w:lang w:val="ru-RU"/>
        </w:rPr>
        <w:tab/>
      </w:r>
      <w:r>
        <w:rPr>
          <w:bCs/>
          <w:i/>
          <w:iCs/>
          <w:lang w:val="ru-RU"/>
        </w:rPr>
        <w:t>Сектор потребления ГФУ</w:t>
      </w:r>
    </w:p>
    <w:p w14:paraId="3D0D83A7" w14:textId="2CDBD5F7" w:rsidR="00295439" w:rsidRPr="00524F1A" w:rsidRDefault="00295439" w:rsidP="00524F1A">
      <w:pPr>
        <w:pStyle w:val="NormalNonumber"/>
        <w:tabs>
          <w:tab w:val="clear" w:pos="624"/>
          <w:tab w:val="clear" w:pos="1247"/>
          <w:tab w:val="clear" w:pos="1871"/>
          <w:tab w:val="clear" w:pos="2495"/>
          <w:tab w:val="clear" w:pos="3119"/>
          <w:tab w:val="clear" w:pos="3742"/>
          <w:tab w:val="clear" w:pos="4366"/>
          <w:tab w:val="clear" w:pos="4990"/>
        </w:tabs>
        <w:rPr>
          <w:lang w:val="ru-RU"/>
        </w:rPr>
      </w:pPr>
      <w:r w:rsidRPr="00524F1A">
        <w:rPr>
          <w:lang w:val="ru-RU"/>
        </w:rPr>
        <w:t xml:space="preserve">Оценки потребности в финансировании для постепенного вывода из обращения ГФУ на </w:t>
      </w:r>
      <w:r w:rsidR="00524F1A" w:rsidRPr="00524F1A">
        <w:rPr>
          <w:lang w:val="ru-RU"/>
        </w:rPr>
        <w:t>трехгодичный</w:t>
      </w:r>
      <w:r w:rsidRPr="00524F1A">
        <w:rPr>
          <w:lang w:val="ru-RU"/>
        </w:rPr>
        <w:t xml:space="preserve"> период 2027–2029 годов и последующие трехгодичные периоды 2030</w:t>
      </w:r>
      <w:r w:rsidR="009A1255">
        <w:rPr>
          <w:lang w:val="ru-RU"/>
        </w:rPr>
        <w:noBreakHyphen/>
      </w:r>
      <w:r w:rsidRPr="00524F1A">
        <w:rPr>
          <w:lang w:val="ru-RU"/>
        </w:rPr>
        <w:t>2032</w:t>
      </w:r>
      <w:r w:rsidR="009A1255">
        <w:rPr>
          <w:lang w:val="ru-RU"/>
        </w:rPr>
        <w:t> </w:t>
      </w:r>
      <w:r w:rsidRPr="00524F1A">
        <w:rPr>
          <w:lang w:val="ru-RU"/>
        </w:rPr>
        <w:t>годов и 2033–2035 годов, основаны на том, что Стороны, действующие в рамках статьи 5, добьются соответствующих показателей сокращения для Группы 1 (Г1) или Группы 2 (Г2)</w:t>
      </w:r>
      <w:r w:rsidR="009A1255">
        <w:rPr>
          <w:lang w:val="ru-RU"/>
        </w:rPr>
        <w:t>,</w:t>
      </w:r>
      <w:r w:rsidRPr="00524F1A">
        <w:rPr>
          <w:lang w:val="ru-RU"/>
        </w:rPr>
        <w:t xml:space="preserve"> соответственно. </w:t>
      </w:r>
    </w:p>
    <w:p w14:paraId="4A8067EC" w14:textId="77777777" w:rsidR="00295439" w:rsidRPr="00524F1A" w:rsidRDefault="00295439" w:rsidP="00524F1A">
      <w:pPr>
        <w:pStyle w:val="NormalNonumber"/>
        <w:tabs>
          <w:tab w:val="clear" w:pos="624"/>
          <w:tab w:val="clear" w:pos="1247"/>
          <w:tab w:val="clear" w:pos="1871"/>
          <w:tab w:val="clear" w:pos="2495"/>
          <w:tab w:val="clear" w:pos="3119"/>
          <w:tab w:val="clear" w:pos="3742"/>
          <w:tab w:val="clear" w:pos="4366"/>
          <w:tab w:val="clear" w:pos="4990"/>
        </w:tabs>
        <w:rPr>
          <w:b/>
          <w:lang w:val="ru-RU"/>
        </w:rPr>
      </w:pPr>
      <w:r w:rsidRPr="00524F1A">
        <w:rPr>
          <w:lang w:val="ru-RU"/>
        </w:rPr>
        <w:t>Расчетные потребности в финансировании для сектора потребления ГФУ включают:</w:t>
      </w:r>
    </w:p>
    <w:p w14:paraId="3B1FA2CC" w14:textId="77777777" w:rsidR="00295439" w:rsidRPr="00524F1A" w:rsidRDefault="00295439" w:rsidP="008F3BA3">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2495" w:hanging="624"/>
        <w:rPr>
          <w:lang w:val="ru-RU"/>
        </w:rPr>
      </w:pPr>
      <w:r w:rsidRPr="00524F1A">
        <w:rPr>
          <w:lang w:val="ru-RU"/>
        </w:rPr>
        <w:t>средства, выделенные на реализацию утвержденных планов выполнения Кигалийской поправки в отношении ГФУ (ПВК);</w:t>
      </w:r>
    </w:p>
    <w:p w14:paraId="47B552B0" w14:textId="77777777" w:rsidR="00295439" w:rsidRPr="00524F1A" w:rsidRDefault="00295439" w:rsidP="008F3BA3">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2495" w:hanging="624"/>
        <w:rPr>
          <w:lang w:val="ru-RU"/>
        </w:rPr>
      </w:pPr>
      <w:r w:rsidRPr="00524F1A">
        <w:rPr>
          <w:lang w:val="ru-RU"/>
        </w:rPr>
        <w:t>расчетный объем финансирования новых ПВК;</w:t>
      </w:r>
    </w:p>
    <w:p w14:paraId="1231F6F8" w14:textId="77777777" w:rsidR="00295439" w:rsidRPr="00524F1A" w:rsidRDefault="00295439" w:rsidP="008F3BA3">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2495" w:hanging="624"/>
        <w:rPr>
          <w:lang w:val="ru-RU"/>
        </w:rPr>
      </w:pPr>
      <w:r w:rsidRPr="00524F1A">
        <w:rPr>
          <w:lang w:val="ru-RU"/>
        </w:rPr>
        <w:lastRenderedPageBreak/>
        <w:t>расчетный объем финансирования подготовки проектов;</w:t>
      </w:r>
    </w:p>
    <w:p w14:paraId="21DC3115" w14:textId="77777777" w:rsidR="00295439" w:rsidRPr="00524F1A" w:rsidRDefault="00295439" w:rsidP="008F3BA3">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2495" w:hanging="624"/>
        <w:rPr>
          <w:lang w:val="ru-RU"/>
        </w:rPr>
      </w:pPr>
      <w:r w:rsidRPr="00524F1A">
        <w:rPr>
          <w:lang w:val="ru-RU"/>
        </w:rPr>
        <w:t>расчетный объем финансирования для проверки объемов потребления ГФУ;</w:t>
      </w:r>
    </w:p>
    <w:p w14:paraId="1753B3D2" w14:textId="303D4520" w:rsidR="00295439" w:rsidRPr="00524F1A" w:rsidRDefault="00295439" w:rsidP="008F3BA3">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2495" w:hanging="624"/>
        <w:rPr>
          <w:lang w:val="ru-RU"/>
        </w:rPr>
      </w:pPr>
      <w:r w:rsidRPr="00524F1A">
        <w:rPr>
          <w:lang w:val="ru-RU"/>
        </w:rPr>
        <w:t>расчет объем финансирования, связанного с мероприятиями по повышению энергоэффективности (решени</w:t>
      </w:r>
      <w:r w:rsidR="00C932A4">
        <w:rPr>
          <w:lang w:val="ru-RU"/>
        </w:rPr>
        <w:t>я Исполнительного комитета</w:t>
      </w:r>
      <w:r w:rsidR="00C932A4" w:rsidRPr="0044538E">
        <w:rPr>
          <w:lang w:val="ru-RU"/>
        </w:rPr>
        <w:t>:</w:t>
      </w:r>
      <w:r w:rsidRPr="00524F1A">
        <w:rPr>
          <w:lang w:val="ru-RU"/>
        </w:rPr>
        <w:t xml:space="preserve"> 91/65 о секторе обслуживания, 94/60 о производственных секторах и 95/87 о возобновляемом фонде); и</w:t>
      </w:r>
    </w:p>
    <w:p w14:paraId="012633D1" w14:textId="77777777" w:rsidR="00295439" w:rsidRPr="00524F1A" w:rsidRDefault="00295439" w:rsidP="008F3BA3">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2495" w:hanging="624"/>
        <w:rPr>
          <w:lang w:val="ru-RU"/>
        </w:rPr>
      </w:pPr>
      <w:r w:rsidRPr="00524F1A">
        <w:rPr>
          <w:lang w:val="ru-RU"/>
        </w:rPr>
        <w:t xml:space="preserve">финансирование мероприятий по укреплению регионального потенциала для мониторинга атмосферы. </w:t>
      </w:r>
    </w:p>
    <w:p w14:paraId="319E9911" w14:textId="279C3AC9" w:rsidR="00295439" w:rsidRPr="00524F1A" w:rsidRDefault="00295439" w:rsidP="00524F1A">
      <w:pPr>
        <w:pStyle w:val="NormalNonumber"/>
        <w:tabs>
          <w:tab w:val="clear" w:pos="624"/>
          <w:tab w:val="clear" w:pos="1247"/>
          <w:tab w:val="clear" w:pos="1871"/>
          <w:tab w:val="clear" w:pos="2495"/>
          <w:tab w:val="clear" w:pos="3119"/>
          <w:tab w:val="clear" w:pos="3742"/>
          <w:tab w:val="clear" w:pos="4366"/>
          <w:tab w:val="clear" w:pos="4990"/>
        </w:tabs>
        <w:rPr>
          <w:lang w:val="ru-RU"/>
        </w:rPr>
      </w:pPr>
      <w:r w:rsidRPr="00524F1A">
        <w:rPr>
          <w:lang w:val="ru-RU"/>
        </w:rPr>
        <w:t>По состоянию на 8 апреля 2026 года Кигалийскую поправку ратифицировали 125 из 144</w:t>
      </w:r>
      <w:r w:rsidR="00524F1A">
        <w:rPr>
          <w:lang w:val="ru-RU"/>
        </w:rPr>
        <w:t> </w:t>
      </w:r>
      <w:r w:rsidRPr="00524F1A">
        <w:rPr>
          <w:lang w:val="ru-RU"/>
        </w:rPr>
        <w:t>Сторон, действующих в рамках статьи 5. При анализе расчетных объемов финансирования на трехгодичный период 2027–2029 годов для поэтапного сокращения оборота ГФУ ЦГВП исходила из того, что оставшиеся 19 Сторон завершат ратификацию к 2029 году.</w:t>
      </w:r>
    </w:p>
    <w:p w14:paraId="2C62E73D" w14:textId="556EE51D" w:rsidR="00295439" w:rsidRPr="002779D8" w:rsidRDefault="00295439" w:rsidP="00524F1A">
      <w:pPr>
        <w:pStyle w:val="NormalNonumber"/>
        <w:tabs>
          <w:tab w:val="clear" w:pos="624"/>
          <w:tab w:val="clear" w:pos="1247"/>
          <w:tab w:val="clear" w:pos="1871"/>
          <w:tab w:val="clear" w:pos="2495"/>
          <w:tab w:val="clear" w:pos="3119"/>
          <w:tab w:val="clear" w:pos="3742"/>
          <w:tab w:val="clear" w:pos="4366"/>
          <w:tab w:val="clear" w:pos="4990"/>
        </w:tabs>
        <w:rPr>
          <w:lang w:val="ru-RU"/>
        </w:rPr>
      </w:pPr>
      <w:r w:rsidRPr="00524F1A">
        <w:rPr>
          <w:lang w:val="ru-RU"/>
        </w:rPr>
        <w:t xml:space="preserve">Поскольку ПВК находятся только на начальном этапе осуществления, ЦГВП не имела возможности провести анализ истории показателей ЭЭ для производственных секторов на основе утвержденных ПВК, а имеющиеся данные не позволяли рассмотреть исторические значения, выходящие за рамки руководящих указаний для расчета расходов для ЭЭ. ЦГВП оценила объемы финансирования на основе руководящих указаний для расчета расходов на осуществление этапа </w:t>
      </w:r>
      <w:r w:rsidRPr="00524F1A">
        <w:t>I</w:t>
      </w:r>
      <w:r w:rsidRPr="00524F1A">
        <w:rPr>
          <w:lang w:val="ru-RU"/>
        </w:rPr>
        <w:t xml:space="preserve"> ПВК для ГФУ применительно к согласованным производственным секторам. В случаях, когда такие указания отсутствовали для отдельных секторов, рассматриваемых в индивидуальном порядке, ЦГВП использовала показатели ЭЭ на основе рекомендаций ГТОЭО, КТВЗ и отраслевых экспертов ЦГВП. Также была проведена оценка финансирования для этапа </w:t>
      </w:r>
      <w:r w:rsidRPr="00524F1A">
        <w:rPr>
          <w:lang w:val="en-US"/>
        </w:rPr>
        <w:t>II</w:t>
      </w:r>
      <w:r w:rsidRPr="00524F1A">
        <w:rPr>
          <w:lang w:val="ru-RU"/>
        </w:rPr>
        <w:t xml:space="preserve"> П</w:t>
      </w:r>
      <w:r w:rsidR="002779D8">
        <w:rPr>
          <w:lang w:val="ru-RU"/>
        </w:rPr>
        <w:t>ВК</w:t>
      </w:r>
      <w:r w:rsidRPr="00524F1A">
        <w:rPr>
          <w:lang w:val="ru-RU"/>
        </w:rPr>
        <w:t xml:space="preserve"> с использованием показателей ЭЭ для этапа </w:t>
      </w:r>
      <w:r w:rsidRPr="00524F1A">
        <w:t>I</w:t>
      </w:r>
      <w:r w:rsidRPr="00524F1A">
        <w:rPr>
          <w:lang w:val="ru-RU"/>
        </w:rPr>
        <w:t xml:space="preserve"> без учета возможного влияния пересмотра руководящих указаний, ожидаемого в 2028 году. Важно отметить, что показатель ЭЭ для технического обслуживания в рамках этапа </w:t>
      </w:r>
      <w:r w:rsidRPr="00524F1A">
        <w:t>I</w:t>
      </w:r>
      <w:r w:rsidRPr="00524F1A">
        <w:rPr>
          <w:lang w:val="ru-RU"/>
        </w:rPr>
        <w:t xml:space="preserve"> рассматривался для периода одновременного осуществления ПВК и ПРПГ. Этап </w:t>
      </w:r>
      <w:r w:rsidRPr="00524F1A">
        <w:t>II</w:t>
      </w:r>
      <w:r w:rsidRPr="00524F1A">
        <w:rPr>
          <w:lang w:val="ru-RU"/>
        </w:rPr>
        <w:t xml:space="preserve"> будет преимущественно </w:t>
      </w:r>
      <w:r w:rsidR="00E274D8" w:rsidRPr="00524F1A">
        <w:rPr>
          <w:lang w:val="ru-RU"/>
        </w:rPr>
        <w:t>проводиться</w:t>
      </w:r>
      <w:r w:rsidRPr="00524F1A">
        <w:rPr>
          <w:lang w:val="ru-RU"/>
        </w:rPr>
        <w:t xml:space="preserve"> в период, когда они уже не будут осуществляться одновременно.</w:t>
      </w:r>
    </w:p>
    <w:p w14:paraId="694DC7C4" w14:textId="2FE0CEAC" w:rsidR="00295439" w:rsidRPr="00524F1A" w:rsidRDefault="00295439" w:rsidP="00524F1A">
      <w:pPr>
        <w:pStyle w:val="NormalNonumber"/>
        <w:tabs>
          <w:tab w:val="clear" w:pos="624"/>
          <w:tab w:val="clear" w:pos="1247"/>
          <w:tab w:val="clear" w:pos="1871"/>
          <w:tab w:val="clear" w:pos="2495"/>
          <w:tab w:val="clear" w:pos="3119"/>
          <w:tab w:val="clear" w:pos="3742"/>
          <w:tab w:val="clear" w:pos="4366"/>
          <w:tab w:val="clear" w:pos="4990"/>
        </w:tabs>
        <w:rPr>
          <w:lang w:val="ru-RU"/>
        </w:rPr>
      </w:pPr>
      <w:r w:rsidRPr="00524F1A">
        <w:rPr>
          <w:lang w:val="ru-RU"/>
        </w:rPr>
        <w:t>ЦГВП использует графики выполнения Кигалийской поправки в своей модели соблюдения и применяет сокращения по сравнению с установленным базовым уровне</w:t>
      </w:r>
      <w:r w:rsidR="004A2180">
        <w:rPr>
          <w:lang w:val="ru-RU"/>
        </w:rPr>
        <w:t>м</w:t>
      </w:r>
      <w:r w:rsidRPr="00524F1A">
        <w:rPr>
          <w:lang w:val="ru-RU"/>
        </w:rPr>
        <w:t>. При оценке объемов финансирования компонент ГХФУ в размере 65 процентов от базового уровня рассматривается как потребление в секторе технического обслуживания, а финансирование рассчитывается в соответствии с пороговыми значениями ЭЭ из руководящих указани</w:t>
      </w:r>
      <w:r w:rsidR="004A2180">
        <w:rPr>
          <w:lang w:val="ru-RU"/>
        </w:rPr>
        <w:t>й</w:t>
      </w:r>
      <w:r w:rsidRPr="00524F1A">
        <w:rPr>
          <w:lang w:val="ru-RU"/>
        </w:rPr>
        <w:t xml:space="preserve"> для расчета расходов.</w:t>
      </w:r>
    </w:p>
    <w:p w14:paraId="67F5A007" w14:textId="77777777" w:rsidR="00295439" w:rsidRPr="00524F1A" w:rsidRDefault="00295439" w:rsidP="00524F1A">
      <w:pPr>
        <w:pStyle w:val="NormalNonumber"/>
        <w:tabs>
          <w:tab w:val="clear" w:pos="624"/>
          <w:tab w:val="clear" w:pos="1247"/>
          <w:tab w:val="clear" w:pos="1871"/>
          <w:tab w:val="clear" w:pos="2495"/>
          <w:tab w:val="clear" w:pos="3119"/>
          <w:tab w:val="clear" w:pos="3742"/>
          <w:tab w:val="clear" w:pos="4366"/>
          <w:tab w:val="clear" w:pos="4990"/>
        </w:tabs>
        <w:rPr>
          <w:lang w:val="ru-RU"/>
        </w:rPr>
      </w:pPr>
      <w:r w:rsidRPr="00524F1A">
        <w:rPr>
          <w:lang w:val="ru-RU"/>
        </w:rPr>
        <w:t>Как подробно описано в главе 3 и приложениях 3 и 4 к настоящему докладу, методология модели соблюдения ЦГВП для сектора потребления предусматривает расчет финансирования для удовлетворения потребностей Сторон в соблюдении графиков поэтапного сокращения оборота ГФУ в соответствии с Кигалийской поправкой следующим образом:</w:t>
      </w:r>
    </w:p>
    <w:p w14:paraId="55090B67" w14:textId="5ADF45DF" w:rsidR="00295439" w:rsidRPr="00524F1A" w:rsidRDefault="00295439" w:rsidP="00524F1A">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2495" w:hanging="624"/>
        <w:rPr>
          <w:lang w:val="ru-RU"/>
        </w:rPr>
      </w:pPr>
      <w:r w:rsidRPr="00524F1A">
        <w:rPr>
          <w:lang w:val="ru-RU"/>
        </w:rPr>
        <w:t xml:space="preserve">Стороны </w:t>
      </w:r>
      <w:r w:rsidR="002779D8">
        <w:rPr>
          <w:lang w:val="ru-RU"/>
        </w:rPr>
        <w:t>Г</w:t>
      </w:r>
      <w:r w:rsidRPr="00524F1A">
        <w:rPr>
          <w:lang w:val="ru-RU"/>
        </w:rPr>
        <w:t xml:space="preserve">1: сокращение на 10 процентов от базового уровня к 2029 году (этап </w:t>
      </w:r>
      <w:r w:rsidR="002779D8">
        <w:rPr>
          <w:lang w:val="en-US"/>
        </w:rPr>
        <w:t>I</w:t>
      </w:r>
      <w:r w:rsidR="002779D8" w:rsidRPr="00EE5834">
        <w:rPr>
          <w:lang w:val="ru-RU"/>
        </w:rPr>
        <w:t xml:space="preserve"> </w:t>
      </w:r>
      <w:r w:rsidRPr="00524F1A">
        <w:rPr>
          <w:lang w:val="ru-RU"/>
        </w:rPr>
        <w:t xml:space="preserve">ПВК), сокращение на 30 процентов от базового уровня к 2035 году (этап </w:t>
      </w:r>
      <w:r w:rsidRPr="00524F1A">
        <w:t>II</w:t>
      </w:r>
      <w:r w:rsidRPr="00524F1A">
        <w:rPr>
          <w:lang w:val="ru-RU"/>
        </w:rPr>
        <w:t xml:space="preserve"> ПВК), </w:t>
      </w:r>
    </w:p>
    <w:p w14:paraId="5707469C" w14:textId="77777777" w:rsidR="00295439" w:rsidRPr="00524F1A" w:rsidRDefault="00295439" w:rsidP="00524F1A">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2495" w:hanging="624"/>
        <w:rPr>
          <w:lang w:val="ru-RU"/>
        </w:rPr>
      </w:pPr>
      <w:r w:rsidRPr="00524F1A">
        <w:rPr>
          <w:lang w:val="ru-RU"/>
        </w:rPr>
        <w:t xml:space="preserve">Стороны Г2: замораживание к 2028 году; сокращение на 10 процентов от базового уровня к 2032 году (этап </w:t>
      </w:r>
      <w:r w:rsidRPr="00524F1A">
        <w:rPr>
          <w:lang w:val="en-US"/>
        </w:rPr>
        <w:t>I</w:t>
      </w:r>
      <w:r w:rsidRPr="00524F1A">
        <w:t>I</w:t>
      </w:r>
      <w:r w:rsidRPr="00524F1A">
        <w:rPr>
          <w:lang w:val="ru-RU"/>
        </w:rPr>
        <w:t xml:space="preserve"> ПВК).</w:t>
      </w:r>
    </w:p>
    <w:p w14:paraId="4D2CA07E" w14:textId="43EA2564" w:rsidR="00295439" w:rsidRPr="00524F1A" w:rsidRDefault="00295439" w:rsidP="00524F1A">
      <w:pPr>
        <w:pStyle w:val="NormalNonumber"/>
        <w:tabs>
          <w:tab w:val="clear" w:pos="624"/>
          <w:tab w:val="clear" w:pos="1247"/>
          <w:tab w:val="clear" w:pos="1871"/>
          <w:tab w:val="clear" w:pos="2495"/>
          <w:tab w:val="clear" w:pos="3119"/>
          <w:tab w:val="clear" w:pos="3742"/>
          <w:tab w:val="clear" w:pos="4366"/>
          <w:tab w:val="clear" w:pos="4990"/>
        </w:tabs>
        <w:rPr>
          <w:lang w:val="ru-RU"/>
        </w:rPr>
      </w:pPr>
      <w:r w:rsidRPr="00524F1A">
        <w:rPr>
          <w:lang w:val="ru-RU"/>
        </w:rPr>
        <w:t>Модель соблюдения ЦГВП для оценки потребностей в финансировании отражает цикл проектов МФ с учетом разного прогресса, достигнутого разными Сторонами, а также сокращений, превышающих контрольные показатели, у некоторых Сторон. Модель учитывает сокращения, обеспеченные каждой отдельной страной в рамках ПВК. Модель оценивает потребности в финансировании для сектора потребления ГФУ, начиная с расчета общего объема финансирования, необходимого для достижения целевых показателей по сокращению в рамках этапа I и этапа II (на 10 и 30 процентов) для Сторон Г1, а также целевых показателей по замораживанию и сокращени</w:t>
      </w:r>
      <w:r w:rsidR="002779D8">
        <w:rPr>
          <w:lang w:val="ru-RU"/>
        </w:rPr>
        <w:t>и</w:t>
      </w:r>
      <w:r w:rsidRPr="00524F1A">
        <w:rPr>
          <w:lang w:val="ru-RU"/>
        </w:rPr>
        <w:t xml:space="preserve"> в рамках этапа I (на 10 процентов) для Сторон Г2. Эти совокупные показатели охватывают потребности в финансировании на девятилетний период (2027–2035 годы).</w:t>
      </w:r>
    </w:p>
    <w:p w14:paraId="4415E91A" w14:textId="6DC2F296" w:rsidR="00295439" w:rsidRPr="002779D8" w:rsidRDefault="00295439" w:rsidP="00524F1A">
      <w:pPr>
        <w:pStyle w:val="NormalNonumber"/>
        <w:tabs>
          <w:tab w:val="clear" w:pos="624"/>
          <w:tab w:val="clear" w:pos="1247"/>
          <w:tab w:val="clear" w:pos="1871"/>
          <w:tab w:val="clear" w:pos="2495"/>
          <w:tab w:val="clear" w:pos="3119"/>
          <w:tab w:val="clear" w:pos="3742"/>
          <w:tab w:val="clear" w:pos="4366"/>
          <w:tab w:val="clear" w:pos="4990"/>
        </w:tabs>
        <w:rPr>
          <w:lang w:val="ru-RU"/>
        </w:rPr>
      </w:pPr>
      <w:r w:rsidRPr="00524F1A">
        <w:rPr>
          <w:lang w:val="ru-RU"/>
        </w:rPr>
        <w:t>Затем ЦГВП распределила расчетный общий объем потребностей в финансировани</w:t>
      </w:r>
      <w:r w:rsidR="00CF6C45">
        <w:rPr>
          <w:lang w:val="ru-RU"/>
        </w:rPr>
        <w:t>и</w:t>
      </w:r>
      <w:r w:rsidRPr="00524F1A">
        <w:rPr>
          <w:lang w:val="ru-RU"/>
        </w:rPr>
        <w:t xml:space="preserve"> (этапы I и II) на каждый из трех трехгодичных периодов, в целом охватывающих 2027–2035 годы, используя два варианта предложений для распределения ресурсов (А и В), предложенных для рассмотрения Сторонами и (или) получения дальнейших указаний для дополнительного доклада ЦГВП. Эта методология позволяет учитывать различные показатели соблюдения для Сторон Г1 и Г2, принимая во внимание национальные условия и различные контрольные показатели для двух групп Сторон.</w:t>
      </w:r>
    </w:p>
    <w:p w14:paraId="179C506E" w14:textId="7A7769EC" w:rsidR="00295439" w:rsidRPr="00524F1A" w:rsidRDefault="00295439" w:rsidP="00524F1A">
      <w:pPr>
        <w:pStyle w:val="NormalNonumber"/>
        <w:tabs>
          <w:tab w:val="clear" w:pos="624"/>
          <w:tab w:val="clear" w:pos="1247"/>
          <w:tab w:val="clear" w:pos="1871"/>
          <w:tab w:val="clear" w:pos="2495"/>
          <w:tab w:val="clear" w:pos="3119"/>
          <w:tab w:val="clear" w:pos="3742"/>
          <w:tab w:val="clear" w:pos="4366"/>
          <w:tab w:val="clear" w:pos="4990"/>
        </w:tabs>
        <w:rPr>
          <w:lang w:val="ru-RU"/>
        </w:rPr>
      </w:pPr>
      <w:r w:rsidRPr="00524F1A">
        <w:rPr>
          <w:lang w:val="ru-RU"/>
        </w:rPr>
        <w:lastRenderedPageBreak/>
        <w:t xml:space="preserve">В ТЗ, утвержденном Сторонами в решении XXXVII/6, </w:t>
      </w:r>
      <w:r w:rsidR="002779D8">
        <w:rPr>
          <w:lang w:val="ru-RU"/>
        </w:rPr>
        <w:t>Ц</w:t>
      </w:r>
      <w:r w:rsidRPr="00524F1A">
        <w:rPr>
          <w:lang w:val="ru-RU"/>
        </w:rPr>
        <w:t>ГВП поручалось использовать «четко сформулированн</w:t>
      </w:r>
      <w:r w:rsidR="002779D8">
        <w:rPr>
          <w:lang w:val="ru-RU"/>
        </w:rPr>
        <w:t>ую</w:t>
      </w:r>
      <w:r w:rsidRPr="00524F1A">
        <w:rPr>
          <w:lang w:val="ru-RU"/>
        </w:rPr>
        <w:t xml:space="preserve"> и основанн</w:t>
      </w:r>
      <w:r w:rsidR="002779D8">
        <w:rPr>
          <w:lang w:val="ru-RU"/>
        </w:rPr>
        <w:t>ую</w:t>
      </w:r>
      <w:r w:rsidRPr="00524F1A">
        <w:rPr>
          <w:lang w:val="ru-RU"/>
        </w:rPr>
        <w:t xml:space="preserve"> на соблюдении методологи</w:t>
      </w:r>
      <w:r w:rsidR="002779D8">
        <w:rPr>
          <w:lang w:val="ru-RU"/>
        </w:rPr>
        <w:t>ю</w:t>
      </w:r>
      <w:r w:rsidRPr="00524F1A">
        <w:rPr>
          <w:lang w:val="ru-RU"/>
        </w:rPr>
        <w:t xml:space="preserve">, которая опирается на план работы Многостороннего фонда, но не зависит от него, и в которой применяется диапазон показателей </w:t>
      </w:r>
      <w:r w:rsidR="002779D8">
        <w:rPr>
          <w:lang w:val="ru-RU"/>
        </w:rPr>
        <w:t xml:space="preserve">экономической </w:t>
      </w:r>
      <w:r w:rsidRPr="00524F1A">
        <w:rPr>
          <w:lang w:val="ru-RU"/>
        </w:rPr>
        <w:t>эффективности для обрабатывающих секторов, основанных на историческом опыте, а не только на пороговых значениях экономической эффективности, утвержденных Исполнительным комитетом». В ответ на это поручение, а также ввиду отсутствия исторических значений ЭЭ из-за ограниченного опыта внедрения ПВК и с целью представления ориентировочного диапазона ЦГВП использовала для расчетов следующие два сценариях:</w:t>
      </w:r>
    </w:p>
    <w:p w14:paraId="62C65876" w14:textId="77777777" w:rsidR="00295439" w:rsidRPr="00524F1A" w:rsidRDefault="00295439" w:rsidP="00524F1A">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2495" w:hanging="624"/>
        <w:rPr>
          <w:lang w:val="ru-RU"/>
        </w:rPr>
      </w:pPr>
      <w:r w:rsidRPr="00524F1A">
        <w:rPr>
          <w:lang w:val="ru-RU"/>
        </w:rPr>
        <w:t xml:space="preserve">Сценарий 1 для ГФУ: применение утвержденных значений ЭЭ для различных секторов в соответствии с руководящими указаниями по расчету расходов и без учета малых и средних предприятий (МСП); </w:t>
      </w:r>
    </w:p>
    <w:p w14:paraId="6E3C9229" w14:textId="4546C7B3" w:rsidR="00295439" w:rsidRPr="00524F1A" w:rsidRDefault="00295439" w:rsidP="00524F1A">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2495" w:hanging="624"/>
        <w:rPr>
          <w:lang w:val="ru-RU"/>
        </w:rPr>
      </w:pPr>
      <w:r w:rsidRPr="00524F1A">
        <w:rPr>
          <w:lang w:val="ru-RU"/>
        </w:rPr>
        <w:t>Сценарий 2 для ГФУ: применение ЭЭ в зависимости от доли малых и средних предприятий (МСП) в некоторых производственных секторах и использование их (более высоких) пороговых значений ЭЭ</w:t>
      </w:r>
      <w:r w:rsidR="00BA7015">
        <w:rPr>
          <w:lang w:val="ru-RU"/>
        </w:rPr>
        <w:t>.</w:t>
      </w:r>
    </w:p>
    <w:p w14:paraId="24C0334B" w14:textId="77777777" w:rsidR="00295439" w:rsidRPr="00524F1A" w:rsidRDefault="00295439" w:rsidP="00524F1A">
      <w:pPr>
        <w:pStyle w:val="NormalNonumber"/>
        <w:tabs>
          <w:tab w:val="clear" w:pos="624"/>
          <w:tab w:val="clear" w:pos="1247"/>
          <w:tab w:val="clear" w:pos="1871"/>
          <w:tab w:val="clear" w:pos="2495"/>
          <w:tab w:val="clear" w:pos="3119"/>
          <w:tab w:val="clear" w:pos="3742"/>
          <w:tab w:val="clear" w:pos="4366"/>
          <w:tab w:val="clear" w:pos="4990"/>
        </w:tabs>
      </w:pPr>
      <w:r w:rsidRPr="00524F1A">
        <w:rPr>
          <w:lang w:val="ru-RU"/>
        </w:rPr>
        <w:t>Для обоих сценариев:</w:t>
      </w:r>
    </w:p>
    <w:p w14:paraId="7C7C9C95" w14:textId="77777777" w:rsidR="00295439" w:rsidRPr="00524F1A" w:rsidRDefault="00295439" w:rsidP="00524F1A">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2495" w:hanging="624"/>
        <w:rPr>
          <w:lang w:val="ru-RU"/>
        </w:rPr>
      </w:pPr>
      <w:r w:rsidRPr="00524F1A">
        <w:rPr>
          <w:lang w:val="ru-RU"/>
        </w:rPr>
        <w:t xml:space="preserve">ЦГВП предлагает два графика распределения ресурсов (A и B) на каждый трехгодичный период, как показано в таблице 1.4 доклада ЦГВП. </w:t>
      </w:r>
      <w:r w:rsidRPr="00524F1A">
        <w:rPr>
          <w:u w:val="single"/>
          <w:lang w:val="ru-RU"/>
        </w:rPr>
        <w:t>В обоих предложениях ЦГВП исходила из того, что к 2029 году все Стороны из групп Г1 и Г2 обеспечат полную ратификацию.</w:t>
      </w:r>
      <w:r w:rsidRPr="00524F1A">
        <w:rPr>
          <w:lang w:val="ru-RU"/>
        </w:rPr>
        <w:t xml:space="preserve"> Эти два графика распределения ресурсов отличаются долей финансирования программы ПВК, которая будет выделена на каждый трехгодичный период;</w:t>
      </w:r>
    </w:p>
    <w:p w14:paraId="53900640" w14:textId="77777777" w:rsidR="00295439" w:rsidRPr="00524F1A" w:rsidRDefault="00295439" w:rsidP="00524F1A">
      <w:pPr>
        <w:pStyle w:val="ListParagraph"/>
        <w:numPr>
          <w:ilvl w:val="1"/>
          <w:numId w:val="24"/>
        </w:numPr>
        <w:spacing w:after="120"/>
        <w:ind w:left="3261"/>
        <w:contextualSpacing w:val="0"/>
        <w:rPr>
          <w:sz w:val="20"/>
          <w:szCs w:val="20"/>
          <w:lang w:val="ru-RU"/>
        </w:rPr>
      </w:pPr>
      <w:r w:rsidRPr="00524F1A">
        <w:rPr>
          <w:sz w:val="20"/>
          <w:szCs w:val="20"/>
          <w:lang w:val="ru-RU"/>
        </w:rPr>
        <w:t>Для Сторон Г1 и Г2, не имеющих ПВК, график A для финансирования этапа I осуществляется быстрее, тогда как графики A и B для финансирования этапа II для Сторон Г1, не имеющих ПВК, не отличаются друг от друга.</w:t>
      </w:r>
    </w:p>
    <w:p w14:paraId="574CA47C" w14:textId="55AE8CFF" w:rsidR="00295439" w:rsidRPr="00524F1A" w:rsidRDefault="00295439" w:rsidP="00524F1A">
      <w:pPr>
        <w:pStyle w:val="ListParagraph"/>
        <w:numPr>
          <w:ilvl w:val="1"/>
          <w:numId w:val="24"/>
        </w:numPr>
        <w:spacing w:after="120"/>
        <w:ind w:left="3261"/>
        <w:contextualSpacing w:val="0"/>
        <w:rPr>
          <w:sz w:val="20"/>
          <w:szCs w:val="20"/>
          <w:lang w:val="ru-RU"/>
        </w:rPr>
      </w:pPr>
      <w:r w:rsidRPr="00524F1A">
        <w:rPr>
          <w:sz w:val="20"/>
          <w:szCs w:val="20"/>
          <w:lang w:val="ru-RU"/>
        </w:rPr>
        <w:t xml:space="preserve">Для </w:t>
      </w:r>
      <w:r w:rsidR="00E274D8" w:rsidRPr="00524F1A">
        <w:rPr>
          <w:sz w:val="20"/>
          <w:szCs w:val="20"/>
          <w:lang w:val="ru-RU"/>
        </w:rPr>
        <w:t>Сторон</w:t>
      </w:r>
      <w:r w:rsidRPr="00524F1A">
        <w:rPr>
          <w:sz w:val="20"/>
          <w:szCs w:val="20"/>
          <w:lang w:val="ru-RU"/>
        </w:rPr>
        <w:t xml:space="preserve"> Г1, находящихся на этапе I ПВК, в графике распределени</w:t>
      </w:r>
      <w:r w:rsidR="008B7BB7">
        <w:rPr>
          <w:sz w:val="20"/>
          <w:szCs w:val="20"/>
          <w:lang w:val="ru-RU"/>
        </w:rPr>
        <w:t>я</w:t>
      </w:r>
      <w:r w:rsidRPr="00524F1A">
        <w:rPr>
          <w:sz w:val="20"/>
          <w:szCs w:val="20"/>
          <w:lang w:val="ru-RU"/>
        </w:rPr>
        <w:t xml:space="preserve"> ресурсов A предусмотрено более оперативное выделение средств на</w:t>
      </w:r>
      <w:r w:rsidR="00E274D8">
        <w:rPr>
          <w:sz w:val="20"/>
          <w:szCs w:val="20"/>
          <w:lang w:val="ru-RU"/>
        </w:rPr>
        <w:t> </w:t>
      </w:r>
      <w:r w:rsidRPr="00524F1A">
        <w:rPr>
          <w:sz w:val="20"/>
          <w:szCs w:val="20"/>
          <w:lang w:val="ru-RU"/>
        </w:rPr>
        <w:t>этап</w:t>
      </w:r>
      <w:r w:rsidR="002779D8" w:rsidRPr="00A95F4F">
        <w:rPr>
          <w:sz w:val="20"/>
          <w:szCs w:val="20"/>
          <w:lang w:val="ru-RU"/>
        </w:rPr>
        <w:t xml:space="preserve"> </w:t>
      </w:r>
      <w:r w:rsidR="002779D8">
        <w:rPr>
          <w:sz w:val="20"/>
          <w:szCs w:val="20"/>
        </w:rPr>
        <w:t>II</w:t>
      </w:r>
      <w:r w:rsidRPr="00524F1A">
        <w:rPr>
          <w:sz w:val="20"/>
          <w:szCs w:val="20"/>
          <w:lang w:val="ru-RU"/>
        </w:rPr>
        <w:t>.</w:t>
      </w:r>
    </w:p>
    <w:p w14:paraId="324EFDB8" w14:textId="2463F35F" w:rsidR="00295439" w:rsidRPr="00524F1A" w:rsidRDefault="00295439" w:rsidP="00524F1A">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2495" w:hanging="624"/>
        <w:rPr>
          <w:lang w:val="ru-RU"/>
        </w:rPr>
      </w:pPr>
      <w:r w:rsidRPr="00524F1A">
        <w:rPr>
          <w:lang w:val="ru-RU"/>
        </w:rPr>
        <w:t xml:space="preserve">был </w:t>
      </w:r>
      <w:r w:rsidR="002779D8">
        <w:rPr>
          <w:lang w:val="ru-RU"/>
        </w:rPr>
        <w:t>сделан</w:t>
      </w:r>
      <w:r w:rsidR="002779D8" w:rsidRPr="00524F1A">
        <w:rPr>
          <w:lang w:val="ru-RU"/>
        </w:rPr>
        <w:t xml:space="preserve"> </w:t>
      </w:r>
      <w:r w:rsidRPr="00524F1A">
        <w:rPr>
          <w:lang w:val="ru-RU"/>
        </w:rPr>
        <w:t xml:space="preserve">вычет в размере 15 процентов, применяемый в отношении иностранной собственности в производственных секторах, не соответствующей критериям (см. примечание ниже); </w:t>
      </w:r>
    </w:p>
    <w:p w14:paraId="1B683910" w14:textId="2C55C0E3" w:rsidR="00295439" w:rsidRPr="00524F1A" w:rsidRDefault="00F42E44" w:rsidP="00524F1A">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2495" w:hanging="624"/>
        <w:rPr>
          <w:lang w:val="ru-RU"/>
        </w:rPr>
      </w:pPr>
      <w:r w:rsidRPr="00524F1A">
        <w:rPr>
          <w:lang w:val="ru-RU"/>
        </w:rPr>
        <w:t xml:space="preserve">при </w:t>
      </w:r>
      <w:r w:rsidR="00295439" w:rsidRPr="00524F1A">
        <w:rPr>
          <w:lang w:val="ru-RU"/>
        </w:rPr>
        <w:t>определении объема финансирования на этапе II были применены руководящие указания для расчета расходов, установленные для этапа I. Возможные последствия пересмотра руководящих указаний в 2028 году не учитывались.</w:t>
      </w:r>
    </w:p>
    <w:p w14:paraId="0861DDA7" w14:textId="4185070D" w:rsidR="00295439" w:rsidRPr="00524F1A" w:rsidRDefault="00295439" w:rsidP="00524F1A">
      <w:pPr>
        <w:pStyle w:val="NormalNonumber"/>
        <w:tabs>
          <w:tab w:val="clear" w:pos="624"/>
          <w:tab w:val="clear" w:pos="1247"/>
          <w:tab w:val="clear" w:pos="1871"/>
          <w:tab w:val="clear" w:pos="2495"/>
          <w:tab w:val="clear" w:pos="3119"/>
          <w:tab w:val="clear" w:pos="3742"/>
          <w:tab w:val="clear" w:pos="4366"/>
          <w:tab w:val="clear" w:pos="4990"/>
        </w:tabs>
        <w:rPr>
          <w:lang w:val="ru-RU"/>
        </w:rPr>
      </w:pPr>
      <w:r w:rsidRPr="00524F1A">
        <w:rPr>
          <w:lang w:val="ru-RU"/>
        </w:rPr>
        <w:t>В разделе 1.6.10, в части оговорок упомянуты две особенности: дополнительные расходы на группы управления проектами, которые не были включены в модель, и вычет в размере 15</w:t>
      </w:r>
      <w:r w:rsidR="00E274D8">
        <w:rPr>
          <w:lang w:val="ru-RU"/>
        </w:rPr>
        <w:t> </w:t>
      </w:r>
      <w:r w:rsidRPr="00524F1A">
        <w:rPr>
          <w:lang w:val="ru-RU"/>
        </w:rPr>
        <w:t>процентов, применяемый в отношении иностранной собственности в производственных секторах, который был учтен. Совокупное влияние этих двух факторов может привести к увеличению общей расчетной потребности в финансировании примерно на 15 процентов. ЦГВП допустила эти отступления по причинам, изложенным в разделе 1.6.10, и будет признательна Сторонам за рекомендации о необходимости корректировки своих оценок в дополнительном докладе ЦГВП.</w:t>
      </w:r>
    </w:p>
    <w:p w14:paraId="2D81040B" w14:textId="77777777" w:rsidR="00295439" w:rsidRPr="00A54816" w:rsidRDefault="00295439" w:rsidP="00E274D8">
      <w:pPr>
        <w:spacing w:after="120"/>
        <w:ind w:left="1247"/>
        <w:contextualSpacing/>
        <w:rPr>
          <w:b/>
          <w:bCs/>
          <w:i/>
          <w:iCs/>
          <w:lang w:val="ru-RU"/>
        </w:rPr>
      </w:pPr>
      <w:r>
        <w:rPr>
          <w:lang w:val="ru-RU"/>
        </w:rPr>
        <w:tab/>
      </w:r>
      <w:r>
        <w:rPr>
          <w:b/>
          <w:bCs/>
          <w:i/>
          <w:iCs/>
          <w:lang w:val="ru-RU"/>
        </w:rPr>
        <w:t>Сектор производства ГФУ</w:t>
      </w:r>
    </w:p>
    <w:p w14:paraId="4984F290" w14:textId="77777777" w:rsidR="00295439" w:rsidRPr="00A54816" w:rsidRDefault="00295439" w:rsidP="00E274D8">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Расчетные потребности в финансирования для сектора производства ГФУ и мер по сокращению выбросов ГФУ-23 включают:</w:t>
      </w:r>
    </w:p>
    <w:p w14:paraId="0C5A4C9E" w14:textId="77777777" w:rsidR="00295439" w:rsidRPr="00A54816" w:rsidRDefault="00295439" w:rsidP="008F3BA3">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2495" w:hanging="624"/>
        <w:rPr>
          <w:lang w:val="ru-RU"/>
        </w:rPr>
      </w:pPr>
      <w:r>
        <w:rPr>
          <w:lang w:val="ru-RU"/>
        </w:rPr>
        <w:t>расчетный объем финансирования на подготовку проекта по производству ГФУ;</w:t>
      </w:r>
    </w:p>
    <w:p w14:paraId="7F39F5C1" w14:textId="2CF8C1F1" w:rsidR="00295439" w:rsidRPr="00A54816" w:rsidRDefault="00295439" w:rsidP="008F3BA3">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2495" w:hanging="624"/>
        <w:rPr>
          <w:lang w:val="ru-RU"/>
        </w:rPr>
      </w:pPr>
      <w:r>
        <w:rPr>
          <w:lang w:val="ru-RU"/>
        </w:rPr>
        <w:t>расчетный объем финансирования Кигалийского плана регулирования поэтапного сокращения производства ГФУ (КППСГ), если таковой будет предусмотрен;</w:t>
      </w:r>
    </w:p>
    <w:p w14:paraId="6D95DB55" w14:textId="77777777" w:rsidR="00295439" w:rsidRPr="00A54816" w:rsidRDefault="00295439" w:rsidP="008F3BA3">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2495" w:hanging="624"/>
        <w:rPr>
          <w:lang w:val="ru-RU"/>
        </w:rPr>
      </w:pPr>
      <w:r>
        <w:rPr>
          <w:lang w:val="ru-RU"/>
        </w:rPr>
        <w:t>расчетный объем финансирования инвестиционного проекта по снижению выбросов ГФУ-23;</w:t>
      </w:r>
    </w:p>
    <w:p w14:paraId="290C2D36" w14:textId="77777777" w:rsidR="00295439" w:rsidRPr="00A54816" w:rsidRDefault="00295439" w:rsidP="008F3BA3">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2495" w:hanging="624"/>
        <w:rPr>
          <w:lang w:val="ru-RU"/>
        </w:rPr>
      </w:pPr>
      <w:r>
        <w:rPr>
          <w:lang w:val="ru-RU"/>
        </w:rPr>
        <w:lastRenderedPageBreak/>
        <w:t>расчетный объем финансирования для подготовки проекта по предупреждению выбросов ГФУ-23; и</w:t>
      </w:r>
    </w:p>
    <w:p w14:paraId="532F48A8" w14:textId="16BEA422" w:rsidR="00295439" w:rsidRPr="00A54816" w:rsidRDefault="00295439" w:rsidP="008F3BA3">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2495" w:hanging="624"/>
        <w:rPr>
          <w:lang w:val="ru-RU"/>
        </w:rPr>
      </w:pPr>
      <w:r>
        <w:rPr>
          <w:lang w:val="ru-RU"/>
        </w:rPr>
        <w:t>выделенное финансирование для утвержденного проекта по снижению выбросов ГФУ</w:t>
      </w:r>
      <w:r w:rsidR="00E274D8">
        <w:rPr>
          <w:lang w:val="ru-RU"/>
        </w:rPr>
        <w:noBreakHyphen/>
      </w:r>
      <w:r>
        <w:rPr>
          <w:lang w:val="ru-RU"/>
        </w:rPr>
        <w:t xml:space="preserve">23. </w:t>
      </w:r>
      <w:r w:rsidRPr="00A54816">
        <w:rPr>
          <w:lang w:val="ru-RU"/>
        </w:rPr>
        <w:t xml:space="preserve"> </w:t>
      </w:r>
    </w:p>
    <w:p w14:paraId="58033F47" w14:textId="7F446B76" w:rsidR="00295439" w:rsidRPr="00A54816" w:rsidRDefault="00295439" w:rsidP="00E274D8">
      <w:pPr>
        <w:pStyle w:val="NormalNonumber"/>
        <w:tabs>
          <w:tab w:val="clear" w:pos="624"/>
          <w:tab w:val="clear" w:pos="1247"/>
          <w:tab w:val="clear" w:pos="1871"/>
          <w:tab w:val="clear" w:pos="2495"/>
          <w:tab w:val="clear" w:pos="3119"/>
          <w:tab w:val="clear" w:pos="3742"/>
          <w:tab w:val="clear" w:pos="4366"/>
          <w:tab w:val="clear" w:pos="4990"/>
        </w:tabs>
        <w:rPr>
          <w:lang w:val="ru-RU"/>
        </w:rPr>
      </w:pPr>
      <w:r w:rsidRPr="00A54816">
        <w:rPr>
          <w:lang w:val="ru-RU"/>
        </w:rPr>
        <w:t>ЦГВП рассмотрела две Стороны,</w:t>
      </w:r>
      <w:r>
        <w:rPr>
          <w:lang w:val="ru-RU"/>
        </w:rPr>
        <w:t xml:space="preserve"> действующие в рамках</w:t>
      </w:r>
      <w:r w:rsidRPr="00A54816">
        <w:rPr>
          <w:lang w:val="ru-RU"/>
        </w:rPr>
        <w:t xml:space="preserve"> статьи 5</w:t>
      </w:r>
      <w:r>
        <w:rPr>
          <w:lang w:val="ru-RU"/>
        </w:rPr>
        <w:t xml:space="preserve"> и </w:t>
      </w:r>
      <w:r w:rsidRPr="00A54816">
        <w:rPr>
          <w:lang w:val="ru-RU"/>
        </w:rPr>
        <w:t>производящие ГФУ, применительно к оценке потребностей в финансировании для сектора производства на трехгодичный период 2027–2029 годов. Объемы производства ГФУ, о которых сообщили как Китай (Г1), так и Индия (</w:t>
      </w:r>
      <w:r>
        <w:rPr>
          <w:lang w:val="ru-RU"/>
        </w:rPr>
        <w:t>Г</w:t>
      </w:r>
      <w:r w:rsidRPr="00A54816">
        <w:rPr>
          <w:lang w:val="ru-RU"/>
        </w:rPr>
        <w:t>2), значительно ниже целевого показателя</w:t>
      </w:r>
      <w:r>
        <w:rPr>
          <w:lang w:val="ru-RU"/>
        </w:rPr>
        <w:t xml:space="preserve"> по</w:t>
      </w:r>
      <w:r w:rsidRPr="00A54816">
        <w:rPr>
          <w:lang w:val="ru-RU"/>
        </w:rPr>
        <w:t xml:space="preserve"> сокращени</w:t>
      </w:r>
      <w:r>
        <w:rPr>
          <w:lang w:val="ru-RU"/>
        </w:rPr>
        <w:t xml:space="preserve">ю </w:t>
      </w:r>
      <w:r w:rsidRPr="00A54816">
        <w:rPr>
          <w:lang w:val="ru-RU"/>
        </w:rPr>
        <w:t>на 1</w:t>
      </w:r>
      <w:r>
        <w:rPr>
          <w:lang w:val="ru-RU"/>
        </w:rPr>
        <w:t>0</w:t>
      </w:r>
      <w:r w:rsidR="00E274D8">
        <w:rPr>
          <w:lang w:val="ru-RU"/>
        </w:rPr>
        <w:t> </w:t>
      </w:r>
      <w:r>
        <w:rPr>
          <w:lang w:val="ru-RU"/>
        </w:rPr>
        <w:t>процентов</w:t>
      </w:r>
      <w:r w:rsidRPr="00A54816">
        <w:rPr>
          <w:lang w:val="ru-RU"/>
        </w:rPr>
        <w:t xml:space="preserve"> от базового уровня для Сторон </w:t>
      </w:r>
      <w:r>
        <w:rPr>
          <w:lang w:val="ru-RU"/>
        </w:rPr>
        <w:t>Г</w:t>
      </w:r>
      <w:r w:rsidRPr="00A54816">
        <w:rPr>
          <w:lang w:val="ru-RU"/>
        </w:rPr>
        <w:t xml:space="preserve">1 и целевых показателей </w:t>
      </w:r>
      <w:r>
        <w:rPr>
          <w:lang w:val="ru-RU"/>
        </w:rPr>
        <w:t xml:space="preserve">по </w:t>
      </w:r>
      <w:r w:rsidRPr="00A54816">
        <w:rPr>
          <w:lang w:val="ru-RU"/>
        </w:rPr>
        <w:t>замораживани</w:t>
      </w:r>
      <w:r>
        <w:rPr>
          <w:lang w:val="ru-RU"/>
        </w:rPr>
        <w:t xml:space="preserve">ю производства к </w:t>
      </w:r>
      <w:r w:rsidRPr="00A54816">
        <w:rPr>
          <w:lang w:val="ru-RU"/>
        </w:rPr>
        <w:t>2028 году и сокращени</w:t>
      </w:r>
      <w:r>
        <w:rPr>
          <w:lang w:val="ru-RU"/>
        </w:rPr>
        <w:t>ю</w:t>
      </w:r>
      <w:r w:rsidRPr="00A54816">
        <w:rPr>
          <w:lang w:val="ru-RU"/>
        </w:rPr>
        <w:t xml:space="preserve"> на 1</w:t>
      </w:r>
      <w:r>
        <w:rPr>
          <w:lang w:val="ru-RU"/>
        </w:rPr>
        <w:t>0 процентов</w:t>
      </w:r>
      <w:r w:rsidRPr="00A54816">
        <w:rPr>
          <w:lang w:val="ru-RU"/>
        </w:rPr>
        <w:t xml:space="preserve"> для Сторон </w:t>
      </w:r>
      <w:r>
        <w:rPr>
          <w:lang w:val="ru-RU"/>
        </w:rPr>
        <w:t>Г</w:t>
      </w:r>
      <w:r w:rsidRPr="00A54816">
        <w:rPr>
          <w:lang w:val="ru-RU"/>
        </w:rPr>
        <w:t xml:space="preserve">2. </w:t>
      </w:r>
      <w:r>
        <w:rPr>
          <w:lang w:val="ru-RU"/>
        </w:rPr>
        <w:t xml:space="preserve">По оценкам </w:t>
      </w:r>
      <w:r w:rsidRPr="00A54816">
        <w:rPr>
          <w:lang w:val="ru-RU"/>
        </w:rPr>
        <w:t xml:space="preserve">ЦГВП, на трехгодичный период 2027–2029 годов </w:t>
      </w:r>
      <w:r>
        <w:rPr>
          <w:lang w:val="ru-RU"/>
        </w:rPr>
        <w:t>этим</w:t>
      </w:r>
      <w:r w:rsidRPr="00A54816">
        <w:rPr>
          <w:lang w:val="ru-RU"/>
        </w:rPr>
        <w:t xml:space="preserve"> Сторон</w:t>
      </w:r>
      <w:r>
        <w:rPr>
          <w:lang w:val="ru-RU"/>
        </w:rPr>
        <w:t>ам</w:t>
      </w:r>
      <w:r w:rsidRPr="00A54816">
        <w:rPr>
          <w:lang w:val="ru-RU"/>
        </w:rPr>
        <w:t xml:space="preserve"> может потребоваться </w:t>
      </w:r>
      <w:r>
        <w:rPr>
          <w:lang w:val="ru-RU"/>
        </w:rPr>
        <w:t xml:space="preserve">только </w:t>
      </w:r>
      <w:r w:rsidRPr="00A54816">
        <w:rPr>
          <w:lang w:val="ru-RU"/>
        </w:rPr>
        <w:t xml:space="preserve">финансирование </w:t>
      </w:r>
      <w:r>
        <w:rPr>
          <w:lang w:val="ru-RU"/>
        </w:rPr>
        <w:t>для</w:t>
      </w:r>
      <w:r w:rsidRPr="00A54816">
        <w:rPr>
          <w:lang w:val="ru-RU"/>
        </w:rPr>
        <w:t xml:space="preserve"> подготовк</w:t>
      </w:r>
      <w:r>
        <w:rPr>
          <w:lang w:val="ru-RU"/>
        </w:rPr>
        <w:t xml:space="preserve">и </w:t>
      </w:r>
      <w:r w:rsidRPr="00A54816">
        <w:rPr>
          <w:lang w:val="ru-RU"/>
        </w:rPr>
        <w:t xml:space="preserve">проектов </w:t>
      </w:r>
      <w:r>
        <w:rPr>
          <w:lang w:val="ru-RU"/>
        </w:rPr>
        <w:t xml:space="preserve">по </w:t>
      </w:r>
      <w:r w:rsidRPr="00A54816">
        <w:rPr>
          <w:lang w:val="ru-RU"/>
        </w:rPr>
        <w:t>разработк</w:t>
      </w:r>
      <w:r>
        <w:rPr>
          <w:lang w:val="ru-RU"/>
        </w:rPr>
        <w:t>е</w:t>
      </w:r>
      <w:r w:rsidRPr="00A54816">
        <w:rPr>
          <w:lang w:val="ru-RU"/>
        </w:rPr>
        <w:t xml:space="preserve"> планов </w:t>
      </w:r>
      <w:r>
        <w:rPr>
          <w:lang w:val="ru-RU"/>
        </w:rPr>
        <w:t>для</w:t>
      </w:r>
      <w:r w:rsidRPr="00A54816">
        <w:rPr>
          <w:lang w:val="ru-RU"/>
        </w:rPr>
        <w:t xml:space="preserve"> сектор</w:t>
      </w:r>
      <w:r>
        <w:rPr>
          <w:lang w:val="ru-RU"/>
        </w:rPr>
        <w:t>а</w:t>
      </w:r>
      <w:r w:rsidRPr="00A54816">
        <w:rPr>
          <w:lang w:val="ru-RU"/>
        </w:rPr>
        <w:t xml:space="preserve"> производства ГФУ, тогда как инвестиционное финансирование в </w:t>
      </w:r>
      <w:r>
        <w:rPr>
          <w:lang w:val="ru-RU"/>
        </w:rPr>
        <w:t>этом</w:t>
      </w:r>
      <w:r w:rsidRPr="00A54816">
        <w:rPr>
          <w:lang w:val="ru-RU"/>
        </w:rPr>
        <w:t xml:space="preserve"> трехгодичном периоде не потребуется.</w:t>
      </w:r>
    </w:p>
    <w:p w14:paraId="0F9F765D" w14:textId="4E30B2D6" w:rsidR="00295439" w:rsidRPr="00A54816" w:rsidRDefault="00295439" w:rsidP="00E274D8">
      <w:pPr>
        <w:pStyle w:val="NormalNonumber"/>
        <w:tabs>
          <w:tab w:val="clear" w:pos="624"/>
          <w:tab w:val="clear" w:pos="1247"/>
          <w:tab w:val="clear" w:pos="1871"/>
          <w:tab w:val="clear" w:pos="2495"/>
          <w:tab w:val="clear" w:pos="3119"/>
          <w:tab w:val="clear" w:pos="3742"/>
          <w:tab w:val="clear" w:pos="4366"/>
          <w:tab w:val="clear" w:pos="4990"/>
        </w:tabs>
        <w:rPr>
          <w:lang w:val="ru-RU"/>
        </w:rPr>
      </w:pPr>
      <w:r w:rsidRPr="00A54816">
        <w:rPr>
          <w:lang w:val="ru-RU"/>
        </w:rPr>
        <w:t>В целях содействия Сторонам,</w:t>
      </w:r>
      <w:r>
        <w:rPr>
          <w:lang w:val="ru-RU"/>
        </w:rPr>
        <w:t xml:space="preserve"> действующи</w:t>
      </w:r>
      <w:r w:rsidR="00776242">
        <w:rPr>
          <w:lang w:val="ru-RU"/>
        </w:rPr>
        <w:t>м</w:t>
      </w:r>
      <w:r w:rsidRPr="00A54816">
        <w:rPr>
          <w:lang w:val="ru-RU"/>
        </w:rPr>
        <w:t xml:space="preserve"> </w:t>
      </w:r>
      <w:r>
        <w:rPr>
          <w:lang w:val="ru-RU"/>
        </w:rPr>
        <w:t xml:space="preserve">в рамках </w:t>
      </w:r>
      <w:r w:rsidRPr="00A54816">
        <w:rPr>
          <w:lang w:val="ru-RU"/>
        </w:rPr>
        <w:t xml:space="preserve">статьи 5, в выполнении </w:t>
      </w:r>
      <w:r>
        <w:rPr>
          <w:lang w:val="ru-RU"/>
        </w:rPr>
        <w:t xml:space="preserve">их </w:t>
      </w:r>
      <w:r w:rsidRPr="00A54816">
        <w:rPr>
          <w:lang w:val="ru-RU"/>
        </w:rPr>
        <w:t xml:space="preserve">обязательств </w:t>
      </w:r>
      <w:r>
        <w:rPr>
          <w:lang w:val="ru-RU"/>
        </w:rPr>
        <w:t>в рамках</w:t>
      </w:r>
      <w:r w:rsidRPr="00A54816">
        <w:rPr>
          <w:lang w:val="ru-RU"/>
        </w:rPr>
        <w:t xml:space="preserve"> Кигалийской поправк</w:t>
      </w:r>
      <w:r w:rsidR="00776242">
        <w:rPr>
          <w:lang w:val="ru-RU"/>
        </w:rPr>
        <w:t>и</w:t>
      </w:r>
      <w:r w:rsidRPr="00A54816">
        <w:rPr>
          <w:lang w:val="ru-RU"/>
        </w:rPr>
        <w:t xml:space="preserve"> МФ финансирует </w:t>
      </w:r>
      <w:r>
        <w:rPr>
          <w:lang w:val="ru-RU"/>
        </w:rPr>
        <w:t xml:space="preserve">расходы таких </w:t>
      </w:r>
      <w:r w:rsidRPr="00A54816">
        <w:rPr>
          <w:lang w:val="ru-RU"/>
        </w:rPr>
        <w:t>Сторон на</w:t>
      </w:r>
      <w:r>
        <w:rPr>
          <w:lang w:val="ru-RU"/>
        </w:rPr>
        <w:t xml:space="preserve"> обеспечение</w:t>
      </w:r>
      <w:r w:rsidRPr="00A54816">
        <w:rPr>
          <w:lang w:val="ru-RU"/>
        </w:rPr>
        <w:t xml:space="preserve"> сокращени</w:t>
      </w:r>
      <w:r>
        <w:rPr>
          <w:lang w:val="ru-RU"/>
        </w:rPr>
        <w:t>я</w:t>
      </w:r>
      <w:r w:rsidRPr="00A54816">
        <w:rPr>
          <w:lang w:val="ru-RU"/>
        </w:rPr>
        <w:t xml:space="preserve"> выбросов ГФУ-23, побочного продукта процесса производства ГХФУ-22, путем снижения интенсивности его выбросов в рамках этого процесса, уничтожения в отходящих газах или путем его сбора и преобразования в другие экологически безопасные химические вещества.</w:t>
      </w:r>
      <w:r>
        <w:rPr>
          <w:lang w:val="ru-RU"/>
        </w:rPr>
        <w:t xml:space="preserve"> </w:t>
      </w:r>
      <w:r w:rsidRPr="00A54816">
        <w:rPr>
          <w:lang w:val="ru-RU"/>
        </w:rPr>
        <w:t xml:space="preserve">ЦГВП </w:t>
      </w:r>
      <w:r>
        <w:rPr>
          <w:lang w:val="ru-RU"/>
        </w:rPr>
        <w:t xml:space="preserve">также </w:t>
      </w:r>
      <w:r w:rsidRPr="00A54816">
        <w:rPr>
          <w:lang w:val="ru-RU"/>
        </w:rPr>
        <w:t xml:space="preserve">оценила потребности в финансировании </w:t>
      </w:r>
      <w:r>
        <w:rPr>
          <w:lang w:val="ru-RU"/>
        </w:rPr>
        <w:t xml:space="preserve">для </w:t>
      </w:r>
      <w:r w:rsidRPr="00A54816">
        <w:rPr>
          <w:lang w:val="ru-RU"/>
        </w:rPr>
        <w:t>двух Сторон с утвержденными планами вывода из обращения ГФУ-23</w:t>
      </w:r>
      <w:r>
        <w:rPr>
          <w:lang w:val="ru-RU"/>
        </w:rPr>
        <w:t xml:space="preserve"> и для </w:t>
      </w:r>
      <w:r w:rsidRPr="00A54816">
        <w:rPr>
          <w:lang w:val="ru-RU"/>
        </w:rPr>
        <w:t>подготовк</w:t>
      </w:r>
      <w:r>
        <w:rPr>
          <w:lang w:val="ru-RU"/>
        </w:rPr>
        <w:t>и</w:t>
      </w:r>
      <w:r w:rsidRPr="00A54816">
        <w:rPr>
          <w:lang w:val="ru-RU"/>
        </w:rPr>
        <w:t xml:space="preserve"> и осуществлени</w:t>
      </w:r>
      <w:r>
        <w:rPr>
          <w:lang w:val="ru-RU"/>
        </w:rPr>
        <w:t>я</w:t>
      </w:r>
      <w:r w:rsidRPr="00A54816">
        <w:rPr>
          <w:lang w:val="ru-RU"/>
        </w:rPr>
        <w:t xml:space="preserve"> проектов </w:t>
      </w:r>
      <w:r>
        <w:rPr>
          <w:lang w:val="ru-RU"/>
        </w:rPr>
        <w:t>у</w:t>
      </w:r>
      <w:r w:rsidRPr="00A54816">
        <w:rPr>
          <w:lang w:val="ru-RU"/>
        </w:rPr>
        <w:t xml:space="preserve"> двух дополнительных Сторон</w:t>
      </w:r>
      <w:r>
        <w:rPr>
          <w:lang w:val="ru-RU"/>
        </w:rPr>
        <w:t xml:space="preserve"> на </w:t>
      </w:r>
      <w:r w:rsidRPr="00A54816">
        <w:rPr>
          <w:lang w:val="ru-RU"/>
        </w:rPr>
        <w:t>трехгодичный период 2027–2029 годов.</w:t>
      </w:r>
    </w:p>
    <w:p w14:paraId="738C9304" w14:textId="77777777" w:rsidR="00295439" w:rsidRPr="00A54816" w:rsidRDefault="00295439" w:rsidP="004F22F9">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right="567" w:firstLine="0"/>
        <w:rPr>
          <w:lang w:val="ru-RU"/>
        </w:rPr>
      </w:pPr>
      <w:r w:rsidRPr="00A54816">
        <w:rPr>
          <w:lang w:val="ru-RU"/>
        </w:rPr>
        <w:t xml:space="preserve">Сводная </w:t>
      </w:r>
      <w:r>
        <w:rPr>
          <w:lang w:val="ru-RU"/>
        </w:rPr>
        <w:t xml:space="preserve">информация о </w:t>
      </w:r>
      <w:r w:rsidRPr="00A54816">
        <w:rPr>
          <w:lang w:val="ru-RU"/>
        </w:rPr>
        <w:t>расчетных объем</w:t>
      </w:r>
      <w:r>
        <w:rPr>
          <w:lang w:val="ru-RU"/>
        </w:rPr>
        <w:t>ах</w:t>
      </w:r>
      <w:r w:rsidRPr="00A54816">
        <w:rPr>
          <w:lang w:val="ru-RU"/>
        </w:rPr>
        <w:t xml:space="preserve"> финансирования </w:t>
      </w:r>
      <w:r>
        <w:rPr>
          <w:lang w:val="ru-RU"/>
        </w:rPr>
        <w:t xml:space="preserve">поэтапного сокращения оборота </w:t>
      </w:r>
      <w:r w:rsidRPr="00A54816">
        <w:rPr>
          <w:lang w:val="ru-RU"/>
        </w:rPr>
        <w:t>ГФУ в секторах потребления и производства</w:t>
      </w:r>
    </w:p>
    <w:p w14:paraId="72F0FA5C" w14:textId="1ADFBE82" w:rsidR="00295439" w:rsidRPr="00A54816" w:rsidRDefault="00295439" w:rsidP="004F22F9">
      <w:pPr>
        <w:pStyle w:val="NormalNonumber"/>
        <w:tabs>
          <w:tab w:val="clear" w:pos="624"/>
          <w:tab w:val="clear" w:pos="1247"/>
          <w:tab w:val="clear" w:pos="1871"/>
          <w:tab w:val="clear" w:pos="2495"/>
          <w:tab w:val="clear" w:pos="3119"/>
          <w:tab w:val="clear" w:pos="3742"/>
          <w:tab w:val="clear" w:pos="4366"/>
          <w:tab w:val="clear" w:pos="4990"/>
        </w:tabs>
        <w:rPr>
          <w:rFonts w:eastAsiaTheme="minorEastAsia"/>
          <w:lang w:val="ru-RU"/>
        </w:rPr>
      </w:pPr>
      <w:r w:rsidRPr="00A54816">
        <w:rPr>
          <w:lang w:val="ru-RU"/>
        </w:rPr>
        <w:t xml:space="preserve">Диапазон расчетных общих потребностей в финансировании для секторов потребления и производства ГФУ на 2027–2029 годы и последующие </w:t>
      </w:r>
      <w:r>
        <w:rPr>
          <w:lang w:val="ru-RU"/>
        </w:rPr>
        <w:t>трехгодичны</w:t>
      </w:r>
      <w:r w:rsidR="002779D8">
        <w:rPr>
          <w:lang w:val="ru-RU"/>
        </w:rPr>
        <w:t>е периоды</w:t>
      </w:r>
      <w:r w:rsidRPr="00A54816">
        <w:rPr>
          <w:lang w:val="ru-RU"/>
        </w:rPr>
        <w:t xml:space="preserve"> приведен ниже и в таблице </w:t>
      </w:r>
      <w:r>
        <w:rPr>
          <w:lang w:val="ru-RU"/>
        </w:rPr>
        <w:t>КИ</w:t>
      </w:r>
      <w:r w:rsidRPr="00A54816">
        <w:rPr>
          <w:lang w:val="ru-RU"/>
        </w:rPr>
        <w:t>.3.</w:t>
      </w:r>
    </w:p>
    <w:p w14:paraId="21C189A5" w14:textId="149C3B99" w:rsidR="00295439" w:rsidRPr="003A2354" w:rsidRDefault="00295439" w:rsidP="004F22F9">
      <w:pPr>
        <w:pStyle w:val="Titletab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4F22F9">
        <w:rPr>
          <w:b w:val="0"/>
          <w:bCs w:val="0"/>
          <w:lang w:val="ru-RU"/>
        </w:rPr>
        <w:t>Таблица К</w:t>
      </w:r>
      <w:r w:rsidR="002779D8">
        <w:rPr>
          <w:b w:val="0"/>
          <w:bCs w:val="0"/>
          <w:lang w:val="ru-RU"/>
        </w:rPr>
        <w:t>И</w:t>
      </w:r>
      <w:r w:rsidRPr="004F22F9">
        <w:rPr>
          <w:b w:val="0"/>
          <w:bCs w:val="0"/>
          <w:lang w:val="ru-RU"/>
        </w:rPr>
        <w:t xml:space="preserve">.3 </w:t>
      </w:r>
      <w:r w:rsidR="004F22F9" w:rsidRPr="004F22F9">
        <w:rPr>
          <w:lang w:val="ru-RU"/>
        </w:rPr>
        <w:br/>
      </w:r>
      <w:r w:rsidRPr="00A54816">
        <w:rPr>
          <w:lang w:val="ru-RU"/>
        </w:rPr>
        <w:t>Расчетные</w:t>
      </w:r>
      <w:r>
        <w:rPr>
          <w:lang w:val="ru-RU"/>
        </w:rPr>
        <w:t xml:space="preserve"> общие потребности в финансировании поэтапного сокращения оборота ГФУ на период 2027–2029 годов и в последующие трехгодичные периоды (млн долл. США) </w:t>
      </w:r>
    </w:p>
    <w:tbl>
      <w:tblPr>
        <w:tblW w:w="8307" w:type="dxa"/>
        <w:jc w:val="right"/>
        <w:tblLayout w:type="fixed"/>
        <w:tblCellMar>
          <w:left w:w="0" w:type="dxa"/>
          <w:right w:w="0" w:type="dxa"/>
        </w:tblCellMar>
        <w:tblLook w:val="04A0" w:firstRow="1" w:lastRow="0" w:firstColumn="1" w:lastColumn="0" w:noHBand="0" w:noVBand="1"/>
      </w:tblPr>
      <w:tblGrid>
        <w:gridCol w:w="1266"/>
        <w:gridCol w:w="2347"/>
        <w:gridCol w:w="2279"/>
        <w:gridCol w:w="2415"/>
      </w:tblGrid>
      <w:tr w:rsidR="00295439" w:rsidRPr="004F22F9" w14:paraId="258423F8" w14:textId="77777777" w:rsidTr="005B6360">
        <w:trPr>
          <w:trHeight w:val="302"/>
          <w:tblHeader/>
          <w:jc w:val="right"/>
        </w:trPr>
        <w:tc>
          <w:tcPr>
            <w:tcW w:w="1314" w:type="dxa"/>
            <w:vMerge w:val="restart"/>
            <w:tcBorders>
              <w:top w:val="single" w:sz="4" w:space="0" w:color="auto"/>
              <w:bottom w:val="single" w:sz="12" w:space="0" w:color="auto"/>
            </w:tcBorders>
            <w:vAlign w:val="bottom"/>
          </w:tcPr>
          <w:p w14:paraId="18CA39EA" w14:textId="77777777"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rPr>
                <w:i/>
                <w:iCs/>
                <w:szCs w:val="18"/>
              </w:rPr>
            </w:pPr>
            <w:r w:rsidRPr="004F22F9">
              <w:rPr>
                <w:i/>
                <w:iCs/>
                <w:color w:val="000000"/>
                <w:szCs w:val="18"/>
                <w:lang w:val="ru-RU"/>
              </w:rPr>
              <w:t>Трехгодичный период</w:t>
            </w:r>
          </w:p>
        </w:tc>
        <w:tc>
          <w:tcPr>
            <w:tcW w:w="2437" w:type="dxa"/>
            <w:vMerge w:val="restart"/>
            <w:tcBorders>
              <w:top w:val="single" w:sz="4" w:space="0" w:color="auto"/>
              <w:bottom w:val="single" w:sz="12" w:space="0" w:color="auto"/>
            </w:tcBorders>
            <w:vAlign w:val="bottom"/>
            <w:hideMark/>
          </w:tcPr>
          <w:p w14:paraId="211C779D" w14:textId="77777777"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rPr>
                <w:i/>
                <w:iCs/>
                <w:szCs w:val="18"/>
              </w:rPr>
            </w:pPr>
            <w:r w:rsidRPr="004F22F9">
              <w:rPr>
                <w:i/>
                <w:iCs/>
                <w:color w:val="000000"/>
                <w:szCs w:val="18"/>
                <w:lang w:val="ru-RU"/>
              </w:rPr>
              <w:t>Сектор</w:t>
            </w:r>
            <w:r w:rsidRPr="004F22F9">
              <w:rPr>
                <w:color w:val="000000"/>
                <w:szCs w:val="18"/>
                <w:lang w:val="ru-RU"/>
              </w:rPr>
              <w:t xml:space="preserve"> </w:t>
            </w:r>
          </w:p>
        </w:tc>
        <w:tc>
          <w:tcPr>
            <w:tcW w:w="4875" w:type="dxa"/>
            <w:gridSpan w:val="2"/>
            <w:tcBorders>
              <w:top w:val="single" w:sz="4" w:space="0" w:color="auto"/>
              <w:bottom w:val="single" w:sz="4" w:space="0" w:color="auto"/>
            </w:tcBorders>
            <w:vAlign w:val="bottom"/>
            <w:hideMark/>
          </w:tcPr>
          <w:p w14:paraId="5C257EF3" w14:textId="77777777"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jc w:val="center"/>
              <w:rPr>
                <w:i/>
                <w:iCs/>
                <w:szCs w:val="18"/>
                <w:lang w:val="ru-RU"/>
              </w:rPr>
            </w:pPr>
            <w:r w:rsidRPr="004F22F9">
              <w:rPr>
                <w:i/>
                <w:iCs/>
                <w:color w:val="000000"/>
                <w:szCs w:val="18"/>
                <w:lang w:val="ru-RU"/>
              </w:rPr>
              <w:t>РАСЧЕТНЫЙ ДИАПАЗОН ФИНАНСИРОВАНИЯ ДЛЯ ГФУ (млн долл. США)</w:t>
            </w:r>
          </w:p>
        </w:tc>
      </w:tr>
      <w:tr w:rsidR="00295439" w:rsidRPr="008F3BA3" w14:paraId="203B8581" w14:textId="77777777" w:rsidTr="005B6360">
        <w:trPr>
          <w:trHeight w:val="60"/>
          <w:tblHeader/>
          <w:jc w:val="right"/>
        </w:trPr>
        <w:tc>
          <w:tcPr>
            <w:tcW w:w="1314" w:type="dxa"/>
            <w:vMerge/>
            <w:tcBorders>
              <w:bottom w:val="single" w:sz="12" w:space="0" w:color="auto"/>
            </w:tcBorders>
            <w:vAlign w:val="bottom"/>
          </w:tcPr>
          <w:p w14:paraId="5964A5F4" w14:textId="77777777"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rPr>
                <w:i/>
                <w:iCs/>
                <w:szCs w:val="18"/>
                <w:lang w:val="ru-RU"/>
              </w:rPr>
            </w:pPr>
          </w:p>
        </w:tc>
        <w:tc>
          <w:tcPr>
            <w:tcW w:w="2437" w:type="dxa"/>
            <w:vMerge/>
            <w:tcBorders>
              <w:bottom w:val="single" w:sz="12" w:space="0" w:color="auto"/>
            </w:tcBorders>
            <w:vAlign w:val="bottom"/>
            <w:hideMark/>
          </w:tcPr>
          <w:p w14:paraId="053F58B6" w14:textId="77777777"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rPr>
                <w:i/>
                <w:iCs/>
                <w:szCs w:val="18"/>
                <w:lang w:val="ru-RU"/>
              </w:rPr>
            </w:pPr>
          </w:p>
        </w:tc>
        <w:tc>
          <w:tcPr>
            <w:tcW w:w="2367" w:type="dxa"/>
            <w:tcBorders>
              <w:top w:val="single" w:sz="4" w:space="0" w:color="auto"/>
              <w:bottom w:val="single" w:sz="12" w:space="0" w:color="auto"/>
            </w:tcBorders>
            <w:vAlign w:val="bottom"/>
            <w:hideMark/>
          </w:tcPr>
          <w:p w14:paraId="6A3AF423" w14:textId="77777777"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jc w:val="right"/>
              <w:rPr>
                <w:i/>
                <w:iCs/>
                <w:szCs w:val="18"/>
                <w:lang w:val="ru-RU"/>
              </w:rPr>
            </w:pPr>
            <w:r w:rsidRPr="004F22F9">
              <w:rPr>
                <w:i/>
                <w:iCs/>
                <w:color w:val="000000"/>
                <w:szCs w:val="18"/>
                <w:lang w:val="ru-RU"/>
              </w:rPr>
              <w:t>Сценарии 1 и 2 для ГФУ с вариантом распределения ресурсов А</w:t>
            </w:r>
          </w:p>
        </w:tc>
        <w:tc>
          <w:tcPr>
            <w:tcW w:w="2508" w:type="dxa"/>
            <w:tcBorders>
              <w:top w:val="single" w:sz="4" w:space="0" w:color="auto"/>
              <w:bottom w:val="single" w:sz="12" w:space="0" w:color="auto"/>
            </w:tcBorders>
            <w:vAlign w:val="bottom"/>
            <w:hideMark/>
          </w:tcPr>
          <w:p w14:paraId="72B4E17E" w14:textId="77777777"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jc w:val="right"/>
              <w:rPr>
                <w:i/>
                <w:iCs/>
                <w:szCs w:val="18"/>
                <w:lang w:val="ru-RU"/>
              </w:rPr>
            </w:pPr>
            <w:r w:rsidRPr="004F22F9">
              <w:rPr>
                <w:i/>
                <w:iCs/>
                <w:color w:val="000000"/>
                <w:szCs w:val="18"/>
                <w:lang w:val="ru-RU"/>
              </w:rPr>
              <w:t>Сценарии 1 и 2 для ГФУ с вариантом распределения ресурсов B</w:t>
            </w:r>
          </w:p>
        </w:tc>
      </w:tr>
      <w:tr w:rsidR="00295439" w:rsidRPr="004F22F9" w14:paraId="6409B5A1" w14:textId="77777777" w:rsidTr="005B6360">
        <w:trPr>
          <w:trHeight w:val="287"/>
          <w:jc w:val="right"/>
        </w:trPr>
        <w:tc>
          <w:tcPr>
            <w:tcW w:w="1314" w:type="dxa"/>
            <w:vMerge w:val="restart"/>
            <w:tcBorders>
              <w:top w:val="single" w:sz="12" w:space="0" w:color="auto"/>
            </w:tcBorders>
            <w:vAlign w:val="center"/>
          </w:tcPr>
          <w:p w14:paraId="267D5A8A" w14:textId="3C7D4CB2" w:rsidR="00295439" w:rsidRPr="004F22F9" w:rsidRDefault="004F22F9" w:rsidP="004F22F9">
            <w:pPr>
              <w:pStyle w:val="Normal-pool-Table"/>
              <w:tabs>
                <w:tab w:val="clear" w:pos="624"/>
                <w:tab w:val="clear" w:pos="1247"/>
                <w:tab w:val="clear" w:pos="1871"/>
                <w:tab w:val="clear" w:pos="2495"/>
                <w:tab w:val="clear" w:pos="3119"/>
                <w:tab w:val="clear" w:pos="3742"/>
                <w:tab w:val="clear" w:pos="4366"/>
                <w:tab w:val="clear" w:pos="4990"/>
              </w:tabs>
              <w:rPr>
                <w:szCs w:val="18"/>
              </w:rPr>
            </w:pPr>
            <w:r w:rsidRPr="004F22F9">
              <w:rPr>
                <w:color w:val="000000"/>
                <w:szCs w:val="18"/>
                <w:lang w:val="ru-RU"/>
              </w:rPr>
              <w:t>2027–2029</w:t>
            </w:r>
          </w:p>
        </w:tc>
        <w:tc>
          <w:tcPr>
            <w:tcW w:w="2437" w:type="dxa"/>
            <w:tcBorders>
              <w:top w:val="single" w:sz="12" w:space="0" w:color="auto"/>
            </w:tcBorders>
            <w:vAlign w:val="bottom"/>
            <w:hideMark/>
          </w:tcPr>
          <w:p w14:paraId="32072E36" w14:textId="77777777"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rPr>
                <w:szCs w:val="18"/>
              </w:rPr>
            </w:pPr>
            <w:r w:rsidRPr="004F22F9">
              <w:rPr>
                <w:color w:val="000000"/>
                <w:szCs w:val="18"/>
                <w:lang w:val="ru-RU"/>
              </w:rPr>
              <w:t xml:space="preserve">Сектор потребления ГФУ </w:t>
            </w:r>
          </w:p>
        </w:tc>
        <w:tc>
          <w:tcPr>
            <w:tcW w:w="2367" w:type="dxa"/>
            <w:tcBorders>
              <w:top w:val="single" w:sz="12" w:space="0" w:color="auto"/>
            </w:tcBorders>
            <w:vAlign w:val="center"/>
            <w:hideMark/>
          </w:tcPr>
          <w:p w14:paraId="58848B6F" w14:textId="77D8B0A1"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4F22F9">
              <w:rPr>
                <w:color w:val="000000"/>
                <w:szCs w:val="18"/>
                <w:lang w:val="ru-RU"/>
              </w:rPr>
              <w:t>958–1 042</w:t>
            </w:r>
          </w:p>
        </w:tc>
        <w:tc>
          <w:tcPr>
            <w:tcW w:w="2508" w:type="dxa"/>
            <w:tcBorders>
              <w:top w:val="single" w:sz="12" w:space="0" w:color="auto"/>
            </w:tcBorders>
            <w:vAlign w:val="center"/>
            <w:hideMark/>
          </w:tcPr>
          <w:p w14:paraId="6FE5F58B" w14:textId="5FD7861B"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4F22F9">
              <w:rPr>
                <w:color w:val="000000"/>
                <w:szCs w:val="18"/>
                <w:lang w:val="ru-RU"/>
              </w:rPr>
              <w:t>690–769</w:t>
            </w:r>
          </w:p>
        </w:tc>
      </w:tr>
      <w:tr w:rsidR="00295439" w:rsidRPr="004F22F9" w14:paraId="61B93B21" w14:textId="77777777" w:rsidTr="005B6360">
        <w:trPr>
          <w:trHeight w:val="287"/>
          <w:jc w:val="right"/>
        </w:trPr>
        <w:tc>
          <w:tcPr>
            <w:tcW w:w="1314" w:type="dxa"/>
            <w:vMerge/>
            <w:vAlign w:val="center"/>
          </w:tcPr>
          <w:p w14:paraId="6389BD20" w14:textId="77777777"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rPr>
                <w:szCs w:val="18"/>
                <w:lang w:val="en-US"/>
              </w:rPr>
            </w:pPr>
          </w:p>
        </w:tc>
        <w:tc>
          <w:tcPr>
            <w:tcW w:w="2437" w:type="dxa"/>
            <w:vAlign w:val="bottom"/>
          </w:tcPr>
          <w:p w14:paraId="36295416" w14:textId="77777777"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rPr>
                <w:szCs w:val="18"/>
                <w:lang w:val="ru-RU"/>
              </w:rPr>
            </w:pPr>
            <w:r w:rsidRPr="004F22F9">
              <w:rPr>
                <w:color w:val="000000"/>
                <w:szCs w:val="18"/>
                <w:lang w:val="ru-RU"/>
              </w:rPr>
              <w:t>Сектор производства ГФУ и меры по предупреждению выбросов ГФУ-23</w:t>
            </w:r>
          </w:p>
        </w:tc>
        <w:tc>
          <w:tcPr>
            <w:tcW w:w="2367" w:type="dxa"/>
            <w:vAlign w:val="center"/>
          </w:tcPr>
          <w:p w14:paraId="6A8B9333" w14:textId="77777777"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4F22F9">
              <w:rPr>
                <w:color w:val="000000"/>
                <w:szCs w:val="18"/>
                <w:lang w:val="ru-RU"/>
              </w:rPr>
              <w:t>11,76</w:t>
            </w:r>
          </w:p>
        </w:tc>
        <w:tc>
          <w:tcPr>
            <w:tcW w:w="2508" w:type="dxa"/>
            <w:vAlign w:val="center"/>
          </w:tcPr>
          <w:p w14:paraId="079B091C" w14:textId="77777777"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4F22F9">
              <w:rPr>
                <w:color w:val="000000"/>
                <w:szCs w:val="18"/>
                <w:lang w:val="ru-RU"/>
              </w:rPr>
              <w:t>11,76</w:t>
            </w:r>
          </w:p>
        </w:tc>
      </w:tr>
      <w:tr w:rsidR="00295439" w:rsidRPr="004F22F9" w14:paraId="2BCFD81A" w14:textId="77777777" w:rsidTr="005B6360">
        <w:trPr>
          <w:trHeight w:val="287"/>
          <w:jc w:val="right"/>
        </w:trPr>
        <w:tc>
          <w:tcPr>
            <w:tcW w:w="1314" w:type="dxa"/>
            <w:vMerge/>
            <w:vAlign w:val="center"/>
          </w:tcPr>
          <w:p w14:paraId="1A1E5787" w14:textId="77777777"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rPr>
                <w:szCs w:val="18"/>
                <w:lang w:val="en-US"/>
              </w:rPr>
            </w:pPr>
          </w:p>
        </w:tc>
        <w:tc>
          <w:tcPr>
            <w:tcW w:w="2437" w:type="dxa"/>
            <w:vAlign w:val="bottom"/>
          </w:tcPr>
          <w:p w14:paraId="19109729" w14:textId="77777777"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rPr>
                <w:b/>
                <w:bCs/>
                <w:szCs w:val="18"/>
              </w:rPr>
            </w:pPr>
            <w:r w:rsidRPr="004F22F9">
              <w:rPr>
                <w:b/>
                <w:bCs/>
                <w:color w:val="000000"/>
                <w:szCs w:val="18"/>
                <w:lang w:val="ru-RU"/>
              </w:rPr>
              <w:t>ОБЩИЙ ДИАПАЗОН</w:t>
            </w:r>
          </w:p>
        </w:tc>
        <w:tc>
          <w:tcPr>
            <w:tcW w:w="2367" w:type="dxa"/>
            <w:vAlign w:val="center"/>
          </w:tcPr>
          <w:p w14:paraId="2C83AD74" w14:textId="569A6F2C"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jc w:val="right"/>
              <w:rPr>
                <w:b/>
                <w:bCs/>
                <w:szCs w:val="18"/>
              </w:rPr>
            </w:pPr>
            <w:r w:rsidRPr="004F22F9">
              <w:rPr>
                <w:b/>
                <w:bCs/>
                <w:color w:val="000000"/>
                <w:szCs w:val="18"/>
                <w:lang w:val="ru-RU"/>
              </w:rPr>
              <w:t>970–1</w:t>
            </w:r>
            <w:r w:rsidR="00253CF8">
              <w:rPr>
                <w:b/>
                <w:bCs/>
                <w:color w:val="000000"/>
                <w:szCs w:val="18"/>
                <w:lang w:val="ru-RU"/>
              </w:rPr>
              <w:t xml:space="preserve"> </w:t>
            </w:r>
            <w:r w:rsidRPr="004F22F9">
              <w:rPr>
                <w:b/>
                <w:bCs/>
                <w:color w:val="000000"/>
                <w:szCs w:val="18"/>
                <w:lang w:val="ru-RU"/>
              </w:rPr>
              <w:t>053</w:t>
            </w:r>
          </w:p>
        </w:tc>
        <w:tc>
          <w:tcPr>
            <w:tcW w:w="2508" w:type="dxa"/>
            <w:vAlign w:val="center"/>
          </w:tcPr>
          <w:p w14:paraId="52A1FF66" w14:textId="687D6043"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jc w:val="right"/>
              <w:rPr>
                <w:b/>
                <w:bCs/>
                <w:szCs w:val="18"/>
              </w:rPr>
            </w:pPr>
            <w:r w:rsidRPr="004F22F9">
              <w:rPr>
                <w:b/>
                <w:bCs/>
                <w:color w:val="000000"/>
                <w:szCs w:val="18"/>
                <w:lang w:val="ru-RU"/>
              </w:rPr>
              <w:t>702–781</w:t>
            </w:r>
          </w:p>
        </w:tc>
      </w:tr>
      <w:tr w:rsidR="00295439" w:rsidRPr="004F22F9" w14:paraId="61C4B838" w14:textId="77777777" w:rsidTr="005B6360">
        <w:trPr>
          <w:trHeight w:val="287"/>
          <w:jc w:val="right"/>
        </w:trPr>
        <w:tc>
          <w:tcPr>
            <w:tcW w:w="1314" w:type="dxa"/>
            <w:vMerge w:val="restart"/>
            <w:vAlign w:val="center"/>
          </w:tcPr>
          <w:p w14:paraId="5FA2346F" w14:textId="4B4EC916" w:rsidR="00295439" w:rsidRPr="004F22F9" w:rsidRDefault="004F22F9" w:rsidP="004F22F9">
            <w:pPr>
              <w:pStyle w:val="Normal-pool-Table"/>
              <w:tabs>
                <w:tab w:val="clear" w:pos="624"/>
                <w:tab w:val="clear" w:pos="1247"/>
                <w:tab w:val="clear" w:pos="1871"/>
                <w:tab w:val="clear" w:pos="2495"/>
                <w:tab w:val="clear" w:pos="3119"/>
                <w:tab w:val="clear" w:pos="3742"/>
                <w:tab w:val="clear" w:pos="4366"/>
                <w:tab w:val="clear" w:pos="4990"/>
              </w:tabs>
              <w:rPr>
                <w:szCs w:val="18"/>
              </w:rPr>
            </w:pPr>
            <w:r w:rsidRPr="004F22F9">
              <w:rPr>
                <w:color w:val="000000"/>
                <w:szCs w:val="18"/>
                <w:lang w:val="ru-RU"/>
              </w:rPr>
              <w:t>2030–2032</w:t>
            </w:r>
          </w:p>
        </w:tc>
        <w:tc>
          <w:tcPr>
            <w:tcW w:w="2437" w:type="dxa"/>
            <w:vAlign w:val="bottom"/>
          </w:tcPr>
          <w:p w14:paraId="6CC2821A" w14:textId="77777777"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rPr>
                <w:szCs w:val="18"/>
              </w:rPr>
            </w:pPr>
            <w:r w:rsidRPr="004F22F9">
              <w:rPr>
                <w:color w:val="000000"/>
                <w:szCs w:val="18"/>
                <w:lang w:val="ru-RU"/>
              </w:rPr>
              <w:t xml:space="preserve">Сектор потребления ГФУ </w:t>
            </w:r>
          </w:p>
        </w:tc>
        <w:tc>
          <w:tcPr>
            <w:tcW w:w="2367" w:type="dxa"/>
          </w:tcPr>
          <w:p w14:paraId="7D062257" w14:textId="75050ED7"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4F22F9">
              <w:rPr>
                <w:color w:val="000000"/>
                <w:szCs w:val="18"/>
                <w:lang w:val="ru-RU"/>
              </w:rPr>
              <w:t>876–907</w:t>
            </w:r>
          </w:p>
        </w:tc>
        <w:tc>
          <w:tcPr>
            <w:tcW w:w="2508" w:type="dxa"/>
          </w:tcPr>
          <w:p w14:paraId="6F607065" w14:textId="7A4A062D"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4F22F9">
              <w:rPr>
                <w:color w:val="000000"/>
                <w:szCs w:val="18"/>
                <w:lang w:val="ru-RU"/>
              </w:rPr>
              <w:t>1 049–1 084</w:t>
            </w:r>
          </w:p>
        </w:tc>
      </w:tr>
      <w:tr w:rsidR="00295439" w:rsidRPr="004F22F9" w14:paraId="40852BAF" w14:textId="77777777" w:rsidTr="005B6360">
        <w:trPr>
          <w:trHeight w:val="287"/>
          <w:jc w:val="right"/>
        </w:trPr>
        <w:tc>
          <w:tcPr>
            <w:tcW w:w="1314" w:type="dxa"/>
            <w:vMerge/>
            <w:vAlign w:val="center"/>
          </w:tcPr>
          <w:p w14:paraId="52DC1AFA" w14:textId="77777777"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rPr>
                <w:szCs w:val="18"/>
                <w:lang w:val="en-US"/>
              </w:rPr>
            </w:pPr>
          </w:p>
        </w:tc>
        <w:tc>
          <w:tcPr>
            <w:tcW w:w="2437" w:type="dxa"/>
            <w:vAlign w:val="bottom"/>
          </w:tcPr>
          <w:p w14:paraId="6103D278" w14:textId="77777777"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rPr>
                <w:szCs w:val="18"/>
                <w:lang w:val="ru-RU"/>
              </w:rPr>
            </w:pPr>
            <w:r w:rsidRPr="004F22F9">
              <w:rPr>
                <w:color w:val="000000"/>
                <w:szCs w:val="18"/>
                <w:lang w:val="ru-RU"/>
              </w:rPr>
              <w:t>Сектор производства ГФУ и меры по предупреждению выбросов ГФУ-23</w:t>
            </w:r>
          </w:p>
        </w:tc>
        <w:tc>
          <w:tcPr>
            <w:tcW w:w="2367" w:type="dxa"/>
            <w:vAlign w:val="center"/>
          </w:tcPr>
          <w:p w14:paraId="6AAE23C7" w14:textId="77777777"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4F22F9">
              <w:rPr>
                <w:color w:val="000000"/>
                <w:szCs w:val="18"/>
                <w:lang w:val="ru-RU"/>
              </w:rPr>
              <w:t>0,51</w:t>
            </w:r>
          </w:p>
        </w:tc>
        <w:tc>
          <w:tcPr>
            <w:tcW w:w="2508" w:type="dxa"/>
            <w:vAlign w:val="center"/>
          </w:tcPr>
          <w:p w14:paraId="359F6F7F" w14:textId="77777777"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4F22F9">
              <w:rPr>
                <w:color w:val="000000"/>
                <w:szCs w:val="18"/>
                <w:lang w:val="ru-RU"/>
              </w:rPr>
              <w:t>0,51</w:t>
            </w:r>
          </w:p>
        </w:tc>
      </w:tr>
      <w:tr w:rsidR="00295439" w:rsidRPr="004F22F9" w14:paraId="55F93020" w14:textId="77777777" w:rsidTr="005B6360">
        <w:trPr>
          <w:trHeight w:val="287"/>
          <w:jc w:val="right"/>
        </w:trPr>
        <w:tc>
          <w:tcPr>
            <w:tcW w:w="1314" w:type="dxa"/>
            <w:vMerge/>
            <w:vAlign w:val="center"/>
          </w:tcPr>
          <w:p w14:paraId="4FE9BC87" w14:textId="77777777"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rPr>
                <w:szCs w:val="18"/>
                <w:lang w:val="en-US"/>
              </w:rPr>
            </w:pPr>
          </w:p>
        </w:tc>
        <w:tc>
          <w:tcPr>
            <w:tcW w:w="2437" w:type="dxa"/>
            <w:vAlign w:val="bottom"/>
          </w:tcPr>
          <w:p w14:paraId="54F26CB8" w14:textId="77777777"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rPr>
                <w:b/>
                <w:bCs/>
                <w:szCs w:val="18"/>
              </w:rPr>
            </w:pPr>
            <w:r w:rsidRPr="004F22F9">
              <w:rPr>
                <w:b/>
                <w:bCs/>
                <w:color w:val="000000"/>
                <w:szCs w:val="18"/>
                <w:lang w:val="ru-RU"/>
              </w:rPr>
              <w:t>ОБЩИЙ ДИАПАЗОН</w:t>
            </w:r>
          </w:p>
        </w:tc>
        <w:tc>
          <w:tcPr>
            <w:tcW w:w="2367" w:type="dxa"/>
            <w:vAlign w:val="center"/>
          </w:tcPr>
          <w:p w14:paraId="7341BB56" w14:textId="590BD2FE"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jc w:val="right"/>
              <w:rPr>
                <w:b/>
                <w:bCs/>
                <w:szCs w:val="18"/>
              </w:rPr>
            </w:pPr>
            <w:r w:rsidRPr="004F22F9">
              <w:rPr>
                <w:b/>
                <w:bCs/>
                <w:color w:val="000000"/>
                <w:szCs w:val="18"/>
                <w:lang w:val="ru-RU"/>
              </w:rPr>
              <w:t>877–908</w:t>
            </w:r>
          </w:p>
        </w:tc>
        <w:tc>
          <w:tcPr>
            <w:tcW w:w="2508" w:type="dxa"/>
            <w:vAlign w:val="center"/>
          </w:tcPr>
          <w:p w14:paraId="3BBCD30B" w14:textId="3734DB31"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jc w:val="right"/>
              <w:rPr>
                <w:b/>
                <w:bCs/>
                <w:szCs w:val="18"/>
              </w:rPr>
            </w:pPr>
            <w:r w:rsidRPr="004F22F9">
              <w:rPr>
                <w:b/>
                <w:bCs/>
                <w:color w:val="000000"/>
                <w:szCs w:val="18"/>
                <w:lang w:val="ru-RU"/>
              </w:rPr>
              <w:t>1 050–1 085</w:t>
            </w:r>
          </w:p>
        </w:tc>
      </w:tr>
      <w:tr w:rsidR="00295439" w:rsidRPr="004F22F9" w14:paraId="3A867985" w14:textId="77777777" w:rsidTr="005B6360">
        <w:trPr>
          <w:trHeight w:val="287"/>
          <w:jc w:val="right"/>
        </w:trPr>
        <w:tc>
          <w:tcPr>
            <w:tcW w:w="1314" w:type="dxa"/>
            <w:vMerge w:val="restart"/>
            <w:tcBorders>
              <w:bottom w:val="single" w:sz="12" w:space="0" w:color="auto"/>
            </w:tcBorders>
            <w:vAlign w:val="center"/>
          </w:tcPr>
          <w:p w14:paraId="53B82160" w14:textId="372C1D7F" w:rsidR="00295439" w:rsidRPr="004F22F9" w:rsidRDefault="004F22F9" w:rsidP="004F22F9">
            <w:pPr>
              <w:pStyle w:val="Normal-pool-Table"/>
              <w:tabs>
                <w:tab w:val="clear" w:pos="624"/>
                <w:tab w:val="clear" w:pos="1247"/>
                <w:tab w:val="clear" w:pos="1871"/>
                <w:tab w:val="clear" w:pos="2495"/>
                <w:tab w:val="clear" w:pos="3119"/>
                <w:tab w:val="clear" w:pos="3742"/>
                <w:tab w:val="clear" w:pos="4366"/>
                <w:tab w:val="clear" w:pos="4990"/>
              </w:tabs>
              <w:rPr>
                <w:szCs w:val="18"/>
              </w:rPr>
            </w:pPr>
            <w:r w:rsidRPr="004F22F9">
              <w:rPr>
                <w:color w:val="000000"/>
                <w:szCs w:val="18"/>
                <w:lang w:val="ru-RU"/>
              </w:rPr>
              <w:t>2033–2035</w:t>
            </w:r>
          </w:p>
        </w:tc>
        <w:tc>
          <w:tcPr>
            <w:tcW w:w="2437" w:type="dxa"/>
            <w:vAlign w:val="bottom"/>
          </w:tcPr>
          <w:p w14:paraId="59E55357" w14:textId="77777777"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rPr>
                <w:szCs w:val="18"/>
              </w:rPr>
            </w:pPr>
            <w:r w:rsidRPr="004F22F9">
              <w:rPr>
                <w:color w:val="000000"/>
                <w:szCs w:val="18"/>
                <w:lang w:val="ru-RU"/>
              </w:rPr>
              <w:t xml:space="preserve">Сектор потребления ГФУ </w:t>
            </w:r>
          </w:p>
        </w:tc>
        <w:tc>
          <w:tcPr>
            <w:tcW w:w="2367" w:type="dxa"/>
            <w:vAlign w:val="center"/>
          </w:tcPr>
          <w:p w14:paraId="4DBB06EC" w14:textId="07EEA805"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4F22F9">
              <w:rPr>
                <w:color w:val="000000"/>
                <w:szCs w:val="18"/>
                <w:lang w:val="ru-RU"/>
              </w:rPr>
              <w:t>487–503</w:t>
            </w:r>
          </w:p>
        </w:tc>
        <w:tc>
          <w:tcPr>
            <w:tcW w:w="2508" w:type="dxa"/>
            <w:vAlign w:val="center"/>
          </w:tcPr>
          <w:p w14:paraId="1B056F2B" w14:textId="3F00E16E"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4F22F9">
              <w:rPr>
                <w:color w:val="000000"/>
                <w:szCs w:val="18"/>
                <w:lang w:val="ru-RU"/>
              </w:rPr>
              <w:t>583–600</w:t>
            </w:r>
          </w:p>
        </w:tc>
      </w:tr>
      <w:tr w:rsidR="00295439" w:rsidRPr="004F22F9" w14:paraId="25A07786" w14:textId="77777777" w:rsidTr="005B6360">
        <w:trPr>
          <w:trHeight w:val="287"/>
          <w:jc w:val="right"/>
        </w:trPr>
        <w:tc>
          <w:tcPr>
            <w:tcW w:w="1314" w:type="dxa"/>
            <w:vMerge/>
            <w:tcBorders>
              <w:bottom w:val="single" w:sz="12" w:space="0" w:color="auto"/>
            </w:tcBorders>
          </w:tcPr>
          <w:p w14:paraId="53F0C64C" w14:textId="77777777"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rPr>
                <w:szCs w:val="18"/>
                <w:lang w:val="en-US"/>
              </w:rPr>
            </w:pPr>
          </w:p>
        </w:tc>
        <w:tc>
          <w:tcPr>
            <w:tcW w:w="2437" w:type="dxa"/>
            <w:vAlign w:val="bottom"/>
          </w:tcPr>
          <w:p w14:paraId="56F4296D" w14:textId="77777777"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rPr>
                <w:szCs w:val="18"/>
                <w:lang w:val="ru-RU"/>
              </w:rPr>
            </w:pPr>
            <w:r w:rsidRPr="004F22F9">
              <w:rPr>
                <w:color w:val="000000"/>
                <w:szCs w:val="18"/>
                <w:lang w:val="ru-RU"/>
              </w:rPr>
              <w:t>Сектор производства ГФУ и меры по предупреждению выбросов ГФУ-23</w:t>
            </w:r>
          </w:p>
        </w:tc>
        <w:tc>
          <w:tcPr>
            <w:tcW w:w="2367" w:type="dxa"/>
            <w:vAlign w:val="center"/>
          </w:tcPr>
          <w:p w14:paraId="6FE60FF0" w14:textId="77777777"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4F22F9">
              <w:rPr>
                <w:color w:val="000000"/>
                <w:szCs w:val="18"/>
                <w:lang w:val="ru-RU"/>
              </w:rPr>
              <w:t>0</w:t>
            </w:r>
          </w:p>
        </w:tc>
        <w:tc>
          <w:tcPr>
            <w:tcW w:w="2508" w:type="dxa"/>
            <w:vAlign w:val="center"/>
          </w:tcPr>
          <w:p w14:paraId="67FE661E" w14:textId="77777777"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4F22F9">
              <w:rPr>
                <w:color w:val="000000"/>
                <w:szCs w:val="18"/>
                <w:lang w:val="ru-RU"/>
              </w:rPr>
              <w:t>0</w:t>
            </w:r>
          </w:p>
        </w:tc>
      </w:tr>
      <w:tr w:rsidR="00295439" w:rsidRPr="004F22F9" w14:paraId="293E6906" w14:textId="77777777" w:rsidTr="005B6360">
        <w:trPr>
          <w:trHeight w:val="287"/>
          <w:jc w:val="right"/>
        </w:trPr>
        <w:tc>
          <w:tcPr>
            <w:tcW w:w="1314" w:type="dxa"/>
            <w:vMerge/>
            <w:tcBorders>
              <w:bottom w:val="single" w:sz="12" w:space="0" w:color="auto"/>
            </w:tcBorders>
          </w:tcPr>
          <w:p w14:paraId="1816155E" w14:textId="77777777"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rPr>
                <w:szCs w:val="18"/>
                <w:lang w:val="en-US"/>
              </w:rPr>
            </w:pPr>
          </w:p>
        </w:tc>
        <w:tc>
          <w:tcPr>
            <w:tcW w:w="2437" w:type="dxa"/>
            <w:tcBorders>
              <w:bottom w:val="single" w:sz="12" w:space="0" w:color="auto"/>
            </w:tcBorders>
            <w:vAlign w:val="bottom"/>
          </w:tcPr>
          <w:p w14:paraId="223E67C7" w14:textId="77777777"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rPr>
                <w:b/>
                <w:bCs/>
                <w:szCs w:val="18"/>
              </w:rPr>
            </w:pPr>
            <w:r w:rsidRPr="004F22F9">
              <w:rPr>
                <w:b/>
                <w:bCs/>
                <w:color w:val="000000"/>
                <w:szCs w:val="18"/>
                <w:lang w:val="ru-RU"/>
              </w:rPr>
              <w:t>ОБЩИЙ ДИАПАЗОН</w:t>
            </w:r>
          </w:p>
        </w:tc>
        <w:tc>
          <w:tcPr>
            <w:tcW w:w="2367" w:type="dxa"/>
            <w:tcBorders>
              <w:bottom w:val="single" w:sz="12" w:space="0" w:color="auto"/>
            </w:tcBorders>
            <w:vAlign w:val="center"/>
          </w:tcPr>
          <w:p w14:paraId="4F2012B6" w14:textId="42D6038C"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jc w:val="right"/>
              <w:rPr>
                <w:b/>
                <w:bCs/>
                <w:szCs w:val="18"/>
              </w:rPr>
            </w:pPr>
            <w:r w:rsidRPr="004F22F9">
              <w:rPr>
                <w:b/>
                <w:bCs/>
                <w:color w:val="000000"/>
                <w:szCs w:val="18"/>
                <w:lang w:val="ru-RU"/>
              </w:rPr>
              <w:t>487–503</w:t>
            </w:r>
          </w:p>
        </w:tc>
        <w:tc>
          <w:tcPr>
            <w:tcW w:w="2508" w:type="dxa"/>
            <w:tcBorders>
              <w:bottom w:val="single" w:sz="12" w:space="0" w:color="auto"/>
            </w:tcBorders>
            <w:vAlign w:val="center"/>
          </w:tcPr>
          <w:p w14:paraId="1C7AACA8" w14:textId="3BD00CD6" w:rsidR="00295439" w:rsidRPr="004F22F9" w:rsidRDefault="00295439" w:rsidP="004F22F9">
            <w:pPr>
              <w:pStyle w:val="Normal-pool-Table"/>
              <w:tabs>
                <w:tab w:val="clear" w:pos="624"/>
                <w:tab w:val="clear" w:pos="1247"/>
                <w:tab w:val="clear" w:pos="1871"/>
                <w:tab w:val="clear" w:pos="2495"/>
                <w:tab w:val="clear" w:pos="3119"/>
                <w:tab w:val="clear" w:pos="3742"/>
                <w:tab w:val="clear" w:pos="4366"/>
                <w:tab w:val="clear" w:pos="4990"/>
              </w:tabs>
              <w:jc w:val="right"/>
              <w:rPr>
                <w:b/>
                <w:bCs/>
                <w:szCs w:val="18"/>
              </w:rPr>
            </w:pPr>
            <w:r w:rsidRPr="004F22F9">
              <w:rPr>
                <w:b/>
                <w:bCs/>
                <w:color w:val="000000"/>
                <w:szCs w:val="18"/>
                <w:lang w:val="ru-RU"/>
              </w:rPr>
              <w:t>583–600</w:t>
            </w:r>
          </w:p>
        </w:tc>
      </w:tr>
    </w:tbl>
    <w:p w14:paraId="3AD099DC" w14:textId="77777777" w:rsidR="00C35611" w:rsidRDefault="00C35611" w:rsidP="004B13BC">
      <w:pPr>
        <w:pStyle w:val="CH3"/>
        <w:keepNext w:val="0"/>
        <w:keepLines w:val="0"/>
        <w:tabs>
          <w:tab w:val="clear" w:pos="851"/>
          <w:tab w:val="clear" w:pos="1247"/>
          <w:tab w:val="clear" w:pos="1871"/>
          <w:tab w:val="clear" w:pos="2495"/>
          <w:tab w:val="clear" w:pos="3119"/>
          <w:tab w:val="clear" w:pos="3742"/>
          <w:tab w:val="clear" w:pos="4366"/>
          <w:tab w:val="clear" w:pos="4990"/>
        </w:tabs>
        <w:ind w:right="567" w:firstLine="0"/>
        <w:rPr>
          <w:lang w:val="en-US"/>
        </w:rPr>
      </w:pPr>
    </w:p>
    <w:p w14:paraId="57CBB10F" w14:textId="77777777" w:rsidR="00C35611" w:rsidRDefault="00C35611" w:rsidP="004B13BC">
      <w:pPr>
        <w:pStyle w:val="CH3"/>
        <w:keepNext w:val="0"/>
        <w:keepLines w:val="0"/>
        <w:tabs>
          <w:tab w:val="clear" w:pos="851"/>
          <w:tab w:val="clear" w:pos="1247"/>
          <w:tab w:val="clear" w:pos="1871"/>
          <w:tab w:val="clear" w:pos="2495"/>
          <w:tab w:val="clear" w:pos="3119"/>
          <w:tab w:val="clear" w:pos="3742"/>
          <w:tab w:val="clear" w:pos="4366"/>
          <w:tab w:val="clear" w:pos="4990"/>
        </w:tabs>
        <w:ind w:right="567" w:firstLine="0"/>
        <w:rPr>
          <w:lang w:val="en-US"/>
        </w:rPr>
      </w:pPr>
    </w:p>
    <w:p w14:paraId="5A4FC34D" w14:textId="5C698978" w:rsidR="00295439" w:rsidRPr="003A2354" w:rsidRDefault="00295439" w:rsidP="004B13BC">
      <w:pPr>
        <w:pStyle w:val="CH3"/>
        <w:keepNext w:val="0"/>
        <w:keepLines w:val="0"/>
        <w:tabs>
          <w:tab w:val="clear" w:pos="851"/>
          <w:tab w:val="clear" w:pos="1247"/>
          <w:tab w:val="clear" w:pos="1871"/>
          <w:tab w:val="clear" w:pos="2495"/>
          <w:tab w:val="clear" w:pos="3119"/>
          <w:tab w:val="clear" w:pos="3742"/>
          <w:tab w:val="clear" w:pos="4366"/>
          <w:tab w:val="clear" w:pos="4990"/>
        </w:tabs>
        <w:ind w:right="567" w:firstLine="0"/>
        <w:rPr>
          <w:lang w:val="ru-RU"/>
        </w:rPr>
      </w:pPr>
      <w:r>
        <w:rPr>
          <w:lang w:val="ru-RU"/>
        </w:rPr>
        <w:lastRenderedPageBreak/>
        <w:tab/>
      </w:r>
      <w:r>
        <w:rPr>
          <w:bCs/>
          <w:lang w:val="ru-RU"/>
        </w:rPr>
        <w:t>Диапазон финансирования постепенного сокращения оборота ГФУ на трехг</w:t>
      </w:r>
      <w:r w:rsidR="004B13BC">
        <w:rPr>
          <w:bCs/>
          <w:lang w:val="ru-RU"/>
        </w:rPr>
        <w:t>одичный</w:t>
      </w:r>
      <w:r>
        <w:rPr>
          <w:bCs/>
          <w:lang w:val="ru-RU"/>
        </w:rPr>
        <w:t xml:space="preserve"> период 2027–2029 годов:</w:t>
      </w:r>
      <w:r>
        <w:rPr>
          <w:lang w:val="ru-RU"/>
        </w:rPr>
        <w:t xml:space="preserve"> </w:t>
      </w:r>
    </w:p>
    <w:p w14:paraId="41043CAF" w14:textId="6B2744BB" w:rsidR="00295439" w:rsidRPr="002636B0" w:rsidRDefault="00295439" w:rsidP="006768F8">
      <w:pPr>
        <w:pStyle w:val="ListParagraph"/>
        <w:numPr>
          <w:ilvl w:val="0"/>
          <w:numId w:val="23"/>
        </w:numPr>
        <w:spacing w:after="120"/>
        <w:ind w:left="2495" w:hanging="624"/>
        <w:contextualSpacing w:val="0"/>
        <w:rPr>
          <w:b/>
          <w:bCs/>
          <w:sz w:val="20"/>
          <w:szCs w:val="20"/>
          <w:lang w:val="ru-RU"/>
        </w:rPr>
      </w:pPr>
      <w:r w:rsidRPr="002636B0">
        <w:rPr>
          <w:b/>
          <w:bCs/>
          <w:sz w:val="20"/>
          <w:szCs w:val="20"/>
          <w:lang w:val="ru-RU"/>
        </w:rPr>
        <w:t>970–1053 млн долл. США в соответствии с графиком распределения ресурсов А</w:t>
      </w:r>
      <w:r w:rsidR="008B1FFA">
        <w:rPr>
          <w:b/>
          <w:bCs/>
          <w:sz w:val="20"/>
          <w:szCs w:val="20"/>
          <w:lang w:val="ru-RU"/>
        </w:rPr>
        <w:t>;</w:t>
      </w:r>
    </w:p>
    <w:p w14:paraId="5A98EC00" w14:textId="697DE477" w:rsidR="00295439" w:rsidRPr="002636B0" w:rsidRDefault="00295439" w:rsidP="006768F8">
      <w:pPr>
        <w:pStyle w:val="ListParagraph"/>
        <w:numPr>
          <w:ilvl w:val="0"/>
          <w:numId w:val="23"/>
        </w:numPr>
        <w:spacing w:after="120"/>
        <w:ind w:left="2495" w:hanging="624"/>
        <w:contextualSpacing w:val="0"/>
        <w:rPr>
          <w:rFonts w:eastAsia="SimSun"/>
          <w:sz w:val="20"/>
          <w:szCs w:val="20"/>
          <w:lang w:val="ru-RU"/>
        </w:rPr>
      </w:pPr>
      <w:r w:rsidRPr="002636B0">
        <w:rPr>
          <w:b/>
          <w:bCs/>
          <w:sz w:val="20"/>
          <w:szCs w:val="20"/>
          <w:lang w:val="ru-RU"/>
        </w:rPr>
        <w:t>702–781 млн долл. США в соответствии с графиком распределения ресурсов</w:t>
      </w:r>
      <w:r w:rsidR="006768F8">
        <w:rPr>
          <w:b/>
          <w:bCs/>
          <w:sz w:val="20"/>
          <w:szCs w:val="20"/>
          <w:lang w:val="ru-RU"/>
        </w:rPr>
        <w:t> </w:t>
      </w:r>
      <w:r w:rsidRPr="002636B0">
        <w:rPr>
          <w:b/>
          <w:bCs/>
          <w:sz w:val="20"/>
          <w:szCs w:val="20"/>
          <w:lang w:val="ru-RU"/>
        </w:rPr>
        <w:t>В</w:t>
      </w:r>
      <w:r w:rsidR="008B1FFA">
        <w:rPr>
          <w:b/>
          <w:bCs/>
          <w:sz w:val="20"/>
          <w:szCs w:val="20"/>
          <w:lang w:val="ru-RU"/>
        </w:rPr>
        <w:t>.</w:t>
      </w:r>
    </w:p>
    <w:p w14:paraId="37A2A174" w14:textId="47C11506" w:rsidR="00295439" w:rsidRPr="00C46C08" w:rsidRDefault="00295439" w:rsidP="004C16A6">
      <w:pPr>
        <w:pStyle w:val="CH3"/>
        <w:keepNext w:val="0"/>
        <w:keepLines w:val="0"/>
        <w:tabs>
          <w:tab w:val="clear" w:pos="851"/>
          <w:tab w:val="clear" w:pos="1247"/>
          <w:tab w:val="clear" w:pos="1871"/>
          <w:tab w:val="clear" w:pos="2495"/>
          <w:tab w:val="clear" w:pos="3119"/>
          <w:tab w:val="clear" w:pos="3742"/>
          <w:tab w:val="clear" w:pos="4366"/>
          <w:tab w:val="clear" w:pos="4990"/>
        </w:tabs>
        <w:spacing w:before="0"/>
        <w:ind w:right="567" w:firstLine="0"/>
        <w:rPr>
          <w:bCs/>
          <w:lang w:val="ru-RU"/>
        </w:rPr>
      </w:pPr>
      <w:r w:rsidRPr="008B1FFA">
        <w:rPr>
          <w:color w:val="FF0000"/>
          <w:lang w:val="ru-RU"/>
        </w:rPr>
        <w:tab/>
      </w:r>
      <w:r w:rsidRPr="00C46C08">
        <w:rPr>
          <w:bCs/>
          <w:lang w:val="ru-RU"/>
        </w:rPr>
        <w:t>Иные особенности финансирования и информация для участников</w:t>
      </w:r>
    </w:p>
    <w:p w14:paraId="7518B6BB" w14:textId="41416498" w:rsidR="00295439" w:rsidRPr="003A2354" w:rsidRDefault="00295439" w:rsidP="004C16A6">
      <w:pPr>
        <w:pStyle w:val="NormalNonumber"/>
        <w:tabs>
          <w:tab w:val="clear" w:pos="624"/>
          <w:tab w:val="clear" w:pos="1247"/>
          <w:tab w:val="clear" w:pos="1871"/>
          <w:tab w:val="clear" w:pos="2495"/>
          <w:tab w:val="clear" w:pos="3119"/>
          <w:tab w:val="clear" w:pos="3742"/>
          <w:tab w:val="clear" w:pos="4366"/>
          <w:tab w:val="clear" w:pos="4990"/>
        </w:tabs>
        <w:rPr>
          <w:rFonts w:eastAsia="SimSun"/>
          <w:lang w:val="ru-RU"/>
        </w:rPr>
      </w:pPr>
      <w:r>
        <w:rPr>
          <w:lang w:val="ru-RU"/>
        </w:rPr>
        <w:t>В соответствии с ТЗ для оценки ЦГВП, содержащимся в решении XXXVII/6, были рассчитаны потребности в финансировании для укрепления институционального потенциала и проведения стандартных мероприятий, и в финансировани</w:t>
      </w:r>
      <w:r w:rsidR="002779D8">
        <w:rPr>
          <w:lang w:val="ru-RU"/>
        </w:rPr>
        <w:t>и</w:t>
      </w:r>
      <w:r>
        <w:rPr>
          <w:lang w:val="ru-RU"/>
        </w:rPr>
        <w:t xml:space="preserve"> мероприятий по повышению энергоэффективности, а также были определены механизмы финансирования экспериментальных проектов по совершенствованию регионального мониторинга атмосферы. ЦГВП также представила обновленную информацию о</w:t>
      </w:r>
      <w:r w:rsidR="00C47B52">
        <w:rPr>
          <w:lang w:val="ru-RU"/>
        </w:rPr>
        <w:t>б</w:t>
      </w:r>
      <w:r>
        <w:rPr>
          <w:lang w:val="ru-RU"/>
        </w:rPr>
        <w:t xml:space="preserve"> «особых потребностях стран с низким и очень низким объемом потребления», о «цифровых технологиях и инструментах в секторе обслуживания», а также о регулировании жизненного цикла хладагентов (РЖЦХ) с учетом продолжающихся обсуждений в соответствии с решением 97/89 Исполнительного комитета. Хотя Сторонам была представлена подробная информация по этим вопросам для рассмотрения, она не была учтена при расчете потребностей в финансировании на три трехгодичных периода.</w:t>
      </w:r>
    </w:p>
    <w:p w14:paraId="50270ABC" w14:textId="3BD188AC" w:rsidR="00295439" w:rsidRPr="004C16A6" w:rsidRDefault="00295439" w:rsidP="004C16A6">
      <w:pPr>
        <w:pStyle w:val="CH3"/>
        <w:keepNext w:val="0"/>
        <w:keepLines w:val="0"/>
        <w:tabs>
          <w:tab w:val="clear" w:pos="851"/>
          <w:tab w:val="clear" w:pos="1247"/>
          <w:tab w:val="clear" w:pos="1871"/>
          <w:tab w:val="clear" w:pos="2495"/>
          <w:tab w:val="clear" w:pos="3119"/>
          <w:tab w:val="clear" w:pos="3742"/>
          <w:tab w:val="clear" w:pos="4366"/>
          <w:tab w:val="clear" w:pos="4990"/>
        </w:tabs>
        <w:spacing w:before="0"/>
        <w:ind w:right="567" w:firstLine="0"/>
        <w:rPr>
          <w:bCs/>
          <w:lang w:val="ru-RU"/>
        </w:rPr>
      </w:pPr>
      <w:r>
        <w:rPr>
          <w:lang w:val="ru-RU"/>
        </w:rPr>
        <w:tab/>
      </w:r>
      <w:r>
        <w:rPr>
          <w:bCs/>
          <w:lang w:val="ru-RU"/>
        </w:rPr>
        <w:t>Диапазон общих расчетных потребностей в финансировании на трехгодичный период 2027–2029 годов</w:t>
      </w:r>
    </w:p>
    <w:p w14:paraId="04D3B03B" w14:textId="41464433" w:rsidR="00295439" w:rsidRPr="003A2354" w:rsidRDefault="00295439" w:rsidP="004C16A6">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Диапазон общих расчетных потребностей в финансировании (с учетом вспомогательных расходов) для пополнения МФ в ходе трехгодичного периода 2027</w:t>
      </w:r>
      <w:r w:rsidR="004C16A6">
        <w:rPr>
          <w:lang w:val="ru-RU"/>
        </w:rPr>
        <w:noBreakHyphen/>
      </w:r>
      <w:r>
        <w:rPr>
          <w:lang w:val="ru-RU"/>
        </w:rPr>
        <w:t>2029</w:t>
      </w:r>
      <w:r w:rsidR="004C16A6">
        <w:rPr>
          <w:lang w:val="ru-RU"/>
        </w:rPr>
        <w:t> </w:t>
      </w:r>
      <w:r>
        <w:rPr>
          <w:lang w:val="ru-RU"/>
        </w:rPr>
        <w:t xml:space="preserve">годов охватывает секторы потребления и производства ГХФУ и ГФУ, а также УИП и стандартные мероприятия, и представлен в таблице КИ.4. </w:t>
      </w:r>
    </w:p>
    <w:p w14:paraId="481C8A6B" w14:textId="11954D76" w:rsidR="00295439" w:rsidRPr="00E0168F" w:rsidRDefault="00295439" w:rsidP="004C16A6">
      <w:pPr>
        <w:pStyle w:val="Titletable"/>
        <w:tabs>
          <w:tab w:val="clear" w:pos="624"/>
          <w:tab w:val="clear" w:pos="1247"/>
          <w:tab w:val="clear" w:pos="1871"/>
          <w:tab w:val="clear" w:pos="2495"/>
          <w:tab w:val="clear" w:pos="3119"/>
          <w:tab w:val="clear" w:pos="3742"/>
          <w:tab w:val="clear" w:pos="4366"/>
          <w:tab w:val="clear" w:pos="4990"/>
        </w:tabs>
        <w:rPr>
          <w:rFonts w:eastAsiaTheme="minorEastAsia"/>
          <w:b w:val="0"/>
          <w:bCs w:val="0"/>
        </w:rPr>
      </w:pPr>
      <w:r w:rsidRPr="003A2354">
        <w:rPr>
          <w:b w:val="0"/>
          <w:bCs w:val="0"/>
          <w:lang w:val="ru-RU"/>
        </w:rPr>
        <w:t>Таблица КИ.4</w:t>
      </w:r>
      <w:r>
        <w:rPr>
          <w:lang w:val="ru-RU"/>
        </w:rPr>
        <w:t xml:space="preserve"> </w:t>
      </w:r>
      <w:r w:rsidR="004C16A6">
        <w:rPr>
          <w:lang w:val="ru-RU"/>
        </w:rPr>
        <w:br/>
      </w:r>
      <w:r>
        <w:rPr>
          <w:lang w:val="ru-RU"/>
        </w:rPr>
        <w:t xml:space="preserve">Диапазон общих потребностей в финансировании для пополнения средств МФ на период 2027–2029 годов с учетом различных сценариев и графиков распределения ресурсов, УИП и СМ (млн долл. США) </w:t>
      </w:r>
    </w:p>
    <w:tbl>
      <w:tblPr>
        <w:tblW w:w="8307" w:type="dxa"/>
        <w:jc w:val="right"/>
        <w:tblLayout w:type="fixed"/>
        <w:tblCellMar>
          <w:left w:w="0" w:type="dxa"/>
          <w:right w:w="0" w:type="dxa"/>
        </w:tblCellMar>
        <w:tblLook w:val="04A0" w:firstRow="1" w:lastRow="0" w:firstColumn="1" w:lastColumn="0" w:noHBand="0" w:noVBand="1"/>
      </w:tblPr>
      <w:tblGrid>
        <w:gridCol w:w="3261"/>
        <w:gridCol w:w="2524"/>
        <w:gridCol w:w="2522"/>
      </w:tblGrid>
      <w:tr w:rsidR="00295439" w:rsidRPr="00D245AD" w14:paraId="7AB68B4D" w14:textId="77777777" w:rsidTr="005B6360">
        <w:trPr>
          <w:trHeight w:val="67"/>
          <w:jc w:val="right"/>
        </w:trPr>
        <w:tc>
          <w:tcPr>
            <w:tcW w:w="1963" w:type="pct"/>
            <w:tcBorders>
              <w:top w:val="single" w:sz="4" w:space="0" w:color="auto"/>
              <w:bottom w:val="single" w:sz="12" w:space="0" w:color="auto"/>
            </w:tcBorders>
            <w:vAlign w:val="center"/>
            <w:hideMark/>
          </w:tcPr>
          <w:p w14:paraId="09F7138D" w14:textId="714BB2A4" w:rsidR="00295439" w:rsidRPr="00D245AD" w:rsidRDefault="00295439" w:rsidP="004C16A6">
            <w:pPr>
              <w:pStyle w:val="Normal-pool-Table"/>
              <w:tabs>
                <w:tab w:val="clear" w:pos="624"/>
                <w:tab w:val="clear" w:pos="1247"/>
                <w:tab w:val="clear" w:pos="1871"/>
                <w:tab w:val="clear" w:pos="2495"/>
                <w:tab w:val="clear" w:pos="3119"/>
                <w:tab w:val="clear" w:pos="3742"/>
                <w:tab w:val="clear" w:pos="4366"/>
                <w:tab w:val="clear" w:pos="4990"/>
              </w:tabs>
              <w:rPr>
                <w:i/>
                <w:iCs/>
              </w:rPr>
            </w:pPr>
            <w:r>
              <w:rPr>
                <w:i/>
                <w:iCs/>
                <w:color w:val="000000"/>
                <w:lang w:val="ru-RU"/>
              </w:rPr>
              <w:t>Трехгодичный период 2027</w:t>
            </w:r>
            <w:r w:rsidR="008B1FFA">
              <w:rPr>
                <w:i/>
                <w:iCs/>
                <w:color w:val="000000"/>
                <w:lang w:val="ru-RU"/>
              </w:rPr>
              <w:t>–</w:t>
            </w:r>
            <w:r>
              <w:rPr>
                <w:i/>
                <w:iCs/>
                <w:color w:val="000000"/>
                <w:lang w:val="ru-RU"/>
              </w:rPr>
              <w:t>2029 годов</w:t>
            </w:r>
          </w:p>
        </w:tc>
        <w:tc>
          <w:tcPr>
            <w:tcW w:w="1519" w:type="pct"/>
            <w:tcBorders>
              <w:top w:val="single" w:sz="4" w:space="0" w:color="auto"/>
              <w:bottom w:val="single" w:sz="12" w:space="0" w:color="auto"/>
            </w:tcBorders>
            <w:vAlign w:val="center"/>
            <w:hideMark/>
          </w:tcPr>
          <w:p w14:paraId="66B5B22E" w14:textId="77777777" w:rsidR="00295439" w:rsidRPr="00D245AD" w:rsidRDefault="00295439" w:rsidP="004C16A6">
            <w:pPr>
              <w:pStyle w:val="Normal-pool-Table"/>
              <w:tabs>
                <w:tab w:val="clear" w:pos="624"/>
                <w:tab w:val="clear" w:pos="1247"/>
                <w:tab w:val="clear" w:pos="1871"/>
                <w:tab w:val="clear" w:pos="2495"/>
                <w:tab w:val="clear" w:pos="3119"/>
                <w:tab w:val="clear" w:pos="3742"/>
                <w:tab w:val="clear" w:pos="4366"/>
                <w:tab w:val="clear" w:pos="4990"/>
              </w:tabs>
              <w:jc w:val="right"/>
              <w:rPr>
                <w:i/>
                <w:iCs/>
              </w:rPr>
            </w:pPr>
            <w:r>
              <w:rPr>
                <w:i/>
                <w:iCs/>
                <w:color w:val="000000"/>
                <w:lang w:val="ru-RU"/>
              </w:rPr>
              <w:t>Нижний диапазон</w:t>
            </w:r>
            <w:r>
              <w:rPr>
                <w:color w:val="000000"/>
                <w:lang w:val="ru-RU"/>
              </w:rPr>
              <w:t xml:space="preserve"> </w:t>
            </w:r>
          </w:p>
        </w:tc>
        <w:tc>
          <w:tcPr>
            <w:tcW w:w="1519" w:type="pct"/>
            <w:tcBorders>
              <w:top w:val="single" w:sz="4" w:space="0" w:color="auto"/>
              <w:bottom w:val="single" w:sz="12" w:space="0" w:color="auto"/>
            </w:tcBorders>
            <w:vAlign w:val="center"/>
            <w:hideMark/>
          </w:tcPr>
          <w:p w14:paraId="6381841F" w14:textId="77777777" w:rsidR="00295439" w:rsidRPr="00D245AD" w:rsidRDefault="00295439" w:rsidP="004C16A6">
            <w:pPr>
              <w:pStyle w:val="Normal-pool-Table"/>
              <w:tabs>
                <w:tab w:val="clear" w:pos="624"/>
                <w:tab w:val="clear" w:pos="1247"/>
                <w:tab w:val="clear" w:pos="1871"/>
                <w:tab w:val="clear" w:pos="2495"/>
                <w:tab w:val="clear" w:pos="3119"/>
                <w:tab w:val="clear" w:pos="3742"/>
                <w:tab w:val="clear" w:pos="4366"/>
                <w:tab w:val="clear" w:pos="4990"/>
              </w:tabs>
              <w:jc w:val="right"/>
              <w:rPr>
                <w:i/>
                <w:iCs/>
              </w:rPr>
            </w:pPr>
            <w:r>
              <w:rPr>
                <w:i/>
                <w:iCs/>
                <w:color w:val="000000"/>
                <w:lang w:val="ru-RU"/>
              </w:rPr>
              <w:t>Верхний диапазон</w:t>
            </w:r>
            <w:r>
              <w:rPr>
                <w:color w:val="000000"/>
                <w:lang w:val="ru-RU"/>
              </w:rPr>
              <w:t xml:space="preserve"> </w:t>
            </w:r>
          </w:p>
        </w:tc>
      </w:tr>
      <w:tr w:rsidR="00295439" w:rsidRPr="00D245AD" w14:paraId="630DE300" w14:textId="77777777" w:rsidTr="005B6360">
        <w:trPr>
          <w:trHeight w:val="318"/>
          <w:jc w:val="right"/>
        </w:trPr>
        <w:tc>
          <w:tcPr>
            <w:tcW w:w="1963" w:type="pct"/>
            <w:tcBorders>
              <w:top w:val="single" w:sz="12" w:space="0" w:color="auto"/>
            </w:tcBorders>
            <w:vAlign w:val="bottom"/>
          </w:tcPr>
          <w:p w14:paraId="480AF458" w14:textId="24F3202A" w:rsidR="00295439" w:rsidRPr="00D245AD" w:rsidRDefault="00295439" w:rsidP="004C16A6">
            <w:pPr>
              <w:pStyle w:val="Normal-pool-Table"/>
              <w:tabs>
                <w:tab w:val="clear" w:pos="624"/>
                <w:tab w:val="clear" w:pos="1247"/>
                <w:tab w:val="clear" w:pos="1871"/>
                <w:tab w:val="clear" w:pos="2495"/>
                <w:tab w:val="clear" w:pos="3119"/>
                <w:tab w:val="clear" w:pos="3742"/>
                <w:tab w:val="clear" w:pos="4366"/>
                <w:tab w:val="clear" w:pos="4990"/>
              </w:tabs>
            </w:pPr>
            <w:r>
              <w:rPr>
                <w:color w:val="000000"/>
                <w:lang w:val="ru-RU"/>
              </w:rPr>
              <w:t xml:space="preserve">ПОДЫТОГ </w:t>
            </w:r>
            <w:r w:rsidR="004C16A6">
              <w:rPr>
                <w:color w:val="000000"/>
                <w:lang w:val="ru-RU"/>
              </w:rPr>
              <w:t>–</w:t>
            </w:r>
            <w:r>
              <w:rPr>
                <w:color w:val="000000"/>
                <w:lang w:val="ru-RU"/>
              </w:rPr>
              <w:t xml:space="preserve"> МЕРОПРИЯТИЯ ПО ГХФУ</w:t>
            </w:r>
          </w:p>
        </w:tc>
        <w:tc>
          <w:tcPr>
            <w:tcW w:w="1519" w:type="pct"/>
            <w:tcBorders>
              <w:top w:val="single" w:sz="12" w:space="0" w:color="auto"/>
            </w:tcBorders>
            <w:vAlign w:val="center"/>
          </w:tcPr>
          <w:p w14:paraId="674CB90C" w14:textId="77777777" w:rsidR="00295439" w:rsidRPr="00D245AD" w:rsidRDefault="00295439" w:rsidP="004C16A6">
            <w:pPr>
              <w:pStyle w:val="Normal-pool-Table"/>
              <w:tabs>
                <w:tab w:val="clear" w:pos="624"/>
                <w:tab w:val="clear" w:pos="1247"/>
                <w:tab w:val="clear" w:pos="1871"/>
                <w:tab w:val="clear" w:pos="2495"/>
                <w:tab w:val="clear" w:pos="3119"/>
                <w:tab w:val="clear" w:pos="3742"/>
                <w:tab w:val="clear" w:pos="4366"/>
                <w:tab w:val="clear" w:pos="4990"/>
              </w:tabs>
              <w:jc w:val="right"/>
            </w:pPr>
            <w:r>
              <w:rPr>
                <w:color w:val="000000"/>
                <w:lang w:val="ru-RU"/>
              </w:rPr>
              <w:t>451</w:t>
            </w:r>
          </w:p>
        </w:tc>
        <w:tc>
          <w:tcPr>
            <w:tcW w:w="1519" w:type="pct"/>
            <w:tcBorders>
              <w:top w:val="single" w:sz="12" w:space="0" w:color="auto"/>
            </w:tcBorders>
            <w:vAlign w:val="center"/>
          </w:tcPr>
          <w:p w14:paraId="0563DC7A" w14:textId="77777777" w:rsidR="00295439" w:rsidRPr="00D245AD" w:rsidRDefault="00295439" w:rsidP="004C16A6">
            <w:pPr>
              <w:pStyle w:val="Normal-pool-Table"/>
              <w:tabs>
                <w:tab w:val="clear" w:pos="624"/>
                <w:tab w:val="clear" w:pos="1247"/>
                <w:tab w:val="clear" w:pos="1871"/>
                <w:tab w:val="clear" w:pos="2495"/>
                <w:tab w:val="clear" w:pos="3119"/>
                <w:tab w:val="clear" w:pos="3742"/>
                <w:tab w:val="clear" w:pos="4366"/>
                <w:tab w:val="clear" w:pos="4990"/>
              </w:tabs>
              <w:jc w:val="right"/>
            </w:pPr>
            <w:r>
              <w:rPr>
                <w:color w:val="000000"/>
                <w:lang w:val="ru-RU"/>
              </w:rPr>
              <w:t>573</w:t>
            </w:r>
          </w:p>
        </w:tc>
      </w:tr>
      <w:tr w:rsidR="00295439" w:rsidRPr="00D245AD" w14:paraId="6E3BC8A0" w14:textId="77777777" w:rsidTr="005B6360">
        <w:trPr>
          <w:trHeight w:val="318"/>
          <w:jc w:val="right"/>
        </w:trPr>
        <w:tc>
          <w:tcPr>
            <w:tcW w:w="1963" w:type="pct"/>
            <w:vAlign w:val="bottom"/>
          </w:tcPr>
          <w:p w14:paraId="26CA570F" w14:textId="10231E81" w:rsidR="00295439" w:rsidRPr="00D245AD" w:rsidRDefault="00295439" w:rsidP="004C16A6">
            <w:pPr>
              <w:pStyle w:val="Normal-pool-Table"/>
              <w:tabs>
                <w:tab w:val="clear" w:pos="624"/>
                <w:tab w:val="clear" w:pos="1247"/>
                <w:tab w:val="clear" w:pos="1871"/>
                <w:tab w:val="clear" w:pos="2495"/>
                <w:tab w:val="clear" w:pos="3119"/>
                <w:tab w:val="clear" w:pos="3742"/>
                <w:tab w:val="clear" w:pos="4366"/>
                <w:tab w:val="clear" w:pos="4990"/>
              </w:tabs>
            </w:pPr>
            <w:r>
              <w:rPr>
                <w:color w:val="000000"/>
                <w:lang w:val="ru-RU"/>
              </w:rPr>
              <w:t xml:space="preserve">ПОДЫТОГ </w:t>
            </w:r>
            <w:r w:rsidR="004C16A6">
              <w:rPr>
                <w:color w:val="000000"/>
                <w:lang w:val="ru-RU"/>
              </w:rPr>
              <w:t>–</w:t>
            </w:r>
            <w:r>
              <w:rPr>
                <w:color w:val="000000"/>
                <w:lang w:val="ru-RU"/>
              </w:rPr>
              <w:t xml:space="preserve"> МЕРОПРИЯТИЯ ПО ГФУ</w:t>
            </w:r>
          </w:p>
        </w:tc>
        <w:tc>
          <w:tcPr>
            <w:tcW w:w="1519" w:type="pct"/>
            <w:vAlign w:val="center"/>
          </w:tcPr>
          <w:p w14:paraId="3B7AAF0B" w14:textId="7A4A9031" w:rsidR="00295439" w:rsidRPr="00D245AD" w:rsidRDefault="00295439" w:rsidP="004C16A6">
            <w:pPr>
              <w:pStyle w:val="Normal-pool-Table"/>
              <w:tabs>
                <w:tab w:val="clear" w:pos="624"/>
                <w:tab w:val="clear" w:pos="1247"/>
                <w:tab w:val="clear" w:pos="1871"/>
                <w:tab w:val="clear" w:pos="2495"/>
                <w:tab w:val="clear" w:pos="3119"/>
                <w:tab w:val="clear" w:pos="3742"/>
                <w:tab w:val="clear" w:pos="4366"/>
                <w:tab w:val="clear" w:pos="4990"/>
              </w:tabs>
              <w:jc w:val="right"/>
            </w:pPr>
            <w:r>
              <w:rPr>
                <w:color w:val="000000"/>
                <w:lang w:val="ru-RU"/>
              </w:rPr>
              <w:t>702–781</w:t>
            </w:r>
          </w:p>
        </w:tc>
        <w:tc>
          <w:tcPr>
            <w:tcW w:w="1519" w:type="pct"/>
            <w:vAlign w:val="center"/>
          </w:tcPr>
          <w:p w14:paraId="6C9A159B" w14:textId="545BC201" w:rsidR="00295439" w:rsidRPr="00D245AD" w:rsidRDefault="00295439" w:rsidP="004C16A6">
            <w:pPr>
              <w:pStyle w:val="Normal-pool-Table"/>
              <w:tabs>
                <w:tab w:val="clear" w:pos="624"/>
                <w:tab w:val="clear" w:pos="1247"/>
                <w:tab w:val="clear" w:pos="1871"/>
                <w:tab w:val="clear" w:pos="2495"/>
                <w:tab w:val="clear" w:pos="3119"/>
                <w:tab w:val="clear" w:pos="3742"/>
                <w:tab w:val="clear" w:pos="4366"/>
                <w:tab w:val="clear" w:pos="4990"/>
              </w:tabs>
              <w:jc w:val="right"/>
            </w:pPr>
            <w:r>
              <w:rPr>
                <w:color w:val="000000"/>
                <w:lang w:val="ru-RU"/>
              </w:rPr>
              <w:t>970–1</w:t>
            </w:r>
            <w:r w:rsidR="00A67F40">
              <w:rPr>
                <w:color w:val="000000"/>
                <w:lang w:val="ru-RU"/>
              </w:rPr>
              <w:t xml:space="preserve"> </w:t>
            </w:r>
            <w:r>
              <w:rPr>
                <w:color w:val="000000"/>
                <w:lang w:val="ru-RU"/>
              </w:rPr>
              <w:t>053</w:t>
            </w:r>
          </w:p>
        </w:tc>
      </w:tr>
      <w:tr w:rsidR="00295439" w:rsidRPr="00D245AD" w14:paraId="19A2F2C2" w14:textId="77777777" w:rsidTr="005B6360">
        <w:trPr>
          <w:trHeight w:val="318"/>
          <w:jc w:val="right"/>
        </w:trPr>
        <w:tc>
          <w:tcPr>
            <w:tcW w:w="1963" w:type="pct"/>
            <w:tcBorders>
              <w:bottom w:val="single" w:sz="4" w:space="0" w:color="auto"/>
            </w:tcBorders>
            <w:vAlign w:val="bottom"/>
          </w:tcPr>
          <w:p w14:paraId="068CA2EE" w14:textId="77777777" w:rsidR="00295439" w:rsidRPr="00D245AD" w:rsidRDefault="00295439" w:rsidP="004C16A6">
            <w:pPr>
              <w:pStyle w:val="Normal-pool-Table"/>
              <w:tabs>
                <w:tab w:val="clear" w:pos="624"/>
                <w:tab w:val="clear" w:pos="1247"/>
                <w:tab w:val="clear" w:pos="1871"/>
                <w:tab w:val="clear" w:pos="2495"/>
                <w:tab w:val="clear" w:pos="3119"/>
                <w:tab w:val="clear" w:pos="3742"/>
                <w:tab w:val="clear" w:pos="4366"/>
                <w:tab w:val="clear" w:pos="4990"/>
              </w:tabs>
            </w:pPr>
            <w:r>
              <w:rPr>
                <w:color w:val="000000"/>
                <w:lang w:val="ru-RU"/>
              </w:rPr>
              <w:t>ПОДЫТОГ – УИП и СМ</w:t>
            </w:r>
          </w:p>
        </w:tc>
        <w:tc>
          <w:tcPr>
            <w:tcW w:w="1519" w:type="pct"/>
            <w:tcBorders>
              <w:bottom w:val="single" w:sz="4" w:space="0" w:color="auto"/>
            </w:tcBorders>
            <w:vAlign w:val="center"/>
          </w:tcPr>
          <w:p w14:paraId="5C53413A" w14:textId="77777777" w:rsidR="00295439" w:rsidRPr="00D245AD" w:rsidRDefault="00295439" w:rsidP="004C16A6">
            <w:pPr>
              <w:pStyle w:val="Normal-pool-Table"/>
              <w:tabs>
                <w:tab w:val="clear" w:pos="624"/>
                <w:tab w:val="clear" w:pos="1247"/>
                <w:tab w:val="clear" w:pos="1871"/>
                <w:tab w:val="clear" w:pos="2495"/>
                <w:tab w:val="clear" w:pos="3119"/>
                <w:tab w:val="clear" w:pos="3742"/>
                <w:tab w:val="clear" w:pos="4366"/>
                <w:tab w:val="clear" w:pos="4990"/>
              </w:tabs>
              <w:jc w:val="right"/>
            </w:pPr>
            <w:r>
              <w:rPr>
                <w:color w:val="000000"/>
                <w:lang w:val="ru-RU"/>
              </w:rPr>
              <w:t>129</w:t>
            </w:r>
          </w:p>
        </w:tc>
        <w:tc>
          <w:tcPr>
            <w:tcW w:w="1519" w:type="pct"/>
            <w:tcBorders>
              <w:bottom w:val="single" w:sz="4" w:space="0" w:color="auto"/>
            </w:tcBorders>
            <w:vAlign w:val="center"/>
          </w:tcPr>
          <w:p w14:paraId="00FA33D4" w14:textId="77777777" w:rsidR="00295439" w:rsidRPr="00D245AD" w:rsidRDefault="00295439" w:rsidP="004C16A6">
            <w:pPr>
              <w:pStyle w:val="Normal-pool-Table"/>
              <w:tabs>
                <w:tab w:val="clear" w:pos="624"/>
                <w:tab w:val="clear" w:pos="1247"/>
                <w:tab w:val="clear" w:pos="1871"/>
                <w:tab w:val="clear" w:pos="2495"/>
                <w:tab w:val="clear" w:pos="3119"/>
                <w:tab w:val="clear" w:pos="3742"/>
                <w:tab w:val="clear" w:pos="4366"/>
                <w:tab w:val="clear" w:pos="4990"/>
              </w:tabs>
              <w:jc w:val="right"/>
            </w:pPr>
            <w:r>
              <w:rPr>
                <w:color w:val="000000"/>
                <w:lang w:val="ru-RU"/>
              </w:rPr>
              <w:t>129</w:t>
            </w:r>
          </w:p>
        </w:tc>
      </w:tr>
      <w:tr w:rsidR="00295439" w:rsidRPr="00D245AD" w14:paraId="5A5C100D" w14:textId="77777777" w:rsidTr="005B6360">
        <w:trPr>
          <w:trHeight w:val="318"/>
          <w:jc w:val="right"/>
        </w:trPr>
        <w:tc>
          <w:tcPr>
            <w:tcW w:w="1963" w:type="pct"/>
            <w:tcBorders>
              <w:top w:val="single" w:sz="4" w:space="0" w:color="auto"/>
              <w:bottom w:val="single" w:sz="12" w:space="0" w:color="auto"/>
            </w:tcBorders>
            <w:vAlign w:val="bottom"/>
          </w:tcPr>
          <w:p w14:paraId="1B47AC6F" w14:textId="77777777" w:rsidR="00295439" w:rsidRPr="00D245AD" w:rsidRDefault="00295439" w:rsidP="004C16A6">
            <w:pPr>
              <w:pStyle w:val="Normal-pool-Table"/>
              <w:tabs>
                <w:tab w:val="clear" w:pos="624"/>
                <w:tab w:val="clear" w:pos="1247"/>
                <w:tab w:val="clear" w:pos="1871"/>
                <w:tab w:val="clear" w:pos="2495"/>
                <w:tab w:val="clear" w:pos="3119"/>
                <w:tab w:val="clear" w:pos="3742"/>
                <w:tab w:val="clear" w:pos="4366"/>
                <w:tab w:val="clear" w:pos="4990"/>
              </w:tabs>
              <w:rPr>
                <w:b/>
                <w:bCs/>
              </w:rPr>
            </w:pPr>
            <w:r>
              <w:rPr>
                <w:b/>
                <w:bCs/>
                <w:color w:val="000000"/>
                <w:lang w:val="ru-RU"/>
              </w:rPr>
              <w:t>ОБЩИЙ ИТОГ</w:t>
            </w:r>
          </w:p>
        </w:tc>
        <w:tc>
          <w:tcPr>
            <w:tcW w:w="1519" w:type="pct"/>
            <w:tcBorders>
              <w:top w:val="single" w:sz="4" w:space="0" w:color="auto"/>
              <w:bottom w:val="single" w:sz="12" w:space="0" w:color="auto"/>
            </w:tcBorders>
            <w:vAlign w:val="center"/>
          </w:tcPr>
          <w:p w14:paraId="27AEE6E5" w14:textId="7D52FDBC" w:rsidR="00295439" w:rsidRPr="00D245AD" w:rsidRDefault="00295439" w:rsidP="004C16A6">
            <w:pPr>
              <w:pStyle w:val="Normal-pool-Table"/>
              <w:tabs>
                <w:tab w:val="clear" w:pos="624"/>
                <w:tab w:val="clear" w:pos="1247"/>
                <w:tab w:val="clear" w:pos="1871"/>
                <w:tab w:val="clear" w:pos="2495"/>
                <w:tab w:val="clear" w:pos="3119"/>
                <w:tab w:val="clear" w:pos="3742"/>
                <w:tab w:val="clear" w:pos="4366"/>
                <w:tab w:val="clear" w:pos="4990"/>
              </w:tabs>
              <w:jc w:val="right"/>
              <w:rPr>
                <w:b/>
                <w:bCs/>
              </w:rPr>
            </w:pPr>
            <w:r>
              <w:rPr>
                <w:b/>
                <w:bCs/>
                <w:color w:val="000000"/>
                <w:lang w:val="ru-RU"/>
              </w:rPr>
              <w:t>1</w:t>
            </w:r>
            <w:r w:rsidR="00A67F40">
              <w:rPr>
                <w:b/>
                <w:bCs/>
                <w:color w:val="000000"/>
                <w:lang w:val="ru-RU"/>
              </w:rPr>
              <w:t xml:space="preserve"> </w:t>
            </w:r>
            <w:r>
              <w:rPr>
                <w:b/>
                <w:bCs/>
                <w:color w:val="000000"/>
                <w:lang w:val="ru-RU"/>
              </w:rPr>
              <w:t>282–1</w:t>
            </w:r>
            <w:r w:rsidR="00A67F40">
              <w:rPr>
                <w:b/>
                <w:bCs/>
                <w:color w:val="000000"/>
                <w:lang w:val="ru-RU"/>
              </w:rPr>
              <w:t xml:space="preserve"> </w:t>
            </w:r>
            <w:r>
              <w:rPr>
                <w:b/>
                <w:bCs/>
                <w:color w:val="000000"/>
                <w:lang w:val="ru-RU"/>
              </w:rPr>
              <w:t>361</w:t>
            </w:r>
          </w:p>
        </w:tc>
        <w:tc>
          <w:tcPr>
            <w:tcW w:w="1519" w:type="pct"/>
            <w:tcBorders>
              <w:top w:val="single" w:sz="4" w:space="0" w:color="auto"/>
              <w:bottom w:val="single" w:sz="12" w:space="0" w:color="auto"/>
            </w:tcBorders>
            <w:vAlign w:val="center"/>
          </w:tcPr>
          <w:p w14:paraId="7BDCA2BC" w14:textId="09872841" w:rsidR="00295439" w:rsidRPr="00D245AD" w:rsidRDefault="00295439" w:rsidP="004C16A6">
            <w:pPr>
              <w:pStyle w:val="Normal-pool-Table"/>
              <w:tabs>
                <w:tab w:val="clear" w:pos="624"/>
                <w:tab w:val="clear" w:pos="1247"/>
                <w:tab w:val="clear" w:pos="1871"/>
                <w:tab w:val="clear" w:pos="2495"/>
                <w:tab w:val="clear" w:pos="3119"/>
                <w:tab w:val="clear" w:pos="3742"/>
                <w:tab w:val="clear" w:pos="4366"/>
                <w:tab w:val="clear" w:pos="4990"/>
              </w:tabs>
              <w:jc w:val="right"/>
              <w:rPr>
                <w:b/>
                <w:bCs/>
              </w:rPr>
            </w:pPr>
            <w:r>
              <w:rPr>
                <w:b/>
                <w:bCs/>
                <w:color w:val="000000"/>
                <w:lang w:val="ru-RU"/>
              </w:rPr>
              <w:t>1</w:t>
            </w:r>
            <w:r w:rsidR="00A67F40">
              <w:rPr>
                <w:b/>
                <w:bCs/>
                <w:color w:val="000000"/>
                <w:lang w:val="ru-RU"/>
              </w:rPr>
              <w:t xml:space="preserve"> </w:t>
            </w:r>
            <w:r>
              <w:rPr>
                <w:b/>
                <w:bCs/>
                <w:color w:val="000000"/>
                <w:lang w:val="ru-RU"/>
              </w:rPr>
              <w:t>672–1</w:t>
            </w:r>
            <w:r w:rsidR="00A67F40">
              <w:rPr>
                <w:b/>
                <w:bCs/>
                <w:color w:val="000000"/>
                <w:lang w:val="ru-RU"/>
              </w:rPr>
              <w:t xml:space="preserve"> </w:t>
            </w:r>
            <w:r>
              <w:rPr>
                <w:b/>
                <w:bCs/>
                <w:color w:val="000000"/>
                <w:lang w:val="ru-RU"/>
              </w:rPr>
              <w:t>755</w:t>
            </w:r>
          </w:p>
        </w:tc>
      </w:tr>
    </w:tbl>
    <w:p w14:paraId="18E0ADCC" w14:textId="77777777" w:rsidR="00295439" w:rsidRPr="003A2354" w:rsidRDefault="00295439" w:rsidP="004C16A6">
      <w:pPr>
        <w:pStyle w:val="Normalpool"/>
        <w:tabs>
          <w:tab w:val="clear" w:pos="624"/>
        </w:tabs>
        <w:sectPr w:rsidR="00295439" w:rsidRPr="003A2354" w:rsidSect="00295439">
          <w:footnotePr>
            <w:numRestart w:val="eachSect"/>
          </w:footnotePr>
          <w:pgSz w:w="11907" w:h="16839"/>
          <w:pgMar w:top="907" w:right="992" w:bottom="1418" w:left="1418" w:header="539" w:footer="975" w:gutter="0"/>
          <w:cols w:space="708"/>
          <w:docGrid w:linePitch="360"/>
        </w:sectPr>
      </w:pPr>
    </w:p>
    <w:p w14:paraId="6478ECC9" w14:textId="77777777" w:rsidR="00295439" w:rsidRPr="00D245AD" w:rsidRDefault="00295439" w:rsidP="00A60545">
      <w:pPr>
        <w:pStyle w:val="ZZAnxheader"/>
        <w:tabs>
          <w:tab w:val="clear" w:pos="624"/>
          <w:tab w:val="clear" w:pos="1247"/>
          <w:tab w:val="clear" w:pos="1871"/>
          <w:tab w:val="clear" w:pos="2495"/>
          <w:tab w:val="clear" w:pos="3119"/>
          <w:tab w:val="clear" w:pos="3742"/>
          <w:tab w:val="clear" w:pos="4366"/>
          <w:tab w:val="clear" w:pos="4990"/>
        </w:tabs>
        <w:spacing w:after="240"/>
      </w:pPr>
      <w:r w:rsidRPr="003A2354">
        <w:rPr>
          <w:lang w:val="ru-RU"/>
        </w:rPr>
        <w:lastRenderedPageBreak/>
        <w:t>Приложение II</w:t>
      </w:r>
      <w:r w:rsidRPr="003A2354">
        <w:rPr>
          <w:b w:val="0"/>
          <w:bCs w:val="0"/>
          <w:lang w:val="ru-RU"/>
        </w:rPr>
        <w:footnoteReference w:customMarkFollows="1" w:id="17"/>
        <w:t>*</w:t>
      </w:r>
    </w:p>
    <w:p w14:paraId="0E20D921" w14:textId="77777777" w:rsidR="00295439" w:rsidRPr="00B21A41" w:rsidRDefault="00295439" w:rsidP="00A60545">
      <w:pPr>
        <w:pStyle w:val="ZZAnxtitle"/>
        <w:tabs>
          <w:tab w:val="clear" w:pos="624"/>
          <w:tab w:val="clear" w:pos="1247"/>
          <w:tab w:val="clear" w:pos="1871"/>
          <w:tab w:val="clear" w:pos="2495"/>
          <w:tab w:val="clear" w:pos="3119"/>
          <w:tab w:val="clear" w:pos="3742"/>
          <w:tab w:val="clear" w:pos="4366"/>
          <w:tab w:val="clear" w:pos="4990"/>
        </w:tabs>
        <w:spacing w:before="0"/>
        <w:ind w:right="567"/>
        <w:rPr>
          <w:lang w:val="ru-RU"/>
        </w:rPr>
      </w:pPr>
      <w:r>
        <w:rPr>
          <w:lang w:val="ru-RU"/>
        </w:rPr>
        <w:t>Доклад о ходе работы Группы по техническому обзору и экономической оценке за 2026 год (том 1)</w:t>
      </w:r>
    </w:p>
    <w:p w14:paraId="1D366F01" w14:textId="3FBF0398" w:rsidR="00295439" w:rsidRPr="00B21A41" w:rsidRDefault="00295439" w:rsidP="00A60545">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right="567" w:firstLine="0"/>
        <w:rPr>
          <w:lang w:val="ru-RU"/>
        </w:rPr>
      </w:pPr>
      <w:bookmarkStart w:id="15" w:name="_Toc166157403"/>
      <w:bookmarkStart w:id="16" w:name="_Toc166577102"/>
      <w:r>
        <w:rPr>
          <w:lang w:val="ru-RU"/>
        </w:rPr>
        <w:tab/>
      </w:r>
      <w:r>
        <w:rPr>
          <w:bCs/>
          <w:lang w:val="ru-RU"/>
        </w:rPr>
        <w:t>Основные выводы комитетов по техническим вариантам замены</w:t>
      </w:r>
      <w:bookmarkEnd w:id="15"/>
      <w:bookmarkEnd w:id="16"/>
    </w:p>
    <w:p w14:paraId="4C4D2CB0" w14:textId="77777777" w:rsidR="00295439" w:rsidRPr="00B21A41" w:rsidRDefault="00295439" w:rsidP="00A60545">
      <w:pPr>
        <w:pStyle w:val="NormalNonumber"/>
        <w:tabs>
          <w:tab w:val="clear" w:pos="624"/>
          <w:tab w:val="clear" w:pos="1247"/>
          <w:tab w:val="clear" w:pos="1871"/>
          <w:tab w:val="clear" w:pos="2495"/>
          <w:tab w:val="clear" w:pos="3119"/>
          <w:tab w:val="clear" w:pos="3742"/>
          <w:tab w:val="clear" w:pos="4366"/>
          <w:tab w:val="clear" w:pos="4990"/>
        </w:tabs>
        <w:rPr>
          <w:color w:val="000000" w:themeColor="text1"/>
          <w:lang w:val="ru-RU"/>
        </w:rPr>
      </w:pPr>
      <w:r>
        <w:rPr>
          <w:lang w:val="ru-RU"/>
        </w:rPr>
        <w:t>В настоящем разделе представлены основные выводы из докладов КТВ о ходе их работы.</w:t>
      </w:r>
    </w:p>
    <w:p w14:paraId="47B84609" w14:textId="6B9D8505" w:rsidR="00295439" w:rsidRPr="00B21A41" w:rsidRDefault="00295439" w:rsidP="00A60545">
      <w:pPr>
        <w:pStyle w:val="CH3"/>
        <w:keepNext w:val="0"/>
        <w:keepLines w:val="0"/>
        <w:tabs>
          <w:tab w:val="clear" w:pos="851"/>
          <w:tab w:val="clear" w:pos="1247"/>
          <w:tab w:val="clear" w:pos="1871"/>
          <w:tab w:val="clear" w:pos="2495"/>
          <w:tab w:val="clear" w:pos="3119"/>
          <w:tab w:val="clear" w:pos="3742"/>
          <w:tab w:val="clear" w:pos="4366"/>
          <w:tab w:val="clear" w:pos="4990"/>
        </w:tabs>
        <w:spacing w:before="0"/>
        <w:ind w:right="567" w:firstLine="0"/>
        <w:rPr>
          <w:i/>
          <w:iCs/>
          <w:color w:val="000000" w:themeColor="text1"/>
          <w:lang w:val="ru-RU"/>
        </w:rPr>
      </w:pPr>
      <w:r>
        <w:rPr>
          <w:lang w:val="ru-RU"/>
        </w:rPr>
        <w:tab/>
      </w:r>
      <w:r>
        <w:rPr>
          <w:bCs/>
          <w:i/>
          <w:iCs/>
          <w:lang w:val="ru-RU"/>
        </w:rPr>
        <w:t>Комитет по техническим вариантам замены для пожаротушения (КТВПТ)</w:t>
      </w:r>
    </w:p>
    <w:p w14:paraId="0363A8E8" w14:textId="77777777" w:rsidR="00295439" w:rsidRPr="00B21A41" w:rsidRDefault="00295439" w:rsidP="00A60545">
      <w:pPr>
        <w:pStyle w:val="NormalNonumber"/>
        <w:tabs>
          <w:tab w:val="clear" w:pos="624"/>
          <w:tab w:val="clear" w:pos="1247"/>
          <w:tab w:val="clear" w:pos="1871"/>
          <w:tab w:val="clear" w:pos="2495"/>
          <w:tab w:val="clear" w:pos="3119"/>
          <w:tab w:val="clear" w:pos="3742"/>
          <w:tab w:val="clear" w:pos="4366"/>
          <w:tab w:val="clear" w:pos="4990"/>
        </w:tabs>
        <w:rPr>
          <w:color w:val="000000" w:themeColor="text1"/>
          <w:lang w:val="ru-RU"/>
        </w:rPr>
      </w:pPr>
      <w:r>
        <w:rPr>
          <w:lang w:val="ru-RU"/>
        </w:rPr>
        <w:t>Доклад о ходе работы КТВПТ содержится в главе 3 настоящего доклада и содержит следующие обновленные сведения:</w:t>
      </w:r>
    </w:p>
    <w:p w14:paraId="21537365" w14:textId="209E06AB" w:rsidR="00295439" w:rsidRDefault="00295439" w:rsidP="00A60545">
      <w:pPr>
        <w:pStyle w:val="NormalNonumber"/>
        <w:tabs>
          <w:tab w:val="clear" w:pos="624"/>
          <w:tab w:val="clear" w:pos="1247"/>
          <w:tab w:val="clear" w:pos="1871"/>
          <w:tab w:val="clear" w:pos="2495"/>
          <w:tab w:val="clear" w:pos="3119"/>
          <w:tab w:val="clear" w:pos="3742"/>
          <w:tab w:val="clear" w:pos="4366"/>
          <w:tab w:val="clear" w:pos="4990"/>
        </w:tabs>
        <w:ind w:left="1843" w:hanging="283"/>
        <w:rPr>
          <w:lang w:val="ru-RU"/>
        </w:rPr>
      </w:pPr>
      <w:r w:rsidRPr="00043D45">
        <w:rPr>
          <w:color w:val="000000" w:themeColor="text1"/>
          <w:lang w:val="ru-RU"/>
        </w:rPr>
        <w:t>•</w:t>
      </w:r>
      <w:r w:rsidRPr="00043D45">
        <w:rPr>
          <w:color w:val="000000" w:themeColor="text1"/>
          <w:lang w:val="ru-RU"/>
        </w:rPr>
        <w:tab/>
      </w:r>
      <w:r w:rsidRPr="00043D45">
        <w:rPr>
          <w:lang w:val="ru-RU"/>
        </w:rPr>
        <w:t xml:space="preserve">В </w:t>
      </w:r>
      <w:r>
        <w:rPr>
          <w:lang w:val="ru-RU"/>
        </w:rPr>
        <w:t>соответствии с решением</w:t>
      </w:r>
      <w:r w:rsidRPr="00043D45">
        <w:rPr>
          <w:lang w:val="ru-RU"/>
        </w:rPr>
        <w:t xml:space="preserve"> </w:t>
      </w:r>
      <w:r>
        <w:t>XXXVII</w:t>
      </w:r>
      <w:r w:rsidRPr="00043D45">
        <w:rPr>
          <w:lang w:val="ru-RU"/>
        </w:rPr>
        <w:t xml:space="preserve">/4 о наличии галонов и </w:t>
      </w:r>
      <w:r>
        <w:rPr>
          <w:lang w:val="ru-RU"/>
        </w:rPr>
        <w:t>глобальном</w:t>
      </w:r>
      <w:r w:rsidRPr="00043D45">
        <w:rPr>
          <w:lang w:val="ru-RU"/>
        </w:rPr>
        <w:t xml:space="preserve"> распределении </w:t>
      </w:r>
      <w:r>
        <w:rPr>
          <w:lang w:val="ru-RU"/>
        </w:rPr>
        <w:t xml:space="preserve">фондов </w:t>
      </w:r>
      <w:r w:rsidRPr="00043D45">
        <w:rPr>
          <w:lang w:val="ru-RU"/>
        </w:rPr>
        <w:t xml:space="preserve">галонов КТВПТ </w:t>
      </w:r>
      <w:r>
        <w:rPr>
          <w:lang w:val="ru-RU"/>
        </w:rPr>
        <w:t xml:space="preserve">в сотрудничестве </w:t>
      </w:r>
      <w:r w:rsidRPr="00043D45">
        <w:rPr>
          <w:lang w:val="ru-RU"/>
        </w:rPr>
        <w:t xml:space="preserve">с Международной организацией гражданской авиации (ИКАО) </w:t>
      </w:r>
      <w:r>
        <w:rPr>
          <w:lang w:val="ru-RU"/>
        </w:rPr>
        <w:t>уточнил</w:t>
      </w:r>
      <w:r w:rsidRPr="00043D45">
        <w:rPr>
          <w:lang w:val="ru-RU"/>
        </w:rPr>
        <w:t xml:space="preserve"> дату исчерпания </w:t>
      </w:r>
      <w:r>
        <w:rPr>
          <w:lang w:val="ru-RU"/>
        </w:rPr>
        <w:t>резерво</w:t>
      </w:r>
      <w:r w:rsidRPr="00043D45">
        <w:rPr>
          <w:lang w:val="ru-RU"/>
        </w:rPr>
        <w:t xml:space="preserve">в галона 1301. Расчетная дата </w:t>
      </w:r>
      <w:r>
        <w:rPr>
          <w:lang w:val="ru-RU"/>
        </w:rPr>
        <w:t>–</w:t>
      </w:r>
      <w:r w:rsidRPr="00043D45">
        <w:rPr>
          <w:lang w:val="ru-RU"/>
        </w:rPr>
        <w:t xml:space="preserve"> 2035</w:t>
      </w:r>
      <w:r w:rsidR="00A60545">
        <w:rPr>
          <w:lang w:val="ru-RU"/>
        </w:rPr>
        <w:t> </w:t>
      </w:r>
      <w:r w:rsidRPr="00043D45">
        <w:rPr>
          <w:lang w:val="ru-RU"/>
        </w:rPr>
        <w:t xml:space="preserve">год ± 4 года </w:t>
      </w:r>
      <w:r>
        <w:rPr>
          <w:lang w:val="ru-RU"/>
        </w:rPr>
        <w:t>–</w:t>
      </w:r>
      <w:r w:rsidRPr="00043D45">
        <w:rPr>
          <w:lang w:val="ru-RU"/>
        </w:rPr>
        <w:t xml:space="preserve"> </w:t>
      </w:r>
      <w:r>
        <w:rPr>
          <w:lang w:val="ru-RU"/>
        </w:rPr>
        <w:t xml:space="preserve">была </w:t>
      </w:r>
      <w:r w:rsidRPr="00043D45">
        <w:rPr>
          <w:lang w:val="ru-RU"/>
        </w:rPr>
        <w:t>определена на основе последних имеющихся данных</w:t>
      </w:r>
      <w:r>
        <w:rPr>
          <w:lang w:val="ru-RU"/>
        </w:rPr>
        <w:t xml:space="preserve"> о</w:t>
      </w:r>
      <w:r w:rsidRPr="00043D45">
        <w:rPr>
          <w:lang w:val="ru-RU"/>
        </w:rPr>
        <w:t xml:space="preserve"> гражданской авиации, нефтяной и газовой промышленности и атомны</w:t>
      </w:r>
      <w:r>
        <w:rPr>
          <w:lang w:val="ru-RU"/>
        </w:rPr>
        <w:t>х</w:t>
      </w:r>
      <w:r w:rsidRPr="00043D45">
        <w:rPr>
          <w:lang w:val="ru-RU"/>
        </w:rPr>
        <w:t xml:space="preserve"> электростанци</w:t>
      </w:r>
      <w:r>
        <w:rPr>
          <w:lang w:val="ru-RU"/>
        </w:rPr>
        <w:t>ях</w:t>
      </w:r>
      <w:r w:rsidRPr="00043D45">
        <w:rPr>
          <w:lang w:val="ru-RU"/>
        </w:rPr>
        <w:t>, а также с учетом объем</w:t>
      </w:r>
      <w:r>
        <w:rPr>
          <w:lang w:val="ru-RU"/>
        </w:rPr>
        <w:t>а</w:t>
      </w:r>
      <w:r w:rsidRPr="00043D45">
        <w:rPr>
          <w:lang w:val="ru-RU"/>
        </w:rPr>
        <w:t xml:space="preserve"> галона, рекуперируемого в ходе </w:t>
      </w:r>
      <w:r>
        <w:rPr>
          <w:lang w:val="ru-RU"/>
        </w:rPr>
        <w:t>демонтажа</w:t>
      </w:r>
      <w:r w:rsidRPr="00043D45">
        <w:rPr>
          <w:lang w:val="ru-RU"/>
        </w:rPr>
        <w:t xml:space="preserve"> судов.</w:t>
      </w:r>
    </w:p>
    <w:p w14:paraId="197EBC7D" w14:textId="665B47F7" w:rsidR="00295439" w:rsidRPr="00043D45" w:rsidRDefault="00295439" w:rsidP="00A60545">
      <w:pPr>
        <w:pStyle w:val="NormalNonumber"/>
        <w:tabs>
          <w:tab w:val="clear" w:pos="624"/>
          <w:tab w:val="clear" w:pos="1247"/>
          <w:tab w:val="clear" w:pos="1871"/>
          <w:tab w:val="clear" w:pos="2495"/>
          <w:tab w:val="clear" w:pos="3119"/>
          <w:tab w:val="clear" w:pos="3742"/>
          <w:tab w:val="clear" w:pos="4366"/>
          <w:tab w:val="clear" w:pos="4990"/>
        </w:tabs>
        <w:ind w:left="1843" w:hanging="283"/>
        <w:rPr>
          <w:color w:val="000000" w:themeColor="text1"/>
          <w:lang w:val="ru-RU"/>
        </w:rPr>
      </w:pPr>
      <w:r w:rsidRPr="00043D45">
        <w:rPr>
          <w:color w:val="000000" w:themeColor="text1"/>
          <w:lang w:val="ru-RU"/>
        </w:rPr>
        <w:t>•</w:t>
      </w:r>
      <w:r w:rsidRPr="00043D45">
        <w:rPr>
          <w:color w:val="000000" w:themeColor="text1"/>
          <w:lang w:val="ru-RU"/>
        </w:rPr>
        <w:tab/>
      </w:r>
      <w:r w:rsidRPr="00043D45">
        <w:rPr>
          <w:lang w:val="ru-RU"/>
        </w:rPr>
        <w:t>Стороны</w:t>
      </w:r>
      <w:r>
        <w:rPr>
          <w:lang w:val="ru-RU"/>
        </w:rPr>
        <w:t>,</w:t>
      </w:r>
      <w:r w:rsidRPr="00043D45">
        <w:rPr>
          <w:lang w:val="ru-RU"/>
        </w:rPr>
        <w:t xml:space="preserve"> </w:t>
      </w:r>
      <w:r>
        <w:rPr>
          <w:lang w:val="ru-RU"/>
        </w:rPr>
        <w:t>возможно,</w:t>
      </w:r>
      <w:r w:rsidRPr="00043D45">
        <w:rPr>
          <w:lang w:val="ru-RU"/>
        </w:rPr>
        <w:t xml:space="preserve"> </w:t>
      </w:r>
      <w:r>
        <w:rPr>
          <w:lang w:val="ru-RU"/>
        </w:rPr>
        <w:t>пожелаю</w:t>
      </w:r>
      <w:r w:rsidRPr="00043D45">
        <w:rPr>
          <w:lang w:val="ru-RU"/>
        </w:rPr>
        <w:t>т</w:t>
      </w:r>
      <w:r>
        <w:rPr>
          <w:lang w:val="ru-RU"/>
        </w:rPr>
        <w:t xml:space="preserve"> </w:t>
      </w:r>
      <w:r w:rsidRPr="00043D45">
        <w:rPr>
          <w:lang w:val="ru-RU"/>
        </w:rPr>
        <w:t xml:space="preserve">рассмотреть вопрос о том, какие изменения, если таковые потребуются, </w:t>
      </w:r>
      <w:r>
        <w:rPr>
          <w:lang w:val="ru-RU"/>
        </w:rPr>
        <w:t>необходимо</w:t>
      </w:r>
      <w:r w:rsidRPr="00043D45">
        <w:rPr>
          <w:lang w:val="ru-RU"/>
        </w:rPr>
        <w:t xml:space="preserve"> внести в процедуры подачи заявок в отношении </w:t>
      </w:r>
      <w:r>
        <w:rPr>
          <w:lang w:val="ru-RU"/>
        </w:rPr>
        <w:t xml:space="preserve">основных </w:t>
      </w:r>
      <w:r w:rsidRPr="00043D45">
        <w:rPr>
          <w:lang w:val="ru-RU"/>
        </w:rPr>
        <w:t>видов применения (З</w:t>
      </w:r>
      <w:r>
        <w:rPr>
          <w:lang w:val="ru-RU"/>
        </w:rPr>
        <w:t>ОВП</w:t>
      </w:r>
      <w:r w:rsidRPr="00043D45">
        <w:rPr>
          <w:lang w:val="ru-RU"/>
        </w:rPr>
        <w:t>) и их</w:t>
      </w:r>
      <w:r>
        <w:rPr>
          <w:lang w:val="ru-RU"/>
        </w:rPr>
        <w:t xml:space="preserve"> оценки</w:t>
      </w:r>
      <w:r w:rsidRPr="00043D45">
        <w:rPr>
          <w:lang w:val="ru-RU"/>
        </w:rPr>
        <w:t xml:space="preserve">, поскольку ни одна </w:t>
      </w:r>
      <w:r>
        <w:rPr>
          <w:lang w:val="ru-RU"/>
        </w:rPr>
        <w:t>отдельная</w:t>
      </w:r>
      <w:r w:rsidRPr="00043D45">
        <w:rPr>
          <w:lang w:val="ru-RU"/>
        </w:rPr>
        <w:t xml:space="preserve"> Сторон</w:t>
      </w:r>
      <w:r>
        <w:rPr>
          <w:lang w:val="ru-RU"/>
        </w:rPr>
        <w:t>а</w:t>
      </w:r>
      <w:r w:rsidRPr="00043D45">
        <w:rPr>
          <w:lang w:val="ru-RU"/>
        </w:rPr>
        <w:t xml:space="preserve"> в отдельности не сможет </w:t>
      </w:r>
      <w:r>
        <w:rPr>
          <w:lang w:val="ru-RU"/>
        </w:rPr>
        <w:t xml:space="preserve">на ежегодной основе </w:t>
      </w:r>
      <w:r w:rsidRPr="00043D45">
        <w:rPr>
          <w:lang w:val="ru-RU"/>
        </w:rPr>
        <w:t>определять потребности своей гражданской авиации, т</w:t>
      </w:r>
      <w:r w:rsidR="001A2D32">
        <w:rPr>
          <w:lang w:val="ru-RU"/>
        </w:rPr>
        <w:t>.</w:t>
      </w:r>
      <w:r w:rsidRPr="00043D45">
        <w:rPr>
          <w:lang w:val="ru-RU"/>
        </w:rPr>
        <w:t xml:space="preserve"> е</w:t>
      </w:r>
      <w:r w:rsidR="001A2D32">
        <w:rPr>
          <w:lang w:val="ru-RU"/>
        </w:rPr>
        <w:t>.</w:t>
      </w:r>
      <w:r w:rsidRPr="00043D45">
        <w:rPr>
          <w:lang w:val="ru-RU"/>
        </w:rPr>
        <w:t xml:space="preserve"> объемы производства и потребления.</w:t>
      </w:r>
    </w:p>
    <w:p w14:paraId="2E11D63C" w14:textId="77777777" w:rsidR="00295439" w:rsidRPr="00043D45" w:rsidRDefault="00295439" w:rsidP="00A60545">
      <w:pPr>
        <w:pStyle w:val="NormalNonumber"/>
        <w:tabs>
          <w:tab w:val="clear" w:pos="624"/>
          <w:tab w:val="clear" w:pos="1247"/>
          <w:tab w:val="clear" w:pos="1871"/>
          <w:tab w:val="clear" w:pos="2495"/>
          <w:tab w:val="clear" w:pos="3119"/>
          <w:tab w:val="clear" w:pos="3742"/>
          <w:tab w:val="clear" w:pos="4366"/>
          <w:tab w:val="clear" w:pos="4990"/>
        </w:tabs>
        <w:ind w:left="1843" w:hanging="283"/>
        <w:rPr>
          <w:color w:val="000000" w:themeColor="text1"/>
          <w:lang w:val="ru-RU"/>
        </w:rPr>
      </w:pPr>
      <w:r w:rsidRPr="00043D45">
        <w:rPr>
          <w:color w:val="000000" w:themeColor="text1"/>
          <w:lang w:val="ru-RU"/>
        </w:rPr>
        <w:t>•</w:t>
      </w:r>
      <w:r w:rsidRPr="00043D45">
        <w:rPr>
          <w:color w:val="000000" w:themeColor="text1"/>
          <w:lang w:val="ru-RU"/>
        </w:rPr>
        <w:tab/>
      </w:r>
      <w:r w:rsidRPr="00043D45">
        <w:rPr>
          <w:lang w:val="ru-RU"/>
        </w:rPr>
        <w:t xml:space="preserve">Модель КТВПТ по-прежнему хорошо согласуется с </w:t>
      </w:r>
      <w:r>
        <w:rPr>
          <w:lang w:val="ru-RU"/>
        </w:rPr>
        <w:t>данными о выбросах</w:t>
      </w:r>
      <w:r w:rsidRPr="00043D45">
        <w:rPr>
          <w:lang w:val="ru-RU"/>
        </w:rPr>
        <w:t>, рассчитанными на основе атмосферных измерений концентрации галона 130</w:t>
      </w:r>
      <w:r>
        <w:rPr>
          <w:lang w:val="ru-RU"/>
        </w:rPr>
        <w:t>1</w:t>
      </w:r>
      <w:r w:rsidRPr="00043D45">
        <w:rPr>
          <w:lang w:val="ru-RU"/>
        </w:rPr>
        <w:t>, включая данные по 2024 год.</w:t>
      </w:r>
    </w:p>
    <w:p w14:paraId="7D5498EE" w14:textId="77777777" w:rsidR="00295439" w:rsidRPr="00043D45" w:rsidRDefault="00295439" w:rsidP="00A60545">
      <w:pPr>
        <w:pStyle w:val="NormalNonumber"/>
        <w:tabs>
          <w:tab w:val="clear" w:pos="624"/>
          <w:tab w:val="clear" w:pos="1247"/>
          <w:tab w:val="clear" w:pos="1871"/>
          <w:tab w:val="clear" w:pos="2495"/>
          <w:tab w:val="clear" w:pos="3119"/>
          <w:tab w:val="clear" w:pos="3742"/>
          <w:tab w:val="clear" w:pos="4366"/>
          <w:tab w:val="clear" w:pos="4990"/>
        </w:tabs>
        <w:ind w:left="1843" w:hanging="283"/>
        <w:rPr>
          <w:color w:val="000000" w:themeColor="text1"/>
          <w:lang w:val="ru-RU"/>
        </w:rPr>
      </w:pPr>
      <w:r w:rsidRPr="00043D45">
        <w:rPr>
          <w:color w:val="000000" w:themeColor="text1"/>
          <w:lang w:val="ru-RU"/>
        </w:rPr>
        <w:t>•</w:t>
      </w:r>
      <w:r w:rsidRPr="00043D45">
        <w:rPr>
          <w:color w:val="000000" w:themeColor="text1"/>
          <w:lang w:val="ru-RU"/>
        </w:rPr>
        <w:tab/>
      </w:r>
      <w:r w:rsidRPr="00043D45">
        <w:rPr>
          <w:lang w:val="ru-RU"/>
        </w:rPr>
        <w:t xml:space="preserve">КТВПТ не располагает сведениями о каких-либо новых </w:t>
      </w:r>
      <w:r>
        <w:rPr>
          <w:lang w:val="ru-RU"/>
        </w:rPr>
        <w:t xml:space="preserve">веществах для </w:t>
      </w:r>
      <w:r w:rsidRPr="00043D45">
        <w:rPr>
          <w:lang w:val="ru-RU"/>
        </w:rPr>
        <w:t xml:space="preserve">противопожарной защиты или </w:t>
      </w:r>
      <w:r>
        <w:rPr>
          <w:lang w:val="ru-RU"/>
        </w:rPr>
        <w:t>пожаротушения</w:t>
      </w:r>
      <w:r w:rsidRPr="00043D45">
        <w:rPr>
          <w:lang w:val="ru-RU"/>
        </w:rPr>
        <w:t>, находящихся в стадии разработки.</w:t>
      </w:r>
    </w:p>
    <w:p w14:paraId="317BDA33" w14:textId="28CC5D31" w:rsidR="00295439" w:rsidRPr="00043D45" w:rsidRDefault="00295439" w:rsidP="00A60545">
      <w:pPr>
        <w:pStyle w:val="NormalNonumber"/>
        <w:tabs>
          <w:tab w:val="clear" w:pos="624"/>
          <w:tab w:val="clear" w:pos="1247"/>
          <w:tab w:val="clear" w:pos="1871"/>
          <w:tab w:val="clear" w:pos="2495"/>
          <w:tab w:val="clear" w:pos="3119"/>
          <w:tab w:val="clear" w:pos="3742"/>
          <w:tab w:val="clear" w:pos="4366"/>
          <w:tab w:val="clear" w:pos="4990"/>
        </w:tabs>
        <w:ind w:left="1843" w:hanging="283"/>
        <w:rPr>
          <w:lang w:val="ru-RU"/>
        </w:rPr>
      </w:pPr>
      <w:r w:rsidRPr="00043D45">
        <w:rPr>
          <w:color w:val="000000" w:themeColor="text1"/>
          <w:lang w:val="ru-RU"/>
        </w:rPr>
        <w:t>•</w:t>
      </w:r>
      <w:r w:rsidRPr="00043D45">
        <w:rPr>
          <w:color w:val="000000" w:themeColor="text1"/>
          <w:lang w:val="ru-RU"/>
        </w:rPr>
        <w:tab/>
      </w:r>
      <w:r w:rsidRPr="00043D45">
        <w:rPr>
          <w:lang w:val="ru-RU"/>
        </w:rPr>
        <w:t>Проект заключения Комитета по социально-экономическому анализу (КСЭА) Европейского агентств</w:t>
      </w:r>
      <w:r w:rsidR="00286846">
        <w:rPr>
          <w:lang w:val="ru-RU"/>
        </w:rPr>
        <w:t>а</w:t>
      </w:r>
      <w:r w:rsidRPr="00043D45">
        <w:rPr>
          <w:lang w:val="ru-RU"/>
        </w:rPr>
        <w:t xml:space="preserve"> по химическим веществам (</w:t>
      </w:r>
      <w:r>
        <w:rPr>
          <w:lang w:val="ru-RU"/>
        </w:rPr>
        <w:t>ЕАХВ</w:t>
      </w:r>
      <w:r w:rsidRPr="00043D45">
        <w:rPr>
          <w:lang w:val="ru-RU"/>
        </w:rPr>
        <w:t xml:space="preserve">) </w:t>
      </w:r>
      <w:r>
        <w:rPr>
          <w:lang w:val="ru-RU"/>
        </w:rPr>
        <w:t>о</w:t>
      </w:r>
      <w:r w:rsidRPr="00043D45">
        <w:rPr>
          <w:lang w:val="ru-RU"/>
        </w:rPr>
        <w:t xml:space="preserve"> предложени</w:t>
      </w:r>
      <w:r>
        <w:rPr>
          <w:lang w:val="ru-RU"/>
        </w:rPr>
        <w:t>и</w:t>
      </w:r>
      <w:r w:rsidRPr="00043D45">
        <w:rPr>
          <w:lang w:val="ru-RU"/>
        </w:rPr>
        <w:t xml:space="preserve"> Европейского союза (ЕС) об ограничении </w:t>
      </w:r>
      <w:r>
        <w:rPr>
          <w:lang w:val="ru-RU"/>
        </w:rPr>
        <w:t xml:space="preserve">использования </w:t>
      </w:r>
      <w:r w:rsidRPr="00043D45">
        <w:rPr>
          <w:lang w:val="ru-RU"/>
        </w:rPr>
        <w:t xml:space="preserve">пер- и полифторалкильных веществ (ПФАВ), опубликованный 26 марта 2026 года, </w:t>
      </w:r>
      <w:r>
        <w:rPr>
          <w:lang w:val="ru-RU"/>
        </w:rPr>
        <w:t>по</w:t>
      </w:r>
      <w:r w:rsidRPr="00043D45">
        <w:rPr>
          <w:lang w:val="ru-RU"/>
        </w:rPr>
        <w:t>влечет введение запретов на использование ключевых альтернатив галону после вступления в силу соответствующего регламента</w:t>
      </w:r>
      <w:r>
        <w:rPr>
          <w:lang w:val="ru-RU"/>
        </w:rPr>
        <w:t xml:space="preserve"> в случаях</w:t>
      </w:r>
      <w:r w:rsidRPr="00043D45">
        <w:rPr>
          <w:lang w:val="ru-RU"/>
        </w:rPr>
        <w:t>, если</w:t>
      </w:r>
      <w:r>
        <w:rPr>
          <w:lang w:val="ru-RU"/>
        </w:rPr>
        <w:t xml:space="preserve"> не предусмотрено отступление</w:t>
      </w:r>
      <w:r w:rsidRPr="00043D45">
        <w:rPr>
          <w:lang w:val="ru-RU"/>
        </w:rPr>
        <w:t>,</w:t>
      </w:r>
      <w:r>
        <w:rPr>
          <w:lang w:val="ru-RU"/>
        </w:rPr>
        <w:t xml:space="preserve"> допускающее период отсрочки</w:t>
      </w:r>
      <w:r w:rsidRPr="00043D45">
        <w:rPr>
          <w:lang w:val="ru-RU"/>
        </w:rPr>
        <w:t>. Проект заключения КСЭА о предложени</w:t>
      </w:r>
      <w:r>
        <w:rPr>
          <w:lang w:val="ru-RU"/>
        </w:rPr>
        <w:t>и</w:t>
      </w:r>
      <w:r w:rsidRPr="00043D45">
        <w:rPr>
          <w:lang w:val="ru-RU"/>
        </w:rPr>
        <w:t xml:space="preserve"> ЕС об ограничении ПФАВ рекомендует</w:t>
      </w:r>
      <w:r>
        <w:rPr>
          <w:lang w:val="ru-RU"/>
        </w:rPr>
        <w:t xml:space="preserve"> отступление</w:t>
      </w:r>
      <w:r w:rsidRPr="00043D45">
        <w:rPr>
          <w:lang w:val="ru-RU"/>
        </w:rPr>
        <w:t xml:space="preserve"> для 2-бром-3,3,3-трифторпропена (2-БТП) в </w:t>
      </w:r>
      <w:r>
        <w:rPr>
          <w:lang w:val="ru-RU"/>
        </w:rPr>
        <w:t xml:space="preserve">портативных </w:t>
      </w:r>
      <w:r w:rsidRPr="00043D45">
        <w:rPr>
          <w:lang w:val="ru-RU"/>
        </w:rPr>
        <w:t>огнетушителях на борту воздушных судов</w:t>
      </w:r>
      <w:r>
        <w:rPr>
          <w:lang w:val="ru-RU"/>
        </w:rPr>
        <w:t xml:space="preserve"> сроком на 12 лет</w:t>
      </w:r>
      <w:r w:rsidRPr="00043D45">
        <w:rPr>
          <w:lang w:val="ru-RU"/>
        </w:rPr>
        <w:t>. В отношении потенциального будущего применения смеси 2-БТП и диоксида углерода (</w:t>
      </w:r>
      <w:r>
        <w:t>CO</w:t>
      </w:r>
      <w:r w:rsidRPr="00043D45">
        <w:rPr>
          <w:lang w:val="ru-RU"/>
        </w:rPr>
        <w:t xml:space="preserve">₂) для замены галона 1301 в грузовых отсеках </w:t>
      </w:r>
      <w:r>
        <w:rPr>
          <w:lang w:val="ru-RU"/>
        </w:rPr>
        <w:t>отступлени</w:t>
      </w:r>
      <w:r w:rsidRPr="00043D45">
        <w:rPr>
          <w:lang w:val="ru-RU"/>
        </w:rPr>
        <w:t>е не предусматривается</w:t>
      </w:r>
      <w:r w:rsidRPr="00043D45">
        <w:rPr>
          <w:color w:val="000000" w:themeColor="text1"/>
          <w:lang w:val="ru-RU"/>
        </w:rPr>
        <w:t xml:space="preserve">. </w:t>
      </w:r>
    </w:p>
    <w:p w14:paraId="776E9431" w14:textId="46DBFFB8" w:rsidR="00295439" w:rsidRPr="00A60545" w:rsidRDefault="00295439" w:rsidP="00A60545">
      <w:pPr>
        <w:pStyle w:val="CH3"/>
        <w:keepNext w:val="0"/>
        <w:keepLines w:val="0"/>
        <w:tabs>
          <w:tab w:val="clear" w:pos="851"/>
          <w:tab w:val="clear" w:pos="1247"/>
          <w:tab w:val="clear" w:pos="1871"/>
          <w:tab w:val="clear" w:pos="2495"/>
          <w:tab w:val="clear" w:pos="3119"/>
          <w:tab w:val="clear" w:pos="3742"/>
          <w:tab w:val="clear" w:pos="4366"/>
          <w:tab w:val="clear" w:pos="4990"/>
        </w:tabs>
        <w:spacing w:before="0"/>
        <w:ind w:right="567" w:firstLine="0"/>
        <w:rPr>
          <w:bCs/>
          <w:i/>
          <w:iCs/>
          <w:lang w:val="ru-RU"/>
        </w:rPr>
      </w:pPr>
      <w:r w:rsidRPr="00043D45">
        <w:rPr>
          <w:lang w:val="ru-RU"/>
        </w:rPr>
        <w:tab/>
      </w:r>
      <w:r>
        <w:rPr>
          <w:bCs/>
          <w:i/>
          <w:iCs/>
          <w:lang w:val="ru-RU"/>
        </w:rPr>
        <w:t>Комитет по техническим вариантам замены гибких и жестких пеноматериалов (КТВП)</w:t>
      </w:r>
    </w:p>
    <w:p w14:paraId="68380872" w14:textId="77777777" w:rsidR="00295439" w:rsidRPr="00B448C5" w:rsidRDefault="00295439" w:rsidP="00C119F2">
      <w:pPr>
        <w:pStyle w:val="NormalNonumber"/>
        <w:tabs>
          <w:tab w:val="clear" w:pos="624"/>
          <w:tab w:val="clear" w:pos="1247"/>
          <w:tab w:val="clear" w:pos="1871"/>
          <w:tab w:val="clear" w:pos="2495"/>
          <w:tab w:val="clear" w:pos="3119"/>
          <w:tab w:val="clear" w:pos="3742"/>
          <w:tab w:val="clear" w:pos="4366"/>
          <w:tab w:val="clear" w:pos="4990"/>
        </w:tabs>
        <w:rPr>
          <w:color w:val="000000" w:themeColor="text1"/>
          <w:lang w:val="ru-RU"/>
        </w:rPr>
      </w:pPr>
      <w:r w:rsidRPr="00B448C5">
        <w:rPr>
          <w:color w:val="000000" w:themeColor="text1"/>
          <w:lang w:val="ru-RU"/>
        </w:rPr>
        <w:t xml:space="preserve">Доклад о ходе работы КТВП содержится в главе 2 настоящего доклада и </w:t>
      </w:r>
      <w:r>
        <w:rPr>
          <w:color w:val="000000" w:themeColor="text1"/>
          <w:lang w:val="ru-RU"/>
        </w:rPr>
        <w:t>включает</w:t>
      </w:r>
      <w:r w:rsidRPr="00B448C5">
        <w:rPr>
          <w:color w:val="000000" w:themeColor="text1"/>
          <w:lang w:val="ru-RU"/>
        </w:rPr>
        <w:t xml:space="preserve"> следующие обновленные сведения:</w:t>
      </w:r>
    </w:p>
    <w:p w14:paraId="48A8E5F0" w14:textId="77777777" w:rsidR="00295439" w:rsidRPr="00B448C5" w:rsidRDefault="00295439" w:rsidP="00C119F2">
      <w:pPr>
        <w:pStyle w:val="NormalNonumber"/>
        <w:tabs>
          <w:tab w:val="clear" w:pos="624"/>
          <w:tab w:val="clear" w:pos="1247"/>
          <w:tab w:val="clear" w:pos="1871"/>
          <w:tab w:val="clear" w:pos="2495"/>
          <w:tab w:val="clear" w:pos="3119"/>
          <w:tab w:val="clear" w:pos="3742"/>
          <w:tab w:val="clear" w:pos="4366"/>
          <w:tab w:val="clear" w:pos="4990"/>
        </w:tabs>
        <w:ind w:left="1843" w:hanging="283"/>
        <w:rPr>
          <w:color w:val="000000" w:themeColor="text1"/>
          <w:lang w:val="ru-RU"/>
        </w:rPr>
      </w:pPr>
      <w:r w:rsidRPr="00B448C5">
        <w:rPr>
          <w:color w:val="000000" w:themeColor="text1"/>
          <w:lang w:val="ru-RU"/>
        </w:rPr>
        <w:t>•</w:t>
      </w:r>
      <w:r w:rsidRPr="00B448C5">
        <w:rPr>
          <w:color w:val="000000" w:themeColor="text1"/>
          <w:lang w:val="ru-RU"/>
        </w:rPr>
        <w:tab/>
        <w:t xml:space="preserve">В секторе пеноматериалов успешно осуществляется переход от гидрохлорфторуглеродов (ГХФУ) у Сторон, действующих в рамках статьи 5, и гидрофторуглеродов (ГФУ) с высоким потенциалом глобального потепления (высоким ПГП) у Сторон, не действующих в рамках статьи 5, а также у некоторых Сторон, действующих в рамках статьи 5, при этом особое внимание уделяется отказу от использования ГФУ с высоким ПГП, где это возможно. </w:t>
      </w:r>
      <w:r w:rsidRPr="00B448C5">
        <w:rPr>
          <w:lang w:val="ru-RU"/>
        </w:rPr>
        <w:t xml:space="preserve">Ключевыми движущими силами перехода являются </w:t>
      </w:r>
      <w:r>
        <w:rPr>
          <w:lang w:val="ru-RU"/>
        </w:rPr>
        <w:t>соответствующие регламенты</w:t>
      </w:r>
      <w:r w:rsidRPr="00B448C5">
        <w:rPr>
          <w:lang w:val="ru-RU"/>
        </w:rPr>
        <w:t xml:space="preserve"> и поэтапное сокращение </w:t>
      </w:r>
      <w:r>
        <w:rPr>
          <w:lang w:val="ru-RU"/>
        </w:rPr>
        <w:t>поставок</w:t>
      </w:r>
      <w:r w:rsidRPr="00B448C5">
        <w:rPr>
          <w:lang w:val="ru-RU"/>
        </w:rPr>
        <w:t>.</w:t>
      </w:r>
      <w:r w:rsidRPr="00B448C5">
        <w:rPr>
          <w:color w:val="000000" w:themeColor="text1"/>
          <w:lang w:val="ru-RU"/>
        </w:rPr>
        <w:t xml:space="preserve"> </w:t>
      </w:r>
    </w:p>
    <w:p w14:paraId="128A10F1" w14:textId="2FDF6E34" w:rsidR="00295439" w:rsidRDefault="00295439" w:rsidP="00C119F2">
      <w:pPr>
        <w:pStyle w:val="NormalNonumber"/>
        <w:tabs>
          <w:tab w:val="clear" w:pos="624"/>
          <w:tab w:val="clear" w:pos="1247"/>
          <w:tab w:val="clear" w:pos="1871"/>
          <w:tab w:val="clear" w:pos="2495"/>
          <w:tab w:val="clear" w:pos="3119"/>
          <w:tab w:val="clear" w:pos="3742"/>
          <w:tab w:val="clear" w:pos="4366"/>
          <w:tab w:val="clear" w:pos="4990"/>
        </w:tabs>
        <w:ind w:left="1843" w:hanging="283"/>
        <w:rPr>
          <w:lang w:val="ru-RU"/>
        </w:rPr>
      </w:pPr>
      <w:r w:rsidRPr="00B448C5">
        <w:rPr>
          <w:color w:val="000000" w:themeColor="text1"/>
          <w:lang w:val="ru-RU"/>
        </w:rPr>
        <w:t>•</w:t>
      </w:r>
      <w:r w:rsidRPr="00B448C5">
        <w:rPr>
          <w:lang w:val="ru-RU"/>
        </w:rPr>
        <w:tab/>
        <w:t>По мере исчерпания имеющихся мировых запасов ГХФУ-141</w:t>
      </w:r>
      <w:r>
        <w:t>b</w:t>
      </w:r>
      <w:r w:rsidRPr="00B448C5">
        <w:rPr>
          <w:lang w:val="ru-RU"/>
        </w:rPr>
        <w:t xml:space="preserve"> Сторон</w:t>
      </w:r>
      <w:r>
        <w:rPr>
          <w:lang w:val="ru-RU"/>
        </w:rPr>
        <w:t>ы</w:t>
      </w:r>
      <w:r w:rsidRPr="00B448C5">
        <w:rPr>
          <w:lang w:val="ru-RU"/>
        </w:rPr>
        <w:t xml:space="preserve">, возможно, </w:t>
      </w:r>
      <w:r>
        <w:rPr>
          <w:lang w:val="ru-RU"/>
        </w:rPr>
        <w:t>пожелают</w:t>
      </w:r>
      <w:r w:rsidRPr="00B448C5">
        <w:rPr>
          <w:lang w:val="ru-RU"/>
        </w:rPr>
        <w:t xml:space="preserve"> рассмотреть </w:t>
      </w:r>
      <w:r>
        <w:rPr>
          <w:lang w:val="ru-RU"/>
        </w:rPr>
        <w:t>вопрос о</w:t>
      </w:r>
      <w:r w:rsidRPr="00B448C5">
        <w:rPr>
          <w:lang w:val="ru-RU"/>
        </w:rPr>
        <w:t xml:space="preserve"> завершени</w:t>
      </w:r>
      <w:r>
        <w:rPr>
          <w:lang w:val="ru-RU"/>
        </w:rPr>
        <w:t>и</w:t>
      </w:r>
      <w:r w:rsidRPr="00B448C5">
        <w:rPr>
          <w:lang w:val="ru-RU"/>
        </w:rPr>
        <w:t xml:space="preserve"> перехода </w:t>
      </w:r>
      <w:r>
        <w:rPr>
          <w:lang w:val="ru-RU"/>
        </w:rPr>
        <w:t>от использования</w:t>
      </w:r>
      <w:r w:rsidRPr="00B448C5">
        <w:rPr>
          <w:lang w:val="ru-RU"/>
        </w:rPr>
        <w:t xml:space="preserve"> ГХФУ-141</w:t>
      </w:r>
      <w:r>
        <w:t>b</w:t>
      </w:r>
      <w:r w:rsidRPr="00B448C5">
        <w:rPr>
          <w:lang w:val="ru-RU"/>
        </w:rPr>
        <w:t>. В 2026 году Министерство экологии и охраны окружающей среды Китая (МЭО)</w:t>
      </w:r>
      <w:r w:rsidR="00C119F2">
        <w:rPr>
          <w:rStyle w:val="FootnoteReference"/>
        </w:rPr>
        <w:footnoteReference w:id="18"/>
      </w:r>
      <w:r>
        <w:rPr>
          <w:lang w:val="ru-RU"/>
        </w:rPr>
        <w:t xml:space="preserve"> </w:t>
      </w:r>
      <w:r w:rsidRPr="00B448C5">
        <w:rPr>
          <w:lang w:val="ru-RU"/>
        </w:rPr>
        <w:t xml:space="preserve">не </w:t>
      </w:r>
      <w:r w:rsidRPr="00B448C5">
        <w:rPr>
          <w:lang w:val="ru-RU"/>
        </w:rPr>
        <w:lastRenderedPageBreak/>
        <w:t>выделило квоту на производство ГХФУ-141</w:t>
      </w:r>
      <w:r>
        <w:t>b</w:t>
      </w:r>
      <w:r w:rsidRPr="00B448C5">
        <w:rPr>
          <w:lang w:val="ru-RU"/>
        </w:rPr>
        <w:t>, и его поставки прекратятся. Производители гидрофторолефинов</w:t>
      </w:r>
      <w:r w:rsidR="00C8338A" w:rsidRPr="0044538E">
        <w:rPr>
          <w:lang w:val="ru-RU"/>
        </w:rPr>
        <w:t xml:space="preserve"> </w:t>
      </w:r>
      <w:r w:rsidR="00C8338A">
        <w:rPr>
          <w:lang w:val="ru-RU"/>
        </w:rPr>
        <w:t xml:space="preserve">и </w:t>
      </w:r>
      <w:r w:rsidRPr="00B448C5">
        <w:rPr>
          <w:lang w:val="ru-RU"/>
        </w:rPr>
        <w:t xml:space="preserve">гидрохлорфторолефинов (ГФО/ГХФО) </w:t>
      </w:r>
      <w:r>
        <w:rPr>
          <w:lang w:val="ru-RU"/>
        </w:rPr>
        <w:t>увеличили производственные мощности</w:t>
      </w:r>
      <w:r w:rsidRPr="00B448C5">
        <w:rPr>
          <w:lang w:val="ru-RU"/>
        </w:rPr>
        <w:t>,</w:t>
      </w:r>
      <w:r>
        <w:rPr>
          <w:lang w:val="ru-RU"/>
        </w:rPr>
        <w:t xml:space="preserve"> чтобы удовлетворить</w:t>
      </w:r>
      <w:r w:rsidRPr="00B448C5">
        <w:rPr>
          <w:lang w:val="ru-RU"/>
        </w:rPr>
        <w:t xml:space="preserve"> спрос на </w:t>
      </w:r>
      <w:r>
        <w:rPr>
          <w:lang w:val="ru-RU"/>
        </w:rPr>
        <w:t>пенообразователи</w:t>
      </w:r>
      <w:r w:rsidRPr="00B448C5">
        <w:rPr>
          <w:lang w:val="ru-RU"/>
        </w:rPr>
        <w:t xml:space="preserve"> с более низким ПГП, который ожидается в связи с введением </w:t>
      </w:r>
      <w:r>
        <w:rPr>
          <w:lang w:val="ru-RU"/>
        </w:rPr>
        <w:t>регламентов</w:t>
      </w:r>
      <w:r w:rsidRPr="00B448C5">
        <w:rPr>
          <w:lang w:val="ru-RU"/>
        </w:rPr>
        <w:t>,</w:t>
      </w:r>
      <w:r>
        <w:rPr>
          <w:lang w:val="ru-RU"/>
        </w:rPr>
        <w:t xml:space="preserve"> предусматривающих использование веществ с более</w:t>
      </w:r>
      <w:r w:rsidRPr="00B448C5">
        <w:rPr>
          <w:lang w:val="ru-RU"/>
        </w:rPr>
        <w:t xml:space="preserve"> низк</w:t>
      </w:r>
      <w:r>
        <w:rPr>
          <w:lang w:val="ru-RU"/>
        </w:rPr>
        <w:t>им</w:t>
      </w:r>
      <w:r w:rsidRPr="00B448C5">
        <w:rPr>
          <w:lang w:val="ru-RU"/>
        </w:rPr>
        <w:t xml:space="preserve"> ПГП. Достигнут</w:t>
      </w:r>
      <w:r>
        <w:rPr>
          <w:lang w:val="ru-RU"/>
        </w:rPr>
        <w:t xml:space="preserve">ы значительные успехи </w:t>
      </w:r>
      <w:r w:rsidRPr="00B448C5">
        <w:rPr>
          <w:lang w:val="ru-RU"/>
        </w:rPr>
        <w:t xml:space="preserve">в разработке и обеспечении доступности добавок, </w:t>
      </w:r>
      <w:r>
        <w:rPr>
          <w:lang w:val="ru-RU"/>
        </w:rPr>
        <w:t>вспомогательных пенообразователей</w:t>
      </w:r>
      <w:r w:rsidRPr="00B448C5">
        <w:rPr>
          <w:lang w:val="ru-RU"/>
        </w:rPr>
        <w:t xml:space="preserve">, оборудования и рецептур, </w:t>
      </w:r>
      <w:r>
        <w:rPr>
          <w:lang w:val="ru-RU"/>
        </w:rPr>
        <w:t>позволяющих вывести на рынок пеноматериалы</w:t>
      </w:r>
      <w:r w:rsidRPr="00B448C5">
        <w:rPr>
          <w:lang w:val="ru-RU"/>
        </w:rPr>
        <w:t>, содержащи</w:t>
      </w:r>
      <w:r>
        <w:rPr>
          <w:lang w:val="ru-RU"/>
        </w:rPr>
        <w:t>е</w:t>
      </w:r>
      <w:r w:rsidRPr="00B448C5">
        <w:rPr>
          <w:lang w:val="ru-RU"/>
        </w:rPr>
        <w:t xml:space="preserve"> </w:t>
      </w:r>
      <w:r>
        <w:rPr>
          <w:lang w:val="ru-RU"/>
        </w:rPr>
        <w:t>пенообразователи</w:t>
      </w:r>
      <w:r w:rsidRPr="00B448C5">
        <w:rPr>
          <w:lang w:val="ru-RU"/>
        </w:rPr>
        <w:t xml:space="preserve"> с более низким ПГП.</w:t>
      </w:r>
    </w:p>
    <w:p w14:paraId="55B89E7A" w14:textId="77777777" w:rsidR="00295439" w:rsidRPr="00B448C5" w:rsidRDefault="00295439" w:rsidP="00C119F2">
      <w:pPr>
        <w:pStyle w:val="NormalNonumber"/>
        <w:tabs>
          <w:tab w:val="clear" w:pos="624"/>
          <w:tab w:val="clear" w:pos="1247"/>
          <w:tab w:val="clear" w:pos="1871"/>
          <w:tab w:val="clear" w:pos="2495"/>
          <w:tab w:val="clear" w:pos="3119"/>
          <w:tab w:val="clear" w:pos="3742"/>
          <w:tab w:val="clear" w:pos="4366"/>
          <w:tab w:val="clear" w:pos="4990"/>
        </w:tabs>
        <w:ind w:left="1843" w:hanging="283"/>
        <w:rPr>
          <w:color w:val="000000" w:themeColor="text1"/>
          <w:lang w:val="ru-RU"/>
        </w:rPr>
      </w:pPr>
      <w:r w:rsidRPr="00B448C5">
        <w:rPr>
          <w:color w:val="000000" w:themeColor="text1"/>
          <w:lang w:val="ru-RU"/>
        </w:rPr>
        <w:t>•</w:t>
      </w:r>
      <w:r w:rsidRPr="00B448C5">
        <w:rPr>
          <w:color w:val="000000" w:themeColor="text1"/>
          <w:lang w:val="ru-RU"/>
        </w:rPr>
        <w:tab/>
        <w:t>Производители пено</w:t>
      </w:r>
      <w:r>
        <w:rPr>
          <w:color w:val="000000" w:themeColor="text1"/>
          <w:lang w:val="ru-RU"/>
        </w:rPr>
        <w:t>материалов</w:t>
      </w:r>
      <w:r w:rsidRPr="00B448C5">
        <w:rPr>
          <w:color w:val="000000" w:themeColor="text1"/>
          <w:lang w:val="ru-RU"/>
        </w:rPr>
        <w:t xml:space="preserve"> продолжают работать над снижением </w:t>
      </w:r>
      <w:r>
        <w:rPr>
          <w:color w:val="000000" w:themeColor="text1"/>
          <w:lang w:val="ru-RU"/>
        </w:rPr>
        <w:t xml:space="preserve">стоимости </w:t>
      </w:r>
      <w:r w:rsidRPr="00B448C5">
        <w:rPr>
          <w:color w:val="000000" w:themeColor="text1"/>
          <w:lang w:val="ru-RU"/>
        </w:rPr>
        <w:t xml:space="preserve">и оптимизацией характеристик </w:t>
      </w:r>
      <w:r>
        <w:rPr>
          <w:color w:val="000000" w:themeColor="text1"/>
          <w:lang w:val="ru-RU"/>
        </w:rPr>
        <w:t>пеноматериалов за счет применения новых пенообразующих</w:t>
      </w:r>
      <w:r w:rsidRPr="00B448C5">
        <w:rPr>
          <w:color w:val="000000" w:themeColor="text1"/>
          <w:lang w:val="ru-RU"/>
        </w:rPr>
        <w:t xml:space="preserve"> </w:t>
      </w:r>
      <w:r>
        <w:rPr>
          <w:color w:val="000000" w:themeColor="text1"/>
          <w:lang w:val="ru-RU"/>
        </w:rPr>
        <w:t>веществ</w:t>
      </w:r>
      <w:r w:rsidRPr="00B448C5">
        <w:rPr>
          <w:color w:val="000000" w:themeColor="text1"/>
          <w:lang w:val="ru-RU"/>
        </w:rPr>
        <w:t xml:space="preserve"> (</w:t>
      </w:r>
      <w:r>
        <w:rPr>
          <w:color w:val="000000" w:themeColor="text1"/>
          <w:lang w:val="ru-RU"/>
        </w:rPr>
        <w:t>ПОВ</w:t>
      </w:r>
      <w:r w:rsidRPr="00B448C5">
        <w:rPr>
          <w:color w:val="000000" w:themeColor="text1"/>
          <w:lang w:val="ru-RU"/>
        </w:rPr>
        <w:t xml:space="preserve">), </w:t>
      </w:r>
      <w:r>
        <w:rPr>
          <w:color w:val="000000" w:themeColor="text1"/>
          <w:lang w:val="ru-RU"/>
        </w:rPr>
        <w:t>вспомогательных</w:t>
      </w:r>
      <w:r w:rsidRPr="00B448C5">
        <w:rPr>
          <w:color w:val="000000" w:themeColor="text1"/>
          <w:lang w:val="ru-RU"/>
        </w:rPr>
        <w:t xml:space="preserve"> </w:t>
      </w:r>
      <w:r>
        <w:rPr>
          <w:color w:val="000000" w:themeColor="text1"/>
          <w:lang w:val="ru-RU"/>
        </w:rPr>
        <w:t>пенообразователей</w:t>
      </w:r>
      <w:r w:rsidRPr="00B448C5">
        <w:rPr>
          <w:color w:val="000000" w:themeColor="text1"/>
          <w:lang w:val="ru-RU"/>
        </w:rPr>
        <w:t xml:space="preserve"> </w:t>
      </w:r>
      <w:r>
        <w:rPr>
          <w:color w:val="000000" w:themeColor="text1"/>
          <w:lang w:val="ru-RU"/>
        </w:rPr>
        <w:t>и</w:t>
      </w:r>
      <w:r w:rsidRPr="00B448C5">
        <w:rPr>
          <w:color w:val="000000" w:themeColor="text1"/>
          <w:lang w:val="ru-RU"/>
        </w:rPr>
        <w:t xml:space="preserve"> </w:t>
      </w:r>
      <w:r>
        <w:rPr>
          <w:color w:val="000000" w:themeColor="text1"/>
          <w:lang w:val="ru-RU"/>
        </w:rPr>
        <w:t>добавок</w:t>
      </w:r>
      <w:r w:rsidRPr="00B448C5">
        <w:rPr>
          <w:color w:val="000000" w:themeColor="text1"/>
          <w:lang w:val="ru-RU"/>
        </w:rPr>
        <w:t xml:space="preserve"> </w:t>
      </w:r>
      <w:r>
        <w:rPr>
          <w:color w:val="000000" w:themeColor="text1"/>
          <w:lang w:val="ru-RU"/>
        </w:rPr>
        <w:t>– как</w:t>
      </w:r>
      <w:r w:rsidRPr="00B448C5">
        <w:rPr>
          <w:color w:val="000000" w:themeColor="text1"/>
          <w:lang w:val="ru-RU"/>
        </w:rPr>
        <w:t xml:space="preserve"> </w:t>
      </w:r>
      <w:r>
        <w:rPr>
          <w:color w:val="000000" w:themeColor="text1"/>
          <w:lang w:val="ru-RU"/>
        </w:rPr>
        <w:t>в</w:t>
      </w:r>
      <w:r w:rsidRPr="00B448C5">
        <w:rPr>
          <w:color w:val="000000" w:themeColor="text1"/>
          <w:lang w:val="ru-RU"/>
        </w:rPr>
        <w:t xml:space="preserve"> </w:t>
      </w:r>
      <w:r>
        <w:rPr>
          <w:color w:val="000000" w:themeColor="text1"/>
          <w:lang w:val="ru-RU"/>
        </w:rPr>
        <w:t>странах</w:t>
      </w:r>
      <w:r w:rsidRPr="00B448C5">
        <w:rPr>
          <w:color w:val="000000" w:themeColor="text1"/>
          <w:lang w:val="ru-RU"/>
        </w:rPr>
        <w:t xml:space="preserve">, </w:t>
      </w:r>
      <w:r>
        <w:rPr>
          <w:color w:val="000000" w:themeColor="text1"/>
          <w:lang w:val="ru-RU"/>
        </w:rPr>
        <w:t>действующих</w:t>
      </w:r>
      <w:r w:rsidRPr="00B448C5">
        <w:rPr>
          <w:color w:val="000000" w:themeColor="text1"/>
          <w:lang w:val="ru-RU"/>
        </w:rPr>
        <w:t xml:space="preserve"> </w:t>
      </w:r>
      <w:r>
        <w:rPr>
          <w:color w:val="000000" w:themeColor="text1"/>
          <w:lang w:val="ru-RU"/>
        </w:rPr>
        <w:t>в</w:t>
      </w:r>
      <w:r w:rsidRPr="00B448C5">
        <w:rPr>
          <w:color w:val="000000" w:themeColor="text1"/>
          <w:lang w:val="ru-RU"/>
        </w:rPr>
        <w:t xml:space="preserve"> </w:t>
      </w:r>
      <w:r>
        <w:rPr>
          <w:color w:val="000000" w:themeColor="text1"/>
          <w:lang w:val="ru-RU"/>
        </w:rPr>
        <w:t>рамках</w:t>
      </w:r>
      <w:r w:rsidRPr="00B448C5">
        <w:rPr>
          <w:color w:val="000000" w:themeColor="text1"/>
          <w:lang w:val="ru-RU"/>
        </w:rPr>
        <w:t xml:space="preserve"> </w:t>
      </w:r>
      <w:r>
        <w:rPr>
          <w:color w:val="000000" w:themeColor="text1"/>
          <w:lang w:val="ru-RU"/>
        </w:rPr>
        <w:t>статьи</w:t>
      </w:r>
      <w:r w:rsidRPr="00B448C5">
        <w:rPr>
          <w:color w:val="000000" w:themeColor="text1"/>
          <w:lang w:val="ru-RU"/>
        </w:rPr>
        <w:t xml:space="preserve"> 5, </w:t>
      </w:r>
      <w:r>
        <w:rPr>
          <w:color w:val="000000" w:themeColor="text1"/>
          <w:lang w:val="ru-RU"/>
        </w:rPr>
        <w:t>так</w:t>
      </w:r>
      <w:r w:rsidRPr="00B448C5">
        <w:rPr>
          <w:color w:val="000000" w:themeColor="text1"/>
          <w:lang w:val="ru-RU"/>
        </w:rPr>
        <w:t xml:space="preserve"> </w:t>
      </w:r>
      <w:r>
        <w:rPr>
          <w:color w:val="000000" w:themeColor="text1"/>
          <w:lang w:val="ru-RU"/>
        </w:rPr>
        <w:t>и</w:t>
      </w:r>
      <w:r w:rsidRPr="00B448C5">
        <w:rPr>
          <w:color w:val="000000" w:themeColor="text1"/>
          <w:lang w:val="ru-RU"/>
        </w:rPr>
        <w:t xml:space="preserve"> </w:t>
      </w:r>
      <w:r>
        <w:rPr>
          <w:color w:val="000000" w:themeColor="text1"/>
          <w:lang w:val="ru-RU"/>
        </w:rPr>
        <w:t>в</w:t>
      </w:r>
      <w:r w:rsidRPr="00B448C5">
        <w:rPr>
          <w:color w:val="000000" w:themeColor="text1"/>
          <w:lang w:val="ru-RU"/>
        </w:rPr>
        <w:t xml:space="preserve"> </w:t>
      </w:r>
      <w:r>
        <w:rPr>
          <w:color w:val="000000" w:themeColor="text1"/>
          <w:lang w:val="ru-RU"/>
        </w:rPr>
        <w:t>странах</w:t>
      </w:r>
      <w:r w:rsidRPr="00B448C5">
        <w:rPr>
          <w:color w:val="000000" w:themeColor="text1"/>
          <w:lang w:val="ru-RU"/>
        </w:rPr>
        <w:t>,</w:t>
      </w:r>
      <w:r>
        <w:rPr>
          <w:color w:val="000000" w:themeColor="text1"/>
          <w:lang w:val="ru-RU"/>
        </w:rPr>
        <w:t xml:space="preserve"> не действующих в рамках статьи 5</w:t>
      </w:r>
      <w:r w:rsidRPr="00B448C5">
        <w:rPr>
          <w:color w:val="000000" w:themeColor="text1"/>
          <w:lang w:val="ru-RU"/>
        </w:rPr>
        <w:t xml:space="preserve">. Новые вспомогательные пенообразователи и добавки имеют различную токсичность и теплоизоляционные свойства, что может привести к проблемам с безопасностью при обращении и снижению теплоизоляционной эффективности. </w:t>
      </w:r>
    </w:p>
    <w:p w14:paraId="26A49F9D" w14:textId="77777777" w:rsidR="00295439" w:rsidRPr="00B448C5" w:rsidRDefault="00295439" w:rsidP="00C119F2">
      <w:pPr>
        <w:pStyle w:val="NormalNonumber"/>
        <w:tabs>
          <w:tab w:val="clear" w:pos="624"/>
          <w:tab w:val="clear" w:pos="1247"/>
          <w:tab w:val="clear" w:pos="1871"/>
          <w:tab w:val="clear" w:pos="2495"/>
          <w:tab w:val="clear" w:pos="3119"/>
          <w:tab w:val="clear" w:pos="3742"/>
          <w:tab w:val="clear" w:pos="4366"/>
          <w:tab w:val="clear" w:pos="4990"/>
        </w:tabs>
        <w:ind w:left="1843" w:hanging="283"/>
        <w:rPr>
          <w:color w:val="000000" w:themeColor="text1"/>
          <w:lang w:val="ru-RU"/>
        </w:rPr>
      </w:pPr>
      <w:r w:rsidRPr="00B448C5">
        <w:rPr>
          <w:color w:val="000000" w:themeColor="text1"/>
          <w:lang w:val="ru-RU"/>
        </w:rPr>
        <w:t>•</w:t>
      </w:r>
      <w:r w:rsidRPr="00B448C5">
        <w:rPr>
          <w:color w:val="000000" w:themeColor="text1"/>
          <w:lang w:val="ru-RU"/>
        </w:rPr>
        <w:tab/>
        <w:t xml:space="preserve">В целом в 2025–2026 годах </w:t>
      </w:r>
      <w:r>
        <w:rPr>
          <w:color w:val="000000" w:themeColor="text1"/>
          <w:lang w:val="ru-RU"/>
        </w:rPr>
        <w:t>стоимость выросла</w:t>
      </w:r>
      <w:r w:rsidRPr="00B448C5">
        <w:rPr>
          <w:color w:val="000000" w:themeColor="text1"/>
          <w:lang w:val="ru-RU"/>
        </w:rPr>
        <w:t xml:space="preserve"> из-за введения дополнительных налогов</w:t>
      </w:r>
      <w:r>
        <w:rPr>
          <w:color w:val="000000" w:themeColor="text1"/>
          <w:lang w:val="ru-RU"/>
        </w:rPr>
        <w:t xml:space="preserve"> и антидемпинговых пошлин</w:t>
      </w:r>
      <w:r w:rsidRPr="00B448C5">
        <w:rPr>
          <w:color w:val="000000" w:themeColor="text1"/>
          <w:lang w:val="ru-RU"/>
        </w:rPr>
        <w:t xml:space="preserve">, а также </w:t>
      </w:r>
      <w:r>
        <w:rPr>
          <w:color w:val="000000" w:themeColor="text1"/>
          <w:lang w:val="ru-RU"/>
        </w:rPr>
        <w:t xml:space="preserve">из-за </w:t>
      </w:r>
      <w:r w:rsidRPr="00B448C5">
        <w:rPr>
          <w:color w:val="000000" w:themeColor="text1"/>
          <w:lang w:val="ru-RU"/>
        </w:rPr>
        <w:t>геополитических факторов, повлиявших на стоимость и доступность энергоресурсов.</w:t>
      </w:r>
      <w:r>
        <w:rPr>
          <w:color w:val="000000" w:themeColor="text1"/>
          <w:lang w:val="ru-RU"/>
        </w:rPr>
        <w:t xml:space="preserve"> </w:t>
      </w:r>
      <w:r>
        <w:rPr>
          <w:lang w:val="ru-RU"/>
        </w:rPr>
        <w:t>Н</w:t>
      </w:r>
      <w:r w:rsidRPr="00B448C5">
        <w:rPr>
          <w:lang w:val="ru-RU"/>
        </w:rPr>
        <w:t xml:space="preserve">екоторые Стороны могут </w:t>
      </w:r>
      <w:r>
        <w:rPr>
          <w:lang w:val="ru-RU"/>
        </w:rPr>
        <w:t>испытывать более сильное воздействие таких</w:t>
      </w:r>
      <w:r w:rsidRPr="00B448C5">
        <w:rPr>
          <w:lang w:val="ru-RU"/>
        </w:rPr>
        <w:t xml:space="preserve"> факторов. </w:t>
      </w:r>
      <w:r>
        <w:rPr>
          <w:lang w:val="ru-RU"/>
        </w:rPr>
        <w:t>Э</w:t>
      </w:r>
      <w:r w:rsidRPr="00B448C5">
        <w:rPr>
          <w:lang w:val="ru-RU"/>
        </w:rPr>
        <w:t xml:space="preserve">кономические последствия могут </w:t>
      </w:r>
      <w:r>
        <w:rPr>
          <w:lang w:val="ru-RU"/>
        </w:rPr>
        <w:t>затронуть строительную отрасль</w:t>
      </w:r>
      <w:r w:rsidRPr="00B448C5">
        <w:rPr>
          <w:lang w:val="ru-RU"/>
        </w:rPr>
        <w:t>,</w:t>
      </w:r>
      <w:r>
        <w:rPr>
          <w:lang w:val="ru-RU"/>
        </w:rPr>
        <w:t xml:space="preserve"> а</w:t>
      </w:r>
      <w:r w:rsidRPr="00B448C5">
        <w:rPr>
          <w:lang w:val="ru-RU"/>
        </w:rPr>
        <w:t xml:space="preserve"> </w:t>
      </w:r>
      <w:r>
        <w:rPr>
          <w:lang w:val="ru-RU"/>
        </w:rPr>
        <w:t>также</w:t>
      </w:r>
      <w:r w:rsidRPr="00B448C5">
        <w:rPr>
          <w:lang w:val="ru-RU"/>
        </w:rPr>
        <w:t xml:space="preserve"> </w:t>
      </w:r>
      <w:r>
        <w:rPr>
          <w:lang w:val="ru-RU"/>
        </w:rPr>
        <w:t>спрос на</w:t>
      </w:r>
      <w:r w:rsidRPr="00B448C5">
        <w:rPr>
          <w:lang w:val="ru-RU"/>
        </w:rPr>
        <w:t xml:space="preserve"> оборудование и пеноматериалы.</w:t>
      </w:r>
    </w:p>
    <w:p w14:paraId="148C1617" w14:textId="4988D621" w:rsidR="00295439" w:rsidRPr="00C119F2" w:rsidRDefault="00295439" w:rsidP="00C119F2">
      <w:pPr>
        <w:pStyle w:val="CH3"/>
        <w:keepNext w:val="0"/>
        <w:keepLines w:val="0"/>
        <w:tabs>
          <w:tab w:val="clear" w:pos="851"/>
          <w:tab w:val="clear" w:pos="1247"/>
          <w:tab w:val="clear" w:pos="1871"/>
          <w:tab w:val="clear" w:pos="2495"/>
          <w:tab w:val="clear" w:pos="3119"/>
          <w:tab w:val="clear" w:pos="3742"/>
          <w:tab w:val="clear" w:pos="4366"/>
          <w:tab w:val="clear" w:pos="4990"/>
        </w:tabs>
        <w:spacing w:before="0"/>
        <w:ind w:right="567" w:firstLine="0"/>
        <w:rPr>
          <w:bCs/>
          <w:i/>
          <w:iCs/>
          <w:sz w:val="24"/>
          <w:szCs w:val="24"/>
          <w:lang w:val="ru-RU"/>
        </w:rPr>
      </w:pPr>
      <w:r w:rsidRPr="00C119F2">
        <w:rPr>
          <w:sz w:val="24"/>
          <w:szCs w:val="24"/>
          <w:lang w:val="ru-RU"/>
        </w:rPr>
        <w:tab/>
      </w:r>
      <w:r w:rsidRPr="00C119F2">
        <w:rPr>
          <w:bCs/>
          <w:i/>
          <w:iCs/>
          <w:sz w:val="24"/>
          <w:szCs w:val="24"/>
          <w:lang w:val="ru-RU"/>
        </w:rPr>
        <w:t>Комитет по техническим вариантам замены бромистого метила (КТВБМ)</w:t>
      </w:r>
    </w:p>
    <w:p w14:paraId="5D3831D7" w14:textId="77777777" w:rsidR="00295439" w:rsidRPr="00B21A41" w:rsidRDefault="00295439" w:rsidP="00C119F2">
      <w:pPr>
        <w:pStyle w:val="NormalNonumber"/>
        <w:tabs>
          <w:tab w:val="clear" w:pos="624"/>
          <w:tab w:val="clear" w:pos="1247"/>
          <w:tab w:val="clear" w:pos="1871"/>
          <w:tab w:val="clear" w:pos="2495"/>
          <w:tab w:val="clear" w:pos="3119"/>
          <w:tab w:val="clear" w:pos="3742"/>
          <w:tab w:val="clear" w:pos="4366"/>
          <w:tab w:val="clear" w:pos="4990"/>
        </w:tabs>
        <w:rPr>
          <w:color w:val="000000" w:themeColor="text1"/>
          <w:lang w:val="ru-RU"/>
        </w:rPr>
      </w:pPr>
      <w:r>
        <w:rPr>
          <w:lang w:val="ru-RU"/>
        </w:rPr>
        <w:t>Доклад о ходе работы КТВБМ содержится в главе 4 настоящего доклада и включает следующие обновленные сведения:</w:t>
      </w:r>
    </w:p>
    <w:p w14:paraId="4FDCFBDE" w14:textId="77777777" w:rsidR="00295439" w:rsidRPr="00F84532" w:rsidRDefault="00295439" w:rsidP="00C119F2">
      <w:pPr>
        <w:pStyle w:val="NormalNonumber"/>
        <w:tabs>
          <w:tab w:val="clear" w:pos="624"/>
          <w:tab w:val="clear" w:pos="1247"/>
          <w:tab w:val="clear" w:pos="1871"/>
          <w:tab w:val="clear" w:pos="2495"/>
          <w:tab w:val="clear" w:pos="3119"/>
          <w:tab w:val="clear" w:pos="3742"/>
          <w:tab w:val="clear" w:pos="4366"/>
          <w:tab w:val="clear" w:pos="4990"/>
        </w:tabs>
        <w:ind w:left="1843" w:hanging="283"/>
        <w:rPr>
          <w:color w:val="000000" w:themeColor="text1"/>
          <w:lang w:val="ru-RU"/>
        </w:rPr>
      </w:pPr>
      <w:r w:rsidRPr="00F84532">
        <w:rPr>
          <w:color w:val="000000" w:themeColor="text1"/>
          <w:lang w:val="ru-RU"/>
        </w:rPr>
        <w:t>•</w:t>
      </w:r>
      <w:r w:rsidRPr="00F84532">
        <w:rPr>
          <w:color w:val="000000" w:themeColor="text1"/>
          <w:lang w:val="ru-RU"/>
        </w:rPr>
        <w:tab/>
      </w:r>
      <w:r w:rsidRPr="00F84532">
        <w:rPr>
          <w:lang w:val="ru-RU"/>
        </w:rPr>
        <w:t xml:space="preserve">Поэтапный вывод из обращения бромистого метила (БМ) </w:t>
      </w:r>
      <w:r>
        <w:rPr>
          <w:lang w:val="ru-RU"/>
        </w:rPr>
        <w:t>для регулируемых видов</w:t>
      </w:r>
      <w:r w:rsidRPr="00F84532">
        <w:rPr>
          <w:lang w:val="ru-RU"/>
        </w:rPr>
        <w:t xml:space="preserve"> применения, не относящихся к карантинной обработке и обработке перед транспортировкой (не-КООТ), был завершен с получением последней заявки в отношении важнейших видов применения (ЗВВП) в 2025 году. </w:t>
      </w:r>
      <w:r>
        <w:rPr>
          <w:lang w:val="ru-RU"/>
        </w:rPr>
        <w:t>С учетом поэтапного</w:t>
      </w:r>
      <w:r w:rsidRPr="00F84532">
        <w:rPr>
          <w:lang w:val="ru-RU"/>
        </w:rPr>
        <w:t xml:space="preserve"> вывод</w:t>
      </w:r>
      <w:r>
        <w:rPr>
          <w:lang w:val="ru-RU"/>
        </w:rPr>
        <w:t>а</w:t>
      </w:r>
      <w:r w:rsidRPr="00F84532">
        <w:rPr>
          <w:lang w:val="ru-RU"/>
        </w:rPr>
        <w:t xml:space="preserve"> из обращения БМ</w:t>
      </w:r>
      <w:r>
        <w:rPr>
          <w:lang w:val="ru-RU"/>
        </w:rPr>
        <w:t xml:space="preserve"> </w:t>
      </w:r>
      <w:r w:rsidRPr="00F84532">
        <w:rPr>
          <w:lang w:val="ru-RU"/>
        </w:rPr>
        <w:t>до начала процесса ЗВВП, за 30 лет во всем мире из обращения было выведено около 62 000 тонн БМ. В 2026 году новых ЗВВП получено не было.</w:t>
      </w:r>
    </w:p>
    <w:p w14:paraId="6BB749AA" w14:textId="6F21A975" w:rsidR="00295439" w:rsidRDefault="00295439" w:rsidP="00C119F2">
      <w:pPr>
        <w:pStyle w:val="NormalNonumber"/>
        <w:tabs>
          <w:tab w:val="clear" w:pos="624"/>
          <w:tab w:val="clear" w:pos="1247"/>
          <w:tab w:val="clear" w:pos="1871"/>
          <w:tab w:val="clear" w:pos="2495"/>
          <w:tab w:val="clear" w:pos="3119"/>
          <w:tab w:val="clear" w:pos="3742"/>
          <w:tab w:val="clear" w:pos="4366"/>
          <w:tab w:val="clear" w:pos="4990"/>
        </w:tabs>
        <w:ind w:left="1843" w:hanging="283"/>
        <w:rPr>
          <w:lang w:val="ru-RU"/>
        </w:rPr>
      </w:pPr>
      <w:r w:rsidRPr="00F84532">
        <w:rPr>
          <w:color w:val="000000" w:themeColor="text1"/>
          <w:lang w:val="ru-RU"/>
        </w:rPr>
        <w:t>•</w:t>
      </w:r>
      <w:r w:rsidRPr="00F84532">
        <w:rPr>
          <w:color w:val="000000" w:themeColor="text1"/>
          <w:lang w:val="ru-RU"/>
        </w:rPr>
        <w:tab/>
      </w:r>
      <w:r w:rsidRPr="00F84532">
        <w:rPr>
          <w:lang w:val="ru-RU"/>
        </w:rPr>
        <w:t xml:space="preserve">Согласно </w:t>
      </w:r>
      <w:r>
        <w:rPr>
          <w:lang w:val="ru-RU"/>
        </w:rPr>
        <w:t>представленным</w:t>
      </w:r>
      <w:r w:rsidRPr="00F84532">
        <w:rPr>
          <w:lang w:val="ru-RU"/>
        </w:rPr>
        <w:t xml:space="preserve"> данным, </w:t>
      </w:r>
      <w:r>
        <w:rPr>
          <w:lang w:val="ru-RU"/>
        </w:rPr>
        <w:t>мировой объем производства</w:t>
      </w:r>
      <w:r w:rsidRPr="00F84532">
        <w:rPr>
          <w:lang w:val="ru-RU"/>
        </w:rPr>
        <w:t xml:space="preserve"> БМ для КООТ в 2024</w:t>
      </w:r>
      <w:r w:rsidR="00C119F2">
        <w:rPr>
          <w:lang w:val="ru-RU"/>
        </w:rPr>
        <w:t> </w:t>
      </w:r>
      <w:r w:rsidRPr="00F84532">
        <w:rPr>
          <w:lang w:val="ru-RU"/>
        </w:rPr>
        <w:t xml:space="preserve">году составил 8935 тонн. </w:t>
      </w:r>
      <w:r>
        <w:rPr>
          <w:lang w:val="ru-RU"/>
        </w:rPr>
        <w:t>Заявленный объем потребления</w:t>
      </w:r>
      <w:r w:rsidRPr="00F84532">
        <w:rPr>
          <w:lang w:val="ru-RU"/>
        </w:rPr>
        <w:t xml:space="preserve"> БМ для КООТ в 2024</w:t>
      </w:r>
      <w:r w:rsidR="00C119F2">
        <w:rPr>
          <w:lang w:val="ru-RU"/>
        </w:rPr>
        <w:t> </w:t>
      </w:r>
      <w:r w:rsidRPr="00F84532">
        <w:rPr>
          <w:lang w:val="ru-RU"/>
        </w:rPr>
        <w:t>году составил</w:t>
      </w:r>
      <w:r>
        <w:rPr>
          <w:lang w:val="ru-RU"/>
        </w:rPr>
        <w:t xml:space="preserve"> </w:t>
      </w:r>
      <w:r w:rsidRPr="00F84532">
        <w:rPr>
          <w:lang w:val="ru-RU"/>
        </w:rPr>
        <w:t>приблизительно 8000 тонн (</w:t>
      </w:r>
      <w:r>
        <w:rPr>
          <w:lang w:val="ru-RU"/>
        </w:rPr>
        <w:t xml:space="preserve">что </w:t>
      </w:r>
      <w:r w:rsidRPr="00F84532">
        <w:rPr>
          <w:lang w:val="ru-RU"/>
        </w:rPr>
        <w:t xml:space="preserve">примерно на 900 тонн меньше </w:t>
      </w:r>
      <w:r>
        <w:rPr>
          <w:lang w:val="ru-RU"/>
        </w:rPr>
        <w:t>заявленного объема</w:t>
      </w:r>
      <w:r w:rsidRPr="00F84532">
        <w:rPr>
          <w:lang w:val="ru-RU"/>
        </w:rPr>
        <w:t xml:space="preserve"> производства). Имеются данные о том, что </w:t>
      </w:r>
      <w:r>
        <w:rPr>
          <w:lang w:val="ru-RU"/>
        </w:rPr>
        <w:t xml:space="preserve">в течение </w:t>
      </w:r>
      <w:r w:rsidRPr="00F84532">
        <w:rPr>
          <w:lang w:val="ru-RU"/>
        </w:rPr>
        <w:t>последни</w:t>
      </w:r>
      <w:r>
        <w:rPr>
          <w:lang w:val="ru-RU"/>
        </w:rPr>
        <w:t>х</w:t>
      </w:r>
      <w:r w:rsidRPr="00F84532">
        <w:rPr>
          <w:lang w:val="ru-RU"/>
        </w:rPr>
        <w:t xml:space="preserve"> нескольк</w:t>
      </w:r>
      <w:r>
        <w:rPr>
          <w:lang w:val="ru-RU"/>
        </w:rPr>
        <w:t>их</w:t>
      </w:r>
      <w:r w:rsidRPr="00F84532">
        <w:rPr>
          <w:lang w:val="ru-RU"/>
        </w:rPr>
        <w:t xml:space="preserve"> лет в некоторых странах </w:t>
      </w:r>
      <w:r>
        <w:rPr>
          <w:lang w:val="ru-RU"/>
        </w:rPr>
        <w:t>широко внедряются</w:t>
      </w:r>
      <w:r w:rsidRPr="00F84532">
        <w:rPr>
          <w:lang w:val="ru-RU"/>
        </w:rPr>
        <w:t xml:space="preserve"> альтернативы БМ </w:t>
      </w:r>
      <w:r>
        <w:rPr>
          <w:lang w:val="ru-RU"/>
        </w:rPr>
        <w:t xml:space="preserve">для применения </w:t>
      </w:r>
      <w:r w:rsidRPr="00F84532">
        <w:rPr>
          <w:lang w:val="ru-RU"/>
        </w:rPr>
        <w:t>в целях КОО</w:t>
      </w:r>
      <w:r>
        <w:rPr>
          <w:lang w:val="ru-RU"/>
        </w:rPr>
        <w:t>Т</w:t>
      </w:r>
      <w:r w:rsidRPr="00F84532">
        <w:rPr>
          <w:lang w:val="ru-RU"/>
        </w:rPr>
        <w:t xml:space="preserve">. </w:t>
      </w:r>
      <w:r>
        <w:rPr>
          <w:lang w:val="ru-RU"/>
        </w:rPr>
        <w:t>В то же время сохраняются явные поводы для</w:t>
      </w:r>
      <w:r w:rsidRPr="00F84532">
        <w:rPr>
          <w:lang w:val="ru-RU"/>
        </w:rPr>
        <w:t xml:space="preserve"> обеспокоенности: </w:t>
      </w:r>
      <w:r>
        <w:rPr>
          <w:lang w:val="ru-RU"/>
        </w:rPr>
        <w:t>например</w:t>
      </w:r>
      <w:r w:rsidRPr="00F84532">
        <w:rPr>
          <w:lang w:val="ru-RU"/>
        </w:rPr>
        <w:t>,</w:t>
      </w:r>
      <w:r>
        <w:rPr>
          <w:lang w:val="ru-RU"/>
        </w:rPr>
        <w:t xml:space="preserve"> на фоне продолжающегося применения БМ в целях КООТ перестали снижаться показатели его концентрации в атмосфере</w:t>
      </w:r>
      <w:r w:rsidRPr="00F84532">
        <w:rPr>
          <w:lang w:val="ru-RU"/>
        </w:rPr>
        <w:t xml:space="preserve">. В последние годы </w:t>
      </w:r>
      <w:r>
        <w:rPr>
          <w:lang w:val="ru-RU"/>
        </w:rPr>
        <w:t>информация о БМ</w:t>
      </w:r>
      <w:r w:rsidRPr="00F84532">
        <w:rPr>
          <w:lang w:val="ru-RU"/>
        </w:rPr>
        <w:t>,</w:t>
      </w:r>
      <w:r>
        <w:rPr>
          <w:lang w:val="ru-RU"/>
        </w:rPr>
        <w:t xml:space="preserve"> представленная некоторыми</w:t>
      </w:r>
      <w:r w:rsidRPr="00F84532">
        <w:rPr>
          <w:lang w:val="ru-RU"/>
        </w:rPr>
        <w:t xml:space="preserve"> Сторон</w:t>
      </w:r>
      <w:r>
        <w:rPr>
          <w:lang w:val="ru-RU"/>
        </w:rPr>
        <w:t>ами</w:t>
      </w:r>
      <w:r w:rsidRPr="00F84532">
        <w:rPr>
          <w:lang w:val="ru-RU"/>
        </w:rPr>
        <w:t>,</w:t>
      </w:r>
      <w:r>
        <w:rPr>
          <w:lang w:val="ru-RU"/>
        </w:rPr>
        <w:t xml:space="preserve"> </w:t>
      </w:r>
      <w:r w:rsidRPr="00F84532">
        <w:rPr>
          <w:lang w:val="ru-RU"/>
        </w:rPr>
        <w:t xml:space="preserve">вызывала затруднения </w:t>
      </w:r>
      <w:r>
        <w:rPr>
          <w:lang w:val="ru-RU"/>
        </w:rPr>
        <w:t xml:space="preserve">при </w:t>
      </w:r>
      <w:r w:rsidRPr="00F84532">
        <w:rPr>
          <w:lang w:val="ru-RU"/>
        </w:rPr>
        <w:t>анализе,</w:t>
      </w:r>
      <w:r>
        <w:rPr>
          <w:lang w:val="ru-RU"/>
        </w:rPr>
        <w:t xml:space="preserve"> в связи с чем </w:t>
      </w:r>
      <w:r w:rsidRPr="00F84532">
        <w:rPr>
          <w:lang w:val="ru-RU"/>
        </w:rPr>
        <w:t xml:space="preserve">КТВБМ и </w:t>
      </w:r>
      <w:r>
        <w:rPr>
          <w:lang w:val="ru-RU"/>
        </w:rPr>
        <w:t>с</w:t>
      </w:r>
      <w:r w:rsidRPr="00F84532">
        <w:rPr>
          <w:lang w:val="ru-RU"/>
        </w:rPr>
        <w:t xml:space="preserve">екретариат по озону </w:t>
      </w:r>
      <w:r>
        <w:rPr>
          <w:lang w:val="ru-RU"/>
        </w:rPr>
        <w:t xml:space="preserve">были вынуждены проводить </w:t>
      </w:r>
      <w:r w:rsidRPr="00F84532">
        <w:rPr>
          <w:lang w:val="ru-RU"/>
        </w:rPr>
        <w:t>последующи</w:t>
      </w:r>
      <w:r>
        <w:rPr>
          <w:lang w:val="ru-RU"/>
        </w:rPr>
        <w:t>е</w:t>
      </w:r>
      <w:r w:rsidRPr="00F84532">
        <w:rPr>
          <w:lang w:val="ru-RU"/>
        </w:rPr>
        <w:t xml:space="preserve"> прове</w:t>
      </w:r>
      <w:r>
        <w:rPr>
          <w:lang w:val="ru-RU"/>
        </w:rPr>
        <w:t>р</w:t>
      </w:r>
      <w:r w:rsidRPr="00F84532">
        <w:rPr>
          <w:lang w:val="ru-RU"/>
        </w:rPr>
        <w:t>к</w:t>
      </w:r>
      <w:r>
        <w:rPr>
          <w:lang w:val="ru-RU"/>
        </w:rPr>
        <w:t>и</w:t>
      </w:r>
      <w:r w:rsidRPr="00F84532">
        <w:rPr>
          <w:lang w:val="ru-RU"/>
        </w:rPr>
        <w:t xml:space="preserve"> для выявления возможных ошибок. Точность </w:t>
      </w:r>
      <w:r>
        <w:rPr>
          <w:lang w:val="ru-RU"/>
        </w:rPr>
        <w:t>представленных</w:t>
      </w:r>
      <w:r w:rsidRPr="00F84532">
        <w:rPr>
          <w:lang w:val="ru-RU"/>
        </w:rPr>
        <w:t xml:space="preserve"> данных имеет принципиальное значение для того, чтобы ГТ</w:t>
      </w:r>
      <w:r w:rsidR="002779D8">
        <w:rPr>
          <w:lang w:val="ru-RU"/>
        </w:rPr>
        <w:t>О</w:t>
      </w:r>
      <w:r w:rsidRPr="00F84532">
        <w:rPr>
          <w:lang w:val="ru-RU"/>
        </w:rPr>
        <w:t>ЭО могла сопоставлять оценки выбросов БМ, полученные восходящим и нисходящим методами.</w:t>
      </w:r>
    </w:p>
    <w:p w14:paraId="7191ECAD" w14:textId="77777777" w:rsidR="00295439" w:rsidRDefault="00295439" w:rsidP="00C119F2">
      <w:pPr>
        <w:pStyle w:val="NormalNonumber"/>
        <w:tabs>
          <w:tab w:val="clear" w:pos="624"/>
          <w:tab w:val="clear" w:pos="1247"/>
          <w:tab w:val="clear" w:pos="1871"/>
          <w:tab w:val="clear" w:pos="2495"/>
          <w:tab w:val="clear" w:pos="3119"/>
          <w:tab w:val="clear" w:pos="3742"/>
          <w:tab w:val="clear" w:pos="4366"/>
          <w:tab w:val="clear" w:pos="4990"/>
        </w:tabs>
        <w:ind w:left="1843" w:hanging="283"/>
        <w:rPr>
          <w:lang w:val="ru-RU"/>
        </w:rPr>
      </w:pPr>
      <w:r w:rsidRPr="00F84532">
        <w:rPr>
          <w:color w:val="000000" w:themeColor="text1"/>
          <w:lang w:val="ru-RU"/>
        </w:rPr>
        <w:t>•</w:t>
      </w:r>
      <w:r w:rsidRPr="00F84532">
        <w:rPr>
          <w:color w:val="000000" w:themeColor="text1"/>
          <w:lang w:val="ru-RU"/>
        </w:rPr>
        <w:tab/>
      </w:r>
      <w:r w:rsidRPr="00F84532">
        <w:rPr>
          <w:lang w:val="ru-RU"/>
        </w:rPr>
        <w:t xml:space="preserve">Недавние обследования выявили незарегистрированное применение БМ в секторах, где он не был одобрен </w:t>
      </w:r>
      <w:r>
        <w:rPr>
          <w:lang w:val="ru-RU"/>
        </w:rPr>
        <w:t>для регулируемых видов</w:t>
      </w:r>
      <w:r w:rsidRPr="00F84532">
        <w:rPr>
          <w:lang w:val="ru-RU"/>
        </w:rPr>
        <w:t xml:space="preserve"> применения</w:t>
      </w:r>
      <w:r>
        <w:rPr>
          <w:lang w:val="ru-RU"/>
        </w:rPr>
        <w:t xml:space="preserve"> и не разрешен </w:t>
      </w:r>
      <w:r w:rsidRPr="00F84532">
        <w:rPr>
          <w:lang w:val="ru-RU"/>
        </w:rPr>
        <w:t xml:space="preserve">для </w:t>
      </w:r>
      <w:r>
        <w:rPr>
          <w:lang w:val="ru-RU"/>
        </w:rPr>
        <w:t xml:space="preserve">использования в целях </w:t>
      </w:r>
      <w:r w:rsidRPr="00F84532">
        <w:rPr>
          <w:lang w:val="ru-RU"/>
        </w:rPr>
        <w:t xml:space="preserve">КООТ. </w:t>
      </w:r>
      <w:r>
        <w:rPr>
          <w:lang w:val="ru-RU"/>
        </w:rPr>
        <w:t>Вызывают обеспокоенность п</w:t>
      </w:r>
      <w:r w:rsidRPr="00F84532">
        <w:rPr>
          <w:lang w:val="ru-RU"/>
        </w:rPr>
        <w:t>убликации из Китая,</w:t>
      </w:r>
      <w:r>
        <w:rPr>
          <w:lang w:val="ru-RU"/>
        </w:rPr>
        <w:t xml:space="preserve"> в которых сообщается о необъясненных выбросах</w:t>
      </w:r>
      <w:r w:rsidRPr="00F84532">
        <w:rPr>
          <w:lang w:val="ru-RU"/>
        </w:rPr>
        <w:t xml:space="preserve"> БМ (~4000–9000 тонн в год), источник которых по-прежнему не установлен (</w:t>
      </w:r>
      <w:r>
        <w:t>Hu</w:t>
      </w:r>
      <w:r w:rsidRPr="00F84532">
        <w:rPr>
          <w:lang w:val="ru-RU"/>
        </w:rPr>
        <w:t xml:space="preserve"> </w:t>
      </w:r>
      <w:r>
        <w:t>et</w:t>
      </w:r>
      <w:r w:rsidRPr="00F84532">
        <w:rPr>
          <w:lang w:val="ru-RU"/>
        </w:rPr>
        <w:t xml:space="preserve"> </w:t>
      </w:r>
      <w:r>
        <w:t>al</w:t>
      </w:r>
      <w:r w:rsidRPr="00F84532">
        <w:rPr>
          <w:lang w:val="ru-RU"/>
        </w:rPr>
        <w:t>., 2024).</w:t>
      </w:r>
    </w:p>
    <w:p w14:paraId="063194AC" w14:textId="77777777" w:rsidR="00295439" w:rsidRPr="00F84532" w:rsidRDefault="00295439" w:rsidP="00C119F2">
      <w:pPr>
        <w:pStyle w:val="NormalNonumber"/>
        <w:tabs>
          <w:tab w:val="clear" w:pos="624"/>
          <w:tab w:val="clear" w:pos="1247"/>
          <w:tab w:val="clear" w:pos="1871"/>
          <w:tab w:val="clear" w:pos="2495"/>
          <w:tab w:val="clear" w:pos="3119"/>
          <w:tab w:val="clear" w:pos="3742"/>
          <w:tab w:val="clear" w:pos="4366"/>
          <w:tab w:val="clear" w:pos="4990"/>
        </w:tabs>
        <w:ind w:left="1843" w:hanging="283"/>
        <w:rPr>
          <w:color w:val="000000" w:themeColor="text1"/>
          <w:lang w:val="ru-RU"/>
        </w:rPr>
      </w:pPr>
      <w:r w:rsidRPr="00F84532">
        <w:rPr>
          <w:color w:val="000000" w:themeColor="text1"/>
          <w:lang w:val="ru-RU"/>
        </w:rPr>
        <w:t>•</w:t>
      </w:r>
      <w:r w:rsidRPr="00F84532">
        <w:rPr>
          <w:color w:val="000000" w:themeColor="text1"/>
          <w:lang w:val="ru-RU"/>
        </w:rPr>
        <w:tab/>
      </w:r>
      <w:r w:rsidRPr="00F84532">
        <w:rPr>
          <w:lang w:val="ru-RU"/>
        </w:rPr>
        <w:t xml:space="preserve">БМ </w:t>
      </w:r>
      <w:r>
        <w:rPr>
          <w:lang w:val="ru-RU"/>
        </w:rPr>
        <w:t xml:space="preserve">чрезвычайно </w:t>
      </w:r>
      <w:r w:rsidRPr="00F84532">
        <w:rPr>
          <w:lang w:val="ru-RU"/>
        </w:rPr>
        <w:t xml:space="preserve">токсичен для человека и все </w:t>
      </w:r>
      <w:r>
        <w:rPr>
          <w:lang w:val="ru-RU"/>
        </w:rPr>
        <w:t>чаще</w:t>
      </w:r>
      <w:r w:rsidRPr="00F84532">
        <w:rPr>
          <w:lang w:val="ru-RU"/>
        </w:rPr>
        <w:t xml:space="preserve"> является объектом</w:t>
      </w:r>
      <w:r>
        <w:rPr>
          <w:lang w:val="ru-RU"/>
        </w:rPr>
        <w:t xml:space="preserve"> мер</w:t>
      </w:r>
      <w:r w:rsidRPr="00F84532">
        <w:rPr>
          <w:lang w:val="ru-RU"/>
        </w:rPr>
        <w:t xml:space="preserve"> регулирования </w:t>
      </w:r>
      <w:r>
        <w:rPr>
          <w:lang w:val="ru-RU"/>
        </w:rPr>
        <w:t>в отношении</w:t>
      </w:r>
      <w:r w:rsidRPr="00F84532">
        <w:rPr>
          <w:lang w:val="ru-RU"/>
        </w:rPr>
        <w:t xml:space="preserve"> профессионального воздействия. Ряд Сторон, применяющих БМ в целях КООТ, уже ввел</w:t>
      </w:r>
      <w:r>
        <w:rPr>
          <w:lang w:val="ru-RU"/>
        </w:rPr>
        <w:t>и</w:t>
      </w:r>
      <w:r w:rsidRPr="00F84532">
        <w:rPr>
          <w:lang w:val="ru-RU"/>
        </w:rPr>
        <w:t xml:space="preserve"> или планирует ввести жесткие ограничения </w:t>
      </w:r>
      <w:r>
        <w:rPr>
          <w:lang w:val="ru-RU"/>
        </w:rPr>
        <w:t xml:space="preserve">для </w:t>
      </w:r>
      <w:r w:rsidRPr="00F84532">
        <w:rPr>
          <w:lang w:val="ru-RU"/>
        </w:rPr>
        <w:t xml:space="preserve">допустимых концентраций БМ </w:t>
      </w:r>
      <w:r>
        <w:rPr>
          <w:lang w:val="ru-RU"/>
        </w:rPr>
        <w:t>на рабочих местах</w:t>
      </w:r>
      <w:r w:rsidRPr="00F84532">
        <w:rPr>
          <w:lang w:val="ru-RU"/>
        </w:rPr>
        <w:t xml:space="preserve">. Это окажет существенное влияние на </w:t>
      </w:r>
      <w:r>
        <w:rPr>
          <w:lang w:val="ru-RU"/>
        </w:rPr>
        <w:t xml:space="preserve">использование </w:t>
      </w:r>
      <w:r w:rsidRPr="00F84532">
        <w:rPr>
          <w:lang w:val="ru-RU"/>
        </w:rPr>
        <w:t xml:space="preserve">БМ в связи с </w:t>
      </w:r>
      <w:r>
        <w:rPr>
          <w:lang w:val="ru-RU"/>
        </w:rPr>
        <w:t>необходимостью</w:t>
      </w:r>
      <w:r w:rsidRPr="00F84532">
        <w:rPr>
          <w:lang w:val="ru-RU"/>
        </w:rPr>
        <w:t xml:space="preserve"> создания </w:t>
      </w:r>
      <w:r>
        <w:rPr>
          <w:lang w:val="ru-RU"/>
        </w:rPr>
        <w:t>обширных</w:t>
      </w:r>
      <w:r w:rsidRPr="00F84532">
        <w:rPr>
          <w:lang w:val="ru-RU"/>
        </w:rPr>
        <w:t xml:space="preserve"> буферных зон.</w:t>
      </w:r>
      <w:r w:rsidRPr="00F84532">
        <w:rPr>
          <w:color w:val="000000" w:themeColor="text1"/>
          <w:lang w:val="ru-RU"/>
        </w:rPr>
        <w:t xml:space="preserve"> </w:t>
      </w:r>
    </w:p>
    <w:p w14:paraId="37214CA6" w14:textId="09EBAC24" w:rsidR="00295439" w:rsidRDefault="00295439" w:rsidP="00C119F2">
      <w:pPr>
        <w:pStyle w:val="NormalNonumber"/>
        <w:tabs>
          <w:tab w:val="clear" w:pos="624"/>
          <w:tab w:val="clear" w:pos="1247"/>
          <w:tab w:val="clear" w:pos="1871"/>
          <w:tab w:val="clear" w:pos="2495"/>
          <w:tab w:val="clear" w:pos="3119"/>
          <w:tab w:val="clear" w:pos="3742"/>
          <w:tab w:val="clear" w:pos="4366"/>
          <w:tab w:val="clear" w:pos="4990"/>
        </w:tabs>
        <w:ind w:left="1843" w:hanging="283"/>
        <w:rPr>
          <w:lang w:val="ru-RU"/>
        </w:rPr>
      </w:pPr>
      <w:r w:rsidRPr="00F84532">
        <w:rPr>
          <w:color w:val="000000" w:themeColor="text1"/>
          <w:lang w:val="ru-RU"/>
        </w:rPr>
        <w:t>•</w:t>
      </w:r>
      <w:r w:rsidRPr="00F84532">
        <w:rPr>
          <w:color w:val="000000" w:themeColor="text1"/>
          <w:lang w:val="ru-RU"/>
        </w:rPr>
        <w:tab/>
      </w:r>
      <w:r>
        <w:rPr>
          <w:lang w:val="ru-RU"/>
        </w:rPr>
        <w:t>На п</w:t>
      </w:r>
      <w:r w:rsidRPr="00F84532">
        <w:rPr>
          <w:lang w:val="ru-RU"/>
        </w:rPr>
        <w:t xml:space="preserve">рименение БМ в целях КООТ </w:t>
      </w:r>
      <w:r>
        <w:rPr>
          <w:lang w:val="ru-RU"/>
        </w:rPr>
        <w:t>не распространяются ограничения в рамках</w:t>
      </w:r>
      <w:r w:rsidRPr="00F84532">
        <w:rPr>
          <w:lang w:val="ru-RU"/>
        </w:rPr>
        <w:t xml:space="preserve"> Монреальск</w:t>
      </w:r>
      <w:r>
        <w:rPr>
          <w:lang w:val="ru-RU"/>
        </w:rPr>
        <w:t>ого</w:t>
      </w:r>
      <w:r w:rsidRPr="00F84532">
        <w:rPr>
          <w:lang w:val="ru-RU"/>
        </w:rPr>
        <w:t xml:space="preserve"> протокол</w:t>
      </w:r>
      <w:r>
        <w:rPr>
          <w:lang w:val="ru-RU"/>
        </w:rPr>
        <w:t>а</w:t>
      </w:r>
      <w:r w:rsidRPr="00F84532">
        <w:rPr>
          <w:lang w:val="ru-RU"/>
        </w:rPr>
        <w:t xml:space="preserve">. </w:t>
      </w:r>
      <w:r>
        <w:rPr>
          <w:lang w:val="ru-RU"/>
        </w:rPr>
        <w:t>Вероятно</w:t>
      </w:r>
      <w:r w:rsidRPr="00F84532">
        <w:rPr>
          <w:lang w:val="ru-RU"/>
        </w:rPr>
        <w:t>,</w:t>
      </w:r>
      <w:r>
        <w:rPr>
          <w:lang w:val="ru-RU"/>
        </w:rPr>
        <w:t xml:space="preserve"> что во многих юрисдикциях п</w:t>
      </w:r>
      <w:r w:rsidRPr="00F84532">
        <w:rPr>
          <w:lang w:val="ru-RU"/>
        </w:rPr>
        <w:t xml:space="preserve">рименение БМ в отношении отдельных карантинных вредителей («К») останется необходимым в </w:t>
      </w:r>
      <w:r w:rsidRPr="00F84532">
        <w:rPr>
          <w:lang w:val="ru-RU"/>
        </w:rPr>
        <w:lastRenderedPageBreak/>
        <w:t>долгосрочной перспектив</w:t>
      </w:r>
      <w:r>
        <w:rPr>
          <w:lang w:val="ru-RU"/>
        </w:rPr>
        <w:t>е</w:t>
      </w:r>
      <w:r w:rsidRPr="00F84532">
        <w:rPr>
          <w:lang w:val="ru-RU"/>
        </w:rPr>
        <w:t xml:space="preserve">. </w:t>
      </w:r>
      <w:r>
        <w:rPr>
          <w:lang w:val="ru-RU"/>
        </w:rPr>
        <w:t xml:space="preserve">Однако </w:t>
      </w:r>
      <w:r w:rsidRPr="00F84532">
        <w:rPr>
          <w:lang w:val="ru-RU"/>
        </w:rPr>
        <w:t xml:space="preserve">для обработки перед транспортировкой («ОТ») </w:t>
      </w:r>
      <w:r>
        <w:rPr>
          <w:lang w:val="ru-RU"/>
        </w:rPr>
        <w:t xml:space="preserve">существуют альтернативные методы </w:t>
      </w:r>
      <w:r w:rsidRPr="00F84532">
        <w:rPr>
          <w:lang w:val="ru-RU"/>
        </w:rPr>
        <w:t xml:space="preserve">(например, </w:t>
      </w:r>
      <w:r>
        <w:rPr>
          <w:lang w:val="ru-RU"/>
        </w:rPr>
        <w:t>использование низких и высоких температур</w:t>
      </w:r>
      <w:r w:rsidRPr="00151E05">
        <w:rPr>
          <w:lang w:val="ru-RU"/>
        </w:rPr>
        <w:t>,</w:t>
      </w:r>
      <w:r>
        <w:rPr>
          <w:lang w:val="ru-RU"/>
        </w:rPr>
        <w:t xml:space="preserve"> </w:t>
      </w:r>
      <w:r w:rsidRPr="00F84532">
        <w:rPr>
          <w:lang w:val="ru-RU"/>
        </w:rPr>
        <w:t>облучени</w:t>
      </w:r>
      <w:r>
        <w:rPr>
          <w:lang w:val="ru-RU"/>
        </w:rPr>
        <w:t>я</w:t>
      </w:r>
      <w:r w:rsidRPr="00F84532">
        <w:rPr>
          <w:lang w:val="ru-RU"/>
        </w:rPr>
        <w:t>, фосфин</w:t>
      </w:r>
      <w:r>
        <w:rPr>
          <w:lang w:val="ru-RU"/>
        </w:rPr>
        <w:t>а</w:t>
      </w:r>
      <w:r w:rsidRPr="00F84532">
        <w:rPr>
          <w:lang w:val="ru-RU"/>
        </w:rPr>
        <w:t xml:space="preserve">, </w:t>
      </w:r>
      <w:r>
        <w:rPr>
          <w:lang w:val="ru-RU"/>
        </w:rPr>
        <w:t>этилформиата</w:t>
      </w:r>
      <w:r w:rsidRPr="00F84532">
        <w:rPr>
          <w:lang w:val="ru-RU"/>
        </w:rPr>
        <w:t xml:space="preserve">, </w:t>
      </w:r>
      <w:r>
        <w:rPr>
          <w:lang w:val="ru-RU"/>
        </w:rPr>
        <w:t>синильной кислоты</w:t>
      </w:r>
      <w:r w:rsidRPr="00F84532">
        <w:rPr>
          <w:lang w:val="ru-RU"/>
        </w:rPr>
        <w:t>, этандинитрил</w:t>
      </w:r>
      <w:r>
        <w:rPr>
          <w:lang w:val="ru-RU"/>
        </w:rPr>
        <w:t>а</w:t>
      </w:r>
      <w:r w:rsidRPr="00F84532">
        <w:rPr>
          <w:lang w:val="ru-RU"/>
        </w:rPr>
        <w:t>)</w:t>
      </w:r>
      <w:r w:rsidRPr="00151E05">
        <w:rPr>
          <w:lang w:val="ru-RU"/>
        </w:rPr>
        <w:t>,</w:t>
      </w:r>
      <w:r>
        <w:rPr>
          <w:lang w:val="ru-RU"/>
        </w:rPr>
        <w:t xml:space="preserve"> которые </w:t>
      </w:r>
      <w:r w:rsidRPr="00151E05">
        <w:rPr>
          <w:lang w:val="ru-RU"/>
        </w:rPr>
        <w:t>по крайней мере не уступают по эффективности Б</w:t>
      </w:r>
      <w:r w:rsidR="002779D8">
        <w:rPr>
          <w:lang w:val="ru-RU"/>
        </w:rPr>
        <w:t>М</w:t>
      </w:r>
      <w:r w:rsidRPr="00151E05">
        <w:rPr>
          <w:lang w:val="ru-RU"/>
        </w:rPr>
        <w:t xml:space="preserve"> и являются более безопасными как для людей, так и для окружающей среды, а также для обрабатываемой продукции</w:t>
      </w:r>
      <w:r w:rsidRPr="00F84532">
        <w:rPr>
          <w:lang w:val="ru-RU"/>
        </w:rPr>
        <w:t xml:space="preserve">. </w:t>
      </w:r>
      <w:r>
        <w:rPr>
          <w:lang w:val="ru-RU"/>
        </w:rPr>
        <w:t>Проблема с</w:t>
      </w:r>
      <w:r w:rsidRPr="00F84532">
        <w:rPr>
          <w:lang w:val="ru-RU"/>
        </w:rPr>
        <w:t xml:space="preserve"> разграничени</w:t>
      </w:r>
      <w:r>
        <w:rPr>
          <w:lang w:val="ru-RU"/>
        </w:rPr>
        <w:t>ем</w:t>
      </w:r>
      <w:r w:rsidRPr="00F84532">
        <w:rPr>
          <w:lang w:val="ru-RU"/>
        </w:rPr>
        <w:t xml:space="preserve"> между «К» и «ОТ» по-прежнему создает сложности для многих Сторон.</w:t>
      </w:r>
    </w:p>
    <w:p w14:paraId="13863EB2" w14:textId="77777777" w:rsidR="00295439" w:rsidRDefault="00295439" w:rsidP="00C119F2">
      <w:pPr>
        <w:pStyle w:val="NormalNonumber"/>
        <w:tabs>
          <w:tab w:val="clear" w:pos="624"/>
          <w:tab w:val="clear" w:pos="1247"/>
          <w:tab w:val="clear" w:pos="1871"/>
          <w:tab w:val="clear" w:pos="2495"/>
          <w:tab w:val="clear" w:pos="3119"/>
          <w:tab w:val="clear" w:pos="3742"/>
          <w:tab w:val="clear" w:pos="4366"/>
          <w:tab w:val="clear" w:pos="4990"/>
        </w:tabs>
        <w:ind w:left="1843" w:hanging="283"/>
        <w:rPr>
          <w:lang w:val="ru-RU"/>
        </w:rPr>
      </w:pPr>
      <w:r w:rsidRPr="00827B45">
        <w:rPr>
          <w:color w:val="000000" w:themeColor="text1"/>
          <w:lang w:val="ru-RU"/>
        </w:rPr>
        <w:t>•</w:t>
      </w:r>
      <w:r w:rsidRPr="00827B45">
        <w:rPr>
          <w:color w:val="000000" w:themeColor="text1"/>
          <w:lang w:val="ru-RU"/>
        </w:rPr>
        <w:tab/>
      </w:r>
      <w:r w:rsidRPr="00827B45">
        <w:rPr>
          <w:lang w:val="ru-RU"/>
        </w:rPr>
        <w:t xml:space="preserve">Стороны могут </w:t>
      </w:r>
      <w:r>
        <w:rPr>
          <w:lang w:val="ru-RU"/>
        </w:rPr>
        <w:t xml:space="preserve">пожелать </w:t>
      </w:r>
      <w:r w:rsidRPr="00827B45">
        <w:rPr>
          <w:lang w:val="ru-RU"/>
        </w:rPr>
        <w:t xml:space="preserve">рассмотреть </w:t>
      </w:r>
      <w:r>
        <w:rPr>
          <w:lang w:val="ru-RU"/>
        </w:rPr>
        <w:t xml:space="preserve">возможность </w:t>
      </w:r>
      <w:r w:rsidRPr="0025575A">
        <w:rPr>
          <w:lang w:val="ru-RU"/>
        </w:rPr>
        <w:t xml:space="preserve">принятия более действенных мер по предотвращению выбросов </w:t>
      </w:r>
      <w:r w:rsidRPr="00827B45">
        <w:rPr>
          <w:lang w:val="ru-RU"/>
        </w:rPr>
        <w:t>КООТ, огранич</w:t>
      </w:r>
      <w:r>
        <w:rPr>
          <w:lang w:val="ru-RU"/>
        </w:rPr>
        <w:t>ению</w:t>
      </w:r>
      <w:r w:rsidRPr="00827B45">
        <w:rPr>
          <w:lang w:val="ru-RU"/>
        </w:rPr>
        <w:t xml:space="preserve"> </w:t>
      </w:r>
      <w:r>
        <w:rPr>
          <w:lang w:val="ru-RU"/>
        </w:rPr>
        <w:t>разрешений для использования БМ в целях ОТ и</w:t>
      </w:r>
      <w:r w:rsidRPr="00827B45">
        <w:rPr>
          <w:lang w:val="ru-RU"/>
        </w:rPr>
        <w:t xml:space="preserve"> </w:t>
      </w:r>
      <w:r>
        <w:rPr>
          <w:lang w:val="ru-RU"/>
        </w:rPr>
        <w:t>пресечению</w:t>
      </w:r>
      <w:r w:rsidRPr="00827B45">
        <w:rPr>
          <w:lang w:val="ru-RU"/>
        </w:rPr>
        <w:t xml:space="preserve"> ненадлежаще</w:t>
      </w:r>
      <w:r>
        <w:rPr>
          <w:lang w:val="ru-RU"/>
        </w:rPr>
        <w:t>го</w:t>
      </w:r>
      <w:r w:rsidRPr="00827B45">
        <w:rPr>
          <w:lang w:val="ru-RU"/>
        </w:rPr>
        <w:t xml:space="preserve"> использовани</w:t>
      </w:r>
      <w:r>
        <w:rPr>
          <w:lang w:val="ru-RU"/>
        </w:rPr>
        <w:t>я</w:t>
      </w:r>
      <w:r w:rsidRPr="00827B45">
        <w:rPr>
          <w:lang w:val="ru-RU"/>
        </w:rPr>
        <w:t xml:space="preserve"> БМ в целях, не относящихся к КООТ, путем </w:t>
      </w:r>
      <w:r>
        <w:rPr>
          <w:lang w:val="ru-RU"/>
        </w:rPr>
        <w:t>четкого закрепления исключительно</w:t>
      </w:r>
      <w:r w:rsidRPr="00827B45">
        <w:rPr>
          <w:lang w:val="ru-RU"/>
        </w:rPr>
        <w:t xml:space="preserve"> карантинной обработк</w:t>
      </w:r>
      <w:r>
        <w:rPr>
          <w:lang w:val="ru-RU"/>
        </w:rPr>
        <w:t>и</w:t>
      </w:r>
      <w:r w:rsidRPr="00827B45">
        <w:rPr>
          <w:lang w:val="ru-RU"/>
        </w:rPr>
        <w:t xml:space="preserve"> («К»). Это </w:t>
      </w:r>
      <w:r>
        <w:rPr>
          <w:lang w:val="ru-RU"/>
        </w:rPr>
        <w:t>могло</w:t>
      </w:r>
      <w:r w:rsidRPr="00827B45">
        <w:rPr>
          <w:lang w:val="ru-RU"/>
        </w:rPr>
        <w:t xml:space="preserve"> бы</w:t>
      </w:r>
      <w:r>
        <w:rPr>
          <w:lang w:val="ru-RU"/>
        </w:rPr>
        <w:t xml:space="preserve"> обеспечить сокращение выбросов</w:t>
      </w:r>
      <w:r w:rsidRPr="0025575A">
        <w:rPr>
          <w:lang w:val="ru-RU"/>
        </w:rPr>
        <w:t>,</w:t>
      </w:r>
      <w:r>
        <w:rPr>
          <w:lang w:val="ru-RU"/>
        </w:rPr>
        <w:t xml:space="preserve"> сопоставимое по объему </w:t>
      </w:r>
      <w:r w:rsidRPr="0025575A">
        <w:rPr>
          <w:lang w:val="ru-RU"/>
        </w:rPr>
        <w:t>с тем, что был</w:t>
      </w:r>
      <w:r>
        <w:rPr>
          <w:lang w:val="ru-RU"/>
        </w:rPr>
        <w:t>о</w:t>
      </w:r>
      <w:r w:rsidRPr="0025575A">
        <w:rPr>
          <w:lang w:val="ru-RU"/>
        </w:rPr>
        <w:t xml:space="preserve"> </w:t>
      </w:r>
      <w:r>
        <w:rPr>
          <w:lang w:val="ru-RU"/>
        </w:rPr>
        <w:t>достигнуто</w:t>
      </w:r>
      <w:r w:rsidRPr="0025575A">
        <w:rPr>
          <w:lang w:val="ru-RU"/>
        </w:rPr>
        <w:t xml:space="preserve"> в результате поэтапного вывода из обращения БМ </w:t>
      </w:r>
      <w:r w:rsidRPr="00827B45">
        <w:rPr>
          <w:lang w:val="ru-RU"/>
        </w:rPr>
        <w:t>в рамках процесса ЗВВП.</w:t>
      </w:r>
    </w:p>
    <w:p w14:paraId="201FE398" w14:textId="4012D631" w:rsidR="00295439" w:rsidRPr="00C119F2" w:rsidRDefault="00295439" w:rsidP="00C119F2">
      <w:pPr>
        <w:pStyle w:val="CH3"/>
        <w:keepNext w:val="0"/>
        <w:keepLines w:val="0"/>
        <w:tabs>
          <w:tab w:val="clear" w:pos="851"/>
          <w:tab w:val="clear" w:pos="1247"/>
          <w:tab w:val="clear" w:pos="1871"/>
          <w:tab w:val="clear" w:pos="2495"/>
          <w:tab w:val="clear" w:pos="3119"/>
          <w:tab w:val="clear" w:pos="3742"/>
          <w:tab w:val="clear" w:pos="4366"/>
          <w:tab w:val="clear" w:pos="4990"/>
        </w:tabs>
        <w:spacing w:before="0"/>
        <w:ind w:right="567" w:firstLine="0"/>
        <w:rPr>
          <w:i/>
          <w:iCs/>
          <w:sz w:val="24"/>
          <w:szCs w:val="24"/>
          <w:lang w:val="ru-RU"/>
        </w:rPr>
      </w:pPr>
      <w:r w:rsidRPr="00C119F2">
        <w:rPr>
          <w:i/>
          <w:iCs/>
          <w:lang w:val="ru-RU"/>
        </w:rPr>
        <w:tab/>
      </w:r>
      <w:r w:rsidRPr="00C119F2">
        <w:rPr>
          <w:i/>
          <w:iCs/>
          <w:sz w:val="24"/>
          <w:szCs w:val="24"/>
          <w:lang w:val="ru-RU"/>
        </w:rPr>
        <w:t>Комитет по техническим вариантам замены медицинских видов применения и химических веществ (КТВМХ)</w:t>
      </w:r>
    </w:p>
    <w:p w14:paraId="026B0927" w14:textId="77777777" w:rsidR="00295439" w:rsidRPr="00B21A41" w:rsidRDefault="00295439" w:rsidP="00C119F2">
      <w:pPr>
        <w:pStyle w:val="NormalNonumber"/>
        <w:tabs>
          <w:tab w:val="clear" w:pos="624"/>
          <w:tab w:val="clear" w:pos="1247"/>
          <w:tab w:val="clear" w:pos="1871"/>
          <w:tab w:val="clear" w:pos="2495"/>
          <w:tab w:val="clear" w:pos="3119"/>
          <w:tab w:val="clear" w:pos="3742"/>
          <w:tab w:val="clear" w:pos="4366"/>
          <w:tab w:val="clear" w:pos="4990"/>
        </w:tabs>
        <w:rPr>
          <w:color w:val="000000" w:themeColor="text1"/>
          <w:lang w:val="ru-RU"/>
        </w:rPr>
      </w:pPr>
      <w:r>
        <w:rPr>
          <w:lang w:val="ru-RU"/>
        </w:rPr>
        <w:t>Доклад о ходе работы КТВМХ содержится в главе 5 настоящего доклада и включает:</w:t>
      </w:r>
    </w:p>
    <w:p w14:paraId="5F4AC2DB" w14:textId="77777777" w:rsidR="00295439" w:rsidRPr="00B21A41" w:rsidRDefault="00295439" w:rsidP="00C119F2">
      <w:pPr>
        <w:pStyle w:val="NormalNonumber"/>
        <w:tabs>
          <w:tab w:val="clear" w:pos="624"/>
          <w:tab w:val="clear" w:pos="1247"/>
          <w:tab w:val="clear" w:pos="1871"/>
          <w:tab w:val="clear" w:pos="2495"/>
          <w:tab w:val="clear" w:pos="3119"/>
          <w:tab w:val="clear" w:pos="3742"/>
          <w:tab w:val="clear" w:pos="4366"/>
          <w:tab w:val="clear" w:pos="4990"/>
        </w:tabs>
        <w:ind w:left="1843" w:hanging="283"/>
        <w:rPr>
          <w:color w:val="000000" w:themeColor="text1"/>
          <w:lang w:val="ru-RU"/>
        </w:rPr>
      </w:pPr>
      <w:r w:rsidRPr="00D245AD">
        <w:rPr>
          <w:color w:val="000000" w:themeColor="text1"/>
          <w:lang w:val="ru-RU"/>
        </w:rPr>
        <w:t>•</w:t>
      </w:r>
      <w:r>
        <w:rPr>
          <w:lang w:val="ru-RU"/>
        </w:rPr>
        <w:tab/>
        <w:t xml:space="preserve">обновленную информацию о производстве и использовании регулируемых веществ в качестве химического исходного сырья; </w:t>
      </w:r>
    </w:p>
    <w:p w14:paraId="52223369" w14:textId="77777777" w:rsidR="00295439" w:rsidRPr="00B21A41" w:rsidRDefault="00295439" w:rsidP="00C119F2">
      <w:pPr>
        <w:pStyle w:val="NormalNonumber"/>
        <w:tabs>
          <w:tab w:val="clear" w:pos="624"/>
          <w:tab w:val="clear" w:pos="1247"/>
          <w:tab w:val="clear" w:pos="1871"/>
          <w:tab w:val="clear" w:pos="2495"/>
          <w:tab w:val="clear" w:pos="3119"/>
          <w:tab w:val="clear" w:pos="3742"/>
          <w:tab w:val="clear" w:pos="4366"/>
          <w:tab w:val="clear" w:pos="4990"/>
        </w:tabs>
        <w:ind w:left="1843" w:hanging="283"/>
        <w:rPr>
          <w:color w:val="000000" w:themeColor="text1"/>
          <w:lang w:val="ru-RU"/>
        </w:rPr>
      </w:pPr>
      <w:r w:rsidRPr="00D245AD">
        <w:rPr>
          <w:color w:val="000000" w:themeColor="text1"/>
          <w:lang w:val="ru-RU"/>
        </w:rPr>
        <w:t>•</w:t>
      </w:r>
      <w:r>
        <w:rPr>
          <w:lang w:val="ru-RU"/>
        </w:rPr>
        <w:tab/>
        <w:t xml:space="preserve">оценку технологии уничтожения, представленной Канадой на рассмотрение ГТОЭО, и рекомендацию Сторонам признать ее в качестве одобренной технологии уничтожения в соответствии с Монреальским протоколом; и </w:t>
      </w:r>
    </w:p>
    <w:p w14:paraId="051B2A8D" w14:textId="480EF820" w:rsidR="00295439" w:rsidRPr="00B21A41" w:rsidRDefault="00295439" w:rsidP="00C119F2">
      <w:pPr>
        <w:pStyle w:val="NormalNonumber"/>
        <w:tabs>
          <w:tab w:val="clear" w:pos="624"/>
          <w:tab w:val="clear" w:pos="1247"/>
          <w:tab w:val="clear" w:pos="1871"/>
          <w:tab w:val="clear" w:pos="2495"/>
          <w:tab w:val="clear" w:pos="3119"/>
          <w:tab w:val="clear" w:pos="3742"/>
          <w:tab w:val="clear" w:pos="4366"/>
          <w:tab w:val="clear" w:pos="4990"/>
        </w:tabs>
        <w:ind w:left="1843" w:hanging="283"/>
        <w:rPr>
          <w:color w:val="000000" w:themeColor="text1"/>
          <w:lang w:val="ru-RU"/>
        </w:rPr>
      </w:pPr>
      <w:r w:rsidRPr="00D245AD">
        <w:rPr>
          <w:color w:val="000000" w:themeColor="text1"/>
          <w:lang w:val="ru-RU"/>
        </w:rPr>
        <w:t>•</w:t>
      </w:r>
      <w:r>
        <w:rPr>
          <w:lang w:val="ru-RU"/>
        </w:rPr>
        <w:tab/>
        <w:t xml:space="preserve">информацию о разработках в области дозированных ингаляторов (ДИ) с пропеллентами с низким ПГП в соответствии с </w:t>
      </w:r>
      <w:r w:rsidR="00C648F7">
        <w:rPr>
          <w:lang w:val="ru-RU"/>
        </w:rPr>
        <w:t xml:space="preserve">решением </w:t>
      </w:r>
      <w:r>
        <w:rPr>
          <w:lang w:val="ru-RU"/>
        </w:rPr>
        <w:t>XXXVI/6.</w:t>
      </w:r>
    </w:p>
    <w:p w14:paraId="7E3C09CF" w14:textId="4AA08A46" w:rsidR="00295439" w:rsidRPr="00B21A41" w:rsidRDefault="00295439" w:rsidP="00C119F2">
      <w:pPr>
        <w:pStyle w:val="NormalNonumber"/>
        <w:tabs>
          <w:tab w:val="clear" w:pos="624"/>
          <w:tab w:val="clear" w:pos="1247"/>
          <w:tab w:val="clear" w:pos="1871"/>
          <w:tab w:val="clear" w:pos="2495"/>
          <w:tab w:val="clear" w:pos="3119"/>
          <w:tab w:val="clear" w:pos="3742"/>
          <w:tab w:val="clear" w:pos="4366"/>
          <w:tab w:val="clear" w:pos="4990"/>
        </w:tabs>
        <w:rPr>
          <w:color w:val="000000" w:themeColor="text1"/>
          <w:lang w:val="ru-RU"/>
        </w:rPr>
      </w:pPr>
      <w:r>
        <w:rPr>
          <w:lang w:val="ru-RU"/>
        </w:rPr>
        <w:t>КТВМХ не выявил в этом докладе о ходе работы убедительной новой информации для представления Сторонам о ситуации с использованием технологических агентов, n</w:t>
      </w:r>
      <w:r w:rsidR="00C119F2">
        <w:rPr>
          <w:lang w:val="ru-RU"/>
        </w:rPr>
        <w:noBreakHyphen/>
      </w:r>
      <w:r>
        <w:rPr>
          <w:lang w:val="ru-RU"/>
        </w:rPr>
        <w:t>пропилбромида, лабораторными и аналитическим видами применения.</w:t>
      </w:r>
    </w:p>
    <w:p w14:paraId="605138F1" w14:textId="77777777" w:rsidR="00295439" w:rsidRPr="00B21A41" w:rsidRDefault="00295439" w:rsidP="00C119F2">
      <w:pPr>
        <w:pStyle w:val="NormalNonumber"/>
        <w:tabs>
          <w:tab w:val="clear" w:pos="624"/>
          <w:tab w:val="clear" w:pos="1247"/>
          <w:tab w:val="clear" w:pos="1871"/>
          <w:tab w:val="clear" w:pos="2495"/>
          <w:tab w:val="clear" w:pos="3119"/>
          <w:tab w:val="clear" w:pos="3742"/>
          <w:tab w:val="clear" w:pos="4366"/>
          <w:tab w:val="clear" w:pos="4990"/>
        </w:tabs>
        <w:rPr>
          <w:b/>
          <w:bCs/>
          <w:color w:val="000000" w:themeColor="text1"/>
          <w:lang w:val="ru-RU"/>
        </w:rPr>
      </w:pPr>
      <w:r>
        <w:rPr>
          <w:b/>
          <w:bCs/>
          <w:lang w:val="ru-RU"/>
        </w:rPr>
        <w:t>Исходное сырье</w:t>
      </w:r>
    </w:p>
    <w:p w14:paraId="27026160" w14:textId="77777777" w:rsidR="00295439" w:rsidRPr="00B21A41" w:rsidRDefault="00295439" w:rsidP="00C119F2">
      <w:pPr>
        <w:pStyle w:val="NormalNonumber"/>
        <w:tabs>
          <w:tab w:val="clear" w:pos="624"/>
          <w:tab w:val="clear" w:pos="1247"/>
          <w:tab w:val="clear" w:pos="1871"/>
          <w:tab w:val="clear" w:pos="2495"/>
          <w:tab w:val="clear" w:pos="3119"/>
          <w:tab w:val="clear" w:pos="3742"/>
          <w:tab w:val="clear" w:pos="4366"/>
          <w:tab w:val="clear" w:pos="4990"/>
        </w:tabs>
        <w:ind w:left="1843" w:hanging="284"/>
        <w:rPr>
          <w:color w:val="000000" w:themeColor="text1"/>
          <w:lang w:val="ru-RU"/>
        </w:rPr>
      </w:pPr>
      <w:r w:rsidRPr="00D245AD">
        <w:rPr>
          <w:color w:val="000000" w:themeColor="text1"/>
          <w:lang w:val="ru-RU"/>
        </w:rPr>
        <w:t>•</w:t>
      </w:r>
      <w:r>
        <w:rPr>
          <w:lang w:val="ru-RU"/>
        </w:rPr>
        <w:tab/>
        <w:t xml:space="preserve">Представленные Сторонами в секретариат по озону данные о производстве и импорте регулируемых веществ, используемых в качестве исходного сырья, за годы до 2024 года включительно были предоставлены КТВМХ. </w:t>
      </w:r>
    </w:p>
    <w:p w14:paraId="215E61F7" w14:textId="77777777" w:rsidR="00295439" w:rsidRPr="00B21A41" w:rsidRDefault="00295439" w:rsidP="00C119F2">
      <w:pPr>
        <w:pStyle w:val="NormalNonumber"/>
        <w:tabs>
          <w:tab w:val="clear" w:pos="624"/>
          <w:tab w:val="clear" w:pos="1247"/>
          <w:tab w:val="clear" w:pos="1871"/>
          <w:tab w:val="clear" w:pos="2495"/>
          <w:tab w:val="clear" w:pos="3119"/>
          <w:tab w:val="clear" w:pos="3742"/>
          <w:tab w:val="clear" w:pos="4366"/>
          <w:tab w:val="clear" w:pos="4990"/>
        </w:tabs>
        <w:ind w:left="1843" w:hanging="283"/>
        <w:rPr>
          <w:color w:val="000000" w:themeColor="text1"/>
          <w:lang w:val="ru-RU"/>
        </w:rPr>
      </w:pPr>
      <w:r w:rsidRPr="00D245AD">
        <w:rPr>
          <w:color w:val="000000" w:themeColor="text1"/>
          <w:lang w:val="ru-RU"/>
        </w:rPr>
        <w:t>•</w:t>
      </w:r>
      <w:r>
        <w:rPr>
          <w:lang w:val="ru-RU"/>
        </w:rPr>
        <w:tab/>
        <w:t xml:space="preserve">В 2024 году общий объем производства и импорта озоноразрушающих веществ (ОРВ) (включая технологические агенты) для использования в качестве исходного сырья, составил 1 947 949 тонн, что несколько ниже показателя 2023 года (1 965 768 тонн). ГХФУ-22 занимает первое место по объемам использования в качестве исходного сырья со значительным отрывом: в 2024 году его объем составил 990 395 тонн, что превышает пересмотренный показатель за 2023 год (978 084 тонн). </w:t>
      </w:r>
    </w:p>
    <w:p w14:paraId="3CE0FC26" w14:textId="77777777" w:rsidR="00295439" w:rsidRPr="00B21A41" w:rsidRDefault="00295439" w:rsidP="00C119F2">
      <w:pPr>
        <w:pStyle w:val="NormalNonumber"/>
        <w:tabs>
          <w:tab w:val="clear" w:pos="624"/>
          <w:tab w:val="clear" w:pos="1247"/>
          <w:tab w:val="clear" w:pos="1871"/>
          <w:tab w:val="clear" w:pos="2495"/>
          <w:tab w:val="clear" w:pos="3119"/>
          <w:tab w:val="clear" w:pos="3742"/>
          <w:tab w:val="clear" w:pos="4366"/>
          <w:tab w:val="clear" w:pos="4990"/>
        </w:tabs>
        <w:ind w:left="1843" w:hanging="283"/>
        <w:rPr>
          <w:color w:val="000000" w:themeColor="text1"/>
          <w:lang w:val="ru-RU"/>
        </w:rPr>
      </w:pPr>
      <w:r w:rsidRPr="00D245AD">
        <w:rPr>
          <w:color w:val="000000" w:themeColor="text1"/>
          <w:lang w:val="ru-RU"/>
        </w:rPr>
        <w:t>•</w:t>
      </w:r>
      <w:r>
        <w:rPr>
          <w:lang w:val="ru-RU"/>
        </w:rPr>
        <w:tab/>
        <w:t>Согласно представленной информации, объем производства ГФУ для использования в качестве исходного сырья составил 183 539 тонн в 2023 году и 211 326 тонн в 2024 году. Рост производства ГФУ для использования в качестве исходного сырья в 2024 году связан главным образом с ГФУ-152а, при этом, согласно представленной информации, объемы производства ГФУ-236ea также выросли, и в 2024 году этот показатель перешел в диапазон 1000–10 000 тонн.</w:t>
      </w:r>
    </w:p>
    <w:p w14:paraId="1E361938" w14:textId="1440FB16" w:rsidR="00295439" w:rsidRPr="00C119F2" w:rsidRDefault="00295439" w:rsidP="00C119F2">
      <w:pPr>
        <w:pStyle w:val="CH3"/>
        <w:keepNext w:val="0"/>
        <w:keepLines w:val="0"/>
        <w:tabs>
          <w:tab w:val="clear" w:pos="851"/>
          <w:tab w:val="clear" w:pos="1247"/>
          <w:tab w:val="clear" w:pos="1871"/>
          <w:tab w:val="clear" w:pos="2495"/>
          <w:tab w:val="clear" w:pos="3119"/>
          <w:tab w:val="clear" w:pos="3742"/>
          <w:tab w:val="clear" w:pos="4366"/>
          <w:tab w:val="clear" w:pos="4990"/>
        </w:tabs>
        <w:spacing w:before="0"/>
        <w:ind w:right="567" w:firstLine="0"/>
        <w:rPr>
          <w:i/>
          <w:iCs/>
          <w:sz w:val="24"/>
          <w:szCs w:val="24"/>
          <w:lang w:val="ru-RU"/>
        </w:rPr>
      </w:pPr>
      <w:r>
        <w:rPr>
          <w:lang w:val="ru-RU"/>
        </w:rPr>
        <w:tab/>
      </w:r>
      <w:r w:rsidRPr="00C119F2">
        <w:rPr>
          <w:i/>
          <w:iCs/>
          <w:sz w:val="24"/>
          <w:szCs w:val="24"/>
          <w:lang w:val="ru-RU"/>
        </w:rPr>
        <w:t>Комитет по техническим вариантам замены холодильного оборудования, систем кондиционирования воздуха и тепловых насосов (КТВХ)</w:t>
      </w:r>
    </w:p>
    <w:p w14:paraId="1C7243E6" w14:textId="77777777" w:rsidR="00295439" w:rsidRPr="00B21A41" w:rsidRDefault="00295439" w:rsidP="00400CC6">
      <w:pPr>
        <w:pStyle w:val="NormalNonumber"/>
        <w:tabs>
          <w:tab w:val="clear" w:pos="624"/>
          <w:tab w:val="clear" w:pos="1247"/>
          <w:tab w:val="clear" w:pos="1871"/>
          <w:tab w:val="clear" w:pos="2495"/>
          <w:tab w:val="clear" w:pos="3119"/>
          <w:tab w:val="clear" w:pos="3742"/>
          <w:tab w:val="clear" w:pos="4366"/>
          <w:tab w:val="clear" w:pos="4990"/>
        </w:tabs>
        <w:rPr>
          <w:color w:val="000000" w:themeColor="text1"/>
          <w:lang w:val="ru-RU"/>
        </w:rPr>
      </w:pPr>
      <w:r>
        <w:rPr>
          <w:lang w:val="ru-RU"/>
        </w:rPr>
        <w:t>Доклад о ходе работы КТВХ содержится в главе 6 настоящего доклада и включает следующие обновленные сведения:</w:t>
      </w:r>
    </w:p>
    <w:p w14:paraId="66A39E20" w14:textId="77777777" w:rsidR="00295439" w:rsidRPr="00311EEC" w:rsidRDefault="00295439" w:rsidP="00400CC6">
      <w:pPr>
        <w:pStyle w:val="NormalNonumber"/>
        <w:tabs>
          <w:tab w:val="clear" w:pos="624"/>
          <w:tab w:val="clear" w:pos="1247"/>
          <w:tab w:val="clear" w:pos="1871"/>
          <w:tab w:val="clear" w:pos="2495"/>
          <w:tab w:val="clear" w:pos="3119"/>
          <w:tab w:val="clear" w:pos="3742"/>
          <w:tab w:val="clear" w:pos="4366"/>
          <w:tab w:val="clear" w:pos="4990"/>
        </w:tabs>
        <w:ind w:left="1843" w:hanging="283"/>
        <w:rPr>
          <w:lang w:val="ru-RU"/>
        </w:rPr>
      </w:pPr>
      <w:r w:rsidRPr="00D245AD">
        <w:rPr>
          <w:color w:val="000000" w:themeColor="text1"/>
          <w:lang w:val="ru-RU"/>
        </w:rPr>
        <w:t>•</w:t>
      </w:r>
      <w:r>
        <w:rPr>
          <w:lang w:val="ru-RU"/>
        </w:rPr>
        <w:tab/>
        <w:t xml:space="preserve">Растущий мировой спрос на системы охлаждения, кондиционирования воздуха и тепловые насосы (ХОКВТН) создает двойную климатическую проблему, которая непосредственно </w:t>
      </w:r>
      <w:r w:rsidRPr="00311EEC">
        <w:rPr>
          <w:lang w:val="ru-RU"/>
        </w:rPr>
        <w:t>связана с утечками хладагентов и косвенно – с потреблением электроэнергии, что требует проведения комплексных оценок жизненного цикла.</w:t>
      </w:r>
    </w:p>
    <w:p w14:paraId="2DF62E15" w14:textId="77777777" w:rsidR="00295439" w:rsidRPr="00B21A41" w:rsidRDefault="00295439" w:rsidP="00400CC6">
      <w:pPr>
        <w:pStyle w:val="NormalNonumber"/>
        <w:tabs>
          <w:tab w:val="clear" w:pos="624"/>
          <w:tab w:val="clear" w:pos="1247"/>
          <w:tab w:val="clear" w:pos="1871"/>
          <w:tab w:val="clear" w:pos="2495"/>
          <w:tab w:val="clear" w:pos="3119"/>
          <w:tab w:val="clear" w:pos="3742"/>
          <w:tab w:val="clear" w:pos="4366"/>
          <w:tab w:val="clear" w:pos="4990"/>
        </w:tabs>
        <w:ind w:left="1843" w:hanging="283"/>
        <w:rPr>
          <w:color w:val="000000" w:themeColor="text1"/>
          <w:lang w:val="ru-RU"/>
        </w:rPr>
      </w:pPr>
      <w:r w:rsidRPr="00311EEC">
        <w:rPr>
          <w:lang w:val="ru-RU"/>
        </w:rPr>
        <w:t>•</w:t>
      </w:r>
      <w:r w:rsidRPr="00311EEC">
        <w:rPr>
          <w:lang w:val="ru-RU"/>
        </w:rPr>
        <w:tab/>
        <w:t xml:space="preserve">Снижение нагрузок на системы охлаждения и отопления с помощью пассивных мер, таких как теплоизоляция и затенение, является наиболее важным первым шагом, </w:t>
      </w:r>
      <w:r>
        <w:rPr>
          <w:lang w:val="ru-RU"/>
        </w:rPr>
        <w:lastRenderedPageBreak/>
        <w:t>позволяющим сократить потребность в охлаждении и потребление энергии примерно на 30 процентов.</w:t>
      </w:r>
    </w:p>
    <w:p w14:paraId="5852AA27" w14:textId="77777777" w:rsidR="00295439" w:rsidRPr="00B21A41" w:rsidRDefault="00295439" w:rsidP="00400CC6">
      <w:pPr>
        <w:pStyle w:val="NormalNonumber"/>
        <w:tabs>
          <w:tab w:val="clear" w:pos="624"/>
          <w:tab w:val="clear" w:pos="1247"/>
          <w:tab w:val="clear" w:pos="1871"/>
          <w:tab w:val="clear" w:pos="2495"/>
          <w:tab w:val="clear" w:pos="3119"/>
          <w:tab w:val="clear" w:pos="3742"/>
          <w:tab w:val="clear" w:pos="4366"/>
          <w:tab w:val="clear" w:pos="4990"/>
        </w:tabs>
        <w:ind w:left="1843" w:hanging="283"/>
        <w:rPr>
          <w:color w:val="000000" w:themeColor="text1"/>
          <w:lang w:val="ru-RU"/>
        </w:rPr>
      </w:pPr>
      <w:r w:rsidRPr="00D245AD">
        <w:rPr>
          <w:color w:val="000000" w:themeColor="text1"/>
          <w:lang w:val="ru-RU"/>
        </w:rPr>
        <w:t>•</w:t>
      </w:r>
      <w:r>
        <w:rPr>
          <w:lang w:val="ru-RU"/>
        </w:rPr>
        <w:tab/>
        <w:t>Не существует одного «идеального» хладагента; при выборе необходимо учитывать совокупность факторов, таких как правовые аспекты, безопасность, экологические требования, пригодность, стоимость, эффективность и удобство использования, при этом все большее внимание уделяется оценке рисков на протяжении всего жизненного цикла.</w:t>
      </w:r>
    </w:p>
    <w:p w14:paraId="765681CA" w14:textId="77777777" w:rsidR="00295439" w:rsidRPr="00B21A41" w:rsidRDefault="00295439" w:rsidP="00400CC6">
      <w:pPr>
        <w:pStyle w:val="NormalNonumber"/>
        <w:tabs>
          <w:tab w:val="clear" w:pos="624"/>
          <w:tab w:val="clear" w:pos="1247"/>
          <w:tab w:val="clear" w:pos="1871"/>
          <w:tab w:val="clear" w:pos="2495"/>
          <w:tab w:val="clear" w:pos="3119"/>
          <w:tab w:val="clear" w:pos="3742"/>
          <w:tab w:val="clear" w:pos="4366"/>
          <w:tab w:val="clear" w:pos="4990"/>
        </w:tabs>
        <w:ind w:left="1843" w:hanging="283"/>
        <w:rPr>
          <w:color w:val="000000" w:themeColor="text1"/>
          <w:lang w:val="ru-RU"/>
        </w:rPr>
      </w:pPr>
      <w:r w:rsidRPr="00D245AD">
        <w:rPr>
          <w:color w:val="000000" w:themeColor="text1"/>
          <w:lang w:val="ru-RU"/>
        </w:rPr>
        <w:t>•</w:t>
      </w:r>
      <w:r>
        <w:rPr>
          <w:lang w:val="ru-RU"/>
        </w:rPr>
        <w:tab/>
        <w:t>Внедрение системы управления хладагентами на протяжении всего жизненного цикла может вдвое сократить прогнозируемый объем выбросов к 2050 году, однако этому препятствуют растущий дефицит квалифицированных кадров и настоятельная потребность в создании потенциала и подготовке специалистов, способных работать с хладагентами с более низким ПГП и горючими хладагентами.</w:t>
      </w:r>
    </w:p>
    <w:p w14:paraId="6FBE2A9A" w14:textId="77777777" w:rsidR="00295439" w:rsidRPr="00B21A41" w:rsidRDefault="00295439" w:rsidP="00400CC6">
      <w:pPr>
        <w:pStyle w:val="NormalNonumber"/>
        <w:tabs>
          <w:tab w:val="clear" w:pos="624"/>
          <w:tab w:val="clear" w:pos="1247"/>
          <w:tab w:val="clear" w:pos="1871"/>
          <w:tab w:val="clear" w:pos="2495"/>
          <w:tab w:val="clear" w:pos="3119"/>
          <w:tab w:val="clear" w:pos="3742"/>
          <w:tab w:val="clear" w:pos="4366"/>
          <w:tab w:val="clear" w:pos="4990"/>
        </w:tabs>
        <w:ind w:left="1843" w:hanging="283"/>
        <w:rPr>
          <w:color w:val="000000" w:themeColor="text1"/>
          <w:lang w:val="ru-RU"/>
        </w:rPr>
      </w:pPr>
      <w:r w:rsidRPr="00D245AD">
        <w:rPr>
          <w:color w:val="000000" w:themeColor="text1"/>
          <w:lang w:val="ru-RU"/>
        </w:rPr>
        <w:t>•</w:t>
      </w:r>
      <w:r>
        <w:rPr>
          <w:lang w:val="ru-RU"/>
        </w:rPr>
        <w:tab/>
        <w:t>Укрепление национальных систем сбора данных, касающихся ХОКВТН, имеет решающее значение для повышения точности моделирования запасов, потребления и выбросов в сфере ХОКВТН, а также для разработки основанных на фактических данных стратегий для предотвращения выбросов.</w:t>
      </w:r>
    </w:p>
    <w:p w14:paraId="6D753879" w14:textId="77777777" w:rsidR="00295439" w:rsidRPr="00B21A41" w:rsidRDefault="00295439" w:rsidP="00400CC6">
      <w:pPr>
        <w:pStyle w:val="NormalNonumber"/>
        <w:tabs>
          <w:tab w:val="clear" w:pos="624"/>
          <w:tab w:val="clear" w:pos="1247"/>
          <w:tab w:val="clear" w:pos="1871"/>
          <w:tab w:val="clear" w:pos="2495"/>
          <w:tab w:val="clear" w:pos="3119"/>
          <w:tab w:val="clear" w:pos="3742"/>
          <w:tab w:val="clear" w:pos="4366"/>
          <w:tab w:val="clear" w:pos="4990"/>
        </w:tabs>
        <w:ind w:left="1843" w:hanging="283"/>
        <w:rPr>
          <w:color w:val="000000" w:themeColor="text1"/>
          <w:lang w:val="ru-RU"/>
        </w:rPr>
      </w:pPr>
      <w:r w:rsidRPr="00D245AD">
        <w:rPr>
          <w:color w:val="000000" w:themeColor="text1"/>
          <w:lang w:val="ru-RU"/>
        </w:rPr>
        <w:t>•</w:t>
      </w:r>
      <w:r>
        <w:rPr>
          <w:lang w:val="ru-RU"/>
        </w:rPr>
        <w:tab/>
        <w:t>В сфере коммерческого холодильного оборудования наблюдается заметный переход от R-404A к R-744 (CO₂) как ведущему устойчивому решению, особенно в странах с более низкой температурой окружающей среды, таких как страны Европы. В других регионах наряду с R-744 и R-290 в системах с небольшим объемом заправки внедряются хладагенты класса A2L с более низким показателем ПГП.</w:t>
      </w:r>
    </w:p>
    <w:p w14:paraId="450474C4" w14:textId="77777777" w:rsidR="00295439" w:rsidRPr="00B21A41" w:rsidRDefault="00295439" w:rsidP="00400CC6">
      <w:pPr>
        <w:pStyle w:val="NormalNonumber"/>
        <w:tabs>
          <w:tab w:val="clear" w:pos="624"/>
          <w:tab w:val="clear" w:pos="1247"/>
          <w:tab w:val="clear" w:pos="1871"/>
          <w:tab w:val="clear" w:pos="2495"/>
          <w:tab w:val="clear" w:pos="3119"/>
          <w:tab w:val="clear" w:pos="3742"/>
          <w:tab w:val="clear" w:pos="4366"/>
          <w:tab w:val="clear" w:pos="4990"/>
        </w:tabs>
        <w:ind w:left="1843" w:hanging="283"/>
        <w:rPr>
          <w:color w:val="000000" w:themeColor="text1"/>
          <w:lang w:val="ru-RU"/>
        </w:rPr>
      </w:pPr>
      <w:r w:rsidRPr="00D245AD">
        <w:rPr>
          <w:color w:val="000000" w:themeColor="text1"/>
          <w:lang w:val="ru-RU"/>
        </w:rPr>
        <w:t>•</w:t>
      </w:r>
      <w:r>
        <w:rPr>
          <w:lang w:val="ru-RU"/>
        </w:rPr>
        <w:tab/>
        <w:t>В промышленном холодильном оборудовании R-717 (аммиак) и R-744 (CO₂) являются предпочтительными хладагентами с более низким ПГП и, по прогнозам, будут применяться все шире, тогда как в секторе транспортного холодильного оборудования переход идет медленнее из-за соображений безопасности, состояния инфраструктуры и длительного жизненного цикла оборудования.</w:t>
      </w:r>
    </w:p>
    <w:p w14:paraId="570051F4" w14:textId="60E7342D" w:rsidR="00295439" w:rsidRPr="00B21A41" w:rsidRDefault="00295439" w:rsidP="00400CC6">
      <w:pPr>
        <w:pStyle w:val="NormalNonumber"/>
        <w:tabs>
          <w:tab w:val="clear" w:pos="624"/>
          <w:tab w:val="clear" w:pos="1247"/>
          <w:tab w:val="clear" w:pos="1871"/>
          <w:tab w:val="clear" w:pos="2495"/>
          <w:tab w:val="clear" w:pos="3119"/>
          <w:tab w:val="clear" w:pos="3742"/>
          <w:tab w:val="clear" w:pos="4366"/>
          <w:tab w:val="clear" w:pos="4990"/>
        </w:tabs>
        <w:ind w:left="1843" w:hanging="283"/>
        <w:rPr>
          <w:color w:val="000000" w:themeColor="text1"/>
          <w:lang w:val="ru-RU"/>
        </w:rPr>
      </w:pPr>
      <w:r w:rsidRPr="00D245AD">
        <w:rPr>
          <w:color w:val="000000" w:themeColor="text1"/>
          <w:lang w:val="ru-RU"/>
        </w:rPr>
        <w:t>•</w:t>
      </w:r>
      <w:r>
        <w:rPr>
          <w:lang w:val="ru-RU"/>
        </w:rPr>
        <w:tab/>
        <w:t>Снижение энергопотребления остается ключевым приоритетом в области кондиционирования воздуха для нужд комфорта, при этом во всем мире наблюдается тенденция к переходу на компрессоры инверторного типа (для регулирования производительности), хотя эта технология по-прежнему недостаточно широко представлена у многих Сторон, действующих в рамках статьи 5, и у некоторых Сторон, не действующих в рамках статьи 5.</w:t>
      </w:r>
    </w:p>
    <w:p w14:paraId="4254D3CF" w14:textId="77777777" w:rsidR="00295439" w:rsidRPr="00B21A41" w:rsidRDefault="00295439" w:rsidP="00400CC6">
      <w:pPr>
        <w:pStyle w:val="NormalNonumber"/>
        <w:tabs>
          <w:tab w:val="clear" w:pos="624"/>
          <w:tab w:val="clear" w:pos="1247"/>
          <w:tab w:val="clear" w:pos="1871"/>
          <w:tab w:val="clear" w:pos="2495"/>
          <w:tab w:val="clear" w:pos="3119"/>
          <w:tab w:val="clear" w:pos="3742"/>
          <w:tab w:val="clear" w:pos="4366"/>
          <w:tab w:val="clear" w:pos="4990"/>
        </w:tabs>
        <w:ind w:left="1843" w:hanging="283"/>
        <w:rPr>
          <w:color w:val="000000" w:themeColor="text1"/>
          <w:lang w:val="ru-RU"/>
        </w:rPr>
      </w:pPr>
      <w:r w:rsidRPr="00D245AD">
        <w:rPr>
          <w:color w:val="000000" w:themeColor="text1"/>
          <w:lang w:val="ru-RU"/>
        </w:rPr>
        <w:t>•</w:t>
      </w:r>
      <w:r>
        <w:rPr>
          <w:lang w:val="ru-RU"/>
        </w:rPr>
        <w:tab/>
        <w:t>Интегрированные системы комбинированного теплоснабжения и охлаждения способны повысить общую энергоэффективность на 30–50 процентов и значительно сократить выбросы в эквиваленте CO₂ за счет отказа от отопления с использованием ископаемого топлива.</w:t>
      </w:r>
    </w:p>
    <w:p w14:paraId="4B4E81B1" w14:textId="77777777" w:rsidR="00295439" w:rsidRPr="00B21A41" w:rsidRDefault="00295439" w:rsidP="00400CC6">
      <w:pPr>
        <w:pStyle w:val="NormalNonumber"/>
        <w:tabs>
          <w:tab w:val="clear" w:pos="624"/>
          <w:tab w:val="clear" w:pos="1247"/>
          <w:tab w:val="clear" w:pos="1871"/>
          <w:tab w:val="clear" w:pos="2495"/>
          <w:tab w:val="clear" w:pos="3119"/>
          <w:tab w:val="clear" w:pos="3742"/>
          <w:tab w:val="clear" w:pos="4366"/>
          <w:tab w:val="clear" w:pos="4990"/>
        </w:tabs>
        <w:ind w:left="1843" w:hanging="283"/>
        <w:rPr>
          <w:color w:val="000000" w:themeColor="text1"/>
          <w:lang w:val="ru-RU"/>
        </w:rPr>
      </w:pPr>
      <w:r w:rsidRPr="00D245AD">
        <w:rPr>
          <w:color w:val="000000" w:themeColor="text1"/>
          <w:lang w:val="ru-RU"/>
        </w:rPr>
        <w:t>•</w:t>
      </w:r>
      <w:r>
        <w:rPr>
          <w:lang w:val="ru-RU"/>
        </w:rPr>
        <w:tab/>
        <w:t>За исключением абсорбционных и адсорбционных технологий, альтернативные технологии, не основанные на компрессии пара (принципиально иные технологии), в настоящее время не способны заменить механическую компрессию пара в системах кондиционирования воздуха для обеспечения охлаждения для нужд комфорта, при этом большинство из них находится в зачаточном состоянии или на стадии исследования и разработки. В настоящем разделе представлены основные выводы из докладов КТВ о ходе их работы.</w:t>
      </w:r>
    </w:p>
    <w:p w14:paraId="6DD35C81" w14:textId="543387BC" w:rsidR="00295439" w:rsidRDefault="00295439">
      <w:pPr>
        <w:rPr>
          <w:sz w:val="20"/>
          <w:szCs w:val="20"/>
          <w:lang w:val="ru-RU"/>
        </w:rPr>
      </w:pPr>
      <w:r>
        <w:rPr>
          <w:sz w:val="20"/>
          <w:szCs w:val="20"/>
          <w:lang w:val="ru-RU"/>
        </w:rPr>
        <w:br w:type="page"/>
      </w:r>
    </w:p>
    <w:p w14:paraId="7DAC0BED" w14:textId="77777777" w:rsidR="00295439" w:rsidRPr="00B21A41" w:rsidRDefault="00295439" w:rsidP="00400CC6">
      <w:pPr>
        <w:pStyle w:val="ZZAnxheader"/>
        <w:tabs>
          <w:tab w:val="clear" w:pos="624"/>
          <w:tab w:val="clear" w:pos="1247"/>
          <w:tab w:val="clear" w:pos="1871"/>
          <w:tab w:val="clear" w:pos="2495"/>
          <w:tab w:val="clear" w:pos="3119"/>
          <w:tab w:val="clear" w:pos="3742"/>
          <w:tab w:val="clear" w:pos="4366"/>
          <w:tab w:val="clear" w:pos="4990"/>
        </w:tabs>
        <w:spacing w:after="240"/>
        <w:rPr>
          <w:lang w:val="ru-RU"/>
        </w:rPr>
      </w:pPr>
      <w:r>
        <w:rPr>
          <w:lang w:val="ru-RU"/>
        </w:rPr>
        <w:lastRenderedPageBreak/>
        <w:t>Приложение III</w:t>
      </w:r>
      <w:r w:rsidRPr="00D245AD">
        <w:rPr>
          <w:b w:val="0"/>
          <w:bCs w:val="0"/>
          <w:lang w:val="ru-RU"/>
        </w:rPr>
        <w:footnoteReference w:customMarkFollows="1" w:id="19"/>
        <w:t>*</w:t>
      </w:r>
    </w:p>
    <w:p w14:paraId="4C527AC2" w14:textId="77777777" w:rsidR="00295439" w:rsidRPr="00B21A41" w:rsidRDefault="00295439" w:rsidP="00400CC6">
      <w:pPr>
        <w:pStyle w:val="ZZAnxtitle"/>
        <w:tabs>
          <w:tab w:val="clear" w:pos="624"/>
          <w:tab w:val="clear" w:pos="1247"/>
          <w:tab w:val="clear" w:pos="1871"/>
          <w:tab w:val="clear" w:pos="2495"/>
          <w:tab w:val="clear" w:pos="3119"/>
          <w:tab w:val="clear" w:pos="3742"/>
          <w:tab w:val="clear" w:pos="4366"/>
          <w:tab w:val="clear" w:pos="4990"/>
        </w:tabs>
        <w:spacing w:before="0"/>
        <w:ind w:right="567"/>
        <w:rPr>
          <w:lang w:val="ru-RU"/>
        </w:rPr>
      </w:pPr>
      <w:r>
        <w:rPr>
          <w:lang w:val="ru-RU"/>
        </w:rPr>
        <w:t>Члены комитетов по техническим вариантам замены Группы по техническому обзору и экономической оценке, срок членства которых истекает в конце 2026 года и для повторного назначения которых не требуется решение Совещания Сторон</w:t>
      </w:r>
    </w:p>
    <w:tbl>
      <w:tblPr>
        <w:tblW w:w="8307" w:type="dxa"/>
        <w:jc w:val="right"/>
        <w:tblLayout w:type="fixed"/>
        <w:tblLook w:val="04A0" w:firstRow="1" w:lastRow="0" w:firstColumn="1" w:lastColumn="0" w:noHBand="0" w:noVBand="1"/>
      </w:tblPr>
      <w:tblGrid>
        <w:gridCol w:w="3024"/>
        <w:gridCol w:w="2488"/>
        <w:gridCol w:w="2795"/>
      </w:tblGrid>
      <w:tr w:rsidR="00295439" w:rsidRPr="00400CC6" w14:paraId="7A51E3B2" w14:textId="77777777" w:rsidTr="005B6360">
        <w:trPr>
          <w:trHeight w:val="57"/>
          <w:tblHeader/>
          <w:jc w:val="right"/>
        </w:trPr>
        <w:tc>
          <w:tcPr>
            <w:tcW w:w="3024" w:type="dxa"/>
            <w:tcBorders>
              <w:top w:val="single" w:sz="4" w:space="0" w:color="auto"/>
              <w:left w:val="nil"/>
              <w:bottom w:val="single" w:sz="12" w:space="0" w:color="auto"/>
              <w:right w:val="nil"/>
            </w:tcBorders>
            <w:vAlign w:val="bottom"/>
            <w:hideMark/>
          </w:tcPr>
          <w:p w14:paraId="133C4177"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i/>
                <w:szCs w:val="18"/>
              </w:rPr>
            </w:pPr>
            <w:r w:rsidRPr="00400CC6">
              <w:rPr>
                <w:i/>
                <w:iCs/>
                <w:color w:val="000000"/>
                <w:szCs w:val="18"/>
                <w:lang w:val="ru-RU"/>
              </w:rPr>
              <w:t>Имя, фамилия</w:t>
            </w:r>
          </w:p>
        </w:tc>
        <w:tc>
          <w:tcPr>
            <w:tcW w:w="2488" w:type="dxa"/>
            <w:tcBorders>
              <w:top w:val="single" w:sz="4" w:space="0" w:color="auto"/>
              <w:left w:val="nil"/>
              <w:bottom w:val="single" w:sz="12" w:space="0" w:color="auto"/>
              <w:right w:val="nil"/>
            </w:tcBorders>
            <w:vAlign w:val="bottom"/>
            <w:hideMark/>
          </w:tcPr>
          <w:p w14:paraId="09A835AB"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i/>
                <w:szCs w:val="18"/>
              </w:rPr>
            </w:pPr>
            <w:r w:rsidRPr="00400CC6">
              <w:rPr>
                <w:i/>
                <w:iCs/>
                <w:color w:val="000000"/>
                <w:szCs w:val="18"/>
                <w:lang w:val="ru-RU"/>
              </w:rPr>
              <w:t>Должность</w:t>
            </w:r>
          </w:p>
        </w:tc>
        <w:tc>
          <w:tcPr>
            <w:tcW w:w="2795" w:type="dxa"/>
            <w:tcBorders>
              <w:top w:val="single" w:sz="4" w:space="0" w:color="auto"/>
              <w:left w:val="nil"/>
              <w:bottom w:val="single" w:sz="12" w:space="0" w:color="auto"/>
              <w:right w:val="nil"/>
            </w:tcBorders>
            <w:vAlign w:val="bottom"/>
            <w:hideMark/>
          </w:tcPr>
          <w:p w14:paraId="151FA6E2"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i/>
                <w:szCs w:val="18"/>
              </w:rPr>
            </w:pPr>
            <w:r w:rsidRPr="00400CC6">
              <w:rPr>
                <w:i/>
                <w:iCs/>
                <w:color w:val="000000"/>
                <w:szCs w:val="18"/>
                <w:lang w:val="ru-RU"/>
              </w:rPr>
              <w:t>Страна</w:t>
            </w:r>
          </w:p>
        </w:tc>
      </w:tr>
      <w:tr w:rsidR="00295439" w:rsidRPr="00C932A4" w14:paraId="36BA1C24" w14:textId="77777777" w:rsidTr="005B6360">
        <w:trPr>
          <w:trHeight w:val="57"/>
          <w:jc w:val="right"/>
        </w:trPr>
        <w:tc>
          <w:tcPr>
            <w:tcW w:w="8307" w:type="dxa"/>
            <w:gridSpan w:val="3"/>
            <w:tcBorders>
              <w:top w:val="single" w:sz="12" w:space="0" w:color="auto"/>
              <w:left w:val="nil"/>
              <w:bottom w:val="single" w:sz="4" w:space="0" w:color="auto"/>
              <w:right w:val="nil"/>
            </w:tcBorders>
            <w:hideMark/>
          </w:tcPr>
          <w:p w14:paraId="32991B53"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b/>
                <w:szCs w:val="18"/>
                <w:lang w:val="ru-RU"/>
              </w:rPr>
            </w:pPr>
            <w:r w:rsidRPr="00400CC6">
              <w:rPr>
                <w:b/>
                <w:bCs/>
                <w:color w:val="000000"/>
                <w:szCs w:val="18"/>
                <w:lang w:val="ru-RU"/>
              </w:rPr>
              <w:t>Члены комитетов по техническим вариантам замены</w:t>
            </w:r>
            <w:r w:rsidRPr="00400CC6">
              <w:rPr>
                <w:color w:val="000000"/>
                <w:szCs w:val="18"/>
                <w:lang w:val="ru-RU"/>
              </w:rPr>
              <w:t xml:space="preserve"> </w:t>
            </w:r>
          </w:p>
        </w:tc>
      </w:tr>
      <w:tr w:rsidR="00295439" w:rsidRPr="00400CC6" w14:paraId="33743D90" w14:textId="77777777" w:rsidTr="005B6360">
        <w:trPr>
          <w:trHeight w:val="57"/>
          <w:jc w:val="right"/>
        </w:trPr>
        <w:tc>
          <w:tcPr>
            <w:tcW w:w="3024" w:type="dxa"/>
          </w:tcPr>
          <w:p w14:paraId="1CD65484"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rPr>
            </w:pPr>
            <w:r w:rsidRPr="00400CC6">
              <w:rPr>
                <w:color w:val="000000"/>
                <w:szCs w:val="18"/>
                <w:lang w:val="ru-RU"/>
              </w:rPr>
              <w:t>Сесилия Джиротти</w:t>
            </w:r>
          </w:p>
        </w:tc>
        <w:tc>
          <w:tcPr>
            <w:tcW w:w="2488" w:type="dxa"/>
          </w:tcPr>
          <w:p w14:paraId="657511B6"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000000" w:themeColor="text1"/>
                <w:szCs w:val="18"/>
              </w:rPr>
            </w:pPr>
            <w:r w:rsidRPr="00400CC6">
              <w:rPr>
                <w:color w:val="000000"/>
                <w:szCs w:val="18"/>
                <w:lang w:val="ru-RU"/>
              </w:rPr>
              <w:t>Член КТВП</w:t>
            </w:r>
          </w:p>
        </w:tc>
        <w:tc>
          <w:tcPr>
            <w:tcW w:w="2795" w:type="dxa"/>
          </w:tcPr>
          <w:p w14:paraId="57355114"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rFonts w:eastAsia="MS Mincho"/>
                <w:color w:val="000000" w:themeColor="text1"/>
                <w:szCs w:val="18"/>
              </w:rPr>
            </w:pPr>
            <w:r w:rsidRPr="00400CC6">
              <w:rPr>
                <w:color w:val="000000"/>
                <w:szCs w:val="18"/>
                <w:lang w:val="ru-RU"/>
              </w:rPr>
              <w:t>Италия</w:t>
            </w:r>
          </w:p>
        </w:tc>
      </w:tr>
      <w:tr w:rsidR="00295439" w:rsidRPr="00400CC6" w14:paraId="4FB67FAD" w14:textId="77777777" w:rsidTr="005B6360">
        <w:trPr>
          <w:trHeight w:val="331"/>
          <w:jc w:val="right"/>
        </w:trPr>
        <w:tc>
          <w:tcPr>
            <w:tcW w:w="3024" w:type="dxa"/>
          </w:tcPr>
          <w:p w14:paraId="0D6A9A3A"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Саша Рульхофф</w:t>
            </w:r>
          </w:p>
        </w:tc>
        <w:tc>
          <w:tcPr>
            <w:tcW w:w="2488" w:type="dxa"/>
          </w:tcPr>
          <w:p w14:paraId="4DAB5F89"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000000" w:themeColor="text1"/>
                <w:szCs w:val="18"/>
              </w:rPr>
            </w:pPr>
            <w:r w:rsidRPr="00400CC6">
              <w:rPr>
                <w:color w:val="000000"/>
                <w:szCs w:val="18"/>
                <w:lang w:val="ru-RU"/>
              </w:rPr>
              <w:t>Член КТВП</w:t>
            </w:r>
          </w:p>
        </w:tc>
        <w:tc>
          <w:tcPr>
            <w:tcW w:w="2795" w:type="dxa"/>
          </w:tcPr>
          <w:p w14:paraId="427CFB03"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rFonts w:eastAsia="MS Mincho"/>
                <w:color w:val="000000" w:themeColor="text1"/>
                <w:szCs w:val="18"/>
              </w:rPr>
            </w:pPr>
            <w:r w:rsidRPr="00400CC6">
              <w:rPr>
                <w:color w:val="000000"/>
                <w:szCs w:val="18"/>
                <w:lang w:val="ru-RU"/>
              </w:rPr>
              <w:t>Германия</w:t>
            </w:r>
          </w:p>
        </w:tc>
      </w:tr>
      <w:tr w:rsidR="00295439" w:rsidRPr="00400CC6" w14:paraId="30564E74" w14:textId="77777777" w:rsidTr="005B6360">
        <w:trPr>
          <w:trHeight w:val="331"/>
          <w:jc w:val="right"/>
        </w:trPr>
        <w:tc>
          <w:tcPr>
            <w:tcW w:w="3024" w:type="dxa"/>
          </w:tcPr>
          <w:p w14:paraId="274CE4AB"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Эньшань Шэн</w:t>
            </w:r>
          </w:p>
        </w:tc>
        <w:tc>
          <w:tcPr>
            <w:tcW w:w="2488" w:type="dxa"/>
          </w:tcPr>
          <w:p w14:paraId="4BED3F46"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000000" w:themeColor="text1"/>
                <w:szCs w:val="18"/>
              </w:rPr>
            </w:pPr>
            <w:r w:rsidRPr="00400CC6">
              <w:rPr>
                <w:color w:val="000000"/>
                <w:szCs w:val="18"/>
                <w:lang w:val="ru-RU"/>
              </w:rPr>
              <w:t>Член КТВП</w:t>
            </w:r>
          </w:p>
        </w:tc>
        <w:tc>
          <w:tcPr>
            <w:tcW w:w="2795" w:type="dxa"/>
          </w:tcPr>
          <w:p w14:paraId="67A14163"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rFonts w:eastAsia="MS Mincho"/>
                <w:color w:val="000000" w:themeColor="text1"/>
                <w:szCs w:val="18"/>
              </w:rPr>
            </w:pPr>
            <w:r w:rsidRPr="00400CC6">
              <w:rPr>
                <w:color w:val="000000"/>
                <w:szCs w:val="18"/>
                <w:lang w:val="ru-RU"/>
              </w:rPr>
              <w:t>Сингапур</w:t>
            </w:r>
          </w:p>
        </w:tc>
      </w:tr>
      <w:tr w:rsidR="00295439" w:rsidRPr="00400CC6" w14:paraId="324546DE" w14:textId="77777777" w:rsidTr="005B6360">
        <w:trPr>
          <w:trHeight w:val="57"/>
          <w:jc w:val="right"/>
        </w:trPr>
        <w:tc>
          <w:tcPr>
            <w:tcW w:w="3024" w:type="dxa"/>
          </w:tcPr>
          <w:p w14:paraId="7A0C89A9"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rFonts w:eastAsia="Cambria"/>
                <w:color w:val="808080" w:themeColor="background1" w:themeShade="80"/>
                <w:szCs w:val="18"/>
              </w:rPr>
            </w:pPr>
          </w:p>
        </w:tc>
        <w:tc>
          <w:tcPr>
            <w:tcW w:w="2488" w:type="dxa"/>
          </w:tcPr>
          <w:p w14:paraId="4E0A0A36"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p>
        </w:tc>
        <w:tc>
          <w:tcPr>
            <w:tcW w:w="2795" w:type="dxa"/>
          </w:tcPr>
          <w:p w14:paraId="72369028"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p>
        </w:tc>
      </w:tr>
      <w:tr w:rsidR="00295439" w:rsidRPr="00400CC6" w14:paraId="31B784D8" w14:textId="77777777" w:rsidTr="005B6360">
        <w:trPr>
          <w:trHeight w:val="57"/>
          <w:jc w:val="right"/>
        </w:trPr>
        <w:tc>
          <w:tcPr>
            <w:tcW w:w="3024" w:type="dxa"/>
          </w:tcPr>
          <w:p w14:paraId="26BC81B3"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rFonts w:eastAsia="Cambria"/>
                <w:color w:val="808080" w:themeColor="background1" w:themeShade="80"/>
                <w:szCs w:val="18"/>
              </w:rPr>
            </w:pPr>
            <w:r w:rsidRPr="00400CC6">
              <w:rPr>
                <w:color w:val="000000"/>
                <w:szCs w:val="18"/>
                <w:lang w:val="ru-RU"/>
              </w:rPr>
              <w:t>Джамаль аль-Фузайи</w:t>
            </w:r>
          </w:p>
        </w:tc>
        <w:tc>
          <w:tcPr>
            <w:tcW w:w="2488" w:type="dxa"/>
          </w:tcPr>
          <w:p w14:paraId="28C87BB5"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000000" w:themeColor="text1"/>
                <w:szCs w:val="18"/>
              </w:rPr>
            </w:pPr>
            <w:r w:rsidRPr="00400CC6">
              <w:rPr>
                <w:color w:val="000000"/>
                <w:szCs w:val="18"/>
                <w:lang w:val="ru-RU"/>
              </w:rPr>
              <w:t>Член КТВПТ</w:t>
            </w:r>
          </w:p>
        </w:tc>
        <w:tc>
          <w:tcPr>
            <w:tcW w:w="2795" w:type="dxa"/>
          </w:tcPr>
          <w:p w14:paraId="2E3E93C4"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000000" w:themeColor="text1"/>
                <w:szCs w:val="18"/>
              </w:rPr>
            </w:pPr>
            <w:r w:rsidRPr="00400CC6">
              <w:rPr>
                <w:color w:val="000000"/>
                <w:szCs w:val="18"/>
                <w:lang w:val="ru-RU"/>
              </w:rPr>
              <w:t>Кувейт</w:t>
            </w:r>
          </w:p>
        </w:tc>
      </w:tr>
      <w:tr w:rsidR="00295439" w:rsidRPr="00400CC6" w14:paraId="417101BC" w14:textId="77777777" w:rsidTr="005B6360">
        <w:trPr>
          <w:trHeight w:val="57"/>
          <w:jc w:val="right"/>
        </w:trPr>
        <w:tc>
          <w:tcPr>
            <w:tcW w:w="3024" w:type="dxa"/>
          </w:tcPr>
          <w:p w14:paraId="6870269C"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rFonts w:eastAsia="Cambria"/>
                <w:color w:val="808080" w:themeColor="background1" w:themeShade="80"/>
                <w:szCs w:val="18"/>
              </w:rPr>
            </w:pPr>
            <w:r w:rsidRPr="00400CC6">
              <w:rPr>
                <w:color w:val="000000"/>
                <w:szCs w:val="18"/>
                <w:lang w:val="ru-RU"/>
              </w:rPr>
              <w:t>Мишель М. Коллинз</w:t>
            </w:r>
          </w:p>
        </w:tc>
        <w:tc>
          <w:tcPr>
            <w:tcW w:w="2488" w:type="dxa"/>
          </w:tcPr>
          <w:p w14:paraId="31862E33"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000000" w:themeColor="text1"/>
                <w:szCs w:val="18"/>
              </w:rPr>
            </w:pPr>
            <w:r w:rsidRPr="00400CC6">
              <w:rPr>
                <w:color w:val="000000"/>
                <w:szCs w:val="18"/>
                <w:lang w:val="ru-RU"/>
              </w:rPr>
              <w:t>Член КТВПТ</w:t>
            </w:r>
          </w:p>
        </w:tc>
        <w:tc>
          <w:tcPr>
            <w:tcW w:w="2795" w:type="dxa"/>
          </w:tcPr>
          <w:p w14:paraId="03A73A37"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000000" w:themeColor="text1"/>
                <w:szCs w:val="18"/>
              </w:rPr>
            </w:pPr>
            <w:r w:rsidRPr="00400CC6">
              <w:rPr>
                <w:color w:val="000000"/>
                <w:szCs w:val="18"/>
                <w:lang w:val="ru-RU"/>
              </w:rPr>
              <w:t>Соединенные Штаты Америки</w:t>
            </w:r>
          </w:p>
        </w:tc>
      </w:tr>
      <w:tr w:rsidR="00295439" w:rsidRPr="00400CC6" w14:paraId="0EA8DABC" w14:textId="77777777" w:rsidTr="005B6360">
        <w:trPr>
          <w:trHeight w:val="57"/>
          <w:jc w:val="right"/>
        </w:trPr>
        <w:tc>
          <w:tcPr>
            <w:tcW w:w="3024" w:type="dxa"/>
          </w:tcPr>
          <w:p w14:paraId="275C5427"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rFonts w:eastAsia="Cambria"/>
                <w:color w:val="808080" w:themeColor="background1" w:themeShade="80"/>
                <w:szCs w:val="18"/>
              </w:rPr>
            </w:pPr>
            <w:r w:rsidRPr="00400CC6">
              <w:rPr>
                <w:color w:val="000000"/>
                <w:szCs w:val="18"/>
                <w:lang w:val="ru-RU"/>
              </w:rPr>
              <w:t>Эмма Палумбо</w:t>
            </w:r>
          </w:p>
        </w:tc>
        <w:tc>
          <w:tcPr>
            <w:tcW w:w="2488" w:type="dxa"/>
          </w:tcPr>
          <w:p w14:paraId="1C152141"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КТВПТ</w:t>
            </w:r>
          </w:p>
        </w:tc>
        <w:tc>
          <w:tcPr>
            <w:tcW w:w="2795" w:type="dxa"/>
          </w:tcPr>
          <w:p w14:paraId="71A98038"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000000" w:themeColor="text1"/>
                <w:szCs w:val="18"/>
              </w:rPr>
            </w:pPr>
            <w:r w:rsidRPr="00400CC6">
              <w:rPr>
                <w:color w:val="000000"/>
                <w:szCs w:val="18"/>
                <w:lang w:val="ru-RU"/>
              </w:rPr>
              <w:t>Италия</w:t>
            </w:r>
          </w:p>
        </w:tc>
      </w:tr>
      <w:tr w:rsidR="00295439" w:rsidRPr="00400CC6" w14:paraId="1F62C366" w14:textId="77777777" w:rsidTr="005B6360">
        <w:trPr>
          <w:trHeight w:val="57"/>
          <w:jc w:val="right"/>
        </w:trPr>
        <w:tc>
          <w:tcPr>
            <w:tcW w:w="3024" w:type="dxa"/>
          </w:tcPr>
          <w:p w14:paraId="7EDC1178"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rPr>
            </w:pPr>
            <w:r w:rsidRPr="00400CC6">
              <w:rPr>
                <w:color w:val="000000"/>
                <w:szCs w:val="18"/>
                <w:lang w:val="ru-RU"/>
              </w:rPr>
              <w:t>Сяомэн Чжоу</w:t>
            </w:r>
          </w:p>
        </w:tc>
        <w:tc>
          <w:tcPr>
            <w:tcW w:w="2488" w:type="dxa"/>
          </w:tcPr>
          <w:p w14:paraId="5B972B1E"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КТВПТ</w:t>
            </w:r>
          </w:p>
        </w:tc>
        <w:tc>
          <w:tcPr>
            <w:tcW w:w="2795" w:type="dxa"/>
          </w:tcPr>
          <w:p w14:paraId="515E07EC"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000000" w:themeColor="text1"/>
                <w:szCs w:val="18"/>
              </w:rPr>
            </w:pPr>
            <w:r w:rsidRPr="00400CC6">
              <w:rPr>
                <w:color w:val="000000"/>
                <w:szCs w:val="18"/>
                <w:lang w:val="ru-RU"/>
              </w:rPr>
              <w:t>Китай</w:t>
            </w:r>
          </w:p>
        </w:tc>
      </w:tr>
      <w:tr w:rsidR="00295439" w:rsidRPr="00400CC6" w14:paraId="29078EC5" w14:textId="77777777" w:rsidTr="005B6360">
        <w:trPr>
          <w:trHeight w:val="57"/>
          <w:jc w:val="right"/>
        </w:trPr>
        <w:tc>
          <w:tcPr>
            <w:tcW w:w="3024" w:type="dxa"/>
          </w:tcPr>
          <w:p w14:paraId="2AEEF1A7"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rPr>
            </w:pPr>
          </w:p>
        </w:tc>
        <w:tc>
          <w:tcPr>
            <w:tcW w:w="2488" w:type="dxa"/>
          </w:tcPr>
          <w:p w14:paraId="2BB96617"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p>
        </w:tc>
        <w:tc>
          <w:tcPr>
            <w:tcW w:w="2795" w:type="dxa"/>
          </w:tcPr>
          <w:p w14:paraId="028E52B5"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p>
        </w:tc>
      </w:tr>
      <w:tr w:rsidR="00295439" w:rsidRPr="00400CC6" w14:paraId="3BDD073C" w14:textId="77777777" w:rsidTr="005B6360">
        <w:trPr>
          <w:trHeight w:val="57"/>
          <w:jc w:val="right"/>
        </w:trPr>
        <w:tc>
          <w:tcPr>
            <w:tcW w:w="3024" w:type="dxa"/>
            <w:hideMark/>
          </w:tcPr>
          <w:p w14:paraId="21FCEB12"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rFonts w:eastAsia="Cambria"/>
                <w:color w:val="808080" w:themeColor="background1" w:themeShade="80"/>
                <w:szCs w:val="18"/>
              </w:rPr>
            </w:pPr>
            <w:r w:rsidRPr="00400CC6">
              <w:rPr>
                <w:color w:val="000000"/>
                <w:szCs w:val="18"/>
                <w:lang w:val="ru-RU"/>
              </w:rPr>
              <w:t>Джонатан Бэнкс</w:t>
            </w:r>
          </w:p>
        </w:tc>
        <w:tc>
          <w:tcPr>
            <w:tcW w:w="2488" w:type="dxa"/>
            <w:hideMark/>
          </w:tcPr>
          <w:p w14:paraId="7ED2D14D"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000000" w:themeColor="text1"/>
                <w:szCs w:val="18"/>
              </w:rPr>
            </w:pPr>
            <w:r w:rsidRPr="00400CC6">
              <w:rPr>
                <w:color w:val="000000"/>
                <w:szCs w:val="18"/>
                <w:lang w:val="ru-RU"/>
              </w:rPr>
              <w:t>Член КТВБМ</w:t>
            </w:r>
          </w:p>
        </w:tc>
        <w:tc>
          <w:tcPr>
            <w:tcW w:w="2795" w:type="dxa"/>
            <w:hideMark/>
          </w:tcPr>
          <w:p w14:paraId="78B466EA"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000000" w:themeColor="text1"/>
                <w:szCs w:val="18"/>
              </w:rPr>
            </w:pPr>
            <w:r w:rsidRPr="00400CC6">
              <w:rPr>
                <w:color w:val="000000"/>
                <w:szCs w:val="18"/>
                <w:lang w:val="ru-RU"/>
              </w:rPr>
              <w:t>Австралия</w:t>
            </w:r>
          </w:p>
        </w:tc>
      </w:tr>
      <w:tr w:rsidR="00295439" w:rsidRPr="00400CC6" w14:paraId="43689DE8" w14:textId="77777777" w:rsidTr="005B6360">
        <w:trPr>
          <w:trHeight w:val="57"/>
          <w:jc w:val="right"/>
        </w:trPr>
        <w:tc>
          <w:tcPr>
            <w:tcW w:w="3024" w:type="dxa"/>
          </w:tcPr>
          <w:p w14:paraId="296B55C0"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rFonts w:eastAsia="Cambria"/>
                <w:color w:val="808080" w:themeColor="background1" w:themeShade="80"/>
                <w:szCs w:val="18"/>
              </w:rPr>
            </w:pPr>
            <w:r w:rsidRPr="00400CC6">
              <w:rPr>
                <w:color w:val="000000"/>
                <w:szCs w:val="18"/>
                <w:lang w:val="ru-RU"/>
              </w:rPr>
              <w:t>Аочэн Цао</w:t>
            </w:r>
          </w:p>
        </w:tc>
        <w:tc>
          <w:tcPr>
            <w:tcW w:w="2488" w:type="dxa"/>
          </w:tcPr>
          <w:p w14:paraId="15C56F22"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000000" w:themeColor="text1"/>
                <w:szCs w:val="18"/>
              </w:rPr>
            </w:pPr>
            <w:r w:rsidRPr="00400CC6">
              <w:rPr>
                <w:color w:val="000000"/>
                <w:szCs w:val="18"/>
                <w:lang w:val="ru-RU"/>
              </w:rPr>
              <w:t>Член КТВБМ</w:t>
            </w:r>
          </w:p>
        </w:tc>
        <w:tc>
          <w:tcPr>
            <w:tcW w:w="2795" w:type="dxa"/>
          </w:tcPr>
          <w:p w14:paraId="524530A9"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000000" w:themeColor="text1"/>
                <w:szCs w:val="18"/>
              </w:rPr>
            </w:pPr>
            <w:r w:rsidRPr="00400CC6">
              <w:rPr>
                <w:color w:val="000000"/>
                <w:szCs w:val="18"/>
                <w:lang w:val="ru-RU"/>
              </w:rPr>
              <w:t>Китай</w:t>
            </w:r>
          </w:p>
        </w:tc>
      </w:tr>
      <w:tr w:rsidR="00295439" w:rsidRPr="00400CC6" w14:paraId="61276300" w14:textId="77777777" w:rsidTr="005B6360">
        <w:trPr>
          <w:trHeight w:val="57"/>
          <w:jc w:val="right"/>
        </w:trPr>
        <w:tc>
          <w:tcPr>
            <w:tcW w:w="3024" w:type="dxa"/>
          </w:tcPr>
          <w:p w14:paraId="1F7EB74F"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Гийермо Кастейа</w:t>
            </w:r>
          </w:p>
        </w:tc>
        <w:tc>
          <w:tcPr>
            <w:tcW w:w="2488" w:type="dxa"/>
          </w:tcPr>
          <w:p w14:paraId="5B4B05FF"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000000" w:themeColor="text1"/>
                <w:szCs w:val="18"/>
              </w:rPr>
            </w:pPr>
            <w:r w:rsidRPr="00400CC6">
              <w:rPr>
                <w:color w:val="000000"/>
                <w:szCs w:val="18"/>
                <w:lang w:val="ru-RU"/>
              </w:rPr>
              <w:t>Член КТВБМ</w:t>
            </w:r>
          </w:p>
        </w:tc>
        <w:tc>
          <w:tcPr>
            <w:tcW w:w="2795" w:type="dxa"/>
          </w:tcPr>
          <w:p w14:paraId="6831FF98"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Уругвай</w:t>
            </w:r>
          </w:p>
        </w:tc>
      </w:tr>
      <w:tr w:rsidR="00295439" w:rsidRPr="00400CC6" w14:paraId="60A05B56" w14:textId="77777777" w:rsidTr="005B6360">
        <w:trPr>
          <w:trHeight w:val="57"/>
          <w:jc w:val="right"/>
        </w:trPr>
        <w:tc>
          <w:tcPr>
            <w:tcW w:w="3024" w:type="dxa"/>
          </w:tcPr>
          <w:p w14:paraId="3F0DEFB6"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rPr>
            </w:pPr>
            <w:r w:rsidRPr="00400CC6">
              <w:rPr>
                <w:color w:val="000000"/>
                <w:szCs w:val="18"/>
                <w:lang w:val="ru-RU"/>
              </w:rPr>
              <w:t>Кан Фэньфэнь</w:t>
            </w:r>
          </w:p>
        </w:tc>
        <w:tc>
          <w:tcPr>
            <w:tcW w:w="2488" w:type="dxa"/>
          </w:tcPr>
          <w:p w14:paraId="14B1E47F"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000000" w:themeColor="text1"/>
                <w:szCs w:val="18"/>
              </w:rPr>
            </w:pPr>
            <w:r w:rsidRPr="00400CC6">
              <w:rPr>
                <w:color w:val="000000"/>
                <w:szCs w:val="18"/>
                <w:lang w:val="ru-RU"/>
              </w:rPr>
              <w:t>Член КТВБМ</w:t>
            </w:r>
          </w:p>
        </w:tc>
        <w:tc>
          <w:tcPr>
            <w:tcW w:w="2795" w:type="dxa"/>
          </w:tcPr>
          <w:p w14:paraId="0797ABA4"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Китай</w:t>
            </w:r>
          </w:p>
        </w:tc>
      </w:tr>
      <w:tr w:rsidR="00295439" w:rsidRPr="00400CC6" w14:paraId="713F0B5D" w14:textId="77777777" w:rsidTr="005B6360">
        <w:trPr>
          <w:trHeight w:val="57"/>
          <w:jc w:val="right"/>
        </w:trPr>
        <w:tc>
          <w:tcPr>
            <w:tcW w:w="3024" w:type="dxa"/>
          </w:tcPr>
          <w:p w14:paraId="02DCEB41"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rPr>
            </w:pPr>
            <w:r w:rsidRPr="00400CC6">
              <w:rPr>
                <w:color w:val="000000"/>
                <w:szCs w:val="18"/>
                <w:lang w:val="ru-RU"/>
              </w:rPr>
              <w:t>Айзе Оздем</w:t>
            </w:r>
          </w:p>
        </w:tc>
        <w:tc>
          <w:tcPr>
            <w:tcW w:w="2488" w:type="dxa"/>
          </w:tcPr>
          <w:p w14:paraId="7039DD80"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000000" w:themeColor="text1"/>
                <w:szCs w:val="18"/>
              </w:rPr>
            </w:pPr>
            <w:r w:rsidRPr="00400CC6">
              <w:rPr>
                <w:color w:val="000000"/>
                <w:szCs w:val="18"/>
                <w:lang w:val="ru-RU"/>
              </w:rPr>
              <w:t>Член КТВБМ</w:t>
            </w:r>
          </w:p>
        </w:tc>
        <w:tc>
          <w:tcPr>
            <w:tcW w:w="2795" w:type="dxa"/>
          </w:tcPr>
          <w:p w14:paraId="76F35CE1"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Турция</w:t>
            </w:r>
          </w:p>
        </w:tc>
      </w:tr>
      <w:tr w:rsidR="00295439" w:rsidRPr="00400CC6" w14:paraId="7E756683" w14:textId="77777777" w:rsidTr="005B6360">
        <w:trPr>
          <w:trHeight w:val="57"/>
          <w:jc w:val="right"/>
        </w:trPr>
        <w:tc>
          <w:tcPr>
            <w:tcW w:w="3024" w:type="dxa"/>
          </w:tcPr>
          <w:p w14:paraId="1AA3D0B8"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rPr>
            </w:pPr>
            <w:r w:rsidRPr="00400CC6">
              <w:rPr>
                <w:color w:val="000000"/>
                <w:szCs w:val="18"/>
                <w:lang w:val="ru-RU"/>
              </w:rPr>
              <w:t>Кен Гласси</w:t>
            </w:r>
          </w:p>
        </w:tc>
        <w:tc>
          <w:tcPr>
            <w:tcW w:w="2488" w:type="dxa"/>
          </w:tcPr>
          <w:p w14:paraId="198AE5E8"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000000" w:themeColor="text1"/>
                <w:szCs w:val="18"/>
              </w:rPr>
            </w:pPr>
            <w:r w:rsidRPr="00400CC6">
              <w:rPr>
                <w:color w:val="000000"/>
                <w:szCs w:val="18"/>
                <w:lang w:val="ru-RU"/>
              </w:rPr>
              <w:t>Член КТВБМ</w:t>
            </w:r>
          </w:p>
        </w:tc>
        <w:tc>
          <w:tcPr>
            <w:tcW w:w="2795" w:type="dxa"/>
          </w:tcPr>
          <w:p w14:paraId="00A2BE91"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Новая Зеландия</w:t>
            </w:r>
          </w:p>
        </w:tc>
      </w:tr>
      <w:tr w:rsidR="00295439" w:rsidRPr="00400CC6" w14:paraId="0059496B" w14:textId="77777777" w:rsidTr="005B6360">
        <w:trPr>
          <w:trHeight w:val="57"/>
          <w:jc w:val="right"/>
        </w:trPr>
        <w:tc>
          <w:tcPr>
            <w:tcW w:w="3024" w:type="dxa"/>
          </w:tcPr>
          <w:p w14:paraId="78EAA560"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rPr>
            </w:pPr>
            <w:r w:rsidRPr="00400CC6">
              <w:rPr>
                <w:color w:val="000000"/>
                <w:szCs w:val="18"/>
                <w:lang w:val="ru-RU"/>
              </w:rPr>
              <w:t>Эдуардо Гонсалес</w:t>
            </w:r>
          </w:p>
        </w:tc>
        <w:tc>
          <w:tcPr>
            <w:tcW w:w="2488" w:type="dxa"/>
          </w:tcPr>
          <w:p w14:paraId="5CD74DEF"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000000" w:themeColor="text1"/>
                <w:szCs w:val="18"/>
              </w:rPr>
            </w:pPr>
            <w:r w:rsidRPr="00400CC6">
              <w:rPr>
                <w:color w:val="000000"/>
                <w:szCs w:val="18"/>
                <w:lang w:val="ru-RU"/>
              </w:rPr>
              <w:t>Член КТВБМ</w:t>
            </w:r>
          </w:p>
        </w:tc>
        <w:tc>
          <w:tcPr>
            <w:tcW w:w="2795" w:type="dxa"/>
          </w:tcPr>
          <w:p w14:paraId="4AD59F9E"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Филиппины</w:t>
            </w:r>
          </w:p>
        </w:tc>
      </w:tr>
      <w:tr w:rsidR="00295439" w:rsidRPr="00400CC6" w14:paraId="2D771B9C" w14:textId="77777777" w:rsidTr="005B6360">
        <w:trPr>
          <w:trHeight w:val="57"/>
          <w:jc w:val="right"/>
        </w:trPr>
        <w:tc>
          <w:tcPr>
            <w:tcW w:w="3024" w:type="dxa"/>
          </w:tcPr>
          <w:p w14:paraId="7C623940"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rPr>
            </w:pPr>
            <w:r w:rsidRPr="00400CC6">
              <w:rPr>
                <w:color w:val="000000"/>
                <w:szCs w:val="18"/>
                <w:lang w:val="ru-RU"/>
              </w:rPr>
              <w:t>Такаси Мисуми</w:t>
            </w:r>
          </w:p>
        </w:tc>
        <w:tc>
          <w:tcPr>
            <w:tcW w:w="2488" w:type="dxa"/>
          </w:tcPr>
          <w:p w14:paraId="5F3B52F9"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000000" w:themeColor="text1"/>
                <w:szCs w:val="18"/>
              </w:rPr>
            </w:pPr>
            <w:r w:rsidRPr="00400CC6">
              <w:rPr>
                <w:color w:val="000000"/>
                <w:szCs w:val="18"/>
                <w:lang w:val="ru-RU"/>
              </w:rPr>
              <w:t>Член КТВБМ</w:t>
            </w:r>
          </w:p>
        </w:tc>
        <w:tc>
          <w:tcPr>
            <w:tcW w:w="2795" w:type="dxa"/>
          </w:tcPr>
          <w:p w14:paraId="01EAF2F4"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Япония</w:t>
            </w:r>
          </w:p>
        </w:tc>
      </w:tr>
      <w:tr w:rsidR="00295439" w:rsidRPr="00400CC6" w14:paraId="2E30377C" w14:textId="77777777" w:rsidTr="005B6360">
        <w:trPr>
          <w:trHeight w:val="57"/>
          <w:jc w:val="right"/>
        </w:trPr>
        <w:tc>
          <w:tcPr>
            <w:tcW w:w="3024" w:type="dxa"/>
          </w:tcPr>
          <w:p w14:paraId="4D6B0684"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rPr>
            </w:pPr>
            <w:r w:rsidRPr="00400CC6">
              <w:rPr>
                <w:color w:val="000000"/>
                <w:szCs w:val="18"/>
                <w:lang w:val="ru-RU"/>
              </w:rPr>
              <w:t>Кристоф Райхмут</w:t>
            </w:r>
          </w:p>
        </w:tc>
        <w:tc>
          <w:tcPr>
            <w:tcW w:w="2488" w:type="dxa"/>
          </w:tcPr>
          <w:p w14:paraId="1DE5D471"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000000" w:themeColor="text1"/>
                <w:szCs w:val="18"/>
              </w:rPr>
            </w:pPr>
            <w:r w:rsidRPr="00400CC6">
              <w:rPr>
                <w:color w:val="000000"/>
                <w:szCs w:val="18"/>
                <w:lang w:val="ru-RU"/>
              </w:rPr>
              <w:t>Член КТВБМ</w:t>
            </w:r>
          </w:p>
        </w:tc>
        <w:tc>
          <w:tcPr>
            <w:tcW w:w="2795" w:type="dxa"/>
          </w:tcPr>
          <w:p w14:paraId="1513A867"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Германия</w:t>
            </w:r>
          </w:p>
        </w:tc>
      </w:tr>
      <w:tr w:rsidR="00295439" w:rsidRPr="00400CC6" w14:paraId="5796CCA5" w14:textId="77777777" w:rsidTr="005B6360">
        <w:trPr>
          <w:trHeight w:val="57"/>
          <w:jc w:val="right"/>
        </w:trPr>
        <w:tc>
          <w:tcPr>
            <w:tcW w:w="3024" w:type="dxa"/>
          </w:tcPr>
          <w:p w14:paraId="0ACD4F24"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rPr>
            </w:pPr>
            <w:r w:rsidRPr="00400CC6">
              <w:rPr>
                <w:color w:val="000000"/>
                <w:szCs w:val="18"/>
                <w:lang w:val="ru-RU"/>
              </w:rPr>
              <w:t>Алехандро Валейро</w:t>
            </w:r>
          </w:p>
        </w:tc>
        <w:tc>
          <w:tcPr>
            <w:tcW w:w="2488" w:type="dxa"/>
          </w:tcPr>
          <w:p w14:paraId="0161C94F"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000000" w:themeColor="text1"/>
                <w:szCs w:val="18"/>
              </w:rPr>
            </w:pPr>
            <w:r w:rsidRPr="00400CC6">
              <w:rPr>
                <w:color w:val="000000"/>
                <w:szCs w:val="18"/>
                <w:lang w:val="ru-RU"/>
              </w:rPr>
              <w:t>Член КТВБМ</w:t>
            </w:r>
          </w:p>
        </w:tc>
        <w:tc>
          <w:tcPr>
            <w:tcW w:w="2795" w:type="dxa"/>
          </w:tcPr>
          <w:p w14:paraId="1F749C24"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Аргентина</w:t>
            </w:r>
          </w:p>
        </w:tc>
      </w:tr>
      <w:tr w:rsidR="00295439" w:rsidRPr="00400CC6" w14:paraId="4339A6A9" w14:textId="77777777" w:rsidTr="005B6360">
        <w:trPr>
          <w:trHeight w:val="57"/>
          <w:jc w:val="right"/>
        </w:trPr>
        <w:tc>
          <w:tcPr>
            <w:tcW w:w="3024" w:type="dxa"/>
          </w:tcPr>
          <w:p w14:paraId="4F35CACB"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p>
        </w:tc>
        <w:tc>
          <w:tcPr>
            <w:tcW w:w="2488" w:type="dxa"/>
          </w:tcPr>
          <w:p w14:paraId="5DB19EAB"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p>
        </w:tc>
        <w:tc>
          <w:tcPr>
            <w:tcW w:w="2795" w:type="dxa"/>
          </w:tcPr>
          <w:p w14:paraId="0220E68F"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p>
        </w:tc>
      </w:tr>
      <w:tr w:rsidR="00295439" w:rsidRPr="00400CC6" w14:paraId="4B0FEFF2" w14:textId="77777777" w:rsidTr="005B6360">
        <w:trPr>
          <w:trHeight w:val="57"/>
          <w:jc w:val="right"/>
        </w:trPr>
        <w:tc>
          <w:tcPr>
            <w:tcW w:w="3024" w:type="dxa"/>
            <w:hideMark/>
          </w:tcPr>
          <w:p w14:paraId="15BB6968"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Эммануэль Аддо-Йобо</w:t>
            </w:r>
          </w:p>
        </w:tc>
        <w:tc>
          <w:tcPr>
            <w:tcW w:w="2488" w:type="dxa"/>
            <w:hideMark/>
          </w:tcPr>
          <w:p w14:paraId="51C77440"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000000" w:themeColor="text1"/>
                <w:szCs w:val="18"/>
              </w:rPr>
            </w:pPr>
            <w:r w:rsidRPr="00400CC6">
              <w:rPr>
                <w:color w:val="000000"/>
                <w:szCs w:val="18"/>
                <w:lang w:val="ru-RU"/>
              </w:rPr>
              <w:t>Член КТВБМ</w:t>
            </w:r>
          </w:p>
        </w:tc>
        <w:tc>
          <w:tcPr>
            <w:tcW w:w="2795" w:type="dxa"/>
            <w:hideMark/>
          </w:tcPr>
          <w:p w14:paraId="6BC3A14D"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rPr>
            </w:pPr>
            <w:r w:rsidRPr="00400CC6">
              <w:rPr>
                <w:color w:val="000000"/>
                <w:szCs w:val="18"/>
                <w:lang w:val="ru-RU"/>
              </w:rPr>
              <w:t>Гана</w:t>
            </w:r>
          </w:p>
        </w:tc>
      </w:tr>
      <w:tr w:rsidR="00295439" w:rsidRPr="00400CC6" w14:paraId="0BF4C941" w14:textId="77777777" w:rsidTr="005B6360">
        <w:trPr>
          <w:trHeight w:val="57"/>
          <w:jc w:val="right"/>
        </w:trPr>
        <w:tc>
          <w:tcPr>
            <w:tcW w:w="3024" w:type="dxa"/>
            <w:hideMark/>
          </w:tcPr>
          <w:p w14:paraId="3D750330"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Фатима аль-Шатти</w:t>
            </w:r>
          </w:p>
        </w:tc>
        <w:tc>
          <w:tcPr>
            <w:tcW w:w="2488" w:type="dxa"/>
            <w:hideMark/>
          </w:tcPr>
          <w:p w14:paraId="4D080DF8"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000000" w:themeColor="text1"/>
                <w:szCs w:val="18"/>
              </w:rPr>
            </w:pPr>
            <w:r w:rsidRPr="00400CC6">
              <w:rPr>
                <w:color w:val="000000"/>
                <w:szCs w:val="18"/>
                <w:lang w:val="ru-RU"/>
              </w:rPr>
              <w:t>Член КТВБМ</w:t>
            </w:r>
          </w:p>
        </w:tc>
        <w:tc>
          <w:tcPr>
            <w:tcW w:w="2795" w:type="dxa"/>
          </w:tcPr>
          <w:p w14:paraId="490CD283"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rPr>
            </w:pPr>
            <w:r w:rsidRPr="00400CC6">
              <w:rPr>
                <w:color w:val="000000"/>
                <w:szCs w:val="18"/>
                <w:lang w:val="ru-RU"/>
              </w:rPr>
              <w:t>Кувейт</w:t>
            </w:r>
          </w:p>
        </w:tc>
      </w:tr>
      <w:tr w:rsidR="00295439" w:rsidRPr="00400CC6" w14:paraId="6563A752" w14:textId="77777777" w:rsidTr="005B6360">
        <w:trPr>
          <w:trHeight w:val="251"/>
          <w:jc w:val="right"/>
        </w:trPr>
        <w:tc>
          <w:tcPr>
            <w:tcW w:w="3024" w:type="dxa"/>
            <w:hideMark/>
          </w:tcPr>
          <w:p w14:paraId="48D97809"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Пол Аткинс</w:t>
            </w:r>
          </w:p>
        </w:tc>
        <w:tc>
          <w:tcPr>
            <w:tcW w:w="2488" w:type="dxa"/>
            <w:hideMark/>
          </w:tcPr>
          <w:p w14:paraId="59DEDEAA"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000000" w:themeColor="text1"/>
                <w:szCs w:val="18"/>
              </w:rPr>
            </w:pPr>
            <w:r w:rsidRPr="00400CC6">
              <w:rPr>
                <w:color w:val="000000"/>
                <w:szCs w:val="18"/>
                <w:lang w:val="ru-RU"/>
              </w:rPr>
              <w:t>Член КТВБМ</w:t>
            </w:r>
          </w:p>
        </w:tc>
        <w:tc>
          <w:tcPr>
            <w:tcW w:w="2795" w:type="dxa"/>
            <w:hideMark/>
          </w:tcPr>
          <w:p w14:paraId="56110117"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Соединенные Штаты Америки</w:t>
            </w:r>
          </w:p>
        </w:tc>
      </w:tr>
      <w:tr w:rsidR="00295439" w:rsidRPr="00C932A4" w14:paraId="494F865E" w14:textId="77777777" w:rsidTr="005B6360">
        <w:trPr>
          <w:trHeight w:val="251"/>
          <w:jc w:val="right"/>
        </w:trPr>
        <w:tc>
          <w:tcPr>
            <w:tcW w:w="3024" w:type="dxa"/>
          </w:tcPr>
          <w:p w14:paraId="3B16D812"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rPr>
            </w:pPr>
            <w:r w:rsidRPr="00400CC6">
              <w:rPr>
                <w:color w:val="000000"/>
                <w:szCs w:val="18"/>
                <w:lang w:val="ru-RU"/>
              </w:rPr>
              <w:t>Ник Кэмпбелл</w:t>
            </w:r>
          </w:p>
        </w:tc>
        <w:tc>
          <w:tcPr>
            <w:tcW w:w="2488" w:type="dxa"/>
          </w:tcPr>
          <w:p w14:paraId="766BF7DD"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КТВБМ</w:t>
            </w:r>
          </w:p>
        </w:tc>
        <w:tc>
          <w:tcPr>
            <w:tcW w:w="2795" w:type="dxa"/>
          </w:tcPr>
          <w:p w14:paraId="2710C482"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lang w:val="ru-RU"/>
              </w:rPr>
            </w:pPr>
            <w:r w:rsidRPr="00400CC6">
              <w:rPr>
                <w:color w:val="000000"/>
                <w:szCs w:val="18"/>
                <w:lang w:val="ru-RU"/>
              </w:rPr>
              <w:t>Соединенное Королевство Великобритании и Северной Ирландии</w:t>
            </w:r>
          </w:p>
        </w:tc>
      </w:tr>
      <w:tr w:rsidR="00295439" w:rsidRPr="00400CC6" w14:paraId="4E6AC34B" w14:textId="77777777" w:rsidTr="005B6360">
        <w:trPr>
          <w:trHeight w:val="251"/>
          <w:jc w:val="right"/>
        </w:trPr>
        <w:tc>
          <w:tcPr>
            <w:tcW w:w="3024" w:type="dxa"/>
          </w:tcPr>
          <w:p w14:paraId="0AE2A782"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lang w:val="ru-RU"/>
              </w:rPr>
            </w:pPr>
            <w:r w:rsidRPr="00400CC6">
              <w:rPr>
                <w:color w:val="000000"/>
                <w:szCs w:val="18"/>
                <w:lang w:val="ru-RU"/>
              </w:rPr>
              <w:t>Ни Сан (Роберт) Чунг Квет Йиве</w:t>
            </w:r>
          </w:p>
        </w:tc>
        <w:tc>
          <w:tcPr>
            <w:tcW w:w="2488" w:type="dxa"/>
          </w:tcPr>
          <w:p w14:paraId="3440D429"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КТВБМ</w:t>
            </w:r>
          </w:p>
        </w:tc>
        <w:tc>
          <w:tcPr>
            <w:tcW w:w="2795" w:type="dxa"/>
          </w:tcPr>
          <w:p w14:paraId="3617E9A2"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rPr>
            </w:pPr>
            <w:r w:rsidRPr="00400CC6">
              <w:rPr>
                <w:color w:val="000000"/>
                <w:szCs w:val="18"/>
                <w:lang w:val="ru-RU"/>
              </w:rPr>
              <w:t>Маврикий</w:t>
            </w:r>
          </w:p>
        </w:tc>
      </w:tr>
      <w:tr w:rsidR="00295439" w:rsidRPr="00400CC6" w14:paraId="6D91DF43" w14:textId="77777777" w:rsidTr="005B6360">
        <w:trPr>
          <w:trHeight w:val="251"/>
          <w:jc w:val="right"/>
        </w:trPr>
        <w:tc>
          <w:tcPr>
            <w:tcW w:w="3024" w:type="dxa"/>
          </w:tcPr>
          <w:p w14:paraId="70D2ED1C"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rPr>
            </w:pPr>
            <w:r w:rsidRPr="00400CC6">
              <w:rPr>
                <w:color w:val="000000"/>
                <w:szCs w:val="18"/>
                <w:lang w:val="ru-RU"/>
              </w:rPr>
              <w:t>Цзяньсинь Ху</w:t>
            </w:r>
          </w:p>
        </w:tc>
        <w:tc>
          <w:tcPr>
            <w:tcW w:w="2488" w:type="dxa"/>
          </w:tcPr>
          <w:p w14:paraId="66DF3558"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КТВБМ</w:t>
            </w:r>
          </w:p>
        </w:tc>
        <w:tc>
          <w:tcPr>
            <w:tcW w:w="2795" w:type="dxa"/>
          </w:tcPr>
          <w:p w14:paraId="1C0E59A5"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rPr>
            </w:pPr>
            <w:r w:rsidRPr="00400CC6">
              <w:rPr>
                <w:color w:val="000000"/>
                <w:szCs w:val="18"/>
                <w:lang w:val="ru-RU"/>
              </w:rPr>
              <w:t>Китай</w:t>
            </w:r>
          </w:p>
        </w:tc>
      </w:tr>
      <w:tr w:rsidR="00295439" w:rsidRPr="00400CC6" w14:paraId="2A976429" w14:textId="77777777" w:rsidTr="005B6360">
        <w:trPr>
          <w:trHeight w:val="251"/>
          <w:jc w:val="right"/>
        </w:trPr>
        <w:tc>
          <w:tcPr>
            <w:tcW w:w="3024" w:type="dxa"/>
          </w:tcPr>
          <w:p w14:paraId="102F02C1"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rPr>
            </w:pPr>
            <w:r w:rsidRPr="00400CC6">
              <w:rPr>
                <w:color w:val="000000"/>
                <w:szCs w:val="18"/>
                <w:lang w:val="ru-RU"/>
              </w:rPr>
              <w:t>Джавид Хан</w:t>
            </w:r>
          </w:p>
        </w:tc>
        <w:tc>
          <w:tcPr>
            <w:tcW w:w="2488" w:type="dxa"/>
          </w:tcPr>
          <w:p w14:paraId="768971DD"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КТВБМ</w:t>
            </w:r>
          </w:p>
        </w:tc>
        <w:tc>
          <w:tcPr>
            <w:tcW w:w="2795" w:type="dxa"/>
          </w:tcPr>
          <w:p w14:paraId="11E21DA1"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rPr>
            </w:pPr>
            <w:r w:rsidRPr="00400CC6">
              <w:rPr>
                <w:color w:val="000000"/>
                <w:szCs w:val="18"/>
                <w:lang w:val="ru-RU"/>
              </w:rPr>
              <w:t>Пакистан</w:t>
            </w:r>
          </w:p>
        </w:tc>
      </w:tr>
      <w:tr w:rsidR="00295439" w:rsidRPr="00C932A4" w14:paraId="0AFF58C7" w14:textId="77777777" w:rsidTr="005B6360">
        <w:trPr>
          <w:trHeight w:val="251"/>
          <w:jc w:val="right"/>
        </w:trPr>
        <w:tc>
          <w:tcPr>
            <w:tcW w:w="3024" w:type="dxa"/>
          </w:tcPr>
          <w:p w14:paraId="0CEA34FE"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rPr>
            </w:pPr>
            <w:r w:rsidRPr="00400CC6">
              <w:rPr>
                <w:color w:val="000000"/>
                <w:szCs w:val="18"/>
                <w:lang w:val="ru-RU"/>
              </w:rPr>
              <w:t>Тим Ноукс</w:t>
            </w:r>
          </w:p>
        </w:tc>
        <w:tc>
          <w:tcPr>
            <w:tcW w:w="2488" w:type="dxa"/>
          </w:tcPr>
          <w:p w14:paraId="0FFF9B50"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000000" w:themeColor="text1"/>
                <w:szCs w:val="18"/>
              </w:rPr>
            </w:pPr>
            <w:r w:rsidRPr="00400CC6">
              <w:rPr>
                <w:color w:val="000000"/>
                <w:szCs w:val="18"/>
                <w:lang w:val="ru-RU"/>
              </w:rPr>
              <w:t>Член КТВБМ</w:t>
            </w:r>
          </w:p>
        </w:tc>
        <w:tc>
          <w:tcPr>
            <w:tcW w:w="2795" w:type="dxa"/>
          </w:tcPr>
          <w:p w14:paraId="5BF617E3"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lang w:val="ru-RU"/>
              </w:rPr>
            </w:pPr>
            <w:r w:rsidRPr="00400CC6">
              <w:rPr>
                <w:color w:val="000000"/>
                <w:szCs w:val="18"/>
                <w:lang w:val="ru-RU"/>
              </w:rPr>
              <w:t>Соединенное Королевство Великобритании и Северной Ирландии</w:t>
            </w:r>
          </w:p>
        </w:tc>
      </w:tr>
      <w:tr w:rsidR="00295439" w:rsidRPr="00C932A4" w14:paraId="4B61DBDB" w14:textId="77777777" w:rsidTr="005B6360">
        <w:trPr>
          <w:trHeight w:val="251"/>
          <w:jc w:val="right"/>
        </w:trPr>
        <w:tc>
          <w:tcPr>
            <w:tcW w:w="3024" w:type="dxa"/>
          </w:tcPr>
          <w:p w14:paraId="00FD80B2"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rPr>
            </w:pPr>
            <w:r w:rsidRPr="00400CC6">
              <w:rPr>
                <w:color w:val="000000"/>
                <w:szCs w:val="18"/>
                <w:lang w:val="ru-RU"/>
              </w:rPr>
              <w:t>Джон Причард</w:t>
            </w:r>
          </w:p>
        </w:tc>
        <w:tc>
          <w:tcPr>
            <w:tcW w:w="2488" w:type="dxa"/>
          </w:tcPr>
          <w:p w14:paraId="183EDB33"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КТВБМ</w:t>
            </w:r>
          </w:p>
        </w:tc>
        <w:tc>
          <w:tcPr>
            <w:tcW w:w="2795" w:type="dxa"/>
          </w:tcPr>
          <w:p w14:paraId="3E6BDF49"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lang w:val="ru-RU"/>
              </w:rPr>
            </w:pPr>
            <w:r w:rsidRPr="00400CC6">
              <w:rPr>
                <w:color w:val="000000"/>
                <w:szCs w:val="18"/>
                <w:lang w:val="ru-RU"/>
              </w:rPr>
              <w:t>Соединенное Королевство Великобритании и Северной Ирландии</w:t>
            </w:r>
          </w:p>
        </w:tc>
      </w:tr>
      <w:tr w:rsidR="00295439" w:rsidRPr="00400CC6" w14:paraId="4285ECCF" w14:textId="77777777" w:rsidTr="005B6360">
        <w:trPr>
          <w:trHeight w:val="251"/>
          <w:jc w:val="right"/>
        </w:trPr>
        <w:tc>
          <w:tcPr>
            <w:tcW w:w="3024" w:type="dxa"/>
          </w:tcPr>
          <w:p w14:paraId="043C4B1C"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rPr>
            </w:pPr>
            <w:r w:rsidRPr="00400CC6">
              <w:rPr>
                <w:color w:val="000000"/>
                <w:szCs w:val="18"/>
                <w:lang w:val="ru-RU"/>
              </w:rPr>
              <w:t>Раббур Реза</w:t>
            </w:r>
          </w:p>
        </w:tc>
        <w:tc>
          <w:tcPr>
            <w:tcW w:w="2488" w:type="dxa"/>
          </w:tcPr>
          <w:p w14:paraId="181A2FE4"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КТВБМ</w:t>
            </w:r>
          </w:p>
        </w:tc>
        <w:tc>
          <w:tcPr>
            <w:tcW w:w="2795" w:type="dxa"/>
          </w:tcPr>
          <w:p w14:paraId="3FABF294"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rPr>
            </w:pPr>
            <w:r w:rsidRPr="00400CC6">
              <w:rPr>
                <w:color w:val="000000"/>
                <w:szCs w:val="18"/>
                <w:lang w:val="ru-RU"/>
              </w:rPr>
              <w:t>Бангладеш</w:t>
            </w:r>
          </w:p>
        </w:tc>
      </w:tr>
      <w:tr w:rsidR="00295439" w:rsidRPr="00400CC6" w14:paraId="348E13A0" w14:textId="77777777" w:rsidTr="005B6360">
        <w:trPr>
          <w:trHeight w:val="251"/>
          <w:jc w:val="right"/>
        </w:trPr>
        <w:tc>
          <w:tcPr>
            <w:tcW w:w="3024" w:type="dxa"/>
          </w:tcPr>
          <w:p w14:paraId="26DAA142"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rPr>
            </w:pPr>
            <w:r w:rsidRPr="00400CC6">
              <w:rPr>
                <w:color w:val="000000"/>
                <w:szCs w:val="18"/>
                <w:lang w:val="ru-RU"/>
              </w:rPr>
              <w:t>Кристин Уорлоу</w:t>
            </w:r>
          </w:p>
        </w:tc>
        <w:tc>
          <w:tcPr>
            <w:tcW w:w="2488" w:type="dxa"/>
          </w:tcPr>
          <w:p w14:paraId="2C693592"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КТВБМ</w:t>
            </w:r>
          </w:p>
        </w:tc>
        <w:tc>
          <w:tcPr>
            <w:tcW w:w="2795" w:type="dxa"/>
          </w:tcPr>
          <w:p w14:paraId="5B38FEA6"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rPr>
            </w:pPr>
            <w:r w:rsidRPr="00400CC6">
              <w:rPr>
                <w:color w:val="000000"/>
                <w:szCs w:val="18"/>
                <w:lang w:val="ru-RU"/>
              </w:rPr>
              <w:t>Австралия</w:t>
            </w:r>
          </w:p>
        </w:tc>
      </w:tr>
      <w:tr w:rsidR="00295439" w:rsidRPr="00400CC6" w14:paraId="74CC0BD7" w14:textId="77777777" w:rsidTr="005B6360">
        <w:trPr>
          <w:trHeight w:val="251"/>
          <w:jc w:val="right"/>
        </w:trPr>
        <w:tc>
          <w:tcPr>
            <w:tcW w:w="3024" w:type="dxa"/>
          </w:tcPr>
          <w:p w14:paraId="4993BB7D"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rPr>
            </w:pPr>
            <w:r w:rsidRPr="00400CC6">
              <w:rPr>
                <w:color w:val="000000"/>
                <w:szCs w:val="18"/>
                <w:lang w:val="ru-RU"/>
              </w:rPr>
              <w:t>Лифэй Чжан</w:t>
            </w:r>
          </w:p>
        </w:tc>
        <w:tc>
          <w:tcPr>
            <w:tcW w:w="2488" w:type="dxa"/>
          </w:tcPr>
          <w:p w14:paraId="438C867F"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КТВБМ</w:t>
            </w:r>
          </w:p>
        </w:tc>
        <w:tc>
          <w:tcPr>
            <w:tcW w:w="2795" w:type="dxa"/>
          </w:tcPr>
          <w:p w14:paraId="0110990C"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rPr>
            </w:pPr>
            <w:r w:rsidRPr="00400CC6">
              <w:rPr>
                <w:color w:val="000000"/>
                <w:szCs w:val="18"/>
                <w:lang w:val="ru-RU"/>
              </w:rPr>
              <w:t>Китай</w:t>
            </w:r>
          </w:p>
        </w:tc>
      </w:tr>
      <w:tr w:rsidR="00295439" w:rsidRPr="00400CC6" w14:paraId="680A2A4A" w14:textId="77777777" w:rsidTr="005B6360">
        <w:trPr>
          <w:trHeight w:val="197"/>
          <w:jc w:val="right"/>
        </w:trPr>
        <w:tc>
          <w:tcPr>
            <w:tcW w:w="3024" w:type="dxa"/>
            <w:tcBorders>
              <w:top w:val="nil"/>
              <w:left w:val="nil"/>
              <w:right w:val="nil"/>
            </w:tcBorders>
          </w:tcPr>
          <w:p w14:paraId="52EF36EF"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p>
        </w:tc>
        <w:tc>
          <w:tcPr>
            <w:tcW w:w="2488" w:type="dxa"/>
            <w:tcBorders>
              <w:top w:val="nil"/>
              <w:left w:val="nil"/>
              <w:right w:val="nil"/>
            </w:tcBorders>
          </w:tcPr>
          <w:p w14:paraId="3E1B4F8F"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p>
        </w:tc>
        <w:tc>
          <w:tcPr>
            <w:tcW w:w="2795" w:type="dxa"/>
            <w:tcBorders>
              <w:top w:val="nil"/>
              <w:left w:val="nil"/>
              <w:right w:val="nil"/>
            </w:tcBorders>
          </w:tcPr>
          <w:p w14:paraId="38C7E788"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p>
        </w:tc>
      </w:tr>
      <w:tr w:rsidR="00295439" w:rsidRPr="00400CC6" w14:paraId="5B4E4F0E" w14:textId="77777777" w:rsidTr="005B6360">
        <w:trPr>
          <w:trHeight w:val="256"/>
          <w:jc w:val="right"/>
        </w:trPr>
        <w:tc>
          <w:tcPr>
            <w:tcW w:w="3024" w:type="dxa"/>
            <w:vAlign w:val="center"/>
          </w:tcPr>
          <w:p w14:paraId="69054993"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rPr>
            </w:pPr>
            <w:r w:rsidRPr="00400CC6">
              <w:rPr>
                <w:color w:val="000000"/>
                <w:szCs w:val="18"/>
                <w:lang w:val="ru-RU"/>
              </w:rPr>
              <w:lastRenderedPageBreak/>
              <w:t>Йосер Аллуш</w:t>
            </w:r>
          </w:p>
        </w:tc>
        <w:tc>
          <w:tcPr>
            <w:tcW w:w="2488" w:type="dxa"/>
            <w:tcBorders>
              <w:top w:val="nil"/>
              <w:left w:val="nil"/>
              <w:right w:val="nil"/>
            </w:tcBorders>
          </w:tcPr>
          <w:p w14:paraId="0AE46D70"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rPr>
            </w:pPr>
            <w:r w:rsidRPr="00400CC6">
              <w:rPr>
                <w:color w:val="000000"/>
                <w:szCs w:val="18"/>
                <w:lang w:val="ru-RU"/>
              </w:rPr>
              <w:t>Член КТВХ</w:t>
            </w:r>
          </w:p>
        </w:tc>
        <w:tc>
          <w:tcPr>
            <w:tcW w:w="2795" w:type="dxa"/>
            <w:vAlign w:val="center"/>
          </w:tcPr>
          <w:p w14:paraId="78471DC7"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szCs w:val="18"/>
              </w:rPr>
            </w:pPr>
            <w:r w:rsidRPr="00400CC6">
              <w:rPr>
                <w:color w:val="000000"/>
                <w:szCs w:val="18"/>
                <w:lang w:val="ru-RU"/>
              </w:rPr>
              <w:t>Тунис</w:t>
            </w:r>
          </w:p>
        </w:tc>
      </w:tr>
      <w:tr w:rsidR="00295439" w:rsidRPr="00400CC6" w14:paraId="007DC356" w14:textId="77777777" w:rsidTr="005B6360">
        <w:trPr>
          <w:trHeight w:val="256"/>
          <w:jc w:val="right"/>
        </w:trPr>
        <w:tc>
          <w:tcPr>
            <w:tcW w:w="3024" w:type="dxa"/>
            <w:vAlign w:val="center"/>
          </w:tcPr>
          <w:p w14:paraId="663BBE59"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Джитендра Бхамбур</w:t>
            </w:r>
          </w:p>
        </w:tc>
        <w:tc>
          <w:tcPr>
            <w:tcW w:w="2488" w:type="dxa"/>
            <w:tcBorders>
              <w:top w:val="nil"/>
              <w:left w:val="nil"/>
              <w:right w:val="nil"/>
            </w:tcBorders>
          </w:tcPr>
          <w:p w14:paraId="1D025C9D"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7EA7A54F"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Индия</w:t>
            </w:r>
          </w:p>
        </w:tc>
      </w:tr>
      <w:tr w:rsidR="00295439" w:rsidRPr="00400CC6" w14:paraId="2ED26E58" w14:textId="77777777" w:rsidTr="005B6360">
        <w:trPr>
          <w:trHeight w:val="197"/>
          <w:jc w:val="right"/>
        </w:trPr>
        <w:tc>
          <w:tcPr>
            <w:tcW w:w="3024" w:type="dxa"/>
            <w:vAlign w:val="center"/>
          </w:tcPr>
          <w:p w14:paraId="73BB62A0"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Мария К. Бритту Баселлар</w:t>
            </w:r>
          </w:p>
        </w:tc>
        <w:tc>
          <w:tcPr>
            <w:tcW w:w="2488" w:type="dxa"/>
            <w:tcBorders>
              <w:top w:val="nil"/>
              <w:left w:val="nil"/>
              <w:right w:val="nil"/>
            </w:tcBorders>
          </w:tcPr>
          <w:p w14:paraId="76C390A7"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47915E10"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Бразилия</w:t>
            </w:r>
          </w:p>
        </w:tc>
      </w:tr>
      <w:tr w:rsidR="00295439" w:rsidRPr="00400CC6" w14:paraId="324113D8" w14:textId="77777777" w:rsidTr="005B6360">
        <w:trPr>
          <w:trHeight w:val="197"/>
          <w:jc w:val="right"/>
        </w:trPr>
        <w:tc>
          <w:tcPr>
            <w:tcW w:w="3024" w:type="dxa"/>
            <w:vAlign w:val="center"/>
          </w:tcPr>
          <w:p w14:paraId="59DFFA56"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Фэн Цао</w:t>
            </w:r>
          </w:p>
        </w:tc>
        <w:tc>
          <w:tcPr>
            <w:tcW w:w="2488" w:type="dxa"/>
            <w:tcBorders>
              <w:top w:val="nil"/>
              <w:left w:val="nil"/>
              <w:right w:val="nil"/>
            </w:tcBorders>
          </w:tcPr>
          <w:p w14:paraId="0093A351"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3AED0762"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Китай</w:t>
            </w:r>
          </w:p>
        </w:tc>
      </w:tr>
      <w:tr w:rsidR="00295439" w:rsidRPr="00400CC6" w14:paraId="78E4AA05" w14:textId="77777777" w:rsidTr="005B6360">
        <w:trPr>
          <w:trHeight w:val="197"/>
          <w:jc w:val="right"/>
        </w:trPr>
        <w:tc>
          <w:tcPr>
            <w:tcW w:w="3024" w:type="dxa"/>
            <w:vAlign w:val="center"/>
          </w:tcPr>
          <w:p w14:paraId="05A3113A"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Ана Мария Карреньо</w:t>
            </w:r>
          </w:p>
        </w:tc>
        <w:tc>
          <w:tcPr>
            <w:tcW w:w="2488" w:type="dxa"/>
            <w:tcBorders>
              <w:top w:val="nil"/>
              <w:left w:val="nil"/>
              <w:right w:val="nil"/>
            </w:tcBorders>
          </w:tcPr>
          <w:p w14:paraId="5BD883AF"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1C40B176"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Колумбия</w:t>
            </w:r>
          </w:p>
        </w:tc>
      </w:tr>
      <w:tr w:rsidR="00295439" w:rsidRPr="00400CC6" w14:paraId="44416C1B" w14:textId="77777777" w:rsidTr="005B6360">
        <w:trPr>
          <w:trHeight w:val="197"/>
          <w:jc w:val="right"/>
        </w:trPr>
        <w:tc>
          <w:tcPr>
            <w:tcW w:w="3024" w:type="dxa"/>
            <w:vAlign w:val="center"/>
          </w:tcPr>
          <w:p w14:paraId="775B7DD2"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Радим Чермак</w:t>
            </w:r>
          </w:p>
        </w:tc>
        <w:tc>
          <w:tcPr>
            <w:tcW w:w="2488" w:type="dxa"/>
            <w:tcBorders>
              <w:top w:val="nil"/>
              <w:left w:val="nil"/>
              <w:right w:val="nil"/>
            </w:tcBorders>
          </w:tcPr>
          <w:p w14:paraId="0BF6D2CF"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170209DF"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Чехия</w:t>
            </w:r>
          </w:p>
        </w:tc>
      </w:tr>
      <w:tr w:rsidR="00295439" w:rsidRPr="00400CC6" w14:paraId="091E9230" w14:textId="77777777" w:rsidTr="005B6360">
        <w:trPr>
          <w:trHeight w:val="197"/>
          <w:jc w:val="right"/>
        </w:trPr>
        <w:tc>
          <w:tcPr>
            <w:tcW w:w="3024" w:type="dxa"/>
            <w:vAlign w:val="center"/>
          </w:tcPr>
          <w:p w14:paraId="1CDD1536"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Юй Чэнь</w:t>
            </w:r>
          </w:p>
        </w:tc>
        <w:tc>
          <w:tcPr>
            <w:tcW w:w="2488" w:type="dxa"/>
            <w:tcBorders>
              <w:top w:val="nil"/>
              <w:left w:val="nil"/>
              <w:right w:val="nil"/>
            </w:tcBorders>
          </w:tcPr>
          <w:p w14:paraId="68838471"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187CDC5D"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Соединенные Штаты Америки</w:t>
            </w:r>
          </w:p>
        </w:tc>
      </w:tr>
      <w:tr w:rsidR="00295439" w:rsidRPr="00C932A4" w14:paraId="324C08CA" w14:textId="77777777" w:rsidTr="00DF06C3">
        <w:trPr>
          <w:trHeight w:val="197"/>
          <w:jc w:val="right"/>
        </w:trPr>
        <w:tc>
          <w:tcPr>
            <w:tcW w:w="3024" w:type="dxa"/>
          </w:tcPr>
          <w:p w14:paraId="74DAE9F7"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Даниэл Колборн</w:t>
            </w:r>
          </w:p>
        </w:tc>
        <w:tc>
          <w:tcPr>
            <w:tcW w:w="2488" w:type="dxa"/>
            <w:tcBorders>
              <w:top w:val="nil"/>
              <w:left w:val="nil"/>
              <w:right w:val="nil"/>
            </w:tcBorders>
          </w:tcPr>
          <w:p w14:paraId="0D4EA138"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1C8B97D2"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lang w:val="ru-RU"/>
              </w:rPr>
            </w:pPr>
            <w:r w:rsidRPr="00400CC6">
              <w:rPr>
                <w:color w:val="000000"/>
                <w:szCs w:val="18"/>
                <w:lang w:val="ru-RU"/>
              </w:rPr>
              <w:t>Соединенное Королевство Великобритании и Северной Ирландии</w:t>
            </w:r>
          </w:p>
        </w:tc>
      </w:tr>
      <w:tr w:rsidR="00295439" w:rsidRPr="00400CC6" w14:paraId="149567C1" w14:textId="77777777" w:rsidTr="005B6360">
        <w:trPr>
          <w:trHeight w:val="197"/>
          <w:jc w:val="right"/>
        </w:trPr>
        <w:tc>
          <w:tcPr>
            <w:tcW w:w="3024" w:type="dxa"/>
            <w:vAlign w:val="center"/>
          </w:tcPr>
          <w:p w14:paraId="29F9FB63"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Сукумар Девотта</w:t>
            </w:r>
          </w:p>
        </w:tc>
        <w:tc>
          <w:tcPr>
            <w:tcW w:w="2488" w:type="dxa"/>
            <w:tcBorders>
              <w:top w:val="nil"/>
              <w:left w:val="nil"/>
              <w:right w:val="nil"/>
            </w:tcBorders>
          </w:tcPr>
          <w:p w14:paraId="762DBBCF"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538AF2E7"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Индия</w:t>
            </w:r>
          </w:p>
        </w:tc>
      </w:tr>
      <w:tr w:rsidR="00295439" w:rsidRPr="00400CC6" w14:paraId="64217999" w14:textId="77777777" w:rsidTr="005B6360">
        <w:trPr>
          <w:trHeight w:val="197"/>
          <w:jc w:val="right"/>
        </w:trPr>
        <w:tc>
          <w:tcPr>
            <w:tcW w:w="3024" w:type="dxa"/>
            <w:vAlign w:val="center"/>
          </w:tcPr>
          <w:p w14:paraId="42BA16CD"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Хильде Донт</w:t>
            </w:r>
          </w:p>
        </w:tc>
        <w:tc>
          <w:tcPr>
            <w:tcW w:w="2488" w:type="dxa"/>
            <w:tcBorders>
              <w:top w:val="nil"/>
              <w:left w:val="nil"/>
              <w:right w:val="nil"/>
            </w:tcBorders>
          </w:tcPr>
          <w:p w14:paraId="78099F72"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2436C49D"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Бельгия</w:t>
            </w:r>
          </w:p>
        </w:tc>
      </w:tr>
      <w:tr w:rsidR="00295439" w:rsidRPr="00400CC6" w14:paraId="01F59F22" w14:textId="77777777" w:rsidTr="005B6360">
        <w:trPr>
          <w:trHeight w:val="197"/>
          <w:jc w:val="right"/>
        </w:trPr>
        <w:tc>
          <w:tcPr>
            <w:tcW w:w="3024" w:type="dxa"/>
            <w:vAlign w:val="center"/>
          </w:tcPr>
          <w:p w14:paraId="7342D61E"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Габриэль Дрейфус</w:t>
            </w:r>
          </w:p>
        </w:tc>
        <w:tc>
          <w:tcPr>
            <w:tcW w:w="2488" w:type="dxa"/>
            <w:tcBorders>
              <w:top w:val="nil"/>
              <w:left w:val="nil"/>
              <w:right w:val="nil"/>
            </w:tcBorders>
          </w:tcPr>
          <w:p w14:paraId="661D408C"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0B421A3F"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Соединенные Штаты Америки</w:t>
            </w:r>
          </w:p>
        </w:tc>
      </w:tr>
      <w:tr w:rsidR="00295439" w:rsidRPr="00400CC6" w14:paraId="46686218" w14:textId="77777777" w:rsidTr="005B6360">
        <w:trPr>
          <w:trHeight w:val="197"/>
          <w:jc w:val="right"/>
        </w:trPr>
        <w:tc>
          <w:tcPr>
            <w:tcW w:w="3024" w:type="dxa"/>
            <w:vAlign w:val="center"/>
          </w:tcPr>
          <w:p w14:paraId="46E69053"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Бассам Эльассаад</w:t>
            </w:r>
          </w:p>
        </w:tc>
        <w:tc>
          <w:tcPr>
            <w:tcW w:w="2488" w:type="dxa"/>
            <w:tcBorders>
              <w:top w:val="nil"/>
              <w:left w:val="nil"/>
              <w:right w:val="nil"/>
            </w:tcBorders>
          </w:tcPr>
          <w:p w14:paraId="163BAA1B"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09F99226"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Ливан</w:t>
            </w:r>
          </w:p>
        </w:tc>
      </w:tr>
      <w:tr w:rsidR="00295439" w:rsidRPr="00400CC6" w14:paraId="5EC90F89" w14:textId="77777777" w:rsidTr="005B6360">
        <w:trPr>
          <w:trHeight w:val="197"/>
          <w:jc w:val="right"/>
        </w:trPr>
        <w:tc>
          <w:tcPr>
            <w:tcW w:w="3024" w:type="dxa"/>
            <w:vAlign w:val="center"/>
          </w:tcPr>
          <w:p w14:paraId="2D880597"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Кайли Фаррелли</w:t>
            </w:r>
          </w:p>
        </w:tc>
        <w:tc>
          <w:tcPr>
            <w:tcW w:w="2488" w:type="dxa"/>
            <w:tcBorders>
              <w:top w:val="nil"/>
              <w:left w:val="nil"/>
              <w:right w:val="nil"/>
            </w:tcBorders>
          </w:tcPr>
          <w:p w14:paraId="564B47A6"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21088452"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Австралия</w:t>
            </w:r>
          </w:p>
        </w:tc>
      </w:tr>
      <w:tr w:rsidR="00295439" w:rsidRPr="00400CC6" w14:paraId="7BC78449" w14:textId="77777777" w:rsidTr="005B6360">
        <w:trPr>
          <w:trHeight w:val="197"/>
          <w:jc w:val="right"/>
        </w:trPr>
        <w:tc>
          <w:tcPr>
            <w:tcW w:w="3024" w:type="dxa"/>
            <w:vAlign w:val="center"/>
          </w:tcPr>
          <w:p w14:paraId="6265DB20"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Цян Гао</w:t>
            </w:r>
          </w:p>
        </w:tc>
        <w:tc>
          <w:tcPr>
            <w:tcW w:w="2488" w:type="dxa"/>
            <w:tcBorders>
              <w:top w:val="nil"/>
              <w:left w:val="nil"/>
              <w:right w:val="nil"/>
            </w:tcBorders>
          </w:tcPr>
          <w:p w14:paraId="78944B17"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6C11A3D8"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Китай</w:t>
            </w:r>
          </w:p>
        </w:tc>
      </w:tr>
      <w:tr w:rsidR="00295439" w:rsidRPr="00C932A4" w14:paraId="16CD40C2" w14:textId="77777777" w:rsidTr="00DF06C3">
        <w:trPr>
          <w:trHeight w:val="197"/>
          <w:jc w:val="right"/>
        </w:trPr>
        <w:tc>
          <w:tcPr>
            <w:tcW w:w="3024" w:type="dxa"/>
          </w:tcPr>
          <w:p w14:paraId="302AD73C"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 xml:space="preserve">Рэй Глакман </w:t>
            </w:r>
          </w:p>
        </w:tc>
        <w:tc>
          <w:tcPr>
            <w:tcW w:w="2488" w:type="dxa"/>
            <w:tcBorders>
              <w:top w:val="nil"/>
              <w:left w:val="nil"/>
              <w:right w:val="nil"/>
            </w:tcBorders>
          </w:tcPr>
          <w:p w14:paraId="768FF63B"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0BE622AF"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lang w:val="ru-RU"/>
              </w:rPr>
            </w:pPr>
            <w:r w:rsidRPr="00400CC6">
              <w:rPr>
                <w:color w:val="000000"/>
                <w:szCs w:val="18"/>
                <w:lang w:val="ru-RU"/>
              </w:rPr>
              <w:t>Соединенное Королевство Великобритании и Северной Ирландии</w:t>
            </w:r>
          </w:p>
        </w:tc>
      </w:tr>
      <w:tr w:rsidR="00295439" w:rsidRPr="00400CC6" w14:paraId="48DAE051" w14:textId="77777777" w:rsidTr="005B6360">
        <w:trPr>
          <w:trHeight w:val="197"/>
          <w:jc w:val="right"/>
        </w:trPr>
        <w:tc>
          <w:tcPr>
            <w:tcW w:w="3024" w:type="dxa"/>
            <w:vAlign w:val="center"/>
          </w:tcPr>
          <w:p w14:paraId="5B3A1A42"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Самир Хамед</w:t>
            </w:r>
          </w:p>
        </w:tc>
        <w:tc>
          <w:tcPr>
            <w:tcW w:w="2488" w:type="dxa"/>
            <w:tcBorders>
              <w:top w:val="nil"/>
              <w:left w:val="nil"/>
              <w:right w:val="nil"/>
            </w:tcBorders>
          </w:tcPr>
          <w:p w14:paraId="5F0E3043"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3E5E75D2"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Иордания</w:t>
            </w:r>
          </w:p>
        </w:tc>
      </w:tr>
      <w:tr w:rsidR="00295439" w:rsidRPr="00400CC6" w14:paraId="41210495" w14:textId="77777777" w:rsidTr="005B6360">
        <w:trPr>
          <w:trHeight w:val="197"/>
          <w:jc w:val="right"/>
        </w:trPr>
        <w:tc>
          <w:tcPr>
            <w:tcW w:w="3024" w:type="dxa"/>
            <w:vAlign w:val="center"/>
          </w:tcPr>
          <w:p w14:paraId="0FDC53E7"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Херлин Херляника</w:t>
            </w:r>
          </w:p>
        </w:tc>
        <w:tc>
          <w:tcPr>
            <w:tcW w:w="2488" w:type="dxa"/>
            <w:tcBorders>
              <w:top w:val="nil"/>
              <w:left w:val="nil"/>
              <w:right w:val="nil"/>
            </w:tcBorders>
          </w:tcPr>
          <w:p w14:paraId="128B7B8B"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0C0F46EF"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Индонезия</w:t>
            </w:r>
          </w:p>
        </w:tc>
      </w:tr>
      <w:tr w:rsidR="00295439" w:rsidRPr="00400CC6" w14:paraId="0724609A" w14:textId="77777777" w:rsidTr="005B6360">
        <w:trPr>
          <w:trHeight w:val="197"/>
          <w:jc w:val="right"/>
        </w:trPr>
        <w:tc>
          <w:tcPr>
            <w:tcW w:w="3024" w:type="dxa"/>
            <w:vAlign w:val="center"/>
          </w:tcPr>
          <w:p w14:paraId="2AB9A617"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Юки Камиока</w:t>
            </w:r>
          </w:p>
        </w:tc>
        <w:tc>
          <w:tcPr>
            <w:tcW w:w="2488" w:type="dxa"/>
            <w:tcBorders>
              <w:top w:val="nil"/>
              <w:left w:val="nil"/>
              <w:right w:val="nil"/>
            </w:tcBorders>
          </w:tcPr>
          <w:p w14:paraId="2F2591A7"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4F519094"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Япония</w:t>
            </w:r>
          </w:p>
        </w:tc>
      </w:tr>
      <w:tr w:rsidR="00295439" w:rsidRPr="00400CC6" w14:paraId="78842584" w14:textId="77777777" w:rsidTr="005B6360">
        <w:trPr>
          <w:trHeight w:val="197"/>
          <w:jc w:val="right"/>
        </w:trPr>
        <w:tc>
          <w:tcPr>
            <w:tcW w:w="3024" w:type="dxa"/>
            <w:vAlign w:val="center"/>
          </w:tcPr>
          <w:p w14:paraId="199A9777"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Михаэль Кауффельд</w:t>
            </w:r>
          </w:p>
        </w:tc>
        <w:tc>
          <w:tcPr>
            <w:tcW w:w="2488" w:type="dxa"/>
            <w:tcBorders>
              <w:top w:val="nil"/>
              <w:left w:val="nil"/>
              <w:right w:val="nil"/>
            </w:tcBorders>
          </w:tcPr>
          <w:p w14:paraId="5AB16774"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62DAA1F5"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Германия</w:t>
            </w:r>
          </w:p>
        </w:tc>
      </w:tr>
      <w:tr w:rsidR="00295439" w:rsidRPr="00400CC6" w14:paraId="17CC3BEE" w14:textId="77777777" w:rsidTr="005B6360">
        <w:trPr>
          <w:trHeight w:val="197"/>
          <w:jc w:val="right"/>
        </w:trPr>
        <w:tc>
          <w:tcPr>
            <w:tcW w:w="3024" w:type="dxa"/>
            <w:vAlign w:val="center"/>
          </w:tcPr>
          <w:p w14:paraId="00A04047"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Мэри Кобан</w:t>
            </w:r>
          </w:p>
        </w:tc>
        <w:tc>
          <w:tcPr>
            <w:tcW w:w="2488" w:type="dxa"/>
            <w:tcBorders>
              <w:top w:val="nil"/>
              <w:left w:val="nil"/>
              <w:right w:val="nil"/>
            </w:tcBorders>
          </w:tcPr>
          <w:p w14:paraId="1ECE9912"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76D300A2"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Соединенные Штаты Америки</w:t>
            </w:r>
          </w:p>
        </w:tc>
      </w:tr>
      <w:tr w:rsidR="00295439" w:rsidRPr="00400CC6" w14:paraId="64167D22" w14:textId="77777777" w:rsidTr="005B6360">
        <w:trPr>
          <w:trHeight w:val="197"/>
          <w:jc w:val="right"/>
        </w:trPr>
        <w:tc>
          <w:tcPr>
            <w:tcW w:w="3024" w:type="dxa"/>
            <w:vAlign w:val="center"/>
          </w:tcPr>
          <w:p w14:paraId="1123D914"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Юрген Кёлер</w:t>
            </w:r>
          </w:p>
        </w:tc>
        <w:tc>
          <w:tcPr>
            <w:tcW w:w="2488" w:type="dxa"/>
            <w:tcBorders>
              <w:top w:val="nil"/>
              <w:left w:val="nil"/>
              <w:right w:val="nil"/>
            </w:tcBorders>
          </w:tcPr>
          <w:p w14:paraId="274B8FE9"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18DCA79A"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Германия</w:t>
            </w:r>
          </w:p>
        </w:tc>
      </w:tr>
      <w:tr w:rsidR="00295439" w:rsidRPr="00400CC6" w14:paraId="36097AA3" w14:textId="77777777" w:rsidTr="005B6360">
        <w:trPr>
          <w:trHeight w:val="197"/>
          <w:jc w:val="right"/>
        </w:trPr>
        <w:tc>
          <w:tcPr>
            <w:tcW w:w="3024" w:type="dxa"/>
            <w:vAlign w:val="center"/>
          </w:tcPr>
          <w:p w14:paraId="4DCB7869"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Ламберт Кёйперс</w:t>
            </w:r>
          </w:p>
        </w:tc>
        <w:tc>
          <w:tcPr>
            <w:tcW w:w="2488" w:type="dxa"/>
            <w:tcBorders>
              <w:top w:val="nil"/>
              <w:left w:val="nil"/>
              <w:right w:val="nil"/>
            </w:tcBorders>
          </w:tcPr>
          <w:p w14:paraId="11D7460A"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0AA6A4B5"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Нидерланды (Королевство)</w:t>
            </w:r>
          </w:p>
        </w:tc>
      </w:tr>
      <w:tr w:rsidR="00295439" w:rsidRPr="00400CC6" w14:paraId="48243783" w14:textId="77777777" w:rsidTr="005B6360">
        <w:trPr>
          <w:trHeight w:val="197"/>
          <w:jc w:val="right"/>
        </w:trPr>
        <w:tc>
          <w:tcPr>
            <w:tcW w:w="3024" w:type="dxa"/>
            <w:vAlign w:val="center"/>
          </w:tcPr>
          <w:p w14:paraId="24B2929D"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 xml:space="preserve">Стив Куджак </w:t>
            </w:r>
          </w:p>
        </w:tc>
        <w:tc>
          <w:tcPr>
            <w:tcW w:w="2488" w:type="dxa"/>
            <w:tcBorders>
              <w:top w:val="nil"/>
              <w:left w:val="nil"/>
              <w:right w:val="nil"/>
            </w:tcBorders>
          </w:tcPr>
          <w:p w14:paraId="71AF4AE1"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6CD87C44"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Соединенные Штаты Америки</w:t>
            </w:r>
          </w:p>
        </w:tc>
      </w:tr>
      <w:tr w:rsidR="00295439" w:rsidRPr="00C932A4" w14:paraId="117B1DBE" w14:textId="77777777" w:rsidTr="00DF06C3">
        <w:trPr>
          <w:trHeight w:val="197"/>
          <w:jc w:val="right"/>
        </w:trPr>
        <w:tc>
          <w:tcPr>
            <w:tcW w:w="3024" w:type="dxa"/>
          </w:tcPr>
          <w:p w14:paraId="30726B57"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Ричард Лоутон</w:t>
            </w:r>
          </w:p>
        </w:tc>
        <w:tc>
          <w:tcPr>
            <w:tcW w:w="2488" w:type="dxa"/>
            <w:tcBorders>
              <w:top w:val="nil"/>
              <w:left w:val="nil"/>
              <w:right w:val="nil"/>
            </w:tcBorders>
          </w:tcPr>
          <w:p w14:paraId="308CBEC6"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227F876D"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lang w:val="ru-RU"/>
              </w:rPr>
            </w:pPr>
            <w:r w:rsidRPr="00400CC6">
              <w:rPr>
                <w:color w:val="000000"/>
                <w:szCs w:val="18"/>
                <w:lang w:val="ru-RU"/>
              </w:rPr>
              <w:t>Соединенное Королевство Великобритании и Северной Ирландии</w:t>
            </w:r>
          </w:p>
        </w:tc>
      </w:tr>
      <w:tr w:rsidR="00295439" w:rsidRPr="00400CC6" w14:paraId="15CFDDD0" w14:textId="77777777" w:rsidTr="005B6360">
        <w:trPr>
          <w:trHeight w:val="197"/>
          <w:jc w:val="right"/>
        </w:trPr>
        <w:tc>
          <w:tcPr>
            <w:tcW w:w="3024" w:type="dxa"/>
            <w:vAlign w:val="center"/>
          </w:tcPr>
          <w:p w14:paraId="3B30BDE4"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Тинсюнь Ли</w:t>
            </w:r>
          </w:p>
        </w:tc>
        <w:tc>
          <w:tcPr>
            <w:tcW w:w="2488" w:type="dxa"/>
            <w:tcBorders>
              <w:top w:val="nil"/>
              <w:left w:val="nil"/>
              <w:right w:val="nil"/>
            </w:tcBorders>
          </w:tcPr>
          <w:p w14:paraId="57F1B2B0"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6E60E220"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Китай</w:t>
            </w:r>
          </w:p>
        </w:tc>
      </w:tr>
      <w:tr w:rsidR="00295439" w:rsidRPr="00400CC6" w14:paraId="53CD385E" w14:textId="77777777" w:rsidTr="005B6360">
        <w:trPr>
          <w:trHeight w:val="197"/>
          <w:jc w:val="right"/>
        </w:trPr>
        <w:tc>
          <w:tcPr>
            <w:tcW w:w="3024" w:type="dxa"/>
            <w:vAlign w:val="center"/>
          </w:tcPr>
          <w:p w14:paraId="627D3586"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Карлоандреа Мальвичино</w:t>
            </w:r>
          </w:p>
        </w:tc>
        <w:tc>
          <w:tcPr>
            <w:tcW w:w="2488" w:type="dxa"/>
            <w:tcBorders>
              <w:top w:val="nil"/>
              <w:left w:val="nil"/>
              <w:right w:val="nil"/>
            </w:tcBorders>
          </w:tcPr>
          <w:p w14:paraId="787B4206"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2BA0D30C"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Италия</w:t>
            </w:r>
          </w:p>
        </w:tc>
      </w:tr>
      <w:tr w:rsidR="00295439" w:rsidRPr="00400CC6" w14:paraId="7A3610BE" w14:textId="77777777" w:rsidTr="005B6360">
        <w:trPr>
          <w:trHeight w:val="197"/>
          <w:jc w:val="right"/>
        </w:trPr>
        <w:tc>
          <w:tcPr>
            <w:tcW w:w="3024" w:type="dxa"/>
            <w:vAlign w:val="center"/>
          </w:tcPr>
          <w:p w14:paraId="02F85328"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Акио Мияра</w:t>
            </w:r>
          </w:p>
        </w:tc>
        <w:tc>
          <w:tcPr>
            <w:tcW w:w="2488" w:type="dxa"/>
            <w:tcBorders>
              <w:top w:val="nil"/>
              <w:left w:val="nil"/>
              <w:right w:val="nil"/>
            </w:tcBorders>
          </w:tcPr>
          <w:p w14:paraId="0B9AD351"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4DA97D3B"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Япония</w:t>
            </w:r>
          </w:p>
        </w:tc>
      </w:tr>
      <w:tr w:rsidR="00295439" w:rsidRPr="00400CC6" w14:paraId="793CC506" w14:textId="77777777" w:rsidTr="005B6360">
        <w:trPr>
          <w:trHeight w:val="197"/>
          <w:jc w:val="right"/>
        </w:trPr>
        <w:tc>
          <w:tcPr>
            <w:tcW w:w="3024" w:type="dxa"/>
            <w:vAlign w:val="center"/>
          </w:tcPr>
          <w:p w14:paraId="072D5585"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Петтер Некса</w:t>
            </w:r>
          </w:p>
        </w:tc>
        <w:tc>
          <w:tcPr>
            <w:tcW w:w="2488" w:type="dxa"/>
            <w:tcBorders>
              <w:top w:val="nil"/>
              <w:left w:val="nil"/>
              <w:right w:val="nil"/>
            </w:tcBorders>
          </w:tcPr>
          <w:p w14:paraId="7136729B"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50D7935A"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Норвегия</w:t>
            </w:r>
          </w:p>
        </w:tc>
      </w:tr>
      <w:tr w:rsidR="00295439" w:rsidRPr="00400CC6" w14:paraId="4C2E1F3A" w14:textId="77777777" w:rsidTr="005B6360">
        <w:trPr>
          <w:trHeight w:val="197"/>
          <w:jc w:val="right"/>
        </w:trPr>
        <w:tc>
          <w:tcPr>
            <w:tcW w:w="3024" w:type="dxa"/>
            <w:vAlign w:val="center"/>
          </w:tcPr>
          <w:p w14:paraId="2B5F7583"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Тецудзи Окада</w:t>
            </w:r>
          </w:p>
        </w:tc>
        <w:tc>
          <w:tcPr>
            <w:tcW w:w="2488" w:type="dxa"/>
            <w:tcBorders>
              <w:top w:val="nil"/>
              <w:left w:val="nil"/>
              <w:right w:val="nil"/>
            </w:tcBorders>
          </w:tcPr>
          <w:p w14:paraId="082BDFA9"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16300B4C"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Япония</w:t>
            </w:r>
          </w:p>
        </w:tc>
      </w:tr>
      <w:tr w:rsidR="00295439" w:rsidRPr="00400CC6" w14:paraId="633DD3AD" w14:textId="77777777" w:rsidTr="005B6360">
        <w:trPr>
          <w:trHeight w:val="197"/>
          <w:jc w:val="right"/>
        </w:trPr>
        <w:tc>
          <w:tcPr>
            <w:tcW w:w="3024" w:type="dxa"/>
            <w:vAlign w:val="center"/>
          </w:tcPr>
          <w:p w14:paraId="2070CBE3"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Паллав Пурохит</w:t>
            </w:r>
          </w:p>
        </w:tc>
        <w:tc>
          <w:tcPr>
            <w:tcW w:w="2488" w:type="dxa"/>
            <w:tcBorders>
              <w:top w:val="nil"/>
              <w:left w:val="nil"/>
              <w:right w:val="nil"/>
            </w:tcBorders>
          </w:tcPr>
          <w:p w14:paraId="224A98CF"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22D512C5"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Индия</w:t>
            </w:r>
          </w:p>
        </w:tc>
      </w:tr>
      <w:tr w:rsidR="00295439" w:rsidRPr="00400CC6" w14:paraId="2D94BB99" w14:textId="77777777" w:rsidTr="005B6360">
        <w:trPr>
          <w:trHeight w:val="197"/>
          <w:jc w:val="right"/>
        </w:trPr>
        <w:tc>
          <w:tcPr>
            <w:tcW w:w="3024" w:type="dxa"/>
            <w:vAlign w:val="center"/>
          </w:tcPr>
          <w:p w14:paraId="55EE71F5"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Тао Рен</w:t>
            </w:r>
          </w:p>
        </w:tc>
        <w:tc>
          <w:tcPr>
            <w:tcW w:w="2488" w:type="dxa"/>
            <w:tcBorders>
              <w:top w:val="nil"/>
              <w:left w:val="nil"/>
              <w:right w:val="nil"/>
            </w:tcBorders>
          </w:tcPr>
          <w:p w14:paraId="3796A33D"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29012FD5"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Китай</w:t>
            </w:r>
          </w:p>
        </w:tc>
      </w:tr>
      <w:tr w:rsidR="00295439" w:rsidRPr="00400CC6" w14:paraId="38D5FD76" w14:textId="77777777" w:rsidTr="005B6360">
        <w:trPr>
          <w:trHeight w:val="197"/>
          <w:jc w:val="right"/>
        </w:trPr>
        <w:tc>
          <w:tcPr>
            <w:tcW w:w="3024" w:type="dxa"/>
            <w:vAlign w:val="center"/>
          </w:tcPr>
          <w:p w14:paraId="3DED9F6B"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Джорджио Русиньуоло</w:t>
            </w:r>
          </w:p>
        </w:tc>
        <w:tc>
          <w:tcPr>
            <w:tcW w:w="2488" w:type="dxa"/>
            <w:tcBorders>
              <w:top w:val="nil"/>
              <w:left w:val="nil"/>
              <w:right w:val="nil"/>
            </w:tcBorders>
          </w:tcPr>
          <w:p w14:paraId="6009A69C"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6D49873C"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Соединенные Штаты Америки</w:t>
            </w:r>
          </w:p>
        </w:tc>
      </w:tr>
      <w:tr w:rsidR="00295439" w:rsidRPr="00400CC6" w14:paraId="4B3B6913" w14:textId="77777777" w:rsidTr="005B6360">
        <w:trPr>
          <w:trHeight w:val="197"/>
          <w:jc w:val="right"/>
        </w:trPr>
        <w:tc>
          <w:tcPr>
            <w:tcW w:w="3024" w:type="dxa"/>
            <w:vAlign w:val="center"/>
          </w:tcPr>
          <w:p w14:paraId="04696AAB"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Мади Саканде</w:t>
            </w:r>
          </w:p>
        </w:tc>
        <w:tc>
          <w:tcPr>
            <w:tcW w:w="2488" w:type="dxa"/>
            <w:tcBorders>
              <w:top w:val="nil"/>
              <w:left w:val="nil"/>
              <w:right w:val="nil"/>
            </w:tcBorders>
          </w:tcPr>
          <w:p w14:paraId="5B2DCA95"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06C19345"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Буркина-Фасо</w:t>
            </w:r>
          </w:p>
        </w:tc>
      </w:tr>
      <w:tr w:rsidR="00295439" w:rsidRPr="00400CC6" w14:paraId="086BDD7C" w14:textId="77777777" w:rsidTr="005B6360">
        <w:trPr>
          <w:trHeight w:val="197"/>
          <w:jc w:val="right"/>
        </w:trPr>
        <w:tc>
          <w:tcPr>
            <w:tcW w:w="3024" w:type="dxa"/>
            <w:vAlign w:val="center"/>
          </w:tcPr>
          <w:p w14:paraId="413AE1C8"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Лейла Сайин</w:t>
            </w:r>
          </w:p>
        </w:tc>
        <w:tc>
          <w:tcPr>
            <w:tcW w:w="2488" w:type="dxa"/>
            <w:tcBorders>
              <w:top w:val="nil"/>
              <w:left w:val="nil"/>
              <w:right w:val="nil"/>
            </w:tcBorders>
          </w:tcPr>
          <w:p w14:paraId="0AF4945F"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63ECA467"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Турция</w:t>
            </w:r>
          </w:p>
        </w:tc>
      </w:tr>
      <w:tr w:rsidR="00295439" w:rsidRPr="00400CC6" w14:paraId="738C05AF" w14:textId="77777777" w:rsidTr="005B6360">
        <w:trPr>
          <w:trHeight w:val="197"/>
          <w:jc w:val="right"/>
        </w:trPr>
        <w:tc>
          <w:tcPr>
            <w:tcW w:w="3024" w:type="dxa"/>
            <w:vAlign w:val="center"/>
          </w:tcPr>
          <w:p w14:paraId="2D1C9E43"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Андреа Фойгт</w:t>
            </w:r>
          </w:p>
        </w:tc>
        <w:tc>
          <w:tcPr>
            <w:tcW w:w="2488" w:type="dxa"/>
            <w:tcBorders>
              <w:top w:val="nil"/>
              <w:left w:val="nil"/>
              <w:right w:val="nil"/>
            </w:tcBorders>
          </w:tcPr>
          <w:p w14:paraId="3DF03D5E"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446F0E7F"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Германия</w:t>
            </w:r>
          </w:p>
        </w:tc>
      </w:tr>
      <w:tr w:rsidR="00295439" w:rsidRPr="00400CC6" w14:paraId="5DDFB637" w14:textId="77777777" w:rsidTr="005B6360">
        <w:trPr>
          <w:trHeight w:val="197"/>
          <w:jc w:val="right"/>
        </w:trPr>
        <w:tc>
          <w:tcPr>
            <w:tcW w:w="3024" w:type="dxa"/>
            <w:vAlign w:val="center"/>
          </w:tcPr>
          <w:p w14:paraId="5DC30BD3"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Асбьёрн Л. Вонсильд</w:t>
            </w:r>
          </w:p>
        </w:tc>
        <w:tc>
          <w:tcPr>
            <w:tcW w:w="2488" w:type="dxa"/>
            <w:tcBorders>
              <w:top w:val="nil"/>
              <w:left w:val="nil"/>
              <w:right w:val="nil"/>
            </w:tcBorders>
          </w:tcPr>
          <w:p w14:paraId="1EA9843B"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68429875"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Дания</w:t>
            </w:r>
          </w:p>
        </w:tc>
      </w:tr>
      <w:tr w:rsidR="00295439" w:rsidRPr="00400CC6" w14:paraId="13B3ADD0" w14:textId="77777777" w:rsidTr="005B6360">
        <w:trPr>
          <w:trHeight w:val="197"/>
          <w:jc w:val="right"/>
        </w:trPr>
        <w:tc>
          <w:tcPr>
            <w:tcW w:w="3024" w:type="dxa"/>
            <w:vAlign w:val="center"/>
          </w:tcPr>
          <w:p w14:paraId="6A5E4387"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 xml:space="preserve">Кристиан М. Вишневски </w:t>
            </w:r>
          </w:p>
        </w:tc>
        <w:tc>
          <w:tcPr>
            <w:tcW w:w="2488" w:type="dxa"/>
            <w:tcBorders>
              <w:top w:val="nil"/>
              <w:left w:val="nil"/>
              <w:right w:val="nil"/>
            </w:tcBorders>
          </w:tcPr>
          <w:p w14:paraId="3D51934B"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vAlign w:val="center"/>
          </w:tcPr>
          <w:p w14:paraId="7D8C8ABF"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Соединенные Штаты Америки</w:t>
            </w:r>
          </w:p>
        </w:tc>
      </w:tr>
      <w:tr w:rsidR="00295439" w:rsidRPr="00400CC6" w14:paraId="5CCD1281" w14:textId="77777777" w:rsidTr="005B6360">
        <w:trPr>
          <w:trHeight w:val="57"/>
          <w:jc w:val="right"/>
        </w:trPr>
        <w:tc>
          <w:tcPr>
            <w:tcW w:w="3024" w:type="dxa"/>
            <w:tcBorders>
              <w:top w:val="nil"/>
              <w:left w:val="nil"/>
              <w:bottom w:val="single" w:sz="12" w:space="0" w:color="auto"/>
              <w:right w:val="nil"/>
            </w:tcBorders>
          </w:tcPr>
          <w:p w14:paraId="6F1FB1BE"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Самуэль Яна Мотта</w:t>
            </w:r>
          </w:p>
        </w:tc>
        <w:tc>
          <w:tcPr>
            <w:tcW w:w="2488" w:type="dxa"/>
            <w:tcBorders>
              <w:top w:val="nil"/>
              <w:left w:val="nil"/>
              <w:bottom w:val="single" w:sz="12" w:space="0" w:color="auto"/>
              <w:right w:val="nil"/>
            </w:tcBorders>
          </w:tcPr>
          <w:p w14:paraId="2DF2B42B"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Член КТВХ</w:t>
            </w:r>
          </w:p>
        </w:tc>
        <w:tc>
          <w:tcPr>
            <w:tcW w:w="2795" w:type="dxa"/>
            <w:tcBorders>
              <w:top w:val="nil"/>
              <w:left w:val="nil"/>
              <w:bottom w:val="single" w:sz="12" w:space="0" w:color="auto"/>
              <w:right w:val="nil"/>
            </w:tcBorders>
          </w:tcPr>
          <w:p w14:paraId="52F6B00F" w14:textId="77777777" w:rsidR="00295439" w:rsidRPr="00400CC6" w:rsidRDefault="00295439" w:rsidP="00400CC6">
            <w:pPr>
              <w:pStyle w:val="Normal-pool-Table"/>
              <w:tabs>
                <w:tab w:val="clear" w:pos="624"/>
                <w:tab w:val="clear" w:pos="1247"/>
                <w:tab w:val="clear" w:pos="1871"/>
                <w:tab w:val="clear" w:pos="2495"/>
                <w:tab w:val="clear" w:pos="3119"/>
                <w:tab w:val="clear" w:pos="3742"/>
                <w:tab w:val="clear" w:pos="4366"/>
                <w:tab w:val="clear" w:pos="4990"/>
              </w:tabs>
              <w:rPr>
                <w:color w:val="808080" w:themeColor="background1" w:themeShade="80"/>
                <w:szCs w:val="18"/>
              </w:rPr>
            </w:pPr>
            <w:r w:rsidRPr="00400CC6">
              <w:rPr>
                <w:color w:val="000000"/>
                <w:szCs w:val="18"/>
                <w:lang w:val="ru-RU"/>
              </w:rPr>
              <w:t>Перу</w:t>
            </w:r>
          </w:p>
        </w:tc>
      </w:tr>
    </w:tbl>
    <w:p w14:paraId="424BBDA6" w14:textId="77777777" w:rsidR="00295439" w:rsidRPr="00B21A41" w:rsidRDefault="00295439" w:rsidP="00505A88">
      <w:pPr>
        <w:pStyle w:val="Normal-pool"/>
        <w:tabs>
          <w:tab w:val="clear" w:pos="624"/>
          <w:tab w:val="clear" w:pos="1247"/>
          <w:tab w:val="clear" w:pos="1871"/>
          <w:tab w:val="clear" w:pos="2495"/>
          <w:tab w:val="clear" w:pos="3119"/>
          <w:tab w:val="clear" w:pos="3742"/>
          <w:tab w:val="clear" w:pos="4366"/>
          <w:tab w:val="clear" w:pos="4990"/>
        </w:tabs>
        <w:spacing w:before="60" w:after="120"/>
        <w:ind w:left="1247" w:firstLine="624"/>
        <w:rPr>
          <w:iCs/>
          <w:color w:val="000000" w:themeColor="text1"/>
          <w:sz w:val="17"/>
          <w:szCs w:val="17"/>
          <w:lang w:val="ru-RU"/>
        </w:rPr>
      </w:pPr>
      <w:r>
        <w:rPr>
          <w:sz w:val="17"/>
          <w:szCs w:val="17"/>
          <w:lang w:val="ru-RU"/>
        </w:rPr>
        <w:tab/>
      </w:r>
      <w:r>
        <w:rPr>
          <w:i/>
          <w:iCs/>
          <w:sz w:val="17"/>
          <w:szCs w:val="17"/>
          <w:lang w:val="ru-RU"/>
        </w:rPr>
        <w:t xml:space="preserve">Сокращения: </w:t>
      </w:r>
      <w:r>
        <w:rPr>
          <w:sz w:val="17"/>
          <w:szCs w:val="17"/>
          <w:lang w:val="ru-RU"/>
        </w:rPr>
        <w:t xml:space="preserve">КТВП – Комитет по техническим вариантам замены гибких и жестких пеноматериалов; КТВПТ – Комитет по техническим вариантам замены для пожаротушения; КТВБМ – Комитет по техническим вариантам замены бромистого метила; КТВМХ – Комитет по техническим вариантам замены медицинских видов применения и химических веществ. </w:t>
      </w:r>
    </w:p>
    <w:p w14:paraId="74158462" w14:textId="77777777" w:rsidR="00295439" w:rsidRDefault="00295439" w:rsidP="009A08F3">
      <w:pPr>
        <w:pStyle w:val="Normalnumber"/>
        <w:numPr>
          <w:ilvl w:val="0"/>
          <w:numId w:val="0"/>
        </w:numPr>
        <w:ind w:left="1247"/>
        <w:rPr>
          <w:sz w:val="20"/>
          <w:szCs w:val="20"/>
          <w:lang w:val="ru-RU"/>
        </w:rPr>
        <w:sectPr w:rsidR="00295439" w:rsidSect="00295439">
          <w:footnotePr>
            <w:numRestart w:val="eachSect"/>
          </w:footnotePr>
          <w:pgSz w:w="11907" w:h="16839" w:code="9"/>
          <w:pgMar w:top="907" w:right="992" w:bottom="1418" w:left="1418" w:header="539" w:footer="975" w:gutter="0"/>
          <w:cols w:space="539"/>
          <w:docGrid w:linePitch="360"/>
        </w:sectPr>
      </w:pPr>
    </w:p>
    <w:p w14:paraId="436FE2DE" w14:textId="77777777" w:rsidR="00295439" w:rsidRPr="00B21A41" w:rsidRDefault="00295439" w:rsidP="00505A88">
      <w:pPr>
        <w:pStyle w:val="ZZAnxheader"/>
        <w:tabs>
          <w:tab w:val="clear" w:pos="624"/>
          <w:tab w:val="clear" w:pos="1247"/>
          <w:tab w:val="clear" w:pos="1871"/>
          <w:tab w:val="clear" w:pos="2495"/>
          <w:tab w:val="clear" w:pos="3119"/>
          <w:tab w:val="clear" w:pos="3742"/>
          <w:tab w:val="clear" w:pos="4366"/>
          <w:tab w:val="clear" w:pos="4990"/>
        </w:tabs>
        <w:spacing w:after="240"/>
        <w:rPr>
          <w:lang w:val="ru-RU"/>
        </w:rPr>
      </w:pPr>
      <w:r>
        <w:rPr>
          <w:lang w:val="ru-RU"/>
        </w:rPr>
        <w:lastRenderedPageBreak/>
        <w:t>Приложение IV</w:t>
      </w:r>
      <w:r w:rsidRPr="00D245AD">
        <w:rPr>
          <w:b w:val="0"/>
          <w:bCs w:val="0"/>
          <w:lang w:val="ru-RU"/>
        </w:rPr>
        <w:footnoteReference w:customMarkFollows="1" w:id="20"/>
        <w:t>*</w:t>
      </w:r>
    </w:p>
    <w:p w14:paraId="365F3BA3" w14:textId="77777777" w:rsidR="00295439" w:rsidRPr="00B21A41" w:rsidRDefault="00295439" w:rsidP="00505A88">
      <w:pPr>
        <w:pStyle w:val="ZZAnxtitle"/>
        <w:tabs>
          <w:tab w:val="clear" w:pos="624"/>
          <w:tab w:val="clear" w:pos="1247"/>
          <w:tab w:val="clear" w:pos="1871"/>
          <w:tab w:val="clear" w:pos="2495"/>
          <w:tab w:val="clear" w:pos="3119"/>
          <w:tab w:val="clear" w:pos="3742"/>
          <w:tab w:val="clear" w:pos="4366"/>
          <w:tab w:val="clear" w:pos="4990"/>
        </w:tabs>
        <w:spacing w:before="0"/>
        <w:ind w:right="567"/>
        <w:rPr>
          <w:lang w:val="ru-RU"/>
        </w:rPr>
      </w:pPr>
      <w:r>
        <w:rPr>
          <w:lang w:val="ru-RU"/>
        </w:rPr>
        <w:t>Матрица экспертных знаний, необходимых Группе по техническому обзору и экономической оценке, по состоянию на май 2026 года</w:t>
      </w:r>
    </w:p>
    <w:tbl>
      <w:tblPr>
        <w:tblStyle w:val="ListTable3-Accent5"/>
        <w:tblW w:w="8307" w:type="dxa"/>
        <w:jc w:val="right"/>
        <w:tblBorders>
          <w:top w:val="none" w:sz="0" w:space="0" w:color="auto"/>
          <w:left w:val="none" w:sz="0" w:space="0" w:color="auto"/>
          <w:bottom w:val="none" w:sz="0" w:space="0" w:color="auto"/>
          <w:right w:val="none" w:sz="0" w:space="0" w:color="auto"/>
        </w:tblBorders>
        <w:tblLayout w:type="fixed"/>
        <w:tblCellMar>
          <w:left w:w="57" w:type="dxa"/>
          <w:right w:w="57" w:type="dxa"/>
        </w:tblCellMar>
        <w:tblLook w:val="06A0" w:firstRow="1" w:lastRow="0" w:firstColumn="1" w:lastColumn="0" w:noHBand="1" w:noVBand="1"/>
      </w:tblPr>
      <w:tblGrid>
        <w:gridCol w:w="1975"/>
        <w:gridCol w:w="3827"/>
        <w:gridCol w:w="2505"/>
      </w:tblGrid>
      <w:tr w:rsidR="00295439" w:rsidRPr="00C932A4" w14:paraId="7051ED1E" w14:textId="77777777" w:rsidTr="002B3B16">
        <w:trPr>
          <w:cnfStyle w:val="100000000000" w:firstRow="1" w:lastRow="0" w:firstColumn="0" w:lastColumn="0" w:oddVBand="0" w:evenVBand="0" w:oddHBand="0" w:evenHBand="0" w:firstRowFirstColumn="0" w:firstRowLastColumn="0" w:lastRowFirstColumn="0" w:lastRowLastColumn="0"/>
          <w:trHeight w:val="56"/>
          <w:tblHeader/>
          <w:jc w:val="right"/>
        </w:trPr>
        <w:tc>
          <w:tcPr>
            <w:cnfStyle w:val="001000000100" w:firstRow="0" w:lastRow="0" w:firstColumn="1" w:lastColumn="0" w:oddVBand="0" w:evenVBand="0" w:oddHBand="0" w:evenHBand="0" w:firstRowFirstColumn="1" w:firstRowLastColumn="0" w:lastRowFirstColumn="0" w:lastRowLastColumn="0"/>
            <w:tcW w:w="1975" w:type="dxa"/>
            <w:tcBorders>
              <w:top w:val="single" w:sz="4" w:space="0" w:color="auto"/>
              <w:bottom w:val="single" w:sz="12" w:space="0" w:color="auto"/>
              <w:right w:val="none" w:sz="0" w:space="0" w:color="auto"/>
            </w:tcBorders>
            <w:shd w:val="clear" w:color="auto" w:fill="auto"/>
            <w:tcMar>
              <w:left w:w="108" w:type="dxa"/>
              <w:right w:w="108" w:type="dxa"/>
            </w:tcMar>
            <w:vAlign w:val="bottom"/>
          </w:tcPr>
          <w:p w14:paraId="7E7F9FA6" w14:textId="77777777" w:rsidR="00295439" w:rsidRPr="00930140" w:rsidRDefault="00295439" w:rsidP="002B3B16">
            <w:pPr>
              <w:pStyle w:val="Normal-pool-Table"/>
              <w:tabs>
                <w:tab w:val="clear" w:pos="624"/>
                <w:tab w:val="clear" w:pos="1247"/>
                <w:tab w:val="clear" w:pos="1871"/>
                <w:tab w:val="clear" w:pos="2495"/>
                <w:tab w:val="clear" w:pos="3119"/>
                <w:tab w:val="clear" w:pos="3742"/>
                <w:tab w:val="clear" w:pos="4366"/>
                <w:tab w:val="clear" w:pos="4990"/>
              </w:tabs>
              <w:rPr>
                <w:color w:val="auto"/>
                <w:szCs w:val="18"/>
              </w:rPr>
            </w:pPr>
            <w:r>
              <w:rPr>
                <w:color w:val="000000"/>
                <w:szCs w:val="18"/>
                <w:lang w:val="ru-RU"/>
              </w:rPr>
              <w:t>Орган</w:t>
            </w:r>
          </w:p>
        </w:tc>
        <w:tc>
          <w:tcPr>
            <w:tcW w:w="3827" w:type="dxa"/>
            <w:tcBorders>
              <w:top w:val="single" w:sz="4" w:space="0" w:color="auto"/>
              <w:bottom w:val="single" w:sz="12" w:space="0" w:color="auto"/>
            </w:tcBorders>
            <w:shd w:val="clear" w:color="auto" w:fill="auto"/>
            <w:tcMar>
              <w:left w:w="108" w:type="dxa"/>
              <w:right w:w="108" w:type="dxa"/>
            </w:tcMar>
            <w:vAlign w:val="bottom"/>
          </w:tcPr>
          <w:p w14:paraId="011C8F6E" w14:textId="77777777" w:rsidR="00295439" w:rsidRPr="00930140"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100000000000" w:firstRow="1" w:lastRow="0" w:firstColumn="0" w:lastColumn="0" w:oddVBand="0" w:evenVBand="0" w:oddHBand="0" w:evenHBand="0" w:firstRowFirstColumn="0" w:firstRowLastColumn="0" w:lastRowFirstColumn="0" w:lastRowLastColumn="0"/>
              <w:rPr>
                <w:color w:val="auto"/>
                <w:szCs w:val="18"/>
              </w:rPr>
            </w:pPr>
            <w:r>
              <w:rPr>
                <w:color w:val="000000"/>
                <w:szCs w:val="18"/>
                <w:lang w:val="ru-RU"/>
              </w:rPr>
              <w:t>Необходимые экспертные знания</w:t>
            </w:r>
          </w:p>
        </w:tc>
        <w:tc>
          <w:tcPr>
            <w:tcW w:w="2505" w:type="dxa"/>
            <w:tcBorders>
              <w:top w:val="single" w:sz="4" w:space="0" w:color="auto"/>
              <w:bottom w:val="single" w:sz="12" w:space="0" w:color="auto"/>
            </w:tcBorders>
            <w:shd w:val="clear" w:color="auto" w:fill="auto"/>
            <w:tcMar>
              <w:left w:w="108" w:type="dxa"/>
              <w:right w:w="108" w:type="dxa"/>
            </w:tcMar>
            <w:vAlign w:val="bottom"/>
          </w:tcPr>
          <w:p w14:paraId="3FB726A2" w14:textId="77777777" w:rsidR="00295439" w:rsidRPr="00B21A41"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100000000000" w:firstRow="1" w:lastRow="0" w:firstColumn="0" w:lastColumn="0" w:oddVBand="0" w:evenVBand="0" w:oddHBand="0" w:evenHBand="0" w:firstRowFirstColumn="0" w:firstRowLastColumn="0" w:lastRowFirstColumn="0" w:lastRowLastColumn="0"/>
              <w:rPr>
                <w:color w:val="auto"/>
                <w:szCs w:val="18"/>
                <w:lang w:val="ru-RU"/>
              </w:rPr>
            </w:pPr>
            <w:r>
              <w:rPr>
                <w:color w:val="000000"/>
                <w:szCs w:val="18"/>
                <w:lang w:val="ru-RU"/>
              </w:rPr>
              <w:t>Стороны, действующие в рамках статьи 5 (С5) / Стороны, не действующие в рамках статьи 5 (не С5)</w:t>
            </w:r>
          </w:p>
        </w:tc>
      </w:tr>
      <w:tr w:rsidR="00295439" w:rsidRPr="00C932A4" w14:paraId="5AD87C42" w14:textId="77777777" w:rsidTr="002B3B16">
        <w:trPr>
          <w:trHeight w:val="208"/>
          <w:jc w:val="right"/>
        </w:trPr>
        <w:tc>
          <w:tcPr>
            <w:cnfStyle w:val="001000000000" w:firstRow="0" w:lastRow="0" w:firstColumn="1" w:lastColumn="0" w:oddVBand="0" w:evenVBand="0" w:oddHBand="0" w:evenHBand="0" w:firstRowFirstColumn="0" w:firstRowLastColumn="0" w:lastRowFirstColumn="0" w:lastRowLastColumn="0"/>
            <w:tcW w:w="1975" w:type="dxa"/>
            <w:vMerge w:val="restart"/>
            <w:tcBorders>
              <w:top w:val="single" w:sz="12" w:space="0" w:color="auto"/>
              <w:right w:val="none" w:sz="0" w:space="0" w:color="auto"/>
            </w:tcBorders>
            <w:tcMar>
              <w:left w:w="108" w:type="dxa"/>
              <w:right w:w="108" w:type="dxa"/>
            </w:tcMar>
            <w:vAlign w:val="center"/>
          </w:tcPr>
          <w:p w14:paraId="12027C28" w14:textId="77777777" w:rsidR="00295439" w:rsidRPr="00B21A41" w:rsidRDefault="00295439" w:rsidP="002B3B16">
            <w:pPr>
              <w:pStyle w:val="Normal-pool-Table"/>
              <w:tabs>
                <w:tab w:val="clear" w:pos="624"/>
                <w:tab w:val="clear" w:pos="1247"/>
                <w:tab w:val="clear" w:pos="1871"/>
                <w:tab w:val="clear" w:pos="2495"/>
                <w:tab w:val="clear" w:pos="3119"/>
                <w:tab w:val="clear" w:pos="3742"/>
                <w:tab w:val="clear" w:pos="4366"/>
                <w:tab w:val="clear" w:pos="4990"/>
              </w:tabs>
              <w:rPr>
                <w:szCs w:val="18"/>
                <w:lang w:val="ru-RU"/>
              </w:rPr>
            </w:pPr>
            <w:r>
              <w:rPr>
                <w:color w:val="000000"/>
                <w:szCs w:val="18"/>
                <w:lang w:val="ru-RU"/>
              </w:rPr>
              <w:t>Комитет по техническим вариантам замены для пожаротушения</w:t>
            </w:r>
          </w:p>
        </w:tc>
        <w:tc>
          <w:tcPr>
            <w:tcW w:w="3827" w:type="dxa"/>
            <w:tcBorders>
              <w:top w:val="single" w:sz="12" w:space="0" w:color="auto"/>
            </w:tcBorders>
            <w:tcMar>
              <w:left w:w="108" w:type="dxa"/>
              <w:right w:w="108" w:type="dxa"/>
            </w:tcMar>
          </w:tcPr>
          <w:p w14:paraId="0461BF82" w14:textId="77777777" w:rsidR="00295439" w:rsidRPr="00D245AD"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000000000000" w:firstRow="0" w:lastRow="0" w:firstColumn="0" w:lastColumn="0" w:oddVBand="0" w:evenVBand="0" w:oddHBand="0" w:evenHBand="0" w:firstRowFirstColumn="0" w:firstRowLastColumn="0" w:lastRowFirstColumn="0" w:lastRowLastColumn="0"/>
              <w:rPr>
                <w:szCs w:val="18"/>
              </w:rPr>
            </w:pPr>
            <w:r>
              <w:rPr>
                <w:color w:val="000000"/>
                <w:szCs w:val="18"/>
                <w:lang w:val="ru-RU"/>
              </w:rPr>
              <w:t>Использование ГФУ и альтернатив</w:t>
            </w:r>
          </w:p>
        </w:tc>
        <w:tc>
          <w:tcPr>
            <w:tcW w:w="2505" w:type="dxa"/>
            <w:tcBorders>
              <w:top w:val="single" w:sz="12" w:space="0" w:color="auto"/>
            </w:tcBorders>
            <w:tcMar>
              <w:left w:w="108" w:type="dxa"/>
              <w:right w:w="108" w:type="dxa"/>
            </w:tcMar>
          </w:tcPr>
          <w:p w14:paraId="34FCA1D0" w14:textId="77777777" w:rsidR="00295439" w:rsidRPr="00B21A41"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000000000000" w:firstRow="0" w:lastRow="0" w:firstColumn="0" w:lastColumn="0" w:oddVBand="0" w:evenVBand="0" w:oddHBand="0" w:evenHBand="0" w:firstRowFirstColumn="0" w:firstRowLastColumn="0" w:lastRowFirstColumn="0" w:lastRowLastColumn="0"/>
              <w:rPr>
                <w:szCs w:val="18"/>
                <w:lang w:val="ru-RU"/>
              </w:rPr>
            </w:pPr>
            <w:r>
              <w:rPr>
                <w:color w:val="000000"/>
                <w:szCs w:val="18"/>
                <w:lang w:val="ru-RU"/>
              </w:rPr>
              <w:t>Центральная и (или) Южная Америка, Ближний Восток и юг Африки (2)</w:t>
            </w:r>
          </w:p>
        </w:tc>
      </w:tr>
      <w:tr w:rsidR="00295439" w:rsidRPr="00D245AD" w14:paraId="706939AD" w14:textId="77777777" w:rsidTr="002B3B16">
        <w:trPr>
          <w:trHeight w:val="54"/>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tcMar>
              <w:left w:w="108" w:type="dxa"/>
              <w:right w:w="108" w:type="dxa"/>
            </w:tcMar>
            <w:vAlign w:val="center"/>
          </w:tcPr>
          <w:p w14:paraId="3E23C5B2" w14:textId="77777777" w:rsidR="00295439" w:rsidRPr="00B21A41" w:rsidRDefault="00295439" w:rsidP="002B3B16">
            <w:pPr>
              <w:pStyle w:val="Normal-pool-Table"/>
              <w:tabs>
                <w:tab w:val="clear" w:pos="624"/>
                <w:tab w:val="clear" w:pos="1247"/>
                <w:tab w:val="clear" w:pos="1871"/>
                <w:tab w:val="clear" w:pos="2495"/>
                <w:tab w:val="clear" w:pos="3119"/>
                <w:tab w:val="clear" w:pos="3742"/>
                <w:tab w:val="clear" w:pos="4366"/>
                <w:tab w:val="clear" w:pos="4990"/>
              </w:tabs>
              <w:rPr>
                <w:szCs w:val="18"/>
                <w:lang w:val="ru-RU"/>
              </w:rPr>
            </w:pPr>
          </w:p>
        </w:tc>
        <w:tc>
          <w:tcPr>
            <w:tcW w:w="3827" w:type="dxa"/>
            <w:tcMar>
              <w:left w:w="108" w:type="dxa"/>
              <w:right w:w="108" w:type="dxa"/>
            </w:tcMar>
          </w:tcPr>
          <w:p w14:paraId="7D640FB5" w14:textId="77777777" w:rsidR="00295439" w:rsidRPr="00B21A41"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000000000000" w:firstRow="0" w:lastRow="0" w:firstColumn="0" w:lastColumn="0" w:oddVBand="0" w:evenVBand="0" w:oddHBand="0" w:evenHBand="0" w:firstRowFirstColumn="0" w:firstRowLastColumn="0" w:lastRowFirstColumn="0" w:lastRowLastColumn="0"/>
              <w:rPr>
                <w:szCs w:val="18"/>
                <w:lang w:val="ru-RU"/>
              </w:rPr>
            </w:pPr>
            <w:r>
              <w:rPr>
                <w:color w:val="000000"/>
                <w:szCs w:val="18"/>
                <w:lang w:val="ru-RU"/>
              </w:rPr>
              <w:t xml:space="preserve">Использование галонов и альтернатив им в торговом судоходстве и рекуперация при демонтаже судов </w:t>
            </w:r>
          </w:p>
        </w:tc>
        <w:tc>
          <w:tcPr>
            <w:tcW w:w="2505" w:type="dxa"/>
            <w:tcMar>
              <w:left w:w="108" w:type="dxa"/>
              <w:right w:w="108" w:type="dxa"/>
            </w:tcMar>
          </w:tcPr>
          <w:p w14:paraId="02BB8EFD" w14:textId="77777777" w:rsidR="00295439" w:rsidRPr="00D245AD"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000000000000" w:firstRow="0" w:lastRow="0" w:firstColumn="0" w:lastColumn="0" w:oddVBand="0" w:evenVBand="0" w:oddHBand="0" w:evenHBand="0" w:firstRowFirstColumn="0" w:firstRowLastColumn="0" w:lastRowFirstColumn="0" w:lastRowLastColumn="0"/>
              <w:rPr>
                <w:szCs w:val="18"/>
              </w:rPr>
            </w:pPr>
            <w:r>
              <w:rPr>
                <w:color w:val="000000"/>
                <w:szCs w:val="18"/>
                <w:lang w:val="ru-RU"/>
              </w:rPr>
              <w:t>Пакистан</w:t>
            </w:r>
          </w:p>
        </w:tc>
      </w:tr>
      <w:tr w:rsidR="00295439" w:rsidRPr="00D245AD" w14:paraId="794228D7" w14:textId="77777777" w:rsidTr="002B3B16">
        <w:trPr>
          <w:trHeight w:val="244"/>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tcMar>
              <w:left w:w="108" w:type="dxa"/>
              <w:right w:w="108" w:type="dxa"/>
            </w:tcMar>
            <w:vAlign w:val="center"/>
          </w:tcPr>
          <w:p w14:paraId="0FD6A3C7" w14:textId="77777777" w:rsidR="00295439" w:rsidRPr="00D245AD" w:rsidRDefault="00295439" w:rsidP="002B3B16">
            <w:pPr>
              <w:pStyle w:val="Normal-pool-Table"/>
              <w:tabs>
                <w:tab w:val="clear" w:pos="624"/>
                <w:tab w:val="clear" w:pos="1247"/>
                <w:tab w:val="clear" w:pos="1871"/>
                <w:tab w:val="clear" w:pos="2495"/>
                <w:tab w:val="clear" w:pos="3119"/>
                <w:tab w:val="clear" w:pos="3742"/>
                <w:tab w:val="clear" w:pos="4366"/>
                <w:tab w:val="clear" w:pos="4990"/>
              </w:tabs>
              <w:rPr>
                <w:szCs w:val="18"/>
              </w:rPr>
            </w:pPr>
          </w:p>
        </w:tc>
        <w:tc>
          <w:tcPr>
            <w:tcW w:w="3827" w:type="dxa"/>
            <w:tcMar>
              <w:left w:w="108" w:type="dxa"/>
              <w:right w:w="108" w:type="dxa"/>
            </w:tcMar>
          </w:tcPr>
          <w:p w14:paraId="3855D280" w14:textId="77777777" w:rsidR="00295439" w:rsidRPr="00D245AD"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000000000000" w:firstRow="0" w:lastRow="0" w:firstColumn="0" w:lastColumn="0" w:oddVBand="0" w:evenVBand="0" w:oddHBand="0" w:evenHBand="0" w:firstRowFirstColumn="0" w:firstRowLastColumn="0" w:lastRowFirstColumn="0" w:lastRowLastColumn="0"/>
              <w:rPr>
                <w:szCs w:val="18"/>
              </w:rPr>
            </w:pPr>
            <w:r>
              <w:rPr>
                <w:color w:val="000000"/>
                <w:szCs w:val="18"/>
                <w:lang w:val="ru-RU"/>
              </w:rPr>
              <w:t xml:space="preserve">Атомные электростанции </w:t>
            </w:r>
          </w:p>
        </w:tc>
        <w:tc>
          <w:tcPr>
            <w:tcW w:w="2505" w:type="dxa"/>
            <w:tcMar>
              <w:left w:w="108" w:type="dxa"/>
              <w:right w:w="108" w:type="dxa"/>
            </w:tcMar>
          </w:tcPr>
          <w:p w14:paraId="4F793DBC" w14:textId="77777777" w:rsidR="00295439" w:rsidRPr="00D245AD"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000000000000" w:firstRow="0" w:lastRow="0" w:firstColumn="0" w:lastColumn="0" w:oddVBand="0" w:evenVBand="0" w:oddHBand="0" w:evenHBand="0" w:firstRowFirstColumn="0" w:firstRowLastColumn="0" w:lastRowFirstColumn="0" w:lastRowLastColumn="0"/>
              <w:rPr>
                <w:szCs w:val="18"/>
              </w:rPr>
            </w:pPr>
            <w:r>
              <w:rPr>
                <w:color w:val="000000"/>
                <w:szCs w:val="18"/>
                <w:lang w:val="ru-RU"/>
              </w:rPr>
              <w:t>С5 или не С5</w:t>
            </w:r>
          </w:p>
        </w:tc>
      </w:tr>
      <w:tr w:rsidR="00295439" w:rsidRPr="00D245AD" w14:paraId="2DFCE7EE" w14:textId="77777777" w:rsidTr="002B3B16">
        <w:trPr>
          <w:trHeight w:val="221"/>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tcMar>
              <w:left w:w="108" w:type="dxa"/>
              <w:right w:w="108" w:type="dxa"/>
            </w:tcMar>
            <w:vAlign w:val="center"/>
          </w:tcPr>
          <w:p w14:paraId="7A25AE3F" w14:textId="77777777" w:rsidR="00295439" w:rsidRPr="00D245AD" w:rsidRDefault="00295439" w:rsidP="002B3B16">
            <w:pPr>
              <w:pStyle w:val="Normal-pool-Table"/>
              <w:tabs>
                <w:tab w:val="clear" w:pos="624"/>
                <w:tab w:val="clear" w:pos="1247"/>
                <w:tab w:val="clear" w:pos="1871"/>
                <w:tab w:val="clear" w:pos="2495"/>
                <w:tab w:val="clear" w:pos="3119"/>
                <w:tab w:val="clear" w:pos="3742"/>
                <w:tab w:val="clear" w:pos="4366"/>
                <w:tab w:val="clear" w:pos="4990"/>
              </w:tabs>
              <w:rPr>
                <w:szCs w:val="18"/>
              </w:rPr>
            </w:pPr>
          </w:p>
        </w:tc>
        <w:tc>
          <w:tcPr>
            <w:tcW w:w="3827" w:type="dxa"/>
            <w:tcMar>
              <w:left w:w="108" w:type="dxa"/>
              <w:right w:w="108" w:type="dxa"/>
            </w:tcMar>
          </w:tcPr>
          <w:p w14:paraId="129AA7B1" w14:textId="77777777" w:rsidR="00295439" w:rsidRPr="00B21A41"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000000000000" w:firstRow="0" w:lastRow="0" w:firstColumn="0" w:lastColumn="0" w:oddVBand="0" w:evenVBand="0" w:oddHBand="0" w:evenHBand="0" w:firstRowFirstColumn="0" w:firstRowLastColumn="0" w:lastRowFirstColumn="0" w:lastRowLastColumn="0"/>
              <w:rPr>
                <w:szCs w:val="18"/>
                <w:lang w:val="ru-RU"/>
              </w:rPr>
            </w:pPr>
            <w:r>
              <w:rPr>
                <w:color w:val="000000"/>
                <w:szCs w:val="18"/>
                <w:lang w:val="ru-RU"/>
              </w:rPr>
              <w:t xml:space="preserve">Гражданская авиация (особенно при техническом обслуживании, ремонте и восстановлении (ТОРВ) </w:t>
            </w:r>
          </w:p>
        </w:tc>
        <w:tc>
          <w:tcPr>
            <w:tcW w:w="2505" w:type="dxa"/>
            <w:tcMar>
              <w:left w:w="108" w:type="dxa"/>
              <w:right w:w="108" w:type="dxa"/>
            </w:tcMar>
          </w:tcPr>
          <w:p w14:paraId="521FEE11" w14:textId="77777777" w:rsidR="00295439" w:rsidRPr="00D245AD"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000000000000" w:firstRow="0" w:lastRow="0" w:firstColumn="0" w:lastColumn="0" w:oddVBand="0" w:evenVBand="0" w:oddHBand="0" w:evenHBand="0" w:firstRowFirstColumn="0" w:firstRowLastColumn="0" w:lastRowFirstColumn="0" w:lastRowLastColumn="0"/>
              <w:rPr>
                <w:szCs w:val="18"/>
              </w:rPr>
            </w:pPr>
            <w:r>
              <w:rPr>
                <w:color w:val="000000"/>
                <w:szCs w:val="18"/>
                <w:lang w:val="ru-RU"/>
              </w:rPr>
              <w:t>С5 или не С5</w:t>
            </w:r>
          </w:p>
        </w:tc>
      </w:tr>
      <w:tr w:rsidR="00295439" w:rsidRPr="00D245AD" w14:paraId="68AF4DA2" w14:textId="77777777" w:rsidTr="002B3B16">
        <w:trPr>
          <w:trHeight w:val="159"/>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tcMar>
              <w:left w:w="108" w:type="dxa"/>
              <w:right w:w="108" w:type="dxa"/>
            </w:tcMar>
            <w:vAlign w:val="center"/>
          </w:tcPr>
          <w:p w14:paraId="5A5A6290" w14:textId="77777777" w:rsidR="00295439" w:rsidRPr="00D245AD" w:rsidRDefault="00295439" w:rsidP="002B3B16">
            <w:pPr>
              <w:pStyle w:val="Normal-pool-Table"/>
              <w:tabs>
                <w:tab w:val="clear" w:pos="624"/>
                <w:tab w:val="clear" w:pos="1247"/>
                <w:tab w:val="clear" w:pos="1871"/>
                <w:tab w:val="clear" w:pos="2495"/>
                <w:tab w:val="clear" w:pos="3119"/>
                <w:tab w:val="clear" w:pos="3742"/>
                <w:tab w:val="clear" w:pos="4366"/>
                <w:tab w:val="clear" w:pos="4990"/>
              </w:tabs>
              <w:rPr>
                <w:szCs w:val="18"/>
              </w:rPr>
            </w:pPr>
          </w:p>
        </w:tc>
        <w:tc>
          <w:tcPr>
            <w:tcW w:w="3827" w:type="dxa"/>
            <w:tcMar>
              <w:left w:w="108" w:type="dxa"/>
              <w:right w:w="108" w:type="dxa"/>
            </w:tcMar>
          </w:tcPr>
          <w:p w14:paraId="588404A1" w14:textId="77777777" w:rsidR="00295439" w:rsidRPr="00D245AD"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000000000000" w:firstRow="0" w:lastRow="0" w:firstColumn="0" w:lastColumn="0" w:oddVBand="0" w:evenVBand="0" w:oddHBand="0" w:evenHBand="0" w:firstRowFirstColumn="0" w:firstRowLastColumn="0" w:lastRowFirstColumn="0" w:lastRowLastColumn="0"/>
              <w:rPr>
                <w:szCs w:val="18"/>
              </w:rPr>
            </w:pPr>
            <w:r>
              <w:rPr>
                <w:color w:val="000000"/>
                <w:szCs w:val="18"/>
                <w:lang w:val="ru-RU"/>
              </w:rPr>
              <w:t xml:space="preserve">Рециркуляция галонов и ГФУ </w:t>
            </w:r>
          </w:p>
        </w:tc>
        <w:tc>
          <w:tcPr>
            <w:tcW w:w="2505" w:type="dxa"/>
            <w:tcMar>
              <w:left w:w="108" w:type="dxa"/>
              <w:right w:w="108" w:type="dxa"/>
            </w:tcMar>
          </w:tcPr>
          <w:p w14:paraId="5BB277EB" w14:textId="77777777" w:rsidR="00295439" w:rsidRPr="00D245AD"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000000000000" w:firstRow="0" w:lastRow="0" w:firstColumn="0" w:lastColumn="0" w:oddVBand="0" w:evenVBand="0" w:oddHBand="0" w:evenHBand="0" w:firstRowFirstColumn="0" w:firstRowLastColumn="0" w:lastRowFirstColumn="0" w:lastRowLastColumn="0"/>
              <w:rPr>
                <w:szCs w:val="18"/>
              </w:rPr>
            </w:pPr>
            <w:r>
              <w:rPr>
                <w:color w:val="000000"/>
                <w:szCs w:val="18"/>
                <w:lang w:val="ru-RU"/>
              </w:rPr>
              <w:t>С5</w:t>
            </w:r>
          </w:p>
        </w:tc>
      </w:tr>
      <w:tr w:rsidR="00295439" w:rsidRPr="00D245AD" w14:paraId="4ECB3CCB" w14:textId="77777777" w:rsidTr="002B3B16">
        <w:trPr>
          <w:trHeight w:val="159"/>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tcMar>
              <w:left w:w="108" w:type="dxa"/>
              <w:right w:w="108" w:type="dxa"/>
            </w:tcMar>
            <w:vAlign w:val="center"/>
          </w:tcPr>
          <w:p w14:paraId="284222D5" w14:textId="77777777" w:rsidR="00295439" w:rsidRPr="00D245AD" w:rsidRDefault="00295439" w:rsidP="002B3B16">
            <w:pPr>
              <w:pStyle w:val="Normal-pool-Table"/>
              <w:tabs>
                <w:tab w:val="clear" w:pos="624"/>
                <w:tab w:val="clear" w:pos="1247"/>
                <w:tab w:val="clear" w:pos="1871"/>
                <w:tab w:val="clear" w:pos="2495"/>
                <w:tab w:val="clear" w:pos="3119"/>
                <w:tab w:val="clear" w:pos="3742"/>
                <w:tab w:val="clear" w:pos="4366"/>
                <w:tab w:val="clear" w:pos="4990"/>
              </w:tabs>
              <w:rPr>
                <w:szCs w:val="18"/>
              </w:rPr>
            </w:pPr>
          </w:p>
        </w:tc>
        <w:tc>
          <w:tcPr>
            <w:tcW w:w="3827" w:type="dxa"/>
            <w:tcMar>
              <w:left w:w="108" w:type="dxa"/>
              <w:right w:w="108" w:type="dxa"/>
            </w:tcMar>
          </w:tcPr>
          <w:p w14:paraId="0C3F1D33" w14:textId="77777777" w:rsidR="00295439" w:rsidRPr="00B21A41"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000000000000" w:firstRow="0" w:lastRow="0" w:firstColumn="0" w:lastColumn="0" w:oddVBand="0" w:evenVBand="0" w:oddHBand="0" w:evenHBand="0" w:firstRowFirstColumn="0" w:firstRowLastColumn="0" w:lastRowFirstColumn="0" w:lastRowLastColumn="0"/>
              <w:rPr>
                <w:szCs w:val="18"/>
                <w:lang w:val="ru-RU"/>
              </w:rPr>
            </w:pPr>
            <w:r>
              <w:rPr>
                <w:color w:val="000000"/>
                <w:szCs w:val="18"/>
                <w:lang w:val="ru-RU"/>
              </w:rPr>
              <w:t xml:space="preserve">Использование в качестве исходного сырья и выбросы галона 1301 </w:t>
            </w:r>
          </w:p>
        </w:tc>
        <w:tc>
          <w:tcPr>
            <w:tcW w:w="2505" w:type="dxa"/>
            <w:tcMar>
              <w:left w:w="108" w:type="dxa"/>
              <w:right w:w="108" w:type="dxa"/>
            </w:tcMar>
          </w:tcPr>
          <w:p w14:paraId="6C4FDC81" w14:textId="77777777" w:rsidR="00295439" w:rsidRPr="00D245AD"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000000000000" w:firstRow="0" w:lastRow="0" w:firstColumn="0" w:lastColumn="0" w:oddVBand="0" w:evenVBand="0" w:oddHBand="0" w:evenHBand="0" w:firstRowFirstColumn="0" w:firstRowLastColumn="0" w:lastRowFirstColumn="0" w:lastRowLastColumn="0"/>
              <w:rPr>
                <w:szCs w:val="18"/>
              </w:rPr>
            </w:pPr>
            <w:r>
              <w:rPr>
                <w:color w:val="000000"/>
                <w:szCs w:val="18"/>
                <w:lang w:val="ru-RU"/>
              </w:rPr>
              <w:t>С5 или не С5</w:t>
            </w:r>
          </w:p>
        </w:tc>
      </w:tr>
      <w:tr w:rsidR="00295439" w:rsidRPr="00D245AD" w14:paraId="521E377C" w14:textId="77777777" w:rsidTr="002B3B16">
        <w:trPr>
          <w:trHeight w:val="1709"/>
          <w:jc w:val="right"/>
        </w:trPr>
        <w:tc>
          <w:tcPr>
            <w:cnfStyle w:val="001000000000" w:firstRow="0" w:lastRow="0" w:firstColumn="1" w:lastColumn="0" w:oddVBand="0" w:evenVBand="0" w:oddHBand="0" w:evenHBand="0" w:firstRowFirstColumn="0" w:firstRowLastColumn="0" w:lastRowFirstColumn="0" w:lastRowLastColumn="0"/>
            <w:tcW w:w="1975" w:type="dxa"/>
            <w:tcBorders>
              <w:right w:val="none" w:sz="0" w:space="0" w:color="auto"/>
            </w:tcBorders>
            <w:tcMar>
              <w:left w:w="108" w:type="dxa"/>
              <w:right w:w="108" w:type="dxa"/>
            </w:tcMar>
          </w:tcPr>
          <w:p w14:paraId="65E8225E" w14:textId="77777777" w:rsidR="00295439" w:rsidRPr="00B21A41" w:rsidRDefault="00295439" w:rsidP="002B3B16">
            <w:pPr>
              <w:pStyle w:val="Normal-pool-Table"/>
              <w:tabs>
                <w:tab w:val="clear" w:pos="624"/>
                <w:tab w:val="clear" w:pos="1247"/>
                <w:tab w:val="clear" w:pos="1871"/>
                <w:tab w:val="clear" w:pos="2495"/>
                <w:tab w:val="clear" w:pos="3119"/>
                <w:tab w:val="clear" w:pos="3742"/>
                <w:tab w:val="clear" w:pos="4366"/>
                <w:tab w:val="clear" w:pos="4990"/>
              </w:tabs>
              <w:rPr>
                <w:szCs w:val="18"/>
                <w:lang w:val="ru-RU"/>
              </w:rPr>
            </w:pPr>
            <w:r>
              <w:rPr>
                <w:color w:val="000000"/>
                <w:szCs w:val="18"/>
                <w:lang w:val="ru-RU"/>
              </w:rPr>
              <w:t>Комитет по техническим вариантам замены пеноматериалов</w:t>
            </w:r>
          </w:p>
        </w:tc>
        <w:tc>
          <w:tcPr>
            <w:tcW w:w="3827" w:type="dxa"/>
            <w:tcMar>
              <w:left w:w="108" w:type="dxa"/>
              <w:right w:w="108" w:type="dxa"/>
            </w:tcMar>
          </w:tcPr>
          <w:p w14:paraId="157B5C33" w14:textId="77777777" w:rsidR="00295439" w:rsidRPr="00B21A41" w:rsidRDefault="00295439" w:rsidP="002B3B16">
            <w:pPr>
              <w:pStyle w:val="Normal-pool-Table"/>
              <w:tabs>
                <w:tab w:val="clear" w:pos="624"/>
                <w:tab w:val="clear" w:pos="1247"/>
                <w:tab w:val="clear" w:pos="1871"/>
                <w:tab w:val="clear" w:pos="2495"/>
                <w:tab w:val="clear" w:pos="3119"/>
                <w:tab w:val="clear" w:pos="3742"/>
                <w:tab w:val="clear" w:pos="4366"/>
                <w:tab w:val="clear" w:pos="4990"/>
              </w:tabs>
              <w:spacing w:after="120"/>
              <w:cnfStyle w:val="000000000000" w:firstRow="0" w:lastRow="0" w:firstColumn="0" w:lastColumn="0" w:oddVBand="0" w:evenVBand="0" w:oddHBand="0" w:evenHBand="0" w:firstRowFirstColumn="0" w:firstRowLastColumn="0" w:lastRowFirstColumn="0" w:lastRowLastColumn="0"/>
              <w:rPr>
                <w:szCs w:val="18"/>
                <w:lang w:val="ru-RU"/>
              </w:rPr>
            </w:pPr>
            <w:r>
              <w:rPr>
                <w:color w:val="000000"/>
                <w:szCs w:val="18"/>
                <w:lang w:val="ru-RU"/>
              </w:rPr>
              <w:t>Производство экструдированного полистирола (ЭПС) в Индии и Китае – на замену выбывающим экспертам.</w:t>
            </w:r>
          </w:p>
          <w:p w14:paraId="0C5A76D1" w14:textId="1F6B0EEA" w:rsidR="00295439" w:rsidRPr="00B21A41" w:rsidRDefault="00295439" w:rsidP="004325B8">
            <w:pPr>
              <w:pStyle w:val="Normal-pool-Table"/>
              <w:tabs>
                <w:tab w:val="clear" w:pos="624"/>
                <w:tab w:val="clear" w:pos="1247"/>
                <w:tab w:val="clear" w:pos="1871"/>
                <w:tab w:val="clear" w:pos="2495"/>
                <w:tab w:val="clear" w:pos="3119"/>
                <w:tab w:val="clear" w:pos="3742"/>
                <w:tab w:val="clear" w:pos="4366"/>
                <w:tab w:val="clear" w:pos="4990"/>
              </w:tabs>
              <w:spacing w:before="0" w:after="0"/>
              <w:cnfStyle w:val="000000000000" w:firstRow="0" w:lastRow="0" w:firstColumn="0" w:lastColumn="0" w:oddVBand="0" w:evenVBand="0" w:oddHBand="0" w:evenHBand="0" w:firstRowFirstColumn="0" w:firstRowLastColumn="0" w:lastRowFirstColumn="0" w:lastRowLastColumn="0"/>
              <w:rPr>
                <w:szCs w:val="18"/>
                <w:lang w:val="ru-RU"/>
              </w:rPr>
            </w:pPr>
            <w:r>
              <w:rPr>
                <w:color w:val="000000"/>
                <w:szCs w:val="18"/>
                <w:lang w:val="ru-RU"/>
              </w:rPr>
              <w:t xml:space="preserve">Технические специалисты системотехнических фирм, занимающихся полиуретаном, – в частности из стран юга Африки, Ближнего Востока и Латинской Америки, а также из Республики Корея, особенно эксперты, работающие на малых и средних предприятиях (МСП). </w:t>
            </w:r>
          </w:p>
          <w:p w14:paraId="058CEFEB" w14:textId="77777777" w:rsidR="00295439" w:rsidRPr="00B21A41"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000000000000" w:firstRow="0" w:lastRow="0" w:firstColumn="0" w:lastColumn="0" w:oddVBand="0" w:evenVBand="0" w:oddHBand="0" w:evenHBand="0" w:firstRowFirstColumn="0" w:firstRowLastColumn="0" w:lastRowFirstColumn="0" w:lastRowLastColumn="0"/>
              <w:rPr>
                <w:szCs w:val="18"/>
                <w:lang w:val="ru-RU"/>
              </w:rPr>
            </w:pPr>
            <w:r>
              <w:rPr>
                <w:color w:val="000000"/>
                <w:szCs w:val="18"/>
                <w:lang w:val="ru-RU"/>
              </w:rPr>
              <w:t xml:space="preserve">Химия пенообразователей и взаимодействия пеноматериалов </w:t>
            </w:r>
          </w:p>
        </w:tc>
        <w:tc>
          <w:tcPr>
            <w:tcW w:w="2505" w:type="dxa"/>
            <w:tcMar>
              <w:left w:w="108" w:type="dxa"/>
              <w:right w:w="108" w:type="dxa"/>
            </w:tcMar>
          </w:tcPr>
          <w:p w14:paraId="0ADCC27F" w14:textId="77777777" w:rsidR="00295439" w:rsidRPr="00D245AD"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000000000000" w:firstRow="0" w:lastRow="0" w:firstColumn="0" w:lastColumn="0" w:oddVBand="0" w:evenVBand="0" w:oddHBand="0" w:evenHBand="0" w:firstRowFirstColumn="0" w:firstRowLastColumn="0" w:lastRowFirstColumn="0" w:lastRowLastColumn="0"/>
              <w:rPr>
                <w:szCs w:val="18"/>
              </w:rPr>
            </w:pPr>
            <w:r>
              <w:rPr>
                <w:color w:val="000000"/>
                <w:szCs w:val="18"/>
                <w:lang w:val="ru-RU"/>
              </w:rPr>
              <w:t>С5 или не С5</w:t>
            </w:r>
          </w:p>
        </w:tc>
      </w:tr>
      <w:tr w:rsidR="00295439" w:rsidRPr="00D245AD" w14:paraId="326B06EA" w14:textId="77777777" w:rsidTr="002B3B16">
        <w:trPr>
          <w:trHeight w:val="708"/>
          <w:jc w:val="right"/>
        </w:trPr>
        <w:tc>
          <w:tcPr>
            <w:cnfStyle w:val="001000000000" w:firstRow="0" w:lastRow="0" w:firstColumn="1" w:lastColumn="0" w:oddVBand="0" w:evenVBand="0" w:oddHBand="0" w:evenHBand="0" w:firstRowFirstColumn="0" w:firstRowLastColumn="0" w:lastRowFirstColumn="0" w:lastRowLastColumn="0"/>
            <w:tcW w:w="1975" w:type="dxa"/>
            <w:tcBorders>
              <w:right w:val="none" w:sz="0" w:space="0" w:color="auto"/>
            </w:tcBorders>
            <w:tcMar>
              <w:left w:w="108" w:type="dxa"/>
              <w:right w:w="108" w:type="dxa"/>
            </w:tcMar>
          </w:tcPr>
          <w:p w14:paraId="6C437679" w14:textId="77777777" w:rsidR="00295439" w:rsidRPr="00B21A41" w:rsidRDefault="00295439" w:rsidP="002B3B16">
            <w:pPr>
              <w:pStyle w:val="Normal-pool-Table"/>
              <w:tabs>
                <w:tab w:val="clear" w:pos="624"/>
                <w:tab w:val="clear" w:pos="1247"/>
                <w:tab w:val="clear" w:pos="1871"/>
                <w:tab w:val="clear" w:pos="2495"/>
                <w:tab w:val="clear" w:pos="3119"/>
                <w:tab w:val="clear" w:pos="3742"/>
                <w:tab w:val="clear" w:pos="4366"/>
                <w:tab w:val="clear" w:pos="4990"/>
              </w:tabs>
              <w:rPr>
                <w:szCs w:val="18"/>
                <w:lang w:val="ru-RU"/>
              </w:rPr>
            </w:pPr>
            <w:r>
              <w:rPr>
                <w:color w:val="000000"/>
                <w:szCs w:val="18"/>
                <w:lang w:val="ru-RU"/>
              </w:rPr>
              <w:t>Комитет по техническим вариантам замены бромистого метила</w:t>
            </w:r>
          </w:p>
        </w:tc>
        <w:tc>
          <w:tcPr>
            <w:tcW w:w="3827" w:type="dxa"/>
            <w:tcMar>
              <w:left w:w="108" w:type="dxa"/>
              <w:right w:w="108" w:type="dxa"/>
            </w:tcMar>
          </w:tcPr>
          <w:p w14:paraId="7324E568" w14:textId="4EF410C6" w:rsidR="00295439" w:rsidRPr="00B21A41"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000000000000" w:firstRow="0" w:lastRow="0" w:firstColumn="0" w:lastColumn="0" w:oddVBand="0" w:evenVBand="0" w:oddHBand="0" w:evenHBand="0" w:firstRowFirstColumn="0" w:firstRowLastColumn="0" w:lastRowFirstColumn="0" w:lastRowLastColumn="0"/>
              <w:rPr>
                <w:szCs w:val="18"/>
                <w:lang w:val="ru-RU"/>
              </w:rPr>
            </w:pPr>
            <w:r>
              <w:rPr>
                <w:color w:val="000000"/>
                <w:szCs w:val="18"/>
                <w:lang w:val="ru-RU"/>
              </w:rPr>
              <w:t xml:space="preserve">Члены комитета, обладающие экспертными знаниями в области альтернатив </w:t>
            </w:r>
            <w:r w:rsidR="002779D8">
              <w:rPr>
                <w:color w:val="000000"/>
                <w:szCs w:val="18"/>
                <w:lang w:val="ru-RU"/>
              </w:rPr>
              <w:t>Б</w:t>
            </w:r>
            <w:r>
              <w:rPr>
                <w:color w:val="000000"/>
                <w:szCs w:val="18"/>
                <w:lang w:val="ru-RU"/>
              </w:rPr>
              <w:t>М, которые могут эффективно применяться для борьбы с карантинными вредителями, влияющими на импорт и экспорт сельскохозяйственных товаров во всем мире.</w:t>
            </w:r>
          </w:p>
        </w:tc>
        <w:tc>
          <w:tcPr>
            <w:tcW w:w="2505" w:type="dxa"/>
            <w:tcMar>
              <w:left w:w="108" w:type="dxa"/>
              <w:right w:w="108" w:type="dxa"/>
            </w:tcMar>
          </w:tcPr>
          <w:p w14:paraId="6981C4E2" w14:textId="77777777" w:rsidR="00295439" w:rsidRPr="00D245AD"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000000000000" w:firstRow="0" w:lastRow="0" w:firstColumn="0" w:lastColumn="0" w:oddVBand="0" w:evenVBand="0" w:oddHBand="0" w:evenHBand="0" w:firstRowFirstColumn="0" w:firstRowLastColumn="0" w:lastRowFirstColumn="0" w:lastRowLastColumn="0"/>
              <w:rPr>
                <w:szCs w:val="18"/>
              </w:rPr>
            </w:pPr>
            <w:r>
              <w:rPr>
                <w:color w:val="000000"/>
                <w:szCs w:val="18"/>
                <w:lang w:val="ru-RU"/>
              </w:rPr>
              <w:t>С5 или не С5</w:t>
            </w:r>
          </w:p>
        </w:tc>
      </w:tr>
      <w:tr w:rsidR="00295439" w:rsidRPr="008F3BA3" w14:paraId="2F5BC24B" w14:textId="77777777" w:rsidTr="002B3B16">
        <w:trPr>
          <w:trHeight w:val="56"/>
          <w:jc w:val="right"/>
        </w:trPr>
        <w:tc>
          <w:tcPr>
            <w:cnfStyle w:val="001000000000" w:firstRow="0" w:lastRow="0" w:firstColumn="1" w:lastColumn="0" w:oddVBand="0" w:evenVBand="0" w:oddHBand="0" w:evenHBand="0" w:firstRowFirstColumn="0" w:firstRowLastColumn="0" w:lastRowFirstColumn="0" w:lastRowLastColumn="0"/>
            <w:tcW w:w="1975" w:type="dxa"/>
            <w:vMerge w:val="restart"/>
            <w:tcBorders>
              <w:right w:val="none" w:sz="0" w:space="0" w:color="auto"/>
            </w:tcBorders>
            <w:tcMar>
              <w:left w:w="108" w:type="dxa"/>
              <w:right w:w="108" w:type="dxa"/>
            </w:tcMar>
            <w:vAlign w:val="center"/>
          </w:tcPr>
          <w:p w14:paraId="4EF51FAA" w14:textId="77777777" w:rsidR="00295439" w:rsidRPr="00B21A41" w:rsidRDefault="00295439" w:rsidP="002B3B16">
            <w:pPr>
              <w:pStyle w:val="Normal-pool-Table"/>
              <w:tabs>
                <w:tab w:val="clear" w:pos="624"/>
                <w:tab w:val="clear" w:pos="1247"/>
                <w:tab w:val="clear" w:pos="1871"/>
                <w:tab w:val="clear" w:pos="2495"/>
                <w:tab w:val="clear" w:pos="3119"/>
                <w:tab w:val="clear" w:pos="3742"/>
                <w:tab w:val="clear" w:pos="4366"/>
                <w:tab w:val="clear" w:pos="4990"/>
              </w:tabs>
              <w:rPr>
                <w:szCs w:val="18"/>
                <w:lang w:val="ru-RU"/>
              </w:rPr>
            </w:pPr>
            <w:r>
              <w:rPr>
                <w:color w:val="000000"/>
                <w:szCs w:val="18"/>
                <w:lang w:val="ru-RU"/>
              </w:rPr>
              <w:t>Комитет по техническим вариантам замены медицинских видов применения и химических веществ</w:t>
            </w:r>
          </w:p>
        </w:tc>
        <w:tc>
          <w:tcPr>
            <w:tcW w:w="3827" w:type="dxa"/>
            <w:tcMar>
              <w:left w:w="108" w:type="dxa"/>
              <w:right w:w="108" w:type="dxa"/>
            </w:tcMar>
          </w:tcPr>
          <w:p w14:paraId="2CCCA2BD" w14:textId="77777777" w:rsidR="00295439" w:rsidRPr="00B21A41"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000000000000" w:firstRow="0" w:lastRow="0" w:firstColumn="0" w:lastColumn="0" w:oddVBand="0" w:evenVBand="0" w:oddHBand="0" w:evenHBand="0" w:firstRowFirstColumn="0" w:firstRowLastColumn="0" w:lastRowFirstColumn="0" w:lastRowLastColumn="0"/>
              <w:rPr>
                <w:szCs w:val="18"/>
                <w:lang w:val="ru-RU"/>
              </w:rPr>
            </w:pPr>
            <w:r>
              <w:rPr>
                <w:color w:val="000000"/>
                <w:szCs w:val="18"/>
                <w:lang w:val="ru-RU"/>
              </w:rPr>
              <w:t>Производство аэрозолей и пропеллентов для ДИ</w:t>
            </w:r>
          </w:p>
        </w:tc>
        <w:tc>
          <w:tcPr>
            <w:tcW w:w="2505" w:type="dxa"/>
            <w:tcMar>
              <w:left w:w="108" w:type="dxa"/>
              <w:right w:w="108" w:type="dxa"/>
            </w:tcMar>
          </w:tcPr>
          <w:p w14:paraId="418BE84E" w14:textId="77777777" w:rsidR="00295439" w:rsidRPr="00B21A41"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000000000000" w:firstRow="0" w:lastRow="0" w:firstColumn="0" w:lastColumn="0" w:oddVBand="0" w:evenVBand="0" w:oddHBand="0" w:evenHBand="0" w:firstRowFirstColumn="0" w:firstRowLastColumn="0" w:lastRowFirstColumn="0" w:lastRowLastColumn="0"/>
              <w:rPr>
                <w:szCs w:val="18"/>
                <w:lang w:val="ru-RU"/>
              </w:rPr>
            </w:pPr>
            <w:r>
              <w:rPr>
                <w:color w:val="000000"/>
                <w:szCs w:val="18"/>
                <w:lang w:val="ru-RU"/>
              </w:rPr>
              <w:t>С5 (Африка, Китай, Южная Америка), не С5</w:t>
            </w:r>
          </w:p>
        </w:tc>
      </w:tr>
      <w:tr w:rsidR="00295439" w:rsidRPr="00D245AD" w14:paraId="52CB8614" w14:textId="77777777" w:rsidTr="002B3B16">
        <w:trPr>
          <w:trHeight w:val="56"/>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tcMar>
              <w:left w:w="108" w:type="dxa"/>
              <w:right w:w="108" w:type="dxa"/>
            </w:tcMar>
          </w:tcPr>
          <w:p w14:paraId="6E39756F" w14:textId="77777777" w:rsidR="00295439" w:rsidRPr="00B21A41" w:rsidRDefault="00295439" w:rsidP="002B3B16">
            <w:pPr>
              <w:pStyle w:val="Normal-pool-Table"/>
              <w:tabs>
                <w:tab w:val="clear" w:pos="624"/>
                <w:tab w:val="clear" w:pos="1247"/>
                <w:tab w:val="clear" w:pos="1871"/>
                <w:tab w:val="clear" w:pos="2495"/>
                <w:tab w:val="clear" w:pos="3119"/>
                <w:tab w:val="clear" w:pos="3742"/>
                <w:tab w:val="clear" w:pos="4366"/>
                <w:tab w:val="clear" w:pos="4990"/>
              </w:tabs>
              <w:rPr>
                <w:szCs w:val="18"/>
                <w:lang w:val="ru-RU"/>
              </w:rPr>
            </w:pPr>
          </w:p>
        </w:tc>
        <w:tc>
          <w:tcPr>
            <w:tcW w:w="3827" w:type="dxa"/>
            <w:tcMar>
              <w:left w:w="108" w:type="dxa"/>
              <w:right w:w="108" w:type="dxa"/>
            </w:tcMar>
          </w:tcPr>
          <w:p w14:paraId="2D5B1A63" w14:textId="77777777" w:rsidR="00295439" w:rsidRPr="00B21A41"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000000000000" w:firstRow="0" w:lastRow="0" w:firstColumn="0" w:lastColumn="0" w:oddVBand="0" w:evenVBand="0" w:oddHBand="0" w:evenHBand="0" w:firstRowFirstColumn="0" w:firstRowLastColumn="0" w:lastRowFirstColumn="0" w:lastRowLastColumn="0"/>
              <w:rPr>
                <w:szCs w:val="18"/>
                <w:lang w:val="ru-RU"/>
              </w:rPr>
            </w:pPr>
            <w:r>
              <w:rPr>
                <w:color w:val="000000"/>
                <w:szCs w:val="18"/>
                <w:lang w:val="ru-RU"/>
              </w:rPr>
              <w:t>Глобальное производство и использование ТХМ и ОКЖВ</w:t>
            </w:r>
          </w:p>
        </w:tc>
        <w:tc>
          <w:tcPr>
            <w:tcW w:w="2505" w:type="dxa"/>
            <w:tcMar>
              <w:left w:w="108" w:type="dxa"/>
              <w:right w:w="108" w:type="dxa"/>
            </w:tcMar>
          </w:tcPr>
          <w:p w14:paraId="1B101392" w14:textId="77777777" w:rsidR="00295439" w:rsidRPr="00D245AD"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000000000000" w:firstRow="0" w:lastRow="0" w:firstColumn="0" w:lastColumn="0" w:oddVBand="0" w:evenVBand="0" w:oddHBand="0" w:evenHBand="0" w:firstRowFirstColumn="0" w:firstRowLastColumn="0" w:lastRowFirstColumn="0" w:lastRowLastColumn="0"/>
              <w:rPr>
                <w:szCs w:val="18"/>
              </w:rPr>
            </w:pPr>
            <w:r>
              <w:rPr>
                <w:color w:val="000000"/>
                <w:szCs w:val="18"/>
                <w:lang w:val="ru-RU"/>
              </w:rPr>
              <w:t>С5 или не С5</w:t>
            </w:r>
          </w:p>
        </w:tc>
      </w:tr>
      <w:tr w:rsidR="00295439" w:rsidRPr="00D245AD" w14:paraId="503CE07E" w14:textId="77777777" w:rsidTr="002B3B16">
        <w:trPr>
          <w:trHeight w:val="56"/>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tcMar>
              <w:left w:w="108" w:type="dxa"/>
              <w:right w:w="108" w:type="dxa"/>
            </w:tcMar>
          </w:tcPr>
          <w:p w14:paraId="64E39663" w14:textId="77777777" w:rsidR="00295439" w:rsidRPr="00D245AD" w:rsidRDefault="00295439" w:rsidP="002B3B16">
            <w:pPr>
              <w:pStyle w:val="Normal-pool-Table"/>
              <w:tabs>
                <w:tab w:val="clear" w:pos="624"/>
                <w:tab w:val="clear" w:pos="1247"/>
                <w:tab w:val="clear" w:pos="1871"/>
                <w:tab w:val="clear" w:pos="2495"/>
                <w:tab w:val="clear" w:pos="3119"/>
                <w:tab w:val="clear" w:pos="3742"/>
                <w:tab w:val="clear" w:pos="4366"/>
                <w:tab w:val="clear" w:pos="4990"/>
              </w:tabs>
              <w:rPr>
                <w:szCs w:val="18"/>
              </w:rPr>
            </w:pPr>
          </w:p>
        </w:tc>
        <w:tc>
          <w:tcPr>
            <w:tcW w:w="3827" w:type="dxa"/>
            <w:tcMar>
              <w:left w:w="108" w:type="dxa"/>
              <w:right w:w="108" w:type="dxa"/>
            </w:tcMar>
          </w:tcPr>
          <w:p w14:paraId="0A0D4E1A" w14:textId="77777777" w:rsidR="00295439" w:rsidRPr="00B21A41"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000000000000" w:firstRow="0" w:lastRow="0" w:firstColumn="0" w:lastColumn="0" w:oddVBand="0" w:evenVBand="0" w:oddHBand="0" w:evenHBand="0" w:firstRowFirstColumn="0" w:firstRowLastColumn="0" w:lastRowFirstColumn="0" w:lastRowLastColumn="0"/>
              <w:rPr>
                <w:szCs w:val="18"/>
                <w:lang w:val="ru-RU"/>
              </w:rPr>
            </w:pPr>
            <w:r>
              <w:rPr>
                <w:color w:val="000000"/>
                <w:szCs w:val="18"/>
                <w:lang w:val="ru-RU"/>
              </w:rPr>
              <w:t>Производство полупроводников и другой электроники</w:t>
            </w:r>
          </w:p>
        </w:tc>
        <w:tc>
          <w:tcPr>
            <w:tcW w:w="2505" w:type="dxa"/>
            <w:tcMar>
              <w:left w:w="108" w:type="dxa"/>
              <w:right w:w="108" w:type="dxa"/>
            </w:tcMar>
          </w:tcPr>
          <w:p w14:paraId="3B79F1C5" w14:textId="77777777" w:rsidR="00295439" w:rsidRPr="00D245AD"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000000000000" w:firstRow="0" w:lastRow="0" w:firstColumn="0" w:lastColumn="0" w:oddVBand="0" w:evenVBand="0" w:oddHBand="0" w:evenHBand="0" w:firstRowFirstColumn="0" w:firstRowLastColumn="0" w:lastRowFirstColumn="0" w:lastRowLastColumn="0"/>
              <w:rPr>
                <w:szCs w:val="18"/>
              </w:rPr>
            </w:pPr>
            <w:r>
              <w:rPr>
                <w:color w:val="000000"/>
                <w:szCs w:val="18"/>
                <w:lang w:val="ru-RU"/>
              </w:rPr>
              <w:t>Восточная Азия, не С5</w:t>
            </w:r>
          </w:p>
        </w:tc>
      </w:tr>
      <w:tr w:rsidR="00295439" w:rsidRPr="00D245AD" w14:paraId="084963F0" w14:textId="77777777" w:rsidTr="002B3B16">
        <w:trPr>
          <w:trHeight w:val="56"/>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vAlign w:val="center"/>
          </w:tcPr>
          <w:p w14:paraId="4A7D1804" w14:textId="77777777" w:rsidR="00295439" w:rsidRPr="00D245AD" w:rsidRDefault="00295439" w:rsidP="002B3B16">
            <w:pPr>
              <w:pStyle w:val="Normal-pool-Table"/>
              <w:tabs>
                <w:tab w:val="clear" w:pos="624"/>
                <w:tab w:val="clear" w:pos="1247"/>
                <w:tab w:val="clear" w:pos="1871"/>
                <w:tab w:val="clear" w:pos="2495"/>
                <w:tab w:val="clear" w:pos="3119"/>
                <w:tab w:val="clear" w:pos="3742"/>
                <w:tab w:val="clear" w:pos="4366"/>
                <w:tab w:val="clear" w:pos="4990"/>
              </w:tabs>
              <w:rPr>
                <w:szCs w:val="18"/>
              </w:rPr>
            </w:pPr>
          </w:p>
        </w:tc>
        <w:tc>
          <w:tcPr>
            <w:tcW w:w="3827" w:type="dxa"/>
            <w:tcMar>
              <w:left w:w="108" w:type="dxa"/>
              <w:right w:w="108" w:type="dxa"/>
            </w:tcMar>
          </w:tcPr>
          <w:p w14:paraId="3C0F2DEA" w14:textId="77777777" w:rsidR="00295439" w:rsidRPr="00B21A41"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000000000000" w:firstRow="0" w:lastRow="0" w:firstColumn="0" w:lastColumn="0" w:oddVBand="0" w:evenVBand="0" w:oddHBand="0" w:evenHBand="0" w:firstRowFirstColumn="0" w:firstRowLastColumn="0" w:lastRowFirstColumn="0" w:lastRowLastColumn="0"/>
              <w:rPr>
                <w:szCs w:val="18"/>
                <w:lang w:val="ru-RU"/>
              </w:rPr>
            </w:pPr>
            <w:r>
              <w:rPr>
                <w:color w:val="000000"/>
                <w:szCs w:val="18"/>
                <w:lang w:val="ru-RU"/>
              </w:rPr>
              <w:t>Регулирование по достижении предельного состояния и технологии уничтожения</w:t>
            </w:r>
          </w:p>
        </w:tc>
        <w:tc>
          <w:tcPr>
            <w:tcW w:w="2505" w:type="dxa"/>
            <w:tcMar>
              <w:left w:w="108" w:type="dxa"/>
              <w:right w:w="108" w:type="dxa"/>
            </w:tcMar>
          </w:tcPr>
          <w:p w14:paraId="2D614965" w14:textId="77777777" w:rsidR="00295439" w:rsidRPr="00D245AD"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000000000000" w:firstRow="0" w:lastRow="0" w:firstColumn="0" w:lastColumn="0" w:oddVBand="0" w:evenVBand="0" w:oddHBand="0" w:evenHBand="0" w:firstRowFirstColumn="0" w:firstRowLastColumn="0" w:lastRowFirstColumn="0" w:lastRowLastColumn="0"/>
              <w:rPr>
                <w:szCs w:val="18"/>
              </w:rPr>
            </w:pPr>
            <w:r>
              <w:rPr>
                <w:color w:val="000000"/>
                <w:szCs w:val="18"/>
                <w:lang w:val="ru-RU"/>
              </w:rPr>
              <w:t>С5 или не С5</w:t>
            </w:r>
          </w:p>
        </w:tc>
      </w:tr>
      <w:tr w:rsidR="00295439" w:rsidRPr="008F3BA3" w14:paraId="72488EFA" w14:textId="77777777" w:rsidTr="002B3B16">
        <w:trPr>
          <w:trHeight w:val="56"/>
          <w:jc w:val="right"/>
        </w:trPr>
        <w:tc>
          <w:tcPr>
            <w:cnfStyle w:val="001000000000" w:firstRow="0" w:lastRow="0" w:firstColumn="1" w:lastColumn="0" w:oddVBand="0" w:evenVBand="0" w:oddHBand="0" w:evenHBand="0" w:firstRowFirstColumn="0" w:firstRowLastColumn="0" w:lastRowFirstColumn="0" w:lastRowLastColumn="0"/>
            <w:tcW w:w="1975" w:type="dxa"/>
            <w:tcBorders>
              <w:right w:val="none" w:sz="0" w:space="0" w:color="auto"/>
            </w:tcBorders>
            <w:vAlign w:val="center"/>
          </w:tcPr>
          <w:p w14:paraId="028BA32A" w14:textId="77777777" w:rsidR="00295439" w:rsidRPr="00B21A41" w:rsidRDefault="00295439" w:rsidP="002B3B16">
            <w:pPr>
              <w:pStyle w:val="Normal-pool-Table"/>
              <w:tabs>
                <w:tab w:val="clear" w:pos="624"/>
                <w:tab w:val="clear" w:pos="1247"/>
                <w:tab w:val="clear" w:pos="1871"/>
                <w:tab w:val="clear" w:pos="2495"/>
                <w:tab w:val="clear" w:pos="3119"/>
                <w:tab w:val="clear" w:pos="3742"/>
                <w:tab w:val="clear" w:pos="4366"/>
                <w:tab w:val="clear" w:pos="4990"/>
              </w:tabs>
              <w:rPr>
                <w:szCs w:val="18"/>
                <w:lang w:val="ru-RU"/>
              </w:rPr>
            </w:pPr>
            <w:r>
              <w:rPr>
                <w:color w:val="000000"/>
                <w:szCs w:val="18"/>
                <w:lang w:val="ru-RU"/>
              </w:rPr>
              <w:t>Комитет по техническим вариантам замены холодильного оборудования, систем кондиционирования воздуха и тепловых насосов</w:t>
            </w:r>
          </w:p>
        </w:tc>
        <w:tc>
          <w:tcPr>
            <w:tcW w:w="3827" w:type="dxa"/>
            <w:tcMar>
              <w:left w:w="108" w:type="dxa"/>
              <w:right w:w="108" w:type="dxa"/>
            </w:tcMar>
          </w:tcPr>
          <w:p w14:paraId="41FF45D8" w14:textId="77777777" w:rsidR="00295439" w:rsidRPr="00B21A41"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000000000000" w:firstRow="0" w:lastRow="0" w:firstColumn="0" w:lastColumn="0" w:oddVBand="0" w:evenVBand="0" w:oddHBand="0" w:evenHBand="0" w:firstRowFirstColumn="0" w:firstRowLastColumn="0" w:lastRowFirstColumn="0" w:lastRowLastColumn="0"/>
              <w:rPr>
                <w:szCs w:val="18"/>
                <w:lang w:val="ru-RU"/>
              </w:rPr>
            </w:pPr>
            <w:r>
              <w:rPr>
                <w:color w:val="000000"/>
                <w:szCs w:val="18"/>
                <w:lang w:val="ru-RU"/>
              </w:rPr>
              <w:t>В настоящий момент нет необходимости в дополнительных экспертных знаниях</w:t>
            </w:r>
          </w:p>
        </w:tc>
        <w:tc>
          <w:tcPr>
            <w:tcW w:w="2505" w:type="dxa"/>
            <w:tcMar>
              <w:left w:w="108" w:type="dxa"/>
              <w:right w:w="108" w:type="dxa"/>
            </w:tcMar>
          </w:tcPr>
          <w:p w14:paraId="7927432A" w14:textId="77777777" w:rsidR="00295439" w:rsidRPr="00B21A41"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000000000000" w:firstRow="0" w:lastRow="0" w:firstColumn="0" w:lastColumn="0" w:oddVBand="0" w:evenVBand="0" w:oddHBand="0" w:evenHBand="0" w:firstRowFirstColumn="0" w:firstRowLastColumn="0" w:lastRowFirstColumn="0" w:lastRowLastColumn="0"/>
              <w:rPr>
                <w:szCs w:val="18"/>
                <w:lang w:val="ru-RU"/>
              </w:rPr>
            </w:pPr>
          </w:p>
        </w:tc>
      </w:tr>
      <w:tr w:rsidR="00295439" w:rsidRPr="00C932A4" w14:paraId="76F6692F" w14:textId="77777777" w:rsidTr="002B3B16">
        <w:trPr>
          <w:trHeight w:val="56"/>
          <w:jc w:val="right"/>
        </w:trPr>
        <w:tc>
          <w:tcPr>
            <w:cnfStyle w:val="001000000000" w:firstRow="0" w:lastRow="0" w:firstColumn="1" w:lastColumn="0" w:oddVBand="0" w:evenVBand="0" w:oddHBand="0" w:evenHBand="0" w:firstRowFirstColumn="0" w:firstRowLastColumn="0" w:lastRowFirstColumn="0" w:lastRowLastColumn="0"/>
            <w:tcW w:w="1975" w:type="dxa"/>
            <w:tcBorders>
              <w:bottom w:val="single" w:sz="12" w:space="0" w:color="auto"/>
              <w:right w:val="none" w:sz="0" w:space="0" w:color="auto"/>
            </w:tcBorders>
          </w:tcPr>
          <w:p w14:paraId="64A1FC3D" w14:textId="77777777" w:rsidR="00295439" w:rsidRPr="00D245AD" w:rsidRDefault="00295439" w:rsidP="002B3B16">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szCs w:val="18"/>
                <w:lang w:val="ru-RU"/>
              </w:rPr>
              <w:lastRenderedPageBreak/>
              <w:t>Старшие эксперты</w:t>
            </w:r>
          </w:p>
        </w:tc>
        <w:tc>
          <w:tcPr>
            <w:tcW w:w="3827" w:type="dxa"/>
            <w:tcBorders>
              <w:bottom w:val="single" w:sz="12" w:space="0" w:color="auto"/>
            </w:tcBorders>
            <w:tcMar>
              <w:left w:w="108" w:type="dxa"/>
              <w:right w:w="108" w:type="dxa"/>
            </w:tcMar>
          </w:tcPr>
          <w:p w14:paraId="35568DE5" w14:textId="77777777" w:rsidR="00295439" w:rsidRPr="00B21A41"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000000000000" w:firstRow="0" w:lastRow="0" w:firstColumn="0" w:lastColumn="0" w:oddVBand="0" w:evenVBand="0" w:oddHBand="0" w:evenHBand="0" w:firstRowFirstColumn="0" w:firstRowLastColumn="0" w:lastRowFirstColumn="0" w:lastRowLastColumn="0"/>
              <w:rPr>
                <w:szCs w:val="18"/>
                <w:lang w:val="ru-RU"/>
              </w:rPr>
            </w:pPr>
            <w:r>
              <w:rPr>
                <w:color w:val="000000"/>
                <w:szCs w:val="18"/>
                <w:lang w:val="ru-RU"/>
              </w:rPr>
              <w:t xml:space="preserve">Действующие старшие эксперты в составе комитета предоставляют необходимые экспертные знания </w:t>
            </w:r>
          </w:p>
        </w:tc>
        <w:tc>
          <w:tcPr>
            <w:tcW w:w="2505" w:type="dxa"/>
            <w:tcBorders>
              <w:bottom w:val="single" w:sz="12" w:space="0" w:color="auto"/>
            </w:tcBorders>
            <w:tcMar>
              <w:left w:w="108" w:type="dxa"/>
              <w:right w:w="108" w:type="dxa"/>
            </w:tcMar>
          </w:tcPr>
          <w:p w14:paraId="548E6CF2" w14:textId="77777777" w:rsidR="00295439" w:rsidRPr="00B21A41" w:rsidRDefault="00295439" w:rsidP="002B3B16">
            <w:pPr>
              <w:pStyle w:val="Normal-pool-Table"/>
              <w:tabs>
                <w:tab w:val="clear" w:pos="624"/>
                <w:tab w:val="clear" w:pos="1247"/>
                <w:tab w:val="clear" w:pos="1871"/>
                <w:tab w:val="clear" w:pos="2495"/>
                <w:tab w:val="clear" w:pos="3119"/>
                <w:tab w:val="clear" w:pos="3742"/>
                <w:tab w:val="clear" w:pos="4366"/>
                <w:tab w:val="clear" w:pos="4990"/>
              </w:tabs>
              <w:cnfStyle w:val="000000000000" w:firstRow="0" w:lastRow="0" w:firstColumn="0" w:lastColumn="0" w:oddVBand="0" w:evenVBand="0" w:oddHBand="0" w:evenHBand="0" w:firstRowFirstColumn="0" w:firstRowLastColumn="0" w:lastRowFirstColumn="0" w:lastRowLastColumn="0"/>
              <w:rPr>
                <w:szCs w:val="18"/>
                <w:lang w:val="ru-RU"/>
              </w:rPr>
            </w:pPr>
          </w:p>
        </w:tc>
      </w:tr>
    </w:tbl>
    <w:p w14:paraId="662E3824" w14:textId="77777777" w:rsidR="00295439" w:rsidRPr="00B21A41" w:rsidRDefault="00295439" w:rsidP="00295439">
      <w:pPr>
        <w:pStyle w:val="Normal-pool"/>
        <w:rPr>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295439" w:rsidRPr="00C932A4" w14:paraId="51F53F65" w14:textId="77777777" w:rsidTr="005B6360">
        <w:tc>
          <w:tcPr>
            <w:tcW w:w="1897" w:type="dxa"/>
          </w:tcPr>
          <w:p w14:paraId="162CB7E3" w14:textId="77777777" w:rsidR="00295439" w:rsidRPr="00B21A41" w:rsidRDefault="00295439" w:rsidP="005B6360">
            <w:pPr>
              <w:pStyle w:val="Normal-pool"/>
              <w:spacing w:before="520"/>
              <w:rPr>
                <w:lang w:val="ru-RU"/>
              </w:rPr>
            </w:pPr>
          </w:p>
        </w:tc>
        <w:tc>
          <w:tcPr>
            <w:tcW w:w="1897" w:type="dxa"/>
          </w:tcPr>
          <w:p w14:paraId="4C974E24" w14:textId="77777777" w:rsidR="00295439" w:rsidRPr="00B21A41" w:rsidRDefault="00295439" w:rsidP="005B6360">
            <w:pPr>
              <w:pStyle w:val="Normal-pool"/>
              <w:spacing w:before="520"/>
              <w:rPr>
                <w:lang w:val="ru-RU"/>
              </w:rPr>
            </w:pPr>
          </w:p>
        </w:tc>
        <w:tc>
          <w:tcPr>
            <w:tcW w:w="1897" w:type="dxa"/>
            <w:tcBorders>
              <w:bottom w:val="single" w:sz="4" w:space="0" w:color="auto"/>
            </w:tcBorders>
          </w:tcPr>
          <w:p w14:paraId="639D8A47" w14:textId="77777777" w:rsidR="00295439" w:rsidRPr="00B21A41" w:rsidRDefault="00295439" w:rsidP="005B6360">
            <w:pPr>
              <w:pStyle w:val="Normal-pool"/>
              <w:spacing w:before="520"/>
              <w:rPr>
                <w:lang w:val="ru-RU"/>
              </w:rPr>
            </w:pPr>
          </w:p>
        </w:tc>
        <w:tc>
          <w:tcPr>
            <w:tcW w:w="1898" w:type="dxa"/>
          </w:tcPr>
          <w:p w14:paraId="2DCE9F69" w14:textId="77777777" w:rsidR="00295439" w:rsidRPr="00B21A41" w:rsidRDefault="00295439" w:rsidP="005B6360">
            <w:pPr>
              <w:pStyle w:val="Normal-pool"/>
              <w:spacing w:before="520"/>
              <w:rPr>
                <w:lang w:val="ru-RU"/>
              </w:rPr>
            </w:pPr>
          </w:p>
        </w:tc>
        <w:tc>
          <w:tcPr>
            <w:tcW w:w="1898" w:type="dxa"/>
          </w:tcPr>
          <w:p w14:paraId="6AC63BE9" w14:textId="77777777" w:rsidR="00295439" w:rsidRPr="00B21A41" w:rsidRDefault="00295439" w:rsidP="005B6360">
            <w:pPr>
              <w:pStyle w:val="Normal-pool"/>
              <w:spacing w:before="520"/>
              <w:rPr>
                <w:lang w:val="ru-RU"/>
              </w:rPr>
            </w:pPr>
          </w:p>
        </w:tc>
      </w:tr>
    </w:tbl>
    <w:p w14:paraId="4D17F272" w14:textId="03932A05" w:rsidR="00160E27" w:rsidRPr="009701E2" w:rsidRDefault="00160E27" w:rsidP="002B3B16">
      <w:pPr>
        <w:pStyle w:val="Normal-pool"/>
        <w:tabs>
          <w:tab w:val="clear" w:pos="624"/>
          <w:tab w:val="clear" w:pos="1247"/>
          <w:tab w:val="clear" w:pos="1871"/>
          <w:tab w:val="clear" w:pos="2495"/>
          <w:tab w:val="clear" w:pos="3119"/>
          <w:tab w:val="clear" w:pos="3742"/>
          <w:tab w:val="clear" w:pos="4366"/>
          <w:tab w:val="clear" w:pos="4990"/>
        </w:tabs>
        <w:spacing w:after="120"/>
        <w:ind w:left="1247"/>
        <w:rPr>
          <w:rFonts w:eastAsiaTheme="minorEastAsia"/>
          <w:lang w:val="ru-RU"/>
        </w:rPr>
      </w:pPr>
    </w:p>
    <w:sectPr w:rsidR="00160E27" w:rsidRPr="009701E2" w:rsidSect="00295439">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4EE3E" w14:textId="77777777" w:rsidR="006F6068" w:rsidRPr="00160E27" w:rsidRDefault="006F6068">
      <w:r w:rsidRPr="00160E27">
        <w:separator/>
      </w:r>
    </w:p>
  </w:endnote>
  <w:endnote w:type="continuationSeparator" w:id="0">
    <w:p w14:paraId="04DFB8A2" w14:textId="77777777" w:rsidR="006F6068" w:rsidRPr="00160E27" w:rsidRDefault="006F6068">
      <w:r w:rsidRPr="00160E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491079"/>
      <w:docPartObj>
        <w:docPartGallery w:val="Page Numbers (Bottom of Page)"/>
        <w:docPartUnique/>
      </w:docPartObj>
    </w:sdtPr>
    <w:sdtEndPr>
      <w:rPr>
        <w:noProof/>
      </w:rPr>
    </w:sdtEndPr>
    <w:sdtContent>
      <w:p w14:paraId="7ECCE1FF" w14:textId="736EF1EE" w:rsidR="00666EBD" w:rsidRDefault="00666EBD">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816709"/>
      <w:docPartObj>
        <w:docPartGallery w:val="Page Numbers (Bottom of Page)"/>
        <w:docPartUnique/>
      </w:docPartObj>
    </w:sdtPr>
    <w:sdtEndPr>
      <w:rPr>
        <w:noProof/>
      </w:rPr>
    </w:sdtEndPr>
    <w:sdtContent>
      <w:p w14:paraId="5E0CEF20" w14:textId="5B50779D" w:rsidR="00666EBD" w:rsidRDefault="00666EBD" w:rsidP="00666E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3E59" w14:textId="70502242" w:rsidR="00160E27" w:rsidRPr="00160E27" w:rsidRDefault="00160E27" w:rsidP="00160E27">
    <w:pPr>
      <w:pStyle w:val="Footer-jobnumber"/>
    </w:pPr>
    <w:r>
      <w:rPr>
        <w:lang w:val="ru-RU"/>
      </w:rPr>
      <w:t>K</w:t>
    </w:r>
    <w:r w:rsidR="00095E7F">
      <w:rPr>
        <w:lang w:val="en-US"/>
      </w:rPr>
      <w:t>2607173</w:t>
    </w:r>
    <w:r>
      <w:rPr>
        <w:lang w:val="ru-RU"/>
      </w:rPr>
      <w:t>[</w:t>
    </w:r>
    <w:r w:rsidR="00095E7F">
      <w:rPr>
        <w:lang w:val="en-US"/>
      </w:rPr>
      <w:t>R</w:t>
    </w:r>
    <w:r>
      <w:rPr>
        <w:lang w:val="ru-RU"/>
      </w:rPr>
      <w:t>]</w:t>
    </w:r>
    <w:r>
      <w:rPr>
        <w:lang w:val="ru-RU"/>
      </w:rPr>
      <w:tab/>
    </w:r>
    <w:r w:rsidR="00470485">
      <w:rPr>
        <w:lang w:val="en-US"/>
      </w:rPr>
      <w:t>0207</w:t>
    </w:r>
    <w:r>
      <w:rPr>
        <w:lang w:val="ru-RU"/>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E053" w14:textId="77777777" w:rsidR="006F6068" w:rsidRPr="00160E27" w:rsidRDefault="006F6068" w:rsidP="00C70B49">
      <w:pPr>
        <w:pStyle w:val="Footnote-Separator"/>
        <w:rPr>
          <w:szCs w:val="18"/>
        </w:rPr>
      </w:pPr>
      <w:r w:rsidRPr="00160E27">
        <w:separator/>
      </w:r>
    </w:p>
  </w:footnote>
  <w:footnote w:type="continuationSeparator" w:id="0">
    <w:p w14:paraId="2BF3F51A" w14:textId="77777777" w:rsidR="006F6068" w:rsidRPr="00160E27" w:rsidRDefault="006F6068" w:rsidP="00C70B49">
      <w:pPr>
        <w:pStyle w:val="Footnote-Separator"/>
      </w:pPr>
      <w:r w:rsidRPr="00160E27">
        <w:continuationSeparator/>
      </w:r>
    </w:p>
  </w:footnote>
  <w:footnote w:type="continuationNotice" w:id="1">
    <w:p w14:paraId="5125398B" w14:textId="77777777" w:rsidR="006F6068" w:rsidRPr="00160E27" w:rsidRDefault="006F6068" w:rsidP="00C70B49">
      <w:pPr>
        <w:pStyle w:val="ASpacer"/>
      </w:pPr>
    </w:p>
  </w:footnote>
  <w:footnote w:id="2">
    <w:p w14:paraId="6FE1CBD2" w14:textId="77777777" w:rsidR="00C421D0" w:rsidRPr="00B21A41" w:rsidRDefault="00C421D0" w:rsidP="00B06737">
      <w:pPr>
        <w:pStyle w:val="Footnote-Text"/>
        <w:tabs>
          <w:tab w:val="clear" w:pos="624"/>
          <w:tab w:val="clear" w:pos="1247"/>
          <w:tab w:val="clear" w:pos="1871"/>
          <w:tab w:val="clear" w:pos="2495"/>
          <w:tab w:val="clear" w:pos="3119"/>
          <w:tab w:val="clear" w:pos="3742"/>
          <w:tab w:val="clear" w:pos="4366"/>
          <w:tab w:val="clear" w:pos="4990"/>
        </w:tabs>
        <w:rPr>
          <w:lang w:val="ru-RU"/>
        </w:rPr>
      </w:pPr>
      <w:r>
        <w:rPr>
          <w:lang w:val="ru-RU"/>
        </w:rPr>
        <w:t>* UNEP/OzL.Pro.WG.1/48/1.</w:t>
      </w:r>
    </w:p>
  </w:footnote>
  <w:footnote w:id="3">
    <w:p w14:paraId="51D7A07E" w14:textId="6C05F73B" w:rsidR="00E62558" w:rsidRPr="00B21A41" w:rsidRDefault="00E62558" w:rsidP="00B06737">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D71B0C">
        <w:rPr>
          <w:szCs w:val="18"/>
          <w:vertAlign w:val="superscript"/>
          <w:lang w:val="ru-RU"/>
        </w:rPr>
        <w:footnoteRef/>
      </w:r>
      <w:r>
        <w:rPr>
          <w:szCs w:val="18"/>
          <w:lang w:val="ru-RU"/>
        </w:rPr>
        <w:t xml:space="preserve"> </w:t>
      </w:r>
      <w:r>
        <w:rPr>
          <w:szCs w:val="18"/>
          <w:lang w:val="ru-RU"/>
        </w:rPr>
        <w:t xml:space="preserve">Имеется на портале сорок восьмого совещания Рабочей группы открытого состава: </w:t>
      </w:r>
      <w:r>
        <w:fldChar w:fldCharType="begin"/>
      </w:r>
      <w:r>
        <w:instrText>HYPERLINK</w:instrText>
      </w:r>
      <w:r w:rsidRPr="008F3BA3">
        <w:rPr>
          <w:lang w:val="ru-RU"/>
        </w:rPr>
        <w:instrText xml:space="preserve"> "</w:instrText>
      </w:r>
      <w:r>
        <w:instrText>https</w:instrText>
      </w:r>
      <w:r w:rsidRPr="008F3BA3">
        <w:rPr>
          <w:lang w:val="ru-RU"/>
        </w:rPr>
        <w:instrText>://</w:instrText>
      </w:r>
      <w:r>
        <w:instrText>ozone</w:instrText>
      </w:r>
      <w:r w:rsidRPr="008F3BA3">
        <w:rPr>
          <w:lang w:val="ru-RU"/>
        </w:rPr>
        <w:instrText>.</w:instrText>
      </w:r>
      <w:r>
        <w:instrText>unep</w:instrText>
      </w:r>
      <w:r w:rsidRPr="008F3BA3">
        <w:rPr>
          <w:lang w:val="ru-RU"/>
        </w:rPr>
        <w:instrText>.</w:instrText>
      </w:r>
      <w:r>
        <w:instrText>org</w:instrText>
      </w:r>
      <w:r w:rsidRPr="008F3BA3">
        <w:rPr>
          <w:lang w:val="ru-RU"/>
        </w:rPr>
        <w:instrText>/</w:instrText>
      </w:r>
      <w:r>
        <w:instrText>meetings</w:instrText>
      </w:r>
      <w:r w:rsidRPr="008F3BA3">
        <w:rPr>
          <w:lang w:val="ru-RU"/>
        </w:rPr>
        <w:instrText>/48</w:instrText>
      </w:r>
      <w:r>
        <w:instrText>th</w:instrText>
      </w:r>
      <w:r w:rsidRPr="008F3BA3">
        <w:rPr>
          <w:lang w:val="ru-RU"/>
        </w:rPr>
        <w:instrText>-</w:instrText>
      </w:r>
      <w:r>
        <w:instrText>meeting</w:instrText>
      </w:r>
      <w:r w:rsidRPr="008F3BA3">
        <w:rPr>
          <w:lang w:val="ru-RU"/>
        </w:rPr>
        <w:instrText>-</w:instrText>
      </w:r>
      <w:r>
        <w:instrText>open</w:instrText>
      </w:r>
      <w:r w:rsidRPr="008F3BA3">
        <w:rPr>
          <w:lang w:val="ru-RU"/>
        </w:rPr>
        <w:instrText>-</w:instrText>
      </w:r>
      <w:r>
        <w:instrText>ended</w:instrText>
      </w:r>
      <w:r w:rsidRPr="008F3BA3">
        <w:rPr>
          <w:lang w:val="ru-RU"/>
        </w:rPr>
        <w:instrText>-</w:instrText>
      </w:r>
      <w:r>
        <w:instrText>working</w:instrText>
      </w:r>
      <w:r w:rsidRPr="008F3BA3">
        <w:rPr>
          <w:lang w:val="ru-RU"/>
        </w:rPr>
        <w:instrText>-</w:instrText>
      </w:r>
      <w:r>
        <w:instrText>group</w:instrText>
      </w:r>
      <w:r w:rsidRPr="008F3BA3">
        <w:rPr>
          <w:lang w:val="ru-RU"/>
        </w:rPr>
        <w:instrText>-</w:instrText>
      </w:r>
      <w:r>
        <w:instrText>parties</w:instrText>
      </w:r>
      <w:r w:rsidRPr="008F3BA3">
        <w:rPr>
          <w:lang w:val="ru-RU"/>
        </w:rPr>
        <w:instrText>/</w:instrText>
      </w:r>
      <w:r>
        <w:instrText>pre</w:instrText>
      </w:r>
      <w:r w:rsidRPr="008F3BA3">
        <w:rPr>
          <w:lang w:val="ru-RU"/>
        </w:rPr>
        <w:instrText>-</w:instrText>
      </w:r>
      <w:r>
        <w:instrText>session</w:instrText>
      </w:r>
      <w:r w:rsidRPr="008F3BA3">
        <w:rPr>
          <w:lang w:val="ru-RU"/>
        </w:rPr>
        <w:instrText>-</w:instrText>
      </w:r>
      <w:r>
        <w:instrText>documents</w:instrText>
      </w:r>
      <w:r w:rsidRPr="008F3BA3">
        <w:rPr>
          <w:lang w:val="ru-RU"/>
        </w:rPr>
        <w:instrText>"</w:instrText>
      </w:r>
      <w:r>
        <w:fldChar w:fldCharType="separate"/>
      </w:r>
      <w:r w:rsidRPr="00435B54">
        <w:rPr>
          <w:rStyle w:val="Hyperlink"/>
          <w:szCs w:val="18"/>
          <w:lang w:val="ru-RU"/>
        </w:rPr>
        <w:t>https://ozone.unep.org/meetings/48th-meeting-open-ended-working-group-parties/pre-session-documents</w:t>
      </w:r>
      <w:r>
        <w:fldChar w:fldCharType="end"/>
      </w:r>
      <w:r>
        <w:rPr>
          <w:szCs w:val="18"/>
          <w:lang w:val="ru-RU"/>
        </w:rPr>
        <w:t>.</w:t>
      </w:r>
      <w:r>
        <w:fldChar w:fldCharType="begin"/>
      </w:r>
      <w:r>
        <w:instrText>HYPERLINK</w:instrText>
      </w:r>
      <w:r w:rsidRPr="008F3BA3">
        <w:rPr>
          <w:lang w:val="ru-RU"/>
        </w:rPr>
        <w:instrText xml:space="preserve"> "</w:instrText>
      </w:r>
      <w:r>
        <w:instrText>https</w:instrText>
      </w:r>
      <w:r w:rsidRPr="008F3BA3">
        <w:rPr>
          <w:lang w:val="ru-RU"/>
        </w:rPr>
        <w:instrText>://</w:instrText>
      </w:r>
      <w:r>
        <w:instrText>ozone</w:instrText>
      </w:r>
      <w:r w:rsidRPr="008F3BA3">
        <w:rPr>
          <w:lang w:val="ru-RU"/>
        </w:rPr>
        <w:instrText>.</w:instrText>
      </w:r>
      <w:r>
        <w:instrText>unep</w:instrText>
      </w:r>
      <w:r w:rsidRPr="008F3BA3">
        <w:rPr>
          <w:lang w:val="ru-RU"/>
        </w:rPr>
        <w:instrText>.</w:instrText>
      </w:r>
      <w:r>
        <w:instrText>org</w:instrText>
      </w:r>
      <w:r w:rsidRPr="008F3BA3">
        <w:rPr>
          <w:lang w:val="ru-RU"/>
        </w:rPr>
        <w:instrText>/</w:instrText>
      </w:r>
      <w:r>
        <w:instrText>meetings</w:instrText>
      </w:r>
      <w:r w:rsidRPr="008F3BA3">
        <w:rPr>
          <w:lang w:val="ru-RU"/>
        </w:rPr>
        <w:instrText>/48</w:instrText>
      </w:r>
      <w:r>
        <w:instrText>th</w:instrText>
      </w:r>
      <w:r w:rsidRPr="008F3BA3">
        <w:rPr>
          <w:lang w:val="ru-RU"/>
        </w:rPr>
        <w:instrText>-</w:instrText>
      </w:r>
      <w:r>
        <w:instrText>meeting</w:instrText>
      </w:r>
      <w:r w:rsidRPr="008F3BA3">
        <w:rPr>
          <w:lang w:val="ru-RU"/>
        </w:rPr>
        <w:instrText>-</w:instrText>
      </w:r>
      <w:r>
        <w:instrText>open</w:instrText>
      </w:r>
      <w:r w:rsidRPr="008F3BA3">
        <w:rPr>
          <w:lang w:val="ru-RU"/>
        </w:rPr>
        <w:instrText>-</w:instrText>
      </w:r>
      <w:r>
        <w:instrText>ended</w:instrText>
      </w:r>
      <w:r w:rsidRPr="008F3BA3">
        <w:rPr>
          <w:lang w:val="ru-RU"/>
        </w:rPr>
        <w:instrText>-</w:instrText>
      </w:r>
      <w:r>
        <w:instrText>working</w:instrText>
      </w:r>
      <w:r w:rsidRPr="008F3BA3">
        <w:rPr>
          <w:lang w:val="ru-RU"/>
        </w:rPr>
        <w:instrText>-</w:instrText>
      </w:r>
      <w:r>
        <w:instrText>group</w:instrText>
      </w:r>
      <w:r w:rsidRPr="008F3BA3">
        <w:rPr>
          <w:lang w:val="ru-RU"/>
        </w:rPr>
        <w:instrText>-</w:instrText>
      </w:r>
      <w:r>
        <w:instrText>parties</w:instrText>
      </w:r>
      <w:r w:rsidRPr="008F3BA3">
        <w:rPr>
          <w:lang w:val="ru-RU"/>
        </w:rPr>
        <w:instrText>/</w:instrText>
      </w:r>
      <w:r>
        <w:instrText>pre</w:instrText>
      </w:r>
      <w:r w:rsidRPr="008F3BA3">
        <w:rPr>
          <w:lang w:val="ru-RU"/>
        </w:rPr>
        <w:instrText>-</w:instrText>
      </w:r>
      <w:r>
        <w:instrText>session</w:instrText>
      </w:r>
      <w:r w:rsidRPr="008F3BA3">
        <w:rPr>
          <w:lang w:val="ru-RU"/>
        </w:rPr>
        <w:instrText>-</w:instrText>
      </w:r>
      <w:r>
        <w:instrText>documents</w:instrText>
      </w:r>
      <w:r w:rsidRPr="008F3BA3">
        <w:rPr>
          <w:lang w:val="ru-RU"/>
        </w:rPr>
        <w:instrText>"</w:instrText>
      </w:r>
      <w:r>
        <w:fldChar w:fldCharType="separate"/>
      </w:r>
      <w:r>
        <w:fldChar w:fldCharType="end"/>
      </w:r>
    </w:p>
  </w:footnote>
  <w:footnote w:id="4">
    <w:p w14:paraId="5834DE89" w14:textId="45660270" w:rsidR="00E62558" w:rsidRPr="00B21A41" w:rsidRDefault="00E62558" w:rsidP="00B06737">
      <w:pPr>
        <w:pStyle w:val="Footnote-Text"/>
        <w:tabs>
          <w:tab w:val="clear" w:pos="624"/>
          <w:tab w:val="clear" w:pos="1247"/>
          <w:tab w:val="clear" w:pos="1871"/>
          <w:tab w:val="clear" w:pos="2495"/>
          <w:tab w:val="clear" w:pos="3119"/>
          <w:tab w:val="clear" w:pos="3742"/>
          <w:tab w:val="clear" w:pos="4366"/>
          <w:tab w:val="clear" w:pos="4990"/>
        </w:tabs>
        <w:rPr>
          <w:lang w:val="ru-RU"/>
        </w:rPr>
      </w:pPr>
      <w:r w:rsidRPr="00E0168F">
        <w:rPr>
          <w:rStyle w:val="FootnoteReference"/>
          <w:sz w:val="18"/>
          <w:lang w:val="ru-RU"/>
        </w:rPr>
        <w:footnoteRef/>
      </w:r>
      <w:r>
        <w:rPr>
          <w:lang w:val="ru-RU"/>
        </w:rPr>
        <w:t xml:space="preserve"> </w:t>
      </w:r>
      <w:r>
        <w:fldChar w:fldCharType="begin"/>
      </w:r>
      <w:r>
        <w:instrText>HYPERLINK</w:instrText>
      </w:r>
      <w:r w:rsidRPr="008F3BA3">
        <w:rPr>
          <w:lang w:val="ru-RU"/>
        </w:rPr>
        <w:instrText xml:space="preserve"> "</w:instrText>
      </w:r>
      <w:r>
        <w:instrText>https</w:instrText>
      </w:r>
      <w:r w:rsidRPr="008F3BA3">
        <w:rPr>
          <w:lang w:val="ru-RU"/>
        </w:rPr>
        <w:instrText>://</w:instrText>
      </w:r>
      <w:r>
        <w:instrText>ozone</w:instrText>
      </w:r>
      <w:r w:rsidRPr="008F3BA3">
        <w:rPr>
          <w:lang w:val="ru-RU"/>
        </w:rPr>
        <w:instrText>.</w:instrText>
      </w:r>
      <w:r>
        <w:instrText>unep</w:instrText>
      </w:r>
      <w:r w:rsidRPr="008F3BA3">
        <w:rPr>
          <w:lang w:val="ru-RU"/>
        </w:rPr>
        <w:instrText>.</w:instrText>
      </w:r>
      <w:r>
        <w:instrText>org</w:instrText>
      </w:r>
      <w:r w:rsidRPr="008F3BA3">
        <w:rPr>
          <w:lang w:val="ru-RU"/>
        </w:rPr>
        <w:instrText>/</w:instrText>
      </w:r>
      <w:r>
        <w:instrText>system</w:instrText>
      </w:r>
      <w:r w:rsidRPr="008F3BA3">
        <w:rPr>
          <w:lang w:val="ru-RU"/>
        </w:rPr>
        <w:instrText>/</w:instrText>
      </w:r>
      <w:r>
        <w:instrText>files</w:instrText>
      </w:r>
      <w:r w:rsidRPr="008F3BA3">
        <w:rPr>
          <w:lang w:val="ru-RU"/>
        </w:rPr>
        <w:instrText>/</w:instrText>
      </w:r>
      <w:r>
        <w:instrText>documents</w:instrText>
      </w:r>
      <w:r w:rsidRPr="008F3BA3">
        <w:rPr>
          <w:lang w:val="ru-RU"/>
        </w:rPr>
        <w:instrText>/</w:instrText>
      </w:r>
      <w:r>
        <w:instrText>TEAP</w:instrText>
      </w:r>
      <w:r w:rsidRPr="008F3BA3">
        <w:rPr>
          <w:lang w:val="ru-RU"/>
        </w:rPr>
        <w:instrText>-</w:instrText>
      </w:r>
      <w:r>
        <w:instrText>DecisionXXXVII</w:instrText>
      </w:r>
      <w:r w:rsidRPr="008F3BA3">
        <w:rPr>
          <w:lang w:val="ru-RU"/>
        </w:rPr>
        <w:instrText>6-</w:instrText>
      </w:r>
      <w:r>
        <w:instrText>replenishment</w:instrText>
      </w:r>
      <w:r w:rsidRPr="008F3BA3">
        <w:rPr>
          <w:lang w:val="ru-RU"/>
        </w:rPr>
        <w:instrText>-</w:instrText>
      </w:r>
      <w:r>
        <w:instrText>TF</w:instrText>
      </w:r>
      <w:r w:rsidRPr="008F3BA3">
        <w:rPr>
          <w:lang w:val="ru-RU"/>
        </w:rPr>
        <w:instrText>-</w:instrText>
      </w:r>
      <w:r>
        <w:instrText>report</w:instrText>
      </w:r>
      <w:r w:rsidRPr="008F3BA3">
        <w:rPr>
          <w:lang w:val="ru-RU"/>
        </w:rPr>
        <w:instrText>-</w:instrText>
      </w:r>
      <w:r>
        <w:instrText>May</w:instrText>
      </w:r>
      <w:r w:rsidRPr="008F3BA3">
        <w:rPr>
          <w:lang w:val="ru-RU"/>
        </w:rPr>
        <w:instrText>2026-</w:instrText>
      </w:r>
      <w:r>
        <w:instrText>RTF</w:instrText>
      </w:r>
      <w:r w:rsidRPr="008F3BA3">
        <w:rPr>
          <w:lang w:val="ru-RU"/>
        </w:rPr>
        <w:instrText>-</w:instrText>
      </w:r>
      <w:r>
        <w:instrText>report</w:instrText>
      </w:r>
      <w:r w:rsidRPr="008F3BA3">
        <w:rPr>
          <w:lang w:val="ru-RU"/>
        </w:rPr>
        <w:instrText>.</w:instrText>
      </w:r>
      <w:r>
        <w:instrText>pdf</w:instrText>
      </w:r>
      <w:r w:rsidRPr="008F3BA3">
        <w:rPr>
          <w:lang w:val="ru-RU"/>
        </w:rPr>
        <w:instrText>"</w:instrText>
      </w:r>
      <w:r>
        <w:fldChar w:fldCharType="separate"/>
      </w:r>
      <w:r w:rsidRPr="00B06737">
        <w:rPr>
          <w:rStyle w:val="Hyperlink"/>
          <w:lang w:val="ru-RU"/>
        </w:rPr>
        <w:t>https://ozone.unep.org/system/files/documents/TEAP-DecisionXXXVII6-replenishment-TF-report-May2026-RTF-report.pdf</w:t>
      </w:r>
      <w:r>
        <w:fldChar w:fldCharType="end"/>
      </w:r>
      <w:r>
        <w:rPr>
          <w:lang w:val="ru-RU"/>
        </w:rPr>
        <w:t>.</w:t>
      </w:r>
      <w:r>
        <w:fldChar w:fldCharType="begin"/>
      </w:r>
      <w:r>
        <w:instrText>HYPERLINK</w:instrText>
      </w:r>
      <w:r w:rsidRPr="008F3BA3">
        <w:rPr>
          <w:lang w:val="ru-RU"/>
        </w:rPr>
        <w:instrText xml:space="preserve"> "</w:instrText>
      </w:r>
      <w:r>
        <w:instrText>https</w:instrText>
      </w:r>
      <w:r w:rsidRPr="008F3BA3">
        <w:rPr>
          <w:lang w:val="ru-RU"/>
        </w:rPr>
        <w:instrText>://</w:instrText>
      </w:r>
      <w:r>
        <w:instrText>ozone</w:instrText>
      </w:r>
      <w:r w:rsidRPr="008F3BA3">
        <w:rPr>
          <w:lang w:val="ru-RU"/>
        </w:rPr>
        <w:instrText>.</w:instrText>
      </w:r>
      <w:r>
        <w:instrText>unep</w:instrText>
      </w:r>
      <w:r w:rsidRPr="008F3BA3">
        <w:rPr>
          <w:lang w:val="ru-RU"/>
        </w:rPr>
        <w:instrText>.</w:instrText>
      </w:r>
      <w:r>
        <w:instrText>org</w:instrText>
      </w:r>
      <w:r w:rsidRPr="008F3BA3">
        <w:rPr>
          <w:lang w:val="ru-RU"/>
        </w:rPr>
        <w:instrText>/</w:instrText>
      </w:r>
      <w:r>
        <w:instrText>system</w:instrText>
      </w:r>
      <w:r w:rsidRPr="008F3BA3">
        <w:rPr>
          <w:lang w:val="ru-RU"/>
        </w:rPr>
        <w:instrText>/</w:instrText>
      </w:r>
      <w:r>
        <w:instrText>files</w:instrText>
      </w:r>
      <w:r w:rsidRPr="008F3BA3">
        <w:rPr>
          <w:lang w:val="ru-RU"/>
        </w:rPr>
        <w:instrText>/</w:instrText>
      </w:r>
      <w:r>
        <w:instrText>documents</w:instrText>
      </w:r>
      <w:r w:rsidRPr="008F3BA3">
        <w:rPr>
          <w:lang w:val="ru-RU"/>
        </w:rPr>
        <w:instrText>/</w:instrText>
      </w:r>
      <w:r>
        <w:instrText>TEAP</w:instrText>
      </w:r>
      <w:r w:rsidRPr="008F3BA3">
        <w:rPr>
          <w:lang w:val="ru-RU"/>
        </w:rPr>
        <w:instrText>-</w:instrText>
      </w:r>
      <w:r>
        <w:instrText>DecisionXXXVII</w:instrText>
      </w:r>
      <w:r w:rsidRPr="008F3BA3">
        <w:rPr>
          <w:lang w:val="ru-RU"/>
        </w:rPr>
        <w:instrText>6-</w:instrText>
      </w:r>
      <w:r>
        <w:instrText>replenishment</w:instrText>
      </w:r>
      <w:r w:rsidRPr="008F3BA3">
        <w:rPr>
          <w:lang w:val="ru-RU"/>
        </w:rPr>
        <w:instrText>-</w:instrText>
      </w:r>
      <w:r>
        <w:instrText>TF</w:instrText>
      </w:r>
      <w:r w:rsidRPr="008F3BA3">
        <w:rPr>
          <w:lang w:val="ru-RU"/>
        </w:rPr>
        <w:instrText>-</w:instrText>
      </w:r>
      <w:r>
        <w:instrText>report</w:instrText>
      </w:r>
      <w:r w:rsidRPr="008F3BA3">
        <w:rPr>
          <w:lang w:val="ru-RU"/>
        </w:rPr>
        <w:instrText>-</w:instrText>
      </w:r>
      <w:r>
        <w:instrText>May</w:instrText>
      </w:r>
      <w:r w:rsidRPr="008F3BA3">
        <w:rPr>
          <w:lang w:val="ru-RU"/>
        </w:rPr>
        <w:instrText>2026-</w:instrText>
      </w:r>
      <w:r>
        <w:instrText>RTF</w:instrText>
      </w:r>
      <w:r w:rsidRPr="008F3BA3">
        <w:rPr>
          <w:lang w:val="ru-RU"/>
        </w:rPr>
        <w:instrText>-</w:instrText>
      </w:r>
      <w:r>
        <w:instrText>report</w:instrText>
      </w:r>
      <w:r w:rsidRPr="008F3BA3">
        <w:rPr>
          <w:lang w:val="ru-RU"/>
        </w:rPr>
        <w:instrText>.</w:instrText>
      </w:r>
      <w:r>
        <w:instrText>pdf</w:instrText>
      </w:r>
      <w:r w:rsidRPr="008F3BA3">
        <w:rPr>
          <w:lang w:val="ru-RU"/>
        </w:rPr>
        <w:instrText>"</w:instrText>
      </w:r>
      <w:r>
        <w:fldChar w:fldCharType="separate"/>
      </w:r>
      <w:r>
        <w:fldChar w:fldCharType="end"/>
      </w:r>
    </w:p>
  </w:footnote>
  <w:footnote w:id="5">
    <w:p w14:paraId="7F4A02A9" w14:textId="15B50A72" w:rsidR="00E62558" w:rsidRPr="001B1A45" w:rsidRDefault="00E62558" w:rsidP="00B06737">
      <w:pPr>
        <w:pStyle w:val="Footnote-Text"/>
        <w:tabs>
          <w:tab w:val="clear" w:pos="624"/>
          <w:tab w:val="clear" w:pos="1247"/>
          <w:tab w:val="clear" w:pos="1871"/>
          <w:tab w:val="clear" w:pos="2495"/>
          <w:tab w:val="clear" w:pos="3119"/>
          <w:tab w:val="clear" w:pos="3742"/>
          <w:tab w:val="clear" w:pos="4366"/>
          <w:tab w:val="clear" w:pos="4990"/>
        </w:tabs>
        <w:rPr>
          <w:lang w:val="ru-RU"/>
        </w:rPr>
      </w:pPr>
      <w:r w:rsidRPr="00C026EB">
        <w:rPr>
          <w:rStyle w:val="FootnoteReference"/>
          <w:sz w:val="18"/>
        </w:rPr>
        <w:footnoteRef/>
      </w:r>
      <w:r w:rsidRPr="001B1A45">
        <w:rPr>
          <w:lang w:val="ru-RU"/>
        </w:rPr>
        <w:t xml:space="preserve"> </w:t>
      </w:r>
      <w:r w:rsidR="001B1A45">
        <w:rPr>
          <w:lang w:val="ru-RU"/>
        </w:rPr>
        <w:t xml:space="preserve">Эти квоты </w:t>
      </w:r>
      <w:r w:rsidR="001B1A45" w:rsidRPr="001B1A45">
        <w:rPr>
          <w:lang w:val="ru-RU"/>
        </w:rPr>
        <w:t>предусматривают среднегодовое значение в 2,5 процента для технического обслуживания существующего холодильного оборудования и оборудования для кондиционирования воздуха; технического обслуживания оборудования для пожаротушения и противопожарной защиты, имеющегося по состоянию на 1 января 2030 года; применения растворителей при производстве ракетных двигателей; а также для медицинских аэрозолей местного применения, предназначенных для специализированного лечения ожогов.</w:t>
      </w:r>
    </w:p>
  </w:footnote>
  <w:footnote w:id="6">
    <w:p w14:paraId="555505E1" w14:textId="14644E36" w:rsidR="00E62558" w:rsidRPr="00135856" w:rsidRDefault="00E62558" w:rsidP="00B06737">
      <w:pPr>
        <w:pStyle w:val="Footnote-Text"/>
        <w:tabs>
          <w:tab w:val="clear" w:pos="624"/>
          <w:tab w:val="clear" w:pos="1247"/>
          <w:tab w:val="clear" w:pos="1871"/>
          <w:tab w:val="clear" w:pos="2495"/>
          <w:tab w:val="clear" w:pos="3119"/>
          <w:tab w:val="clear" w:pos="3742"/>
          <w:tab w:val="clear" w:pos="4366"/>
          <w:tab w:val="clear" w:pos="4990"/>
        </w:tabs>
        <w:rPr>
          <w:lang w:val="ru-RU"/>
        </w:rPr>
      </w:pPr>
      <w:r w:rsidRPr="00C026EB">
        <w:rPr>
          <w:rStyle w:val="FootnoteReference"/>
          <w:sz w:val="18"/>
        </w:rPr>
        <w:footnoteRef/>
      </w:r>
      <w:r w:rsidRPr="00135856">
        <w:rPr>
          <w:lang w:val="ru-RU"/>
        </w:rPr>
        <w:t xml:space="preserve"> </w:t>
      </w:r>
      <w:r w:rsidR="00135856">
        <w:rPr>
          <w:lang w:val="ru-RU"/>
        </w:rPr>
        <w:t>В соответствии с решением</w:t>
      </w:r>
      <w:r w:rsidRPr="00135856">
        <w:rPr>
          <w:lang w:val="ru-RU"/>
        </w:rPr>
        <w:t xml:space="preserve"> 62/17</w:t>
      </w:r>
      <w:r w:rsidR="00135856">
        <w:rPr>
          <w:lang w:val="ru-RU"/>
        </w:rPr>
        <w:t xml:space="preserve"> Исполнительного комитета</w:t>
      </w:r>
      <w:r w:rsidRPr="00135856">
        <w:rPr>
          <w:lang w:val="ru-RU"/>
        </w:rPr>
        <w:t>.</w:t>
      </w:r>
    </w:p>
  </w:footnote>
  <w:footnote w:id="7">
    <w:p w14:paraId="39CF6593" w14:textId="435F16A4" w:rsidR="00E62558" w:rsidRPr="00135856" w:rsidRDefault="00E62558" w:rsidP="00F87FB4">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D12A53">
        <w:rPr>
          <w:rStyle w:val="FootnoteReference"/>
          <w:sz w:val="18"/>
          <w:lang w:val="ru-RU"/>
        </w:rPr>
        <w:footnoteRef/>
      </w:r>
      <w:r w:rsidRPr="00135856">
        <w:rPr>
          <w:lang w:val="ru-RU"/>
        </w:rPr>
        <w:t xml:space="preserve"> </w:t>
      </w:r>
      <w:proofErr w:type="spellStart"/>
      <w:r>
        <w:fldChar w:fldCharType="begin"/>
      </w:r>
      <w:r>
        <w:instrText>HYPERLINK</w:instrText>
      </w:r>
      <w:r w:rsidRPr="008F3BA3">
        <w:rPr>
          <w:lang w:val="ru-RU"/>
        </w:rPr>
        <w:instrText xml:space="preserve"> "</w:instrText>
      </w:r>
      <w:r>
        <w:instrText>https</w:instrText>
      </w:r>
      <w:r w:rsidRPr="008F3BA3">
        <w:rPr>
          <w:lang w:val="ru-RU"/>
        </w:rPr>
        <w:instrText>://</w:instrText>
      </w:r>
      <w:r>
        <w:instrText>ozone</w:instrText>
      </w:r>
      <w:r w:rsidRPr="008F3BA3">
        <w:rPr>
          <w:lang w:val="ru-RU"/>
        </w:rPr>
        <w:instrText>.</w:instrText>
      </w:r>
      <w:r>
        <w:instrText>unep</w:instrText>
      </w:r>
      <w:r w:rsidRPr="008F3BA3">
        <w:rPr>
          <w:lang w:val="ru-RU"/>
        </w:rPr>
        <w:instrText>.</w:instrText>
      </w:r>
      <w:r>
        <w:instrText>org</w:instrText>
      </w:r>
      <w:r w:rsidRPr="008F3BA3">
        <w:rPr>
          <w:lang w:val="ru-RU"/>
        </w:rPr>
        <w:instrText>/</w:instrText>
      </w:r>
      <w:r>
        <w:instrText>system</w:instrText>
      </w:r>
      <w:r w:rsidRPr="008F3BA3">
        <w:rPr>
          <w:lang w:val="ru-RU"/>
        </w:rPr>
        <w:instrText>/</w:instrText>
      </w:r>
      <w:r>
        <w:instrText>files</w:instrText>
      </w:r>
      <w:r w:rsidRPr="008F3BA3">
        <w:rPr>
          <w:lang w:val="ru-RU"/>
        </w:rPr>
        <w:instrText>/</w:instrText>
      </w:r>
      <w:r>
        <w:instrText>documents</w:instrText>
      </w:r>
      <w:r w:rsidRPr="008F3BA3">
        <w:rPr>
          <w:lang w:val="ru-RU"/>
        </w:rPr>
        <w:instrText>/</w:instrText>
      </w:r>
      <w:r>
        <w:instrText>TEAP</w:instrText>
      </w:r>
      <w:r w:rsidRPr="008F3BA3">
        <w:rPr>
          <w:lang w:val="ru-RU"/>
        </w:rPr>
        <w:instrText>-</w:instrText>
      </w:r>
      <w:r>
        <w:instrText>May</w:instrText>
      </w:r>
      <w:r w:rsidRPr="008F3BA3">
        <w:rPr>
          <w:lang w:val="ru-RU"/>
        </w:rPr>
        <w:instrText>2026-</w:instrText>
      </w:r>
      <w:r>
        <w:instrText>Progress</w:instrText>
      </w:r>
      <w:r w:rsidRPr="008F3BA3">
        <w:rPr>
          <w:lang w:val="ru-RU"/>
        </w:rPr>
        <w:instrText>-</w:instrText>
      </w:r>
      <w:r>
        <w:instrText>Report</w:instrText>
      </w:r>
      <w:r w:rsidRPr="008F3BA3">
        <w:rPr>
          <w:lang w:val="ru-RU"/>
        </w:rPr>
        <w:instrText>-</w:instrText>
      </w:r>
      <w:r>
        <w:instrText>vol</w:instrText>
      </w:r>
      <w:r w:rsidRPr="008F3BA3">
        <w:rPr>
          <w:lang w:val="ru-RU"/>
        </w:rPr>
        <w:instrText>1.</w:instrText>
      </w:r>
      <w:r>
        <w:instrText>pdf</w:instrText>
      </w:r>
      <w:r w:rsidRPr="008F3BA3">
        <w:rPr>
          <w:lang w:val="ru-RU"/>
        </w:rPr>
        <w:instrText>"</w:instrText>
      </w:r>
      <w:r>
        <w:fldChar w:fldCharType="separate"/>
      </w:r>
      <w:r w:rsidRPr="00F87FB4">
        <w:rPr>
          <w:rStyle w:val="Hyperlink"/>
        </w:rPr>
        <w:t>https</w:t>
      </w:r>
      <w:r w:rsidRPr="00F87FB4">
        <w:rPr>
          <w:rStyle w:val="Hyperlink"/>
          <w:lang w:val="ru-RU"/>
        </w:rPr>
        <w:t>://</w:t>
      </w:r>
      <w:r w:rsidRPr="00F87FB4">
        <w:rPr>
          <w:rStyle w:val="Hyperlink"/>
        </w:rPr>
        <w:t>ozone</w:t>
      </w:r>
      <w:r w:rsidRPr="00F87FB4">
        <w:rPr>
          <w:rStyle w:val="Hyperlink"/>
          <w:lang w:val="ru-RU"/>
        </w:rPr>
        <w:t>.</w:t>
      </w:r>
      <w:r w:rsidRPr="00F87FB4">
        <w:rPr>
          <w:rStyle w:val="Hyperlink"/>
        </w:rPr>
        <w:t>unep</w:t>
      </w:r>
      <w:r w:rsidRPr="00F87FB4">
        <w:rPr>
          <w:rStyle w:val="Hyperlink"/>
          <w:lang w:val="ru-RU"/>
        </w:rPr>
        <w:t>.</w:t>
      </w:r>
      <w:r w:rsidRPr="00F87FB4">
        <w:rPr>
          <w:rStyle w:val="Hyperlink"/>
        </w:rPr>
        <w:t>org</w:t>
      </w:r>
      <w:r w:rsidRPr="00F87FB4">
        <w:rPr>
          <w:rStyle w:val="Hyperlink"/>
          <w:lang w:val="ru-RU"/>
        </w:rPr>
        <w:t>/</w:t>
      </w:r>
      <w:r w:rsidRPr="00F87FB4">
        <w:rPr>
          <w:rStyle w:val="Hyperlink"/>
        </w:rPr>
        <w:t>system</w:t>
      </w:r>
      <w:r w:rsidRPr="00F87FB4">
        <w:rPr>
          <w:rStyle w:val="Hyperlink"/>
          <w:lang w:val="ru-RU"/>
        </w:rPr>
        <w:t>/</w:t>
      </w:r>
      <w:r w:rsidRPr="00F87FB4">
        <w:rPr>
          <w:rStyle w:val="Hyperlink"/>
        </w:rPr>
        <w:t>files</w:t>
      </w:r>
      <w:r w:rsidRPr="00F87FB4">
        <w:rPr>
          <w:rStyle w:val="Hyperlink"/>
          <w:lang w:val="ru-RU"/>
        </w:rPr>
        <w:t>/</w:t>
      </w:r>
      <w:r w:rsidRPr="00F87FB4">
        <w:rPr>
          <w:rStyle w:val="Hyperlink"/>
        </w:rPr>
        <w:t>documents</w:t>
      </w:r>
      <w:r w:rsidRPr="00F87FB4">
        <w:rPr>
          <w:rStyle w:val="Hyperlink"/>
          <w:lang w:val="ru-RU"/>
        </w:rPr>
        <w:t>/</w:t>
      </w:r>
      <w:r w:rsidRPr="00F87FB4">
        <w:rPr>
          <w:rStyle w:val="Hyperlink"/>
        </w:rPr>
        <w:t>TEAP</w:t>
      </w:r>
      <w:r w:rsidRPr="00F87FB4">
        <w:rPr>
          <w:rStyle w:val="Hyperlink"/>
          <w:lang w:val="ru-RU"/>
        </w:rPr>
        <w:t>-</w:t>
      </w:r>
      <w:r w:rsidRPr="00F87FB4">
        <w:rPr>
          <w:rStyle w:val="Hyperlink"/>
        </w:rPr>
        <w:t>May</w:t>
      </w:r>
      <w:r w:rsidRPr="00F87FB4">
        <w:rPr>
          <w:rStyle w:val="Hyperlink"/>
          <w:lang w:val="ru-RU"/>
        </w:rPr>
        <w:t>2026-</w:t>
      </w:r>
      <w:r w:rsidRPr="00F87FB4">
        <w:rPr>
          <w:rStyle w:val="Hyperlink"/>
        </w:rPr>
        <w:t>Progress</w:t>
      </w:r>
      <w:r w:rsidRPr="00F87FB4">
        <w:rPr>
          <w:rStyle w:val="Hyperlink"/>
          <w:lang w:val="ru-RU"/>
        </w:rPr>
        <w:t>-</w:t>
      </w:r>
      <w:r w:rsidRPr="00F87FB4">
        <w:rPr>
          <w:rStyle w:val="Hyperlink"/>
        </w:rPr>
        <w:t>Report</w:t>
      </w:r>
      <w:r w:rsidRPr="00F87FB4">
        <w:rPr>
          <w:rStyle w:val="Hyperlink"/>
          <w:lang w:val="ru-RU"/>
        </w:rPr>
        <w:t>-</w:t>
      </w:r>
      <w:r w:rsidRPr="00F87FB4">
        <w:rPr>
          <w:rStyle w:val="Hyperlink"/>
        </w:rPr>
        <w:t>vol</w:t>
      </w:r>
      <w:r w:rsidRPr="00F87FB4">
        <w:rPr>
          <w:rStyle w:val="Hyperlink"/>
          <w:lang w:val="ru-RU"/>
        </w:rPr>
        <w:t>1.</w:t>
      </w:r>
      <w:r w:rsidRPr="00F87FB4">
        <w:rPr>
          <w:rStyle w:val="Hyperlink"/>
        </w:rPr>
        <w:t>pdf</w:t>
      </w:r>
      <w:r>
        <w:fldChar w:fldCharType="end"/>
      </w:r>
      <w:proofErr w:type="spellEnd"/>
      <w:r w:rsidRPr="00135856">
        <w:rPr>
          <w:lang w:val="ru-RU"/>
        </w:rPr>
        <w:t>.</w:t>
      </w:r>
      <w:r>
        <w:fldChar w:fldCharType="begin"/>
      </w:r>
      <w:r>
        <w:instrText>HYPERLINK</w:instrText>
      </w:r>
      <w:r w:rsidRPr="008F3BA3">
        <w:rPr>
          <w:lang w:val="ru-RU"/>
        </w:rPr>
        <w:instrText xml:space="preserve"> "</w:instrText>
      </w:r>
      <w:r>
        <w:instrText>https</w:instrText>
      </w:r>
      <w:r w:rsidRPr="008F3BA3">
        <w:rPr>
          <w:lang w:val="ru-RU"/>
        </w:rPr>
        <w:instrText>://</w:instrText>
      </w:r>
      <w:r>
        <w:instrText>ozone</w:instrText>
      </w:r>
      <w:r w:rsidRPr="008F3BA3">
        <w:rPr>
          <w:lang w:val="ru-RU"/>
        </w:rPr>
        <w:instrText>.</w:instrText>
      </w:r>
      <w:r>
        <w:instrText>unep</w:instrText>
      </w:r>
      <w:r w:rsidRPr="008F3BA3">
        <w:rPr>
          <w:lang w:val="ru-RU"/>
        </w:rPr>
        <w:instrText>.</w:instrText>
      </w:r>
      <w:r>
        <w:instrText>org</w:instrText>
      </w:r>
      <w:r w:rsidRPr="008F3BA3">
        <w:rPr>
          <w:lang w:val="ru-RU"/>
        </w:rPr>
        <w:instrText>/</w:instrText>
      </w:r>
      <w:r>
        <w:instrText>system</w:instrText>
      </w:r>
      <w:r w:rsidRPr="008F3BA3">
        <w:rPr>
          <w:lang w:val="ru-RU"/>
        </w:rPr>
        <w:instrText>/</w:instrText>
      </w:r>
      <w:r>
        <w:instrText>files</w:instrText>
      </w:r>
      <w:r w:rsidRPr="008F3BA3">
        <w:rPr>
          <w:lang w:val="ru-RU"/>
        </w:rPr>
        <w:instrText>/</w:instrText>
      </w:r>
      <w:r>
        <w:instrText>documents</w:instrText>
      </w:r>
      <w:r w:rsidRPr="008F3BA3">
        <w:rPr>
          <w:lang w:val="ru-RU"/>
        </w:rPr>
        <w:instrText>/</w:instrText>
      </w:r>
      <w:r>
        <w:instrText>TEAP</w:instrText>
      </w:r>
      <w:r w:rsidRPr="008F3BA3">
        <w:rPr>
          <w:lang w:val="ru-RU"/>
        </w:rPr>
        <w:instrText>-</w:instrText>
      </w:r>
      <w:r>
        <w:instrText>May</w:instrText>
      </w:r>
      <w:r w:rsidRPr="008F3BA3">
        <w:rPr>
          <w:lang w:val="ru-RU"/>
        </w:rPr>
        <w:instrText>2026-</w:instrText>
      </w:r>
      <w:r>
        <w:instrText>Progress</w:instrText>
      </w:r>
      <w:r w:rsidRPr="008F3BA3">
        <w:rPr>
          <w:lang w:val="ru-RU"/>
        </w:rPr>
        <w:instrText>-</w:instrText>
      </w:r>
      <w:r>
        <w:instrText>Report</w:instrText>
      </w:r>
      <w:r w:rsidRPr="008F3BA3">
        <w:rPr>
          <w:lang w:val="ru-RU"/>
        </w:rPr>
        <w:instrText>-</w:instrText>
      </w:r>
      <w:r>
        <w:instrText>vol</w:instrText>
      </w:r>
      <w:r w:rsidRPr="008F3BA3">
        <w:rPr>
          <w:lang w:val="ru-RU"/>
        </w:rPr>
        <w:instrText>1.</w:instrText>
      </w:r>
      <w:r>
        <w:instrText>pdf</w:instrText>
      </w:r>
      <w:r w:rsidRPr="008F3BA3">
        <w:rPr>
          <w:lang w:val="ru-RU"/>
        </w:rPr>
        <w:instrText>"</w:instrText>
      </w:r>
      <w:r>
        <w:fldChar w:fldCharType="separate"/>
      </w:r>
      <w:r>
        <w:fldChar w:fldCharType="end"/>
      </w:r>
    </w:p>
  </w:footnote>
  <w:footnote w:id="8">
    <w:p w14:paraId="138A90CA" w14:textId="3649993A" w:rsidR="00C624C0" w:rsidRPr="00C624C0" w:rsidRDefault="00C624C0" w:rsidP="00B8645F">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2F6474">
        <w:rPr>
          <w:rStyle w:val="FootnoteReference"/>
          <w:sz w:val="18"/>
        </w:rPr>
        <w:footnoteRef/>
      </w:r>
      <w:r w:rsidRPr="00683F82">
        <w:rPr>
          <w:szCs w:val="18"/>
          <w:lang w:val="ru-RU"/>
        </w:rPr>
        <w:t xml:space="preserve"> </w:t>
      </w:r>
      <w:r>
        <w:rPr>
          <w:szCs w:val="18"/>
          <w:lang w:val="ru-RU"/>
        </w:rPr>
        <w:t>Документ</w:t>
      </w:r>
      <w:r w:rsidRPr="00C624C0">
        <w:rPr>
          <w:szCs w:val="18"/>
          <w:lang w:val="ru-RU"/>
        </w:rPr>
        <w:t xml:space="preserve"> </w:t>
      </w:r>
      <w:r w:rsidRPr="002F6474">
        <w:rPr>
          <w:szCs w:val="18"/>
          <w:lang w:val="fr-FR"/>
        </w:rPr>
        <w:t>UNEP</w:t>
      </w:r>
      <w:r w:rsidRPr="00683F82">
        <w:rPr>
          <w:szCs w:val="18"/>
          <w:lang w:val="ru-RU"/>
        </w:rPr>
        <w:t>/</w:t>
      </w:r>
      <w:proofErr w:type="spellStart"/>
      <w:r w:rsidRPr="002F6474">
        <w:rPr>
          <w:szCs w:val="18"/>
          <w:lang w:val="fr-FR"/>
        </w:rPr>
        <w:t>OzL</w:t>
      </w:r>
      <w:proofErr w:type="spellEnd"/>
      <w:r w:rsidRPr="00683F82">
        <w:rPr>
          <w:szCs w:val="18"/>
          <w:lang w:val="ru-RU"/>
        </w:rPr>
        <w:t>.</w:t>
      </w:r>
      <w:r w:rsidRPr="002F6474">
        <w:rPr>
          <w:szCs w:val="18"/>
          <w:lang w:val="fr-FR"/>
        </w:rPr>
        <w:t>Pro</w:t>
      </w:r>
      <w:r w:rsidRPr="00683F82">
        <w:rPr>
          <w:szCs w:val="18"/>
          <w:lang w:val="ru-RU"/>
        </w:rPr>
        <w:t>.</w:t>
      </w:r>
      <w:r w:rsidRPr="002F6474">
        <w:rPr>
          <w:szCs w:val="18"/>
          <w:lang w:val="fr-FR"/>
        </w:rPr>
        <w:t>WG</w:t>
      </w:r>
      <w:r w:rsidRPr="00683F82">
        <w:rPr>
          <w:szCs w:val="18"/>
          <w:lang w:val="ru-RU"/>
        </w:rPr>
        <w:t>.1/47/2 (</w:t>
      </w:r>
      <w:r>
        <w:rPr>
          <w:szCs w:val="18"/>
          <w:lang w:val="ru-RU"/>
        </w:rPr>
        <w:t>пункты</w:t>
      </w:r>
      <w:r w:rsidRPr="00683F82">
        <w:rPr>
          <w:szCs w:val="18"/>
          <w:lang w:val="ru-RU"/>
        </w:rPr>
        <w:t xml:space="preserve"> </w:t>
      </w:r>
      <w:r w:rsidRPr="00C624C0">
        <w:rPr>
          <w:szCs w:val="18"/>
          <w:lang w:val="ru-RU"/>
        </w:rPr>
        <w:t xml:space="preserve">17–21) </w:t>
      </w:r>
      <w:r>
        <w:rPr>
          <w:szCs w:val="18"/>
          <w:lang w:val="ru-RU"/>
        </w:rPr>
        <w:t>и добавление к нему</w:t>
      </w:r>
      <w:r w:rsidRPr="00C624C0">
        <w:rPr>
          <w:szCs w:val="18"/>
          <w:lang w:val="ru-RU"/>
        </w:rPr>
        <w:t xml:space="preserve"> </w:t>
      </w:r>
      <w:r w:rsidRPr="002F6474">
        <w:rPr>
          <w:szCs w:val="18"/>
        </w:rPr>
        <w:t>UNEP</w:t>
      </w:r>
      <w:r w:rsidRPr="00C624C0">
        <w:rPr>
          <w:szCs w:val="18"/>
          <w:lang w:val="ru-RU"/>
        </w:rPr>
        <w:t>/</w:t>
      </w:r>
      <w:proofErr w:type="spellStart"/>
      <w:r w:rsidRPr="002F6474">
        <w:rPr>
          <w:szCs w:val="18"/>
        </w:rPr>
        <w:t>OzL</w:t>
      </w:r>
      <w:proofErr w:type="spellEnd"/>
      <w:r w:rsidRPr="00C624C0">
        <w:rPr>
          <w:szCs w:val="18"/>
          <w:lang w:val="ru-RU"/>
        </w:rPr>
        <w:t>.</w:t>
      </w:r>
      <w:r w:rsidRPr="002F6474">
        <w:rPr>
          <w:szCs w:val="18"/>
        </w:rPr>
        <w:t>Pro</w:t>
      </w:r>
      <w:r w:rsidRPr="00C624C0">
        <w:rPr>
          <w:szCs w:val="18"/>
          <w:lang w:val="ru-RU"/>
        </w:rPr>
        <w:t>.</w:t>
      </w:r>
      <w:r w:rsidRPr="002F6474">
        <w:rPr>
          <w:szCs w:val="18"/>
        </w:rPr>
        <w:t>WG</w:t>
      </w:r>
      <w:r w:rsidRPr="00C624C0">
        <w:rPr>
          <w:szCs w:val="18"/>
          <w:lang w:val="ru-RU"/>
        </w:rPr>
        <w:t>.1/47/2/</w:t>
      </w:r>
      <w:r w:rsidRPr="002F6474">
        <w:rPr>
          <w:szCs w:val="18"/>
        </w:rPr>
        <w:t>Add</w:t>
      </w:r>
      <w:r w:rsidRPr="00C624C0">
        <w:rPr>
          <w:szCs w:val="18"/>
          <w:lang w:val="ru-RU"/>
        </w:rPr>
        <w:t>.1 (</w:t>
      </w:r>
      <w:r>
        <w:rPr>
          <w:szCs w:val="18"/>
          <w:lang w:val="ru-RU"/>
        </w:rPr>
        <w:t>пункты</w:t>
      </w:r>
      <w:r w:rsidRPr="00C624C0">
        <w:rPr>
          <w:szCs w:val="18"/>
          <w:lang w:val="ru-RU"/>
        </w:rPr>
        <w:t xml:space="preserve"> 19–28 </w:t>
      </w:r>
      <w:r>
        <w:rPr>
          <w:szCs w:val="18"/>
          <w:lang w:val="ru-RU"/>
        </w:rPr>
        <w:t>и таблица</w:t>
      </w:r>
      <w:r w:rsidRPr="00C624C0">
        <w:rPr>
          <w:szCs w:val="18"/>
          <w:lang w:val="ru-RU"/>
        </w:rPr>
        <w:t xml:space="preserve"> 1).</w:t>
      </w:r>
    </w:p>
  </w:footnote>
  <w:footnote w:id="9">
    <w:p w14:paraId="00DCC2B5" w14:textId="1148E682" w:rsidR="00E62558" w:rsidRPr="00B93154" w:rsidRDefault="00E62558" w:rsidP="007F5BF5">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723347">
        <w:rPr>
          <w:rStyle w:val="FootnoteReference"/>
          <w:sz w:val="18"/>
          <w:lang w:val="ru-RU"/>
        </w:rPr>
        <w:footnoteRef/>
      </w:r>
      <w:r w:rsidRPr="00B93154">
        <w:rPr>
          <w:lang w:val="ru-RU"/>
        </w:rPr>
        <w:t xml:space="preserve"> </w:t>
      </w:r>
      <w:r>
        <w:rPr>
          <w:lang w:val="ru-RU"/>
        </w:rPr>
        <w:t>См</w:t>
      </w:r>
      <w:r w:rsidRPr="00B93154">
        <w:rPr>
          <w:lang w:val="ru-RU"/>
        </w:rPr>
        <w:t xml:space="preserve">. </w:t>
      </w:r>
      <w:proofErr w:type="spellStart"/>
      <w:r>
        <w:fldChar w:fldCharType="begin"/>
      </w:r>
      <w:r>
        <w:instrText>HYPERLINK</w:instrText>
      </w:r>
      <w:r w:rsidRPr="008F3BA3">
        <w:rPr>
          <w:lang w:val="ru-RU"/>
        </w:rPr>
        <w:instrText xml:space="preserve"> "</w:instrText>
      </w:r>
      <w:r>
        <w:instrText>https</w:instrText>
      </w:r>
      <w:r w:rsidRPr="008F3BA3">
        <w:rPr>
          <w:lang w:val="ru-RU"/>
        </w:rPr>
        <w:instrText>://</w:instrText>
      </w:r>
      <w:r>
        <w:instrText>ozone</w:instrText>
      </w:r>
      <w:r w:rsidRPr="008F3BA3">
        <w:rPr>
          <w:lang w:val="ru-RU"/>
        </w:rPr>
        <w:instrText>.</w:instrText>
      </w:r>
      <w:r>
        <w:instrText>unep</w:instrText>
      </w:r>
      <w:r w:rsidRPr="008F3BA3">
        <w:rPr>
          <w:lang w:val="ru-RU"/>
        </w:rPr>
        <w:instrText>.</w:instrText>
      </w:r>
      <w:r>
        <w:instrText>org</w:instrText>
      </w:r>
      <w:r w:rsidRPr="008F3BA3">
        <w:rPr>
          <w:lang w:val="ru-RU"/>
        </w:rPr>
        <w:instrText>/</w:instrText>
      </w:r>
      <w:r>
        <w:instrText>science</w:instrText>
      </w:r>
      <w:r w:rsidRPr="008F3BA3">
        <w:rPr>
          <w:lang w:val="ru-RU"/>
        </w:rPr>
        <w:instrText>/</w:instrText>
      </w:r>
      <w:r>
        <w:instrText>assessment</w:instrText>
      </w:r>
      <w:r w:rsidRPr="008F3BA3">
        <w:rPr>
          <w:lang w:val="ru-RU"/>
        </w:rPr>
        <w:instrText>/</w:instrText>
      </w:r>
      <w:r>
        <w:instrText>teap</w:instrText>
      </w:r>
      <w:r w:rsidRPr="008F3BA3">
        <w:rPr>
          <w:lang w:val="ru-RU"/>
        </w:rPr>
        <w:instrText>/</w:instrText>
      </w:r>
      <w:r>
        <w:instrText>teap</w:instrText>
      </w:r>
      <w:r w:rsidRPr="008F3BA3">
        <w:rPr>
          <w:lang w:val="ru-RU"/>
        </w:rPr>
        <w:instrText>-</w:instrText>
      </w:r>
      <w:r>
        <w:instrText>expertise</w:instrText>
      </w:r>
      <w:r w:rsidRPr="008F3BA3">
        <w:rPr>
          <w:lang w:val="ru-RU"/>
        </w:rPr>
        <w:instrText>-</w:instrText>
      </w:r>
      <w:r>
        <w:instrText>required</w:instrText>
      </w:r>
      <w:r w:rsidRPr="008F3BA3">
        <w:rPr>
          <w:lang w:val="ru-RU"/>
        </w:rPr>
        <w:instrText>"</w:instrText>
      </w:r>
      <w:r>
        <w:fldChar w:fldCharType="separate"/>
      </w:r>
      <w:r w:rsidRPr="007F5BF5">
        <w:rPr>
          <w:rStyle w:val="Hyperlink"/>
          <w:lang w:val="en-US"/>
        </w:rPr>
        <w:t>https</w:t>
      </w:r>
      <w:r w:rsidRPr="007F5BF5">
        <w:rPr>
          <w:rStyle w:val="Hyperlink"/>
          <w:lang w:val="ru-RU"/>
        </w:rPr>
        <w:t>://</w:t>
      </w:r>
      <w:r w:rsidRPr="007F5BF5">
        <w:rPr>
          <w:rStyle w:val="Hyperlink"/>
          <w:lang w:val="en-US"/>
        </w:rPr>
        <w:t>ozone</w:t>
      </w:r>
      <w:r w:rsidRPr="007F5BF5">
        <w:rPr>
          <w:rStyle w:val="Hyperlink"/>
          <w:lang w:val="ru-RU"/>
        </w:rPr>
        <w:t>.</w:t>
      </w:r>
      <w:r w:rsidRPr="007F5BF5">
        <w:rPr>
          <w:rStyle w:val="Hyperlink"/>
          <w:lang w:val="en-US"/>
        </w:rPr>
        <w:t>unep</w:t>
      </w:r>
      <w:r w:rsidRPr="007F5BF5">
        <w:rPr>
          <w:rStyle w:val="Hyperlink"/>
          <w:lang w:val="ru-RU"/>
        </w:rPr>
        <w:t>.</w:t>
      </w:r>
      <w:r w:rsidRPr="007F5BF5">
        <w:rPr>
          <w:rStyle w:val="Hyperlink"/>
          <w:lang w:val="en-US"/>
        </w:rPr>
        <w:t>org</w:t>
      </w:r>
      <w:r w:rsidRPr="007F5BF5">
        <w:rPr>
          <w:rStyle w:val="Hyperlink"/>
          <w:lang w:val="ru-RU"/>
        </w:rPr>
        <w:t>/</w:t>
      </w:r>
      <w:r w:rsidRPr="007F5BF5">
        <w:rPr>
          <w:rStyle w:val="Hyperlink"/>
          <w:lang w:val="en-US"/>
        </w:rPr>
        <w:t>science</w:t>
      </w:r>
      <w:r w:rsidRPr="007F5BF5">
        <w:rPr>
          <w:rStyle w:val="Hyperlink"/>
          <w:lang w:val="ru-RU"/>
        </w:rPr>
        <w:t>/</w:t>
      </w:r>
      <w:r w:rsidRPr="007F5BF5">
        <w:rPr>
          <w:rStyle w:val="Hyperlink"/>
          <w:lang w:val="en-US"/>
        </w:rPr>
        <w:t>assessment</w:t>
      </w:r>
      <w:r w:rsidRPr="007F5BF5">
        <w:rPr>
          <w:rStyle w:val="Hyperlink"/>
          <w:lang w:val="ru-RU"/>
        </w:rPr>
        <w:t>/</w:t>
      </w:r>
      <w:r w:rsidRPr="007F5BF5">
        <w:rPr>
          <w:rStyle w:val="Hyperlink"/>
          <w:lang w:val="en-US"/>
        </w:rPr>
        <w:t>teap</w:t>
      </w:r>
      <w:r w:rsidRPr="007F5BF5">
        <w:rPr>
          <w:rStyle w:val="Hyperlink"/>
          <w:lang w:val="ru-RU"/>
        </w:rPr>
        <w:t>/</w:t>
      </w:r>
      <w:r w:rsidRPr="007F5BF5">
        <w:rPr>
          <w:rStyle w:val="Hyperlink"/>
          <w:lang w:val="en-US"/>
        </w:rPr>
        <w:t>teap</w:t>
      </w:r>
      <w:r w:rsidRPr="007F5BF5">
        <w:rPr>
          <w:rStyle w:val="Hyperlink"/>
          <w:lang w:val="ru-RU"/>
        </w:rPr>
        <w:t>-</w:t>
      </w:r>
      <w:r w:rsidRPr="007F5BF5">
        <w:rPr>
          <w:rStyle w:val="Hyperlink"/>
          <w:lang w:val="en-US"/>
        </w:rPr>
        <w:t>expertise</w:t>
      </w:r>
      <w:r w:rsidRPr="007F5BF5">
        <w:rPr>
          <w:rStyle w:val="Hyperlink"/>
          <w:lang w:val="ru-RU"/>
        </w:rPr>
        <w:t>-</w:t>
      </w:r>
      <w:r w:rsidRPr="007F5BF5">
        <w:rPr>
          <w:rStyle w:val="Hyperlink"/>
          <w:lang w:val="en-US"/>
        </w:rPr>
        <w:t>required</w:t>
      </w:r>
      <w:r>
        <w:fldChar w:fldCharType="end"/>
      </w:r>
      <w:proofErr w:type="spellEnd"/>
      <w:r w:rsidRPr="00B93154">
        <w:rPr>
          <w:lang w:val="ru-RU"/>
        </w:rPr>
        <w:t>.</w:t>
      </w:r>
      <w:r>
        <w:fldChar w:fldCharType="begin"/>
      </w:r>
      <w:r>
        <w:instrText>HYPERLINK</w:instrText>
      </w:r>
      <w:r w:rsidRPr="008F3BA3">
        <w:rPr>
          <w:lang w:val="ru-RU"/>
        </w:rPr>
        <w:instrText xml:space="preserve"> "</w:instrText>
      </w:r>
      <w:r>
        <w:instrText>https</w:instrText>
      </w:r>
      <w:r w:rsidRPr="008F3BA3">
        <w:rPr>
          <w:lang w:val="ru-RU"/>
        </w:rPr>
        <w:instrText>://</w:instrText>
      </w:r>
      <w:r>
        <w:instrText>ozone</w:instrText>
      </w:r>
      <w:r w:rsidRPr="008F3BA3">
        <w:rPr>
          <w:lang w:val="ru-RU"/>
        </w:rPr>
        <w:instrText>.</w:instrText>
      </w:r>
      <w:r>
        <w:instrText>unep</w:instrText>
      </w:r>
      <w:r w:rsidRPr="008F3BA3">
        <w:rPr>
          <w:lang w:val="ru-RU"/>
        </w:rPr>
        <w:instrText>.</w:instrText>
      </w:r>
      <w:r>
        <w:instrText>org</w:instrText>
      </w:r>
      <w:r w:rsidRPr="008F3BA3">
        <w:rPr>
          <w:lang w:val="ru-RU"/>
        </w:rPr>
        <w:instrText>/</w:instrText>
      </w:r>
      <w:r>
        <w:instrText>science</w:instrText>
      </w:r>
      <w:r w:rsidRPr="008F3BA3">
        <w:rPr>
          <w:lang w:val="ru-RU"/>
        </w:rPr>
        <w:instrText>/</w:instrText>
      </w:r>
      <w:r>
        <w:instrText>assessment</w:instrText>
      </w:r>
      <w:r w:rsidRPr="008F3BA3">
        <w:rPr>
          <w:lang w:val="ru-RU"/>
        </w:rPr>
        <w:instrText>/</w:instrText>
      </w:r>
      <w:r>
        <w:instrText>teap</w:instrText>
      </w:r>
      <w:r w:rsidRPr="008F3BA3">
        <w:rPr>
          <w:lang w:val="ru-RU"/>
        </w:rPr>
        <w:instrText>/</w:instrText>
      </w:r>
      <w:r>
        <w:instrText>teap</w:instrText>
      </w:r>
      <w:r w:rsidRPr="008F3BA3">
        <w:rPr>
          <w:lang w:val="ru-RU"/>
        </w:rPr>
        <w:instrText>-</w:instrText>
      </w:r>
      <w:r>
        <w:instrText>expertise</w:instrText>
      </w:r>
      <w:r w:rsidRPr="008F3BA3">
        <w:rPr>
          <w:lang w:val="ru-RU"/>
        </w:rPr>
        <w:instrText>-</w:instrText>
      </w:r>
      <w:r>
        <w:instrText>required</w:instrText>
      </w:r>
      <w:r w:rsidRPr="008F3BA3">
        <w:rPr>
          <w:lang w:val="ru-RU"/>
        </w:rPr>
        <w:instrText>"</w:instrText>
      </w:r>
      <w:r>
        <w:fldChar w:fldCharType="separate"/>
      </w:r>
      <w:r>
        <w:fldChar w:fldCharType="end"/>
      </w:r>
    </w:p>
  </w:footnote>
  <w:footnote w:id="10">
    <w:p w14:paraId="3026509A" w14:textId="392D0C89" w:rsidR="00E62558" w:rsidRPr="00B93154" w:rsidRDefault="00E62558" w:rsidP="007F5BF5">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FF437C">
        <w:rPr>
          <w:rStyle w:val="FootnoteReference"/>
          <w:sz w:val="18"/>
          <w:lang w:val="ru-RU"/>
        </w:rPr>
        <w:footnoteRef/>
      </w:r>
      <w:r w:rsidRPr="00B93154">
        <w:rPr>
          <w:lang w:val="ru-RU"/>
        </w:rPr>
        <w:t xml:space="preserve"> </w:t>
      </w:r>
      <w:proofErr w:type="spellStart"/>
      <w:r w:rsidR="00BD3120">
        <w:fldChar w:fldCharType="begin"/>
      </w:r>
      <w:r w:rsidR="00BD3120">
        <w:instrText>HYPERLINK</w:instrText>
      </w:r>
      <w:r w:rsidR="00BD3120" w:rsidRPr="008F3BA3">
        <w:rPr>
          <w:lang w:val="ru-RU"/>
        </w:rPr>
        <w:instrText xml:space="preserve"> "</w:instrText>
      </w:r>
      <w:r w:rsidR="00BD3120">
        <w:instrText>https</w:instrText>
      </w:r>
      <w:r w:rsidR="00BD3120" w:rsidRPr="008F3BA3">
        <w:rPr>
          <w:lang w:val="ru-RU"/>
        </w:rPr>
        <w:instrText>://</w:instrText>
      </w:r>
      <w:r w:rsidR="00BD3120">
        <w:instrText>ozone</w:instrText>
      </w:r>
      <w:r w:rsidR="00BD3120" w:rsidRPr="008F3BA3">
        <w:rPr>
          <w:lang w:val="ru-RU"/>
        </w:rPr>
        <w:instrText>.</w:instrText>
      </w:r>
      <w:r w:rsidR="00BD3120">
        <w:instrText>unep</w:instrText>
      </w:r>
      <w:r w:rsidR="00BD3120" w:rsidRPr="008F3BA3">
        <w:rPr>
          <w:lang w:val="ru-RU"/>
        </w:rPr>
        <w:instrText>.</w:instrText>
      </w:r>
      <w:r w:rsidR="00BD3120">
        <w:instrText>org</w:instrText>
      </w:r>
      <w:r w:rsidR="00BD3120" w:rsidRPr="008F3BA3">
        <w:rPr>
          <w:lang w:val="ru-RU"/>
        </w:rPr>
        <w:instrText>/</w:instrText>
      </w:r>
      <w:r w:rsidR="00BD3120">
        <w:instrText>node</w:instrText>
      </w:r>
      <w:r w:rsidR="00BD3120" w:rsidRPr="008F3BA3">
        <w:rPr>
          <w:lang w:val="ru-RU"/>
        </w:rPr>
        <w:instrText>/1941"</w:instrText>
      </w:r>
      <w:r w:rsidR="00BD3120">
        <w:fldChar w:fldCharType="separate"/>
      </w:r>
      <w:r w:rsidR="00BD3120" w:rsidRPr="00FF437C">
        <w:rPr>
          <w:rStyle w:val="Hyperlink"/>
          <w:szCs w:val="18"/>
        </w:rPr>
        <w:t>https</w:t>
      </w:r>
      <w:r w:rsidR="00BD3120" w:rsidRPr="00683F82">
        <w:rPr>
          <w:rStyle w:val="Hyperlink"/>
          <w:szCs w:val="18"/>
          <w:lang w:val="ru-RU"/>
        </w:rPr>
        <w:t>://</w:t>
      </w:r>
      <w:r w:rsidR="00BD3120" w:rsidRPr="00FF437C">
        <w:rPr>
          <w:rStyle w:val="Hyperlink"/>
          <w:szCs w:val="18"/>
        </w:rPr>
        <w:t>ozone</w:t>
      </w:r>
      <w:r w:rsidR="00BD3120" w:rsidRPr="00683F82">
        <w:rPr>
          <w:rStyle w:val="Hyperlink"/>
          <w:szCs w:val="18"/>
          <w:lang w:val="ru-RU"/>
        </w:rPr>
        <w:t>.</w:t>
      </w:r>
      <w:r w:rsidR="00BD3120" w:rsidRPr="00FF437C">
        <w:rPr>
          <w:rStyle w:val="Hyperlink"/>
          <w:szCs w:val="18"/>
        </w:rPr>
        <w:t>unep</w:t>
      </w:r>
      <w:r w:rsidR="00BD3120" w:rsidRPr="00683F82">
        <w:rPr>
          <w:rStyle w:val="Hyperlink"/>
          <w:szCs w:val="18"/>
          <w:lang w:val="ru-RU"/>
        </w:rPr>
        <w:t>.</w:t>
      </w:r>
      <w:r w:rsidR="00BD3120" w:rsidRPr="00FF437C">
        <w:rPr>
          <w:rStyle w:val="Hyperlink"/>
          <w:szCs w:val="18"/>
        </w:rPr>
        <w:t>org</w:t>
      </w:r>
      <w:r w:rsidR="00BD3120" w:rsidRPr="00683F82">
        <w:rPr>
          <w:rStyle w:val="Hyperlink"/>
          <w:szCs w:val="18"/>
          <w:lang w:val="ru-RU"/>
        </w:rPr>
        <w:t>/</w:t>
      </w:r>
      <w:r w:rsidR="00BD3120" w:rsidRPr="00FF437C">
        <w:rPr>
          <w:rStyle w:val="Hyperlink"/>
          <w:szCs w:val="18"/>
        </w:rPr>
        <w:t>node</w:t>
      </w:r>
      <w:r w:rsidR="00BD3120" w:rsidRPr="00683F82">
        <w:rPr>
          <w:rStyle w:val="Hyperlink"/>
          <w:szCs w:val="18"/>
          <w:lang w:val="ru-RU"/>
        </w:rPr>
        <w:t>/1941</w:t>
      </w:r>
      <w:r w:rsidR="00BD3120">
        <w:fldChar w:fldCharType="end"/>
      </w:r>
      <w:proofErr w:type="spellEnd"/>
      <w:r w:rsidRPr="00B93154">
        <w:rPr>
          <w:lang w:val="ru-RU"/>
        </w:rPr>
        <w:t>.</w:t>
      </w:r>
      <w:r>
        <w:fldChar w:fldCharType="begin"/>
      </w:r>
      <w:r>
        <w:instrText>HYPERLINK</w:instrText>
      </w:r>
      <w:r w:rsidRPr="008F3BA3">
        <w:rPr>
          <w:lang w:val="ru-RU"/>
        </w:rPr>
        <w:instrText xml:space="preserve"> "</w:instrText>
      </w:r>
      <w:r>
        <w:instrText>https</w:instrText>
      </w:r>
      <w:r w:rsidRPr="008F3BA3">
        <w:rPr>
          <w:lang w:val="ru-RU"/>
        </w:rPr>
        <w:instrText>://</w:instrText>
      </w:r>
      <w:r>
        <w:instrText>ozone</w:instrText>
      </w:r>
      <w:r w:rsidRPr="008F3BA3">
        <w:rPr>
          <w:lang w:val="ru-RU"/>
        </w:rPr>
        <w:instrText>.</w:instrText>
      </w:r>
      <w:r>
        <w:instrText>unep</w:instrText>
      </w:r>
      <w:r w:rsidRPr="008F3BA3">
        <w:rPr>
          <w:lang w:val="ru-RU"/>
        </w:rPr>
        <w:instrText>.</w:instrText>
      </w:r>
      <w:r>
        <w:instrText>org</w:instrText>
      </w:r>
      <w:r w:rsidRPr="008F3BA3">
        <w:rPr>
          <w:lang w:val="ru-RU"/>
        </w:rPr>
        <w:instrText>/</w:instrText>
      </w:r>
      <w:r>
        <w:instrText>node</w:instrText>
      </w:r>
      <w:r w:rsidRPr="008F3BA3">
        <w:rPr>
          <w:lang w:val="ru-RU"/>
        </w:rPr>
        <w:instrText>/1941"</w:instrText>
      </w:r>
      <w:r>
        <w:fldChar w:fldCharType="separate"/>
      </w:r>
      <w:r>
        <w:fldChar w:fldCharType="end"/>
      </w:r>
    </w:p>
  </w:footnote>
  <w:footnote w:id="11">
    <w:p w14:paraId="43F3D338" w14:textId="599559D1" w:rsidR="007A1303" w:rsidRPr="006C418A" w:rsidRDefault="007A1303" w:rsidP="007F5BF5">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FF437C">
        <w:rPr>
          <w:rStyle w:val="FootnoteReference"/>
          <w:sz w:val="18"/>
        </w:rPr>
        <w:footnoteRef/>
      </w:r>
      <w:r w:rsidRPr="006C418A">
        <w:rPr>
          <w:szCs w:val="18"/>
          <w:lang w:val="ru-RU"/>
        </w:rPr>
        <w:t xml:space="preserve"> </w:t>
      </w:r>
      <w:r w:rsidR="006C418A" w:rsidRPr="006C418A">
        <w:rPr>
          <w:lang w:val="ru-RU"/>
        </w:rPr>
        <w:t xml:space="preserve">Хотя в представленных материалах </w:t>
      </w:r>
      <w:r w:rsidR="006C418A">
        <w:rPr>
          <w:lang w:val="ru-RU"/>
        </w:rPr>
        <w:t>указано</w:t>
      </w:r>
      <w:r w:rsidR="006C418A" w:rsidRPr="006C418A">
        <w:rPr>
          <w:lang w:val="ru-RU"/>
        </w:rPr>
        <w:t xml:space="preserve">, что технология уничтожения была испытана на более чем 60 соединениях, </w:t>
      </w:r>
      <w:r w:rsidR="006C418A">
        <w:rPr>
          <w:lang w:val="ru-RU"/>
        </w:rPr>
        <w:t>включая</w:t>
      </w:r>
      <w:r w:rsidR="006C418A" w:rsidRPr="006C418A">
        <w:rPr>
          <w:lang w:val="ru-RU"/>
        </w:rPr>
        <w:t xml:space="preserve"> перхлорированны</w:t>
      </w:r>
      <w:r w:rsidR="006C418A">
        <w:rPr>
          <w:lang w:val="ru-RU"/>
        </w:rPr>
        <w:t>е</w:t>
      </w:r>
      <w:r w:rsidR="006C418A" w:rsidRPr="006C418A">
        <w:rPr>
          <w:lang w:val="ru-RU"/>
        </w:rPr>
        <w:t xml:space="preserve"> и бромированны</w:t>
      </w:r>
      <w:r w:rsidR="006C418A">
        <w:rPr>
          <w:lang w:val="ru-RU"/>
        </w:rPr>
        <w:t>е</w:t>
      </w:r>
      <w:r w:rsidR="006C418A" w:rsidRPr="006C418A">
        <w:rPr>
          <w:lang w:val="ru-RU"/>
        </w:rPr>
        <w:t xml:space="preserve">, подтверждающие данные </w:t>
      </w:r>
      <w:r w:rsidR="006C418A">
        <w:rPr>
          <w:lang w:val="ru-RU"/>
        </w:rPr>
        <w:t>для этих</w:t>
      </w:r>
      <w:r w:rsidR="006C418A" w:rsidRPr="006C418A">
        <w:rPr>
          <w:lang w:val="ru-RU"/>
        </w:rPr>
        <w:t xml:space="preserve"> класс</w:t>
      </w:r>
      <w:r w:rsidR="006C418A">
        <w:rPr>
          <w:lang w:val="ru-RU"/>
        </w:rPr>
        <w:t>ов</w:t>
      </w:r>
      <w:r w:rsidR="006C418A" w:rsidRPr="006C418A">
        <w:rPr>
          <w:lang w:val="ru-RU"/>
        </w:rPr>
        <w:t xml:space="preserve"> соединений представлены не были. В связи с этим </w:t>
      </w:r>
      <w:r w:rsidR="006C418A">
        <w:rPr>
          <w:lang w:val="ru-RU"/>
        </w:rPr>
        <w:t>не представлялось возможным провести оценку на основе данных для этих прочих веществ</w:t>
      </w:r>
      <w:r w:rsidR="006C418A" w:rsidRPr="006C418A">
        <w:rPr>
          <w:lang w:val="ru-RU"/>
        </w:rPr>
        <w:t xml:space="preserve">, </w:t>
      </w:r>
      <w:r w:rsidR="006C418A">
        <w:rPr>
          <w:lang w:val="ru-RU"/>
        </w:rPr>
        <w:t>не относящихся к</w:t>
      </w:r>
      <w:r w:rsidR="006C418A" w:rsidRPr="006C418A">
        <w:rPr>
          <w:lang w:val="ru-RU"/>
        </w:rPr>
        <w:t xml:space="preserve"> категори</w:t>
      </w:r>
      <w:r w:rsidR="006C418A">
        <w:rPr>
          <w:lang w:val="ru-RU"/>
        </w:rPr>
        <w:t>ям</w:t>
      </w:r>
      <w:r w:rsidR="006C418A" w:rsidRPr="006C418A">
        <w:rPr>
          <w:lang w:val="ru-RU"/>
        </w:rPr>
        <w:t xml:space="preserve"> регулируемых веществ, </w:t>
      </w:r>
      <w:r w:rsidR="006C418A">
        <w:rPr>
          <w:lang w:val="ru-RU"/>
        </w:rPr>
        <w:t>для которых данные были</w:t>
      </w:r>
      <w:r w:rsidR="006C418A" w:rsidRPr="006C418A">
        <w:rPr>
          <w:lang w:val="ru-RU"/>
        </w:rPr>
        <w:t xml:space="preserve"> представлены</w:t>
      </w:r>
      <w:r w:rsidRPr="006C418A">
        <w:rPr>
          <w:szCs w:val="18"/>
          <w:lang w:val="ru-RU"/>
        </w:rPr>
        <w:t>.</w:t>
      </w:r>
    </w:p>
  </w:footnote>
  <w:footnote w:id="12">
    <w:p w14:paraId="1DD246CF" w14:textId="77777777" w:rsidR="00295439" w:rsidRPr="003A2354" w:rsidRDefault="00295439" w:rsidP="00787637">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Pr>
          <w:szCs w:val="18"/>
          <w:lang w:val="ru-RU"/>
        </w:rPr>
        <w:t>* Настоящее приложение на английском языке официально не редактировалось.</w:t>
      </w:r>
    </w:p>
  </w:footnote>
  <w:footnote w:id="13">
    <w:p w14:paraId="26F32F12" w14:textId="06E3BE6A" w:rsidR="00295439" w:rsidRPr="003A2354" w:rsidRDefault="00295439" w:rsidP="00787637">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4604EE">
        <w:rPr>
          <w:rStyle w:val="FootnoteReference"/>
          <w:sz w:val="18"/>
          <w:lang w:val="ru-RU"/>
        </w:rPr>
        <w:footnoteRef/>
      </w:r>
      <w:r w:rsidRPr="003A2354">
        <w:rPr>
          <w:lang w:val="ru-RU"/>
        </w:rPr>
        <w:t xml:space="preserve"> </w:t>
      </w:r>
      <w:proofErr w:type="spellStart"/>
      <w:r>
        <w:fldChar w:fldCharType="begin"/>
      </w:r>
      <w:r>
        <w:instrText>HYPERLINK</w:instrText>
      </w:r>
      <w:r w:rsidRPr="008F3BA3">
        <w:rPr>
          <w:lang w:val="ru-RU"/>
        </w:rPr>
        <w:instrText xml:space="preserve"> "</w:instrText>
      </w:r>
      <w:r>
        <w:instrText>https</w:instrText>
      </w:r>
      <w:r w:rsidRPr="008F3BA3">
        <w:rPr>
          <w:lang w:val="ru-RU"/>
        </w:rPr>
        <w:instrText>://</w:instrText>
      </w:r>
      <w:r>
        <w:instrText>www</w:instrText>
      </w:r>
      <w:r w:rsidRPr="008F3BA3">
        <w:rPr>
          <w:lang w:val="ru-RU"/>
        </w:rPr>
        <w:instrText>.</w:instrText>
      </w:r>
      <w:r>
        <w:instrText>multilateralfund</w:instrText>
      </w:r>
      <w:r w:rsidRPr="008F3BA3">
        <w:rPr>
          <w:lang w:val="ru-RU"/>
        </w:rPr>
        <w:instrText>.</w:instrText>
      </w:r>
      <w:r>
        <w:instrText>org</w:instrText>
      </w:r>
      <w:r w:rsidRPr="008F3BA3">
        <w:rPr>
          <w:lang w:val="ru-RU"/>
        </w:rPr>
        <w:instrText>/</w:instrText>
      </w:r>
      <w:r>
        <w:instrText>our</w:instrText>
      </w:r>
      <w:r w:rsidRPr="008F3BA3">
        <w:rPr>
          <w:lang w:val="ru-RU"/>
        </w:rPr>
        <w:instrText>-</w:instrText>
      </w:r>
      <w:r>
        <w:instrText>impact</w:instrText>
      </w:r>
      <w:r w:rsidRPr="008F3BA3">
        <w:rPr>
          <w:lang w:val="ru-RU"/>
        </w:rPr>
        <w:instrText>"</w:instrText>
      </w:r>
      <w:r>
        <w:fldChar w:fldCharType="separate"/>
      </w:r>
      <w:r w:rsidRPr="00787637">
        <w:rPr>
          <w:rStyle w:val="Hyperlink"/>
        </w:rPr>
        <w:t>https</w:t>
      </w:r>
      <w:r w:rsidRPr="00787637">
        <w:rPr>
          <w:rStyle w:val="Hyperlink"/>
          <w:lang w:val="ru-RU"/>
        </w:rPr>
        <w:t>://</w:t>
      </w:r>
      <w:r w:rsidRPr="00787637">
        <w:rPr>
          <w:rStyle w:val="Hyperlink"/>
        </w:rPr>
        <w:t>www</w:t>
      </w:r>
      <w:r w:rsidRPr="00787637">
        <w:rPr>
          <w:rStyle w:val="Hyperlink"/>
          <w:lang w:val="ru-RU"/>
        </w:rPr>
        <w:t>.</w:t>
      </w:r>
      <w:r w:rsidRPr="00787637">
        <w:rPr>
          <w:rStyle w:val="Hyperlink"/>
        </w:rPr>
        <w:t>multilateralfund</w:t>
      </w:r>
      <w:r w:rsidRPr="00787637">
        <w:rPr>
          <w:rStyle w:val="Hyperlink"/>
          <w:lang w:val="ru-RU"/>
        </w:rPr>
        <w:t>.</w:t>
      </w:r>
      <w:r w:rsidRPr="00787637">
        <w:rPr>
          <w:rStyle w:val="Hyperlink"/>
        </w:rPr>
        <w:t>org</w:t>
      </w:r>
      <w:r w:rsidRPr="00787637">
        <w:rPr>
          <w:rStyle w:val="Hyperlink"/>
          <w:lang w:val="ru-RU"/>
        </w:rPr>
        <w:t>/</w:t>
      </w:r>
      <w:r w:rsidRPr="00787637">
        <w:rPr>
          <w:rStyle w:val="Hyperlink"/>
        </w:rPr>
        <w:t>our</w:t>
      </w:r>
      <w:r w:rsidRPr="00787637">
        <w:rPr>
          <w:rStyle w:val="Hyperlink"/>
          <w:lang w:val="ru-RU"/>
        </w:rPr>
        <w:t>-</w:t>
      </w:r>
      <w:r w:rsidRPr="00787637">
        <w:rPr>
          <w:rStyle w:val="Hyperlink"/>
        </w:rPr>
        <w:t>impact</w:t>
      </w:r>
      <w:r>
        <w:fldChar w:fldCharType="end"/>
      </w:r>
      <w:proofErr w:type="spellEnd"/>
      <w:r w:rsidRPr="003A2354">
        <w:rPr>
          <w:lang w:val="ru-RU"/>
        </w:rPr>
        <w:t>.</w:t>
      </w:r>
      <w:r>
        <w:fldChar w:fldCharType="begin"/>
      </w:r>
      <w:r>
        <w:instrText>HYPERLINK</w:instrText>
      </w:r>
      <w:r w:rsidRPr="008F3BA3">
        <w:rPr>
          <w:lang w:val="ru-RU"/>
        </w:rPr>
        <w:instrText xml:space="preserve"> "</w:instrText>
      </w:r>
      <w:r>
        <w:instrText>https</w:instrText>
      </w:r>
      <w:r w:rsidRPr="008F3BA3">
        <w:rPr>
          <w:lang w:val="ru-RU"/>
        </w:rPr>
        <w:instrText>://</w:instrText>
      </w:r>
      <w:r>
        <w:instrText>www</w:instrText>
      </w:r>
      <w:r w:rsidRPr="008F3BA3">
        <w:rPr>
          <w:lang w:val="ru-RU"/>
        </w:rPr>
        <w:instrText>.</w:instrText>
      </w:r>
      <w:r>
        <w:instrText>multilateralfund</w:instrText>
      </w:r>
      <w:r w:rsidRPr="008F3BA3">
        <w:rPr>
          <w:lang w:val="ru-RU"/>
        </w:rPr>
        <w:instrText>.</w:instrText>
      </w:r>
      <w:r>
        <w:instrText>org</w:instrText>
      </w:r>
      <w:r w:rsidRPr="008F3BA3">
        <w:rPr>
          <w:lang w:val="ru-RU"/>
        </w:rPr>
        <w:instrText>/</w:instrText>
      </w:r>
      <w:r>
        <w:instrText>our</w:instrText>
      </w:r>
      <w:r w:rsidRPr="008F3BA3">
        <w:rPr>
          <w:lang w:val="ru-RU"/>
        </w:rPr>
        <w:instrText>-</w:instrText>
      </w:r>
      <w:r>
        <w:instrText>impact</w:instrText>
      </w:r>
      <w:r w:rsidRPr="008F3BA3">
        <w:rPr>
          <w:lang w:val="ru-RU"/>
        </w:rPr>
        <w:instrText>"</w:instrText>
      </w:r>
      <w:r>
        <w:fldChar w:fldCharType="separate"/>
      </w:r>
      <w:r>
        <w:fldChar w:fldCharType="end"/>
      </w:r>
    </w:p>
  </w:footnote>
  <w:footnote w:id="14">
    <w:p w14:paraId="5A617E09" w14:textId="10344E91" w:rsidR="00295439" w:rsidRPr="003A2354" w:rsidRDefault="00295439" w:rsidP="009C13ED">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4604EE">
        <w:rPr>
          <w:rStyle w:val="FootnoteReference"/>
          <w:sz w:val="18"/>
          <w:lang w:val="ru-RU"/>
        </w:rPr>
        <w:footnoteRef/>
      </w:r>
      <w:r w:rsidRPr="003A2354">
        <w:rPr>
          <w:lang w:val="ru-RU"/>
        </w:rPr>
        <w:t xml:space="preserve"> </w:t>
      </w:r>
      <w:proofErr w:type="spellStart"/>
      <w:r>
        <w:fldChar w:fldCharType="begin"/>
      </w:r>
      <w:r>
        <w:instrText>HYPERLINK</w:instrText>
      </w:r>
      <w:r w:rsidRPr="008F3BA3">
        <w:rPr>
          <w:lang w:val="ru-RU"/>
        </w:rPr>
        <w:instrText xml:space="preserve"> "</w:instrText>
      </w:r>
      <w:r>
        <w:instrText>https</w:instrText>
      </w:r>
      <w:r w:rsidRPr="008F3BA3">
        <w:rPr>
          <w:lang w:val="ru-RU"/>
        </w:rPr>
        <w:instrText>://</w:instrText>
      </w:r>
      <w:r>
        <w:instrText>ozone</w:instrText>
      </w:r>
      <w:r w:rsidRPr="008F3BA3">
        <w:rPr>
          <w:lang w:val="ru-RU"/>
        </w:rPr>
        <w:instrText>.</w:instrText>
      </w:r>
      <w:r>
        <w:instrText>unep</w:instrText>
      </w:r>
      <w:r w:rsidRPr="008F3BA3">
        <w:rPr>
          <w:lang w:val="ru-RU"/>
        </w:rPr>
        <w:instrText>.</w:instrText>
      </w:r>
      <w:r>
        <w:instrText>org</w:instrText>
      </w:r>
      <w:r w:rsidRPr="008F3BA3">
        <w:rPr>
          <w:lang w:val="ru-RU"/>
        </w:rPr>
        <w:instrText>/</w:instrText>
      </w:r>
      <w:r>
        <w:instrText>treaties</w:instrText>
      </w:r>
      <w:r w:rsidRPr="008F3BA3">
        <w:rPr>
          <w:lang w:val="ru-RU"/>
        </w:rPr>
        <w:instrText>/</w:instrText>
      </w:r>
      <w:r>
        <w:instrText>montreal</w:instrText>
      </w:r>
      <w:r w:rsidRPr="008F3BA3">
        <w:rPr>
          <w:lang w:val="ru-RU"/>
        </w:rPr>
        <w:instrText>-</w:instrText>
      </w:r>
      <w:r>
        <w:instrText>protocol</w:instrText>
      </w:r>
      <w:r w:rsidRPr="008F3BA3">
        <w:rPr>
          <w:lang w:val="ru-RU"/>
        </w:rPr>
        <w:instrText>/</w:instrText>
      </w:r>
      <w:r>
        <w:instrText>meetings</w:instrText>
      </w:r>
      <w:r w:rsidRPr="008F3BA3">
        <w:rPr>
          <w:lang w:val="ru-RU"/>
        </w:rPr>
        <w:instrText>/</w:instrText>
      </w:r>
      <w:r>
        <w:instrText>thirtieth</w:instrText>
      </w:r>
      <w:r w:rsidRPr="008F3BA3">
        <w:rPr>
          <w:lang w:val="ru-RU"/>
        </w:rPr>
        <w:instrText>-</w:instrText>
      </w:r>
      <w:r>
        <w:instrText>meeting</w:instrText>
      </w:r>
      <w:r w:rsidRPr="008F3BA3">
        <w:rPr>
          <w:lang w:val="ru-RU"/>
        </w:rPr>
        <w:instrText>-</w:instrText>
      </w:r>
      <w:r>
        <w:instrText>parties</w:instrText>
      </w:r>
      <w:r w:rsidRPr="008F3BA3">
        <w:rPr>
          <w:lang w:val="ru-RU"/>
        </w:rPr>
        <w:instrText>/</w:instrText>
      </w:r>
      <w:r>
        <w:instrText>decisions</w:instrText>
      </w:r>
      <w:r w:rsidRPr="008F3BA3">
        <w:rPr>
          <w:lang w:val="ru-RU"/>
        </w:rPr>
        <w:instrText>/</w:instrText>
      </w:r>
      <w:r>
        <w:instrText>annex</w:instrText>
      </w:r>
      <w:r w:rsidRPr="008F3BA3">
        <w:rPr>
          <w:lang w:val="ru-RU"/>
        </w:rPr>
        <w:instrText>-</w:instrText>
      </w:r>
      <w:r>
        <w:instrText>i</w:instrText>
      </w:r>
      <w:r w:rsidRPr="008F3BA3">
        <w:rPr>
          <w:lang w:val="ru-RU"/>
        </w:rPr>
        <w:instrText>-</w:instrText>
      </w:r>
      <w:r>
        <w:instrText>adjustments</w:instrText>
      </w:r>
      <w:r w:rsidRPr="008F3BA3">
        <w:rPr>
          <w:lang w:val="ru-RU"/>
        </w:rPr>
        <w:instrText>"</w:instrText>
      </w:r>
      <w:r>
        <w:fldChar w:fldCharType="separate"/>
      </w:r>
      <w:r w:rsidRPr="009C13ED">
        <w:rPr>
          <w:rStyle w:val="Hyperlink"/>
        </w:rPr>
        <w:t>https</w:t>
      </w:r>
      <w:r w:rsidRPr="009C13ED">
        <w:rPr>
          <w:rStyle w:val="Hyperlink"/>
          <w:lang w:val="ru-RU"/>
        </w:rPr>
        <w:t>://</w:t>
      </w:r>
      <w:r w:rsidRPr="009C13ED">
        <w:rPr>
          <w:rStyle w:val="Hyperlink"/>
        </w:rPr>
        <w:t>ozone</w:t>
      </w:r>
      <w:r w:rsidRPr="009C13ED">
        <w:rPr>
          <w:rStyle w:val="Hyperlink"/>
          <w:lang w:val="ru-RU"/>
        </w:rPr>
        <w:t>.</w:t>
      </w:r>
      <w:r w:rsidRPr="009C13ED">
        <w:rPr>
          <w:rStyle w:val="Hyperlink"/>
        </w:rPr>
        <w:t>unep</w:t>
      </w:r>
      <w:r w:rsidRPr="009C13ED">
        <w:rPr>
          <w:rStyle w:val="Hyperlink"/>
          <w:lang w:val="ru-RU"/>
        </w:rPr>
        <w:t>.</w:t>
      </w:r>
      <w:r w:rsidRPr="009C13ED">
        <w:rPr>
          <w:rStyle w:val="Hyperlink"/>
        </w:rPr>
        <w:t>org</w:t>
      </w:r>
      <w:r w:rsidRPr="009C13ED">
        <w:rPr>
          <w:rStyle w:val="Hyperlink"/>
          <w:lang w:val="ru-RU"/>
        </w:rPr>
        <w:t>/</w:t>
      </w:r>
      <w:r w:rsidRPr="009C13ED">
        <w:rPr>
          <w:rStyle w:val="Hyperlink"/>
        </w:rPr>
        <w:t>treaties</w:t>
      </w:r>
      <w:r w:rsidRPr="009C13ED">
        <w:rPr>
          <w:rStyle w:val="Hyperlink"/>
          <w:lang w:val="ru-RU"/>
        </w:rPr>
        <w:t>/</w:t>
      </w:r>
      <w:r w:rsidRPr="009C13ED">
        <w:rPr>
          <w:rStyle w:val="Hyperlink"/>
        </w:rPr>
        <w:t>montreal</w:t>
      </w:r>
      <w:r w:rsidRPr="009C13ED">
        <w:rPr>
          <w:rStyle w:val="Hyperlink"/>
          <w:lang w:val="ru-RU"/>
        </w:rPr>
        <w:t>-</w:t>
      </w:r>
      <w:r w:rsidRPr="009C13ED">
        <w:rPr>
          <w:rStyle w:val="Hyperlink"/>
        </w:rPr>
        <w:t>protocol</w:t>
      </w:r>
      <w:r w:rsidRPr="009C13ED">
        <w:rPr>
          <w:rStyle w:val="Hyperlink"/>
          <w:lang w:val="ru-RU"/>
        </w:rPr>
        <w:t>/</w:t>
      </w:r>
      <w:r w:rsidRPr="009C13ED">
        <w:rPr>
          <w:rStyle w:val="Hyperlink"/>
        </w:rPr>
        <w:t>meetings</w:t>
      </w:r>
      <w:r w:rsidRPr="009C13ED">
        <w:rPr>
          <w:rStyle w:val="Hyperlink"/>
          <w:lang w:val="ru-RU"/>
        </w:rPr>
        <w:t>/</w:t>
      </w:r>
      <w:r w:rsidRPr="009C13ED">
        <w:rPr>
          <w:rStyle w:val="Hyperlink"/>
        </w:rPr>
        <w:t>thirtieth</w:t>
      </w:r>
      <w:r w:rsidRPr="009C13ED">
        <w:rPr>
          <w:rStyle w:val="Hyperlink"/>
          <w:lang w:val="ru-RU"/>
        </w:rPr>
        <w:t>-</w:t>
      </w:r>
      <w:r w:rsidRPr="009C13ED">
        <w:rPr>
          <w:rStyle w:val="Hyperlink"/>
        </w:rPr>
        <w:t>meeting</w:t>
      </w:r>
      <w:r w:rsidRPr="009C13ED">
        <w:rPr>
          <w:rStyle w:val="Hyperlink"/>
          <w:lang w:val="ru-RU"/>
        </w:rPr>
        <w:t>-</w:t>
      </w:r>
      <w:r w:rsidRPr="009C13ED">
        <w:rPr>
          <w:rStyle w:val="Hyperlink"/>
        </w:rPr>
        <w:t>parties</w:t>
      </w:r>
      <w:r w:rsidRPr="009C13ED">
        <w:rPr>
          <w:rStyle w:val="Hyperlink"/>
          <w:lang w:val="ru-RU"/>
        </w:rPr>
        <w:t>/</w:t>
      </w:r>
      <w:r w:rsidRPr="009C13ED">
        <w:rPr>
          <w:rStyle w:val="Hyperlink"/>
        </w:rPr>
        <w:t>decisions</w:t>
      </w:r>
      <w:r w:rsidRPr="009C13ED">
        <w:rPr>
          <w:rStyle w:val="Hyperlink"/>
          <w:lang w:val="ru-RU"/>
        </w:rPr>
        <w:t>/</w:t>
      </w:r>
      <w:r w:rsidRPr="009C13ED">
        <w:rPr>
          <w:rStyle w:val="Hyperlink"/>
        </w:rPr>
        <w:t>annex</w:t>
      </w:r>
      <w:r w:rsidRPr="009C13ED">
        <w:rPr>
          <w:rStyle w:val="Hyperlink"/>
          <w:lang w:val="ru-RU"/>
        </w:rPr>
        <w:t>-</w:t>
      </w:r>
      <w:r w:rsidRPr="009C13ED">
        <w:rPr>
          <w:rStyle w:val="Hyperlink"/>
        </w:rPr>
        <w:t>i</w:t>
      </w:r>
      <w:r w:rsidRPr="009C13ED">
        <w:rPr>
          <w:rStyle w:val="Hyperlink"/>
          <w:lang w:val="ru-RU"/>
        </w:rPr>
        <w:t>-</w:t>
      </w:r>
      <w:r w:rsidRPr="009C13ED">
        <w:rPr>
          <w:rStyle w:val="Hyperlink"/>
        </w:rPr>
        <w:t>adjustments</w:t>
      </w:r>
      <w:r>
        <w:fldChar w:fldCharType="end"/>
      </w:r>
      <w:proofErr w:type="spellEnd"/>
      <w:r w:rsidRPr="003A2354">
        <w:rPr>
          <w:lang w:val="ru-RU"/>
        </w:rPr>
        <w:t>.</w:t>
      </w:r>
      <w:hyperlink r:id="rId1" w:history="1"/>
    </w:p>
  </w:footnote>
  <w:footnote w:id="15">
    <w:p w14:paraId="692CF775" w14:textId="6615C2DB" w:rsidR="00295439" w:rsidRPr="003A2354" w:rsidRDefault="00295439" w:rsidP="009C13ED">
      <w:pPr>
        <w:pStyle w:val="Footnote-Text"/>
        <w:tabs>
          <w:tab w:val="clear" w:pos="624"/>
          <w:tab w:val="clear" w:pos="1247"/>
          <w:tab w:val="clear" w:pos="1871"/>
          <w:tab w:val="clear" w:pos="2495"/>
          <w:tab w:val="clear" w:pos="3119"/>
          <w:tab w:val="clear" w:pos="3742"/>
          <w:tab w:val="clear" w:pos="4366"/>
          <w:tab w:val="clear" w:pos="4990"/>
        </w:tabs>
        <w:rPr>
          <w:lang w:val="ru-RU"/>
        </w:rPr>
      </w:pPr>
      <w:r w:rsidRPr="00B56062">
        <w:rPr>
          <w:rStyle w:val="FootnoteReference"/>
          <w:sz w:val="18"/>
          <w:lang w:val="ru-RU"/>
        </w:rPr>
        <w:footnoteRef/>
      </w:r>
      <w:r>
        <w:rPr>
          <w:lang w:val="ru-RU"/>
        </w:rPr>
        <w:t xml:space="preserve"> Согласно пункту 2 решения XXVIII/2 к Сторонам, входящим в группу 2 и действующим в рамках статьи</w:t>
      </w:r>
      <w:r w:rsidR="009C13ED">
        <w:rPr>
          <w:lang w:val="ru-RU"/>
        </w:rPr>
        <w:t> </w:t>
      </w:r>
      <w:r>
        <w:rPr>
          <w:lang w:val="ru-RU"/>
        </w:rPr>
        <w:t xml:space="preserve">5, относятся Бахрейн, Индия, Исламская Республика Иран, Ирак, Катар, Кувейт, Оман, Объединенные Арабские Эмираты, Пакистан и Саудовская Аравия. </w:t>
      </w:r>
    </w:p>
  </w:footnote>
  <w:footnote w:id="16">
    <w:p w14:paraId="7D1E3BAF" w14:textId="77777777" w:rsidR="00295439" w:rsidRPr="003A2354" w:rsidRDefault="00295439" w:rsidP="009C13ED">
      <w:pPr>
        <w:pStyle w:val="Footnote-Text"/>
        <w:tabs>
          <w:tab w:val="clear" w:pos="624"/>
          <w:tab w:val="clear" w:pos="1247"/>
          <w:tab w:val="clear" w:pos="1871"/>
          <w:tab w:val="clear" w:pos="2495"/>
          <w:tab w:val="clear" w:pos="3119"/>
          <w:tab w:val="clear" w:pos="3742"/>
          <w:tab w:val="clear" w:pos="4366"/>
          <w:tab w:val="clear" w:pos="4990"/>
        </w:tabs>
        <w:rPr>
          <w:lang w:val="ru-RU"/>
        </w:rPr>
      </w:pPr>
      <w:r w:rsidRPr="00B56062">
        <w:rPr>
          <w:rStyle w:val="FootnoteReference"/>
          <w:sz w:val="18"/>
          <w:lang w:val="ru-RU"/>
        </w:rPr>
        <w:footnoteRef/>
      </w:r>
      <w:r>
        <w:rPr>
          <w:lang w:val="ru-RU"/>
        </w:rPr>
        <w:t xml:space="preserve"> UNEP/OzL.Pro/ExCom/97/20.</w:t>
      </w:r>
    </w:p>
  </w:footnote>
  <w:footnote w:id="17">
    <w:p w14:paraId="0BE4B644" w14:textId="77777777" w:rsidR="00295439" w:rsidRPr="00B21A41" w:rsidRDefault="00295439" w:rsidP="00295439">
      <w:pPr>
        <w:pStyle w:val="Footnote-Text"/>
        <w:rPr>
          <w:szCs w:val="18"/>
          <w:lang w:val="ru-RU"/>
        </w:rPr>
      </w:pPr>
      <w:r>
        <w:rPr>
          <w:szCs w:val="18"/>
          <w:lang w:val="ru-RU"/>
        </w:rPr>
        <w:t>* Настоящее приложение на английском языке официально не редактировалось.</w:t>
      </w:r>
    </w:p>
  </w:footnote>
  <w:footnote w:id="18">
    <w:p w14:paraId="32285127" w14:textId="192A96A7" w:rsidR="00C119F2" w:rsidRPr="00C119F2" w:rsidRDefault="00C119F2" w:rsidP="00C119F2">
      <w:pPr>
        <w:pStyle w:val="FootnoteText"/>
        <w:ind w:left="1247"/>
        <w:rPr>
          <w:lang w:val="ru-RU"/>
        </w:rPr>
      </w:pPr>
      <w:r>
        <w:rPr>
          <w:rStyle w:val="FootnoteReference"/>
        </w:rPr>
        <w:footnoteRef/>
      </w:r>
      <w:r w:rsidRPr="002779D8">
        <w:rPr>
          <w:lang w:val="ru-RU"/>
        </w:rPr>
        <w:t xml:space="preserve"> </w:t>
      </w:r>
      <w:r w:rsidRPr="00B448C5">
        <w:rPr>
          <w:sz w:val="18"/>
          <w:szCs w:val="18"/>
          <w:lang w:val="ru-RU"/>
        </w:rPr>
        <w:t xml:space="preserve">Объявление о выделении квот на производство ОРВ и ГФУ в 2026 </w:t>
      </w:r>
      <w:r>
        <w:rPr>
          <w:sz w:val="18"/>
          <w:szCs w:val="18"/>
          <w:lang w:val="ru-RU"/>
        </w:rPr>
        <w:t>году</w:t>
      </w:r>
      <w:r w:rsidRPr="00B448C5">
        <w:rPr>
          <w:sz w:val="18"/>
          <w:szCs w:val="18"/>
          <w:lang w:val="ru-RU"/>
        </w:rPr>
        <w:t>.</w:t>
      </w:r>
    </w:p>
  </w:footnote>
  <w:footnote w:id="19">
    <w:p w14:paraId="6EB75A86" w14:textId="77777777" w:rsidR="00295439" w:rsidRPr="00B21A41" w:rsidRDefault="00295439" w:rsidP="00400CC6">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Pr>
          <w:szCs w:val="18"/>
          <w:lang w:val="ru-RU"/>
        </w:rPr>
        <w:t>* Настоящее приложение на английском языке официально не редактировалось.</w:t>
      </w:r>
    </w:p>
  </w:footnote>
  <w:footnote w:id="20">
    <w:p w14:paraId="09A20998" w14:textId="77777777" w:rsidR="00295439" w:rsidRPr="00B21A41" w:rsidRDefault="00295439" w:rsidP="002B3B16">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Pr>
          <w:szCs w:val="18"/>
          <w:lang w:val="ru-RU"/>
        </w:rPr>
        <w:t>* Настоящее приложение на английском языке официально не редактировалось.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318E" w14:textId="7241ECB9" w:rsidR="00666EBD" w:rsidRDefault="00666EBD" w:rsidP="00666EBD">
    <w:pPr>
      <w:pStyle w:val="Header-pool"/>
    </w:pPr>
    <w:r>
      <w:fldChar w:fldCharType="begin"/>
    </w:r>
    <w:r>
      <w:instrText xml:space="preserve"> StyleRef A_Symbol </w:instrText>
    </w:r>
    <w:r>
      <w:fldChar w:fldCharType="separate"/>
    </w:r>
    <w:r w:rsidR="002134EF">
      <w:rPr>
        <w:noProof/>
      </w:rPr>
      <w:t>UNEP/OzL.Pro.WG.1/48/2/Add.1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03C0" w14:textId="777C1B7D" w:rsidR="00666EBD" w:rsidRDefault="00666EBD" w:rsidP="00666EBD">
    <w:pPr>
      <w:pStyle w:val="Header-pool"/>
      <w:jc w:val="right"/>
    </w:pPr>
    <w:r>
      <w:fldChar w:fldCharType="begin"/>
    </w:r>
    <w:r>
      <w:instrText xml:space="preserve"> StyleRef A_Symbol </w:instrText>
    </w:r>
    <w:r>
      <w:fldChar w:fldCharType="separate"/>
    </w:r>
    <w:r w:rsidR="002134EF">
      <w:rPr>
        <w:noProof/>
      </w:rPr>
      <w:t>UNEP/OzL.Pro.WG.1/48/2/Add.1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F00D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589A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80415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3249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9F897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84BF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5093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6419E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5A7B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4209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2C07D3E"/>
    <w:multiLevelType w:val="hybridMultilevel"/>
    <w:tmpl w:val="22B4C798"/>
    <w:lvl w:ilvl="0" w:tplc="06A07E12">
      <w:start w:val="1"/>
      <w:numFmt w:val="lowerLetter"/>
      <w:lvlText w:val="%1)"/>
      <w:lvlJc w:val="left"/>
      <w:pPr>
        <w:ind w:left="2174" w:hanging="360"/>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1D242FCE"/>
    <w:multiLevelType w:val="hybridMultilevel"/>
    <w:tmpl w:val="60A877F6"/>
    <w:lvl w:ilvl="0" w:tplc="06A07E12">
      <w:start w:val="1"/>
      <w:numFmt w:val="lowerLetter"/>
      <w:lvlText w:val="%1)"/>
      <w:lvlJc w:val="left"/>
      <w:pPr>
        <w:ind w:left="2174" w:hanging="360"/>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14" w15:restartNumberingAfterBreak="0">
    <w:nsid w:val="30240F1A"/>
    <w:multiLevelType w:val="hybridMultilevel"/>
    <w:tmpl w:val="5936BDCC"/>
    <w:lvl w:ilvl="0" w:tplc="809ED36C">
      <w:start w:val="1"/>
      <w:numFmt w:val="lowerLetter"/>
      <w:lvlText w:val="%1)"/>
      <w:lvlJc w:val="left"/>
      <w:pPr>
        <w:ind w:left="1968" w:hanging="360"/>
      </w:pPr>
      <w:rPr>
        <w:rFonts w:hint="default"/>
      </w:rPr>
    </w:lvl>
    <w:lvl w:ilvl="1" w:tplc="FFFFFFFF" w:tentative="1">
      <w:start w:val="1"/>
      <w:numFmt w:val="bullet"/>
      <w:lvlText w:val="o"/>
      <w:lvlJc w:val="left"/>
      <w:pPr>
        <w:ind w:left="2688" w:hanging="360"/>
      </w:pPr>
      <w:rPr>
        <w:rFonts w:ascii="Courier New" w:hAnsi="Courier New" w:cs="Courier New" w:hint="default"/>
      </w:rPr>
    </w:lvl>
    <w:lvl w:ilvl="2" w:tplc="FFFFFFFF" w:tentative="1">
      <w:start w:val="1"/>
      <w:numFmt w:val="bullet"/>
      <w:lvlText w:val=""/>
      <w:lvlJc w:val="left"/>
      <w:pPr>
        <w:ind w:left="3408" w:hanging="360"/>
      </w:pPr>
      <w:rPr>
        <w:rFonts w:ascii="Wingdings" w:hAnsi="Wingdings" w:hint="default"/>
      </w:rPr>
    </w:lvl>
    <w:lvl w:ilvl="3" w:tplc="FFFFFFFF" w:tentative="1">
      <w:start w:val="1"/>
      <w:numFmt w:val="bullet"/>
      <w:lvlText w:val=""/>
      <w:lvlJc w:val="left"/>
      <w:pPr>
        <w:ind w:left="4128" w:hanging="360"/>
      </w:pPr>
      <w:rPr>
        <w:rFonts w:ascii="Symbol" w:hAnsi="Symbol" w:hint="default"/>
      </w:rPr>
    </w:lvl>
    <w:lvl w:ilvl="4" w:tplc="FFFFFFFF" w:tentative="1">
      <w:start w:val="1"/>
      <w:numFmt w:val="bullet"/>
      <w:lvlText w:val="o"/>
      <w:lvlJc w:val="left"/>
      <w:pPr>
        <w:ind w:left="4848" w:hanging="360"/>
      </w:pPr>
      <w:rPr>
        <w:rFonts w:ascii="Courier New" w:hAnsi="Courier New" w:cs="Courier New" w:hint="default"/>
      </w:rPr>
    </w:lvl>
    <w:lvl w:ilvl="5" w:tplc="FFFFFFFF" w:tentative="1">
      <w:start w:val="1"/>
      <w:numFmt w:val="bullet"/>
      <w:lvlText w:val=""/>
      <w:lvlJc w:val="left"/>
      <w:pPr>
        <w:ind w:left="5568" w:hanging="360"/>
      </w:pPr>
      <w:rPr>
        <w:rFonts w:ascii="Wingdings" w:hAnsi="Wingdings" w:hint="default"/>
      </w:rPr>
    </w:lvl>
    <w:lvl w:ilvl="6" w:tplc="FFFFFFFF" w:tentative="1">
      <w:start w:val="1"/>
      <w:numFmt w:val="bullet"/>
      <w:lvlText w:val=""/>
      <w:lvlJc w:val="left"/>
      <w:pPr>
        <w:ind w:left="6288" w:hanging="360"/>
      </w:pPr>
      <w:rPr>
        <w:rFonts w:ascii="Symbol" w:hAnsi="Symbol" w:hint="default"/>
      </w:rPr>
    </w:lvl>
    <w:lvl w:ilvl="7" w:tplc="FFFFFFFF" w:tentative="1">
      <w:start w:val="1"/>
      <w:numFmt w:val="bullet"/>
      <w:lvlText w:val="o"/>
      <w:lvlJc w:val="left"/>
      <w:pPr>
        <w:ind w:left="7008" w:hanging="360"/>
      </w:pPr>
      <w:rPr>
        <w:rFonts w:ascii="Courier New" w:hAnsi="Courier New" w:cs="Courier New" w:hint="default"/>
      </w:rPr>
    </w:lvl>
    <w:lvl w:ilvl="8" w:tplc="FFFFFFFF" w:tentative="1">
      <w:start w:val="1"/>
      <w:numFmt w:val="bullet"/>
      <w:lvlText w:val=""/>
      <w:lvlJc w:val="left"/>
      <w:pPr>
        <w:ind w:left="7728" w:hanging="360"/>
      </w:pPr>
      <w:rPr>
        <w:rFonts w:ascii="Wingdings" w:hAnsi="Wingdings" w:hint="default"/>
      </w:rPr>
    </w:lvl>
  </w:abstractNum>
  <w:abstractNum w:abstractNumId="15"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4326C8D"/>
    <w:multiLevelType w:val="hybridMultilevel"/>
    <w:tmpl w:val="6C904A94"/>
    <w:lvl w:ilvl="0" w:tplc="08090001">
      <w:start w:val="1"/>
      <w:numFmt w:val="bullet"/>
      <w:lvlText w:val=""/>
      <w:lvlJc w:val="left"/>
      <w:pPr>
        <w:ind w:left="1967" w:hanging="360"/>
      </w:pPr>
      <w:rPr>
        <w:rFonts w:ascii="Symbol" w:hAnsi="Symbol" w:hint="default"/>
      </w:rPr>
    </w:lvl>
    <w:lvl w:ilvl="1" w:tplc="08090003">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17" w15:restartNumberingAfterBreak="0">
    <w:nsid w:val="45191F42"/>
    <w:multiLevelType w:val="hybridMultilevel"/>
    <w:tmpl w:val="78E464A8"/>
    <w:lvl w:ilvl="0" w:tplc="06A07E12">
      <w:start w:val="1"/>
      <w:numFmt w:val="lowerLetter"/>
      <w:lvlText w:val="%1)"/>
      <w:lvlJc w:val="left"/>
      <w:pPr>
        <w:ind w:left="2232" w:hanging="360"/>
      </w:pPr>
      <w:rPr>
        <w:rFonts w:hint="default"/>
      </w:rPr>
    </w:lvl>
    <w:lvl w:ilvl="1" w:tplc="FFFFFFFF" w:tentative="1">
      <w:start w:val="1"/>
      <w:numFmt w:val="bullet"/>
      <w:lvlText w:val="o"/>
      <w:lvlJc w:val="left"/>
      <w:pPr>
        <w:ind w:left="2952" w:hanging="360"/>
      </w:pPr>
      <w:rPr>
        <w:rFonts w:ascii="Courier New" w:hAnsi="Courier New" w:cs="Courier New" w:hint="default"/>
      </w:rPr>
    </w:lvl>
    <w:lvl w:ilvl="2" w:tplc="FFFFFFFF" w:tentative="1">
      <w:start w:val="1"/>
      <w:numFmt w:val="bullet"/>
      <w:lvlText w:val=""/>
      <w:lvlJc w:val="left"/>
      <w:pPr>
        <w:ind w:left="3672" w:hanging="360"/>
      </w:pPr>
      <w:rPr>
        <w:rFonts w:ascii="Wingdings" w:hAnsi="Wingdings" w:hint="default"/>
      </w:rPr>
    </w:lvl>
    <w:lvl w:ilvl="3" w:tplc="FFFFFFFF" w:tentative="1">
      <w:start w:val="1"/>
      <w:numFmt w:val="bullet"/>
      <w:lvlText w:val=""/>
      <w:lvlJc w:val="left"/>
      <w:pPr>
        <w:ind w:left="4392" w:hanging="360"/>
      </w:pPr>
      <w:rPr>
        <w:rFonts w:ascii="Symbol" w:hAnsi="Symbol" w:hint="default"/>
      </w:rPr>
    </w:lvl>
    <w:lvl w:ilvl="4" w:tplc="FFFFFFFF" w:tentative="1">
      <w:start w:val="1"/>
      <w:numFmt w:val="bullet"/>
      <w:lvlText w:val="o"/>
      <w:lvlJc w:val="left"/>
      <w:pPr>
        <w:ind w:left="5112" w:hanging="360"/>
      </w:pPr>
      <w:rPr>
        <w:rFonts w:ascii="Courier New" w:hAnsi="Courier New" w:cs="Courier New" w:hint="default"/>
      </w:rPr>
    </w:lvl>
    <w:lvl w:ilvl="5" w:tplc="FFFFFFFF" w:tentative="1">
      <w:start w:val="1"/>
      <w:numFmt w:val="bullet"/>
      <w:lvlText w:val=""/>
      <w:lvlJc w:val="left"/>
      <w:pPr>
        <w:ind w:left="5832" w:hanging="360"/>
      </w:pPr>
      <w:rPr>
        <w:rFonts w:ascii="Wingdings" w:hAnsi="Wingdings" w:hint="default"/>
      </w:rPr>
    </w:lvl>
    <w:lvl w:ilvl="6" w:tplc="FFFFFFFF" w:tentative="1">
      <w:start w:val="1"/>
      <w:numFmt w:val="bullet"/>
      <w:lvlText w:val=""/>
      <w:lvlJc w:val="left"/>
      <w:pPr>
        <w:ind w:left="6552" w:hanging="360"/>
      </w:pPr>
      <w:rPr>
        <w:rFonts w:ascii="Symbol" w:hAnsi="Symbol" w:hint="default"/>
      </w:rPr>
    </w:lvl>
    <w:lvl w:ilvl="7" w:tplc="FFFFFFFF" w:tentative="1">
      <w:start w:val="1"/>
      <w:numFmt w:val="bullet"/>
      <w:lvlText w:val="o"/>
      <w:lvlJc w:val="left"/>
      <w:pPr>
        <w:ind w:left="7272" w:hanging="360"/>
      </w:pPr>
      <w:rPr>
        <w:rFonts w:ascii="Courier New" w:hAnsi="Courier New" w:cs="Courier New" w:hint="default"/>
      </w:rPr>
    </w:lvl>
    <w:lvl w:ilvl="8" w:tplc="FFFFFFFF" w:tentative="1">
      <w:start w:val="1"/>
      <w:numFmt w:val="bullet"/>
      <w:lvlText w:val=""/>
      <w:lvlJc w:val="left"/>
      <w:pPr>
        <w:ind w:left="7992" w:hanging="360"/>
      </w:pPr>
      <w:rPr>
        <w:rFonts w:ascii="Wingdings" w:hAnsi="Wingdings" w:hint="default"/>
      </w:rPr>
    </w:lvl>
  </w:abstractNum>
  <w:abstractNum w:abstractNumId="18" w15:restartNumberingAfterBreak="0">
    <w:nsid w:val="465F7AA2"/>
    <w:multiLevelType w:val="hybridMultilevel"/>
    <w:tmpl w:val="CD54C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A66A9D"/>
    <w:multiLevelType w:val="multilevel"/>
    <w:tmpl w:val="771274DC"/>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0" w15:restartNumberingAfterBreak="0">
    <w:nsid w:val="655C96EC"/>
    <w:multiLevelType w:val="hybridMultilevel"/>
    <w:tmpl w:val="CB3097A0"/>
    <w:lvl w:ilvl="0" w:tplc="4E348306">
      <w:start w:val="1"/>
      <w:numFmt w:val="bullet"/>
      <w:pStyle w:val="ListBulletTEAP"/>
      <w:lvlText w:val=""/>
      <w:lvlJc w:val="left"/>
      <w:pPr>
        <w:ind w:left="720" w:hanging="360"/>
      </w:pPr>
      <w:rPr>
        <w:rFonts w:ascii="Symbol" w:hAnsi="Symbol" w:hint="default"/>
      </w:rPr>
    </w:lvl>
    <w:lvl w:ilvl="1" w:tplc="D5E69562">
      <w:start w:val="1"/>
      <w:numFmt w:val="bullet"/>
      <w:lvlText w:val="o"/>
      <w:lvlJc w:val="left"/>
      <w:pPr>
        <w:ind w:left="1440" w:hanging="360"/>
      </w:pPr>
      <w:rPr>
        <w:rFonts w:ascii="Courier New" w:hAnsi="Courier New" w:hint="default"/>
      </w:rPr>
    </w:lvl>
    <w:lvl w:ilvl="2" w:tplc="5276DE80">
      <w:start w:val="1"/>
      <w:numFmt w:val="bullet"/>
      <w:lvlText w:val=""/>
      <w:lvlJc w:val="left"/>
      <w:pPr>
        <w:ind w:left="2160" w:hanging="360"/>
      </w:pPr>
      <w:rPr>
        <w:rFonts w:ascii="Wingdings" w:hAnsi="Wingdings" w:hint="default"/>
      </w:rPr>
    </w:lvl>
    <w:lvl w:ilvl="3" w:tplc="82D0C802">
      <w:start w:val="1"/>
      <w:numFmt w:val="bullet"/>
      <w:lvlText w:val=""/>
      <w:lvlJc w:val="left"/>
      <w:pPr>
        <w:ind w:left="2880" w:hanging="360"/>
      </w:pPr>
      <w:rPr>
        <w:rFonts w:ascii="Symbol" w:hAnsi="Symbol" w:hint="default"/>
      </w:rPr>
    </w:lvl>
    <w:lvl w:ilvl="4" w:tplc="9C06407E">
      <w:start w:val="1"/>
      <w:numFmt w:val="bullet"/>
      <w:lvlText w:val="o"/>
      <w:lvlJc w:val="left"/>
      <w:pPr>
        <w:ind w:left="3600" w:hanging="360"/>
      </w:pPr>
      <w:rPr>
        <w:rFonts w:ascii="Courier New" w:hAnsi="Courier New" w:hint="default"/>
      </w:rPr>
    </w:lvl>
    <w:lvl w:ilvl="5" w:tplc="981E4F04">
      <w:start w:val="1"/>
      <w:numFmt w:val="bullet"/>
      <w:lvlText w:val=""/>
      <w:lvlJc w:val="left"/>
      <w:pPr>
        <w:ind w:left="4320" w:hanging="360"/>
      </w:pPr>
      <w:rPr>
        <w:rFonts w:ascii="Wingdings" w:hAnsi="Wingdings" w:hint="default"/>
      </w:rPr>
    </w:lvl>
    <w:lvl w:ilvl="6" w:tplc="DC924FE8">
      <w:start w:val="1"/>
      <w:numFmt w:val="bullet"/>
      <w:lvlText w:val=""/>
      <w:lvlJc w:val="left"/>
      <w:pPr>
        <w:ind w:left="5040" w:hanging="360"/>
      </w:pPr>
      <w:rPr>
        <w:rFonts w:ascii="Symbol" w:hAnsi="Symbol" w:hint="default"/>
      </w:rPr>
    </w:lvl>
    <w:lvl w:ilvl="7" w:tplc="C7B0256C">
      <w:start w:val="1"/>
      <w:numFmt w:val="bullet"/>
      <w:lvlText w:val="o"/>
      <w:lvlJc w:val="left"/>
      <w:pPr>
        <w:ind w:left="5760" w:hanging="360"/>
      </w:pPr>
      <w:rPr>
        <w:rFonts w:ascii="Courier New" w:hAnsi="Courier New" w:hint="default"/>
      </w:rPr>
    </w:lvl>
    <w:lvl w:ilvl="8" w:tplc="0812F59C">
      <w:start w:val="1"/>
      <w:numFmt w:val="bullet"/>
      <w:lvlText w:val=""/>
      <w:lvlJc w:val="left"/>
      <w:pPr>
        <w:ind w:left="6480" w:hanging="360"/>
      </w:pPr>
      <w:rPr>
        <w:rFonts w:ascii="Wingdings" w:hAnsi="Wingdings" w:hint="default"/>
      </w:rPr>
    </w:lvl>
  </w:abstractNum>
  <w:abstractNum w:abstractNumId="21"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2" w15:restartNumberingAfterBreak="0">
    <w:nsid w:val="75215237"/>
    <w:multiLevelType w:val="hybridMultilevel"/>
    <w:tmpl w:val="C2E21524"/>
    <w:lvl w:ilvl="0" w:tplc="06A07E12">
      <w:start w:val="1"/>
      <w:numFmt w:val="lowerLetter"/>
      <w:lvlText w:val="%1)"/>
      <w:lvlJc w:val="left"/>
      <w:pPr>
        <w:ind w:left="2232" w:hanging="360"/>
      </w:pPr>
      <w:rPr>
        <w:rFonts w:hint="default"/>
      </w:rPr>
    </w:lvl>
    <w:lvl w:ilvl="1" w:tplc="08090019" w:tentative="1">
      <w:start w:val="1"/>
      <w:numFmt w:val="lowerLetter"/>
      <w:lvlText w:val="%2."/>
      <w:lvlJc w:val="left"/>
      <w:pPr>
        <w:ind w:left="2952" w:hanging="360"/>
      </w:pPr>
    </w:lvl>
    <w:lvl w:ilvl="2" w:tplc="0809001B" w:tentative="1">
      <w:start w:val="1"/>
      <w:numFmt w:val="lowerRoman"/>
      <w:lvlText w:val="%3."/>
      <w:lvlJc w:val="right"/>
      <w:pPr>
        <w:ind w:left="3672" w:hanging="180"/>
      </w:pPr>
    </w:lvl>
    <w:lvl w:ilvl="3" w:tplc="0809000F" w:tentative="1">
      <w:start w:val="1"/>
      <w:numFmt w:val="decimal"/>
      <w:lvlText w:val="%4."/>
      <w:lvlJc w:val="left"/>
      <w:pPr>
        <w:ind w:left="4392" w:hanging="360"/>
      </w:pPr>
    </w:lvl>
    <w:lvl w:ilvl="4" w:tplc="08090019" w:tentative="1">
      <w:start w:val="1"/>
      <w:numFmt w:val="lowerLetter"/>
      <w:lvlText w:val="%5."/>
      <w:lvlJc w:val="left"/>
      <w:pPr>
        <w:ind w:left="5112" w:hanging="360"/>
      </w:pPr>
    </w:lvl>
    <w:lvl w:ilvl="5" w:tplc="0809001B" w:tentative="1">
      <w:start w:val="1"/>
      <w:numFmt w:val="lowerRoman"/>
      <w:lvlText w:val="%6."/>
      <w:lvlJc w:val="right"/>
      <w:pPr>
        <w:ind w:left="5832" w:hanging="180"/>
      </w:pPr>
    </w:lvl>
    <w:lvl w:ilvl="6" w:tplc="0809000F" w:tentative="1">
      <w:start w:val="1"/>
      <w:numFmt w:val="decimal"/>
      <w:lvlText w:val="%7."/>
      <w:lvlJc w:val="left"/>
      <w:pPr>
        <w:ind w:left="6552" w:hanging="360"/>
      </w:pPr>
    </w:lvl>
    <w:lvl w:ilvl="7" w:tplc="08090019" w:tentative="1">
      <w:start w:val="1"/>
      <w:numFmt w:val="lowerLetter"/>
      <w:lvlText w:val="%8."/>
      <w:lvlJc w:val="left"/>
      <w:pPr>
        <w:ind w:left="7272" w:hanging="360"/>
      </w:pPr>
    </w:lvl>
    <w:lvl w:ilvl="8" w:tplc="0809001B" w:tentative="1">
      <w:start w:val="1"/>
      <w:numFmt w:val="lowerRoman"/>
      <w:lvlText w:val="%9."/>
      <w:lvlJc w:val="right"/>
      <w:pPr>
        <w:ind w:left="7992" w:hanging="180"/>
      </w:pPr>
    </w:lvl>
  </w:abstractNum>
  <w:num w:numId="1" w16cid:durableId="560672902">
    <w:abstractNumId w:val="19"/>
    <w:lvlOverride w:ilvl="0">
      <w:lvl w:ilvl="0">
        <w:start w:val="1"/>
        <w:numFmt w:val="decimal"/>
        <w:pStyle w:val="Normalnumber"/>
        <w:lvlText w:val="%1."/>
        <w:lvlJc w:val="left"/>
        <w:pPr>
          <w:tabs>
            <w:tab w:val="num" w:pos="1361"/>
          </w:tabs>
          <w:ind w:left="1985" w:firstLine="0"/>
        </w:pPr>
        <w:rPr>
          <w:rFonts w:hint="default"/>
          <w:sz w:val="20"/>
          <w:szCs w:val="20"/>
        </w:rPr>
      </w:lvl>
    </w:lvlOverride>
  </w:num>
  <w:num w:numId="2" w16cid:durableId="1242644713">
    <w:abstractNumId w:val="21"/>
  </w:num>
  <w:num w:numId="3" w16cid:durableId="1933662228">
    <w:abstractNumId w:val="15"/>
  </w:num>
  <w:num w:numId="4" w16cid:durableId="1991909117">
    <w:abstractNumId w:val="10"/>
  </w:num>
  <w:num w:numId="5" w16cid:durableId="1138956019">
    <w:abstractNumId w:val="12"/>
  </w:num>
  <w:num w:numId="6" w16cid:durableId="2059281705">
    <w:abstractNumId w:val="9"/>
  </w:num>
  <w:num w:numId="7" w16cid:durableId="790823720">
    <w:abstractNumId w:val="7"/>
  </w:num>
  <w:num w:numId="8" w16cid:durableId="556164269">
    <w:abstractNumId w:val="6"/>
  </w:num>
  <w:num w:numId="9" w16cid:durableId="883368438">
    <w:abstractNumId w:val="5"/>
  </w:num>
  <w:num w:numId="10" w16cid:durableId="1731926964">
    <w:abstractNumId w:val="4"/>
  </w:num>
  <w:num w:numId="11" w16cid:durableId="1688019683">
    <w:abstractNumId w:val="8"/>
  </w:num>
  <w:num w:numId="12" w16cid:durableId="570043636">
    <w:abstractNumId w:val="3"/>
  </w:num>
  <w:num w:numId="13" w16cid:durableId="627318918">
    <w:abstractNumId w:val="2"/>
  </w:num>
  <w:num w:numId="14" w16cid:durableId="1811702310">
    <w:abstractNumId w:val="1"/>
  </w:num>
  <w:num w:numId="15" w16cid:durableId="500241964">
    <w:abstractNumId w:val="0"/>
  </w:num>
  <w:num w:numId="16" w16cid:durableId="517044029">
    <w:abstractNumId w:val="20"/>
  </w:num>
  <w:num w:numId="17" w16cid:durableId="149367271">
    <w:abstractNumId w:val="14"/>
  </w:num>
  <w:num w:numId="18" w16cid:durableId="911427144">
    <w:abstractNumId w:val="22"/>
  </w:num>
  <w:num w:numId="19" w16cid:durableId="1806506253">
    <w:abstractNumId w:val="17"/>
  </w:num>
  <w:num w:numId="20" w16cid:durableId="991757662">
    <w:abstractNumId w:val="11"/>
  </w:num>
  <w:num w:numId="21" w16cid:durableId="693842584">
    <w:abstractNumId w:val="13"/>
  </w:num>
  <w:num w:numId="22" w16cid:durableId="54404022">
    <w:abstractNumId w:val="19"/>
  </w:num>
  <w:num w:numId="23" w16cid:durableId="1425801817">
    <w:abstractNumId w:val="18"/>
  </w:num>
  <w:num w:numId="24" w16cid:durableId="1056666893">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5F"/>
    <w:rsid w:val="00000E70"/>
    <w:rsid w:val="00001112"/>
    <w:rsid w:val="0000235D"/>
    <w:rsid w:val="00005D80"/>
    <w:rsid w:val="000074E0"/>
    <w:rsid w:val="00007545"/>
    <w:rsid w:val="000079AC"/>
    <w:rsid w:val="00013F7F"/>
    <w:rsid w:val="000149E6"/>
    <w:rsid w:val="00016AF3"/>
    <w:rsid w:val="000176F9"/>
    <w:rsid w:val="000208C8"/>
    <w:rsid w:val="00021097"/>
    <w:rsid w:val="000217AB"/>
    <w:rsid w:val="00022CA9"/>
    <w:rsid w:val="000239E6"/>
    <w:rsid w:val="00023A0A"/>
    <w:rsid w:val="000247B0"/>
    <w:rsid w:val="000248BE"/>
    <w:rsid w:val="00026997"/>
    <w:rsid w:val="00030891"/>
    <w:rsid w:val="00030FB4"/>
    <w:rsid w:val="00033BEC"/>
    <w:rsid w:val="00033E0B"/>
    <w:rsid w:val="000349D7"/>
    <w:rsid w:val="00035EDE"/>
    <w:rsid w:val="00037937"/>
    <w:rsid w:val="00042A61"/>
    <w:rsid w:val="00042E7E"/>
    <w:rsid w:val="000430F9"/>
    <w:rsid w:val="00043D45"/>
    <w:rsid w:val="00043E48"/>
    <w:rsid w:val="0004691D"/>
    <w:rsid w:val="000509B4"/>
    <w:rsid w:val="0005281B"/>
    <w:rsid w:val="00056156"/>
    <w:rsid w:val="00056B2C"/>
    <w:rsid w:val="00056D4F"/>
    <w:rsid w:val="00057D7B"/>
    <w:rsid w:val="00060139"/>
    <w:rsid w:val="0006035B"/>
    <w:rsid w:val="00064452"/>
    <w:rsid w:val="0006497E"/>
    <w:rsid w:val="00065921"/>
    <w:rsid w:val="00065FC1"/>
    <w:rsid w:val="00067CBC"/>
    <w:rsid w:val="0007166E"/>
    <w:rsid w:val="00071886"/>
    <w:rsid w:val="000721F2"/>
    <w:rsid w:val="00073901"/>
    <w:rsid w:val="000742BC"/>
    <w:rsid w:val="00074BF0"/>
    <w:rsid w:val="00076F38"/>
    <w:rsid w:val="00077985"/>
    <w:rsid w:val="0008041D"/>
    <w:rsid w:val="0008042B"/>
    <w:rsid w:val="0008057F"/>
    <w:rsid w:val="00080F41"/>
    <w:rsid w:val="000828D9"/>
    <w:rsid w:val="00082A0C"/>
    <w:rsid w:val="00082DCD"/>
    <w:rsid w:val="00083504"/>
    <w:rsid w:val="00083D1F"/>
    <w:rsid w:val="000845B1"/>
    <w:rsid w:val="00084E6B"/>
    <w:rsid w:val="000857B8"/>
    <w:rsid w:val="00085E4A"/>
    <w:rsid w:val="0008710B"/>
    <w:rsid w:val="0008735D"/>
    <w:rsid w:val="00093ABD"/>
    <w:rsid w:val="00093DED"/>
    <w:rsid w:val="00095E7F"/>
    <w:rsid w:val="0009640C"/>
    <w:rsid w:val="0009671F"/>
    <w:rsid w:val="000A0EDD"/>
    <w:rsid w:val="000A14F4"/>
    <w:rsid w:val="000A238C"/>
    <w:rsid w:val="000A318C"/>
    <w:rsid w:val="000A3286"/>
    <w:rsid w:val="000A341C"/>
    <w:rsid w:val="000A39B9"/>
    <w:rsid w:val="000A4366"/>
    <w:rsid w:val="000B00E7"/>
    <w:rsid w:val="000B0814"/>
    <w:rsid w:val="000B21D5"/>
    <w:rsid w:val="000B22A2"/>
    <w:rsid w:val="000B38F4"/>
    <w:rsid w:val="000C0073"/>
    <w:rsid w:val="000C01F7"/>
    <w:rsid w:val="000C0506"/>
    <w:rsid w:val="000C07E5"/>
    <w:rsid w:val="000C0EA1"/>
    <w:rsid w:val="000C2A52"/>
    <w:rsid w:val="000C3D65"/>
    <w:rsid w:val="000C4302"/>
    <w:rsid w:val="000C46A9"/>
    <w:rsid w:val="000C6E54"/>
    <w:rsid w:val="000C7EE5"/>
    <w:rsid w:val="000D1B23"/>
    <w:rsid w:val="000D33C0"/>
    <w:rsid w:val="000D3686"/>
    <w:rsid w:val="000D412A"/>
    <w:rsid w:val="000D4175"/>
    <w:rsid w:val="000D5884"/>
    <w:rsid w:val="000D5F55"/>
    <w:rsid w:val="000D6941"/>
    <w:rsid w:val="000D71B6"/>
    <w:rsid w:val="000E00F3"/>
    <w:rsid w:val="000E0405"/>
    <w:rsid w:val="000E4471"/>
    <w:rsid w:val="000E4889"/>
    <w:rsid w:val="000F1A45"/>
    <w:rsid w:val="000F43FA"/>
    <w:rsid w:val="000F51C2"/>
    <w:rsid w:val="000F5B3E"/>
    <w:rsid w:val="000F5FD1"/>
    <w:rsid w:val="000F600C"/>
    <w:rsid w:val="000F640E"/>
    <w:rsid w:val="000F6A2D"/>
    <w:rsid w:val="000F6CFF"/>
    <w:rsid w:val="001010F0"/>
    <w:rsid w:val="00101BB2"/>
    <w:rsid w:val="00101DBB"/>
    <w:rsid w:val="00101E22"/>
    <w:rsid w:val="0010364A"/>
    <w:rsid w:val="00103E53"/>
    <w:rsid w:val="0010500A"/>
    <w:rsid w:val="00105A22"/>
    <w:rsid w:val="00105EB9"/>
    <w:rsid w:val="00106E68"/>
    <w:rsid w:val="001071DB"/>
    <w:rsid w:val="00107405"/>
    <w:rsid w:val="00111DA9"/>
    <w:rsid w:val="00112CEC"/>
    <w:rsid w:val="00112ED6"/>
    <w:rsid w:val="00115F73"/>
    <w:rsid w:val="00116759"/>
    <w:rsid w:val="001202E3"/>
    <w:rsid w:val="001203F7"/>
    <w:rsid w:val="00120F13"/>
    <w:rsid w:val="00121358"/>
    <w:rsid w:val="00122EB0"/>
    <w:rsid w:val="0012331D"/>
    <w:rsid w:val="00123699"/>
    <w:rsid w:val="0012398D"/>
    <w:rsid w:val="00124093"/>
    <w:rsid w:val="00126A80"/>
    <w:rsid w:val="00126DED"/>
    <w:rsid w:val="0013059D"/>
    <w:rsid w:val="0013134E"/>
    <w:rsid w:val="0013183B"/>
    <w:rsid w:val="00131970"/>
    <w:rsid w:val="00131A7A"/>
    <w:rsid w:val="001320FF"/>
    <w:rsid w:val="00134051"/>
    <w:rsid w:val="00134575"/>
    <w:rsid w:val="00134684"/>
    <w:rsid w:val="00135856"/>
    <w:rsid w:val="00136811"/>
    <w:rsid w:val="001400FC"/>
    <w:rsid w:val="0014083A"/>
    <w:rsid w:val="001411B6"/>
    <w:rsid w:val="0014144D"/>
    <w:rsid w:val="00141A55"/>
    <w:rsid w:val="00141F2F"/>
    <w:rsid w:val="00142BFF"/>
    <w:rsid w:val="0014436A"/>
    <w:rsid w:val="001446A3"/>
    <w:rsid w:val="00145D3E"/>
    <w:rsid w:val="00146B14"/>
    <w:rsid w:val="00146E80"/>
    <w:rsid w:val="001508EA"/>
    <w:rsid w:val="00151192"/>
    <w:rsid w:val="00151E05"/>
    <w:rsid w:val="00152721"/>
    <w:rsid w:val="001543C2"/>
    <w:rsid w:val="00155395"/>
    <w:rsid w:val="00160E27"/>
    <w:rsid w:val="00162785"/>
    <w:rsid w:val="00163475"/>
    <w:rsid w:val="00165734"/>
    <w:rsid w:val="00167F01"/>
    <w:rsid w:val="00172E6C"/>
    <w:rsid w:val="001737C7"/>
    <w:rsid w:val="00173D27"/>
    <w:rsid w:val="001744DA"/>
    <w:rsid w:val="00174739"/>
    <w:rsid w:val="00174875"/>
    <w:rsid w:val="00180635"/>
    <w:rsid w:val="00180E72"/>
    <w:rsid w:val="0018127C"/>
    <w:rsid w:val="00181642"/>
    <w:rsid w:val="00181EC8"/>
    <w:rsid w:val="00181FC0"/>
    <w:rsid w:val="0018219D"/>
    <w:rsid w:val="00182C27"/>
    <w:rsid w:val="00182C57"/>
    <w:rsid w:val="00182D06"/>
    <w:rsid w:val="00183524"/>
    <w:rsid w:val="00184349"/>
    <w:rsid w:val="0019161E"/>
    <w:rsid w:val="0019190B"/>
    <w:rsid w:val="00191E44"/>
    <w:rsid w:val="00192906"/>
    <w:rsid w:val="00195B7A"/>
    <w:rsid w:val="00195F33"/>
    <w:rsid w:val="00196EE1"/>
    <w:rsid w:val="001974BD"/>
    <w:rsid w:val="001979A9"/>
    <w:rsid w:val="00197C63"/>
    <w:rsid w:val="001A073E"/>
    <w:rsid w:val="001A0D9E"/>
    <w:rsid w:val="001A12F5"/>
    <w:rsid w:val="001A139B"/>
    <w:rsid w:val="001A2D32"/>
    <w:rsid w:val="001A541A"/>
    <w:rsid w:val="001A5EE1"/>
    <w:rsid w:val="001A6910"/>
    <w:rsid w:val="001A73A4"/>
    <w:rsid w:val="001A7FF9"/>
    <w:rsid w:val="001B07FB"/>
    <w:rsid w:val="001B1617"/>
    <w:rsid w:val="001B1A45"/>
    <w:rsid w:val="001B1B5E"/>
    <w:rsid w:val="001B3039"/>
    <w:rsid w:val="001B504B"/>
    <w:rsid w:val="001B586A"/>
    <w:rsid w:val="001B61E6"/>
    <w:rsid w:val="001B61EF"/>
    <w:rsid w:val="001C29FC"/>
    <w:rsid w:val="001C42B2"/>
    <w:rsid w:val="001C4CAA"/>
    <w:rsid w:val="001C58DC"/>
    <w:rsid w:val="001C5D71"/>
    <w:rsid w:val="001C6887"/>
    <w:rsid w:val="001D02A9"/>
    <w:rsid w:val="001D1C3F"/>
    <w:rsid w:val="001D29CA"/>
    <w:rsid w:val="001D30BE"/>
    <w:rsid w:val="001D3874"/>
    <w:rsid w:val="001D3C0D"/>
    <w:rsid w:val="001D3F66"/>
    <w:rsid w:val="001D44DA"/>
    <w:rsid w:val="001D5344"/>
    <w:rsid w:val="001D56CB"/>
    <w:rsid w:val="001D7E75"/>
    <w:rsid w:val="001E22D1"/>
    <w:rsid w:val="001E2404"/>
    <w:rsid w:val="001E3572"/>
    <w:rsid w:val="001E465A"/>
    <w:rsid w:val="001E56D2"/>
    <w:rsid w:val="001E636F"/>
    <w:rsid w:val="001E7D56"/>
    <w:rsid w:val="001F12EF"/>
    <w:rsid w:val="001F1300"/>
    <w:rsid w:val="001F1854"/>
    <w:rsid w:val="001F3CF6"/>
    <w:rsid w:val="001F5884"/>
    <w:rsid w:val="001F75DE"/>
    <w:rsid w:val="001F7B57"/>
    <w:rsid w:val="001F7D4D"/>
    <w:rsid w:val="00200D58"/>
    <w:rsid w:val="002013BE"/>
    <w:rsid w:val="0020241C"/>
    <w:rsid w:val="002049F8"/>
    <w:rsid w:val="002050B2"/>
    <w:rsid w:val="002063A4"/>
    <w:rsid w:val="00206A1F"/>
    <w:rsid w:val="00206F51"/>
    <w:rsid w:val="00206F97"/>
    <w:rsid w:val="0021145B"/>
    <w:rsid w:val="00212C45"/>
    <w:rsid w:val="002134EF"/>
    <w:rsid w:val="0021411C"/>
    <w:rsid w:val="00214277"/>
    <w:rsid w:val="0021712E"/>
    <w:rsid w:val="002243E9"/>
    <w:rsid w:val="00226D32"/>
    <w:rsid w:val="0022762D"/>
    <w:rsid w:val="0023011A"/>
    <w:rsid w:val="00230354"/>
    <w:rsid w:val="002308E6"/>
    <w:rsid w:val="00230A32"/>
    <w:rsid w:val="002321C0"/>
    <w:rsid w:val="00232303"/>
    <w:rsid w:val="002338A7"/>
    <w:rsid w:val="002344B5"/>
    <w:rsid w:val="00234806"/>
    <w:rsid w:val="002353DE"/>
    <w:rsid w:val="00235F28"/>
    <w:rsid w:val="00236480"/>
    <w:rsid w:val="002378D6"/>
    <w:rsid w:val="00237B5F"/>
    <w:rsid w:val="00243D36"/>
    <w:rsid w:val="0024418D"/>
    <w:rsid w:val="00245BA1"/>
    <w:rsid w:val="00247707"/>
    <w:rsid w:val="002503F9"/>
    <w:rsid w:val="00252008"/>
    <w:rsid w:val="00253CF8"/>
    <w:rsid w:val="002540B7"/>
    <w:rsid w:val="002544B6"/>
    <w:rsid w:val="00254AB7"/>
    <w:rsid w:val="0025575A"/>
    <w:rsid w:val="00255D55"/>
    <w:rsid w:val="0025656D"/>
    <w:rsid w:val="00256C2F"/>
    <w:rsid w:val="00257855"/>
    <w:rsid w:val="00260385"/>
    <w:rsid w:val="00262FDB"/>
    <w:rsid w:val="00263171"/>
    <w:rsid w:val="002632C1"/>
    <w:rsid w:val="002636B0"/>
    <w:rsid w:val="00267637"/>
    <w:rsid w:val="00267A5C"/>
    <w:rsid w:val="0027042B"/>
    <w:rsid w:val="00271DDA"/>
    <w:rsid w:val="00273509"/>
    <w:rsid w:val="002744C9"/>
    <w:rsid w:val="0027564E"/>
    <w:rsid w:val="00277919"/>
    <w:rsid w:val="002779D8"/>
    <w:rsid w:val="002800D3"/>
    <w:rsid w:val="002816A2"/>
    <w:rsid w:val="0028230A"/>
    <w:rsid w:val="0028556E"/>
    <w:rsid w:val="00285961"/>
    <w:rsid w:val="00286740"/>
    <w:rsid w:val="00286846"/>
    <w:rsid w:val="00286EB5"/>
    <w:rsid w:val="00287B42"/>
    <w:rsid w:val="00290ACA"/>
    <w:rsid w:val="00291352"/>
    <w:rsid w:val="00292174"/>
    <w:rsid w:val="00292552"/>
    <w:rsid w:val="00292758"/>
    <w:rsid w:val="002928FF"/>
    <w:rsid w:val="002929D8"/>
    <w:rsid w:val="002935C2"/>
    <w:rsid w:val="00295439"/>
    <w:rsid w:val="00297BD2"/>
    <w:rsid w:val="002A0F1C"/>
    <w:rsid w:val="002A237D"/>
    <w:rsid w:val="002A256B"/>
    <w:rsid w:val="002A4C53"/>
    <w:rsid w:val="002A5407"/>
    <w:rsid w:val="002A5649"/>
    <w:rsid w:val="002B0672"/>
    <w:rsid w:val="002B0A82"/>
    <w:rsid w:val="002B1B4C"/>
    <w:rsid w:val="002B247F"/>
    <w:rsid w:val="002B2F52"/>
    <w:rsid w:val="002B3B16"/>
    <w:rsid w:val="002B3F14"/>
    <w:rsid w:val="002B49BA"/>
    <w:rsid w:val="002B7541"/>
    <w:rsid w:val="002C145D"/>
    <w:rsid w:val="002C2C3E"/>
    <w:rsid w:val="002C310A"/>
    <w:rsid w:val="002C533E"/>
    <w:rsid w:val="002C5525"/>
    <w:rsid w:val="002C7F6C"/>
    <w:rsid w:val="002D027F"/>
    <w:rsid w:val="002D1E9F"/>
    <w:rsid w:val="002D7476"/>
    <w:rsid w:val="002D7A03"/>
    <w:rsid w:val="002D7A85"/>
    <w:rsid w:val="002D7B60"/>
    <w:rsid w:val="002E147B"/>
    <w:rsid w:val="002E16D1"/>
    <w:rsid w:val="002E19D4"/>
    <w:rsid w:val="002E2A7F"/>
    <w:rsid w:val="002E2CE7"/>
    <w:rsid w:val="002E3173"/>
    <w:rsid w:val="002F0362"/>
    <w:rsid w:val="002F146E"/>
    <w:rsid w:val="002F1FC6"/>
    <w:rsid w:val="002F2DDD"/>
    <w:rsid w:val="002F2F61"/>
    <w:rsid w:val="002F3B78"/>
    <w:rsid w:val="002F4761"/>
    <w:rsid w:val="002F57AF"/>
    <w:rsid w:val="002F5C79"/>
    <w:rsid w:val="00301826"/>
    <w:rsid w:val="003019E2"/>
    <w:rsid w:val="00303A1D"/>
    <w:rsid w:val="0030414B"/>
    <w:rsid w:val="00304691"/>
    <w:rsid w:val="00304BFA"/>
    <w:rsid w:val="00305D8E"/>
    <w:rsid w:val="0030649F"/>
    <w:rsid w:val="00306EDE"/>
    <w:rsid w:val="003101E8"/>
    <w:rsid w:val="003107C5"/>
    <w:rsid w:val="00311E8F"/>
    <w:rsid w:val="00311EEC"/>
    <w:rsid w:val="0031413F"/>
    <w:rsid w:val="003148BB"/>
    <w:rsid w:val="00314B80"/>
    <w:rsid w:val="00315EE0"/>
    <w:rsid w:val="003174A5"/>
    <w:rsid w:val="0031788F"/>
    <w:rsid w:val="00317976"/>
    <w:rsid w:val="003209F2"/>
    <w:rsid w:val="00323885"/>
    <w:rsid w:val="00325F34"/>
    <w:rsid w:val="00326AA8"/>
    <w:rsid w:val="00327AB2"/>
    <w:rsid w:val="00327ED7"/>
    <w:rsid w:val="00331475"/>
    <w:rsid w:val="00332F12"/>
    <w:rsid w:val="00335571"/>
    <w:rsid w:val="00336627"/>
    <w:rsid w:val="003370A5"/>
    <w:rsid w:val="00337EAF"/>
    <w:rsid w:val="00337F74"/>
    <w:rsid w:val="0034114B"/>
    <w:rsid w:val="003429C4"/>
    <w:rsid w:val="003441DB"/>
    <w:rsid w:val="00344B00"/>
    <w:rsid w:val="00345207"/>
    <w:rsid w:val="003453D2"/>
    <w:rsid w:val="003456AA"/>
    <w:rsid w:val="00347B07"/>
    <w:rsid w:val="00347D47"/>
    <w:rsid w:val="00351A93"/>
    <w:rsid w:val="00351D12"/>
    <w:rsid w:val="00353E3D"/>
    <w:rsid w:val="00355EA9"/>
    <w:rsid w:val="0035779D"/>
    <w:rsid w:val="003578DE"/>
    <w:rsid w:val="00357ADF"/>
    <w:rsid w:val="00357F9A"/>
    <w:rsid w:val="00362BEA"/>
    <w:rsid w:val="003654A0"/>
    <w:rsid w:val="00365F6B"/>
    <w:rsid w:val="003669ED"/>
    <w:rsid w:val="00367EF4"/>
    <w:rsid w:val="003702F4"/>
    <w:rsid w:val="00370383"/>
    <w:rsid w:val="00370847"/>
    <w:rsid w:val="00370BF9"/>
    <w:rsid w:val="00371340"/>
    <w:rsid w:val="003723A0"/>
    <w:rsid w:val="0037296E"/>
    <w:rsid w:val="0037453C"/>
    <w:rsid w:val="00375866"/>
    <w:rsid w:val="0037597F"/>
    <w:rsid w:val="003759E2"/>
    <w:rsid w:val="00382501"/>
    <w:rsid w:val="00384E4F"/>
    <w:rsid w:val="00386795"/>
    <w:rsid w:val="00386999"/>
    <w:rsid w:val="00390145"/>
    <w:rsid w:val="0039065F"/>
    <w:rsid w:val="00394379"/>
    <w:rsid w:val="00395A6E"/>
    <w:rsid w:val="00396257"/>
    <w:rsid w:val="00397EB8"/>
    <w:rsid w:val="003A07AB"/>
    <w:rsid w:val="003A086E"/>
    <w:rsid w:val="003A0A61"/>
    <w:rsid w:val="003A37B8"/>
    <w:rsid w:val="003A4FD0"/>
    <w:rsid w:val="003A60F9"/>
    <w:rsid w:val="003A69D1"/>
    <w:rsid w:val="003A6B1D"/>
    <w:rsid w:val="003A6B61"/>
    <w:rsid w:val="003A747F"/>
    <w:rsid w:val="003A7705"/>
    <w:rsid w:val="003A78D4"/>
    <w:rsid w:val="003A78EB"/>
    <w:rsid w:val="003A7B93"/>
    <w:rsid w:val="003B1545"/>
    <w:rsid w:val="003B1ABA"/>
    <w:rsid w:val="003B5801"/>
    <w:rsid w:val="003B5B78"/>
    <w:rsid w:val="003C035E"/>
    <w:rsid w:val="003C2DE2"/>
    <w:rsid w:val="003C3267"/>
    <w:rsid w:val="003C3E98"/>
    <w:rsid w:val="003C409D"/>
    <w:rsid w:val="003C494B"/>
    <w:rsid w:val="003C5BA6"/>
    <w:rsid w:val="003C7E55"/>
    <w:rsid w:val="003D05AA"/>
    <w:rsid w:val="003D07E1"/>
    <w:rsid w:val="003D2AED"/>
    <w:rsid w:val="003D6451"/>
    <w:rsid w:val="003E171D"/>
    <w:rsid w:val="003F04EC"/>
    <w:rsid w:val="003F05EF"/>
    <w:rsid w:val="003F0E85"/>
    <w:rsid w:val="003F101A"/>
    <w:rsid w:val="003F39F7"/>
    <w:rsid w:val="003F3D9E"/>
    <w:rsid w:val="003F4C40"/>
    <w:rsid w:val="003F5E7C"/>
    <w:rsid w:val="003F5F47"/>
    <w:rsid w:val="004003CC"/>
    <w:rsid w:val="00400AF4"/>
    <w:rsid w:val="00400CC6"/>
    <w:rsid w:val="0040102F"/>
    <w:rsid w:val="00404CB5"/>
    <w:rsid w:val="00405251"/>
    <w:rsid w:val="00405430"/>
    <w:rsid w:val="0040607E"/>
    <w:rsid w:val="004067C2"/>
    <w:rsid w:val="00406C5A"/>
    <w:rsid w:val="00410B8C"/>
    <w:rsid w:val="00410C55"/>
    <w:rsid w:val="00411924"/>
    <w:rsid w:val="00412054"/>
    <w:rsid w:val="00414FBA"/>
    <w:rsid w:val="00415BBE"/>
    <w:rsid w:val="0041604D"/>
    <w:rsid w:val="00416854"/>
    <w:rsid w:val="00417725"/>
    <w:rsid w:val="0041779A"/>
    <w:rsid w:val="00417B99"/>
    <w:rsid w:val="00422023"/>
    <w:rsid w:val="004220B8"/>
    <w:rsid w:val="004243CB"/>
    <w:rsid w:val="004243EA"/>
    <w:rsid w:val="004246C0"/>
    <w:rsid w:val="004310D7"/>
    <w:rsid w:val="0043174C"/>
    <w:rsid w:val="004325B8"/>
    <w:rsid w:val="00432DAE"/>
    <w:rsid w:val="0043340F"/>
    <w:rsid w:val="004343D8"/>
    <w:rsid w:val="00435B54"/>
    <w:rsid w:val="004361B4"/>
    <w:rsid w:val="004363AA"/>
    <w:rsid w:val="00436497"/>
    <w:rsid w:val="00437F26"/>
    <w:rsid w:val="004403A4"/>
    <w:rsid w:val="00440FD2"/>
    <w:rsid w:val="00441E70"/>
    <w:rsid w:val="00444097"/>
    <w:rsid w:val="00444188"/>
    <w:rsid w:val="004446C0"/>
    <w:rsid w:val="004446CF"/>
    <w:rsid w:val="0044538E"/>
    <w:rsid w:val="00445487"/>
    <w:rsid w:val="00447B66"/>
    <w:rsid w:val="00454769"/>
    <w:rsid w:val="0045569D"/>
    <w:rsid w:val="00455900"/>
    <w:rsid w:val="00456D58"/>
    <w:rsid w:val="00456D8A"/>
    <w:rsid w:val="00457D65"/>
    <w:rsid w:val="0046026E"/>
    <w:rsid w:val="004604EE"/>
    <w:rsid w:val="00460DF6"/>
    <w:rsid w:val="00466441"/>
    <w:rsid w:val="00466991"/>
    <w:rsid w:val="00470485"/>
    <w:rsid w:val="0047064C"/>
    <w:rsid w:val="004720AB"/>
    <w:rsid w:val="00473188"/>
    <w:rsid w:val="00474B90"/>
    <w:rsid w:val="00474D90"/>
    <w:rsid w:val="004763FC"/>
    <w:rsid w:val="00476AE0"/>
    <w:rsid w:val="00477AFF"/>
    <w:rsid w:val="00480409"/>
    <w:rsid w:val="004819FD"/>
    <w:rsid w:val="00481F0B"/>
    <w:rsid w:val="0048442E"/>
    <w:rsid w:val="00484DB3"/>
    <w:rsid w:val="00484DCF"/>
    <w:rsid w:val="00485E6D"/>
    <w:rsid w:val="00486823"/>
    <w:rsid w:val="00492054"/>
    <w:rsid w:val="0049231F"/>
    <w:rsid w:val="00493485"/>
    <w:rsid w:val="004944FD"/>
    <w:rsid w:val="00495017"/>
    <w:rsid w:val="004951FF"/>
    <w:rsid w:val="004952CF"/>
    <w:rsid w:val="00495BFE"/>
    <w:rsid w:val="004A2180"/>
    <w:rsid w:val="004A27D1"/>
    <w:rsid w:val="004A3E46"/>
    <w:rsid w:val="004A42E1"/>
    <w:rsid w:val="004A480A"/>
    <w:rsid w:val="004A4EB4"/>
    <w:rsid w:val="004A4FCA"/>
    <w:rsid w:val="004A6D50"/>
    <w:rsid w:val="004B0C59"/>
    <w:rsid w:val="004B0F79"/>
    <w:rsid w:val="004B13BC"/>
    <w:rsid w:val="004B162C"/>
    <w:rsid w:val="004B27F2"/>
    <w:rsid w:val="004B3075"/>
    <w:rsid w:val="004B775F"/>
    <w:rsid w:val="004B7D17"/>
    <w:rsid w:val="004C16A6"/>
    <w:rsid w:val="004C19E4"/>
    <w:rsid w:val="004C1AB9"/>
    <w:rsid w:val="004C2F82"/>
    <w:rsid w:val="004C33EB"/>
    <w:rsid w:val="004C3435"/>
    <w:rsid w:val="004C3DBE"/>
    <w:rsid w:val="004C44B7"/>
    <w:rsid w:val="004C5C96"/>
    <w:rsid w:val="004C6B63"/>
    <w:rsid w:val="004D02A4"/>
    <w:rsid w:val="004D06A4"/>
    <w:rsid w:val="004D1D75"/>
    <w:rsid w:val="004D4A7B"/>
    <w:rsid w:val="004D5B5D"/>
    <w:rsid w:val="004D60EA"/>
    <w:rsid w:val="004D684E"/>
    <w:rsid w:val="004E2A5A"/>
    <w:rsid w:val="004E385D"/>
    <w:rsid w:val="004E3B8F"/>
    <w:rsid w:val="004E59D4"/>
    <w:rsid w:val="004E5F10"/>
    <w:rsid w:val="004E79AC"/>
    <w:rsid w:val="004F1A81"/>
    <w:rsid w:val="004F22F9"/>
    <w:rsid w:val="004F2FD9"/>
    <w:rsid w:val="004F5A52"/>
    <w:rsid w:val="004F6B61"/>
    <w:rsid w:val="004F7ED9"/>
    <w:rsid w:val="00502C0C"/>
    <w:rsid w:val="00505A88"/>
    <w:rsid w:val="00511095"/>
    <w:rsid w:val="00513A38"/>
    <w:rsid w:val="00515AAE"/>
    <w:rsid w:val="005170CA"/>
    <w:rsid w:val="005173B7"/>
    <w:rsid w:val="005178A7"/>
    <w:rsid w:val="005208CB"/>
    <w:rsid w:val="005215EB"/>
    <w:rsid w:val="005218D9"/>
    <w:rsid w:val="00522640"/>
    <w:rsid w:val="00523D16"/>
    <w:rsid w:val="00524F1A"/>
    <w:rsid w:val="005274C1"/>
    <w:rsid w:val="00530F76"/>
    <w:rsid w:val="00531DFB"/>
    <w:rsid w:val="00532935"/>
    <w:rsid w:val="00532E47"/>
    <w:rsid w:val="00533BC7"/>
    <w:rsid w:val="0053561F"/>
    <w:rsid w:val="005356EF"/>
    <w:rsid w:val="00535FF0"/>
    <w:rsid w:val="00536186"/>
    <w:rsid w:val="00536826"/>
    <w:rsid w:val="005435E6"/>
    <w:rsid w:val="00544CBB"/>
    <w:rsid w:val="00547ADA"/>
    <w:rsid w:val="005504FB"/>
    <w:rsid w:val="00550518"/>
    <w:rsid w:val="00552CD6"/>
    <w:rsid w:val="00555A39"/>
    <w:rsid w:val="00555F6A"/>
    <w:rsid w:val="005568FE"/>
    <w:rsid w:val="005573B5"/>
    <w:rsid w:val="00557936"/>
    <w:rsid w:val="005613A1"/>
    <w:rsid w:val="005617F1"/>
    <w:rsid w:val="00564034"/>
    <w:rsid w:val="0056412E"/>
    <w:rsid w:val="00565001"/>
    <w:rsid w:val="00567B93"/>
    <w:rsid w:val="0057030B"/>
    <w:rsid w:val="005726CA"/>
    <w:rsid w:val="0057315F"/>
    <w:rsid w:val="0057441A"/>
    <w:rsid w:val="00574E01"/>
    <w:rsid w:val="00575CB2"/>
    <w:rsid w:val="00575CB3"/>
    <w:rsid w:val="00575DF1"/>
    <w:rsid w:val="00576104"/>
    <w:rsid w:val="00576482"/>
    <w:rsid w:val="00577AEC"/>
    <w:rsid w:val="00577E0F"/>
    <w:rsid w:val="0058350D"/>
    <w:rsid w:val="0058715C"/>
    <w:rsid w:val="005909F3"/>
    <w:rsid w:val="0059176A"/>
    <w:rsid w:val="00591ECA"/>
    <w:rsid w:val="00591FDC"/>
    <w:rsid w:val="005920F1"/>
    <w:rsid w:val="00592FF4"/>
    <w:rsid w:val="005940BC"/>
    <w:rsid w:val="00594BA0"/>
    <w:rsid w:val="00596F3D"/>
    <w:rsid w:val="005A2545"/>
    <w:rsid w:val="005A41DD"/>
    <w:rsid w:val="005A451D"/>
    <w:rsid w:val="005A7325"/>
    <w:rsid w:val="005B185F"/>
    <w:rsid w:val="005B2BEA"/>
    <w:rsid w:val="005B35C7"/>
    <w:rsid w:val="005B44EE"/>
    <w:rsid w:val="005B485F"/>
    <w:rsid w:val="005B4B51"/>
    <w:rsid w:val="005B5EAC"/>
    <w:rsid w:val="005B7161"/>
    <w:rsid w:val="005B7493"/>
    <w:rsid w:val="005C1B23"/>
    <w:rsid w:val="005C1D60"/>
    <w:rsid w:val="005C4F3E"/>
    <w:rsid w:val="005C67C8"/>
    <w:rsid w:val="005D0249"/>
    <w:rsid w:val="005D23A3"/>
    <w:rsid w:val="005D278F"/>
    <w:rsid w:val="005D2EA4"/>
    <w:rsid w:val="005D320A"/>
    <w:rsid w:val="005D46C0"/>
    <w:rsid w:val="005D655E"/>
    <w:rsid w:val="005D6E8C"/>
    <w:rsid w:val="005E3DAD"/>
    <w:rsid w:val="005E51C1"/>
    <w:rsid w:val="005E7308"/>
    <w:rsid w:val="005F100C"/>
    <w:rsid w:val="005F1541"/>
    <w:rsid w:val="005F17F9"/>
    <w:rsid w:val="005F403F"/>
    <w:rsid w:val="005F42A5"/>
    <w:rsid w:val="005F68DA"/>
    <w:rsid w:val="005F6B34"/>
    <w:rsid w:val="005F73DD"/>
    <w:rsid w:val="005F75E6"/>
    <w:rsid w:val="005F7BFC"/>
    <w:rsid w:val="006014DD"/>
    <w:rsid w:val="00604D1D"/>
    <w:rsid w:val="0060773B"/>
    <w:rsid w:val="00607D94"/>
    <w:rsid w:val="0061106B"/>
    <w:rsid w:val="00611A8D"/>
    <w:rsid w:val="006120BC"/>
    <w:rsid w:val="006157B5"/>
    <w:rsid w:val="00615D81"/>
    <w:rsid w:val="006168A4"/>
    <w:rsid w:val="00617F59"/>
    <w:rsid w:val="006214BB"/>
    <w:rsid w:val="00626FC6"/>
    <w:rsid w:val="006303B4"/>
    <w:rsid w:val="00630A58"/>
    <w:rsid w:val="00630F6D"/>
    <w:rsid w:val="006325D5"/>
    <w:rsid w:val="006329EF"/>
    <w:rsid w:val="00633318"/>
    <w:rsid w:val="00633CEB"/>
    <w:rsid w:val="00633D3D"/>
    <w:rsid w:val="00633F3A"/>
    <w:rsid w:val="0063411C"/>
    <w:rsid w:val="0063457E"/>
    <w:rsid w:val="00636CC4"/>
    <w:rsid w:val="00637BA0"/>
    <w:rsid w:val="00637D31"/>
    <w:rsid w:val="00641703"/>
    <w:rsid w:val="0064308A"/>
    <w:rsid w:val="006431A6"/>
    <w:rsid w:val="006454D4"/>
    <w:rsid w:val="006459F6"/>
    <w:rsid w:val="00646564"/>
    <w:rsid w:val="0064682D"/>
    <w:rsid w:val="00647CC1"/>
    <w:rsid w:val="006501AD"/>
    <w:rsid w:val="006510FD"/>
    <w:rsid w:val="006519E9"/>
    <w:rsid w:val="00651BFA"/>
    <w:rsid w:val="00651FAB"/>
    <w:rsid w:val="00652676"/>
    <w:rsid w:val="0065322F"/>
    <w:rsid w:val="006533B3"/>
    <w:rsid w:val="00653BE3"/>
    <w:rsid w:val="006541A0"/>
    <w:rsid w:val="00660901"/>
    <w:rsid w:val="00661589"/>
    <w:rsid w:val="00662078"/>
    <w:rsid w:val="00663462"/>
    <w:rsid w:val="00663A80"/>
    <w:rsid w:val="00664EBA"/>
    <w:rsid w:val="00665A4B"/>
    <w:rsid w:val="006661BB"/>
    <w:rsid w:val="006663BB"/>
    <w:rsid w:val="00666EBD"/>
    <w:rsid w:val="0066740F"/>
    <w:rsid w:val="00667DE4"/>
    <w:rsid w:val="006705B1"/>
    <w:rsid w:val="00670ABC"/>
    <w:rsid w:val="00670F88"/>
    <w:rsid w:val="006731FE"/>
    <w:rsid w:val="006762B2"/>
    <w:rsid w:val="006768F8"/>
    <w:rsid w:val="00676916"/>
    <w:rsid w:val="00676AF6"/>
    <w:rsid w:val="00676F93"/>
    <w:rsid w:val="00677DD8"/>
    <w:rsid w:val="00677FD4"/>
    <w:rsid w:val="006808C6"/>
    <w:rsid w:val="00681AF5"/>
    <w:rsid w:val="006834FC"/>
    <w:rsid w:val="00683F82"/>
    <w:rsid w:val="00684298"/>
    <w:rsid w:val="006877C1"/>
    <w:rsid w:val="0069026D"/>
    <w:rsid w:val="00690AC7"/>
    <w:rsid w:val="00691DAE"/>
    <w:rsid w:val="0069208B"/>
    <w:rsid w:val="00692E2A"/>
    <w:rsid w:val="00693356"/>
    <w:rsid w:val="00694317"/>
    <w:rsid w:val="00695343"/>
    <w:rsid w:val="006A14F8"/>
    <w:rsid w:val="006A1E0B"/>
    <w:rsid w:val="006A2ABA"/>
    <w:rsid w:val="006A3C9B"/>
    <w:rsid w:val="006A3F90"/>
    <w:rsid w:val="006A5A6F"/>
    <w:rsid w:val="006A5A71"/>
    <w:rsid w:val="006A76F2"/>
    <w:rsid w:val="006B3263"/>
    <w:rsid w:val="006B454A"/>
    <w:rsid w:val="006B7083"/>
    <w:rsid w:val="006C1440"/>
    <w:rsid w:val="006C15F4"/>
    <w:rsid w:val="006C1F12"/>
    <w:rsid w:val="006C24BC"/>
    <w:rsid w:val="006C3865"/>
    <w:rsid w:val="006C3DDA"/>
    <w:rsid w:val="006C418A"/>
    <w:rsid w:val="006C42C1"/>
    <w:rsid w:val="006C5EAA"/>
    <w:rsid w:val="006D0477"/>
    <w:rsid w:val="006D2347"/>
    <w:rsid w:val="006D237C"/>
    <w:rsid w:val="006D3277"/>
    <w:rsid w:val="006D4089"/>
    <w:rsid w:val="006D6AA2"/>
    <w:rsid w:val="006D6D6A"/>
    <w:rsid w:val="006D7773"/>
    <w:rsid w:val="006D7EFB"/>
    <w:rsid w:val="006E3E73"/>
    <w:rsid w:val="006E6591"/>
    <w:rsid w:val="006E6672"/>
    <w:rsid w:val="006E6722"/>
    <w:rsid w:val="006F10F1"/>
    <w:rsid w:val="006F4CE0"/>
    <w:rsid w:val="006F57F2"/>
    <w:rsid w:val="006F6068"/>
    <w:rsid w:val="00701F2A"/>
    <w:rsid w:val="007027B9"/>
    <w:rsid w:val="00702AAE"/>
    <w:rsid w:val="00705345"/>
    <w:rsid w:val="00705F38"/>
    <w:rsid w:val="00712875"/>
    <w:rsid w:val="00713424"/>
    <w:rsid w:val="007136EB"/>
    <w:rsid w:val="00713D8F"/>
    <w:rsid w:val="00714586"/>
    <w:rsid w:val="0071460D"/>
    <w:rsid w:val="00715E88"/>
    <w:rsid w:val="00721A1A"/>
    <w:rsid w:val="007225B3"/>
    <w:rsid w:val="0072282F"/>
    <w:rsid w:val="0072508B"/>
    <w:rsid w:val="00730B01"/>
    <w:rsid w:val="00730E74"/>
    <w:rsid w:val="00732257"/>
    <w:rsid w:val="007347C8"/>
    <w:rsid w:val="00734CAA"/>
    <w:rsid w:val="00735DAF"/>
    <w:rsid w:val="00736583"/>
    <w:rsid w:val="00742A25"/>
    <w:rsid w:val="0074401A"/>
    <w:rsid w:val="00744A72"/>
    <w:rsid w:val="00744CF6"/>
    <w:rsid w:val="00747C01"/>
    <w:rsid w:val="00747FB5"/>
    <w:rsid w:val="00750B13"/>
    <w:rsid w:val="00750FFD"/>
    <w:rsid w:val="007538A5"/>
    <w:rsid w:val="0075473A"/>
    <w:rsid w:val="00754C8B"/>
    <w:rsid w:val="00755106"/>
    <w:rsid w:val="0075533C"/>
    <w:rsid w:val="00755D61"/>
    <w:rsid w:val="00755DA9"/>
    <w:rsid w:val="0075715D"/>
    <w:rsid w:val="00757581"/>
    <w:rsid w:val="00757C2B"/>
    <w:rsid w:val="007604C3"/>
    <w:rsid w:val="007611A0"/>
    <w:rsid w:val="007658A0"/>
    <w:rsid w:val="0076685B"/>
    <w:rsid w:val="00771992"/>
    <w:rsid w:val="00776242"/>
    <w:rsid w:val="00780A49"/>
    <w:rsid w:val="007836F4"/>
    <w:rsid w:val="00783907"/>
    <w:rsid w:val="00783B18"/>
    <w:rsid w:val="00785376"/>
    <w:rsid w:val="00787637"/>
    <w:rsid w:val="007900C2"/>
    <w:rsid w:val="007903A0"/>
    <w:rsid w:val="00790DF9"/>
    <w:rsid w:val="007932FB"/>
    <w:rsid w:val="0079470B"/>
    <w:rsid w:val="0079660F"/>
    <w:rsid w:val="0079689C"/>
    <w:rsid w:val="00796D3F"/>
    <w:rsid w:val="0079748D"/>
    <w:rsid w:val="007A1303"/>
    <w:rsid w:val="007A1683"/>
    <w:rsid w:val="007A34EC"/>
    <w:rsid w:val="007A3666"/>
    <w:rsid w:val="007A36F8"/>
    <w:rsid w:val="007A5C12"/>
    <w:rsid w:val="007A6D6B"/>
    <w:rsid w:val="007A7CB0"/>
    <w:rsid w:val="007B11D9"/>
    <w:rsid w:val="007B1E7D"/>
    <w:rsid w:val="007B38D8"/>
    <w:rsid w:val="007B68A3"/>
    <w:rsid w:val="007C0C75"/>
    <w:rsid w:val="007C205B"/>
    <w:rsid w:val="007C2541"/>
    <w:rsid w:val="007C25A2"/>
    <w:rsid w:val="007C29EE"/>
    <w:rsid w:val="007C303E"/>
    <w:rsid w:val="007C458D"/>
    <w:rsid w:val="007C54DC"/>
    <w:rsid w:val="007C79E7"/>
    <w:rsid w:val="007D4B0C"/>
    <w:rsid w:val="007D6288"/>
    <w:rsid w:val="007D66A8"/>
    <w:rsid w:val="007D6FB1"/>
    <w:rsid w:val="007D71BF"/>
    <w:rsid w:val="007D773D"/>
    <w:rsid w:val="007E003F"/>
    <w:rsid w:val="007E3DFC"/>
    <w:rsid w:val="007E4996"/>
    <w:rsid w:val="007E4BB9"/>
    <w:rsid w:val="007E7479"/>
    <w:rsid w:val="007E7A3A"/>
    <w:rsid w:val="007F0691"/>
    <w:rsid w:val="007F259A"/>
    <w:rsid w:val="007F33B0"/>
    <w:rsid w:val="007F4F7F"/>
    <w:rsid w:val="007F57BD"/>
    <w:rsid w:val="007F5BF5"/>
    <w:rsid w:val="007F5D4D"/>
    <w:rsid w:val="007F5E9D"/>
    <w:rsid w:val="007F6934"/>
    <w:rsid w:val="00802E72"/>
    <w:rsid w:val="00805F1D"/>
    <w:rsid w:val="0080622E"/>
    <w:rsid w:val="00811C45"/>
    <w:rsid w:val="0081617A"/>
    <w:rsid w:val="008164F2"/>
    <w:rsid w:val="00817192"/>
    <w:rsid w:val="00817B33"/>
    <w:rsid w:val="00817CBB"/>
    <w:rsid w:val="00820CBD"/>
    <w:rsid w:val="00820CF3"/>
    <w:rsid w:val="00821395"/>
    <w:rsid w:val="0082201A"/>
    <w:rsid w:val="00822074"/>
    <w:rsid w:val="00823787"/>
    <w:rsid w:val="00823B9B"/>
    <w:rsid w:val="00826E06"/>
    <w:rsid w:val="0082713C"/>
    <w:rsid w:val="00827B45"/>
    <w:rsid w:val="00830E26"/>
    <w:rsid w:val="0083449C"/>
    <w:rsid w:val="00836849"/>
    <w:rsid w:val="00843576"/>
    <w:rsid w:val="0084392B"/>
    <w:rsid w:val="00843A1C"/>
    <w:rsid w:val="00843B64"/>
    <w:rsid w:val="00843BAD"/>
    <w:rsid w:val="00843D22"/>
    <w:rsid w:val="00844853"/>
    <w:rsid w:val="00844C7B"/>
    <w:rsid w:val="0084585D"/>
    <w:rsid w:val="00846949"/>
    <w:rsid w:val="008470BD"/>
    <w:rsid w:val="008478FC"/>
    <w:rsid w:val="0085204E"/>
    <w:rsid w:val="008522DF"/>
    <w:rsid w:val="008525D6"/>
    <w:rsid w:val="008549A8"/>
    <w:rsid w:val="00855878"/>
    <w:rsid w:val="00855B82"/>
    <w:rsid w:val="0086649A"/>
    <w:rsid w:val="00867BFF"/>
    <w:rsid w:val="008705E6"/>
    <w:rsid w:val="008740D7"/>
    <w:rsid w:val="00874756"/>
    <w:rsid w:val="00874F47"/>
    <w:rsid w:val="008762CE"/>
    <w:rsid w:val="008772D4"/>
    <w:rsid w:val="00881751"/>
    <w:rsid w:val="00881E7C"/>
    <w:rsid w:val="00882F71"/>
    <w:rsid w:val="0088480A"/>
    <w:rsid w:val="00885C04"/>
    <w:rsid w:val="0088757A"/>
    <w:rsid w:val="008911A3"/>
    <w:rsid w:val="008913BE"/>
    <w:rsid w:val="00891438"/>
    <w:rsid w:val="00892463"/>
    <w:rsid w:val="00892924"/>
    <w:rsid w:val="008957DD"/>
    <w:rsid w:val="008979C2"/>
    <w:rsid w:val="00897D98"/>
    <w:rsid w:val="008A1849"/>
    <w:rsid w:val="008A26B4"/>
    <w:rsid w:val="008A2B9A"/>
    <w:rsid w:val="008A3FA6"/>
    <w:rsid w:val="008A6223"/>
    <w:rsid w:val="008A6815"/>
    <w:rsid w:val="008A6CE8"/>
    <w:rsid w:val="008A6DF2"/>
    <w:rsid w:val="008A7807"/>
    <w:rsid w:val="008B069D"/>
    <w:rsid w:val="008B0D6B"/>
    <w:rsid w:val="008B0F17"/>
    <w:rsid w:val="008B1774"/>
    <w:rsid w:val="008B1FFA"/>
    <w:rsid w:val="008B3832"/>
    <w:rsid w:val="008B3FF3"/>
    <w:rsid w:val="008B4CC9"/>
    <w:rsid w:val="008B7BB7"/>
    <w:rsid w:val="008C0D5F"/>
    <w:rsid w:val="008C13F0"/>
    <w:rsid w:val="008C1B8B"/>
    <w:rsid w:val="008C1C63"/>
    <w:rsid w:val="008C22E8"/>
    <w:rsid w:val="008C30B4"/>
    <w:rsid w:val="008C3239"/>
    <w:rsid w:val="008C7813"/>
    <w:rsid w:val="008C7A27"/>
    <w:rsid w:val="008C7DBB"/>
    <w:rsid w:val="008D20A1"/>
    <w:rsid w:val="008D2DAF"/>
    <w:rsid w:val="008D3AE0"/>
    <w:rsid w:val="008D444B"/>
    <w:rsid w:val="008D7C99"/>
    <w:rsid w:val="008E0FCB"/>
    <w:rsid w:val="008E218E"/>
    <w:rsid w:val="008E4ADA"/>
    <w:rsid w:val="008E6220"/>
    <w:rsid w:val="008E6B3F"/>
    <w:rsid w:val="008F0CEB"/>
    <w:rsid w:val="008F1771"/>
    <w:rsid w:val="008F3BA3"/>
    <w:rsid w:val="008F3E3C"/>
    <w:rsid w:val="008F46AB"/>
    <w:rsid w:val="008F56C7"/>
    <w:rsid w:val="009046CB"/>
    <w:rsid w:val="00907531"/>
    <w:rsid w:val="00907D78"/>
    <w:rsid w:val="00911E29"/>
    <w:rsid w:val="00916C11"/>
    <w:rsid w:val="00917C1A"/>
    <w:rsid w:val="00917C66"/>
    <w:rsid w:val="0092078E"/>
    <w:rsid w:val="0092178C"/>
    <w:rsid w:val="00921B83"/>
    <w:rsid w:val="009220D7"/>
    <w:rsid w:val="00923EA3"/>
    <w:rsid w:val="00923FD9"/>
    <w:rsid w:val="0092433D"/>
    <w:rsid w:val="0092493F"/>
    <w:rsid w:val="00925FB4"/>
    <w:rsid w:val="009262F1"/>
    <w:rsid w:val="009269E8"/>
    <w:rsid w:val="00926A33"/>
    <w:rsid w:val="00930140"/>
    <w:rsid w:val="00930B88"/>
    <w:rsid w:val="0093558B"/>
    <w:rsid w:val="009378DC"/>
    <w:rsid w:val="009403A8"/>
    <w:rsid w:val="00940DCC"/>
    <w:rsid w:val="00940FE8"/>
    <w:rsid w:val="00941698"/>
    <w:rsid w:val="0094179A"/>
    <w:rsid w:val="0094284D"/>
    <w:rsid w:val="0094459E"/>
    <w:rsid w:val="00944DBC"/>
    <w:rsid w:val="00946536"/>
    <w:rsid w:val="009469F7"/>
    <w:rsid w:val="009502D3"/>
    <w:rsid w:val="00950977"/>
    <w:rsid w:val="00950BF9"/>
    <w:rsid w:val="00951A7B"/>
    <w:rsid w:val="00954775"/>
    <w:rsid w:val="00956451"/>
    <w:rsid w:val="009564A6"/>
    <w:rsid w:val="009565B6"/>
    <w:rsid w:val="009602B1"/>
    <w:rsid w:val="009602D4"/>
    <w:rsid w:val="00961528"/>
    <w:rsid w:val="00961A1F"/>
    <w:rsid w:val="00961A33"/>
    <w:rsid w:val="009628B9"/>
    <w:rsid w:val="0096418E"/>
    <w:rsid w:val="00965B4E"/>
    <w:rsid w:val="0096638A"/>
    <w:rsid w:val="00967621"/>
    <w:rsid w:val="00967E6A"/>
    <w:rsid w:val="009701E2"/>
    <w:rsid w:val="00970509"/>
    <w:rsid w:val="00971C09"/>
    <w:rsid w:val="00972BC4"/>
    <w:rsid w:val="00973BC1"/>
    <w:rsid w:val="00973FCC"/>
    <w:rsid w:val="009748B2"/>
    <w:rsid w:val="00976C20"/>
    <w:rsid w:val="0097792B"/>
    <w:rsid w:val="00977C49"/>
    <w:rsid w:val="00980155"/>
    <w:rsid w:val="00980797"/>
    <w:rsid w:val="00981FDA"/>
    <w:rsid w:val="009848C2"/>
    <w:rsid w:val="009849E8"/>
    <w:rsid w:val="00986368"/>
    <w:rsid w:val="00986E67"/>
    <w:rsid w:val="0099230B"/>
    <w:rsid w:val="00992D73"/>
    <w:rsid w:val="009935AC"/>
    <w:rsid w:val="009940F9"/>
    <w:rsid w:val="00995FBB"/>
    <w:rsid w:val="009A08F3"/>
    <w:rsid w:val="009A0BCC"/>
    <w:rsid w:val="009A1255"/>
    <w:rsid w:val="009A255D"/>
    <w:rsid w:val="009A26A1"/>
    <w:rsid w:val="009A3E29"/>
    <w:rsid w:val="009A4BA3"/>
    <w:rsid w:val="009A5799"/>
    <w:rsid w:val="009A5A40"/>
    <w:rsid w:val="009A6054"/>
    <w:rsid w:val="009B0131"/>
    <w:rsid w:val="009B1B15"/>
    <w:rsid w:val="009B41C1"/>
    <w:rsid w:val="009B4A0F"/>
    <w:rsid w:val="009B56D9"/>
    <w:rsid w:val="009B61DF"/>
    <w:rsid w:val="009C0397"/>
    <w:rsid w:val="009C0FEC"/>
    <w:rsid w:val="009C11D2"/>
    <w:rsid w:val="009C13ED"/>
    <w:rsid w:val="009C1631"/>
    <w:rsid w:val="009C1B41"/>
    <w:rsid w:val="009C3BFE"/>
    <w:rsid w:val="009C6C70"/>
    <w:rsid w:val="009C7F28"/>
    <w:rsid w:val="009D0922"/>
    <w:rsid w:val="009D0B63"/>
    <w:rsid w:val="009D541F"/>
    <w:rsid w:val="009D580D"/>
    <w:rsid w:val="009D6629"/>
    <w:rsid w:val="009D7818"/>
    <w:rsid w:val="009E1A50"/>
    <w:rsid w:val="009E307E"/>
    <w:rsid w:val="009E47E3"/>
    <w:rsid w:val="009E6653"/>
    <w:rsid w:val="009F21F7"/>
    <w:rsid w:val="009F50F7"/>
    <w:rsid w:val="009F6CC1"/>
    <w:rsid w:val="009F7857"/>
    <w:rsid w:val="00A014CE"/>
    <w:rsid w:val="00A03A4A"/>
    <w:rsid w:val="00A04F45"/>
    <w:rsid w:val="00A068FD"/>
    <w:rsid w:val="00A06E8E"/>
    <w:rsid w:val="00A07870"/>
    <w:rsid w:val="00A07F19"/>
    <w:rsid w:val="00A11493"/>
    <w:rsid w:val="00A1348D"/>
    <w:rsid w:val="00A142D1"/>
    <w:rsid w:val="00A14382"/>
    <w:rsid w:val="00A1489E"/>
    <w:rsid w:val="00A15595"/>
    <w:rsid w:val="00A179C4"/>
    <w:rsid w:val="00A2165F"/>
    <w:rsid w:val="00A22A7A"/>
    <w:rsid w:val="00A232EE"/>
    <w:rsid w:val="00A25028"/>
    <w:rsid w:val="00A307D5"/>
    <w:rsid w:val="00A311B6"/>
    <w:rsid w:val="00A31394"/>
    <w:rsid w:val="00A3151F"/>
    <w:rsid w:val="00A331C1"/>
    <w:rsid w:val="00A4058A"/>
    <w:rsid w:val="00A4175F"/>
    <w:rsid w:val="00A4398A"/>
    <w:rsid w:val="00A44411"/>
    <w:rsid w:val="00A469FA"/>
    <w:rsid w:val="00A47789"/>
    <w:rsid w:val="00A503F2"/>
    <w:rsid w:val="00A50E94"/>
    <w:rsid w:val="00A51278"/>
    <w:rsid w:val="00A535DA"/>
    <w:rsid w:val="00A55B01"/>
    <w:rsid w:val="00A55C4A"/>
    <w:rsid w:val="00A56B5B"/>
    <w:rsid w:val="00A575A5"/>
    <w:rsid w:val="00A603FF"/>
    <w:rsid w:val="00A60545"/>
    <w:rsid w:val="00A6095B"/>
    <w:rsid w:val="00A61116"/>
    <w:rsid w:val="00A63B40"/>
    <w:rsid w:val="00A657DD"/>
    <w:rsid w:val="00A65F6C"/>
    <w:rsid w:val="00A661E7"/>
    <w:rsid w:val="00A666A6"/>
    <w:rsid w:val="00A675FD"/>
    <w:rsid w:val="00A67F40"/>
    <w:rsid w:val="00A70BAD"/>
    <w:rsid w:val="00A718C7"/>
    <w:rsid w:val="00A72437"/>
    <w:rsid w:val="00A72BC4"/>
    <w:rsid w:val="00A73AC6"/>
    <w:rsid w:val="00A769DD"/>
    <w:rsid w:val="00A80611"/>
    <w:rsid w:val="00A831FC"/>
    <w:rsid w:val="00A84A35"/>
    <w:rsid w:val="00A84B15"/>
    <w:rsid w:val="00A87016"/>
    <w:rsid w:val="00A90A63"/>
    <w:rsid w:val="00A91798"/>
    <w:rsid w:val="00A929D0"/>
    <w:rsid w:val="00A92EBB"/>
    <w:rsid w:val="00A95F4F"/>
    <w:rsid w:val="00AA1269"/>
    <w:rsid w:val="00AA45A4"/>
    <w:rsid w:val="00AA4C7C"/>
    <w:rsid w:val="00AB01E7"/>
    <w:rsid w:val="00AB1825"/>
    <w:rsid w:val="00AB1F69"/>
    <w:rsid w:val="00AB30F5"/>
    <w:rsid w:val="00AB47F8"/>
    <w:rsid w:val="00AB5340"/>
    <w:rsid w:val="00AB54BB"/>
    <w:rsid w:val="00AB7002"/>
    <w:rsid w:val="00AC010E"/>
    <w:rsid w:val="00AC01CC"/>
    <w:rsid w:val="00AC04F9"/>
    <w:rsid w:val="00AC16B8"/>
    <w:rsid w:val="00AC405E"/>
    <w:rsid w:val="00AC4542"/>
    <w:rsid w:val="00AC51AE"/>
    <w:rsid w:val="00AC7C96"/>
    <w:rsid w:val="00AD0D8E"/>
    <w:rsid w:val="00AD1807"/>
    <w:rsid w:val="00AD1E60"/>
    <w:rsid w:val="00AD209B"/>
    <w:rsid w:val="00AD2C87"/>
    <w:rsid w:val="00AD3476"/>
    <w:rsid w:val="00AD5280"/>
    <w:rsid w:val="00AD66A4"/>
    <w:rsid w:val="00AD711D"/>
    <w:rsid w:val="00AE0D49"/>
    <w:rsid w:val="00AE1A49"/>
    <w:rsid w:val="00AE237D"/>
    <w:rsid w:val="00AE2638"/>
    <w:rsid w:val="00AE2A3D"/>
    <w:rsid w:val="00AE2C21"/>
    <w:rsid w:val="00AE502A"/>
    <w:rsid w:val="00AE5921"/>
    <w:rsid w:val="00AF0CA7"/>
    <w:rsid w:val="00AF0D5D"/>
    <w:rsid w:val="00AF0DF7"/>
    <w:rsid w:val="00AF2049"/>
    <w:rsid w:val="00AF232B"/>
    <w:rsid w:val="00AF39EE"/>
    <w:rsid w:val="00AF459F"/>
    <w:rsid w:val="00AF4967"/>
    <w:rsid w:val="00AF66F8"/>
    <w:rsid w:val="00AF71A6"/>
    <w:rsid w:val="00AF765E"/>
    <w:rsid w:val="00AF7664"/>
    <w:rsid w:val="00AF7C07"/>
    <w:rsid w:val="00B054ED"/>
    <w:rsid w:val="00B06737"/>
    <w:rsid w:val="00B07F5A"/>
    <w:rsid w:val="00B11D6A"/>
    <w:rsid w:val="00B12E53"/>
    <w:rsid w:val="00B14A06"/>
    <w:rsid w:val="00B1725E"/>
    <w:rsid w:val="00B2128C"/>
    <w:rsid w:val="00B218ED"/>
    <w:rsid w:val="00B21A41"/>
    <w:rsid w:val="00B2288E"/>
    <w:rsid w:val="00B22C93"/>
    <w:rsid w:val="00B24C28"/>
    <w:rsid w:val="00B24DC2"/>
    <w:rsid w:val="00B25692"/>
    <w:rsid w:val="00B25F8C"/>
    <w:rsid w:val="00B26692"/>
    <w:rsid w:val="00B27589"/>
    <w:rsid w:val="00B30BE4"/>
    <w:rsid w:val="00B31300"/>
    <w:rsid w:val="00B31D7B"/>
    <w:rsid w:val="00B322F4"/>
    <w:rsid w:val="00B330FC"/>
    <w:rsid w:val="00B354A4"/>
    <w:rsid w:val="00B35922"/>
    <w:rsid w:val="00B35BF5"/>
    <w:rsid w:val="00B363FF"/>
    <w:rsid w:val="00B37035"/>
    <w:rsid w:val="00B37EF9"/>
    <w:rsid w:val="00B405B7"/>
    <w:rsid w:val="00B4180F"/>
    <w:rsid w:val="00B43DFD"/>
    <w:rsid w:val="00B448C5"/>
    <w:rsid w:val="00B44935"/>
    <w:rsid w:val="00B453D6"/>
    <w:rsid w:val="00B45613"/>
    <w:rsid w:val="00B45E6D"/>
    <w:rsid w:val="00B460C5"/>
    <w:rsid w:val="00B46926"/>
    <w:rsid w:val="00B47790"/>
    <w:rsid w:val="00B503D9"/>
    <w:rsid w:val="00B50BA6"/>
    <w:rsid w:val="00B520D9"/>
    <w:rsid w:val="00B52222"/>
    <w:rsid w:val="00B523A2"/>
    <w:rsid w:val="00B54FE7"/>
    <w:rsid w:val="00B5795F"/>
    <w:rsid w:val="00B57C47"/>
    <w:rsid w:val="00B57D56"/>
    <w:rsid w:val="00B601BE"/>
    <w:rsid w:val="00B6256E"/>
    <w:rsid w:val="00B653D9"/>
    <w:rsid w:val="00B66540"/>
    <w:rsid w:val="00B66901"/>
    <w:rsid w:val="00B7056C"/>
    <w:rsid w:val="00B7089E"/>
    <w:rsid w:val="00B71E6D"/>
    <w:rsid w:val="00B72070"/>
    <w:rsid w:val="00B73096"/>
    <w:rsid w:val="00B747B0"/>
    <w:rsid w:val="00B755BE"/>
    <w:rsid w:val="00B76042"/>
    <w:rsid w:val="00B779E1"/>
    <w:rsid w:val="00B77C2A"/>
    <w:rsid w:val="00B808FC"/>
    <w:rsid w:val="00B81CAF"/>
    <w:rsid w:val="00B83120"/>
    <w:rsid w:val="00B83B4C"/>
    <w:rsid w:val="00B8418C"/>
    <w:rsid w:val="00B843BB"/>
    <w:rsid w:val="00B8583A"/>
    <w:rsid w:val="00B859A3"/>
    <w:rsid w:val="00B8645F"/>
    <w:rsid w:val="00B9025B"/>
    <w:rsid w:val="00B90693"/>
    <w:rsid w:val="00B913DF"/>
    <w:rsid w:val="00B91AE6"/>
    <w:rsid w:val="00B91EE1"/>
    <w:rsid w:val="00B93154"/>
    <w:rsid w:val="00B93E8B"/>
    <w:rsid w:val="00B9460E"/>
    <w:rsid w:val="00B958A7"/>
    <w:rsid w:val="00B95B01"/>
    <w:rsid w:val="00B95FF2"/>
    <w:rsid w:val="00B9767B"/>
    <w:rsid w:val="00BA0090"/>
    <w:rsid w:val="00BA01C6"/>
    <w:rsid w:val="00BA1A67"/>
    <w:rsid w:val="00BA30ED"/>
    <w:rsid w:val="00BA4891"/>
    <w:rsid w:val="00BA4A04"/>
    <w:rsid w:val="00BA7015"/>
    <w:rsid w:val="00BA77CA"/>
    <w:rsid w:val="00BA77FF"/>
    <w:rsid w:val="00BB106C"/>
    <w:rsid w:val="00BB2A94"/>
    <w:rsid w:val="00BB3BB5"/>
    <w:rsid w:val="00BB42A7"/>
    <w:rsid w:val="00BB44DD"/>
    <w:rsid w:val="00BB49DE"/>
    <w:rsid w:val="00BB4B66"/>
    <w:rsid w:val="00BB6883"/>
    <w:rsid w:val="00BC07FE"/>
    <w:rsid w:val="00BC30D7"/>
    <w:rsid w:val="00BC354E"/>
    <w:rsid w:val="00BC41D8"/>
    <w:rsid w:val="00BC558B"/>
    <w:rsid w:val="00BC5CC9"/>
    <w:rsid w:val="00BD0163"/>
    <w:rsid w:val="00BD159E"/>
    <w:rsid w:val="00BD19B7"/>
    <w:rsid w:val="00BD3120"/>
    <w:rsid w:val="00BD4006"/>
    <w:rsid w:val="00BD51D0"/>
    <w:rsid w:val="00BD67B1"/>
    <w:rsid w:val="00BD7424"/>
    <w:rsid w:val="00BE078E"/>
    <w:rsid w:val="00BE1B16"/>
    <w:rsid w:val="00BE3F69"/>
    <w:rsid w:val="00BE4664"/>
    <w:rsid w:val="00BE5B5F"/>
    <w:rsid w:val="00BE726F"/>
    <w:rsid w:val="00BF2651"/>
    <w:rsid w:val="00BF3655"/>
    <w:rsid w:val="00BF7908"/>
    <w:rsid w:val="00C0033D"/>
    <w:rsid w:val="00C004D5"/>
    <w:rsid w:val="00C0095E"/>
    <w:rsid w:val="00C009B1"/>
    <w:rsid w:val="00C0216F"/>
    <w:rsid w:val="00C022F9"/>
    <w:rsid w:val="00C025F1"/>
    <w:rsid w:val="00C053B0"/>
    <w:rsid w:val="00C07EA3"/>
    <w:rsid w:val="00C119F2"/>
    <w:rsid w:val="00C149BC"/>
    <w:rsid w:val="00C211B3"/>
    <w:rsid w:val="00C221CE"/>
    <w:rsid w:val="00C24175"/>
    <w:rsid w:val="00C24552"/>
    <w:rsid w:val="00C246F4"/>
    <w:rsid w:val="00C2560D"/>
    <w:rsid w:val="00C264F3"/>
    <w:rsid w:val="00C26F55"/>
    <w:rsid w:val="00C30C63"/>
    <w:rsid w:val="00C31AC6"/>
    <w:rsid w:val="00C326B7"/>
    <w:rsid w:val="00C32B37"/>
    <w:rsid w:val="00C35611"/>
    <w:rsid w:val="00C36B8B"/>
    <w:rsid w:val="00C40251"/>
    <w:rsid w:val="00C40737"/>
    <w:rsid w:val="00C421D0"/>
    <w:rsid w:val="00C4381D"/>
    <w:rsid w:val="00C44A21"/>
    <w:rsid w:val="00C46554"/>
    <w:rsid w:val="00C46C08"/>
    <w:rsid w:val="00C47B52"/>
    <w:rsid w:val="00C47DBF"/>
    <w:rsid w:val="00C47E44"/>
    <w:rsid w:val="00C511C8"/>
    <w:rsid w:val="00C53666"/>
    <w:rsid w:val="00C538B4"/>
    <w:rsid w:val="00C552FF"/>
    <w:rsid w:val="00C558DA"/>
    <w:rsid w:val="00C55AF3"/>
    <w:rsid w:val="00C60713"/>
    <w:rsid w:val="00C61AAC"/>
    <w:rsid w:val="00C61C47"/>
    <w:rsid w:val="00C624C0"/>
    <w:rsid w:val="00C648F7"/>
    <w:rsid w:val="00C66207"/>
    <w:rsid w:val="00C668EE"/>
    <w:rsid w:val="00C66A9A"/>
    <w:rsid w:val="00C70B49"/>
    <w:rsid w:val="00C70F5A"/>
    <w:rsid w:val="00C7306B"/>
    <w:rsid w:val="00C74E64"/>
    <w:rsid w:val="00C75C7C"/>
    <w:rsid w:val="00C76E47"/>
    <w:rsid w:val="00C8099A"/>
    <w:rsid w:val="00C81462"/>
    <w:rsid w:val="00C81951"/>
    <w:rsid w:val="00C82E61"/>
    <w:rsid w:val="00C8338A"/>
    <w:rsid w:val="00C838F6"/>
    <w:rsid w:val="00C83A8F"/>
    <w:rsid w:val="00C84759"/>
    <w:rsid w:val="00C854D5"/>
    <w:rsid w:val="00C869E3"/>
    <w:rsid w:val="00C875A7"/>
    <w:rsid w:val="00C915D7"/>
    <w:rsid w:val="00C92CCF"/>
    <w:rsid w:val="00C932A4"/>
    <w:rsid w:val="00C97578"/>
    <w:rsid w:val="00CA1FA9"/>
    <w:rsid w:val="00CA2EF0"/>
    <w:rsid w:val="00CA3774"/>
    <w:rsid w:val="00CA414D"/>
    <w:rsid w:val="00CA4679"/>
    <w:rsid w:val="00CA4805"/>
    <w:rsid w:val="00CA49D8"/>
    <w:rsid w:val="00CA51EB"/>
    <w:rsid w:val="00CA531C"/>
    <w:rsid w:val="00CA5A69"/>
    <w:rsid w:val="00CA6C7F"/>
    <w:rsid w:val="00CA78AF"/>
    <w:rsid w:val="00CA7986"/>
    <w:rsid w:val="00CB09F8"/>
    <w:rsid w:val="00CB19EB"/>
    <w:rsid w:val="00CB22CD"/>
    <w:rsid w:val="00CB51C7"/>
    <w:rsid w:val="00CB618B"/>
    <w:rsid w:val="00CB6582"/>
    <w:rsid w:val="00CB6F8C"/>
    <w:rsid w:val="00CC023E"/>
    <w:rsid w:val="00CC0260"/>
    <w:rsid w:val="00CC0F70"/>
    <w:rsid w:val="00CC10A6"/>
    <w:rsid w:val="00CC5924"/>
    <w:rsid w:val="00CC7BD9"/>
    <w:rsid w:val="00CC7DD7"/>
    <w:rsid w:val="00CD0A48"/>
    <w:rsid w:val="00CD1297"/>
    <w:rsid w:val="00CD135E"/>
    <w:rsid w:val="00CD5EB8"/>
    <w:rsid w:val="00CD687D"/>
    <w:rsid w:val="00CD6AC7"/>
    <w:rsid w:val="00CD7044"/>
    <w:rsid w:val="00CE02D3"/>
    <w:rsid w:val="00CE0358"/>
    <w:rsid w:val="00CE08B9"/>
    <w:rsid w:val="00CE4E94"/>
    <w:rsid w:val="00CE51CA"/>
    <w:rsid w:val="00CE524C"/>
    <w:rsid w:val="00CE5607"/>
    <w:rsid w:val="00CF141F"/>
    <w:rsid w:val="00CF2290"/>
    <w:rsid w:val="00CF2490"/>
    <w:rsid w:val="00CF4777"/>
    <w:rsid w:val="00CF5131"/>
    <w:rsid w:val="00CF5AF8"/>
    <w:rsid w:val="00CF65EA"/>
    <w:rsid w:val="00CF6C45"/>
    <w:rsid w:val="00D027CB"/>
    <w:rsid w:val="00D067BB"/>
    <w:rsid w:val="00D06EA9"/>
    <w:rsid w:val="00D070CC"/>
    <w:rsid w:val="00D076BD"/>
    <w:rsid w:val="00D103AA"/>
    <w:rsid w:val="00D10540"/>
    <w:rsid w:val="00D12056"/>
    <w:rsid w:val="00D12136"/>
    <w:rsid w:val="00D1352A"/>
    <w:rsid w:val="00D13EDE"/>
    <w:rsid w:val="00D14442"/>
    <w:rsid w:val="00D14D90"/>
    <w:rsid w:val="00D15568"/>
    <w:rsid w:val="00D15B6E"/>
    <w:rsid w:val="00D169AF"/>
    <w:rsid w:val="00D220C6"/>
    <w:rsid w:val="00D22769"/>
    <w:rsid w:val="00D23129"/>
    <w:rsid w:val="00D245AD"/>
    <w:rsid w:val="00D248C0"/>
    <w:rsid w:val="00D25249"/>
    <w:rsid w:val="00D255A7"/>
    <w:rsid w:val="00D26CCE"/>
    <w:rsid w:val="00D30DB8"/>
    <w:rsid w:val="00D33D55"/>
    <w:rsid w:val="00D349FF"/>
    <w:rsid w:val="00D356A1"/>
    <w:rsid w:val="00D3674F"/>
    <w:rsid w:val="00D407CB"/>
    <w:rsid w:val="00D4086B"/>
    <w:rsid w:val="00D41906"/>
    <w:rsid w:val="00D4319D"/>
    <w:rsid w:val="00D44172"/>
    <w:rsid w:val="00D50CE8"/>
    <w:rsid w:val="00D521DE"/>
    <w:rsid w:val="00D526D8"/>
    <w:rsid w:val="00D555F4"/>
    <w:rsid w:val="00D56769"/>
    <w:rsid w:val="00D60EE4"/>
    <w:rsid w:val="00D61ED5"/>
    <w:rsid w:val="00D63B8C"/>
    <w:rsid w:val="00D64413"/>
    <w:rsid w:val="00D644AD"/>
    <w:rsid w:val="00D65AE8"/>
    <w:rsid w:val="00D66037"/>
    <w:rsid w:val="00D712FD"/>
    <w:rsid w:val="00D7299F"/>
    <w:rsid w:val="00D72CB6"/>
    <w:rsid w:val="00D739CC"/>
    <w:rsid w:val="00D73EC2"/>
    <w:rsid w:val="00D76134"/>
    <w:rsid w:val="00D77B40"/>
    <w:rsid w:val="00D8061C"/>
    <w:rsid w:val="00D8093D"/>
    <w:rsid w:val="00D81019"/>
    <w:rsid w:val="00D8108C"/>
    <w:rsid w:val="00D81A9F"/>
    <w:rsid w:val="00D83459"/>
    <w:rsid w:val="00D842AE"/>
    <w:rsid w:val="00D84454"/>
    <w:rsid w:val="00D87A1E"/>
    <w:rsid w:val="00D90C3D"/>
    <w:rsid w:val="00D91F75"/>
    <w:rsid w:val="00D9211C"/>
    <w:rsid w:val="00D92DE0"/>
    <w:rsid w:val="00D92FEF"/>
    <w:rsid w:val="00D93A0F"/>
    <w:rsid w:val="00D93B61"/>
    <w:rsid w:val="00D942A3"/>
    <w:rsid w:val="00D958EC"/>
    <w:rsid w:val="00DA0786"/>
    <w:rsid w:val="00DA0BCB"/>
    <w:rsid w:val="00DA11E9"/>
    <w:rsid w:val="00DA16A2"/>
    <w:rsid w:val="00DA1BCA"/>
    <w:rsid w:val="00DA3FFA"/>
    <w:rsid w:val="00DA40B4"/>
    <w:rsid w:val="00DA64A1"/>
    <w:rsid w:val="00DA7299"/>
    <w:rsid w:val="00DB03C6"/>
    <w:rsid w:val="00DB2027"/>
    <w:rsid w:val="00DB36B7"/>
    <w:rsid w:val="00DB3E23"/>
    <w:rsid w:val="00DB43A8"/>
    <w:rsid w:val="00DB4DB9"/>
    <w:rsid w:val="00DB5713"/>
    <w:rsid w:val="00DB6FEE"/>
    <w:rsid w:val="00DC292F"/>
    <w:rsid w:val="00DC2DFB"/>
    <w:rsid w:val="00DC37F2"/>
    <w:rsid w:val="00DC3BD2"/>
    <w:rsid w:val="00DC46FF"/>
    <w:rsid w:val="00DC4A25"/>
    <w:rsid w:val="00DC5254"/>
    <w:rsid w:val="00DC5645"/>
    <w:rsid w:val="00DC5E1A"/>
    <w:rsid w:val="00DC6BA4"/>
    <w:rsid w:val="00DC6D96"/>
    <w:rsid w:val="00DC6ECF"/>
    <w:rsid w:val="00DD181C"/>
    <w:rsid w:val="00DD1A4F"/>
    <w:rsid w:val="00DD2882"/>
    <w:rsid w:val="00DD30A3"/>
    <w:rsid w:val="00DD3107"/>
    <w:rsid w:val="00DD3B4E"/>
    <w:rsid w:val="00DD3EE1"/>
    <w:rsid w:val="00DD497F"/>
    <w:rsid w:val="00DD5587"/>
    <w:rsid w:val="00DD5690"/>
    <w:rsid w:val="00DD5EFF"/>
    <w:rsid w:val="00DD709F"/>
    <w:rsid w:val="00DD7C2C"/>
    <w:rsid w:val="00DE0CD3"/>
    <w:rsid w:val="00DE6B4D"/>
    <w:rsid w:val="00DE6E55"/>
    <w:rsid w:val="00DF0503"/>
    <w:rsid w:val="00DF06C3"/>
    <w:rsid w:val="00DF1A25"/>
    <w:rsid w:val="00DF1B3B"/>
    <w:rsid w:val="00DF45BD"/>
    <w:rsid w:val="00DF5660"/>
    <w:rsid w:val="00DF6A74"/>
    <w:rsid w:val="00DF75F0"/>
    <w:rsid w:val="00E0083F"/>
    <w:rsid w:val="00E00B91"/>
    <w:rsid w:val="00E0168F"/>
    <w:rsid w:val="00E026ED"/>
    <w:rsid w:val="00E04691"/>
    <w:rsid w:val="00E0574F"/>
    <w:rsid w:val="00E05C4B"/>
    <w:rsid w:val="00E06077"/>
    <w:rsid w:val="00E06797"/>
    <w:rsid w:val="00E0682B"/>
    <w:rsid w:val="00E06987"/>
    <w:rsid w:val="00E122BC"/>
    <w:rsid w:val="00E125B8"/>
    <w:rsid w:val="00E1265B"/>
    <w:rsid w:val="00E13411"/>
    <w:rsid w:val="00E13B48"/>
    <w:rsid w:val="00E1404F"/>
    <w:rsid w:val="00E1570D"/>
    <w:rsid w:val="00E166A1"/>
    <w:rsid w:val="00E203A1"/>
    <w:rsid w:val="00E208D9"/>
    <w:rsid w:val="00E212E4"/>
    <w:rsid w:val="00E212EF"/>
    <w:rsid w:val="00E21C83"/>
    <w:rsid w:val="00E24ADA"/>
    <w:rsid w:val="00E25205"/>
    <w:rsid w:val="00E256F6"/>
    <w:rsid w:val="00E25C47"/>
    <w:rsid w:val="00E27300"/>
    <w:rsid w:val="00E274D8"/>
    <w:rsid w:val="00E31792"/>
    <w:rsid w:val="00E32F59"/>
    <w:rsid w:val="00E37F05"/>
    <w:rsid w:val="00E37F15"/>
    <w:rsid w:val="00E406EF"/>
    <w:rsid w:val="00E40EA2"/>
    <w:rsid w:val="00E426E4"/>
    <w:rsid w:val="00E440CD"/>
    <w:rsid w:val="00E44601"/>
    <w:rsid w:val="00E45BAC"/>
    <w:rsid w:val="00E46D9A"/>
    <w:rsid w:val="00E509D1"/>
    <w:rsid w:val="00E515DE"/>
    <w:rsid w:val="00E51DFA"/>
    <w:rsid w:val="00E5202B"/>
    <w:rsid w:val="00E544EE"/>
    <w:rsid w:val="00E565FF"/>
    <w:rsid w:val="00E57D0A"/>
    <w:rsid w:val="00E600D6"/>
    <w:rsid w:val="00E62558"/>
    <w:rsid w:val="00E6288A"/>
    <w:rsid w:val="00E62C6F"/>
    <w:rsid w:val="00E63C75"/>
    <w:rsid w:val="00E64058"/>
    <w:rsid w:val="00E65388"/>
    <w:rsid w:val="00E66A69"/>
    <w:rsid w:val="00E67833"/>
    <w:rsid w:val="00E679A1"/>
    <w:rsid w:val="00E71162"/>
    <w:rsid w:val="00E71C64"/>
    <w:rsid w:val="00E72E86"/>
    <w:rsid w:val="00E74ACB"/>
    <w:rsid w:val="00E75A4E"/>
    <w:rsid w:val="00E82F77"/>
    <w:rsid w:val="00E85B7D"/>
    <w:rsid w:val="00E873ED"/>
    <w:rsid w:val="00E9121B"/>
    <w:rsid w:val="00E918A0"/>
    <w:rsid w:val="00E94B48"/>
    <w:rsid w:val="00E9599F"/>
    <w:rsid w:val="00E96614"/>
    <w:rsid w:val="00E97812"/>
    <w:rsid w:val="00EA0AE2"/>
    <w:rsid w:val="00EA18D5"/>
    <w:rsid w:val="00EA1A7D"/>
    <w:rsid w:val="00EA292F"/>
    <w:rsid w:val="00EA39E5"/>
    <w:rsid w:val="00EA42F2"/>
    <w:rsid w:val="00EA4430"/>
    <w:rsid w:val="00EA4BB4"/>
    <w:rsid w:val="00EA506F"/>
    <w:rsid w:val="00EA55ED"/>
    <w:rsid w:val="00EA571B"/>
    <w:rsid w:val="00EA7D77"/>
    <w:rsid w:val="00EB1739"/>
    <w:rsid w:val="00EB194E"/>
    <w:rsid w:val="00EB23C2"/>
    <w:rsid w:val="00EB3106"/>
    <w:rsid w:val="00EB4923"/>
    <w:rsid w:val="00EB50D3"/>
    <w:rsid w:val="00EB5514"/>
    <w:rsid w:val="00EB749F"/>
    <w:rsid w:val="00EC1903"/>
    <w:rsid w:val="00EC23E0"/>
    <w:rsid w:val="00EC3A5D"/>
    <w:rsid w:val="00EC4CE6"/>
    <w:rsid w:val="00EC591A"/>
    <w:rsid w:val="00EC5A46"/>
    <w:rsid w:val="00EC5C12"/>
    <w:rsid w:val="00EC63E2"/>
    <w:rsid w:val="00EC75D7"/>
    <w:rsid w:val="00ED0087"/>
    <w:rsid w:val="00ED1A4C"/>
    <w:rsid w:val="00ED1F3E"/>
    <w:rsid w:val="00ED564B"/>
    <w:rsid w:val="00ED5CB8"/>
    <w:rsid w:val="00EE00B3"/>
    <w:rsid w:val="00EE1BA8"/>
    <w:rsid w:val="00EE1E98"/>
    <w:rsid w:val="00EE27B7"/>
    <w:rsid w:val="00EE2C76"/>
    <w:rsid w:val="00EE397B"/>
    <w:rsid w:val="00EE3E6E"/>
    <w:rsid w:val="00EE4483"/>
    <w:rsid w:val="00EE5261"/>
    <w:rsid w:val="00EE5834"/>
    <w:rsid w:val="00EE7846"/>
    <w:rsid w:val="00EF22B3"/>
    <w:rsid w:val="00EF23B9"/>
    <w:rsid w:val="00EF469A"/>
    <w:rsid w:val="00F03B69"/>
    <w:rsid w:val="00F058FE"/>
    <w:rsid w:val="00F05CA6"/>
    <w:rsid w:val="00F06523"/>
    <w:rsid w:val="00F07A50"/>
    <w:rsid w:val="00F113DA"/>
    <w:rsid w:val="00F11D03"/>
    <w:rsid w:val="00F13A82"/>
    <w:rsid w:val="00F14E5E"/>
    <w:rsid w:val="00F16C59"/>
    <w:rsid w:val="00F22F61"/>
    <w:rsid w:val="00F23184"/>
    <w:rsid w:val="00F23497"/>
    <w:rsid w:val="00F240EA"/>
    <w:rsid w:val="00F25F15"/>
    <w:rsid w:val="00F27442"/>
    <w:rsid w:val="00F319FC"/>
    <w:rsid w:val="00F363A3"/>
    <w:rsid w:val="00F36C44"/>
    <w:rsid w:val="00F375E0"/>
    <w:rsid w:val="00F37DC8"/>
    <w:rsid w:val="00F4047A"/>
    <w:rsid w:val="00F427EC"/>
    <w:rsid w:val="00F42E44"/>
    <w:rsid w:val="00F439B3"/>
    <w:rsid w:val="00F4526B"/>
    <w:rsid w:val="00F45AA8"/>
    <w:rsid w:val="00F4737E"/>
    <w:rsid w:val="00F502DD"/>
    <w:rsid w:val="00F511D5"/>
    <w:rsid w:val="00F52A1B"/>
    <w:rsid w:val="00F53BD0"/>
    <w:rsid w:val="00F54342"/>
    <w:rsid w:val="00F55BC9"/>
    <w:rsid w:val="00F56A40"/>
    <w:rsid w:val="00F609C4"/>
    <w:rsid w:val="00F612FA"/>
    <w:rsid w:val="00F630FD"/>
    <w:rsid w:val="00F638FC"/>
    <w:rsid w:val="00F639F8"/>
    <w:rsid w:val="00F650C3"/>
    <w:rsid w:val="00F65D85"/>
    <w:rsid w:val="00F71B7E"/>
    <w:rsid w:val="00F7203C"/>
    <w:rsid w:val="00F75453"/>
    <w:rsid w:val="00F7633C"/>
    <w:rsid w:val="00F8091E"/>
    <w:rsid w:val="00F82054"/>
    <w:rsid w:val="00F82320"/>
    <w:rsid w:val="00F84532"/>
    <w:rsid w:val="00F85477"/>
    <w:rsid w:val="00F8576A"/>
    <w:rsid w:val="00F85F25"/>
    <w:rsid w:val="00F8615C"/>
    <w:rsid w:val="00F8787D"/>
    <w:rsid w:val="00F87ECA"/>
    <w:rsid w:val="00F87FB4"/>
    <w:rsid w:val="00F92C00"/>
    <w:rsid w:val="00F92DBA"/>
    <w:rsid w:val="00F94CB3"/>
    <w:rsid w:val="00F969E5"/>
    <w:rsid w:val="00F96E72"/>
    <w:rsid w:val="00F97AEE"/>
    <w:rsid w:val="00F97E54"/>
    <w:rsid w:val="00FA1C95"/>
    <w:rsid w:val="00FA2A63"/>
    <w:rsid w:val="00FA30A7"/>
    <w:rsid w:val="00FA46DA"/>
    <w:rsid w:val="00FA4A52"/>
    <w:rsid w:val="00FA50F9"/>
    <w:rsid w:val="00FA6BB0"/>
    <w:rsid w:val="00FA7859"/>
    <w:rsid w:val="00FB0F78"/>
    <w:rsid w:val="00FB116F"/>
    <w:rsid w:val="00FB1DFB"/>
    <w:rsid w:val="00FB1F25"/>
    <w:rsid w:val="00FB2313"/>
    <w:rsid w:val="00FB252C"/>
    <w:rsid w:val="00FB3AC8"/>
    <w:rsid w:val="00FB46C8"/>
    <w:rsid w:val="00FB50CB"/>
    <w:rsid w:val="00FC22A7"/>
    <w:rsid w:val="00FC26E8"/>
    <w:rsid w:val="00FC2D34"/>
    <w:rsid w:val="00FC43FF"/>
    <w:rsid w:val="00FC5DA0"/>
    <w:rsid w:val="00FC6D9B"/>
    <w:rsid w:val="00FC72FD"/>
    <w:rsid w:val="00FD0F6E"/>
    <w:rsid w:val="00FD16C5"/>
    <w:rsid w:val="00FD184B"/>
    <w:rsid w:val="00FD2D77"/>
    <w:rsid w:val="00FD5166"/>
    <w:rsid w:val="00FD5860"/>
    <w:rsid w:val="00FD75A9"/>
    <w:rsid w:val="00FE2251"/>
    <w:rsid w:val="00FE352D"/>
    <w:rsid w:val="00FE40EB"/>
    <w:rsid w:val="00FE457E"/>
    <w:rsid w:val="00FE49B1"/>
    <w:rsid w:val="00FE4D02"/>
    <w:rsid w:val="00FE51C9"/>
    <w:rsid w:val="00FE574B"/>
    <w:rsid w:val="00FE64FA"/>
    <w:rsid w:val="00FE7B2F"/>
    <w:rsid w:val="00FE7D41"/>
    <w:rsid w:val="00FE7D62"/>
    <w:rsid w:val="00FF0303"/>
    <w:rsid w:val="00FF05E7"/>
    <w:rsid w:val="00FF3819"/>
    <w:rsid w:val="00FF4E75"/>
    <w:rsid w:val="00FF73F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BD05D"/>
  <w15:chartTrackingRefBased/>
  <w15:docId w15:val="{13F5D614-F1FC-4BE3-A8F3-4A7173FE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3B5B78"/>
    <w:rPr>
      <w:rFonts w:eastAsia="Times New Roman"/>
      <w:sz w:val="24"/>
      <w:szCs w:val="24"/>
      <w:lang w:val="en-US" w:eastAsia="en-US"/>
    </w:rPr>
  </w:style>
  <w:style w:type="paragraph" w:styleId="Heading1">
    <w:name w:val="heading 1"/>
    <w:basedOn w:val="CH1"/>
    <w:next w:val="Normalnumber"/>
    <w:link w:val="Heading1Char"/>
    <w:rsid w:val="007C29EE"/>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7C29EE"/>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7C29EE"/>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7C29EE"/>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7C29EE"/>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7C29EE"/>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7C29EE"/>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7C29EE"/>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7C29EE"/>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7C29EE"/>
    <w:rPr>
      <w:rFonts w:ascii="Times New Roman" w:hAnsi="Times New Roman"/>
      <w:b/>
      <w:sz w:val="18"/>
      <w:lang w:val="en-GB"/>
    </w:rPr>
  </w:style>
  <w:style w:type="table" w:customStyle="1" w:styleId="Tabledocright">
    <w:name w:val="Table_doc_right"/>
    <w:basedOn w:val="TableNormal"/>
    <w:rsid w:val="007C29EE"/>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7C29EE"/>
    <w:pPr>
      <w:ind w:left="1000"/>
    </w:pPr>
    <w:rPr>
      <w:sz w:val="18"/>
      <w:szCs w:val="18"/>
    </w:rPr>
  </w:style>
  <w:style w:type="paragraph" w:styleId="TOC7">
    <w:name w:val="toc 7"/>
    <w:basedOn w:val="Normal"/>
    <w:next w:val="Normal"/>
    <w:autoRedefine/>
    <w:semiHidden/>
    <w:rsid w:val="007C29EE"/>
    <w:pPr>
      <w:ind w:left="1200"/>
    </w:pPr>
    <w:rPr>
      <w:sz w:val="18"/>
      <w:szCs w:val="18"/>
    </w:rPr>
  </w:style>
  <w:style w:type="paragraph" w:styleId="TOC8">
    <w:name w:val="toc 8"/>
    <w:basedOn w:val="Normal"/>
    <w:next w:val="Normal"/>
    <w:autoRedefine/>
    <w:semiHidden/>
    <w:rsid w:val="007C29EE"/>
    <w:pPr>
      <w:ind w:left="1400"/>
    </w:pPr>
    <w:rPr>
      <w:sz w:val="18"/>
      <w:szCs w:val="18"/>
    </w:rPr>
  </w:style>
  <w:style w:type="paragraph" w:styleId="TOC9">
    <w:name w:val="toc 9"/>
    <w:basedOn w:val="Normal"/>
    <w:next w:val="Normal"/>
    <w:autoRedefine/>
    <w:semiHidden/>
    <w:rsid w:val="007C29EE"/>
    <w:pPr>
      <w:ind w:left="1600"/>
    </w:pPr>
    <w:rPr>
      <w:sz w:val="18"/>
      <w:szCs w:val="18"/>
    </w:rPr>
  </w:style>
  <w:style w:type="paragraph" w:customStyle="1" w:styleId="Titlefigure">
    <w:name w:val="Title_figure"/>
    <w:basedOn w:val="Titletable"/>
    <w:next w:val="NormalNonumber"/>
    <w:rsid w:val="007C29EE"/>
    <w:pPr>
      <w:tabs>
        <w:tab w:val="clear" w:pos="4990"/>
      </w:tabs>
    </w:pPr>
    <w:rPr>
      <w:bCs w:val="0"/>
    </w:rPr>
  </w:style>
  <w:style w:type="paragraph" w:styleId="TableofFigures">
    <w:name w:val="table of figures"/>
    <w:basedOn w:val="Normal"/>
    <w:next w:val="Normal"/>
    <w:autoRedefine/>
    <w:semiHidden/>
    <w:rsid w:val="007C29EE"/>
    <w:pPr>
      <w:ind w:left="1814" w:hanging="567"/>
    </w:pPr>
  </w:style>
  <w:style w:type="paragraph" w:customStyle="1" w:styleId="CH1">
    <w:name w:val="CH1"/>
    <w:basedOn w:val="Normal-pool"/>
    <w:next w:val="CH2"/>
    <w:link w:val="CH1Char"/>
    <w:qFormat/>
    <w:rsid w:val="007C29EE"/>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7C29EE"/>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7C29EE"/>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7C29EE"/>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7C29EE"/>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7C29EE"/>
    <w:pPr>
      <w:tabs>
        <w:tab w:val="left" w:pos="4321"/>
        <w:tab w:val="right" w:pos="8641"/>
      </w:tabs>
      <w:spacing w:before="60"/>
    </w:pPr>
    <w:rPr>
      <w:b/>
      <w:sz w:val="18"/>
    </w:rPr>
  </w:style>
  <w:style w:type="paragraph" w:customStyle="1" w:styleId="Footer-pool">
    <w:name w:val="Footer-pool"/>
    <w:basedOn w:val="Normal-pool"/>
    <w:next w:val="Normal-pool"/>
    <w:rsid w:val="007C29EE"/>
    <w:pPr>
      <w:tabs>
        <w:tab w:val="right" w:pos="8641"/>
      </w:tabs>
      <w:spacing w:after="120"/>
    </w:pPr>
    <w:rPr>
      <w:b/>
      <w:sz w:val="18"/>
    </w:rPr>
  </w:style>
  <w:style w:type="paragraph" w:customStyle="1" w:styleId="Header-pool">
    <w:name w:val="Header-pool"/>
    <w:basedOn w:val="Normal"/>
    <w:next w:val="Normal"/>
    <w:rsid w:val="007C29EE"/>
    <w:pPr>
      <w:pBdr>
        <w:bottom w:val="single" w:sz="4" w:space="1" w:color="auto"/>
      </w:pBdr>
      <w:tabs>
        <w:tab w:val="right" w:pos="9072"/>
      </w:tabs>
    </w:pPr>
    <w:rPr>
      <w:b/>
      <w:sz w:val="18"/>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Footnote tex"/>
    <w:link w:val="CharCharCharCharCarChar"/>
    <w:unhideWhenUsed/>
    <w:qFormat/>
    <w:rsid w:val="007C29EE"/>
    <w:rPr>
      <w:rFonts w:ascii="Times New Roman" w:hAnsi="Times New Roman"/>
      <w:color w:val="auto"/>
      <w:sz w:val="20"/>
      <w:szCs w:val="18"/>
      <w:vertAlign w:val="superscript"/>
      <w:lang w:val="en-GB"/>
    </w:rPr>
  </w:style>
  <w:style w:type="table" w:customStyle="1" w:styleId="AATable">
    <w:name w:val="AA_Table"/>
    <w:basedOn w:val="TableNormal"/>
    <w:semiHidden/>
    <w:rsid w:val="007C29EE"/>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C29EE"/>
    <w:pPr>
      <w:keepNext/>
      <w:keepLines/>
      <w:suppressAutoHyphens/>
    </w:pPr>
    <w:rPr>
      <w:b/>
    </w:rPr>
  </w:style>
  <w:style w:type="paragraph" w:customStyle="1" w:styleId="AATitle2">
    <w:name w:val="AA_Title2"/>
    <w:basedOn w:val="AATitle"/>
    <w:qFormat/>
    <w:rsid w:val="007C29EE"/>
    <w:pPr>
      <w:keepNext w:val="0"/>
      <w:keepLines w:val="0"/>
      <w:tabs>
        <w:tab w:val="clear" w:pos="4990"/>
      </w:tabs>
      <w:spacing w:before="120" w:after="120"/>
    </w:pPr>
  </w:style>
  <w:style w:type="paragraph" w:customStyle="1" w:styleId="BBTitle">
    <w:name w:val="BB_Title"/>
    <w:basedOn w:val="Normal-pool"/>
    <w:qFormat/>
    <w:rsid w:val="007C29EE"/>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7C29EE"/>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7C29EE"/>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7C29EE"/>
    <w:rPr>
      <w:color w:val="0000FF"/>
      <w:u w:val="none"/>
      <w:lang w:val="en-GB"/>
    </w:rPr>
  </w:style>
  <w:style w:type="numbering" w:customStyle="1" w:styleId="Normallist">
    <w:name w:val="Normal_list"/>
    <w:basedOn w:val="NoList"/>
    <w:rsid w:val="007C29EE"/>
    <w:pPr>
      <w:numPr>
        <w:numId w:val="22"/>
      </w:numPr>
    </w:pPr>
  </w:style>
  <w:style w:type="paragraph" w:customStyle="1" w:styleId="NormalNonumber">
    <w:name w:val="Normal_No_number"/>
    <w:basedOn w:val="Normal-pool"/>
    <w:link w:val="NormalNonumberChar"/>
    <w:qFormat/>
    <w:rsid w:val="007C29EE"/>
    <w:pPr>
      <w:spacing w:after="120"/>
      <w:ind w:left="1247"/>
    </w:pPr>
  </w:style>
  <w:style w:type="paragraph" w:customStyle="1" w:styleId="Normalnumber">
    <w:name w:val="Normal_number"/>
    <w:basedOn w:val="Normal"/>
    <w:link w:val="NormalnumberChar"/>
    <w:qFormat/>
    <w:rsid w:val="007C29EE"/>
    <w:pPr>
      <w:numPr>
        <w:numId w:val="1"/>
      </w:numPr>
      <w:spacing w:after="120"/>
    </w:pPr>
  </w:style>
  <w:style w:type="paragraph" w:customStyle="1" w:styleId="Titletable">
    <w:name w:val="Title_table"/>
    <w:basedOn w:val="Normal-pool"/>
    <w:next w:val="NormalNonumber"/>
    <w:rsid w:val="007C29EE"/>
    <w:pPr>
      <w:keepNext/>
      <w:keepLines/>
      <w:suppressAutoHyphens/>
      <w:spacing w:after="60"/>
      <w:ind w:left="1247"/>
    </w:pPr>
    <w:rPr>
      <w:b/>
      <w:bCs/>
    </w:rPr>
  </w:style>
  <w:style w:type="paragraph" w:styleId="TOC1">
    <w:name w:val="toc 1"/>
    <w:basedOn w:val="Normal"/>
    <w:next w:val="Normal"/>
    <w:autoRedefine/>
    <w:uiPriority w:val="39"/>
    <w:unhideWhenUsed/>
    <w:rsid w:val="007C29EE"/>
    <w:pPr>
      <w:tabs>
        <w:tab w:val="right" w:leader="dot" w:pos="9486"/>
      </w:tabs>
      <w:spacing w:before="240"/>
      <w:ind w:left="1984" w:hanging="737"/>
    </w:pPr>
    <w:rPr>
      <w:bCs/>
    </w:rPr>
  </w:style>
  <w:style w:type="paragraph" w:styleId="TOC2">
    <w:name w:val="toc 2"/>
    <w:basedOn w:val="Normal"/>
    <w:next w:val="Normal"/>
    <w:uiPriority w:val="39"/>
    <w:unhideWhenUsed/>
    <w:rsid w:val="007C29EE"/>
    <w:pPr>
      <w:tabs>
        <w:tab w:val="right" w:leader="dot" w:pos="9486"/>
      </w:tabs>
      <w:spacing w:before="60"/>
      <w:ind w:left="2608" w:hanging="737"/>
    </w:pPr>
  </w:style>
  <w:style w:type="paragraph" w:styleId="TOC3">
    <w:name w:val="toc 3"/>
    <w:basedOn w:val="Normal"/>
    <w:next w:val="Normal"/>
    <w:unhideWhenUsed/>
    <w:rsid w:val="007C29EE"/>
    <w:pPr>
      <w:tabs>
        <w:tab w:val="right" w:leader="dot" w:pos="9486"/>
      </w:tabs>
      <w:ind w:left="3232" w:hanging="737"/>
    </w:pPr>
    <w:rPr>
      <w:iCs/>
    </w:rPr>
  </w:style>
  <w:style w:type="paragraph" w:styleId="TOC4">
    <w:name w:val="toc 4"/>
    <w:basedOn w:val="Normal"/>
    <w:next w:val="Normal"/>
    <w:unhideWhenUsed/>
    <w:rsid w:val="007C29EE"/>
    <w:pPr>
      <w:tabs>
        <w:tab w:val="left" w:pos="1000"/>
        <w:tab w:val="right" w:leader="dot" w:pos="9486"/>
      </w:tabs>
      <w:ind w:left="3856" w:hanging="737"/>
    </w:pPr>
    <w:rPr>
      <w:szCs w:val="18"/>
    </w:rPr>
  </w:style>
  <w:style w:type="paragraph" w:styleId="TOC5">
    <w:name w:val="toc 5"/>
    <w:basedOn w:val="Normal"/>
    <w:next w:val="Normal"/>
    <w:rsid w:val="007C29EE"/>
    <w:pPr>
      <w:tabs>
        <w:tab w:val="right" w:leader="dot" w:pos="9486"/>
      </w:tabs>
      <w:ind w:left="4479" w:hanging="737"/>
    </w:pPr>
    <w:rPr>
      <w:sz w:val="18"/>
      <w:szCs w:val="18"/>
    </w:rPr>
  </w:style>
  <w:style w:type="paragraph" w:customStyle="1" w:styleId="ZZAnxheader">
    <w:name w:val="ZZ_Anx_header"/>
    <w:basedOn w:val="Normal-pool"/>
    <w:link w:val="ZZAnxheaderChar"/>
    <w:rsid w:val="007C29EE"/>
    <w:rPr>
      <w:b/>
      <w:bCs/>
      <w:sz w:val="28"/>
      <w:szCs w:val="22"/>
    </w:rPr>
  </w:style>
  <w:style w:type="paragraph" w:customStyle="1" w:styleId="ZZAnxtitle">
    <w:name w:val="ZZ_Anx_title"/>
    <w:basedOn w:val="Normal-pool"/>
    <w:link w:val="ZZAnxtitleChar"/>
    <w:rsid w:val="007C29EE"/>
    <w:pPr>
      <w:spacing w:before="360" w:after="120"/>
      <w:ind w:left="1247"/>
    </w:pPr>
    <w:rPr>
      <w:b/>
      <w:bCs/>
      <w:sz w:val="28"/>
      <w:szCs w:val="26"/>
    </w:rPr>
  </w:style>
  <w:style w:type="paragraph" w:styleId="NormalWeb">
    <w:name w:val="Normal (Web)"/>
    <w:basedOn w:val="Normal"/>
    <w:uiPriority w:val="99"/>
    <w:semiHidden/>
    <w:unhideWhenUsed/>
    <w:rsid w:val="007C29EE"/>
    <w:pPr>
      <w:spacing w:before="100" w:beforeAutospacing="1" w:after="100" w:afterAutospacing="1"/>
    </w:pPr>
    <w:rPr>
      <w:rFonts w:eastAsiaTheme="minorEastAsia"/>
    </w:rPr>
  </w:style>
  <w:style w:type="paragraph" w:customStyle="1" w:styleId="Normal-pool-Table">
    <w:name w:val="Normal-pool-Table"/>
    <w:basedOn w:val="Normal-pool"/>
    <w:rsid w:val="007C29EE"/>
    <w:pPr>
      <w:spacing w:before="40" w:after="40"/>
    </w:pPr>
    <w:rPr>
      <w:sz w:val="18"/>
    </w:rPr>
  </w:style>
  <w:style w:type="paragraph" w:customStyle="1" w:styleId="Footnote-Text">
    <w:name w:val="Footnote-Text"/>
    <w:basedOn w:val="Normal-pool"/>
    <w:rsid w:val="007C29EE"/>
    <w:pPr>
      <w:spacing w:before="20" w:after="40"/>
      <w:ind w:left="1247"/>
    </w:pPr>
    <w:rPr>
      <w:sz w:val="18"/>
    </w:rPr>
  </w:style>
  <w:style w:type="paragraph" w:customStyle="1" w:styleId="AConvName">
    <w:name w:val="A_ConvName"/>
    <w:basedOn w:val="Normal-pool"/>
    <w:next w:val="Normal-pool"/>
    <w:rsid w:val="007C29EE"/>
    <w:pPr>
      <w:spacing w:before="120" w:after="240"/>
    </w:pPr>
    <w:rPr>
      <w:rFonts w:ascii="Arial" w:hAnsi="Arial"/>
      <w:b/>
      <w:sz w:val="28"/>
    </w:rPr>
  </w:style>
  <w:style w:type="paragraph" w:customStyle="1" w:styleId="ASymbol">
    <w:name w:val="A_Symbol"/>
    <w:basedOn w:val="Normal-pool"/>
    <w:rsid w:val="007C29EE"/>
    <w:pPr>
      <w:tabs>
        <w:tab w:val="clear" w:pos="624"/>
        <w:tab w:val="clear" w:pos="1247"/>
        <w:tab w:val="right" w:pos="2920"/>
      </w:tabs>
    </w:pPr>
    <w:rPr>
      <w:rFonts w:eastAsia="SimSun"/>
    </w:rPr>
  </w:style>
  <w:style w:type="paragraph" w:customStyle="1" w:styleId="AText">
    <w:name w:val="A_Text"/>
    <w:basedOn w:val="Normal-pool"/>
    <w:rsid w:val="007C29EE"/>
    <w:pPr>
      <w:spacing w:before="120"/>
    </w:pPr>
  </w:style>
  <w:style w:type="paragraph" w:customStyle="1" w:styleId="ATwoLetters">
    <w:name w:val="A_TwoLetters"/>
    <w:basedOn w:val="Normal-pool"/>
    <w:next w:val="Normal-pool"/>
    <w:rsid w:val="007C29EE"/>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7C29EE"/>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7C29EE"/>
    <w:rPr>
      <w:rFonts w:ascii="Tahoma" w:hAnsi="Tahoma" w:cs="Tahoma"/>
      <w:sz w:val="16"/>
      <w:szCs w:val="16"/>
    </w:rPr>
  </w:style>
  <w:style w:type="character" w:customStyle="1" w:styleId="BalloonTextChar">
    <w:name w:val="Balloon Text Char"/>
    <w:basedOn w:val="DefaultParagraphFont"/>
    <w:link w:val="BalloonText"/>
    <w:rsid w:val="007C29EE"/>
    <w:rPr>
      <w:rFonts w:ascii="Tahoma" w:eastAsia="Times New Roman" w:hAnsi="Tahoma" w:cs="Tahoma"/>
      <w:sz w:val="16"/>
      <w:szCs w:val="16"/>
      <w:lang w:val="en-GB" w:eastAsia="en-US"/>
    </w:rPr>
  </w:style>
  <w:style w:type="character" w:styleId="CommentReference">
    <w:name w:val="annotation reference"/>
    <w:basedOn w:val="DefaultParagraphFont"/>
    <w:uiPriority w:val="99"/>
    <w:unhideWhenUsed/>
    <w:rsid w:val="007C29EE"/>
    <w:rPr>
      <w:sz w:val="16"/>
      <w:szCs w:val="16"/>
      <w:lang w:val="en-GB"/>
    </w:rPr>
  </w:style>
  <w:style w:type="paragraph" w:styleId="CommentText">
    <w:name w:val="annotation text"/>
    <w:basedOn w:val="Normal"/>
    <w:link w:val="CommentTextChar"/>
    <w:uiPriority w:val="99"/>
    <w:unhideWhenUsed/>
    <w:rsid w:val="007C29EE"/>
  </w:style>
  <w:style w:type="character" w:customStyle="1" w:styleId="CommentTextChar">
    <w:name w:val="Comment Text Char"/>
    <w:basedOn w:val="DefaultParagraphFont"/>
    <w:link w:val="CommentText"/>
    <w:uiPriority w:val="99"/>
    <w:rsid w:val="007C29EE"/>
    <w:rPr>
      <w:rFonts w:eastAsia="Times New Roman"/>
      <w:lang w:val="en-GB" w:eastAsia="en-US"/>
    </w:rPr>
  </w:style>
  <w:style w:type="paragraph" w:styleId="CommentSubject">
    <w:name w:val="annotation subject"/>
    <w:basedOn w:val="CommentText"/>
    <w:next w:val="CommentText"/>
    <w:link w:val="CommentSubjectChar"/>
    <w:semiHidden/>
    <w:unhideWhenUsed/>
    <w:rsid w:val="007C29EE"/>
    <w:rPr>
      <w:b/>
      <w:bCs/>
    </w:rPr>
  </w:style>
  <w:style w:type="character" w:customStyle="1" w:styleId="CommentSubjectChar">
    <w:name w:val="Comment Subject Char"/>
    <w:basedOn w:val="CommentTextChar"/>
    <w:link w:val="CommentSubject"/>
    <w:semiHidden/>
    <w:rsid w:val="007C29EE"/>
    <w:rPr>
      <w:rFonts w:eastAsia="Times New Roman"/>
      <w:b/>
      <w:bCs/>
      <w:lang w:val="en-GB" w:eastAsia="en-US"/>
    </w:rPr>
  </w:style>
  <w:style w:type="character" w:styleId="FollowedHyperlink">
    <w:name w:val="FollowedHyperlink"/>
    <w:uiPriority w:val="99"/>
    <w:semiHidden/>
    <w:rsid w:val="007C29EE"/>
    <w:rPr>
      <w:color w:val="0000FF"/>
      <w:u w:val="none"/>
      <w:lang w:val="en-GB"/>
    </w:rPr>
  </w:style>
  <w:style w:type="character" w:customStyle="1" w:styleId="FooterChar">
    <w:name w:val="Footer Char"/>
    <w:basedOn w:val="DefaultParagraphFont"/>
    <w:link w:val="CH4"/>
    <w:uiPriority w:val="99"/>
    <w:rsid w:val="007C29EE"/>
    <w:rPr>
      <w:rFonts w:eastAsia="Times New Roman"/>
      <w:b/>
      <w:lang w:val="en-GB" w:eastAsia="en-US"/>
    </w:rPr>
  </w:style>
  <w:style w:type="character" w:customStyle="1" w:styleId="HeaderChar">
    <w:name w:val="Header Char"/>
    <w:basedOn w:val="DefaultParagraphFont"/>
    <w:link w:val="Header"/>
    <w:semiHidden/>
    <w:rsid w:val="007C29EE"/>
    <w:rPr>
      <w:rFonts w:eastAsia="Times New Roman"/>
      <w:b/>
      <w:sz w:val="18"/>
      <w:lang w:val="en-GB" w:eastAsia="en-US"/>
    </w:rPr>
  </w:style>
  <w:style w:type="character" w:customStyle="1" w:styleId="Heading1Char">
    <w:name w:val="Heading 1 Char"/>
    <w:basedOn w:val="DefaultParagraphFont"/>
    <w:link w:val="Heading1"/>
    <w:rsid w:val="007C29EE"/>
    <w:rPr>
      <w:rFonts w:eastAsia="Times New Roman"/>
      <w:b/>
      <w:sz w:val="28"/>
      <w:szCs w:val="28"/>
      <w:lang w:val="en-GB" w:eastAsia="en-US"/>
    </w:rPr>
  </w:style>
  <w:style w:type="character" w:customStyle="1" w:styleId="Heading2Char">
    <w:name w:val="Heading 2 Char"/>
    <w:basedOn w:val="DefaultParagraphFont"/>
    <w:link w:val="Heading2"/>
    <w:rsid w:val="007C29EE"/>
    <w:rPr>
      <w:rFonts w:eastAsia="Times New Roman"/>
      <w:b/>
      <w:sz w:val="24"/>
      <w:szCs w:val="24"/>
      <w:lang w:val="en-GB" w:eastAsia="en-US"/>
    </w:rPr>
  </w:style>
  <w:style w:type="character" w:customStyle="1" w:styleId="Heading3Char">
    <w:name w:val="Heading 3 Char"/>
    <w:basedOn w:val="DefaultParagraphFont"/>
    <w:link w:val="Heading3"/>
    <w:rsid w:val="007C29EE"/>
    <w:rPr>
      <w:rFonts w:eastAsia="Times New Roman"/>
      <w:b/>
      <w:lang w:val="en-GB" w:eastAsia="en-US"/>
    </w:rPr>
  </w:style>
  <w:style w:type="character" w:customStyle="1" w:styleId="Heading4Char">
    <w:name w:val="Heading 4 Char"/>
    <w:basedOn w:val="DefaultParagraphFont"/>
    <w:link w:val="Heading4"/>
    <w:rsid w:val="007C29EE"/>
    <w:rPr>
      <w:rFonts w:eastAsia="Times New Roman"/>
      <w:b/>
      <w:sz w:val="24"/>
      <w:szCs w:val="24"/>
      <w:lang w:val="en-US" w:eastAsia="en-US"/>
    </w:rPr>
  </w:style>
  <w:style w:type="character" w:customStyle="1" w:styleId="Heading5Char">
    <w:name w:val="Heading 5 Char"/>
    <w:basedOn w:val="DefaultParagraphFont"/>
    <w:link w:val="Heading5"/>
    <w:rsid w:val="007C29EE"/>
    <w:rPr>
      <w:rFonts w:eastAsia="Times New Roman"/>
      <w:b/>
      <w:lang w:val="en-GB" w:eastAsia="en-US"/>
    </w:rPr>
  </w:style>
  <w:style w:type="character" w:customStyle="1" w:styleId="Heading6Char">
    <w:name w:val="Heading 6 Char"/>
    <w:basedOn w:val="DefaultParagraphFont"/>
    <w:link w:val="Heading6"/>
    <w:semiHidden/>
    <w:rsid w:val="007C29EE"/>
    <w:rPr>
      <w:rFonts w:eastAsia="Times New Roman"/>
      <w:bCs/>
      <w:sz w:val="24"/>
      <w:lang w:val="en-GB" w:eastAsia="en-US"/>
    </w:rPr>
  </w:style>
  <w:style w:type="character" w:customStyle="1" w:styleId="Heading7Char">
    <w:name w:val="Heading 7 Char"/>
    <w:basedOn w:val="DefaultParagraphFont"/>
    <w:link w:val="Heading7"/>
    <w:semiHidden/>
    <w:rsid w:val="007C29EE"/>
    <w:rPr>
      <w:rFonts w:eastAsia="Times New Roman"/>
      <w:b/>
      <w:snapToGrid w:val="0"/>
      <w:u w:val="single"/>
      <w:lang w:val="en-GB" w:eastAsia="en-US"/>
    </w:rPr>
  </w:style>
  <w:style w:type="character" w:customStyle="1" w:styleId="Heading8Char">
    <w:name w:val="Heading 8 Char"/>
    <w:basedOn w:val="DefaultParagraphFont"/>
    <w:link w:val="Heading8"/>
    <w:semiHidden/>
    <w:rsid w:val="007C29EE"/>
    <w:rPr>
      <w:rFonts w:eastAsia="Times New Roman"/>
      <w:b/>
      <w:snapToGrid w:val="0"/>
      <w:u w:val="single"/>
      <w:lang w:val="en-GB" w:eastAsia="en-US"/>
    </w:rPr>
  </w:style>
  <w:style w:type="character" w:customStyle="1" w:styleId="Heading9Char">
    <w:name w:val="Heading 9 Char"/>
    <w:basedOn w:val="DefaultParagraphFont"/>
    <w:link w:val="Heading9"/>
    <w:semiHidden/>
    <w:rsid w:val="007C29EE"/>
    <w:rPr>
      <w:rFonts w:eastAsia="Times New Roman"/>
      <w:snapToGrid w:val="0"/>
      <w:sz w:val="24"/>
      <w:szCs w:val="24"/>
      <w:u w:val="single"/>
      <w:lang w:val="en-US" w:eastAsia="en-US"/>
    </w:rPr>
  </w:style>
  <w:style w:type="paragraph" w:styleId="ListParagraph">
    <w:name w:val="List Paragraph"/>
    <w:basedOn w:val="Normal"/>
    <w:link w:val="ListParagraphChar"/>
    <w:uiPriority w:val="34"/>
    <w:qFormat/>
    <w:rsid w:val="007C29EE"/>
    <w:pPr>
      <w:ind w:left="720"/>
      <w:contextualSpacing/>
    </w:pPr>
  </w:style>
  <w:style w:type="paragraph" w:styleId="NoSpacing">
    <w:name w:val="No Spacing"/>
    <w:uiPriority w:val="1"/>
    <w:qFormat/>
    <w:rsid w:val="007C29EE"/>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7C29EE"/>
    <w:rPr>
      <w:rFonts w:eastAsia="Times New Roman"/>
      <w:sz w:val="24"/>
      <w:szCs w:val="24"/>
      <w:lang w:val="en-US" w:eastAsia="en-US"/>
    </w:rPr>
  </w:style>
  <w:style w:type="character" w:styleId="PlaceholderText">
    <w:name w:val="Placeholder Text"/>
    <w:basedOn w:val="DefaultParagraphFont"/>
    <w:uiPriority w:val="99"/>
    <w:semiHidden/>
    <w:rsid w:val="007C29EE"/>
    <w:rPr>
      <w:color w:val="808080"/>
      <w:lang w:val="en-GB"/>
    </w:rPr>
  </w:style>
  <w:style w:type="table" w:styleId="TableGrid">
    <w:name w:val="Table Grid"/>
    <w:basedOn w:val="TableNormal"/>
    <w:uiPriority w:val="59"/>
    <w:rsid w:val="007C2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7C29EE"/>
    <w:pPr>
      <w:spacing w:before="120" w:after="240"/>
    </w:pPr>
  </w:style>
  <w:style w:type="character" w:customStyle="1" w:styleId="ALogoChar">
    <w:name w:val="A_Logo Char"/>
    <w:basedOn w:val="DefaultParagraphFont"/>
    <w:link w:val="ALogo"/>
    <w:rsid w:val="007C29EE"/>
    <w:rPr>
      <w:rFonts w:eastAsia="Times New Roman"/>
      <w:lang w:val="en-GB" w:eastAsia="en-US"/>
    </w:rPr>
  </w:style>
  <w:style w:type="paragraph" w:customStyle="1" w:styleId="ASpacer">
    <w:name w:val="A_Spacer"/>
    <w:basedOn w:val="Normal-pool"/>
    <w:link w:val="ASpacerChar"/>
    <w:qFormat/>
    <w:rsid w:val="007C29EE"/>
    <w:rPr>
      <w:sz w:val="2"/>
    </w:rPr>
  </w:style>
  <w:style w:type="character" w:customStyle="1" w:styleId="ASpacerChar">
    <w:name w:val="A_Spacer Char"/>
    <w:basedOn w:val="DefaultParagraphFont"/>
    <w:link w:val="ASpacer"/>
    <w:rsid w:val="007C29EE"/>
    <w:rPr>
      <w:rFonts w:eastAsia="Times New Roman"/>
      <w:sz w:val="2"/>
      <w:lang w:val="en-GB" w:eastAsia="en-US"/>
    </w:rPr>
  </w:style>
  <w:style w:type="paragraph" w:customStyle="1" w:styleId="AATitle1">
    <w:name w:val="AA_Title1"/>
    <w:basedOn w:val="Normal-pool"/>
    <w:qFormat/>
    <w:rsid w:val="007C29EE"/>
  </w:style>
  <w:style w:type="character" w:styleId="UnresolvedMention">
    <w:name w:val="Unresolved Mention"/>
    <w:basedOn w:val="DefaultParagraphFont"/>
    <w:uiPriority w:val="99"/>
    <w:semiHidden/>
    <w:rsid w:val="007C29EE"/>
    <w:rPr>
      <w:color w:val="605E5C"/>
      <w:shd w:val="clear" w:color="auto" w:fill="E1DFDD"/>
      <w:lang w:val="en-GB"/>
    </w:rPr>
  </w:style>
  <w:style w:type="paragraph" w:customStyle="1" w:styleId="ANormal">
    <w:name w:val="A_Normal"/>
    <w:basedOn w:val="Normal-pool"/>
    <w:qFormat/>
    <w:rsid w:val="007C29EE"/>
  </w:style>
  <w:style w:type="paragraph" w:customStyle="1" w:styleId="AText0">
    <w:name w:val="A_Text0"/>
    <w:basedOn w:val="AText"/>
    <w:next w:val="AText"/>
    <w:qFormat/>
    <w:rsid w:val="007C29EE"/>
    <w:pPr>
      <w:tabs>
        <w:tab w:val="clear" w:pos="4990"/>
      </w:tabs>
      <w:spacing w:before="0" w:after="120"/>
    </w:pPr>
  </w:style>
  <w:style w:type="paragraph" w:styleId="Footer">
    <w:name w:val="footer"/>
    <w:basedOn w:val="Normal"/>
    <w:link w:val="FooterChar1"/>
    <w:uiPriority w:val="99"/>
    <w:unhideWhenUsed/>
    <w:rsid w:val="007C29EE"/>
    <w:pPr>
      <w:tabs>
        <w:tab w:val="right" w:pos="8641"/>
      </w:tabs>
    </w:pPr>
    <w:rPr>
      <w:b/>
      <w:sz w:val="18"/>
    </w:rPr>
  </w:style>
  <w:style w:type="character" w:customStyle="1" w:styleId="FooterChar1">
    <w:name w:val="Footer Char1"/>
    <w:basedOn w:val="DefaultParagraphFont"/>
    <w:link w:val="Footer"/>
    <w:uiPriority w:val="99"/>
    <w:rsid w:val="007C29EE"/>
    <w:rPr>
      <w:rFonts w:eastAsia="Times New Roman"/>
      <w:b/>
      <w:sz w:val="18"/>
      <w:lang w:val="en-GB" w:eastAsia="en-US"/>
    </w:rPr>
  </w:style>
  <w:style w:type="paragraph" w:customStyle="1" w:styleId="Normal-pool">
    <w:name w:val="Normal-pool"/>
    <w:link w:val="Normal-poolChar"/>
    <w:qFormat/>
    <w:rsid w:val="007C29EE"/>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7C29EE"/>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7C29EE"/>
    <w:pPr>
      <w:spacing w:before="60"/>
      <w:ind w:left="624"/>
    </w:pPr>
    <w:rPr>
      <w:rFonts w:eastAsiaTheme="minorEastAsia"/>
      <w:sz w:val="18"/>
    </w:rPr>
  </w:style>
  <w:style w:type="paragraph" w:styleId="Bibliography">
    <w:name w:val="Bibliography"/>
    <w:basedOn w:val="Normal"/>
    <w:next w:val="Normal"/>
    <w:uiPriority w:val="37"/>
    <w:semiHidden/>
    <w:rsid w:val="007C29EE"/>
  </w:style>
  <w:style w:type="paragraph" w:styleId="BlockText">
    <w:name w:val="Block Text"/>
    <w:basedOn w:val="Normal"/>
    <w:semiHidden/>
    <w:unhideWhenUsed/>
    <w:rsid w:val="007C29E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C29EE"/>
    <w:pPr>
      <w:spacing w:after="120"/>
    </w:pPr>
  </w:style>
  <w:style w:type="character" w:customStyle="1" w:styleId="BodyTextChar">
    <w:name w:val="Body Text Char"/>
    <w:basedOn w:val="DefaultParagraphFont"/>
    <w:link w:val="BodyText"/>
    <w:semiHidden/>
    <w:rsid w:val="007C29EE"/>
    <w:rPr>
      <w:rFonts w:eastAsia="Times New Roman"/>
      <w:lang w:val="en-GB" w:eastAsia="en-US"/>
    </w:rPr>
  </w:style>
  <w:style w:type="paragraph" w:styleId="BodyText2">
    <w:name w:val="Body Text 2"/>
    <w:basedOn w:val="Normal"/>
    <w:link w:val="BodyText2Char"/>
    <w:semiHidden/>
    <w:unhideWhenUsed/>
    <w:rsid w:val="007C29EE"/>
    <w:pPr>
      <w:spacing w:after="120" w:line="480" w:lineRule="auto"/>
    </w:pPr>
  </w:style>
  <w:style w:type="character" w:customStyle="1" w:styleId="BodyText2Char">
    <w:name w:val="Body Text 2 Char"/>
    <w:basedOn w:val="DefaultParagraphFont"/>
    <w:link w:val="BodyText2"/>
    <w:semiHidden/>
    <w:rsid w:val="007C29EE"/>
    <w:rPr>
      <w:rFonts w:eastAsia="Times New Roman"/>
      <w:lang w:val="en-GB" w:eastAsia="en-US"/>
    </w:rPr>
  </w:style>
  <w:style w:type="paragraph" w:styleId="BodyText3">
    <w:name w:val="Body Text 3"/>
    <w:basedOn w:val="Normal"/>
    <w:link w:val="BodyText3Char"/>
    <w:semiHidden/>
    <w:unhideWhenUsed/>
    <w:rsid w:val="007C29EE"/>
    <w:pPr>
      <w:spacing w:after="120"/>
    </w:pPr>
    <w:rPr>
      <w:sz w:val="16"/>
      <w:szCs w:val="16"/>
    </w:rPr>
  </w:style>
  <w:style w:type="character" w:customStyle="1" w:styleId="BodyText3Char">
    <w:name w:val="Body Text 3 Char"/>
    <w:basedOn w:val="DefaultParagraphFont"/>
    <w:link w:val="BodyText3"/>
    <w:semiHidden/>
    <w:rsid w:val="007C29EE"/>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7C29EE"/>
    <w:pPr>
      <w:spacing w:after="0"/>
      <w:ind w:firstLine="360"/>
    </w:pPr>
  </w:style>
  <w:style w:type="character" w:customStyle="1" w:styleId="BodyTextFirstIndentChar">
    <w:name w:val="Body Text First Indent Char"/>
    <w:basedOn w:val="BodyTextChar"/>
    <w:link w:val="BodyTextFirstIndent"/>
    <w:semiHidden/>
    <w:rsid w:val="007C29EE"/>
    <w:rPr>
      <w:rFonts w:eastAsia="Times New Roman"/>
      <w:lang w:val="en-GB" w:eastAsia="en-US"/>
    </w:rPr>
  </w:style>
  <w:style w:type="paragraph" w:styleId="BodyTextIndent">
    <w:name w:val="Body Text Indent"/>
    <w:basedOn w:val="Normal"/>
    <w:link w:val="BodyTextIndentChar"/>
    <w:semiHidden/>
    <w:unhideWhenUsed/>
    <w:rsid w:val="007C29EE"/>
    <w:pPr>
      <w:spacing w:after="120"/>
      <w:ind w:left="283"/>
    </w:pPr>
  </w:style>
  <w:style w:type="character" w:customStyle="1" w:styleId="BodyTextIndentChar">
    <w:name w:val="Body Text Indent Char"/>
    <w:basedOn w:val="DefaultParagraphFont"/>
    <w:link w:val="BodyTextIndent"/>
    <w:semiHidden/>
    <w:rsid w:val="007C29EE"/>
    <w:rPr>
      <w:rFonts w:eastAsia="Times New Roman"/>
      <w:lang w:val="en-GB" w:eastAsia="en-US"/>
    </w:rPr>
  </w:style>
  <w:style w:type="paragraph" w:styleId="BodyTextFirstIndent2">
    <w:name w:val="Body Text First Indent 2"/>
    <w:basedOn w:val="BodyTextIndent"/>
    <w:link w:val="BodyTextFirstIndent2Char"/>
    <w:semiHidden/>
    <w:unhideWhenUsed/>
    <w:rsid w:val="007C29EE"/>
    <w:pPr>
      <w:spacing w:after="0"/>
      <w:ind w:left="360" w:firstLine="360"/>
    </w:pPr>
  </w:style>
  <w:style w:type="character" w:customStyle="1" w:styleId="BodyTextFirstIndent2Char">
    <w:name w:val="Body Text First Indent 2 Char"/>
    <w:basedOn w:val="BodyTextIndentChar"/>
    <w:link w:val="BodyTextFirstIndent2"/>
    <w:semiHidden/>
    <w:rsid w:val="007C29EE"/>
    <w:rPr>
      <w:rFonts w:eastAsia="Times New Roman"/>
      <w:lang w:val="en-GB" w:eastAsia="en-US"/>
    </w:rPr>
  </w:style>
  <w:style w:type="paragraph" w:styleId="BodyTextIndent2">
    <w:name w:val="Body Text Indent 2"/>
    <w:basedOn w:val="Normal"/>
    <w:link w:val="BodyTextIndent2Char"/>
    <w:semiHidden/>
    <w:unhideWhenUsed/>
    <w:rsid w:val="007C29EE"/>
    <w:pPr>
      <w:spacing w:after="120" w:line="480" w:lineRule="auto"/>
      <w:ind w:left="283"/>
    </w:pPr>
  </w:style>
  <w:style w:type="character" w:customStyle="1" w:styleId="BodyTextIndent2Char">
    <w:name w:val="Body Text Indent 2 Char"/>
    <w:basedOn w:val="DefaultParagraphFont"/>
    <w:link w:val="BodyTextIndent2"/>
    <w:semiHidden/>
    <w:rsid w:val="007C29EE"/>
    <w:rPr>
      <w:rFonts w:eastAsia="Times New Roman"/>
      <w:lang w:val="en-GB" w:eastAsia="en-US"/>
    </w:rPr>
  </w:style>
  <w:style w:type="paragraph" w:styleId="BodyTextIndent3">
    <w:name w:val="Body Text Indent 3"/>
    <w:basedOn w:val="Normal"/>
    <w:link w:val="BodyTextIndent3Char"/>
    <w:semiHidden/>
    <w:unhideWhenUsed/>
    <w:rsid w:val="007C29EE"/>
    <w:pPr>
      <w:spacing w:after="120"/>
      <w:ind w:left="283"/>
    </w:pPr>
    <w:rPr>
      <w:sz w:val="16"/>
      <w:szCs w:val="16"/>
    </w:rPr>
  </w:style>
  <w:style w:type="character" w:customStyle="1" w:styleId="BodyTextIndent3Char">
    <w:name w:val="Body Text Indent 3 Char"/>
    <w:basedOn w:val="DefaultParagraphFont"/>
    <w:link w:val="BodyTextIndent3"/>
    <w:semiHidden/>
    <w:rsid w:val="007C29EE"/>
    <w:rPr>
      <w:rFonts w:eastAsia="Times New Roman"/>
      <w:sz w:val="16"/>
      <w:szCs w:val="16"/>
      <w:lang w:val="en-GB" w:eastAsia="en-US"/>
    </w:rPr>
  </w:style>
  <w:style w:type="character" w:styleId="BookTitle">
    <w:name w:val="Book Title"/>
    <w:basedOn w:val="DefaultParagraphFont"/>
    <w:uiPriority w:val="33"/>
    <w:qFormat/>
    <w:rsid w:val="007C29EE"/>
    <w:rPr>
      <w:b/>
      <w:bCs/>
      <w:i/>
      <w:iCs/>
      <w:spacing w:val="5"/>
      <w:lang w:val="en-GB"/>
    </w:rPr>
  </w:style>
  <w:style w:type="paragraph" w:styleId="Caption">
    <w:name w:val="caption"/>
    <w:basedOn w:val="Normal"/>
    <w:next w:val="Normal"/>
    <w:uiPriority w:val="35"/>
    <w:semiHidden/>
    <w:unhideWhenUsed/>
    <w:qFormat/>
    <w:rsid w:val="007C29EE"/>
    <w:pPr>
      <w:spacing w:after="200"/>
    </w:pPr>
    <w:rPr>
      <w:i/>
      <w:iCs/>
      <w:color w:val="1F497D" w:themeColor="text2"/>
      <w:sz w:val="18"/>
      <w:szCs w:val="18"/>
    </w:rPr>
  </w:style>
  <w:style w:type="paragraph" w:styleId="Closing">
    <w:name w:val="Closing"/>
    <w:basedOn w:val="Normal"/>
    <w:link w:val="ClosingChar"/>
    <w:semiHidden/>
    <w:unhideWhenUsed/>
    <w:rsid w:val="007C29EE"/>
    <w:pPr>
      <w:ind w:left="4252"/>
    </w:pPr>
  </w:style>
  <w:style w:type="character" w:customStyle="1" w:styleId="ClosingChar">
    <w:name w:val="Closing Char"/>
    <w:basedOn w:val="DefaultParagraphFont"/>
    <w:link w:val="Closing"/>
    <w:semiHidden/>
    <w:rsid w:val="007C29EE"/>
    <w:rPr>
      <w:rFonts w:eastAsia="Times New Roman"/>
      <w:lang w:val="en-GB" w:eastAsia="en-US"/>
    </w:rPr>
  </w:style>
  <w:style w:type="table" w:styleId="ColorfulGrid">
    <w:name w:val="Colorful Grid"/>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C29E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C29E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C29E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C29E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C29E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C29E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C29E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C29E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C29E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C29E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C29E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C29E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C29E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C29E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C29E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C29E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C29E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C29E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C29E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C29E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C29E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7C29EE"/>
  </w:style>
  <w:style w:type="character" w:customStyle="1" w:styleId="DateChar">
    <w:name w:val="Date Char"/>
    <w:basedOn w:val="DefaultParagraphFont"/>
    <w:link w:val="Date"/>
    <w:semiHidden/>
    <w:rsid w:val="007C29EE"/>
    <w:rPr>
      <w:rFonts w:eastAsia="Times New Roman"/>
      <w:lang w:val="en-GB" w:eastAsia="en-US"/>
    </w:rPr>
  </w:style>
  <w:style w:type="paragraph" w:styleId="DocumentMap">
    <w:name w:val="Document Map"/>
    <w:basedOn w:val="Normal"/>
    <w:link w:val="DocumentMapChar"/>
    <w:semiHidden/>
    <w:unhideWhenUsed/>
    <w:rsid w:val="007C29EE"/>
    <w:rPr>
      <w:rFonts w:ascii="Segoe UI" w:hAnsi="Segoe UI" w:cs="Segoe UI"/>
      <w:sz w:val="16"/>
      <w:szCs w:val="16"/>
    </w:rPr>
  </w:style>
  <w:style w:type="character" w:customStyle="1" w:styleId="DocumentMapChar">
    <w:name w:val="Document Map Char"/>
    <w:basedOn w:val="DefaultParagraphFont"/>
    <w:link w:val="DocumentMap"/>
    <w:semiHidden/>
    <w:rsid w:val="007C29EE"/>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7C29EE"/>
  </w:style>
  <w:style w:type="character" w:customStyle="1" w:styleId="E-mailSignatureChar">
    <w:name w:val="E-mail Signature Char"/>
    <w:basedOn w:val="DefaultParagraphFont"/>
    <w:link w:val="E-mailSignature"/>
    <w:semiHidden/>
    <w:rsid w:val="007C29EE"/>
    <w:rPr>
      <w:rFonts w:eastAsia="Times New Roman"/>
      <w:lang w:val="en-GB" w:eastAsia="en-US"/>
    </w:rPr>
  </w:style>
  <w:style w:type="character" w:styleId="Emphasis">
    <w:name w:val="Emphasis"/>
    <w:basedOn w:val="DefaultParagraphFont"/>
    <w:qFormat/>
    <w:rsid w:val="007C29EE"/>
    <w:rPr>
      <w:i/>
      <w:iCs/>
      <w:lang w:val="en-GB"/>
    </w:rPr>
  </w:style>
  <w:style w:type="character" w:styleId="EndnoteReference">
    <w:name w:val="endnote reference"/>
    <w:basedOn w:val="DefaultParagraphFont"/>
    <w:semiHidden/>
    <w:unhideWhenUsed/>
    <w:rsid w:val="007C29EE"/>
    <w:rPr>
      <w:vertAlign w:val="superscript"/>
      <w:lang w:val="en-GB"/>
    </w:rPr>
  </w:style>
  <w:style w:type="paragraph" w:styleId="EndnoteText">
    <w:name w:val="endnote text"/>
    <w:basedOn w:val="Normal"/>
    <w:link w:val="EndnoteTextChar"/>
    <w:semiHidden/>
    <w:unhideWhenUsed/>
    <w:rsid w:val="007C29EE"/>
  </w:style>
  <w:style w:type="character" w:customStyle="1" w:styleId="EndnoteTextChar">
    <w:name w:val="Endnote Text Char"/>
    <w:basedOn w:val="DefaultParagraphFont"/>
    <w:link w:val="EndnoteText"/>
    <w:semiHidden/>
    <w:rsid w:val="007C29EE"/>
    <w:rPr>
      <w:rFonts w:eastAsia="Times New Roman"/>
      <w:lang w:val="en-GB" w:eastAsia="en-US"/>
    </w:rPr>
  </w:style>
  <w:style w:type="paragraph" w:styleId="EnvelopeAddress">
    <w:name w:val="envelope address"/>
    <w:basedOn w:val="Normal"/>
    <w:semiHidden/>
    <w:unhideWhenUsed/>
    <w:rsid w:val="007C29E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7C29EE"/>
    <w:rPr>
      <w:rFonts w:asciiTheme="majorHAnsi" w:eastAsiaTheme="majorEastAsia" w:hAnsiTheme="majorHAnsi" w:cstheme="majorBidi"/>
    </w:rPr>
  </w:style>
  <w:style w:type="paragraph" w:styleId="FootnoteText">
    <w:name w:val="footnote text"/>
    <w:aliases w:val="Fußnotentextf, Char1,Geneva 9,Font: Geneva 9,Boston 10,f,-E Fußnotentext,Fußnotentext Ursprung,-E Fußnotentext1,-E Fußnotentext2,-E Fußnotentext3,Fußnotentext Char1,Fußnotentext Char Char,Fußnotentext Char1 Char Char,Char1,DNV-FT,fn,ft"/>
    <w:basedOn w:val="Normal"/>
    <w:link w:val="FootnoteTextChar"/>
    <w:uiPriority w:val="99"/>
    <w:unhideWhenUsed/>
    <w:qFormat/>
    <w:rsid w:val="007C29EE"/>
  </w:style>
  <w:style w:type="character" w:customStyle="1" w:styleId="FootnoteTextChar">
    <w:name w:val="Footnote Text Char"/>
    <w:aliases w:val="Fußnotentextf Char, Char1 Char,Geneva 9 Char,Font: Geneva 9 Char,Boston 10 Char,f Char,-E Fußnotentext Char,Fußnotentext Ursprung Char,-E Fußnotentext1 Char,-E Fußnotentext2 Char,-E Fußnotentext3 Char,Fußnotentext Char1 Char,fn Char"/>
    <w:basedOn w:val="DefaultParagraphFont"/>
    <w:link w:val="FootnoteText"/>
    <w:uiPriority w:val="99"/>
    <w:rsid w:val="007C29EE"/>
    <w:rPr>
      <w:rFonts w:eastAsia="Times New Roman"/>
      <w:lang w:val="en-GB" w:eastAsia="en-US"/>
    </w:rPr>
  </w:style>
  <w:style w:type="table" w:styleId="GridTable1Light">
    <w:name w:val="Grid Table 1 Light"/>
    <w:basedOn w:val="TableNormal"/>
    <w:uiPriority w:val="46"/>
    <w:rsid w:val="007C29E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C29E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C29E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C29E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C29E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C29E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C29E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C29E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C29E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C29E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C29E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C29E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C29E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C29E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C29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C29E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C29E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C29E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C29E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C29E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C29E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C29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C29E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C29E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C29E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C29E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C29E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C29E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C29E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C29E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C29E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C29E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C29E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C29E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C29E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C29E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C29E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C29E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C29E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C29E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C29E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C29E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7C29EE"/>
    <w:rPr>
      <w:color w:val="2B579A"/>
      <w:shd w:val="clear" w:color="auto" w:fill="E1DFDD"/>
      <w:lang w:val="en-GB"/>
    </w:rPr>
  </w:style>
  <w:style w:type="character" w:styleId="HTMLAcronym">
    <w:name w:val="HTML Acronym"/>
    <w:basedOn w:val="DefaultParagraphFont"/>
    <w:semiHidden/>
    <w:unhideWhenUsed/>
    <w:rsid w:val="007C29EE"/>
    <w:rPr>
      <w:lang w:val="en-GB"/>
    </w:rPr>
  </w:style>
  <w:style w:type="paragraph" w:styleId="HTMLAddress">
    <w:name w:val="HTML Address"/>
    <w:basedOn w:val="Normal"/>
    <w:link w:val="HTMLAddressChar"/>
    <w:semiHidden/>
    <w:unhideWhenUsed/>
    <w:rsid w:val="007C29EE"/>
    <w:rPr>
      <w:i/>
      <w:iCs/>
    </w:rPr>
  </w:style>
  <w:style w:type="character" w:customStyle="1" w:styleId="HTMLAddressChar">
    <w:name w:val="HTML Address Char"/>
    <w:basedOn w:val="DefaultParagraphFont"/>
    <w:link w:val="HTMLAddress"/>
    <w:semiHidden/>
    <w:rsid w:val="007C29EE"/>
    <w:rPr>
      <w:rFonts w:eastAsia="Times New Roman"/>
      <w:i/>
      <w:iCs/>
      <w:lang w:val="en-GB" w:eastAsia="en-US"/>
    </w:rPr>
  </w:style>
  <w:style w:type="character" w:styleId="HTMLCite">
    <w:name w:val="HTML Cite"/>
    <w:basedOn w:val="DefaultParagraphFont"/>
    <w:semiHidden/>
    <w:unhideWhenUsed/>
    <w:rsid w:val="007C29EE"/>
    <w:rPr>
      <w:i/>
      <w:iCs/>
      <w:lang w:val="en-GB"/>
    </w:rPr>
  </w:style>
  <w:style w:type="character" w:styleId="HTMLCode">
    <w:name w:val="HTML Code"/>
    <w:basedOn w:val="DefaultParagraphFont"/>
    <w:semiHidden/>
    <w:unhideWhenUsed/>
    <w:rsid w:val="007C29EE"/>
    <w:rPr>
      <w:rFonts w:ascii="Consolas" w:hAnsi="Consolas"/>
      <w:sz w:val="20"/>
      <w:szCs w:val="20"/>
      <w:lang w:val="en-GB"/>
    </w:rPr>
  </w:style>
  <w:style w:type="character" w:styleId="HTMLDefinition">
    <w:name w:val="HTML Definition"/>
    <w:basedOn w:val="DefaultParagraphFont"/>
    <w:semiHidden/>
    <w:unhideWhenUsed/>
    <w:rsid w:val="007C29EE"/>
    <w:rPr>
      <w:i/>
      <w:iCs/>
      <w:lang w:val="en-GB"/>
    </w:rPr>
  </w:style>
  <w:style w:type="character" w:styleId="HTMLKeyboard">
    <w:name w:val="HTML Keyboard"/>
    <w:basedOn w:val="DefaultParagraphFont"/>
    <w:semiHidden/>
    <w:unhideWhenUsed/>
    <w:rsid w:val="007C29EE"/>
    <w:rPr>
      <w:rFonts w:ascii="Consolas" w:hAnsi="Consolas"/>
      <w:sz w:val="20"/>
      <w:szCs w:val="20"/>
      <w:lang w:val="en-GB"/>
    </w:rPr>
  </w:style>
  <w:style w:type="paragraph" w:styleId="HTMLPreformatted">
    <w:name w:val="HTML Preformatted"/>
    <w:basedOn w:val="Normal"/>
    <w:link w:val="HTMLPreformattedChar"/>
    <w:semiHidden/>
    <w:unhideWhenUsed/>
    <w:rsid w:val="007C29EE"/>
    <w:rPr>
      <w:rFonts w:ascii="Consolas" w:hAnsi="Consolas"/>
    </w:rPr>
  </w:style>
  <w:style w:type="character" w:customStyle="1" w:styleId="HTMLPreformattedChar">
    <w:name w:val="HTML Preformatted Char"/>
    <w:basedOn w:val="DefaultParagraphFont"/>
    <w:link w:val="HTMLPreformatted"/>
    <w:semiHidden/>
    <w:rsid w:val="007C29EE"/>
    <w:rPr>
      <w:rFonts w:ascii="Consolas" w:eastAsia="Times New Roman" w:hAnsi="Consolas"/>
      <w:lang w:val="en-GB" w:eastAsia="en-US"/>
    </w:rPr>
  </w:style>
  <w:style w:type="character" w:styleId="HTMLSample">
    <w:name w:val="HTML Sample"/>
    <w:basedOn w:val="DefaultParagraphFont"/>
    <w:semiHidden/>
    <w:unhideWhenUsed/>
    <w:rsid w:val="007C29EE"/>
    <w:rPr>
      <w:rFonts w:ascii="Consolas" w:hAnsi="Consolas"/>
      <w:sz w:val="24"/>
      <w:szCs w:val="24"/>
      <w:lang w:val="en-GB"/>
    </w:rPr>
  </w:style>
  <w:style w:type="character" w:styleId="HTMLTypewriter">
    <w:name w:val="HTML Typewriter"/>
    <w:basedOn w:val="DefaultParagraphFont"/>
    <w:semiHidden/>
    <w:unhideWhenUsed/>
    <w:rsid w:val="007C29EE"/>
    <w:rPr>
      <w:rFonts w:ascii="Consolas" w:hAnsi="Consolas"/>
      <w:sz w:val="20"/>
      <w:szCs w:val="20"/>
      <w:lang w:val="en-GB"/>
    </w:rPr>
  </w:style>
  <w:style w:type="character" w:styleId="HTMLVariable">
    <w:name w:val="HTML Variable"/>
    <w:basedOn w:val="DefaultParagraphFont"/>
    <w:semiHidden/>
    <w:unhideWhenUsed/>
    <w:rsid w:val="007C29EE"/>
    <w:rPr>
      <w:i/>
      <w:iCs/>
      <w:lang w:val="en-GB"/>
    </w:rPr>
  </w:style>
  <w:style w:type="paragraph" w:styleId="Index1">
    <w:name w:val="index 1"/>
    <w:basedOn w:val="Normal"/>
    <w:next w:val="Normal"/>
    <w:autoRedefine/>
    <w:semiHidden/>
    <w:unhideWhenUsed/>
    <w:rsid w:val="007C29EE"/>
    <w:pPr>
      <w:ind w:left="200" w:hanging="200"/>
    </w:pPr>
  </w:style>
  <w:style w:type="paragraph" w:styleId="Index2">
    <w:name w:val="index 2"/>
    <w:basedOn w:val="Normal"/>
    <w:next w:val="Normal"/>
    <w:autoRedefine/>
    <w:semiHidden/>
    <w:unhideWhenUsed/>
    <w:rsid w:val="007C29EE"/>
    <w:pPr>
      <w:ind w:left="400" w:hanging="200"/>
    </w:pPr>
  </w:style>
  <w:style w:type="paragraph" w:styleId="Index3">
    <w:name w:val="index 3"/>
    <w:basedOn w:val="Normal"/>
    <w:next w:val="Normal"/>
    <w:autoRedefine/>
    <w:semiHidden/>
    <w:unhideWhenUsed/>
    <w:rsid w:val="007C29EE"/>
    <w:pPr>
      <w:ind w:left="600" w:hanging="200"/>
    </w:pPr>
  </w:style>
  <w:style w:type="paragraph" w:styleId="Index4">
    <w:name w:val="index 4"/>
    <w:basedOn w:val="Normal"/>
    <w:next w:val="Normal"/>
    <w:autoRedefine/>
    <w:semiHidden/>
    <w:unhideWhenUsed/>
    <w:rsid w:val="007C29EE"/>
    <w:pPr>
      <w:ind w:left="800" w:hanging="200"/>
    </w:pPr>
  </w:style>
  <w:style w:type="paragraph" w:styleId="Index5">
    <w:name w:val="index 5"/>
    <w:basedOn w:val="Normal"/>
    <w:next w:val="Normal"/>
    <w:autoRedefine/>
    <w:semiHidden/>
    <w:unhideWhenUsed/>
    <w:rsid w:val="007C29EE"/>
    <w:pPr>
      <w:ind w:left="1000" w:hanging="200"/>
    </w:pPr>
  </w:style>
  <w:style w:type="paragraph" w:styleId="Index6">
    <w:name w:val="index 6"/>
    <w:basedOn w:val="Normal"/>
    <w:next w:val="Normal"/>
    <w:autoRedefine/>
    <w:semiHidden/>
    <w:unhideWhenUsed/>
    <w:rsid w:val="007C29EE"/>
    <w:pPr>
      <w:ind w:left="1200" w:hanging="200"/>
    </w:pPr>
  </w:style>
  <w:style w:type="paragraph" w:styleId="Index7">
    <w:name w:val="index 7"/>
    <w:basedOn w:val="Normal"/>
    <w:next w:val="Normal"/>
    <w:autoRedefine/>
    <w:semiHidden/>
    <w:unhideWhenUsed/>
    <w:rsid w:val="007C29EE"/>
    <w:pPr>
      <w:ind w:left="1400" w:hanging="200"/>
    </w:pPr>
  </w:style>
  <w:style w:type="paragraph" w:styleId="Index8">
    <w:name w:val="index 8"/>
    <w:basedOn w:val="Normal"/>
    <w:next w:val="Normal"/>
    <w:autoRedefine/>
    <w:semiHidden/>
    <w:unhideWhenUsed/>
    <w:rsid w:val="007C29EE"/>
    <w:pPr>
      <w:ind w:left="1600" w:hanging="200"/>
    </w:pPr>
  </w:style>
  <w:style w:type="paragraph" w:styleId="Index9">
    <w:name w:val="index 9"/>
    <w:basedOn w:val="Normal"/>
    <w:next w:val="Normal"/>
    <w:autoRedefine/>
    <w:semiHidden/>
    <w:unhideWhenUsed/>
    <w:rsid w:val="007C29EE"/>
    <w:pPr>
      <w:ind w:left="1800" w:hanging="200"/>
    </w:pPr>
  </w:style>
  <w:style w:type="paragraph" w:styleId="IndexHeading">
    <w:name w:val="index heading"/>
    <w:basedOn w:val="Normal"/>
    <w:next w:val="Index1"/>
    <w:semiHidden/>
    <w:unhideWhenUsed/>
    <w:rsid w:val="007C29EE"/>
    <w:rPr>
      <w:rFonts w:asciiTheme="majorHAnsi" w:eastAsiaTheme="majorEastAsia" w:hAnsiTheme="majorHAnsi" w:cstheme="majorBidi"/>
      <w:b/>
      <w:bCs/>
    </w:rPr>
  </w:style>
  <w:style w:type="character" w:styleId="IntenseEmphasis">
    <w:name w:val="Intense Emphasis"/>
    <w:basedOn w:val="DefaultParagraphFont"/>
    <w:uiPriority w:val="21"/>
    <w:qFormat/>
    <w:rsid w:val="007C29EE"/>
    <w:rPr>
      <w:i/>
      <w:iCs/>
      <w:color w:val="4F81BD" w:themeColor="accent1"/>
      <w:lang w:val="en-GB"/>
    </w:rPr>
  </w:style>
  <w:style w:type="paragraph" w:styleId="IntenseQuote">
    <w:name w:val="Intense Quote"/>
    <w:basedOn w:val="Normal"/>
    <w:next w:val="Normal"/>
    <w:link w:val="IntenseQuoteChar"/>
    <w:uiPriority w:val="30"/>
    <w:qFormat/>
    <w:rsid w:val="007C29E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C29EE"/>
    <w:rPr>
      <w:rFonts w:eastAsia="Times New Roman"/>
      <w:i/>
      <w:iCs/>
      <w:color w:val="4F81BD" w:themeColor="accent1"/>
      <w:lang w:val="en-GB" w:eastAsia="en-US"/>
    </w:rPr>
  </w:style>
  <w:style w:type="character" w:styleId="IntenseReference">
    <w:name w:val="Intense Reference"/>
    <w:basedOn w:val="DefaultParagraphFont"/>
    <w:uiPriority w:val="32"/>
    <w:qFormat/>
    <w:rsid w:val="007C29EE"/>
    <w:rPr>
      <w:b/>
      <w:bCs/>
      <w:smallCaps/>
      <w:color w:val="4F81BD" w:themeColor="accent1"/>
      <w:spacing w:val="5"/>
      <w:lang w:val="en-GB"/>
    </w:rPr>
  </w:style>
  <w:style w:type="table" w:styleId="LightGrid">
    <w:name w:val="Light Grid"/>
    <w:basedOn w:val="TableNormal"/>
    <w:uiPriority w:val="62"/>
    <w:semiHidden/>
    <w:unhideWhenUsed/>
    <w:rsid w:val="007C29E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C29E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C29E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C29E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C29E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C29E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C29E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C29E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C29E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C29E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C29E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C29E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C29E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C29E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C29E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C29E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C29E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C29E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C29E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C29E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C29E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7C29EE"/>
    <w:rPr>
      <w:lang w:val="en-GB"/>
    </w:rPr>
  </w:style>
  <w:style w:type="paragraph" w:styleId="List">
    <w:name w:val="List"/>
    <w:basedOn w:val="Normal"/>
    <w:semiHidden/>
    <w:unhideWhenUsed/>
    <w:rsid w:val="007C29EE"/>
    <w:pPr>
      <w:ind w:left="283" w:hanging="283"/>
      <w:contextualSpacing/>
    </w:pPr>
  </w:style>
  <w:style w:type="paragraph" w:styleId="List2">
    <w:name w:val="List 2"/>
    <w:basedOn w:val="Normal"/>
    <w:semiHidden/>
    <w:unhideWhenUsed/>
    <w:rsid w:val="007C29EE"/>
    <w:pPr>
      <w:ind w:left="566" w:hanging="283"/>
      <w:contextualSpacing/>
    </w:pPr>
  </w:style>
  <w:style w:type="paragraph" w:styleId="List3">
    <w:name w:val="List 3"/>
    <w:basedOn w:val="Normal"/>
    <w:semiHidden/>
    <w:unhideWhenUsed/>
    <w:rsid w:val="007C29EE"/>
    <w:pPr>
      <w:ind w:left="849" w:hanging="283"/>
      <w:contextualSpacing/>
    </w:pPr>
  </w:style>
  <w:style w:type="paragraph" w:styleId="List4">
    <w:name w:val="List 4"/>
    <w:basedOn w:val="Normal"/>
    <w:semiHidden/>
    <w:unhideWhenUsed/>
    <w:rsid w:val="007C29EE"/>
    <w:pPr>
      <w:ind w:left="1132" w:hanging="283"/>
      <w:contextualSpacing/>
    </w:pPr>
  </w:style>
  <w:style w:type="paragraph" w:styleId="List5">
    <w:name w:val="List 5"/>
    <w:basedOn w:val="Normal"/>
    <w:semiHidden/>
    <w:unhideWhenUsed/>
    <w:rsid w:val="007C29EE"/>
    <w:pPr>
      <w:ind w:left="1415" w:hanging="283"/>
      <w:contextualSpacing/>
    </w:pPr>
  </w:style>
  <w:style w:type="paragraph" w:styleId="ListBullet">
    <w:name w:val="List Bullet"/>
    <w:basedOn w:val="Normal"/>
    <w:semiHidden/>
    <w:rsid w:val="007C29EE"/>
    <w:pPr>
      <w:numPr>
        <w:numId w:val="6"/>
      </w:numPr>
      <w:contextualSpacing/>
    </w:pPr>
  </w:style>
  <w:style w:type="paragraph" w:styleId="ListBullet2">
    <w:name w:val="List Bullet 2"/>
    <w:basedOn w:val="Normal"/>
    <w:semiHidden/>
    <w:unhideWhenUsed/>
    <w:rsid w:val="007C29EE"/>
    <w:pPr>
      <w:numPr>
        <w:numId w:val="7"/>
      </w:numPr>
      <w:contextualSpacing/>
    </w:pPr>
  </w:style>
  <w:style w:type="paragraph" w:styleId="ListBullet3">
    <w:name w:val="List Bullet 3"/>
    <w:basedOn w:val="Normal"/>
    <w:semiHidden/>
    <w:unhideWhenUsed/>
    <w:rsid w:val="007C29EE"/>
    <w:pPr>
      <w:numPr>
        <w:numId w:val="8"/>
      </w:numPr>
      <w:contextualSpacing/>
    </w:pPr>
  </w:style>
  <w:style w:type="paragraph" w:styleId="ListBullet4">
    <w:name w:val="List Bullet 4"/>
    <w:basedOn w:val="Normal"/>
    <w:semiHidden/>
    <w:unhideWhenUsed/>
    <w:rsid w:val="007C29EE"/>
    <w:pPr>
      <w:numPr>
        <w:numId w:val="9"/>
      </w:numPr>
      <w:contextualSpacing/>
    </w:pPr>
  </w:style>
  <w:style w:type="paragraph" w:styleId="ListBullet5">
    <w:name w:val="List Bullet 5"/>
    <w:basedOn w:val="Normal"/>
    <w:semiHidden/>
    <w:unhideWhenUsed/>
    <w:rsid w:val="007C29EE"/>
    <w:pPr>
      <w:numPr>
        <w:numId w:val="10"/>
      </w:numPr>
      <w:contextualSpacing/>
    </w:pPr>
  </w:style>
  <w:style w:type="paragraph" w:styleId="ListContinue">
    <w:name w:val="List Continue"/>
    <w:basedOn w:val="Normal"/>
    <w:semiHidden/>
    <w:unhideWhenUsed/>
    <w:rsid w:val="007C29EE"/>
    <w:pPr>
      <w:spacing w:after="120"/>
      <w:ind w:left="283"/>
      <w:contextualSpacing/>
    </w:pPr>
  </w:style>
  <w:style w:type="paragraph" w:styleId="ListContinue2">
    <w:name w:val="List Continue 2"/>
    <w:basedOn w:val="Normal"/>
    <w:semiHidden/>
    <w:unhideWhenUsed/>
    <w:rsid w:val="007C29EE"/>
    <w:pPr>
      <w:spacing w:after="120"/>
      <w:ind w:left="566"/>
      <w:contextualSpacing/>
    </w:pPr>
  </w:style>
  <w:style w:type="paragraph" w:styleId="ListContinue3">
    <w:name w:val="List Continue 3"/>
    <w:basedOn w:val="Normal"/>
    <w:semiHidden/>
    <w:rsid w:val="007C29EE"/>
    <w:pPr>
      <w:spacing w:after="120"/>
      <w:ind w:left="849"/>
      <w:contextualSpacing/>
    </w:pPr>
  </w:style>
  <w:style w:type="paragraph" w:styleId="ListContinue4">
    <w:name w:val="List Continue 4"/>
    <w:basedOn w:val="Normal"/>
    <w:semiHidden/>
    <w:rsid w:val="007C29EE"/>
    <w:pPr>
      <w:spacing w:after="120"/>
      <w:ind w:left="1132"/>
      <w:contextualSpacing/>
    </w:pPr>
  </w:style>
  <w:style w:type="paragraph" w:styleId="ListContinue5">
    <w:name w:val="List Continue 5"/>
    <w:basedOn w:val="Normal"/>
    <w:semiHidden/>
    <w:rsid w:val="007C29EE"/>
    <w:pPr>
      <w:spacing w:after="120"/>
      <w:ind w:left="1415"/>
      <w:contextualSpacing/>
    </w:pPr>
  </w:style>
  <w:style w:type="paragraph" w:styleId="ListNumber">
    <w:name w:val="List Number"/>
    <w:basedOn w:val="Normal"/>
    <w:semiHidden/>
    <w:rsid w:val="007C29EE"/>
    <w:pPr>
      <w:numPr>
        <w:numId w:val="11"/>
      </w:numPr>
      <w:contextualSpacing/>
    </w:pPr>
  </w:style>
  <w:style w:type="paragraph" w:styleId="ListNumber2">
    <w:name w:val="List Number 2"/>
    <w:basedOn w:val="Normal"/>
    <w:semiHidden/>
    <w:unhideWhenUsed/>
    <w:rsid w:val="007C29EE"/>
    <w:pPr>
      <w:numPr>
        <w:numId w:val="12"/>
      </w:numPr>
      <w:contextualSpacing/>
    </w:pPr>
  </w:style>
  <w:style w:type="paragraph" w:styleId="ListNumber3">
    <w:name w:val="List Number 3"/>
    <w:basedOn w:val="Normal"/>
    <w:semiHidden/>
    <w:unhideWhenUsed/>
    <w:rsid w:val="007C29EE"/>
    <w:pPr>
      <w:numPr>
        <w:numId w:val="13"/>
      </w:numPr>
      <w:contextualSpacing/>
    </w:pPr>
  </w:style>
  <w:style w:type="paragraph" w:styleId="ListNumber4">
    <w:name w:val="List Number 4"/>
    <w:basedOn w:val="Normal"/>
    <w:semiHidden/>
    <w:unhideWhenUsed/>
    <w:rsid w:val="007C29EE"/>
    <w:pPr>
      <w:numPr>
        <w:numId w:val="14"/>
      </w:numPr>
      <w:contextualSpacing/>
    </w:pPr>
  </w:style>
  <w:style w:type="paragraph" w:styleId="ListNumber5">
    <w:name w:val="List Number 5"/>
    <w:basedOn w:val="Normal"/>
    <w:semiHidden/>
    <w:unhideWhenUsed/>
    <w:rsid w:val="007C29EE"/>
    <w:pPr>
      <w:numPr>
        <w:numId w:val="15"/>
      </w:numPr>
      <w:contextualSpacing/>
    </w:pPr>
  </w:style>
  <w:style w:type="table" w:styleId="ListTable1Light">
    <w:name w:val="List Table 1 Light"/>
    <w:basedOn w:val="TableNormal"/>
    <w:uiPriority w:val="46"/>
    <w:rsid w:val="007C29E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C29E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C29E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C29E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C29E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C29E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C29E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C29E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C29E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C29E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C29E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C29E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C29E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C29E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C29E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C29E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C29E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C29E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C29E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C29E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C29E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C29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C29E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C29E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C29E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C29E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C29E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C29E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C29E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C29E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C29E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C29E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C29E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C29E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C29E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C29E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C29E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C29E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C29E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C29E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C29E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C29E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C29E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C29E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C29E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C29E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C29E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C29E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C29E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7C29EE"/>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7C29EE"/>
    <w:rPr>
      <w:rFonts w:ascii="Consolas" w:eastAsia="Times New Roman" w:hAnsi="Consolas"/>
      <w:lang w:val="en-GB" w:eastAsia="en-US"/>
    </w:rPr>
  </w:style>
  <w:style w:type="table" w:styleId="MediumGrid1">
    <w:name w:val="Medium Grid 1"/>
    <w:basedOn w:val="TableNormal"/>
    <w:uiPriority w:val="67"/>
    <w:semiHidden/>
    <w:unhideWhenUsed/>
    <w:rsid w:val="007C29E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C29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C29E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C29E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C29E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C29E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C29E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C29E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C29E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C29E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C29E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C29E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C29E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C29E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C29E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C29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C29E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C29E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C29E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C29E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C29E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7C29EE"/>
    <w:rPr>
      <w:color w:val="2B579A"/>
      <w:shd w:val="clear" w:color="auto" w:fill="E1DFDD"/>
      <w:lang w:val="en-GB"/>
    </w:rPr>
  </w:style>
  <w:style w:type="paragraph" w:styleId="MessageHeader">
    <w:name w:val="Message Header"/>
    <w:basedOn w:val="Normal"/>
    <w:link w:val="MessageHeaderChar"/>
    <w:semiHidden/>
    <w:rsid w:val="007C29E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7C29EE"/>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7C29EE"/>
    <w:pPr>
      <w:ind w:left="720"/>
    </w:pPr>
  </w:style>
  <w:style w:type="paragraph" w:styleId="NoteHeading">
    <w:name w:val="Note Heading"/>
    <w:basedOn w:val="Normal"/>
    <w:next w:val="Normal"/>
    <w:link w:val="NoteHeadingChar"/>
    <w:semiHidden/>
    <w:unhideWhenUsed/>
    <w:rsid w:val="007C29EE"/>
  </w:style>
  <w:style w:type="character" w:customStyle="1" w:styleId="NoteHeadingChar">
    <w:name w:val="Note Heading Char"/>
    <w:basedOn w:val="DefaultParagraphFont"/>
    <w:link w:val="NoteHeading"/>
    <w:semiHidden/>
    <w:rsid w:val="007C29EE"/>
    <w:rPr>
      <w:rFonts w:eastAsia="Times New Roman"/>
      <w:lang w:val="en-GB" w:eastAsia="en-US"/>
    </w:rPr>
  </w:style>
  <w:style w:type="table" w:styleId="PlainTable1">
    <w:name w:val="Plain Table 1"/>
    <w:basedOn w:val="TableNormal"/>
    <w:uiPriority w:val="41"/>
    <w:rsid w:val="007C29E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C29E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C29EE"/>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C29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C29E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7C29EE"/>
    <w:rPr>
      <w:rFonts w:ascii="Consolas" w:hAnsi="Consolas"/>
      <w:sz w:val="21"/>
      <w:szCs w:val="21"/>
    </w:rPr>
  </w:style>
  <w:style w:type="character" w:customStyle="1" w:styleId="PlainTextChar">
    <w:name w:val="Plain Text Char"/>
    <w:basedOn w:val="DefaultParagraphFont"/>
    <w:link w:val="PlainText"/>
    <w:semiHidden/>
    <w:rsid w:val="007C29EE"/>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7C29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29EE"/>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7C29EE"/>
  </w:style>
  <w:style w:type="character" w:customStyle="1" w:styleId="SalutationChar">
    <w:name w:val="Salutation Char"/>
    <w:basedOn w:val="DefaultParagraphFont"/>
    <w:link w:val="Salutation"/>
    <w:semiHidden/>
    <w:rsid w:val="007C29EE"/>
    <w:rPr>
      <w:rFonts w:eastAsia="Times New Roman"/>
      <w:lang w:val="en-GB" w:eastAsia="en-US"/>
    </w:rPr>
  </w:style>
  <w:style w:type="paragraph" w:styleId="Signature">
    <w:name w:val="Signature"/>
    <w:basedOn w:val="Normal"/>
    <w:link w:val="SignatureChar"/>
    <w:semiHidden/>
    <w:unhideWhenUsed/>
    <w:rsid w:val="007C29EE"/>
    <w:pPr>
      <w:ind w:left="4252"/>
    </w:pPr>
  </w:style>
  <w:style w:type="character" w:customStyle="1" w:styleId="SignatureChar">
    <w:name w:val="Signature Char"/>
    <w:basedOn w:val="DefaultParagraphFont"/>
    <w:link w:val="Signature"/>
    <w:semiHidden/>
    <w:rsid w:val="007C29EE"/>
    <w:rPr>
      <w:rFonts w:eastAsia="Times New Roman"/>
      <w:lang w:val="en-GB" w:eastAsia="en-US"/>
    </w:rPr>
  </w:style>
  <w:style w:type="character" w:styleId="SmartHyperlink">
    <w:name w:val="Smart Hyperlink"/>
    <w:basedOn w:val="DefaultParagraphFont"/>
    <w:uiPriority w:val="99"/>
    <w:semiHidden/>
    <w:rsid w:val="007C29EE"/>
    <w:rPr>
      <w:u w:val="dotted"/>
      <w:lang w:val="en-GB"/>
    </w:rPr>
  </w:style>
  <w:style w:type="character" w:styleId="SmartLink">
    <w:name w:val="Smart Link"/>
    <w:basedOn w:val="DefaultParagraphFont"/>
    <w:uiPriority w:val="99"/>
    <w:semiHidden/>
    <w:unhideWhenUsed/>
    <w:rsid w:val="007C29EE"/>
    <w:rPr>
      <w:color w:val="0000FF"/>
      <w:u w:val="single"/>
      <w:shd w:val="clear" w:color="auto" w:fill="F3F2F1"/>
      <w:lang w:val="en-GB"/>
    </w:rPr>
  </w:style>
  <w:style w:type="character" w:styleId="Strong">
    <w:name w:val="Strong"/>
    <w:basedOn w:val="DefaultParagraphFont"/>
    <w:uiPriority w:val="22"/>
    <w:qFormat/>
    <w:rsid w:val="007C29EE"/>
    <w:rPr>
      <w:b/>
      <w:bCs/>
      <w:lang w:val="en-GB"/>
    </w:rPr>
  </w:style>
  <w:style w:type="paragraph" w:styleId="Subtitle">
    <w:name w:val="Subtitle"/>
    <w:basedOn w:val="Normal"/>
    <w:next w:val="Normal"/>
    <w:link w:val="SubtitleChar"/>
    <w:qFormat/>
    <w:rsid w:val="007C29E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29EE"/>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7C29EE"/>
    <w:rPr>
      <w:i/>
      <w:iCs/>
      <w:color w:val="404040" w:themeColor="text1" w:themeTint="BF"/>
      <w:lang w:val="en-GB"/>
    </w:rPr>
  </w:style>
  <w:style w:type="character" w:styleId="SubtleReference">
    <w:name w:val="Subtle Reference"/>
    <w:basedOn w:val="DefaultParagraphFont"/>
    <w:uiPriority w:val="31"/>
    <w:qFormat/>
    <w:rsid w:val="007C29EE"/>
    <w:rPr>
      <w:smallCaps/>
      <w:color w:val="5A5A5A" w:themeColor="text1" w:themeTint="A5"/>
      <w:lang w:val="en-GB"/>
    </w:rPr>
  </w:style>
  <w:style w:type="table" w:styleId="Table3Deffects1">
    <w:name w:val="Table 3D effects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C29E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7C29EE"/>
    <w:pPr>
      <w:ind w:left="200" w:hanging="200"/>
    </w:pPr>
  </w:style>
  <w:style w:type="table" w:styleId="TableProfessional">
    <w:name w:val="Table Professional"/>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7C29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C29E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C29EE"/>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7C29EE"/>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SmartLink1">
    <w:name w:val="SmartLink1"/>
    <w:basedOn w:val="DefaultParagraphFont"/>
    <w:uiPriority w:val="99"/>
    <w:semiHidden/>
    <w:unhideWhenUsed/>
    <w:rsid w:val="00E62558"/>
    <w:rPr>
      <w:color w:val="0000FF"/>
      <w:u w:val="single"/>
      <w:shd w:val="clear" w:color="auto" w:fill="F3F2F1"/>
      <w:lang w:val="en-GB"/>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qFormat/>
    <w:rsid w:val="00E62558"/>
    <w:pPr>
      <w:spacing w:after="160" w:line="240" w:lineRule="exact"/>
      <w:jc w:val="both"/>
    </w:pPr>
    <w:rPr>
      <w:rFonts w:eastAsia="SimSun"/>
      <w:szCs w:val="18"/>
      <w:vertAlign w:val="superscript"/>
      <w:lang w:eastAsia="zh-CN"/>
    </w:rPr>
  </w:style>
  <w:style w:type="character" w:customStyle="1" w:styleId="Normal-poolChar">
    <w:name w:val="Normal-pool Char"/>
    <w:link w:val="Normal-pool"/>
    <w:locked/>
    <w:rsid w:val="00E62558"/>
    <w:rPr>
      <w:rFonts w:eastAsia="Times New Roman"/>
      <w:lang w:val="en-GB" w:eastAsia="en-US"/>
    </w:rPr>
  </w:style>
  <w:style w:type="character" w:customStyle="1" w:styleId="ZZAnxtitleChar">
    <w:name w:val="ZZ_Anx_title Char"/>
    <w:link w:val="ZZAnxtitle"/>
    <w:rsid w:val="00E62558"/>
    <w:rPr>
      <w:rFonts w:eastAsia="Times New Roman"/>
      <w:b/>
      <w:bCs/>
      <w:sz w:val="28"/>
      <w:szCs w:val="26"/>
      <w:lang w:val="en-GB" w:eastAsia="en-US"/>
    </w:rPr>
  </w:style>
  <w:style w:type="character" w:customStyle="1" w:styleId="NormalNonumberChar">
    <w:name w:val="Normal_No_number Char"/>
    <w:link w:val="NormalNonumber"/>
    <w:rsid w:val="00E62558"/>
    <w:rPr>
      <w:rFonts w:eastAsia="Times New Roman"/>
      <w:lang w:val="en-GB" w:eastAsia="en-US"/>
    </w:rPr>
  </w:style>
  <w:style w:type="numbering" w:customStyle="1" w:styleId="Normallist1">
    <w:name w:val="Normal_list1"/>
    <w:basedOn w:val="NoList"/>
    <w:rsid w:val="00E62558"/>
  </w:style>
  <w:style w:type="character" w:customStyle="1" w:styleId="job-value">
    <w:name w:val="job-value"/>
    <w:basedOn w:val="DefaultParagraphFont"/>
    <w:semiHidden/>
    <w:rsid w:val="00E62558"/>
    <w:rPr>
      <w:lang w:val="en-US"/>
    </w:rPr>
  </w:style>
  <w:style w:type="character" w:customStyle="1" w:styleId="job-symbol">
    <w:name w:val="job-symbol"/>
    <w:basedOn w:val="DefaultParagraphFont"/>
    <w:semiHidden/>
    <w:rsid w:val="00E62558"/>
    <w:rPr>
      <w:lang w:val="en-GB"/>
    </w:rPr>
  </w:style>
  <w:style w:type="character" w:customStyle="1" w:styleId="CH2Char">
    <w:name w:val="CH2 Char"/>
    <w:link w:val="CH2"/>
    <w:locked/>
    <w:rsid w:val="00E62558"/>
    <w:rPr>
      <w:rFonts w:eastAsia="Times New Roman"/>
      <w:b/>
      <w:sz w:val="24"/>
      <w:szCs w:val="24"/>
      <w:lang w:val="en-GB" w:eastAsia="en-US"/>
    </w:rPr>
  </w:style>
  <w:style w:type="paragraph" w:styleId="Revision">
    <w:name w:val="Revision"/>
    <w:hidden/>
    <w:uiPriority w:val="99"/>
    <w:semiHidden/>
    <w:rsid w:val="00E62558"/>
    <w:rPr>
      <w:rFonts w:eastAsia="Times New Roman"/>
      <w:lang w:val="en-US" w:eastAsia="en-US"/>
    </w:rPr>
  </w:style>
  <w:style w:type="character" w:customStyle="1" w:styleId="ui-provider">
    <w:name w:val="ui-provider"/>
    <w:basedOn w:val="DefaultParagraphFont"/>
    <w:semiHidden/>
    <w:rsid w:val="00E62558"/>
    <w:rPr>
      <w:lang w:val="en-GB"/>
    </w:rPr>
  </w:style>
  <w:style w:type="numbering" w:customStyle="1" w:styleId="Normallist2">
    <w:name w:val="Normal_list2"/>
    <w:basedOn w:val="NoList"/>
    <w:rsid w:val="00E62558"/>
  </w:style>
  <w:style w:type="paragraph" w:customStyle="1" w:styleId="Normalpool">
    <w:name w:val="Normal_pool"/>
    <w:link w:val="NormalpoolChar"/>
    <w:qFormat/>
    <w:rsid w:val="00E62558"/>
    <w:pPr>
      <w:tabs>
        <w:tab w:val="left" w:pos="624"/>
      </w:tabs>
    </w:pPr>
    <w:rPr>
      <w:rFonts w:eastAsia="Times New Roman"/>
      <w:lang w:val="en-US" w:eastAsia="en-US"/>
    </w:rPr>
  </w:style>
  <w:style w:type="character" w:customStyle="1" w:styleId="NormalpoolChar">
    <w:name w:val="Normal_pool Char"/>
    <w:link w:val="Normalpool"/>
    <w:locked/>
    <w:rsid w:val="00E62558"/>
    <w:rPr>
      <w:rFonts w:eastAsia="Times New Roman"/>
      <w:lang w:val="en-US" w:eastAsia="en-US"/>
    </w:rPr>
  </w:style>
  <w:style w:type="character" w:customStyle="1" w:styleId="job-number">
    <w:name w:val="job-number"/>
    <w:basedOn w:val="DefaultParagraphFont"/>
    <w:rsid w:val="00E62558"/>
    <w:rPr>
      <w:lang w:val="en-GB"/>
    </w:rPr>
  </w:style>
  <w:style w:type="character" w:customStyle="1" w:styleId="ZZAnxheaderChar">
    <w:name w:val="ZZ_Anx_header Char"/>
    <w:link w:val="ZZAnxheader"/>
    <w:rsid w:val="00E62558"/>
    <w:rPr>
      <w:rFonts w:eastAsia="Times New Roman"/>
      <w:b/>
      <w:bCs/>
      <w:sz w:val="28"/>
      <w:szCs w:val="22"/>
      <w:lang w:val="en-GB" w:eastAsia="en-US"/>
    </w:rPr>
  </w:style>
  <w:style w:type="numbering" w:customStyle="1" w:styleId="Normallist3">
    <w:name w:val="Normal_list3"/>
    <w:basedOn w:val="NoList"/>
    <w:rsid w:val="00E62558"/>
  </w:style>
  <w:style w:type="character" w:customStyle="1" w:styleId="ListParagraphChar">
    <w:name w:val="List Paragraph Char"/>
    <w:link w:val="ListParagraph"/>
    <w:uiPriority w:val="34"/>
    <w:locked/>
    <w:rsid w:val="00E62558"/>
    <w:rPr>
      <w:rFonts w:eastAsia="Times New Roman"/>
      <w:lang w:val="en-GB" w:eastAsia="en-US"/>
    </w:rPr>
  </w:style>
  <w:style w:type="paragraph" w:customStyle="1" w:styleId="Style15">
    <w:name w:val="Style15"/>
    <w:basedOn w:val="Normal"/>
    <w:qFormat/>
    <w:rsid w:val="00E62558"/>
    <w:pPr>
      <w:tabs>
        <w:tab w:val="left" w:pos="720"/>
        <w:tab w:val="left" w:pos="1080"/>
      </w:tabs>
    </w:pPr>
    <w:rPr>
      <w:b/>
      <w:color w:val="000000"/>
      <w:lang w:eastAsia="zh-CN"/>
    </w:rPr>
  </w:style>
  <w:style w:type="paragraph" w:customStyle="1" w:styleId="Heading4TEAP">
    <w:name w:val="Heading 4 TEAP"/>
    <w:basedOn w:val="Heading3"/>
    <w:semiHidden/>
    <w:qFormat/>
    <w:rsid w:val="00E62558"/>
    <w:pPr>
      <w:widowControl w:val="0"/>
      <w:numPr>
        <w:numId w:val="0"/>
      </w:numPr>
      <w:tabs>
        <w:tab w:val="clear" w:pos="1871"/>
        <w:tab w:val="clear" w:pos="2495"/>
        <w:tab w:val="clear" w:pos="3119"/>
        <w:tab w:val="clear" w:pos="3742"/>
        <w:tab w:val="clear" w:pos="4366"/>
      </w:tabs>
      <w:suppressAutoHyphens w:val="0"/>
      <w:adjustRightInd w:val="0"/>
      <w:spacing w:before="120" w:after="240" w:line="259" w:lineRule="auto"/>
      <w:ind w:left="851" w:right="29" w:hanging="851"/>
      <w:outlineLvl w:val="3"/>
    </w:pPr>
    <w:rPr>
      <w:rFonts w:eastAsia="SimSun"/>
      <w:bCs/>
      <w:iCs/>
      <w:snapToGrid w:val="0"/>
      <w:color w:val="000000" w:themeColor="text1"/>
      <w:sz w:val="22"/>
      <w:szCs w:val="22"/>
      <w:shd w:val="clear" w:color="auto" w:fill="FFFFFF"/>
      <w:lang w:val="en-US" w:eastAsia="ja-JP"/>
    </w:rPr>
  </w:style>
  <w:style w:type="paragraph" w:customStyle="1" w:styleId="Style10ptAfter6pt1">
    <w:name w:val="Style 10 pt After:  6 pt1"/>
    <w:basedOn w:val="Normal"/>
    <w:autoRedefine/>
    <w:semiHidden/>
    <w:rsid w:val="00E62558"/>
    <w:pPr>
      <w:keepNext/>
      <w:keepLines/>
      <w:spacing w:after="120"/>
    </w:pPr>
    <w:rPr>
      <w:color w:val="000000" w:themeColor="text1"/>
      <w:sz w:val="22"/>
      <w:lang w:eastAsia="zh-CN"/>
    </w:rPr>
  </w:style>
  <w:style w:type="character" w:customStyle="1" w:styleId="normaltextrun">
    <w:name w:val="normaltextrun"/>
    <w:basedOn w:val="DefaultParagraphFont"/>
    <w:rsid w:val="00E62558"/>
    <w:rPr>
      <w:lang w:val="en-GB"/>
    </w:rPr>
  </w:style>
  <w:style w:type="character" w:customStyle="1" w:styleId="eop">
    <w:name w:val="eop"/>
    <w:basedOn w:val="DefaultParagraphFont"/>
    <w:semiHidden/>
    <w:rsid w:val="00E62558"/>
    <w:rPr>
      <w:lang w:val="en-GB"/>
    </w:rPr>
  </w:style>
  <w:style w:type="paragraph" w:customStyle="1" w:styleId="paragraph">
    <w:name w:val="paragraph"/>
    <w:basedOn w:val="Normal"/>
    <w:semiHidden/>
    <w:rsid w:val="00E62558"/>
    <w:pPr>
      <w:spacing w:before="100" w:beforeAutospacing="1" w:after="100" w:afterAutospacing="1"/>
    </w:pPr>
  </w:style>
  <w:style w:type="numbering" w:customStyle="1" w:styleId="Normallist4">
    <w:name w:val="Normal_list4"/>
    <w:basedOn w:val="NoList"/>
    <w:rsid w:val="00E62558"/>
  </w:style>
  <w:style w:type="character" w:customStyle="1" w:styleId="cf01">
    <w:name w:val="cf01"/>
    <w:basedOn w:val="DefaultParagraphFont"/>
    <w:rsid w:val="00E62558"/>
    <w:rPr>
      <w:rFonts w:ascii="Segoe UI" w:hAnsi="Segoe UI" w:cs="Segoe UI" w:hint="default"/>
      <w:i/>
      <w:iCs/>
      <w:sz w:val="18"/>
      <w:szCs w:val="18"/>
      <w:lang w:val="en-GB"/>
    </w:rPr>
  </w:style>
  <w:style w:type="character" w:customStyle="1" w:styleId="CH1Char">
    <w:name w:val="CH1 Char"/>
    <w:link w:val="CH1"/>
    <w:locked/>
    <w:rsid w:val="00E62558"/>
    <w:rPr>
      <w:rFonts w:eastAsia="Times New Roman"/>
      <w:b/>
      <w:sz w:val="28"/>
      <w:szCs w:val="28"/>
      <w:lang w:val="en-GB" w:eastAsia="en-US"/>
    </w:rPr>
  </w:style>
  <w:style w:type="table" w:customStyle="1" w:styleId="TableGrid10">
    <w:name w:val="Table Grid1"/>
    <w:basedOn w:val="TableNormal"/>
    <w:next w:val="TableGrid"/>
    <w:uiPriority w:val="39"/>
    <w:rsid w:val="00E62558"/>
    <w:rPr>
      <w:rFonts w:asciiTheme="minorHAnsi" w:eastAsia="Aptos"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rmallist5">
    <w:name w:val="Normal_list5"/>
    <w:basedOn w:val="NoList"/>
    <w:rsid w:val="00E62558"/>
  </w:style>
  <w:style w:type="character" w:customStyle="1" w:styleId="Hyperlink0">
    <w:name w:val="Hyperlink.0"/>
    <w:autoRedefine/>
    <w:rsid w:val="00E62558"/>
    <w:rPr>
      <w:color w:val="0000FF"/>
      <w:u w:val="single" w:color="0000FF"/>
      <w:lang w:val="en-US"/>
    </w:rPr>
  </w:style>
  <w:style w:type="character" w:customStyle="1" w:styleId="CommentTextChar2">
    <w:name w:val="Comment Text Char2"/>
    <w:basedOn w:val="DefaultParagraphFont"/>
    <w:uiPriority w:val="99"/>
    <w:rsid w:val="00E62558"/>
    <w:rPr>
      <w:rFonts w:ascii="Arial" w:hAnsi="Arial"/>
      <w:lang w:val="en-GB" w:eastAsia="zh-CN"/>
    </w:rPr>
  </w:style>
  <w:style w:type="paragraph" w:customStyle="1" w:styleId="Default">
    <w:name w:val="Default"/>
    <w:rsid w:val="00E62558"/>
    <w:pPr>
      <w:autoSpaceDE w:val="0"/>
      <w:autoSpaceDN w:val="0"/>
      <w:adjustRightInd w:val="0"/>
    </w:pPr>
    <w:rPr>
      <w:rFonts w:eastAsiaTheme="minorHAnsi"/>
      <w:color w:val="000000"/>
      <w:sz w:val="24"/>
      <w:szCs w:val="24"/>
      <w:lang w:val="en-GB" w:eastAsia="en-US"/>
      <w14:ligatures w14:val="standardContextual"/>
    </w:rPr>
  </w:style>
  <w:style w:type="character" w:customStyle="1" w:styleId="Heading3Char1">
    <w:name w:val="Heading 3 Char1"/>
    <w:aliases w:val="Heading 3 Char1 Char Char,Heading 3 Char Char Char Char,Char Char Char Char Char,Char Char1 Char Char,Heading 3 Char1 Char Char1,Heading 3 Char Char Char Char1,Char Char Char Char Char1,Char Char1 Char Char1,Heading 3 Char1 Char Char11"/>
    <w:qFormat/>
    <w:rsid w:val="00E62558"/>
    <w:rPr>
      <w:b w:val="0"/>
      <w:bCs w:val="0"/>
      <w:i/>
      <w:iCs w:val="0"/>
      <w:noProof w:val="0"/>
      <w:color w:val="000000"/>
      <w:sz w:val="24"/>
      <w:lang w:val="en-GB" w:eastAsia="en-US"/>
    </w:rPr>
  </w:style>
  <w:style w:type="paragraph" w:customStyle="1" w:styleId="ListBulletTEAP">
    <w:name w:val="List Bullet TEAP"/>
    <w:basedOn w:val="ListBullet"/>
    <w:qFormat/>
    <w:rsid w:val="00E62558"/>
    <w:pPr>
      <w:numPr>
        <w:numId w:val="16"/>
      </w:numPr>
      <w:spacing w:after="240"/>
      <w:ind w:left="0" w:firstLine="0"/>
      <w:contextualSpacing w:val="0"/>
    </w:pPr>
    <w:rPr>
      <w:sz w:val="22"/>
      <w:lang w:eastAsia="zh-CN"/>
    </w:rPr>
  </w:style>
  <w:style w:type="table" w:customStyle="1" w:styleId="TableGrid0">
    <w:name w:val="Table Grid0"/>
    <w:basedOn w:val="TableNormal"/>
    <w:uiPriority w:val="39"/>
    <w:locked/>
    <w:rsid w:val="00E62558"/>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列出段落"/>
    <w:basedOn w:val="Normal"/>
    <w:uiPriority w:val="34"/>
    <w:qFormat/>
    <w:locked/>
    <w:rsid w:val="00E62558"/>
    <w:pPr>
      <w:autoSpaceDE w:val="0"/>
      <w:autoSpaceDN w:val="0"/>
      <w:spacing w:after="200"/>
      <w:ind w:left="720"/>
    </w:pPr>
    <w:rPr>
      <w:rFonts w:ascii="Cambria" w:hAnsi="Cambria"/>
      <w:sz w:val="22"/>
      <w:szCs w:val="22"/>
      <w:lang w:val="en-CA"/>
    </w:rPr>
  </w:style>
  <w:style w:type="table" w:customStyle="1" w:styleId="GridTable5Dark-Accent11">
    <w:name w:val="Grid Table 5 Dark - Accent 11"/>
    <w:basedOn w:val="TableNormal"/>
    <w:next w:val="GridTable5Dark-Accent1"/>
    <w:uiPriority w:val="50"/>
    <w:rsid w:val="00E62558"/>
    <w:rPr>
      <w:rFonts w:ascii="Calibri" w:eastAsia="Calibri" w:hAnsi="Calibri"/>
      <w:sz w:val="24"/>
      <w:szCs w:val="24"/>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font-claude-response-body">
    <w:name w:val="font-claude-response-body"/>
    <w:basedOn w:val="Normal"/>
    <w:rsid w:val="001358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zone.unep.org/treaties/montreal-protocol/meetings/thirtieth-meeting-parties/decisions/annex-i-adjust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b29a07-ae0c-4297-aad9-2f7ae2e24b8e">
      <Terms xmlns="http://schemas.microsoft.com/office/infopath/2007/PartnerControls"/>
    </lcf76f155ced4ddcb4097134ff3c332f>
    <TaxCatchAll xmlns="985ec44e-1bab-4c0b-9df0-6ba128686fc9" xsi:nil="true"/>
    <sizeofdoc xmlns="44b29a07-ae0c-4297-aad9-2f7ae2e24b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44b29a07-ae0c-4297-aad9-2f7ae2e24b8e"/>
    <ds:schemaRef ds:uri="985ec44e-1bab-4c0b-9df0-6ba128686fc9"/>
  </ds:schemaRefs>
</ds:datastoreItem>
</file>

<file path=customXml/itemProps3.xml><?xml version="1.0" encoding="utf-8"?>
<ds:datastoreItem xmlns:ds="http://schemas.openxmlformats.org/officeDocument/2006/customXml" ds:itemID="{F1F2DC91-B7AC-4521-9E61-DC9241B8E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40</TotalTime>
  <Pages>33</Pages>
  <Words>16338</Words>
  <Characters>93128</Characters>
  <Application>Microsoft Office Word</Application>
  <DocSecurity>0</DocSecurity>
  <PresentationFormat/>
  <Lines>776</Lines>
  <Paragraphs>218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Julius Njenga</cp:lastModifiedBy>
  <cp:revision>13</cp:revision>
  <cp:lastPrinted>2026-07-07T09:47:00Z</cp:lastPrinted>
  <dcterms:created xsi:type="dcterms:W3CDTF">2026-07-06T09:48:00Z</dcterms:created>
  <dcterms:modified xsi:type="dcterms:W3CDTF">2026-07-07T09:48:00Z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0x010100A8527E0A0837F64083645E115EB57567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TranslatedWith">
    <vt:lpwstr>Mercury</vt:lpwstr>
  </property>
  <property fmtid="{D5CDD505-2E9C-101B-9397-08002B2CF9AE}" pid="20" name="GeneratedBy">
    <vt:lpwstr>taira.mamedova@un.org</vt:lpwstr>
  </property>
  <property fmtid="{D5CDD505-2E9C-101B-9397-08002B2CF9AE}" pid="21" name="GeneratedDate">
    <vt:lpwstr>06/28/2026 17:25:58</vt:lpwstr>
  </property>
  <property fmtid="{D5CDD505-2E9C-101B-9397-08002B2CF9AE}" pid="22" name="OriginalDocID">
    <vt:lpwstr>a602008e-cd2a-47bc-8631-3391a89277dd</vt:lpwstr>
  </property>
</Properties>
</file>