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67C2D" w:rsidRPr="00851078" w14:paraId="672CF518" w14:textId="77777777" w:rsidTr="00167C2D">
        <w:trPr>
          <w:trHeight w:val="850"/>
        </w:trPr>
        <w:tc>
          <w:tcPr>
            <w:tcW w:w="1559" w:type="dxa"/>
          </w:tcPr>
          <w:p w14:paraId="3754B114" w14:textId="4B60A8D3" w:rsidR="00167C2D" w:rsidRPr="00851078" w:rsidRDefault="00167C2D" w:rsidP="00167C2D">
            <w:pPr>
              <w:pStyle w:val="AUnitedNations"/>
              <w:rPr>
                <w:rFonts w:eastAsiaTheme="minorEastAsia"/>
              </w:rPr>
            </w:pPr>
            <w:r w:rsidRPr="00851078">
              <w:rPr>
                <w:rFonts w:eastAsiaTheme="minorEastAsia"/>
              </w:rPr>
              <w:t xml:space="preserve">United </w:t>
            </w:r>
            <w:r w:rsidRPr="00851078">
              <w:rPr>
                <w:rFonts w:eastAsiaTheme="minorEastAsia"/>
              </w:rPr>
              <w:br/>
              <w:t>Nations</w:t>
            </w:r>
          </w:p>
        </w:tc>
        <w:tc>
          <w:tcPr>
            <w:tcW w:w="6520" w:type="dxa"/>
          </w:tcPr>
          <w:p w14:paraId="471A1446" w14:textId="2A208238" w:rsidR="00167C2D" w:rsidRPr="00851078" w:rsidRDefault="00167C2D" w:rsidP="00167C2D">
            <w:pPr>
              <w:pStyle w:val="Normal-pool"/>
              <w:rPr>
                <w:rFonts w:eastAsiaTheme="minorEastAsia"/>
              </w:rPr>
            </w:pPr>
            <w:r w:rsidRPr="00851078">
              <w:rPr>
                <w:rFonts w:eastAsiaTheme="minorEastAsia"/>
                <w:noProof/>
              </w:rPr>
              <w:drawing>
                <wp:anchor distT="0" distB="0" distL="114300" distR="114300" simplePos="0" relativeHeight="251658240" behindDoc="0" locked="0" layoutInCell="1" allowOverlap="1" wp14:anchorId="3C307496" wp14:editId="643394CE">
                  <wp:simplePos x="0" y="0"/>
                  <wp:positionH relativeFrom="column">
                    <wp:posOffset>-635</wp:posOffset>
                  </wp:positionH>
                  <wp:positionV relativeFrom="paragraph">
                    <wp:posOffset>3175</wp:posOffset>
                  </wp:positionV>
                  <wp:extent cx="1269153" cy="573559"/>
                  <wp:effectExtent l="0" t="0" r="7620" b="0"/>
                  <wp:wrapNone/>
                  <wp:docPr id="137449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96438"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E888A42" w14:textId="77777777" w:rsidR="00167C2D" w:rsidRPr="00851078" w:rsidRDefault="00167C2D" w:rsidP="00167C2D">
            <w:pPr>
              <w:pStyle w:val="Normal-pool"/>
              <w:rPr>
                <w:rFonts w:eastAsiaTheme="minorEastAsia"/>
              </w:rPr>
            </w:pPr>
          </w:p>
        </w:tc>
      </w:tr>
    </w:tbl>
    <w:p w14:paraId="3EDC39F5" w14:textId="77777777" w:rsidR="006533B3" w:rsidRPr="00851078" w:rsidRDefault="006533B3" w:rsidP="00167C2D">
      <w:pPr>
        <w:pStyle w:val="ASpacer"/>
        <w:rPr>
          <w:rFonts w:eastAsiaTheme="minorEastAsia"/>
        </w:rPr>
      </w:pPr>
    </w:p>
    <w:tbl>
      <w:tblPr>
        <w:tblW w:w="9496" w:type="dxa"/>
        <w:tblLook w:val="0000" w:firstRow="0" w:lastRow="0" w:firstColumn="0" w:lastColumn="0" w:noHBand="0" w:noVBand="0"/>
      </w:tblPr>
      <w:tblGrid>
        <w:gridCol w:w="6378"/>
        <w:gridCol w:w="3118"/>
      </w:tblGrid>
      <w:tr w:rsidR="00167C2D" w:rsidRPr="00851078" w14:paraId="5093DEB6" w14:textId="77777777" w:rsidTr="00167C2D">
        <w:trPr>
          <w:trHeight w:val="340"/>
        </w:trPr>
        <w:tc>
          <w:tcPr>
            <w:tcW w:w="3358" w:type="pct"/>
            <w:vAlign w:val="bottom"/>
          </w:tcPr>
          <w:p w14:paraId="58C4DEEC" w14:textId="77777777" w:rsidR="00167C2D" w:rsidRPr="00851078" w:rsidRDefault="00167C2D" w:rsidP="00167C2D">
            <w:pPr>
              <w:pStyle w:val="Normal-pool"/>
              <w:rPr>
                <w:rFonts w:eastAsiaTheme="minorEastAsia"/>
              </w:rPr>
            </w:pPr>
          </w:p>
        </w:tc>
        <w:tc>
          <w:tcPr>
            <w:tcW w:w="1642" w:type="pct"/>
            <w:noWrap/>
            <w:vAlign w:val="bottom"/>
          </w:tcPr>
          <w:p w14:paraId="13A8DF86" w14:textId="791BDA9F" w:rsidR="00167C2D" w:rsidRPr="00851078" w:rsidRDefault="00167C2D" w:rsidP="00167C2D">
            <w:pPr>
              <w:pStyle w:val="ASymbol"/>
            </w:pPr>
            <w:r w:rsidRPr="00851078">
              <w:rPr>
                <w:b/>
                <w:sz w:val="28"/>
              </w:rPr>
              <w:t>UNEP</w:t>
            </w:r>
            <w:r w:rsidRPr="00851078">
              <w:t>/OzL.Pro.WG.</w:t>
            </w:r>
            <w:bookmarkStart w:id="0" w:name="Symbol1A"/>
            <w:r w:rsidRPr="00851078">
              <w:t>1</w:t>
            </w:r>
            <w:bookmarkStart w:id="1" w:name="Symbol1B"/>
            <w:bookmarkEnd w:id="0"/>
            <w:r w:rsidRPr="00851078">
              <w:t>/48</w:t>
            </w:r>
            <w:bookmarkStart w:id="2" w:name="Symbol1C"/>
            <w:bookmarkEnd w:id="1"/>
            <w:r w:rsidRPr="00851078">
              <w:t>/2</w:t>
            </w:r>
            <w:bookmarkEnd w:id="2"/>
          </w:p>
        </w:tc>
      </w:tr>
    </w:tbl>
    <w:p w14:paraId="17BBADAA" w14:textId="77777777" w:rsidR="00167C2D" w:rsidRPr="00851078" w:rsidRDefault="00167C2D" w:rsidP="00167C2D">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167C2D" w:rsidRPr="00851078" w14:paraId="1F23C1F0" w14:textId="77777777" w:rsidTr="00167C2D">
        <w:trPr>
          <w:trHeight w:val="2098"/>
        </w:trPr>
        <w:tc>
          <w:tcPr>
            <w:tcW w:w="5386" w:type="dxa"/>
          </w:tcPr>
          <w:p w14:paraId="7588B15A" w14:textId="296455F0" w:rsidR="00167C2D" w:rsidRPr="00851078" w:rsidRDefault="00167C2D" w:rsidP="00167C2D">
            <w:pPr>
              <w:pStyle w:val="AConvName"/>
              <w:rPr>
                <w:rFonts w:eastAsiaTheme="minorEastAsia"/>
              </w:rPr>
            </w:pPr>
            <w:r w:rsidRPr="00851078">
              <w:rPr>
                <w:rFonts w:eastAsiaTheme="minorEastAsia"/>
              </w:rPr>
              <w:t xml:space="preserve">Montreal Protocol </w:t>
            </w:r>
            <w:r w:rsidRPr="00851078">
              <w:rPr>
                <w:rFonts w:eastAsiaTheme="minorEastAsia"/>
              </w:rPr>
              <w:br/>
              <w:t xml:space="preserve">on Substances that </w:t>
            </w:r>
            <w:r w:rsidRPr="00851078">
              <w:rPr>
                <w:rFonts w:eastAsiaTheme="minorEastAsia"/>
              </w:rPr>
              <w:br/>
              <w:t>Deplete the Ozone Layer</w:t>
            </w:r>
          </w:p>
        </w:tc>
        <w:tc>
          <w:tcPr>
            <w:tcW w:w="992" w:type="dxa"/>
          </w:tcPr>
          <w:p w14:paraId="1808CCD3" w14:textId="77777777" w:rsidR="00167C2D" w:rsidRPr="00851078" w:rsidRDefault="00167C2D" w:rsidP="00167C2D">
            <w:pPr>
              <w:pStyle w:val="Normal-pool"/>
              <w:rPr>
                <w:rFonts w:eastAsiaTheme="minorEastAsia"/>
              </w:rPr>
            </w:pPr>
          </w:p>
        </w:tc>
        <w:tc>
          <w:tcPr>
            <w:tcW w:w="3118" w:type="dxa"/>
          </w:tcPr>
          <w:p w14:paraId="0D4EE0B0" w14:textId="37EC0910" w:rsidR="00167C2D" w:rsidRPr="00851078" w:rsidRDefault="00167C2D" w:rsidP="00167C2D">
            <w:pPr>
              <w:pStyle w:val="AText"/>
              <w:rPr>
                <w:rFonts w:eastAsiaTheme="minorEastAsia"/>
              </w:rPr>
            </w:pPr>
            <w:r w:rsidRPr="00851078">
              <w:rPr>
                <w:rFonts w:eastAsiaTheme="minorEastAsia"/>
              </w:rPr>
              <w:t xml:space="preserve">Distr.: </w:t>
            </w:r>
            <w:bookmarkStart w:id="3" w:name="Distribution"/>
            <w:r w:rsidRPr="00851078">
              <w:rPr>
                <w:rFonts w:eastAsiaTheme="minorEastAsia"/>
              </w:rPr>
              <w:t>General</w:t>
            </w:r>
            <w:bookmarkEnd w:id="3"/>
            <w:r w:rsidRPr="00851078">
              <w:rPr>
                <w:rFonts w:eastAsiaTheme="minorEastAsia"/>
              </w:rPr>
              <w:t xml:space="preserve"> </w:t>
            </w:r>
          </w:p>
          <w:p w14:paraId="7C5B7E7F" w14:textId="1A0E0533" w:rsidR="00167C2D" w:rsidRPr="00851078" w:rsidRDefault="00FA6C49" w:rsidP="00167C2D">
            <w:pPr>
              <w:pStyle w:val="AText0"/>
              <w:rPr>
                <w:rFonts w:eastAsiaTheme="minorEastAsia"/>
              </w:rPr>
            </w:pPr>
            <w:bookmarkStart w:id="4" w:name="DistributionDate"/>
            <w:r w:rsidRPr="00851078">
              <w:rPr>
                <w:rFonts w:eastAsiaTheme="minorEastAsia"/>
              </w:rPr>
              <w:t>7 April</w:t>
            </w:r>
            <w:r w:rsidR="00167C2D" w:rsidRPr="00851078">
              <w:rPr>
                <w:rFonts w:eastAsiaTheme="minorEastAsia"/>
              </w:rPr>
              <w:t xml:space="preserve"> 2026</w:t>
            </w:r>
            <w:bookmarkEnd w:id="4"/>
            <w:r w:rsidR="00167C2D" w:rsidRPr="00851078">
              <w:rPr>
                <w:rFonts w:eastAsiaTheme="minorEastAsia"/>
              </w:rPr>
              <w:t xml:space="preserve"> </w:t>
            </w:r>
          </w:p>
          <w:p w14:paraId="24A66956" w14:textId="471011BB" w:rsidR="00167C2D" w:rsidRPr="00851078" w:rsidRDefault="00167C2D" w:rsidP="00167C2D">
            <w:pPr>
              <w:pStyle w:val="AText"/>
              <w:rPr>
                <w:rFonts w:eastAsiaTheme="minorEastAsia"/>
              </w:rPr>
            </w:pPr>
            <w:bookmarkStart w:id="5" w:name="DistributionLang"/>
            <w:r w:rsidRPr="00851078">
              <w:rPr>
                <w:rFonts w:eastAsiaTheme="minorEastAsia"/>
              </w:rPr>
              <w:t>Original: English</w:t>
            </w:r>
            <w:bookmarkEnd w:id="5"/>
          </w:p>
        </w:tc>
      </w:tr>
    </w:tbl>
    <w:p w14:paraId="0AEF3A66" w14:textId="77777777" w:rsidR="00167C2D" w:rsidRPr="00851078" w:rsidRDefault="00167C2D" w:rsidP="00167C2D">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67C2D" w:rsidRPr="00851078" w14:paraId="18E16C1F" w14:textId="77777777" w:rsidTr="00167C2D">
        <w:trPr>
          <w:trHeight w:val="57"/>
        </w:trPr>
        <w:tc>
          <w:tcPr>
            <w:tcW w:w="5301" w:type="dxa"/>
          </w:tcPr>
          <w:p w14:paraId="2BC5BD7E" w14:textId="77777777" w:rsidR="00167C2D" w:rsidRPr="00851078" w:rsidRDefault="00167C2D" w:rsidP="00167C2D">
            <w:pPr>
              <w:pStyle w:val="AATitle"/>
              <w:rPr>
                <w:rFonts w:eastAsiaTheme="minorEastAsia"/>
              </w:rPr>
            </w:pPr>
            <w:bookmarkStart w:id="6" w:name="CorNot1Text"/>
            <w:r w:rsidRPr="00851078">
              <w:rPr>
                <w:rFonts w:eastAsiaTheme="minorEastAsia"/>
              </w:rPr>
              <w:t xml:space="preserve">Open-ended Working Group of the Parties </w:t>
            </w:r>
            <w:r w:rsidRPr="00851078">
              <w:rPr>
                <w:rFonts w:eastAsiaTheme="minorEastAsia"/>
              </w:rPr>
              <w:br/>
              <w:t xml:space="preserve">to the Montreal Protocol on Substances </w:t>
            </w:r>
            <w:r w:rsidRPr="00851078">
              <w:rPr>
                <w:rFonts w:eastAsiaTheme="minorEastAsia"/>
              </w:rPr>
              <w:br/>
              <w:t xml:space="preserve">that Deplete the Ozone Layer </w:t>
            </w:r>
          </w:p>
          <w:p w14:paraId="17279CCD" w14:textId="61BDD0DC" w:rsidR="00167C2D" w:rsidRPr="00851078" w:rsidRDefault="00167C2D" w:rsidP="00167C2D">
            <w:pPr>
              <w:pStyle w:val="AATitle"/>
              <w:rPr>
                <w:rFonts w:eastAsiaTheme="minorEastAsia"/>
              </w:rPr>
            </w:pPr>
            <w:r w:rsidRPr="00851078">
              <w:rPr>
                <w:rFonts w:eastAsiaTheme="minorEastAsia"/>
              </w:rPr>
              <w:t>Forty-eighth meeting</w:t>
            </w:r>
            <w:bookmarkEnd w:id="6"/>
            <w:r w:rsidRPr="00851078">
              <w:rPr>
                <w:rFonts w:eastAsiaTheme="minorEastAsia"/>
              </w:rPr>
              <w:t xml:space="preserve"> </w:t>
            </w:r>
          </w:p>
          <w:p w14:paraId="7EA17533" w14:textId="58B24468" w:rsidR="00167C2D" w:rsidRPr="00851078" w:rsidRDefault="00167C2D" w:rsidP="00167C2D">
            <w:pPr>
              <w:pStyle w:val="AATitle1"/>
              <w:rPr>
                <w:rFonts w:eastAsiaTheme="minorEastAsia"/>
              </w:rPr>
            </w:pPr>
            <w:bookmarkStart w:id="7" w:name="CorNot1VenueDate"/>
            <w:r w:rsidRPr="00851078">
              <w:rPr>
                <w:rFonts w:eastAsiaTheme="minorEastAsia"/>
              </w:rPr>
              <w:t>Bangkok, 13–17 July 2026</w:t>
            </w:r>
            <w:bookmarkEnd w:id="7"/>
            <w:r w:rsidRPr="00851078">
              <w:rPr>
                <w:rFonts w:eastAsiaTheme="minorEastAsia"/>
              </w:rPr>
              <w:t xml:space="preserve"> </w:t>
            </w:r>
          </w:p>
          <w:p w14:paraId="37838F95" w14:textId="4800BEBF" w:rsidR="00167C2D" w:rsidRPr="00851078" w:rsidRDefault="00167C2D" w:rsidP="00167C2D">
            <w:pPr>
              <w:pStyle w:val="AATitle1"/>
              <w:rPr>
                <w:rFonts w:eastAsiaTheme="minorEastAsia"/>
              </w:rPr>
            </w:pPr>
            <w:bookmarkStart w:id="8" w:name="CorNot1AgItem"/>
            <w:r w:rsidRPr="00851078">
              <w:rPr>
                <w:rFonts w:eastAsiaTheme="minorEastAsia"/>
              </w:rPr>
              <w:t>Items 3–8 of the provisional agenda</w:t>
            </w:r>
            <w:bookmarkEnd w:id="8"/>
            <w:r w:rsidR="00447020" w:rsidRPr="00851078">
              <w:rPr>
                <w:rStyle w:val="FootnoteReference"/>
                <w:vertAlign w:val="baseline"/>
              </w:rPr>
              <w:footnoteReference w:customMarkFollows="1" w:id="2"/>
              <w:t>*</w:t>
            </w:r>
            <w:r w:rsidRPr="00851078">
              <w:rPr>
                <w:rFonts w:eastAsiaTheme="minorEastAsia"/>
              </w:rPr>
              <w:t xml:space="preserve"> </w:t>
            </w:r>
          </w:p>
        </w:tc>
        <w:tc>
          <w:tcPr>
            <w:tcW w:w="4195" w:type="dxa"/>
          </w:tcPr>
          <w:p w14:paraId="4D282A09" w14:textId="77777777" w:rsidR="00167C2D" w:rsidRPr="00851078" w:rsidRDefault="00167C2D" w:rsidP="00167C2D">
            <w:pPr>
              <w:pStyle w:val="Normal-pool"/>
              <w:rPr>
                <w:rFonts w:eastAsiaTheme="minorEastAsia"/>
              </w:rPr>
            </w:pPr>
          </w:p>
        </w:tc>
      </w:tr>
    </w:tbl>
    <w:p w14:paraId="2EFE4640" w14:textId="77777777" w:rsidR="00323A74" w:rsidRPr="00851078" w:rsidRDefault="00323A74" w:rsidP="005C2CDC">
      <w:pPr>
        <w:pStyle w:val="BBTitle"/>
        <w:spacing w:after="120"/>
      </w:pPr>
      <w:r w:rsidRPr="00851078">
        <w:t>Issues for discussion by and information for the attention of the Open-ended Working Group of the Parties to the Montreal Protocol at its forty-eighth meeting</w:t>
      </w:r>
    </w:p>
    <w:p w14:paraId="6BD9C636" w14:textId="77777777" w:rsidR="00323A74" w:rsidRPr="00851078" w:rsidRDefault="00323A74" w:rsidP="005C2CDC">
      <w:pPr>
        <w:pStyle w:val="CH2"/>
        <w:keepNext w:val="0"/>
        <w:keepLines w:val="0"/>
        <w:spacing w:before="120" w:after="240"/>
      </w:pPr>
      <w:r w:rsidRPr="00851078">
        <w:tab/>
      </w:r>
      <w:r w:rsidRPr="00851078">
        <w:tab/>
        <w:t>Note by the Secretariat</w:t>
      </w:r>
    </w:p>
    <w:p w14:paraId="1C95F1F7" w14:textId="77777777" w:rsidR="00323A74" w:rsidRPr="00851078" w:rsidRDefault="00323A74" w:rsidP="00323A74">
      <w:pPr>
        <w:pStyle w:val="CH1"/>
      </w:pPr>
      <w:r w:rsidRPr="00851078">
        <w:tab/>
        <w:t>I.</w:t>
      </w:r>
      <w:r w:rsidRPr="00851078">
        <w:tab/>
        <w:t>Introduction</w:t>
      </w:r>
    </w:p>
    <w:p w14:paraId="3F705D62" w14:textId="008850D1" w:rsidR="00323A74" w:rsidRPr="00851078" w:rsidRDefault="00323A74" w:rsidP="00323A74">
      <w:pPr>
        <w:pStyle w:val="Normalnumber"/>
        <w:tabs>
          <w:tab w:val="clear" w:pos="1247"/>
          <w:tab w:val="clear" w:pos="1814"/>
          <w:tab w:val="clear" w:pos="2381"/>
          <w:tab w:val="clear" w:pos="2948"/>
          <w:tab w:val="clear" w:pos="3515"/>
        </w:tabs>
        <w:ind w:left="1247"/>
      </w:pPr>
      <w:r w:rsidRPr="00851078">
        <w:t>The present note provides an overview of the issues on the provisional agenda of the forty</w:t>
      </w:r>
      <w:r w:rsidRPr="00851078">
        <w:noBreakHyphen/>
        <w:t xml:space="preserve">eighth meeting of the Open-ended Working Group of the Parties to the Montreal Protocol on Substances that Deplete the Ozone Layer. Section II contains a summary of issues for discussion by the Open-ended Working Group. Section III contains information </w:t>
      </w:r>
      <w:r w:rsidR="00DE02FE" w:rsidRPr="00851078">
        <w:t xml:space="preserve">that is </w:t>
      </w:r>
      <w:r w:rsidR="00DC0C12" w:rsidRPr="00851078">
        <w:t xml:space="preserve">not planned for discussion by the </w:t>
      </w:r>
      <w:r w:rsidR="00782ACF" w:rsidRPr="00851078">
        <w:t xml:space="preserve">Open-ended Working Group at its forty-eighth meeting but is </w:t>
      </w:r>
      <w:r w:rsidR="00DE02FE" w:rsidRPr="00851078">
        <w:t xml:space="preserve">relevant to </w:t>
      </w:r>
      <w:r w:rsidRPr="00851078">
        <w:t>the Thirty-Eighth Meeting of the Parties to the Montreal Protocol and associated events</w:t>
      </w:r>
      <w:r w:rsidR="00A51A4F" w:rsidRPr="00851078">
        <w:t>. That information i</w:t>
      </w:r>
      <w:r w:rsidR="004034D0" w:rsidRPr="00851078">
        <w:t>nclud</w:t>
      </w:r>
      <w:r w:rsidR="00A51A4F" w:rsidRPr="00851078">
        <w:t>es</w:t>
      </w:r>
      <w:r w:rsidR="004034D0" w:rsidRPr="00851078">
        <w:t xml:space="preserve"> </w:t>
      </w:r>
      <w:r w:rsidR="00ED1BFA" w:rsidRPr="00851078">
        <w:t xml:space="preserve">information </w:t>
      </w:r>
      <w:r w:rsidR="004034D0" w:rsidRPr="00851078">
        <w:t>on the status of the implementation of decisions</w:t>
      </w:r>
      <w:r w:rsidR="00D26038" w:rsidRPr="00851078">
        <w:t xml:space="preserve"> request</w:t>
      </w:r>
      <w:r w:rsidR="00A51A4F" w:rsidRPr="00851078">
        <w:t>ing</w:t>
      </w:r>
      <w:r w:rsidR="00D26038" w:rsidRPr="00851078">
        <w:t xml:space="preserve"> action </w:t>
      </w:r>
      <w:r w:rsidR="00ED1BFA" w:rsidRPr="00851078">
        <w:t>by</w:t>
      </w:r>
      <w:r w:rsidR="00D26038" w:rsidRPr="00851078">
        <w:t xml:space="preserve"> </w:t>
      </w:r>
      <w:r w:rsidR="003F1557" w:rsidRPr="00851078">
        <w:t xml:space="preserve">the </w:t>
      </w:r>
      <w:r w:rsidRPr="00851078">
        <w:t>Thirty-Eighth Meeting of the Parties</w:t>
      </w:r>
      <w:r w:rsidR="00ED1BFA" w:rsidRPr="00851078">
        <w:t>,</w:t>
      </w:r>
      <w:r w:rsidR="007E4E11" w:rsidRPr="00851078">
        <w:t xml:space="preserve"> </w:t>
      </w:r>
      <w:r w:rsidR="001618EA" w:rsidRPr="00851078">
        <w:t xml:space="preserve">such as </w:t>
      </w:r>
      <w:r w:rsidR="003766EE" w:rsidRPr="00851078">
        <w:t xml:space="preserve">on </w:t>
      </w:r>
      <w:r w:rsidRPr="00851078">
        <w:t>enhancing regional atmospheric monitoring of substances controlled by the Montreal Protocol</w:t>
      </w:r>
      <w:r w:rsidR="00A51A4F" w:rsidRPr="00851078">
        <w:t>;</w:t>
      </w:r>
      <w:r w:rsidRPr="00851078">
        <w:t xml:space="preserve"> information on submissions from parties in response to decision XXXVI/3 on emissions of HFC-23 and on the preparation of updates by the Technology and Economic Assessment Panel and the Scientific Assessment Panel to their HFC-23 reports prepared in response to decision XXXVII/2</w:t>
      </w:r>
      <w:r w:rsidR="00A51A4F" w:rsidRPr="00851078">
        <w:t>;</w:t>
      </w:r>
      <w:r w:rsidRPr="00851078">
        <w:t xml:space="preserve"> information from parties on national and regional initiatives to support the implementation of the Kigali Amendment to the Montreal Protocol</w:t>
      </w:r>
      <w:r w:rsidR="00A51A4F" w:rsidRPr="00851078">
        <w:t>;</w:t>
      </w:r>
      <w:r w:rsidRPr="00851078">
        <w:t xml:space="preserve"> a</w:t>
      </w:r>
      <w:r w:rsidR="006B53F2" w:rsidRPr="00851078">
        <w:t>nd</w:t>
      </w:r>
      <w:r w:rsidRPr="00851078">
        <w:t xml:space="preserve"> information on recycled, reused and unwanted controlled substances.</w:t>
      </w:r>
    </w:p>
    <w:p w14:paraId="54BB4B79" w14:textId="61151583" w:rsidR="00323A74" w:rsidRPr="00851078" w:rsidRDefault="00323A74" w:rsidP="00323A74">
      <w:pPr>
        <w:pStyle w:val="Normalnumber"/>
        <w:tabs>
          <w:tab w:val="clear" w:pos="1247"/>
          <w:tab w:val="clear" w:pos="1814"/>
          <w:tab w:val="clear" w:pos="2381"/>
          <w:tab w:val="clear" w:pos="2948"/>
          <w:tab w:val="clear" w:pos="3515"/>
        </w:tabs>
        <w:ind w:left="1247"/>
      </w:pPr>
      <w:r w:rsidRPr="00851078">
        <w:t xml:space="preserve">Further information on a number of items on the provisional agenda will be provided in an addendum to the present note (UNEP/OzL.Pro.WG.1/48/2/Add.1) once volumes 1 </w:t>
      </w:r>
      <w:r w:rsidR="00A328A8" w:rsidRPr="00851078">
        <w:t xml:space="preserve">(the progress report) </w:t>
      </w:r>
      <w:r w:rsidRPr="00851078">
        <w:t xml:space="preserve">and 2 </w:t>
      </w:r>
      <w:r w:rsidR="00A328A8" w:rsidRPr="00851078">
        <w:t>(the</w:t>
      </w:r>
      <w:r w:rsidR="00EF4F93" w:rsidRPr="00851078">
        <w:t xml:space="preserve"> report of the task force</w:t>
      </w:r>
      <w:r w:rsidR="006A6969" w:rsidRPr="00851078">
        <w:t xml:space="preserve"> </w:t>
      </w:r>
      <w:r w:rsidR="00531CAF" w:rsidRPr="00851078">
        <w:t>established in response to decision XXXVII/6</w:t>
      </w:r>
      <w:r w:rsidR="00C81597" w:rsidRPr="00851078">
        <w:t xml:space="preserve">) </w:t>
      </w:r>
      <w:r w:rsidRPr="00851078">
        <w:t>of the 2026</w:t>
      </w:r>
      <w:r w:rsidR="004A50E0" w:rsidRPr="00851078">
        <w:t xml:space="preserve"> </w:t>
      </w:r>
      <w:r w:rsidRPr="00851078">
        <w:t xml:space="preserve">report </w:t>
      </w:r>
      <w:bookmarkStart w:id="9" w:name="_Hlk162196883"/>
      <w:r w:rsidRPr="00851078">
        <w:t>of the Technology and Economic Assessment Panel have been finalized</w:t>
      </w:r>
      <w:bookmarkEnd w:id="9"/>
      <w:r w:rsidRPr="00851078">
        <w:t>. The two volumes are expected to be issued in May 2026 and will be posted on the portal of the forty-eighth meeting of the Open</w:t>
      </w:r>
      <w:r w:rsidRPr="00851078">
        <w:noBreakHyphen/>
        <w:t xml:space="preserve">ended Working Group. </w:t>
      </w:r>
      <w:r w:rsidR="006A5B99" w:rsidRPr="00851078">
        <w:t xml:space="preserve">Volume 2 </w:t>
      </w:r>
      <w:r w:rsidR="00F1389E" w:rsidRPr="00851078">
        <w:t xml:space="preserve">will </w:t>
      </w:r>
      <w:r w:rsidR="0022721D" w:rsidRPr="00851078">
        <w:t xml:space="preserve">relate to </w:t>
      </w:r>
      <w:r w:rsidRPr="00851078">
        <w:t>item 3</w:t>
      </w:r>
      <w:r w:rsidR="00F00C30" w:rsidRPr="00851078">
        <w:t xml:space="preserve"> </w:t>
      </w:r>
      <w:r w:rsidRPr="00851078">
        <w:t>of the provisional agenda</w:t>
      </w:r>
      <w:r w:rsidR="00F42D97" w:rsidRPr="00851078">
        <w:t>,</w:t>
      </w:r>
      <w:r w:rsidRPr="00851078">
        <w:t xml:space="preserve"> on the </w:t>
      </w:r>
      <w:r w:rsidR="00772835" w:rsidRPr="00851078">
        <w:br/>
      </w:r>
      <w:r w:rsidRPr="00851078">
        <w:t>2027–2029 replenishment of the Multilateral Fund for the Implementation of the Montreal Protocol</w:t>
      </w:r>
      <w:r w:rsidR="00F42D97" w:rsidRPr="00851078">
        <w:t>,</w:t>
      </w:r>
      <w:r w:rsidRPr="00851078">
        <w:t xml:space="preserve"> and </w:t>
      </w:r>
      <w:r w:rsidR="0022721D" w:rsidRPr="00851078">
        <w:t xml:space="preserve">volume 1 </w:t>
      </w:r>
      <w:r w:rsidR="00F1389E" w:rsidRPr="00851078">
        <w:t xml:space="preserve">will </w:t>
      </w:r>
      <w:r w:rsidR="00531CAF" w:rsidRPr="00851078">
        <w:t xml:space="preserve">relate </w:t>
      </w:r>
      <w:r w:rsidR="00F1389E" w:rsidRPr="00851078">
        <w:t xml:space="preserve">to </w:t>
      </w:r>
      <w:r w:rsidRPr="00851078">
        <w:t>item 4</w:t>
      </w:r>
      <w:r w:rsidR="00F42D97" w:rsidRPr="00851078">
        <w:t>,</w:t>
      </w:r>
      <w:r w:rsidRPr="00851078">
        <w:t xml:space="preserve"> on presentations by the Technology and Economic Assessment Panel on its 2026 progress report and discussions on key topics covered by the report, including on issues that parties requested the Panel to </w:t>
      </w:r>
      <w:r w:rsidR="005E6F18" w:rsidRPr="00851078">
        <w:t>address</w:t>
      </w:r>
      <w:r w:rsidR="001773CD" w:rsidRPr="00851078">
        <w:t xml:space="preserve"> </w:t>
      </w:r>
      <w:r w:rsidRPr="00851078">
        <w:t>in the report. The addendum will include a summary of the two volumes as well as updates to the information provided by the Secretariat</w:t>
      </w:r>
      <w:r w:rsidR="001773CD" w:rsidRPr="00851078">
        <w:t xml:space="preserve"> in the present note</w:t>
      </w:r>
      <w:r w:rsidRPr="00851078">
        <w:t>.</w:t>
      </w:r>
    </w:p>
    <w:p w14:paraId="304B36C0" w14:textId="3FF02820" w:rsidR="00323A74" w:rsidRPr="00851078" w:rsidRDefault="00323A74" w:rsidP="00A8392C">
      <w:pPr>
        <w:pStyle w:val="Normalnumber"/>
        <w:keepNext/>
        <w:keepLines/>
        <w:tabs>
          <w:tab w:val="clear" w:pos="1247"/>
          <w:tab w:val="clear" w:pos="1814"/>
          <w:tab w:val="clear" w:pos="2381"/>
          <w:tab w:val="clear" w:pos="2948"/>
          <w:tab w:val="clear" w:pos="3515"/>
        </w:tabs>
        <w:ind w:left="1247"/>
      </w:pPr>
      <w:r w:rsidRPr="00851078">
        <w:lastRenderedPageBreak/>
        <w:t xml:space="preserve">Issues that are not directly related to the implementation of the Montreal Protocol or decisions of the </w:t>
      </w:r>
      <w:r w:rsidR="001773CD" w:rsidRPr="00851078">
        <w:t>M</w:t>
      </w:r>
      <w:r w:rsidRPr="00851078">
        <w:t xml:space="preserve">eetings of the </w:t>
      </w:r>
      <w:r w:rsidR="001773CD" w:rsidRPr="00851078">
        <w:t>P</w:t>
      </w:r>
      <w:r w:rsidRPr="00851078">
        <w:t xml:space="preserve">arties but still of possible interest to the parties will be addressed in an information note on issues that the Secretariat would like to bring to the attention of the parties (UNEP/OzL.Pro.WG.1/48/INF/2). That note will include information on activities </w:t>
      </w:r>
      <w:r w:rsidR="00AD224C" w:rsidRPr="00851078">
        <w:t>conducted</w:t>
      </w:r>
      <w:r w:rsidRPr="00851078">
        <w:t xml:space="preserve"> by the Secretariat, its cooperation with and contributions to the work of the United Nations Environment Programme and other bodies, and its participation in relevant activities and meetings since the Thirty</w:t>
      </w:r>
      <w:r w:rsidRPr="00851078">
        <w:noBreakHyphen/>
        <w:t>Seventh Meeting of the Parties to the Montreal Protocol, which was held from 3 to 7 November 2025.</w:t>
      </w:r>
    </w:p>
    <w:p w14:paraId="50803CC4" w14:textId="7B40327B" w:rsidR="00323A74" w:rsidRPr="00851078" w:rsidRDefault="00323A74" w:rsidP="00323A74">
      <w:pPr>
        <w:pStyle w:val="CH1"/>
      </w:pPr>
      <w:r w:rsidRPr="00851078">
        <w:tab/>
        <w:t>II.</w:t>
      </w:r>
      <w:r w:rsidRPr="00851078">
        <w:tab/>
        <w:t>Summary of issues for discussion by the Open-ended Working Group at its forty-</w:t>
      </w:r>
      <w:r w:rsidR="005E6F18" w:rsidRPr="00851078">
        <w:t>eighth</w:t>
      </w:r>
      <w:r w:rsidRPr="00851078">
        <w:t xml:space="preserve"> meeting</w:t>
      </w:r>
    </w:p>
    <w:p w14:paraId="62A7FCF3" w14:textId="77777777" w:rsidR="00323A74" w:rsidRPr="00851078" w:rsidRDefault="00323A74" w:rsidP="00323A74">
      <w:pPr>
        <w:pStyle w:val="CH2"/>
      </w:pPr>
      <w:r w:rsidRPr="00851078">
        <w:tab/>
      </w:r>
      <w:r w:rsidRPr="00851078">
        <w:tab/>
        <w:t>Agenda item 3</w:t>
      </w:r>
    </w:p>
    <w:p w14:paraId="619FD6A2" w14:textId="6F48C0D5" w:rsidR="00323A74" w:rsidRPr="00851078" w:rsidRDefault="00323A74" w:rsidP="00323A74">
      <w:pPr>
        <w:pStyle w:val="CH2"/>
        <w:spacing w:before="120"/>
      </w:pPr>
      <w:r w:rsidRPr="00851078">
        <w:tab/>
      </w:r>
      <w:r w:rsidRPr="00851078">
        <w:tab/>
        <w:t xml:space="preserve">Report of the Technology and Economic Assessment Panel on the </w:t>
      </w:r>
      <w:r w:rsidR="00076EFF" w:rsidRPr="00851078">
        <w:br/>
      </w:r>
      <w:r w:rsidRPr="00851078">
        <w:t>2027–2029 replenishment of the Multilateral Fund for the Implementation of the Montreal Protocol (decision XXXVII/6)</w:t>
      </w:r>
    </w:p>
    <w:p w14:paraId="4BF9F552" w14:textId="68DD973C"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The Thirty-Seventh Meeting of the Parties adopted decision XXXVII/6 on the terms of reference for the study on the 2027–2029 replenishment of the Multilateral Fund for the Implementation of the Montreal Protocol. In that decision, the Technology and Economic Assessment Panel was requested to prepare a report for submission to the Thirty-Eighth Meeting of the Parties and to submit it through the Open-ended Working Group at its forty-eighth meeting, to enable the </w:t>
      </w:r>
      <w:r w:rsidR="00076EFF" w:rsidRPr="00851078">
        <w:t>Thirty</w:t>
      </w:r>
      <w:r w:rsidR="00076EFF" w:rsidRPr="00851078">
        <w:noBreakHyphen/>
      </w:r>
      <w:r w:rsidRPr="00851078">
        <w:t>Eighth Meeting of the Parties to adopt a decision on the appropriate level of the 2027–2029 replenishment of the Multilateral Fund.</w:t>
      </w:r>
    </w:p>
    <w:p w14:paraId="4F4516EA" w14:textId="094D7C99" w:rsidR="00323A74" w:rsidRPr="00851078" w:rsidRDefault="001773CD" w:rsidP="00E23C9E">
      <w:pPr>
        <w:pStyle w:val="Normalnumber"/>
        <w:tabs>
          <w:tab w:val="clear" w:pos="1247"/>
          <w:tab w:val="clear" w:pos="1814"/>
          <w:tab w:val="clear" w:pos="2381"/>
          <w:tab w:val="clear" w:pos="2948"/>
          <w:tab w:val="clear" w:pos="3515"/>
        </w:tabs>
        <w:ind w:left="1247"/>
      </w:pPr>
      <w:r w:rsidRPr="00851078">
        <w:t>T</w:t>
      </w:r>
      <w:r w:rsidR="00323A74" w:rsidRPr="00851078">
        <w:t>he Panel was requested</w:t>
      </w:r>
      <w:r w:rsidR="001132F8" w:rsidRPr="00851078">
        <w:t>, in preparing the report,</w:t>
      </w:r>
      <w:r w:rsidR="00323A74" w:rsidRPr="00851078">
        <w:t xml:space="preserve"> to take into account all control measures and decisions agreed on by the </w:t>
      </w:r>
      <w:r w:rsidR="00D466FC" w:rsidRPr="00851078">
        <w:t>Meeting</w:t>
      </w:r>
      <w:r w:rsidR="00FE5659" w:rsidRPr="00851078">
        <w:t>s</w:t>
      </w:r>
      <w:r w:rsidR="00D466FC" w:rsidRPr="00851078">
        <w:t xml:space="preserve"> of the P</w:t>
      </w:r>
      <w:r w:rsidR="00323A74" w:rsidRPr="00851078">
        <w:t xml:space="preserve">arties up to and including the Thirty-Seventh Meeting of the Parties and by the Executive Committee of the Multilateral Fund up to and including </w:t>
      </w:r>
      <w:r w:rsidR="001A58F1" w:rsidRPr="00851078">
        <w:t xml:space="preserve">at </w:t>
      </w:r>
      <w:r w:rsidR="00323A74" w:rsidRPr="00851078">
        <w:t xml:space="preserve">its </w:t>
      </w:r>
      <w:r w:rsidR="00C4613B">
        <w:t>ninety</w:t>
      </w:r>
      <w:r w:rsidR="00C4613B">
        <w:noBreakHyphen/>
      </w:r>
      <w:r w:rsidR="00323A74" w:rsidRPr="00851078">
        <w:t>eighth meeting; the special needs of low-volume-consuming and very-low-volume-consuming countries; the need to allocate resources to enable all parties operating under paragraph 1 of Article 5 of the Montreal Protocol (Article 5 parties) to comply with all hydrofluorocarbon (HFC) control measures and their commitments under approved hydrochlorofluorocarbon (HCFC) phase-out management plans and the Kigali implementation plans; the integration of digital technologies and tools within the servicing sector; and a scenario to allocate resources for a funding modality to support a limited number of pilot projects to enhance regional atmospheric monitoring of controlled substances.</w:t>
      </w:r>
    </w:p>
    <w:p w14:paraId="288CFDD4" w14:textId="156AD58D" w:rsidR="00323A74" w:rsidRPr="00851078" w:rsidRDefault="001132F8" w:rsidP="00E23C9E">
      <w:pPr>
        <w:pStyle w:val="Normalnumber"/>
        <w:tabs>
          <w:tab w:val="clear" w:pos="1247"/>
          <w:tab w:val="clear" w:pos="1814"/>
          <w:tab w:val="clear" w:pos="2381"/>
          <w:tab w:val="clear" w:pos="2948"/>
          <w:tab w:val="clear" w:pos="3515"/>
        </w:tabs>
        <w:ind w:left="1247"/>
      </w:pPr>
      <w:r w:rsidRPr="00851078">
        <w:t>T</w:t>
      </w:r>
      <w:r w:rsidR="00323A74" w:rsidRPr="00851078">
        <w:t>he Panel was also requested</w:t>
      </w:r>
      <w:r w:rsidR="000D093F" w:rsidRPr="00851078">
        <w:t>, in estimating funding requirements associated with the reduction targets,</w:t>
      </w:r>
      <w:r w:rsidR="00323A74" w:rsidRPr="00851078">
        <w:t xml:space="preserve"> to use a clearly explained compliance-based methodology that </w:t>
      </w:r>
      <w:r w:rsidR="000D093F" w:rsidRPr="00851078">
        <w:t>wa</w:t>
      </w:r>
      <w:r w:rsidR="00323A74" w:rsidRPr="00851078">
        <w:t>s informed by, but independent of, the business plan of the Multilateral Fund and that applie</w:t>
      </w:r>
      <w:r w:rsidR="000D093F" w:rsidRPr="00851078">
        <w:t>d</w:t>
      </w:r>
      <w:r w:rsidR="00323A74" w:rsidRPr="00851078">
        <w:t xml:space="preserve"> a range of </w:t>
      </w:r>
      <w:r w:rsidR="00C4613B">
        <w:t>cost</w:t>
      </w:r>
      <w:r w:rsidR="00C4613B">
        <w:noBreakHyphen/>
      </w:r>
      <w:r w:rsidR="00323A74" w:rsidRPr="00851078">
        <w:t>effectiveness figures for the manufacturing sectors based on historical experience rather than only on the cost-effectiveness thresholds approved by the Executive Committee. Furthermore, the Panel was requested to prepare, separately from the main estimated funding requirement, scenarios for varying numbers of Article 5 parties that had not yet submitted Kigali implementation plans for phasing down HFCs in advance of the Protocol targets on a voluntary basis.</w:t>
      </w:r>
    </w:p>
    <w:p w14:paraId="43F27A4B" w14:textId="2FE9D276"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Finally, the Panel was requested to provide indicative </w:t>
      </w:r>
      <w:r w:rsidR="000D093F" w:rsidRPr="00851078">
        <w:t xml:space="preserve">replenishment </w:t>
      </w:r>
      <w:r w:rsidRPr="00851078">
        <w:t>figures for the periods 2030–2032 and 2033–2035 to support a stable and sufficient level of funding, on the understanding that those figures would be updated in subsequent replenishment studies.</w:t>
      </w:r>
    </w:p>
    <w:p w14:paraId="484A65A3" w14:textId="72B043F3" w:rsidR="00323A74" w:rsidRPr="00851078" w:rsidRDefault="00323A74" w:rsidP="00E23C9E">
      <w:pPr>
        <w:pStyle w:val="Normalnumber"/>
        <w:tabs>
          <w:tab w:val="clear" w:pos="1247"/>
          <w:tab w:val="clear" w:pos="1814"/>
          <w:tab w:val="clear" w:pos="2381"/>
          <w:tab w:val="clear" w:pos="2948"/>
          <w:tab w:val="clear" w:pos="3515"/>
        </w:tabs>
        <w:ind w:left="1247"/>
      </w:pPr>
      <w:r w:rsidRPr="00851078">
        <w:t>In the second half of 2025, the Secretariat, in consultation with the co-chairs and relevant members of the Technology and Economic Assessment Panel, provided expert support to the Panel in estimating the levels of the 2027</w:t>
      </w:r>
      <w:r w:rsidR="000D093F" w:rsidRPr="00851078">
        <w:rPr>
          <w:rFonts w:ascii="Arial" w:hAnsi="Arial" w:cs="Arial"/>
        </w:rPr>
        <w:t>–</w:t>
      </w:r>
      <w:r w:rsidRPr="00851078">
        <w:t xml:space="preserve">2029 replenishment of the Multilateral Fund. The support was focused on updating and improving the costing model used by the Panel to </w:t>
      </w:r>
      <w:r w:rsidR="000D093F" w:rsidRPr="00851078">
        <w:t xml:space="preserve">enhance </w:t>
      </w:r>
      <w:r w:rsidRPr="00851078">
        <w:t xml:space="preserve">its functionality, flexibility, transparency and accessibility </w:t>
      </w:r>
      <w:r w:rsidR="000D093F" w:rsidRPr="00851078">
        <w:t xml:space="preserve">and enable </w:t>
      </w:r>
      <w:r w:rsidRPr="00851078">
        <w:t>parties to better understand the various replenishment scenarios and conclusions.</w:t>
      </w:r>
    </w:p>
    <w:p w14:paraId="692A089C" w14:textId="6F2BB065" w:rsidR="00323A74" w:rsidRPr="00851078" w:rsidRDefault="00323A74" w:rsidP="00E23C9E">
      <w:pPr>
        <w:pStyle w:val="Normalnumber"/>
        <w:tabs>
          <w:tab w:val="clear" w:pos="1247"/>
          <w:tab w:val="clear" w:pos="1814"/>
          <w:tab w:val="clear" w:pos="2381"/>
          <w:tab w:val="clear" w:pos="2948"/>
          <w:tab w:val="clear" w:pos="3515"/>
        </w:tabs>
        <w:ind w:left="1247"/>
      </w:pPr>
      <w:r w:rsidRPr="00851078">
        <w:t>In response to decision XXXVII/6</w:t>
      </w:r>
      <w:r w:rsidR="00AD224C" w:rsidRPr="00851078">
        <w:t>,</w:t>
      </w:r>
      <w:r w:rsidRPr="00851078">
        <w:t xml:space="preserve"> the Panel established a task force. The report of the task force will be issued as volume 2 of the Panel’s 2026 report. A summary of the report will be included in the addendum to the present note.</w:t>
      </w:r>
    </w:p>
    <w:p w14:paraId="0C99462E" w14:textId="77777777" w:rsidR="00323A74" w:rsidRPr="00851078" w:rsidRDefault="00323A74" w:rsidP="00323A74">
      <w:pPr>
        <w:pStyle w:val="CH2"/>
      </w:pPr>
      <w:r w:rsidRPr="00851078">
        <w:lastRenderedPageBreak/>
        <w:tab/>
      </w:r>
      <w:r w:rsidRPr="00851078">
        <w:tab/>
        <w:t>Agenda item 4</w:t>
      </w:r>
    </w:p>
    <w:p w14:paraId="6F260FB3" w14:textId="77777777" w:rsidR="00323A74" w:rsidRPr="00851078" w:rsidRDefault="00323A74" w:rsidP="00323A74">
      <w:pPr>
        <w:pStyle w:val="CH2"/>
        <w:spacing w:before="120"/>
      </w:pPr>
      <w:r w:rsidRPr="00851078">
        <w:tab/>
      </w:r>
      <w:r w:rsidRPr="00851078">
        <w:tab/>
        <w:t>Presentations by the Technology and Economic Assessment Panel on its 2026 progress report</w:t>
      </w:r>
    </w:p>
    <w:p w14:paraId="223540B0" w14:textId="77777777" w:rsidR="00323A74" w:rsidRPr="00851078" w:rsidRDefault="00323A74" w:rsidP="00323A74">
      <w:pPr>
        <w:pStyle w:val="CH3"/>
        <w:spacing w:before="120"/>
      </w:pPr>
      <w:r w:rsidRPr="00851078">
        <w:tab/>
        <w:t>(a)</w:t>
      </w:r>
      <w:r w:rsidRPr="00851078">
        <w:tab/>
        <w:t>Halon 1301 and its continuing use in the aviation industry; management of other controlled substances used for fire suppression (decision XXXVII/4)</w:t>
      </w:r>
    </w:p>
    <w:p w14:paraId="6FFF60BF" w14:textId="293D45B8" w:rsidR="00323A74" w:rsidRPr="00851078" w:rsidRDefault="00323A74" w:rsidP="00E23C9E">
      <w:pPr>
        <w:pStyle w:val="Normalnumber"/>
        <w:tabs>
          <w:tab w:val="clear" w:pos="1247"/>
          <w:tab w:val="clear" w:pos="1814"/>
          <w:tab w:val="clear" w:pos="2381"/>
          <w:tab w:val="clear" w:pos="2948"/>
          <w:tab w:val="clear" w:pos="3515"/>
        </w:tabs>
        <w:ind w:left="1247"/>
      </w:pPr>
      <w:r w:rsidRPr="00851078">
        <w:t>The Thirty-Seventh Meeting of the Parties adopted decision XXXVII/4</w:t>
      </w:r>
      <w:r w:rsidR="00EE48F5" w:rsidRPr="00851078">
        <w:t>,</w:t>
      </w:r>
      <w:r w:rsidRPr="00851078">
        <w:t xml:space="preserve"> through which, in paragraph</w:t>
      </w:r>
      <w:r w:rsidR="007D02FF" w:rsidRPr="00851078">
        <w:t> </w:t>
      </w:r>
      <w:r w:rsidRPr="00851078">
        <w:t>1, it requested the Ozone Secretariat to liaise with the secretariat of the International Civil Aviation Organization (ICAO) on the matter of fire suppression agents controlled under the Montreal Protocol and facilitate the exchange of information between the Technology and Economic Assessment Panel, through its Fire Suppression Technical Options Committee, and the relevant ICAO technical committees and working groups. The request was intended to enable the Panel to better assess the future use of and need for halons in civil aviation.</w:t>
      </w:r>
    </w:p>
    <w:p w14:paraId="332F8429" w14:textId="7A1AFAEA" w:rsidR="00323A74" w:rsidRPr="00851078" w:rsidRDefault="00323A74" w:rsidP="00E23C9E">
      <w:pPr>
        <w:pStyle w:val="Normalnumber"/>
        <w:tabs>
          <w:tab w:val="clear" w:pos="1247"/>
          <w:tab w:val="clear" w:pos="1814"/>
          <w:tab w:val="clear" w:pos="2381"/>
          <w:tab w:val="clear" w:pos="2948"/>
          <w:tab w:val="clear" w:pos="3515"/>
        </w:tabs>
        <w:ind w:left="1247"/>
      </w:pPr>
      <w:r w:rsidRPr="00851078">
        <w:t>On 4 February 2026, the Secretariat wrote to ICAO to inform it of the adoption of decision XXXVII/4 and to welcome close cooperation between the relevant bodies of ICAO and the Technology and Economic Assessment Panel and its Fire Suppression Technical Options Committee in the implementation of the requested work. Any updates on the coordination between the Ozone Secretariat and the ICAO secretariat and between the Technology and Economic Assessment Panel and its Fire Suppression Technical Options Committee and the relevant ICAO technical committees and working groups will be provided in the addendum to the present note.</w:t>
      </w:r>
    </w:p>
    <w:p w14:paraId="40EDEDA4" w14:textId="7D1B8B05" w:rsidR="00323A74" w:rsidRPr="00851078" w:rsidRDefault="00EE48F5" w:rsidP="00E23C9E">
      <w:pPr>
        <w:pStyle w:val="Normalnumber"/>
        <w:tabs>
          <w:tab w:val="clear" w:pos="1247"/>
          <w:tab w:val="clear" w:pos="1814"/>
          <w:tab w:val="clear" w:pos="2381"/>
          <w:tab w:val="clear" w:pos="2948"/>
          <w:tab w:val="clear" w:pos="3515"/>
        </w:tabs>
        <w:ind w:left="1247"/>
      </w:pPr>
      <w:r w:rsidRPr="00851078">
        <w:t>In p</w:t>
      </w:r>
      <w:r w:rsidR="00323A74" w:rsidRPr="00851078">
        <w:t>aragraph 1 of decision XXXVII/4</w:t>
      </w:r>
      <w:r w:rsidRPr="00851078">
        <w:t>, the Thir</w:t>
      </w:r>
      <w:r w:rsidR="007E07F6" w:rsidRPr="00851078">
        <w:t>t</w:t>
      </w:r>
      <w:r w:rsidRPr="00851078">
        <w:t>y-Seventh Meeting of the Parties also</w:t>
      </w:r>
      <w:r w:rsidR="00323A74" w:rsidRPr="00851078">
        <w:t xml:space="preserve"> requested the Panel to submit a report on halon availability and the global distribution of halon banks to the parties in advance of the forty-eighth meeting of the Open-ended Working Group. </w:t>
      </w:r>
      <w:r w:rsidR="00A074C0" w:rsidRPr="00851078">
        <w:t>T</w:t>
      </w:r>
      <w:r w:rsidR="00323A74" w:rsidRPr="00851078">
        <w:t>he Technology and Economic Assessment Panel’s response to th</w:t>
      </w:r>
      <w:r w:rsidRPr="00851078">
        <w:t>at</w:t>
      </w:r>
      <w:r w:rsidR="00323A74" w:rsidRPr="00851078">
        <w:t xml:space="preserve"> request will be included in the </w:t>
      </w:r>
      <w:r w:rsidR="00F357F6" w:rsidRPr="00851078">
        <w:t xml:space="preserve">Panel’s </w:t>
      </w:r>
      <w:r w:rsidR="00A074C0" w:rsidRPr="00851078">
        <w:t xml:space="preserve">progress report and will be summarized in the </w:t>
      </w:r>
      <w:r w:rsidR="00323A74" w:rsidRPr="00851078">
        <w:t>addendum to the present note.</w:t>
      </w:r>
    </w:p>
    <w:p w14:paraId="02C270C4" w14:textId="18236DDB" w:rsidR="00323A74" w:rsidRPr="00851078" w:rsidRDefault="00EE48F5" w:rsidP="00E23C9E">
      <w:pPr>
        <w:pStyle w:val="Normalnumber"/>
        <w:tabs>
          <w:tab w:val="clear" w:pos="1247"/>
          <w:tab w:val="clear" w:pos="1814"/>
          <w:tab w:val="clear" w:pos="2381"/>
          <w:tab w:val="clear" w:pos="2948"/>
          <w:tab w:val="clear" w:pos="3515"/>
        </w:tabs>
        <w:ind w:left="1247"/>
      </w:pPr>
      <w:r w:rsidRPr="00851078">
        <w:t>In p</w:t>
      </w:r>
      <w:r w:rsidR="00323A74" w:rsidRPr="00851078">
        <w:t>aragraph 2 of decision</w:t>
      </w:r>
      <w:r w:rsidR="00535D84" w:rsidRPr="00851078">
        <w:t xml:space="preserve"> XXXVII/4</w:t>
      </w:r>
      <w:r w:rsidRPr="00851078">
        <w:t>,</w:t>
      </w:r>
      <w:r w:rsidR="00323A74" w:rsidRPr="00851078">
        <w:t xml:space="preserve"> parties </w:t>
      </w:r>
      <w:r w:rsidRPr="00851078">
        <w:t xml:space="preserve">were encouraged </w:t>
      </w:r>
      <w:r w:rsidR="00323A74" w:rsidRPr="00851078">
        <w:t>to liaise</w:t>
      </w:r>
      <w:r w:rsidRPr="00851078">
        <w:t xml:space="preserve"> with their national civil aviation authorities</w:t>
      </w:r>
      <w:r w:rsidR="00323A74" w:rsidRPr="00851078">
        <w:t xml:space="preserve"> through their national ozone officers to gain an understanding of how halons and their alternatives </w:t>
      </w:r>
      <w:r w:rsidRPr="00851078">
        <w:t>we</w:t>
      </w:r>
      <w:r w:rsidR="00323A74" w:rsidRPr="00851078">
        <w:t xml:space="preserve">re being used and supplied to air carriers to meet ongoing civil aviation needs. </w:t>
      </w:r>
      <w:r w:rsidRPr="00851078">
        <w:t>In p</w:t>
      </w:r>
      <w:r w:rsidR="00323A74" w:rsidRPr="00851078">
        <w:t>aragraph 3 of the decision</w:t>
      </w:r>
      <w:r w:rsidRPr="00851078">
        <w:t xml:space="preserve">, </w:t>
      </w:r>
      <w:r w:rsidR="00EE33DB" w:rsidRPr="00851078">
        <w:t xml:space="preserve">parties </w:t>
      </w:r>
      <w:r w:rsidRPr="00851078">
        <w:t>were</w:t>
      </w:r>
      <w:r w:rsidR="00EE33DB" w:rsidRPr="00851078">
        <w:t xml:space="preserve"> also</w:t>
      </w:r>
      <w:r w:rsidR="00323A74" w:rsidRPr="00851078">
        <w:t xml:space="preserve"> encouraged to reassess any national import and export restrictions other than licensing or quota requirements</w:t>
      </w:r>
      <w:r w:rsidRPr="00851078">
        <w:t>,</w:t>
      </w:r>
      <w:r w:rsidR="00323A74" w:rsidRPr="00851078">
        <w:t xml:space="preserve"> with a view to facilitating the import and export of recovered, recycled or reclaimed halons and other controlled substances used for fire suppression, with the aim of facilitating the meeting of remaining needs of the parties, taking into account the requirements of the Basel Convention on the Control of Transboundary Movements of Hazardous Wastes and Their Disposal, where applicable.</w:t>
      </w:r>
    </w:p>
    <w:p w14:paraId="786CCDEA" w14:textId="68D614EC" w:rsidR="00323A74" w:rsidRPr="00851078" w:rsidRDefault="00323A74" w:rsidP="008F4E24">
      <w:pPr>
        <w:pStyle w:val="Normalnumber"/>
        <w:tabs>
          <w:tab w:val="clear" w:pos="1247"/>
          <w:tab w:val="clear" w:pos="1814"/>
          <w:tab w:val="clear" w:pos="2381"/>
          <w:tab w:val="clear" w:pos="2948"/>
          <w:tab w:val="clear" w:pos="3515"/>
        </w:tabs>
        <w:ind w:left="1247"/>
      </w:pPr>
      <w:r w:rsidRPr="00851078">
        <w:t xml:space="preserve">The Ozone Secretariat, in collaboration with the </w:t>
      </w:r>
      <w:r w:rsidR="006E55AD" w:rsidRPr="00851078">
        <w:t>s</w:t>
      </w:r>
      <w:r w:rsidRPr="00851078">
        <w:t>ecretariat of the Basel</w:t>
      </w:r>
      <w:r w:rsidR="008F4E24" w:rsidRPr="00851078">
        <w:t xml:space="preserve"> Convention</w:t>
      </w:r>
      <w:r w:rsidRPr="00851078">
        <w:t xml:space="preserve">, </w:t>
      </w:r>
      <w:r w:rsidR="008F4E24" w:rsidRPr="00851078">
        <w:t xml:space="preserve">the </w:t>
      </w:r>
      <w:r w:rsidRPr="00851078">
        <w:t xml:space="preserve">Rotterdam </w:t>
      </w:r>
      <w:r w:rsidR="008F4E24" w:rsidRPr="00851078">
        <w:t xml:space="preserve">Convention on the Prior Informed Consent Procedure for Certain Hazardous Chemicals and Pesticides in International Trade </w:t>
      </w:r>
      <w:r w:rsidRPr="00851078">
        <w:t xml:space="preserve">and </w:t>
      </w:r>
      <w:r w:rsidR="008F4E24" w:rsidRPr="00851078">
        <w:t xml:space="preserve">the </w:t>
      </w:r>
      <w:r w:rsidRPr="00851078">
        <w:t xml:space="preserve">Stockholm </w:t>
      </w:r>
      <w:r w:rsidR="008F4E24" w:rsidRPr="00851078">
        <w:t>C</w:t>
      </w:r>
      <w:r w:rsidRPr="00851078">
        <w:t>onvention</w:t>
      </w:r>
      <w:r w:rsidR="008F4E24" w:rsidRPr="00851078">
        <w:t xml:space="preserve"> on Persistent Organic Pollutant</w:t>
      </w:r>
      <w:r w:rsidRPr="00851078">
        <w:t xml:space="preserve">s and the Multilateral Fund </w:t>
      </w:r>
      <w:r w:rsidR="007937EF" w:rsidRPr="00851078">
        <w:t>s</w:t>
      </w:r>
      <w:r w:rsidRPr="00851078">
        <w:t>ecretariat</w:t>
      </w:r>
      <w:r w:rsidR="006E55AD" w:rsidRPr="00851078">
        <w:t>,</w:t>
      </w:r>
      <w:r w:rsidRPr="00851078">
        <w:t xml:space="preserve"> is preparing a practical guide on transboundary movements of substances controlled under Montreal Protocol and equipment using </w:t>
      </w:r>
      <w:r w:rsidR="00535D84" w:rsidRPr="00851078">
        <w:t>such</w:t>
      </w:r>
      <w:r w:rsidRPr="00851078">
        <w:t xml:space="preserve"> substances. The guide, which explores the links between the Montreal Protocol and the Basel Convention in relation to </w:t>
      </w:r>
      <w:r w:rsidR="006E55AD" w:rsidRPr="00851078">
        <w:t xml:space="preserve">such </w:t>
      </w:r>
      <w:r w:rsidRPr="00851078">
        <w:t xml:space="preserve">transboundary movements, is expected to be finalized before the forty-eighth meeting of the </w:t>
      </w:r>
      <w:r w:rsidR="00736472">
        <w:t>Open</w:t>
      </w:r>
      <w:r w:rsidR="00736472">
        <w:noBreakHyphen/>
      </w:r>
      <w:r w:rsidRPr="00851078">
        <w:t>ended Working Group and will be made available as a background document.</w:t>
      </w:r>
    </w:p>
    <w:p w14:paraId="01248B7E" w14:textId="4FA2BCDC" w:rsidR="00323A74" w:rsidRPr="00851078" w:rsidRDefault="44EB08B3" w:rsidP="00D333AE">
      <w:pPr>
        <w:pStyle w:val="Normalnumber"/>
        <w:tabs>
          <w:tab w:val="clear" w:pos="1247"/>
          <w:tab w:val="clear" w:pos="1814"/>
          <w:tab w:val="clear" w:pos="2381"/>
          <w:tab w:val="clear" w:pos="2948"/>
          <w:tab w:val="clear" w:pos="3515"/>
        </w:tabs>
        <w:ind w:left="1247"/>
      </w:pPr>
      <w:r>
        <w:t xml:space="preserve">In </w:t>
      </w:r>
      <w:r w:rsidR="0B2E31D6">
        <w:t>paragraph 4 of decision XXXVII/4, parties were requested to submit</w:t>
      </w:r>
      <w:r w:rsidR="7C893698">
        <w:t xml:space="preserve"> to the Ozone Secretariat</w:t>
      </w:r>
      <w:r w:rsidR="0B2E31D6">
        <w:t xml:space="preserve">, on a voluntary basis, by 31 March 2026, available information regarding the development of alternatives suitable for use as substitutes in fire suppression, </w:t>
      </w:r>
      <w:r>
        <w:t>and</w:t>
      </w:r>
      <w:r w:rsidR="0B2E31D6">
        <w:t xml:space="preserve"> the Ozone Secretariat was requested to forward</w:t>
      </w:r>
      <w:r>
        <w:t xml:space="preserve"> the information received</w:t>
      </w:r>
      <w:r w:rsidR="0B2E31D6">
        <w:t xml:space="preserve"> to the Technology and Economic Assessment Panel for its consideration and for inclusion, at the latest, in its 2027 progress report. At the time of preparation of the present note, </w:t>
      </w:r>
      <w:r w:rsidR="78D46694">
        <w:t>3</w:t>
      </w:r>
      <w:r w:rsidR="4B610184">
        <w:t>1</w:t>
      </w:r>
      <w:r w:rsidR="39BB5799">
        <w:t xml:space="preserve"> </w:t>
      </w:r>
      <w:r w:rsidR="0B2E31D6">
        <w:t>part</w:t>
      </w:r>
      <w:r w:rsidR="78D46694">
        <w:t>ies</w:t>
      </w:r>
      <w:r w:rsidR="0B2E31D6">
        <w:t xml:space="preserve"> (</w:t>
      </w:r>
      <w:r w:rsidR="78D46694">
        <w:t>the European Union and its member States, Mexico</w:t>
      </w:r>
      <w:r w:rsidR="4B610184">
        <w:t>, Peru</w:t>
      </w:r>
      <w:r w:rsidR="78D46694">
        <w:t xml:space="preserve"> and </w:t>
      </w:r>
      <w:r w:rsidR="46314655">
        <w:t xml:space="preserve">the </w:t>
      </w:r>
      <w:r w:rsidR="0B2E31D6">
        <w:t xml:space="preserve">United States of America) had submitted </w:t>
      </w:r>
      <w:r>
        <w:t xml:space="preserve">the requested </w:t>
      </w:r>
      <w:r w:rsidR="0B2E31D6">
        <w:t>information</w:t>
      </w:r>
      <w:r w:rsidR="61859A02">
        <w:t>.</w:t>
      </w:r>
      <w:r w:rsidR="3EE7A241">
        <w:t xml:space="preserve"> </w:t>
      </w:r>
      <w:r w:rsidR="0B2E31D6">
        <w:t>Th</w:t>
      </w:r>
      <w:r w:rsidR="46314655">
        <w:t>o</w:t>
      </w:r>
      <w:r w:rsidR="7B1A3D56">
        <w:t>se</w:t>
      </w:r>
      <w:r w:rsidR="0B2E31D6">
        <w:t xml:space="preserve"> submission</w:t>
      </w:r>
      <w:r w:rsidR="7BB4EC5A">
        <w:t>s</w:t>
      </w:r>
      <w:r w:rsidR="0B2E31D6">
        <w:t xml:space="preserve"> </w:t>
      </w:r>
      <w:r>
        <w:t>w</w:t>
      </w:r>
      <w:r w:rsidR="7BB4EC5A">
        <w:t>ere</w:t>
      </w:r>
      <w:r w:rsidR="0B2E31D6">
        <w:t xml:space="preserve"> forwarded to the Technology and Economic Assessment Panel. </w:t>
      </w:r>
      <w:r w:rsidR="7B1A3D56">
        <w:t xml:space="preserve">In addition, Canada indicated that </w:t>
      </w:r>
      <w:r w:rsidR="46314655">
        <w:t>it</w:t>
      </w:r>
      <w:r w:rsidR="7B1A3D56">
        <w:t xml:space="preserve"> d</w:t>
      </w:r>
      <w:r w:rsidR="4B610184">
        <w:t>id</w:t>
      </w:r>
      <w:r w:rsidR="7B1A3D56">
        <w:t xml:space="preserve"> not have any information to provide in response to decision XXXVII/4</w:t>
      </w:r>
      <w:r w:rsidR="46314655">
        <w:t>,</w:t>
      </w:r>
      <w:r w:rsidR="7B1A3D56">
        <w:t xml:space="preserve"> and </w:t>
      </w:r>
      <w:r w:rsidR="0ABEC0B0">
        <w:t xml:space="preserve">Peru and </w:t>
      </w:r>
      <w:r w:rsidR="7B1A3D56">
        <w:t xml:space="preserve">Saint Vincent and the Grenadines informed the Secretariat that </w:t>
      </w:r>
      <w:r w:rsidR="00D333AE">
        <w:t xml:space="preserve">they </w:t>
      </w:r>
      <w:r w:rsidR="00EE48F5">
        <w:t>did</w:t>
      </w:r>
      <w:r w:rsidR="7B1A3D56">
        <w:t xml:space="preserve"> not use halon 1301 as a fire suppression system. </w:t>
      </w:r>
      <w:r w:rsidR="0B2E31D6">
        <w:t xml:space="preserve">Any updates on the submission </w:t>
      </w:r>
      <w:r w:rsidR="7C893698">
        <w:t xml:space="preserve">of the requested information </w:t>
      </w:r>
      <w:r w:rsidR="0B2E31D6">
        <w:t>by parties will be included in the addendum to the present note.</w:t>
      </w:r>
    </w:p>
    <w:p w14:paraId="7208002A" w14:textId="2FEFDA7A" w:rsidR="00323A74" w:rsidRPr="00851078" w:rsidRDefault="00323A74" w:rsidP="00323A74">
      <w:pPr>
        <w:pStyle w:val="CH3"/>
      </w:pPr>
      <w:r w:rsidRPr="00851078">
        <w:lastRenderedPageBreak/>
        <w:tab/>
        <w:t>(b)</w:t>
      </w:r>
      <w:r w:rsidRPr="00851078">
        <w:tab/>
        <w:t>Metered-dose inhalers with low-global-warming-potential propellants (decision</w:t>
      </w:r>
      <w:r w:rsidR="005C51DE">
        <w:t> </w:t>
      </w:r>
      <w:r w:rsidRPr="00851078">
        <w:t>XXXVI/6)</w:t>
      </w:r>
    </w:p>
    <w:p w14:paraId="37FB4F95" w14:textId="7A32EECB" w:rsidR="00323A74" w:rsidRPr="00851078" w:rsidRDefault="00323A74" w:rsidP="00323A74">
      <w:pPr>
        <w:pStyle w:val="Normalnumber"/>
        <w:tabs>
          <w:tab w:val="clear" w:pos="1247"/>
          <w:tab w:val="clear" w:pos="1814"/>
          <w:tab w:val="clear" w:pos="2381"/>
          <w:tab w:val="clear" w:pos="2948"/>
          <w:tab w:val="clear" w:pos="3515"/>
        </w:tabs>
        <w:ind w:left="1247"/>
      </w:pPr>
      <w:r w:rsidRPr="00851078">
        <w:t>The Thirty-Sixth Meeting of the Parties adopted decision XXXVI/6, in which, among other things, it invited parties that produce metered-dose inhalers to submit to the Ozone Secretariat, on a voluntary basis, preferably by June 2025 or when it bec</w:t>
      </w:r>
      <w:r w:rsidR="00535D84" w:rsidRPr="00851078">
        <w:t>a</w:t>
      </w:r>
      <w:r w:rsidRPr="00851078">
        <w:t xml:space="preserve">me available, any relevant information on progress in the development of metered-dose inhaler products using lower-global-warming-potential propellants, the availability of other alternatives and the implementation of lessons learned during previous metered-dose inhaler propellant transitions. </w:t>
      </w:r>
      <w:r w:rsidR="007E07F6" w:rsidRPr="00851078">
        <w:t>In p</w:t>
      </w:r>
      <w:r w:rsidRPr="00851078">
        <w:t>aragraph 3 of the decision</w:t>
      </w:r>
      <w:r w:rsidR="007E07F6" w:rsidRPr="00851078">
        <w:t>,</w:t>
      </w:r>
      <w:r w:rsidRPr="00851078">
        <w:t xml:space="preserve"> the Technology and Economic Assessment Panel </w:t>
      </w:r>
      <w:r w:rsidR="007E07F6" w:rsidRPr="00851078">
        <w:t xml:space="preserve">was requested </w:t>
      </w:r>
      <w:r w:rsidRPr="00851078">
        <w:t xml:space="preserve">to continue to provide in its annual progress reports updated information on low-global-warming-potential metered-dose inhaler propellants and to complement its 2026 quadrennial assessment report with timely information, including on the availability, technical feasibility, economic viability, safety and market penetration of those propellants in Article 5 parties and in </w:t>
      </w:r>
      <w:r w:rsidR="001132F8" w:rsidRPr="00851078">
        <w:rPr>
          <w:color w:val="000000" w:themeColor="text1"/>
        </w:rPr>
        <w:t>parties</w:t>
      </w:r>
      <w:r w:rsidR="001132F8" w:rsidRPr="00851078">
        <w:t xml:space="preserve"> not operating under paragraph 1 of Article 5 </w:t>
      </w:r>
      <w:r w:rsidR="002E5173">
        <w:t>(non</w:t>
      </w:r>
      <w:r w:rsidR="002E5173">
        <w:noBreakHyphen/>
      </w:r>
      <w:r w:rsidRPr="00851078">
        <w:t>Article</w:t>
      </w:r>
      <w:r w:rsidR="001132F8" w:rsidRPr="00851078">
        <w:t> </w:t>
      </w:r>
      <w:r w:rsidRPr="00851078">
        <w:t>5 parties</w:t>
      </w:r>
      <w:r w:rsidR="0063618E" w:rsidRPr="00851078">
        <w:t>)</w:t>
      </w:r>
      <w:r w:rsidRPr="00851078">
        <w:t>.</w:t>
      </w:r>
    </w:p>
    <w:p w14:paraId="3F28E3F7" w14:textId="7E749E69" w:rsidR="00323A74" w:rsidRPr="00851078" w:rsidRDefault="00323A74" w:rsidP="00323A74">
      <w:pPr>
        <w:pStyle w:val="Normalnumber"/>
        <w:tabs>
          <w:tab w:val="clear" w:pos="1247"/>
          <w:tab w:val="clear" w:pos="1814"/>
          <w:tab w:val="clear" w:pos="2381"/>
          <w:tab w:val="clear" w:pos="2948"/>
          <w:tab w:val="clear" w:pos="3515"/>
        </w:tabs>
        <w:ind w:left="1247"/>
      </w:pPr>
      <w:r w:rsidRPr="00851078">
        <w:t xml:space="preserve">At the forty-seventh meeting of the Open-ended Working Group, </w:t>
      </w:r>
      <w:r w:rsidR="008446DE" w:rsidRPr="00851078">
        <w:t xml:space="preserve">representatives </w:t>
      </w:r>
      <w:r w:rsidRPr="00851078">
        <w:t xml:space="preserve">considered updated information on low-global-warming-potential metered-dose inhaler propellants in the 2025 progress report of the Technology and Economic Assessment Panel. Ensuing discussions touched upon the availability and development of alternatives to metered-dose inhalers using propellants with high global warming potential and on challenges in adopting alternatives, topics on which </w:t>
      </w:r>
      <w:r w:rsidR="008446DE" w:rsidRPr="00851078">
        <w:t xml:space="preserve">representatives </w:t>
      </w:r>
      <w:r w:rsidRPr="00851078">
        <w:t>sought further advice from the Panel. The right of parties to make their own decisions about the transition away from HFCs in metered</w:t>
      </w:r>
      <w:r w:rsidR="00535D84" w:rsidRPr="00851078">
        <w:t>-</w:t>
      </w:r>
      <w:r w:rsidRPr="00851078">
        <w:t xml:space="preserve">dose inhalers was pointed out, as was the role and responsibility of the pharmaceutical industry and the need to help pharmaceutical sectors in developing countries to adopt alternatives. Further submissions of information requested in decision XXXVI/6 were encouraged </w:t>
      </w:r>
      <w:r w:rsidR="0064414E" w:rsidRPr="00851078">
        <w:t>to</w:t>
      </w:r>
      <w:r w:rsidRPr="00851078">
        <w:t xml:space="preserve"> enable a fuller discussion on the topic. A summary of the discussions on the matter during forty-seventh meeting of the Open-ended Working Group is set out in paragraphs 93</w:t>
      </w:r>
      <w:r w:rsidR="006B53F2" w:rsidRPr="00851078">
        <w:t>–</w:t>
      </w:r>
      <w:r w:rsidRPr="00851078">
        <w:t>97 of the report of that meeting (UNEP/OzL.Pro.WG.1/47/6).</w:t>
      </w:r>
    </w:p>
    <w:p w14:paraId="1EBE5698" w14:textId="3052D55C" w:rsidR="00323A74" w:rsidRPr="00851078" w:rsidRDefault="00323A74" w:rsidP="00E23C9E">
      <w:pPr>
        <w:pStyle w:val="Normalnumber"/>
        <w:tabs>
          <w:tab w:val="clear" w:pos="1247"/>
          <w:tab w:val="clear" w:pos="1814"/>
          <w:tab w:val="clear" w:pos="2381"/>
          <w:tab w:val="clear" w:pos="2948"/>
          <w:tab w:val="clear" w:pos="3515"/>
        </w:tabs>
        <w:ind w:left="1247"/>
      </w:pPr>
      <w:r w:rsidRPr="00851078">
        <w:t>At the time of the preparation of the present note, no additional submissions had been received by the Ozone Secretariat to those submitted by the European Union</w:t>
      </w:r>
      <w:r w:rsidR="00B95DAC" w:rsidRPr="00851078">
        <w:t xml:space="preserve"> and </w:t>
      </w:r>
      <w:r w:rsidR="00135A2F" w:rsidRPr="00851078">
        <w:t>its</w:t>
      </w:r>
      <w:r w:rsidR="0096613D" w:rsidRPr="00851078">
        <w:t xml:space="preserve"> </w:t>
      </w:r>
      <w:r w:rsidRPr="00851078">
        <w:t>27</w:t>
      </w:r>
      <w:r w:rsidR="0096613D" w:rsidRPr="00851078">
        <w:t xml:space="preserve"> </w:t>
      </w:r>
      <w:r w:rsidR="00B95DAC" w:rsidRPr="00851078">
        <w:t>member States</w:t>
      </w:r>
      <w:r w:rsidRPr="00851078">
        <w:t>, and the United States of America, in 2025.</w:t>
      </w:r>
    </w:p>
    <w:p w14:paraId="070CD339" w14:textId="77777777" w:rsidR="00323A74" w:rsidRPr="00851078" w:rsidRDefault="00323A74" w:rsidP="00323A74">
      <w:pPr>
        <w:pStyle w:val="Normalnumber"/>
        <w:tabs>
          <w:tab w:val="clear" w:pos="1247"/>
          <w:tab w:val="clear" w:pos="1814"/>
          <w:tab w:val="clear" w:pos="2381"/>
          <w:tab w:val="clear" w:pos="2948"/>
          <w:tab w:val="clear" w:pos="3515"/>
        </w:tabs>
        <w:ind w:left="1247"/>
      </w:pPr>
      <w:r w:rsidRPr="00851078">
        <w:t>A summary of any updated information on low-global-warming-potential metered-dose inhaler propellants in the 2026 progress report of the Technology and Economic Assessment Panel and any updates on the submission by parties of the information described in paragraph 16 above will be included in the addendum to the present note.</w:t>
      </w:r>
    </w:p>
    <w:p w14:paraId="120FE88F" w14:textId="0AB547D4" w:rsidR="00323A74" w:rsidRPr="00851078" w:rsidRDefault="00323A74" w:rsidP="00323A74">
      <w:pPr>
        <w:pStyle w:val="CH3"/>
      </w:pPr>
      <w:r w:rsidRPr="00851078">
        <w:tab/>
        <w:t>(c)</w:t>
      </w:r>
      <w:r w:rsidRPr="00851078">
        <w:tab/>
        <w:t>Options for the organization of the Panel and its technical options committees (decision</w:t>
      </w:r>
      <w:r w:rsidR="00BF5048" w:rsidRPr="00851078">
        <w:t> </w:t>
      </w:r>
      <w:r w:rsidRPr="00851078">
        <w:t>XXXV/20)</w:t>
      </w:r>
    </w:p>
    <w:p w14:paraId="075967EE" w14:textId="10BC3569" w:rsidR="00323A74" w:rsidRPr="00851078" w:rsidRDefault="00323A74" w:rsidP="00E23C9E">
      <w:pPr>
        <w:pStyle w:val="Normalnumber"/>
        <w:tabs>
          <w:tab w:val="clear" w:pos="1247"/>
          <w:tab w:val="clear" w:pos="1814"/>
          <w:tab w:val="clear" w:pos="2381"/>
          <w:tab w:val="clear" w:pos="2948"/>
          <w:tab w:val="clear" w:pos="3515"/>
        </w:tabs>
        <w:ind w:left="1247"/>
      </w:pPr>
      <w:r w:rsidRPr="00851078">
        <w:t>In decision XXXV/20</w:t>
      </w:r>
      <w:r w:rsidR="004D7E71" w:rsidRPr="00851078">
        <w:t>,</w:t>
      </w:r>
      <w:r w:rsidRPr="00851078">
        <w:t xml:space="preserve"> the Thirty</w:t>
      </w:r>
      <w:r w:rsidR="004D7E71" w:rsidRPr="00851078">
        <w:t>-</w:t>
      </w:r>
      <w:r w:rsidRPr="00851078">
        <w:t>Fifth Meeting of the Parties</w:t>
      </w:r>
      <w:r w:rsidR="004D7E71" w:rsidRPr="00851078">
        <w:t xml:space="preserve"> requested</w:t>
      </w:r>
      <w:r w:rsidRPr="00851078">
        <w:t xml:space="preserve"> the Technology and Economic Assessment Panel to provide options relating to its organization and that of its technical options committees. The full report of the Panel on the matter was set out in chapter 8 of its 2025 progress report and summarized in the note by the Secretariat on issues for discussion by and information for the attention of the Open-ended Working Group at its forty-seventh meeting (UNEP/OzL.Pro.WG.1/47/2, paras. 17–21) and the addendum thereto (UNEP/OzL.Pro.WG.1/47/2/Add.1, paras. 19–28 and table 1). </w:t>
      </w:r>
    </w:p>
    <w:p w14:paraId="0BF4CEDC" w14:textId="0031FABE" w:rsidR="00323A74" w:rsidRPr="00851078" w:rsidRDefault="00323A74" w:rsidP="00E23C9E">
      <w:pPr>
        <w:pStyle w:val="Normalnumber"/>
        <w:tabs>
          <w:tab w:val="clear" w:pos="1247"/>
          <w:tab w:val="clear" w:pos="1814"/>
          <w:tab w:val="clear" w:pos="2381"/>
          <w:tab w:val="clear" w:pos="2948"/>
          <w:tab w:val="clear" w:pos="3515"/>
        </w:tabs>
        <w:ind w:left="1247"/>
      </w:pPr>
      <w:r w:rsidRPr="00851078">
        <w:t>At the forty-seventh meeting of the Open-</w:t>
      </w:r>
      <w:r w:rsidR="000E6E4F" w:rsidRPr="00851078">
        <w:t>e</w:t>
      </w:r>
      <w:r w:rsidRPr="00851078">
        <w:t xml:space="preserve">nded Working Group, an informal group of interested parties met </w:t>
      </w:r>
      <w:r w:rsidR="00B547D5" w:rsidRPr="00851078">
        <w:t xml:space="preserve">with </w:t>
      </w:r>
      <w:r w:rsidRPr="00851078">
        <w:t>the co-chairs of the Technology and Economic Assessment Panel and of its technical options committees in the margins of the meeting to discuss the options for the organization of the Panel and its technical options committees.</w:t>
      </w:r>
      <w:r w:rsidR="006E1ED0" w:rsidRPr="00851078">
        <w:t xml:space="preserve"> Following </w:t>
      </w:r>
      <w:r w:rsidR="00F00C18" w:rsidRPr="00851078">
        <w:t xml:space="preserve">those </w:t>
      </w:r>
      <w:r w:rsidR="006E1ED0" w:rsidRPr="00851078">
        <w:t>discussions</w:t>
      </w:r>
      <w:r w:rsidRPr="00851078">
        <w:t xml:space="preserve">, </w:t>
      </w:r>
      <w:r w:rsidR="00CE0AA7" w:rsidRPr="00851078">
        <w:t xml:space="preserve">the group </w:t>
      </w:r>
      <w:r w:rsidR="005A498D" w:rsidRPr="00851078">
        <w:t xml:space="preserve">indicated that </w:t>
      </w:r>
      <w:r w:rsidRPr="00851078">
        <w:t>the Panel needed more time to provide the additional information requested by parties</w:t>
      </w:r>
      <w:r w:rsidR="000D7D11" w:rsidRPr="00851078">
        <w:t>.</w:t>
      </w:r>
      <w:r w:rsidR="002C608E" w:rsidRPr="00851078">
        <w:t xml:space="preserve"> </w:t>
      </w:r>
      <w:r w:rsidR="000D7D11" w:rsidRPr="00851078">
        <w:t xml:space="preserve">Some </w:t>
      </w:r>
      <w:r w:rsidR="004D7E71" w:rsidRPr="00851078">
        <w:t xml:space="preserve">representatives </w:t>
      </w:r>
      <w:r w:rsidR="000D7D11" w:rsidRPr="00851078">
        <w:t xml:space="preserve">also indicated </w:t>
      </w:r>
      <w:r w:rsidRPr="00851078">
        <w:t>that they needed more time to consider the issue. The Working Group had agreed to resume discussions on the matter at the Thirty-Seventh Meeting of the Parties.</w:t>
      </w:r>
    </w:p>
    <w:p w14:paraId="49B086A4" w14:textId="37103B73"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The Panel subsequently prepared the additional information requested by parties during the informal group discussions and stood ready to respond to any questions at the Thirty-Seventh Meeting of the Parties. </w:t>
      </w:r>
      <w:r w:rsidR="00850253" w:rsidRPr="00851078">
        <w:t>T</w:t>
      </w:r>
      <w:r w:rsidRPr="00851078">
        <w:t>he informal group established by the Thirty-Seventh Meeting of the Parties discussed various options</w:t>
      </w:r>
      <w:r w:rsidR="00850253" w:rsidRPr="00851078">
        <w:t xml:space="preserve"> but concluded</w:t>
      </w:r>
      <w:r w:rsidRPr="00851078">
        <w:t xml:space="preserve"> that it was not </w:t>
      </w:r>
      <w:r w:rsidR="00923E7C" w:rsidRPr="00851078">
        <w:t xml:space="preserve">the right time </w:t>
      </w:r>
      <w:r w:rsidRPr="00851078">
        <w:t xml:space="preserve">to restructure the Panel and its technical options committees. Given the importance of </w:t>
      </w:r>
      <w:r w:rsidR="004B110A" w:rsidRPr="00851078">
        <w:t>continued</w:t>
      </w:r>
      <w:r w:rsidR="002921AF" w:rsidRPr="00851078">
        <w:t xml:space="preserve"> </w:t>
      </w:r>
      <w:r w:rsidRPr="00851078">
        <w:t>discussions on th</w:t>
      </w:r>
      <w:r w:rsidR="00850253" w:rsidRPr="00851078">
        <w:t>e</w:t>
      </w:r>
      <w:r w:rsidRPr="00851078">
        <w:t xml:space="preserve"> issue, in particular </w:t>
      </w:r>
      <w:proofErr w:type="gramStart"/>
      <w:r w:rsidRPr="00851078">
        <w:t>with regard to</w:t>
      </w:r>
      <w:proofErr w:type="gramEnd"/>
      <w:r w:rsidRPr="00851078">
        <w:t xml:space="preserve"> workload optimization, membership and financial constraints, the parties agreed to include the item on the agenda of the forty-eighth meeting of the Open-ended Working Group.</w:t>
      </w:r>
    </w:p>
    <w:p w14:paraId="142A2EAD" w14:textId="77777777" w:rsidR="00323A74" w:rsidRPr="00851078" w:rsidRDefault="00323A74" w:rsidP="00323A74">
      <w:pPr>
        <w:pStyle w:val="CH3"/>
      </w:pPr>
      <w:r w:rsidRPr="00851078">
        <w:lastRenderedPageBreak/>
        <w:tab/>
        <w:t>(d)</w:t>
      </w:r>
      <w:r w:rsidRPr="00851078">
        <w:tab/>
        <w:t>Changes in the membership of the Panel</w:t>
      </w:r>
    </w:p>
    <w:p w14:paraId="314D684F" w14:textId="27AF869C" w:rsidR="00323A74" w:rsidRPr="00851078" w:rsidRDefault="00EF7D62" w:rsidP="00E23C9E">
      <w:pPr>
        <w:pStyle w:val="Normalnumber"/>
        <w:tabs>
          <w:tab w:val="clear" w:pos="1247"/>
          <w:tab w:val="clear" w:pos="1814"/>
          <w:tab w:val="clear" w:pos="2381"/>
          <w:tab w:val="clear" w:pos="2948"/>
          <w:tab w:val="clear" w:pos="3515"/>
        </w:tabs>
        <w:ind w:left="1247"/>
      </w:pPr>
      <w:r w:rsidRPr="00851078">
        <w:t>T</w:t>
      </w:r>
      <w:r w:rsidR="00323A74" w:rsidRPr="00851078">
        <w:t>he 2026</w:t>
      </w:r>
      <w:r w:rsidR="004A50E0" w:rsidRPr="00851078">
        <w:t xml:space="preserve"> progress</w:t>
      </w:r>
      <w:r w:rsidR="00323A74" w:rsidRPr="00851078">
        <w:t xml:space="preserve"> report of the Technology and Economic Assessment Panel is expected to contain information on the membership of the Panel and its technical options committees, including the term of appointment of each member; the expertise available in each committee; and the matrix of needed expertise of the Panel and its technical options committees. As requested in decision XXXI/8, entitled “Terms of reference of the Technology and Economic Assessment Panel and its technical options committees and temporary subsidiary bodies – procedures relevant to nominations”, the Panel is expected to provide, in its 2026 progress report, a summary outlining the procedures that the Panel and its technical options committees have </w:t>
      </w:r>
      <w:r w:rsidR="00CB054C">
        <w:t>put in place</w:t>
      </w:r>
      <w:r w:rsidR="00323A74" w:rsidRPr="00851078">
        <w:t xml:space="preserve"> to ensure adherence to the Panel’s terms of reference through clear and transparent procedures.</w:t>
      </w:r>
    </w:p>
    <w:p w14:paraId="01A760CA" w14:textId="13CBE298"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Information about changes in </w:t>
      </w:r>
      <w:r w:rsidR="00CB054C">
        <w:t xml:space="preserve">the </w:t>
      </w:r>
      <w:r w:rsidRPr="00851078">
        <w:t>membership of the Technology and Economic Assessment Panel</w:t>
      </w:r>
      <w:r w:rsidR="00117773" w:rsidRPr="00851078">
        <w:t xml:space="preserve">, as well as the </w:t>
      </w:r>
      <w:r w:rsidR="00803AAB" w:rsidRPr="00851078">
        <w:t xml:space="preserve">process for the submission of nominations, </w:t>
      </w:r>
      <w:r w:rsidRPr="00851078">
        <w:t>will be s</w:t>
      </w:r>
      <w:r w:rsidR="00A839A6">
        <w:t>et out</w:t>
      </w:r>
      <w:r w:rsidRPr="00851078">
        <w:t xml:space="preserve"> in the addendum to the present note, together with the matrix of needed expertise.</w:t>
      </w:r>
    </w:p>
    <w:p w14:paraId="0D38E0CE" w14:textId="77777777" w:rsidR="00323A74" w:rsidRPr="00851078" w:rsidRDefault="00323A74" w:rsidP="00323A74">
      <w:pPr>
        <w:pStyle w:val="CH3"/>
      </w:pPr>
      <w:r w:rsidRPr="00851078">
        <w:tab/>
        <w:t>(e)</w:t>
      </w:r>
      <w:r w:rsidRPr="00851078">
        <w:tab/>
        <w:t>Any other issues</w:t>
      </w:r>
    </w:p>
    <w:p w14:paraId="5A14F3E3" w14:textId="0FC0A57B" w:rsidR="00323A74" w:rsidRPr="00851078" w:rsidRDefault="00323A74" w:rsidP="00323A74">
      <w:pPr>
        <w:pStyle w:val="Normalnumber"/>
        <w:tabs>
          <w:tab w:val="clear" w:pos="1247"/>
          <w:tab w:val="clear" w:pos="1814"/>
          <w:tab w:val="clear" w:pos="2381"/>
          <w:tab w:val="clear" w:pos="2948"/>
          <w:tab w:val="clear" w:pos="3515"/>
        </w:tabs>
        <w:ind w:left="1247"/>
      </w:pPr>
      <w:r w:rsidRPr="00851078">
        <w:t xml:space="preserve">Any party wishing to raise any other issues related to the Panel’s 2026 progress report for discussion at the forty-eighth meeting of the Open-ended Working Group is requested to raise them at the time of adoption of the agenda at the meeting itself, and to </w:t>
      </w:r>
      <w:r w:rsidR="00D83AE8">
        <w:t>request</w:t>
      </w:r>
      <w:r w:rsidRPr="00851078">
        <w:t xml:space="preserve"> the inclusion of those issues on the agenda, as appropriate.</w:t>
      </w:r>
    </w:p>
    <w:p w14:paraId="70DD2184" w14:textId="77777777" w:rsidR="00323A74" w:rsidRPr="00851078" w:rsidRDefault="00323A74" w:rsidP="00323A74">
      <w:pPr>
        <w:pStyle w:val="CH2"/>
      </w:pPr>
      <w:r w:rsidRPr="00851078">
        <w:tab/>
      </w:r>
      <w:r w:rsidRPr="00851078">
        <w:tab/>
        <w:t>Agenda item 5</w:t>
      </w:r>
    </w:p>
    <w:p w14:paraId="6E5BC993" w14:textId="4CDC8022" w:rsidR="00323A74" w:rsidRPr="00851078" w:rsidRDefault="00323A74" w:rsidP="00323A74">
      <w:pPr>
        <w:pStyle w:val="CH2"/>
        <w:spacing w:before="120"/>
      </w:pPr>
      <w:r w:rsidRPr="00851078">
        <w:tab/>
      </w:r>
      <w:r w:rsidRPr="00851078">
        <w:tab/>
        <w:t>Enhancing regional atmospheric monitoring of substances controlled by the Montreal Protocol (decision XXXVII/1)</w:t>
      </w:r>
    </w:p>
    <w:p w14:paraId="5250F9B9" w14:textId="79F95834" w:rsidR="00323A74" w:rsidRPr="00851078" w:rsidRDefault="005A21BA" w:rsidP="00323A74">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T</w:t>
      </w:r>
      <w:r w:rsidR="00323A74" w:rsidRPr="00851078">
        <w:rPr>
          <w:color w:val="000000" w:themeColor="text1"/>
        </w:rPr>
        <w:t xml:space="preserve">he Thirty-Seventh Meeting of the Parties </w:t>
      </w:r>
      <w:r w:rsidR="005219E4" w:rsidRPr="00851078">
        <w:rPr>
          <w:color w:val="000000" w:themeColor="text1"/>
        </w:rPr>
        <w:t xml:space="preserve">heard a presentation </w:t>
      </w:r>
      <w:r w:rsidR="00DA65F0" w:rsidRPr="00851078">
        <w:rPr>
          <w:color w:val="000000" w:themeColor="text1"/>
        </w:rPr>
        <w:t>of the report</w:t>
      </w:r>
      <w:r w:rsidR="00BF2476" w:rsidRPr="00851078">
        <w:rPr>
          <w:color w:val="000000" w:themeColor="text1"/>
        </w:rPr>
        <w:t xml:space="preserve"> </w:t>
      </w:r>
      <w:r w:rsidR="00323A74" w:rsidRPr="00851078">
        <w:rPr>
          <w:color w:val="000000" w:themeColor="text1"/>
        </w:rPr>
        <w:t xml:space="preserve">on progress </w:t>
      </w:r>
      <w:r w:rsidR="008A7FC2" w:rsidRPr="00851078">
        <w:rPr>
          <w:color w:val="000000" w:themeColor="text1"/>
        </w:rPr>
        <w:t xml:space="preserve">in </w:t>
      </w:r>
      <w:r w:rsidR="00323A74" w:rsidRPr="00851078">
        <w:rPr>
          <w:color w:val="000000" w:themeColor="text1"/>
        </w:rPr>
        <w:t>the implementation of decision XXXVI/1 on enhancing regional atmospheric monitoring of substances controlled by the Montreal Protocol</w:t>
      </w:r>
      <w:r w:rsidR="00DB6CC6" w:rsidRPr="00851078">
        <w:t xml:space="preserve"> </w:t>
      </w:r>
      <w:r w:rsidR="00DB6CC6" w:rsidRPr="00851078">
        <w:rPr>
          <w:color w:val="000000" w:themeColor="text1"/>
        </w:rPr>
        <w:t>(UNEP/OzL.Pro.37/9, paras 90–93)</w:t>
      </w:r>
      <w:r w:rsidR="009507EE" w:rsidRPr="00851078">
        <w:rPr>
          <w:color w:val="000000" w:themeColor="text1"/>
        </w:rPr>
        <w:t>.</w:t>
      </w:r>
      <w:r w:rsidR="00323A74" w:rsidRPr="00851078">
        <w:rPr>
          <w:color w:val="000000" w:themeColor="text1"/>
        </w:rPr>
        <w:t xml:space="preserve"> </w:t>
      </w:r>
      <w:r w:rsidR="009507EE" w:rsidRPr="00851078">
        <w:rPr>
          <w:color w:val="000000" w:themeColor="text1"/>
        </w:rPr>
        <w:t>The presentation,</w:t>
      </w:r>
      <w:r w:rsidR="009507EE" w:rsidRPr="00851078">
        <w:t xml:space="preserve"> </w:t>
      </w:r>
      <w:r w:rsidR="009509FC" w:rsidRPr="00851078">
        <w:rPr>
          <w:color w:val="000000" w:themeColor="text1"/>
        </w:rPr>
        <w:t>delivered</w:t>
      </w:r>
      <w:r w:rsidR="009507EE" w:rsidRPr="00851078">
        <w:rPr>
          <w:color w:val="000000" w:themeColor="text1"/>
        </w:rPr>
        <w:t xml:space="preserve"> by one of the Co-Chairs of the Advisory Committee of the General Trust Fund for Financing Activities on Research and Systematic Observations Relevant to the Vienna Convention for the Protection of the Ozone Layer and the </w:t>
      </w:r>
      <w:r w:rsidR="009509FC" w:rsidRPr="00851078">
        <w:rPr>
          <w:color w:val="000000" w:themeColor="text1"/>
        </w:rPr>
        <w:t xml:space="preserve">Ozone </w:t>
      </w:r>
      <w:r w:rsidR="009507EE" w:rsidRPr="00851078">
        <w:rPr>
          <w:color w:val="000000" w:themeColor="text1"/>
        </w:rPr>
        <w:t xml:space="preserve">Secretariat’s representative on the Advisory Committee, covered the </w:t>
      </w:r>
      <w:r w:rsidR="00323A74" w:rsidRPr="00851078">
        <w:rPr>
          <w:color w:val="000000" w:themeColor="text1"/>
        </w:rPr>
        <w:t xml:space="preserve">progress </w:t>
      </w:r>
      <w:r w:rsidR="009507EE" w:rsidRPr="00851078">
        <w:rPr>
          <w:color w:val="000000" w:themeColor="text1"/>
        </w:rPr>
        <w:t xml:space="preserve">made </w:t>
      </w:r>
      <w:r w:rsidR="00323A74" w:rsidRPr="00851078">
        <w:rPr>
          <w:color w:val="000000" w:themeColor="text1"/>
        </w:rPr>
        <w:t xml:space="preserve">in evaluating the suitability of potential sites for monitoring regional emissions of controlled substances </w:t>
      </w:r>
      <w:r w:rsidR="009507EE" w:rsidRPr="00851078">
        <w:rPr>
          <w:color w:val="000000" w:themeColor="text1"/>
        </w:rPr>
        <w:t xml:space="preserve">and </w:t>
      </w:r>
      <w:r w:rsidR="00323A74" w:rsidRPr="00851078">
        <w:rPr>
          <w:color w:val="000000" w:themeColor="text1"/>
        </w:rPr>
        <w:t xml:space="preserve">updates </w:t>
      </w:r>
      <w:r w:rsidR="00D96B62" w:rsidRPr="00851078">
        <w:rPr>
          <w:color w:val="000000" w:themeColor="text1"/>
        </w:rPr>
        <w:t xml:space="preserve">to </w:t>
      </w:r>
      <w:r w:rsidR="00323A74" w:rsidRPr="00851078">
        <w:rPr>
          <w:color w:val="000000" w:themeColor="text1"/>
        </w:rPr>
        <w:t xml:space="preserve">the Secretariat’s cost estimates and options for </w:t>
      </w:r>
      <w:r w:rsidR="001012A7">
        <w:rPr>
          <w:color w:val="000000" w:themeColor="text1"/>
        </w:rPr>
        <w:t>long</w:t>
      </w:r>
      <w:r w:rsidR="001012A7">
        <w:rPr>
          <w:color w:val="000000" w:themeColor="text1"/>
        </w:rPr>
        <w:noBreakHyphen/>
      </w:r>
      <w:r w:rsidR="00323A74" w:rsidRPr="00851078">
        <w:rPr>
          <w:color w:val="000000" w:themeColor="text1"/>
        </w:rPr>
        <w:t>term financing associated with atmospheric monitoring</w:t>
      </w:r>
      <w:r w:rsidR="00610B49" w:rsidRPr="00851078">
        <w:rPr>
          <w:color w:val="000000" w:themeColor="text1"/>
        </w:rPr>
        <w:t>,</w:t>
      </w:r>
      <w:r w:rsidR="00323A74" w:rsidRPr="00851078">
        <w:rPr>
          <w:color w:val="000000" w:themeColor="text1"/>
        </w:rPr>
        <w:t xml:space="preserve"> </w:t>
      </w:r>
      <w:r w:rsidR="00610B49" w:rsidRPr="00851078">
        <w:rPr>
          <w:color w:val="000000" w:themeColor="text1"/>
        </w:rPr>
        <w:t xml:space="preserve">as well as </w:t>
      </w:r>
      <w:r w:rsidR="00323A74" w:rsidRPr="00851078">
        <w:rPr>
          <w:color w:val="000000" w:themeColor="text1"/>
        </w:rPr>
        <w:t xml:space="preserve">a list of 10 potential regions and locations </w:t>
      </w:r>
      <w:r w:rsidR="00D96B62" w:rsidRPr="00851078">
        <w:rPr>
          <w:color w:val="000000" w:themeColor="text1"/>
        </w:rPr>
        <w:t>selected by the Adv</w:t>
      </w:r>
      <w:r w:rsidR="006B53F2" w:rsidRPr="00851078">
        <w:rPr>
          <w:color w:val="000000" w:themeColor="text1"/>
        </w:rPr>
        <w:t>i</w:t>
      </w:r>
      <w:r w:rsidR="00D96B62" w:rsidRPr="00851078">
        <w:rPr>
          <w:color w:val="000000" w:themeColor="text1"/>
        </w:rPr>
        <w:t>s</w:t>
      </w:r>
      <w:r w:rsidR="006B53F2" w:rsidRPr="00851078">
        <w:rPr>
          <w:color w:val="000000" w:themeColor="text1"/>
        </w:rPr>
        <w:t>o</w:t>
      </w:r>
      <w:r w:rsidR="00D96B62" w:rsidRPr="00851078">
        <w:rPr>
          <w:color w:val="000000" w:themeColor="text1"/>
        </w:rPr>
        <w:t xml:space="preserve">ry Committee </w:t>
      </w:r>
      <w:r w:rsidR="00323A74" w:rsidRPr="00851078">
        <w:rPr>
          <w:color w:val="000000" w:themeColor="text1"/>
        </w:rPr>
        <w:t xml:space="preserve">for setting up monitoring stations, five </w:t>
      </w:r>
      <w:r w:rsidR="00D96B62" w:rsidRPr="00851078">
        <w:rPr>
          <w:color w:val="000000" w:themeColor="text1"/>
        </w:rPr>
        <w:t>of which h</w:t>
      </w:r>
      <w:r w:rsidR="00323A74" w:rsidRPr="00851078">
        <w:rPr>
          <w:color w:val="000000" w:themeColor="text1"/>
        </w:rPr>
        <w:t xml:space="preserve">ad been prioritized by the Committee. </w:t>
      </w:r>
      <w:r w:rsidR="00323A74" w:rsidRPr="00851078">
        <w:rPr>
          <w:rStyle w:val="FootnoteReference"/>
        </w:rPr>
        <w:footnoteReference w:id="3"/>
      </w:r>
    </w:p>
    <w:p w14:paraId="078908A6" w14:textId="7C6B10BD" w:rsidR="00323A74" w:rsidRPr="00851078" w:rsidRDefault="00323A74" w:rsidP="00E23C9E">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 xml:space="preserve">In </w:t>
      </w:r>
      <w:r w:rsidR="0066207D" w:rsidRPr="00851078">
        <w:rPr>
          <w:color w:val="000000" w:themeColor="text1"/>
        </w:rPr>
        <w:t xml:space="preserve">the </w:t>
      </w:r>
      <w:r w:rsidRPr="00851078">
        <w:rPr>
          <w:color w:val="000000" w:themeColor="text1"/>
        </w:rPr>
        <w:t xml:space="preserve">discussion that followed, </w:t>
      </w:r>
      <w:r w:rsidR="0066207D" w:rsidRPr="00851078">
        <w:rPr>
          <w:color w:val="000000" w:themeColor="text1"/>
        </w:rPr>
        <w:t xml:space="preserve">representatives </w:t>
      </w:r>
      <w:r w:rsidR="00494E88" w:rsidRPr="00851078">
        <w:rPr>
          <w:color w:val="000000" w:themeColor="text1"/>
        </w:rPr>
        <w:t xml:space="preserve">asked </w:t>
      </w:r>
      <w:r w:rsidRPr="00851078">
        <w:rPr>
          <w:color w:val="000000" w:themeColor="text1"/>
        </w:rPr>
        <w:t xml:space="preserve">the Co-Chair of the Advisory Committee </w:t>
      </w:r>
      <w:r w:rsidR="00494E88" w:rsidRPr="00851078">
        <w:rPr>
          <w:color w:val="000000" w:themeColor="text1"/>
        </w:rPr>
        <w:t xml:space="preserve">about </w:t>
      </w:r>
      <w:r w:rsidRPr="00851078">
        <w:rPr>
          <w:color w:val="000000" w:themeColor="text1"/>
        </w:rPr>
        <w:t xml:space="preserve">the process </w:t>
      </w:r>
      <w:r w:rsidR="00494E88" w:rsidRPr="00851078">
        <w:rPr>
          <w:color w:val="000000" w:themeColor="text1"/>
        </w:rPr>
        <w:t>used to select the</w:t>
      </w:r>
      <w:r w:rsidRPr="00851078">
        <w:rPr>
          <w:color w:val="000000" w:themeColor="text1"/>
        </w:rPr>
        <w:t xml:space="preserve"> regions </w:t>
      </w:r>
      <w:r w:rsidR="00494E88" w:rsidRPr="00851078">
        <w:rPr>
          <w:color w:val="000000" w:themeColor="text1"/>
        </w:rPr>
        <w:t>where</w:t>
      </w:r>
      <w:r w:rsidRPr="00851078">
        <w:rPr>
          <w:color w:val="000000" w:themeColor="text1"/>
        </w:rPr>
        <w:t xml:space="preserve"> future monitoring stations might be located, including the </w:t>
      </w:r>
      <w:r w:rsidR="00494E88" w:rsidRPr="00851078">
        <w:rPr>
          <w:color w:val="000000" w:themeColor="text1"/>
        </w:rPr>
        <w:t xml:space="preserve">selection </w:t>
      </w:r>
      <w:r w:rsidRPr="00851078">
        <w:rPr>
          <w:color w:val="000000" w:themeColor="text1"/>
        </w:rPr>
        <w:t xml:space="preserve">criteria. </w:t>
      </w:r>
      <w:r w:rsidR="0066207D" w:rsidRPr="00851078">
        <w:rPr>
          <w:color w:val="000000" w:themeColor="text1"/>
        </w:rPr>
        <w:t xml:space="preserve">They </w:t>
      </w:r>
      <w:r w:rsidRPr="00851078">
        <w:rPr>
          <w:color w:val="000000" w:themeColor="text1"/>
        </w:rPr>
        <w:t>expressed their views on potential collaboration with relevant institutions, including on joint monitoring projects and data</w:t>
      </w:r>
      <w:r w:rsidR="00494E88" w:rsidRPr="00851078">
        <w:rPr>
          <w:color w:val="000000" w:themeColor="text1"/>
        </w:rPr>
        <w:t>-</w:t>
      </w:r>
      <w:r w:rsidRPr="00851078">
        <w:rPr>
          <w:color w:val="000000" w:themeColor="text1"/>
        </w:rPr>
        <w:t xml:space="preserve">sharing. On the need for sustainable funding, </w:t>
      </w:r>
      <w:r w:rsidR="0066207D" w:rsidRPr="00851078">
        <w:rPr>
          <w:color w:val="000000" w:themeColor="text1"/>
        </w:rPr>
        <w:t xml:space="preserve">they </w:t>
      </w:r>
      <w:r w:rsidRPr="00851078">
        <w:rPr>
          <w:color w:val="000000" w:themeColor="text1"/>
        </w:rPr>
        <w:t xml:space="preserve">raised the issue of future financing of an atmospheric monitoring programme beyond the proposed five-year timeline, including the need for adequate technical and financial support from the Multilateral Fund. </w:t>
      </w:r>
      <w:r w:rsidR="0066207D" w:rsidRPr="00851078">
        <w:rPr>
          <w:color w:val="000000" w:themeColor="text1"/>
        </w:rPr>
        <w:t xml:space="preserve">Representatives </w:t>
      </w:r>
      <w:r w:rsidRPr="00851078">
        <w:rPr>
          <w:color w:val="000000" w:themeColor="text1"/>
        </w:rPr>
        <w:t>also stressed the need to obtain both permission and commitment from host countries, as well as a clear commitment from the hosting institutions. A summary of the discussion</w:t>
      </w:r>
      <w:r w:rsidR="00D96B62" w:rsidRPr="00851078">
        <w:rPr>
          <w:color w:val="000000" w:themeColor="text1"/>
        </w:rPr>
        <w:t xml:space="preserve"> </w:t>
      </w:r>
      <w:r w:rsidRPr="00851078">
        <w:rPr>
          <w:color w:val="000000" w:themeColor="text1"/>
        </w:rPr>
        <w:t xml:space="preserve">is set out in paragraphs </w:t>
      </w:r>
      <w:r w:rsidR="007674D1" w:rsidRPr="00851078">
        <w:rPr>
          <w:color w:val="000000" w:themeColor="text1"/>
        </w:rPr>
        <w:t>103</w:t>
      </w:r>
      <w:r w:rsidR="006B53F2" w:rsidRPr="00851078">
        <w:rPr>
          <w:color w:val="000000" w:themeColor="text1"/>
        </w:rPr>
        <w:t>–</w:t>
      </w:r>
      <w:r w:rsidRPr="00851078">
        <w:rPr>
          <w:color w:val="000000" w:themeColor="text1"/>
        </w:rPr>
        <w:t>117 of the report of th</w:t>
      </w:r>
      <w:r w:rsidR="0066207D" w:rsidRPr="00851078">
        <w:rPr>
          <w:color w:val="000000" w:themeColor="text1"/>
        </w:rPr>
        <w:t>e</w:t>
      </w:r>
      <w:r w:rsidRPr="00851078">
        <w:rPr>
          <w:color w:val="000000" w:themeColor="text1"/>
        </w:rPr>
        <w:t xml:space="preserve"> meeting (UNEP/OzL.Pro.37/9).</w:t>
      </w:r>
    </w:p>
    <w:p w14:paraId="566A4575" w14:textId="42C7B3AD" w:rsidR="00323A74" w:rsidRPr="00851078" w:rsidRDefault="00323A74" w:rsidP="001618EA">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 xml:space="preserve">Subsequently, the Thirty-Seventh Meeting of the Parties adopted decision XXXVII/1. In paragraph 1 of the decision, the Ozone Secretariat was requested to continue the evaluation of the suitability of potential sites for monitoring emissions of controlled </w:t>
      </w:r>
      <w:r w:rsidRPr="00851078">
        <w:t>substances</w:t>
      </w:r>
      <w:r w:rsidRPr="00851078">
        <w:rPr>
          <w:color w:val="000000" w:themeColor="text1"/>
        </w:rPr>
        <w:t xml:space="preserve"> situated within the regions and locations identified in the information provided by the Advisory Committee, </w:t>
      </w:r>
      <w:r w:rsidR="0066207D" w:rsidRPr="00851078">
        <w:rPr>
          <w:color w:val="000000" w:themeColor="text1"/>
        </w:rPr>
        <w:t xml:space="preserve">in consultation with the Advisory Committee </w:t>
      </w:r>
      <w:r w:rsidRPr="00851078">
        <w:rPr>
          <w:color w:val="000000" w:themeColor="text1"/>
        </w:rPr>
        <w:t>and with the voluntary participation of and in consultation with the concerned parties.</w:t>
      </w:r>
      <w:r w:rsidR="000D5765" w:rsidRPr="00851078">
        <w:rPr>
          <w:color w:val="000000" w:themeColor="text1"/>
        </w:rPr>
        <w:t xml:space="preserve"> </w:t>
      </w:r>
      <w:r w:rsidRPr="00851078">
        <w:rPr>
          <w:color w:val="000000" w:themeColor="text1"/>
        </w:rPr>
        <w:t>In paragraph</w:t>
      </w:r>
      <w:r w:rsidR="000D5765" w:rsidRPr="00851078">
        <w:rPr>
          <w:color w:val="000000" w:themeColor="text1"/>
        </w:rPr>
        <w:t>s</w:t>
      </w:r>
      <w:r w:rsidRPr="00851078">
        <w:rPr>
          <w:color w:val="000000" w:themeColor="text1"/>
        </w:rPr>
        <w:t xml:space="preserve"> 2 </w:t>
      </w:r>
      <w:r w:rsidR="000D5765" w:rsidRPr="00851078">
        <w:rPr>
          <w:color w:val="000000" w:themeColor="text1"/>
        </w:rPr>
        <w:t>and 3</w:t>
      </w:r>
      <w:r w:rsidRPr="00851078">
        <w:rPr>
          <w:color w:val="000000" w:themeColor="text1"/>
        </w:rPr>
        <w:t>, the Ozone Secretariat was requested to prepare, in consultation with the concerned parties that ha</w:t>
      </w:r>
      <w:r w:rsidR="000D5765" w:rsidRPr="00851078">
        <w:rPr>
          <w:color w:val="000000" w:themeColor="text1"/>
        </w:rPr>
        <w:t>d</w:t>
      </w:r>
      <w:r w:rsidRPr="00851078">
        <w:rPr>
          <w:color w:val="000000" w:themeColor="text1"/>
        </w:rPr>
        <w:t xml:space="preserve"> expressed interest, for possible next steps towards establishing monitoring activities at th</w:t>
      </w:r>
      <w:r w:rsidR="000D5765" w:rsidRPr="00851078">
        <w:rPr>
          <w:color w:val="000000" w:themeColor="text1"/>
        </w:rPr>
        <w:t>e potential</w:t>
      </w:r>
      <w:r w:rsidRPr="00851078">
        <w:rPr>
          <w:color w:val="000000" w:themeColor="text1"/>
        </w:rPr>
        <w:t xml:space="preserve"> sites, taking into account the prioritization presented by the Advisory Committee at the Thirty-Seventh Meeting of the Parties and the phased sampling </w:t>
      </w:r>
      <w:r w:rsidRPr="00851078">
        <w:rPr>
          <w:color w:val="000000" w:themeColor="text1"/>
        </w:rPr>
        <w:lastRenderedPageBreak/>
        <w:t>approach presented in the addendum to the note by the Secretariat on issues for discussion by and information for the attention of the Thirty-Seventh Meeting of the Parties (UNEP/OzL.Pro.37/2/Add.1)</w:t>
      </w:r>
      <w:r w:rsidR="000D5765" w:rsidRPr="00851078">
        <w:rPr>
          <w:color w:val="000000" w:themeColor="text1"/>
        </w:rPr>
        <w:t>, and</w:t>
      </w:r>
      <w:r w:rsidRPr="00851078">
        <w:rPr>
          <w:color w:val="000000" w:themeColor="text1"/>
        </w:rPr>
        <w:t xml:space="preserve"> to carry out th</w:t>
      </w:r>
      <w:r w:rsidR="000D5765" w:rsidRPr="00851078">
        <w:rPr>
          <w:color w:val="000000" w:themeColor="text1"/>
        </w:rPr>
        <w:t>o</w:t>
      </w:r>
      <w:r w:rsidRPr="00851078">
        <w:rPr>
          <w:color w:val="000000" w:themeColor="text1"/>
        </w:rPr>
        <w:t>se activities with a 2026 budget line item of $100,000</w:t>
      </w:r>
      <w:r w:rsidR="000D5765" w:rsidRPr="00851078">
        <w:rPr>
          <w:color w:val="000000" w:themeColor="text1"/>
        </w:rPr>
        <w:t>, taken</w:t>
      </w:r>
      <w:r w:rsidRPr="00851078">
        <w:rPr>
          <w:color w:val="000000" w:themeColor="text1"/>
        </w:rPr>
        <w:t xml:space="preserve"> from the cash balance of the Trust Fund for the Montreal Protocol on an exceptional basis.</w:t>
      </w:r>
      <w:r w:rsidR="00491356" w:rsidRPr="00851078">
        <w:rPr>
          <w:color w:val="000000" w:themeColor="text1"/>
        </w:rPr>
        <w:t xml:space="preserve"> </w:t>
      </w:r>
      <w:r w:rsidRPr="00851078">
        <w:rPr>
          <w:color w:val="000000" w:themeColor="text1"/>
        </w:rPr>
        <w:t xml:space="preserve">In paragraph 4 of </w:t>
      </w:r>
      <w:r w:rsidR="00491356" w:rsidRPr="00851078">
        <w:rPr>
          <w:color w:val="000000" w:themeColor="text1"/>
        </w:rPr>
        <w:t xml:space="preserve">the </w:t>
      </w:r>
      <w:r w:rsidRPr="00851078">
        <w:rPr>
          <w:color w:val="000000" w:themeColor="text1"/>
        </w:rPr>
        <w:t>decision, the Ozone Secretariat was requested to report to the Open-ended Working Group at its forty-eighth meeting and to the Thirty-Eighth Meeting of the Parties on progress in and any outcomes of those activities.</w:t>
      </w:r>
    </w:p>
    <w:p w14:paraId="45F76F72" w14:textId="1CB64FEB" w:rsidR="00323A74" w:rsidRPr="00851078" w:rsidRDefault="00323A74" w:rsidP="00E23C9E">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In paragraph 5 of decision</w:t>
      </w:r>
      <w:r w:rsidR="00491356" w:rsidRPr="00851078">
        <w:rPr>
          <w:color w:val="000000" w:themeColor="text1"/>
        </w:rPr>
        <w:t xml:space="preserve"> XXXVII/1</w:t>
      </w:r>
      <w:r w:rsidRPr="00851078">
        <w:rPr>
          <w:color w:val="000000" w:themeColor="text1"/>
        </w:rPr>
        <w:t xml:space="preserve">, the Executive Committee of the Multilateral Fund was requested to take into consideration the information, including on the phased approach and the estimated costs, related to establishing and operating atmospheric monitoring stations as outlined in the addendum to the note by the Secretariat on issues for discussion by and information for the attention of the Thirty-Seventh Meeting of the Parties (UNEP/OzL.Pro.37/2/Add.1) when developing guidelines and considering a funding window to support pilot projects, and to provide an update to the parties on the progress made ahead of the Thirty-Eighth Meeting of the Parties. </w:t>
      </w:r>
      <w:r w:rsidR="001A58F1" w:rsidRPr="00851078">
        <w:rPr>
          <w:color w:val="000000" w:themeColor="text1"/>
        </w:rPr>
        <w:t>During the high-level segment of the Thirty-Eighth Meeting of the Parties, t</w:t>
      </w:r>
      <w:r w:rsidRPr="00851078">
        <w:rPr>
          <w:color w:val="000000" w:themeColor="text1"/>
        </w:rPr>
        <w:t xml:space="preserve">he Chair of the Executive Committee is expected to report on the progress made by the Executive Committee on the </w:t>
      </w:r>
      <w:r w:rsidR="00705422" w:rsidRPr="00851078">
        <w:rPr>
          <w:color w:val="000000" w:themeColor="text1"/>
        </w:rPr>
        <w:t xml:space="preserve">request of the Thirty-Seventh Meeting of the </w:t>
      </w:r>
      <w:r w:rsidR="003148CD" w:rsidRPr="00851078">
        <w:rPr>
          <w:color w:val="000000" w:themeColor="text1"/>
        </w:rPr>
        <w:t>P</w:t>
      </w:r>
      <w:r w:rsidRPr="00851078">
        <w:rPr>
          <w:color w:val="000000" w:themeColor="text1"/>
        </w:rPr>
        <w:t>arties in th</w:t>
      </w:r>
      <w:r w:rsidR="000A5B62" w:rsidRPr="00851078">
        <w:rPr>
          <w:color w:val="000000" w:themeColor="text1"/>
        </w:rPr>
        <w:t>at</w:t>
      </w:r>
      <w:r w:rsidRPr="00851078">
        <w:rPr>
          <w:color w:val="000000" w:themeColor="text1"/>
        </w:rPr>
        <w:t xml:space="preserve"> regard.</w:t>
      </w:r>
    </w:p>
    <w:p w14:paraId="407B4F5E" w14:textId="53EC4778" w:rsidR="00323A74" w:rsidRPr="00851078" w:rsidRDefault="00323A74" w:rsidP="00E23C9E">
      <w:pPr>
        <w:pStyle w:val="Normalnumber"/>
        <w:tabs>
          <w:tab w:val="clear" w:pos="1247"/>
          <w:tab w:val="clear" w:pos="1814"/>
          <w:tab w:val="clear" w:pos="2381"/>
          <w:tab w:val="clear" w:pos="2948"/>
          <w:tab w:val="clear" w:pos="3515"/>
        </w:tabs>
        <w:ind w:left="1247"/>
        <w:rPr>
          <w:color w:val="000000" w:themeColor="text1"/>
        </w:rPr>
      </w:pPr>
      <w:r w:rsidRPr="00851078">
        <w:t>The</w:t>
      </w:r>
      <w:r w:rsidRPr="00851078">
        <w:rPr>
          <w:color w:val="000000" w:themeColor="text1"/>
        </w:rPr>
        <w:t xml:space="preserve"> report of the Secretariat and the Advisory Committee on progress in the implementation of decision XXXVII/1 and associated matters will be summarized in the addendum to the present note</w:t>
      </w:r>
      <w:r w:rsidR="00525DB3" w:rsidRPr="00851078">
        <w:rPr>
          <w:color w:val="000000" w:themeColor="text1"/>
        </w:rPr>
        <w:t xml:space="preserve">, and </w:t>
      </w:r>
      <w:r w:rsidR="00AE1D50" w:rsidRPr="00851078">
        <w:rPr>
          <w:color w:val="000000" w:themeColor="text1"/>
        </w:rPr>
        <w:t xml:space="preserve">a presentation </w:t>
      </w:r>
      <w:r w:rsidR="008F4E24" w:rsidRPr="00851078">
        <w:rPr>
          <w:color w:val="000000" w:themeColor="text1"/>
        </w:rPr>
        <w:t xml:space="preserve">on the matter </w:t>
      </w:r>
      <w:r w:rsidR="00AE1D50" w:rsidRPr="00851078">
        <w:rPr>
          <w:color w:val="000000" w:themeColor="text1"/>
        </w:rPr>
        <w:t xml:space="preserve">will be </w:t>
      </w:r>
      <w:r w:rsidR="008F4E24" w:rsidRPr="00851078">
        <w:rPr>
          <w:color w:val="000000" w:themeColor="text1"/>
        </w:rPr>
        <w:t xml:space="preserve">delivered to the Open-ended Working Group </w:t>
      </w:r>
      <w:r w:rsidR="00AE1D50" w:rsidRPr="00851078">
        <w:rPr>
          <w:color w:val="000000" w:themeColor="text1"/>
        </w:rPr>
        <w:t xml:space="preserve">by the Secretariat and the </w:t>
      </w:r>
      <w:r w:rsidR="007018DE" w:rsidRPr="00851078">
        <w:rPr>
          <w:color w:val="000000" w:themeColor="text1"/>
        </w:rPr>
        <w:t>Co-</w:t>
      </w:r>
      <w:r w:rsidR="00AE1D50" w:rsidRPr="00851078">
        <w:rPr>
          <w:color w:val="000000" w:themeColor="text1"/>
        </w:rPr>
        <w:t>Chair of the Ad</w:t>
      </w:r>
      <w:r w:rsidR="007018DE" w:rsidRPr="00851078">
        <w:rPr>
          <w:color w:val="000000" w:themeColor="text1"/>
        </w:rPr>
        <w:t xml:space="preserve">visory </w:t>
      </w:r>
      <w:r w:rsidR="00AE1D50" w:rsidRPr="00851078">
        <w:rPr>
          <w:color w:val="000000" w:themeColor="text1"/>
        </w:rPr>
        <w:t>Com</w:t>
      </w:r>
      <w:r w:rsidR="007018DE" w:rsidRPr="00851078">
        <w:rPr>
          <w:color w:val="000000" w:themeColor="text1"/>
        </w:rPr>
        <w:t>mittee</w:t>
      </w:r>
      <w:r w:rsidRPr="00851078">
        <w:rPr>
          <w:color w:val="000000" w:themeColor="text1"/>
        </w:rPr>
        <w:t>.</w:t>
      </w:r>
      <w:r w:rsidR="00227B0D" w:rsidRPr="00851078">
        <w:rPr>
          <w:color w:val="000000" w:themeColor="text1"/>
        </w:rPr>
        <w:t xml:space="preserve"> A further report will be presented to the </w:t>
      </w:r>
      <w:r w:rsidR="002D79BB" w:rsidRPr="00851078">
        <w:rPr>
          <w:color w:val="000000" w:themeColor="text1"/>
        </w:rPr>
        <w:t xml:space="preserve">Thirty-Eighth </w:t>
      </w:r>
      <w:r w:rsidR="00227B0D" w:rsidRPr="00851078">
        <w:rPr>
          <w:color w:val="000000" w:themeColor="text1"/>
        </w:rPr>
        <w:t>M</w:t>
      </w:r>
      <w:r w:rsidR="002D79BB" w:rsidRPr="00851078">
        <w:rPr>
          <w:color w:val="000000" w:themeColor="text1"/>
        </w:rPr>
        <w:t xml:space="preserve">eeting of the </w:t>
      </w:r>
      <w:r w:rsidR="00227B0D" w:rsidRPr="00851078">
        <w:rPr>
          <w:color w:val="000000" w:themeColor="text1"/>
        </w:rPr>
        <w:t>P</w:t>
      </w:r>
      <w:r w:rsidR="002D79BB" w:rsidRPr="00851078">
        <w:rPr>
          <w:color w:val="000000" w:themeColor="text1"/>
        </w:rPr>
        <w:t>ar</w:t>
      </w:r>
      <w:r w:rsidR="007D68C7" w:rsidRPr="00851078">
        <w:rPr>
          <w:color w:val="000000" w:themeColor="text1"/>
        </w:rPr>
        <w:t>t</w:t>
      </w:r>
      <w:r w:rsidR="002D79BB" w:rsidRPr="00851078">
        <w:rPr>
          <w:color w:val="000000" w:themeColor="text1"/>
        </w:rPr>
        <w:t>ies</w:t>
      </w:r>
      <w:r w:rsidR="00227B0D" w:rsidRPr="00851078">
        <w:rPr>
          <w:color w:val="000000" w:themeColor="text1"/>
        </w:rPr>
        <w:t xml:space="preserve"> </w:t>
      </w:r>
      <w:r w:rsidR="00DB1516" w:rsidRPr="00851078">
        <w:rPr>
          <w:color w:val="000000" w:themeColor="text1"/>
        </w:rPr>
        <w:t xml:space="preserve">in accordance with </w:t>
      </w:r>
      <w:r w:rsidR="00284B88" w:rsidRPr="00851078">
        <w:rPr>
          <w:color w:val="000000" w:themeColor="text1"/>
        </w:rPr>
        <w:t>par</w:t>
      </w:r>
      <w:r w:rsidR="009E0F77" w:rsidRPr="00851078">
        <w:rPr>
          <w:color w:val="000000" w:themeColor="text1"/>
        </w:rPr>
        <w:t>a</w:t>
      </w:r>
      <w:r w:rsidR="002D79BB" w:rsidRPr="00851078">
        <w:rPr>
          <w:color w:val="000000" w:themeColor="text1"/>
        </w:rPr>
        <w:t>graph</w:t>
      </w:r>
      <w:r w:rsidR="00284B88" w:rsidRPr="00851078">
        <w:rPr>
          <w:color w:val="000000" w:themeColor="text1"/>
        </w:rPr>
        <w:t xml:space="preserve"> 4 of decision XXXVII/</w:t>
      </w:r>
      <w:r w:rsidR="00906E7C" w:rsidRPr="00851078">
        <w:rPr>
          <w:color w:val="000000" w:themeColor="text1"/>
        </w:rPr>
        <w:t>1</w:t>
      </w:r>
      <w:r w:rsidR="00E17E04" w:rsidRPr="00851078">
        <w:rPr>
          <w:color w:val="000000" w:themeColor="text1"/>
        </w:rPr>
        <w:t>.</w:t>
      </w:r>
    </w:p>
    <w:p w14:paraId="55A092A7" w14:textId="77777777" w:rsidR="00323A74" w:rsidRPr="00851078" w:rsidRDefault="00323A74" w:rsidP="00323A74">
      <w:pPr>
        <w:pStyle w:val="CH2"/>
        <w:ind w:left="0" w:firstLine="0"/>
      </w:pPr>
      <w:r w:rsidRPr="00851078">
        <w:tab/>
      </w:r>
      <w:r w:rsidRPr="00851078">
        <w:tab/>
        <w:t>Agenda item 6</w:t>
      </w:r>
    </w:p>
    <w:p w14:paraId="0C26F1C7" w14:textId="77777777" w:rsidR="00323A74" w:rsidRPr="00851078" w:rsidRDefault="00323A74" w:rsidP="00323A74">
      <w:pPr>
        <w:pStyle w:val="CH2"/>
        <w:spacing w:before="120"/>
      </w:pPr>
      <w:r w:rsidRPr="00851078">
        <w:tab/>
      </w:r>
      <w:r w:rsidRPr="00851078">
        <w:tab/>
        <w:t>Ensuring the viability of Montreal Protocol operations (decision XXXVII/7)</w:t>
      </w:r>
    </w:p>
    <w:p w14:paraId="4D16225A" w14:textId="03B6FCBE" w:rsidR="00323A74" w:rsidRPr="00851078" w:rsidRDefault="00851878" w:rsidP="00323A74">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In p</w:t>
      </w:r>
      <w:r w:rsidR="00323A74" w:rsidRPr="00851078">
        <w:rPr>
          <w:color w:val="000000" w:themeColor="text1"/>
        </w:rPr>
        <w:t>aragraph 1 of decision XXXVII/7</w:t>
      </w:r>
      <w:r w:rsidRPr="00851078">
        <w:rPr>
          <w:color w:val="000000" w:themeColor="text1"/>
        </w:rPr>
        <w:t>, the Thirty-Seventh Meeting of the Parties</w:t>
      </w:r>
      <w:r w:rsidR="00323A74" w:rsidRPr="00851078">
        <w:rPr>
          <w:color w:val="000000" w:themeColor="text1"/>
        </w:rPr>
        <w:t xml:space="preserve"> requested the Ozone Secretariat to prepare a report, for consideration by the Open-ended Working Group at its </w:t>
      </w:r>
      <w:r w:rsidR="001012A7">
        <w:rPr>
          <w:color w:val="000000" w:themeColor="text1"/>
        </w:rPr>
        <w:t>forty</w:t>
      </w:r>
      <w:r w:rsidR="001012A7">
        <w:rPr>
          <w:color w:val="000000" w:themeColor="text1"/>
        </w:rPr>
        <w:noBreakHyphen/>
      </w:r>
      <w:r w:rsidR="00323A74" w:rsidRPr="00851078">
        <w:rPr>
          <w:color w:val="000000" w:themeColor="text1"/>
        </w:rPr>
        <w:t xml:space="preserve">eighth meeting, on the options for making effective and efficient changes, with associated cost estimates, to the timing of, Ozone </w:t>
      </w:r>
      <w:r w:rsidR="00323A74" w:rsidRPr="00851078">
        <w:t>Secretariat</w:t>
      </w:r>
      <w:r w:rsidR="00323A74" w:rsidRPr="00851078">
        <w:rPr>
          <w:color w:val="000000" w:themeColor="text1"/>
        </w:rPr>
        <w:t xml:space="preserve"> support for and length of the Meetings of the Parties to the Montreal Protocol and meetings of the Open-ended Working Group, the Implementation Committee under the Non-Compliance Procedure for the Montreal Protocol and the assessment panels, and the timing of replenishment decisions. </w:t>
      </w:r>
      <w:r w:rsidRPr="00851078">
        <w:rPr>
          <w:color w:val="000000" w:themeColor="text1"/>
        </w:rPr>
        <w:t>P</w:t>
      </w:r>
      <w:r w:rsidR="00323A74" w:rsidRPr="00851078">
        <w:rPr>
          <w:color w:val="000000" w:themeColor="text1"/>
        </w:rPr>
        <w:t>aragraph 2 of the decision</w:t>
      </w:r>
      <w:r w:rsidRPr="00851078">
        <w:rPr>
          <w:color w:val="000000" w:themeColor="text1"/>
        </w:rPr>
        <w:t xml:space="preserve"> specifies that</w:t>
      </w:r>
      <w:r w:rsidR="00323A74" w:rsidRPr="00851078">
        <w:rPr>
          <w:color w:val="000000" w:themeColor="text1"/>
        </w:rPr>
        <w:t xml:space="preserve"> the report should be non-prejudicial with respect to the parties’ future consideration of the options presented in the report and should include both the potential benefits and drawbacks of those options.</w:t>
      </w:r>
    </w:p>
    <w:p w14:paraId="6530C656" w14:textId="5C9ECFDE" w:rsidR="00323A74" w:rsidRPr="00851078" w:rsidRDefault="00851878" w:rsidP="00323A74">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 xml:space="preserve">The </w:t>
      </w:r>
      <w:r w:rsidR="00AB5142" w:rsidRPr="00851078">
        <w:rPr>
          <w:color w:val="000000" w:themeColor="text1"/>
        </w:rPr>
        <w:t>p</w:t>
      </w:r>
      <w:r w:rsidR="00323A74" w:rsidRPr="00851078">
        <w:rPr>
          <w:color w:val="000000" w:themeColor="text1"/>
        </w:rPr>
        <w:t xml:space="preserve">arties will have before </w:t>
      </w:r>
      <w:r w:rsidRPr="00851078">
        <w:rPr>
          <w:color w:val="000000" w:themeColor="text1"/>
        </w:rPr>
        <w:t xml:space="preserve">it </w:t>
      </w:r>
      <w:r w:rsidR="00323A74" w:rsidRPr="00851078">
        <w:rPr>
          <w:color w:val="000000" w:themeColor="text1"/>
        </w:rPr>
        <w:t>a note by the Secretariat in response to decision XXXVII/7 (UNEP/OzL.Pro.WG.1/48/4).</w:t>
      </w:r>
    </w:p>
    <w:p w14:paraId="1B35C3CF" w14:textId="77777777" w:rsidR="00323A74" w:rsidRPr="00851078" w:rsidRDefault="00323A74" w:rsidP="00323A74">
      <w:pPr>
        <w:pStyle w:val="CH2"/>
      </w:pPr>
      <w:r w:rsidRPr="00851078">
        <w:tab/>
      </w:r>
      <w:r w:rsidRPr="00851078">
        <w:tab/>
        <w:t>Agenda item 7</w:t>
      </w:r>
    </w:p>
    <w:p w14:paraId="78A5AB9F" w14:textId="4DEA8D6F" w:rsidR="00323A74" w:rsidRPr="00851078" w:rsidRDefault="00323A74" w:rsidP="00323A74">
      <w:pPr>
        <w:pStyle w:val="CH2"/>
        <w:spacing w:before="120"/>
      </w:pPr>
      <w:r w:rsidRPr="00851078">
        <w:tab/>
      </w:r>
      <w:r w:rsidRPr="00851078">
        <w:tab/>
        <w:t>Further strengthening Montreal Protocol institutions (UNEP/OzL.Pro.37/9, para.</w:t>
      </w:r>
      <w:r w:rsidR="00404274">
        <w:t xml:space="preserve"> </w:t>
      </w:r>
      <w:r w:rsidRPr="00851078">
        <w:t>166)</w:t>
      </w:r>
    </w:p>
    <w:p w14:paraId="06B5E149" w14:textId="0CAC8C7A" w:rsidR="00323A74" w:rsidRPr="00851078" w:rsidRDefault="00323A74" w:rsidP="00E23C9E">
      <w:pPr>
        <w:pStyle w:val="Normalnumber"/>
        <w:tabs>
          <w:tab w:val="clear" w:pos="1247"/>
          <w:tab w:val="clear" w:pos="1814"/>
          <w:tab w:val="clear" w:pos="2381"/>
          <w:tab w:val="clear" w:pos="2948"/>
          <w:tab w:val="clear" w:pos="3515"/>
        </w:tabs>
        <w:ind w:left="1247"/>
      </w:pPr>
      <w:r w:rsidRPr="00851078">
        <w:t>In response to paragraph 4 of decision XXXVI/9</w:t>
      </w:r>
      <w:r w:rsidR="00820CE5" w:rsidRPr="00851078">
        <w:t>,</w:t>
      </w:r>
      <w:r w:rsidRPr="00851078">
        <w:t xml:space="preserve"> on the next steps in further strengthening Montreal Protocol institutions, the Ozone Secretariat </w:t>
      </w:r>
      <w:r w:rsidRPr="00E874BC">
        <w:t>organized a one-day informal meeting of the parties on facilitating the implementation of the Montreal Protocol</w:t>
      </w:r>
      <w:r w:rsidR="00820CE5" w:rsidRPr="00E874BC">
        <w:t xml:space="preserve">. The </w:t>
      </w:r>
      <w:r w:rsidR="00A4377C" w:rsidRPr="00E874BC">
        <w:t xml:space="preserve">informal </w:t>
      </w:r>
      <w:r w:rsidR="00820CE5" w:rsidRPr="00E874BC">
        <w:t>meeting was held</w:t>
      </w:r>
      <w:r w:rsidRPr="00E874BC">
        <w:t xml:space="preserve"> on 2 November </w:t>
      </w:r>
      <w:r w:rsidR="00E874BC">
        <w:t>2025</w:t>
      </w:r>
      <w:r w:rsidRPr="00E874BC">
        <w:t xml:space="preserve">, prior to and </w:t>
      </w:r>
      <w:proofErr w:type="gramStart"/>
      <w:r w:rsidRPr="00E874BC">
        <w:t>back to back</w:t>
      </w:r>
      <w:proofErr w:type="gramEnd"/>
      <w:r w:rsidRPr="00E874BC">
        <w:t xml:space="preserve"> with </w:t>
      </w:r>
      <w:r w:rsidR="0028676C" w:rsidRPr="00E874BC">
        <w:t xml:space="preserve">the </w:t>
      </w:r>
      <w:r w:rsidRPr="00E874BC">
        <w:t>Thirty-Seventh Meeting of the Parties</w:t>
      </w:r>
      <w:r w:rsidR="00A4377C" w:rsidRPr="00E874BC">
        <w:t>, and a</w:t>
      </w:r>
      <w:r w:rsidRPr="00E874BC">
        <w:t xml:space="preserve"> summary of the outcomes (UNEP/OzL.Pro.37/7) was made</w:t>
      </w:r>
      <w:r w:rsidRPr="00851078">
        <w:t xml:space="preserve"> available to the Thirty-Seventh Meeting of the Parties.</w:t>
      </w:r>
    </w:p>
    <w:p w14:paraId="0A905E00" w14:textId="461D1408" w:rsidR="00323A74" w:rsidRPr="00851078" w:rsidRDefault="00323A74" w:rsidP="00E23C9E">
      <w:pPr>
        <w:pStyle w:val="Normalnumber"/>
        <w:tabs>
          <w:tab w:val="clear" w:pos="1247"/>
          <w:tab w:val="clear" w:pos="1814"/>
          <w:tab w:val="clear" w:pos="2381"/>
          <w:tab w:val="clear" w:pos="2948"/>
          <w:tab w:val="clear" w:pos="3515"/>
        </w:tabs>
        <w:ind w:left="1247"/>
      </w:pPr>
      <w:r w:rsidRPr="00851078">
        <w:t>During the Thirty-Seventh Meeting of the Parties, the representative of the European Union introduced a proposal for a draft decision that focused on streamlining the information that parties provided to the Secretariat on their licensing systems, with the aim of strengthening such systems. After an initial exchange of views on the proposal</w:t>
      </w:r>
      <w:r w:rsidR="00A4377C" w:rsidRPr="00851078">
        <w:t>,</w:t>
      </w:r>
      <w:r w:rsidRPr="00851078">
        <w:t xml:space="preserve"> which is summarized in paragraphs 15</w:t>
      </w:r>
      <w:r w:rsidR="00B13726" w:rsidRPr="00851078">
        <w:t>9</w:t>
      </w:r>
      <w:r w:rsidR="006B53F2" w:rsidRPr="00851078">
        <w:t>–</w:t>
      </w:r>
      <w:r w:rsidRPr="00851078">
        <w:t>163 of the report of th</w:t>
      </w:r>
      <w:r w:rsidR="00A4377C" w:rsidRPr="00851078">
        <w:t>e</w:t>
      </w:r>
      <w:r w:rsidRPr="00851078">
        <w:t xml:space="preserve"> meeting (UNEP/OzL.Pro37/9), an informal group was established to clarify and exchange views on the draft decision presented by the European Union and other key issues raised during the informal meeting. </w:t>
      </w:r>
      <w:r w:rsidR="0028676C" w:rsidRPr="00851078">
        <w:t>Representatives</w:t>
      </w:r>
      <w:r w:rsidR="00A4377C" w:rsidRPr="00851078">
        <w:t xml:space="preserve"> expressed </w:t>
      </w:r>
      <w:r w:rsidRPr="00851078">
        <w:t>interest in a continued dialogue on the outcomes of the informal meeting</w:t>
      </w:r>
      <w:r w:rsidR="00A4377C" w:rsidRPr="00851078">
        <w:t xml:space="preserve"> and</w:t>
      </w:r>
      <w:r w:rsidRPr="00851078">
        <w:t xml:space="preserve"> </w:t>
      </w:r>
      <w:r w:rsidR="0028676C" w:rsidRPr="00851078">
        <w:t xml:space="preserve">the parties </w:t>
      </w:r>
      <w:r w:rsidRPr="00851078">
        <w:t>agreed to include the matter on the agenda of the forty-eighth meeting of the Open-ended Working Group.</w:t>
      </w:r>
    </w:p>
    <w:p w14:paraId="5F72ED7B" w14:textId="3418DD89" w:rsidR="00323A74" w:rsidRPr="00851078" w:rsidRDefault="00323A74" w:rsidP="00E23C9E">
      <w:pPr>
        <w:pStyle w:val="Normalnumber"/>
        <w:tabs>
          <w:tab w:val="clear" w:pos="1247"/>
          <w:tab w:val="clear" w:pos="1814"/>
          <w:tab w:val="clear" w:pos="2381"/>
          <w:tab w:val="clear" w:pos="2948"/>
          <w:tab w:val="clear" w:pos="3515"/>
        </w:tabs>
        <w:ind w:left="1247"/>
      </w:pPr>
      <w:r w:rsidRPr="00851078">
        <w:lastRenderedPageBreak/>
        <w:t>In addition to the summary of the outcomes of the informal meeting, parties will have before them a compilation of information provided by parties</w:t>
      </w:r>
      <w:r w:rsidR="00CD31CF" w:rsidRPr="00851078">
        <w:t xml:space="preserve"> </w:t>
      </w:r>
      <w:r w:rsidRPr="00851078">
        <w:t>on illegal trade practices and approaches taken by national authorities to identify and address such cases (UNEP/OzL.Pro.WG.1/48/3).</w:t>
      </w:r>
      <w:r w:rsidR="00CD31CF" w:rsidRPr="00851078">
        <w:t xml:space="preserve"> This </w:t>
      </w:r>
      <w:r w:rsidR="003B5102" w:rsidRPr="00851078">
        <w:t xml:space="preserve">note </w:t>
      </w:r>
      <w:r w:rsidR="00CD31CF" w:rsidRPr="00851078">
        <w:t xml:space="preserve">updates </w:t>
      </w:r>
      <w:r w:rsidR="005343B4" w:rsidRPr="00851078">
        <w:t xml:space="preserve">a similar </w:t>
      </w:r>
      <w:r w:rsidR="004E2436" w:rsidRPr="00851078">
        <w:t xml:space="preserve">compilation made available </w:t>
      </w:r>
      <w:r w:rsidR="00844587" w:rsidRPr="00851078">
        <w:t xml:space="preserve">before the forty-seventh meeting of Open-ended Working Group </w:t>
      </w:r>
      <w:r w:rsidR="00887400" w:rsidRPr="00851078">
        <w:t xml:space="preserve">for consideration by the Thirty-Seventh Meeting of the Parties </w:t>
      </w:r>
      <w:r w:rsidR="00876178" w:rsidRPr="00851078">
        <w:t>(UNEP/OzL.Pro.WG.1/47/5)</w:t>
      </w:r>
      <w:r w:rsidR="003B5102" w:rsidRPr="00851078">
        <w:t xml:space="preserve"> and includes information received from parties since 22 April 2025.</w:t>
      </w:r>
    </w:p>
    <w:p w14:paraId="570D6C76" w14:textId="77777777" w:rsidR="00323A74" w:rsidRPr="00851078" w:rsidRDefault="00323A74" w:rsidP="00323A74">
      <w:pPr>
        <w:pStyle w:val="CH2"/>
      </w:pPr>
      <w:r w:rsidRPr="00851078">
        <w:tab/>
      </w:r>
      <w:r w:rsidRPr="00851078">
        <w:tab/>
        <w:t>Agenda item 8</w:t>
      </w:r>
    </w:p>
    <w:p w14:paraId="3906D078" w14:textId="5643E04B" w:rsidR="00323A74" w:rsidRPr="00851078" w:rsidRDefault="00323A74" w:rsidP="00323A74">
      <w:pPr>
        <w:pStyle w:val="CH2"/>
        <w:spacing w:before="120"/>
      </w:pPr>
      <w:r w:rsidRPr="00851078">
        <w:tab/>
      </w:r>
      <w:r w:rsidRPr="00851078">
        <w:tab/>
        <w:t>Status of preparations for the Thirty-Eighth Meeting of the Parties</w:t>
      </w:r>
      <w:r w:rsidR="00F90B1F" w:rsidRPr="00851078">
        <w:t>,</w:t>
      </w:r>
      <w:r w:rsidRPr="00851078">
        <w:t xml:space="preserve"> to be held in Kigali</w:t>
      </w:r>
    </w:p>
    <w:p w14:paraId="2D3CAFC2" w14:textId="0FF8E8FB" w:rsidR="00DB20CC" w:rsidRPr="00851078" w:rsidRDefault="00323A74" w:rsidP="00DB20CC">
      <w:pPr>
        <w:pStyle w:val="Normalnumber"/>
      </w:pPr>
      <w:r w:rsidRPr="00851078">
        <w:t>Through decision XXXVII/22, the Thirty-Seventh Meeting of the Parties decided to convene the Thirty-Eighth Meeting of the Parties in Kigali from 2 to 6 November 2026.</w:t>
      </w:r>
      <w:r w:rsidR="00DB20CC" w:rsidRPr="00851078">
        <w:t xml:space="preserve"> The Thirty-Eighth Meeting of the Parties will be held together with the seventy-seventh meeting of the Implementation Committee and a meeting of the Bureau of the Thirty-Seventh Meeting of the Parties, as well as other associated events.</w:t>
      </w:r>
    </w:p>
    <w:p w14:paraId="5578711F" w14:textId="13BB8AF3" w:rsidR="00323A74" w:rsidRPr="00851078" w:rsidRDefault="005A2106" w:rsidP="00E23C9E">
      <w:pPr>
        <w:pStyle w:val="Normalnumber"/>
        <w:tabs>
          <w:tab w:val="clear" w:pos="1247"/>
          <w:tab w:val="clear" w:pos="1814"/>
          <w:tab w:val="clear" w:pos="2381"/>
          <w:tab w:val="clear" w:pos="2948"/>
          <w:tab w:val="clear" w:pos="3515"/>
        </w:tabs>
        <w:ind w:left="1247"/>
      </w:pPr>
      <w:r w:rsidRPr="00851078">
        <w:t>The Secretariat conducted an exploratory mission to Kigali from 11 to 13 March 2026 and has begun discussions with the Government of Rwanda and the conference support team on the logistical arrangements for the meetings. The arrangements will be finalized in a timely manner prior to the start of the meetings.</w:t>
      </w:r>
    </w:p>
    <w:p w14:paraId="089890D3" w14:textId="0DE200BC"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A representative </w:t>
      </w:r>
      <w:r w:rsidR="00EA063E" w:rsidRPr="00851078">
        <w:t xml:space="preserve">of </w:t>
      </w:r>
      <w:r w:rsidRPr="00851078">
        <w:t xml:space="preserve">the Government of Rwanda will inform the parties on progress on the arrangements for the Thirty-Eighth Meeting of the Parties. </w:t>
      </w:r>
    </w:p>
    <w:p w14:paraId="5FF8AAF8" w14:textId="77777777" w:rsidR="00323A74" w:rsidRPr="00851078" w:rsidRDefault="00323A74" w:rsidP="00323A74">
      <w:pPr>
        <w:pStyle w:val="CH1"/>
      </w:pPr>
      <w:r w:rsidRPr="00851078">
        <w:tab/>
        <w:t>III.</w:t>
      </w:r>
      <w:r w:rsidRPr="00851078">
        <w:tab/>
        <w:t>Issues relevant to the Thirty-Eighth Meeting of the Parties, including updates on the implementation of previous decisions</w:t>
      </w:r>
    </w:p>
    <w:p w14:paraId="61C3CE66" w14:textId="77777777" w:rsidR="00323A74" w:rsidRPr="00851078" w:rsidRDefault="00323A74" w:rsidP="00A45CFE">
      <w:pPr>
        <w:pStyle w:val="CH2"/>
      </w:pPr>
      <w:r w:rsidRPr="00851078">
        <w:tab/>
        <w:t>A.</w:t>
      </w:r>
      <w:r w:rsidRPr="00851078">
        <w:tab/>
        <w:t>Enhancing regional atmospheric monitoring of substances controlled by the Montreal Protocol (decision XXXVII/1)</w:t>
      </w:r>
    </w:p>
    <w:p w14:paraId="2FD204E2" w14:textId="53987A8B" w:rsidR="00323A74" w:rsidRPr="00851078" w:rsidRDefault="00323A74" w:rsidP="00323A74">
      <w:pPr>
        <w:pStyle w:val="Normalnumber"/>
        <w:tabs>
          <w:tab w:val="clear" w:pos="1247"/>
          <w:tab w:val="clear" w:pos="1814"/>
          <w:tab w:val="clear" w:pos="2381"/>
          <w:tab w:val="clear" w:pos="2948"/>
          <w:tab w:val="clear" w:pos="3515"/>
        </w:tabs>
        <w:ind w:left="1247"/>
        <w:rPr>
          <w:color w:val="000000" w:themeColor="text1"/>
        </w:rPr>
      </w:pPr>
      <w:r w:rsidRPr="00851078">
        <w:rPr>
          <w:color w:val="000000" w:themeColor="text1"/>
        </w:rPr>
        <w:t xml:space="preserve">In </w:t>
      </w:r>
      <w:r w:rsidR="00EA063E" w:rsidRPr="00851078">
        <w:rPr>
          <w:color w:val="000000" w:themeColor="text1"/>
        </w:rPr>
        <w:t>accordance with</w:t>
      </w:r>
      <w:r w:rsidRPr="00851078">
        <w:rPr>
          <w:color w:val="000000" w:themeColor="text1"/>
        </w:rPr>
        <w:t xml:space="preserve"> decision XXXVII/1, </w:t>
      </w:r>
      <w:r w:rsidR="00AB4980" w:rsidRPr="00851078">
        <w:rPr>
          <w:color w:val="000000" w:themeColor="text1"/>
        </w:rPr>
        <w:t>and as</w:t>
      </w:r>
      <w:r w:rsidR="007E07F6" w:rsidRPr="00851078">
        <w:rPr>
          <w:color w:val="000000" w:themeColor="text1"/>
        </w:rPr>
        <w:t xml:space="preserve"> is</w:t>
      </w:r>
      <w:r w:rsidR="00AB4980" w:rsidRPr="00851078">
        <w:rPr>
          <w:color w:val="000000" w:themeColor="text1"/>
        </w:rPr>
        <w:t xml:space="preserve"> mentioned in para</w:t>
      </w:r>
      <w:r w:rsidR="008F4E24" w:rsidRPr="00851078">
        <w:rPr>
          <w:color w:val="000000" w:themeColor="text1"/>
        </w:rPr>
        <w:t>graph</w:t>
      </w:r>
      <w:r w:rsidR="00E17E04" w:rsidRPr="00851078">
        <w:rPr>
          <w:color w:val="000000" w:themeColor="text1"/>
        </w:rPr>
        <w:t xml:space="preserve"> 30</w:t>
      </w:r>
      <w:r w:rsidR="00AB4980" w:rsidRPr="00851078">
        <w:rPr>
          <w:color w:val="000000" w:themeColor="text1"/>
        </w:rPr>
        <w:t xml:space="preserve"> above</w:t>
      </w:r>
      <w:r w:rsidR="00D425FA" w:rsidRPr="00851078">
        <w:rPr>
          <w:color w:val="000000" w:themeColor="text1"/>
        </w:rPr>
        <w:t xml:space="preserve">, </w:t>
      </w:r>
      <w:r w:rsidRPr="00851078">
        <w:rPr>
          <w:color w:val="000000" w:themeColor="text1"/>
        </w:rPr>
        <w:t xml:space="preserve">the Secretariat </w:t>
      </w:r>
      <w:r w:rsidR="004B6068" w:rsidRPr="00851078">
        <w:rPr>
          <w:color w:val="000000" w:themeColor="text1"/>
        </w:rPr>
        <w:t xml:space="preserve">and the Advisory Committee </w:t>
      </w:r>
      <w:r w:rsidRPr="00851078">
        <w:rPr>
          <w:color w:val="000000" w:themeColor="text1"/>
        </w:rPr>
        <w:t xml:space="preserve">will provide the Thirty-Eighth Meeting of the Parties </w:t>
      </w:r>
      <w:r w:rsidR="00F90B1F" w:rsidRPr="00851078">
        <w:rPr>
          <w:color w:val="000000" w:themeColor="text1"/>
        </w:rPr>
        <w:t xml:space="preserve">with </w:t>
      </w:r>
      <w:r w:rsidRPr="00851078">
        <w:rPr>
          <w:color w:val="000000" w:themeColor="text1"/>
        </w:rPr>
        <w:t>a report on progress</w:t>
      </w:r>
      <w:r w:rsidR="00EA063E" w:rsidRPr="00851078">
        <w:rPr>
          <w:color w:val="000000" w:themeColor="text1"/>
        </w:rPr>
        <w:t xml:space="preserve"> in</w:t>
      </w:r>
      <w:r w:rsidRPr="00851078">
        <w:rPr>
          <w:color w:val="000000" w:themeColor="text1"/>
        </w:rPr>
        <w:t xml:space="preserve"> and any outcomes of </w:t>
      </w:r>
      <w:r w:rsidR="00EA063E" w:rsidRPr="00851078">
        <w:rPr>
          <w:color w:val="000000" w:themeColor="text1"/>
        </w:rPr>
        <w:t>its activities in connection with the evaluation of</w:t>
      </w:r>
      <w:r w:rsidRPr="00851078">
        <w:rPr>
          <w:color w:val="000000" w:themeColor="text1"/>
        </w:rPr>
        <w:t xml:space="preserve"> the suitability of potential sites for monitoring regional emissions of controlled substances. </w:t>
      </w:r>
    </w:p>
    <w:p w14:paraId="2712262C" w14:textId="77777777" w:rsidR="00323A74" w:rsidRPr="00851078" w:rsidRDefault="00323A74" w:rsidP="00323A74">
      <w:pPr>
        <w:pStyle w:val="CH2"/>
      </w:pPr>
      <w:r w:rsidRPr="00851078">
        <w:tab/>
        <w:t>B.</w:t>
      </w:r>
      <w:r w:rsidRPr="00851078">
        <w:tab/>
        <w:t>Emissions of HFC-23 (decision XXXVII/2)</w:t>
      </w:r>
    </w:p>
    <w:p w14:paraId="7E4F382D" w14:textId="0F442A0F" w:rsidR="00323A74" w:rsidRPr="00851078" w:rsidRDefault="00323A74" w:rsidP="00E23C9E">
      <w:pPr>
        <w:pStyle w:val="Normalnumber"/>
        <w:tabs>
          <w:tab w:val="clear" w:pos="1247"/>
          <w:tab w:val="clear" w:pos="1814"/>
          <w:tab w:val="clear" w:pos="2381"/>
          <w:tab w:val="clear" w:pos="2948"/>
          <w:tab w:val="clear" w:pos="3515"/>
        </w:tabs>
        <w:ind w:left="1247"/>
      </w:pPr>
      <w:r w:rsidRPr="00851078">
        <w:rPr>
          <w:color w:val="000000" w:themeColor="text1"/>
        </w:rPr>
        <w:t xml:space="preserve">The Thirty-Seventh Meeting of the Parties adopted decision XXXVII/2, in </w:t>
      </w:r>
      <w:r w:rsidR="004F3C0A" w:rsidRPr="00851078">
        <w:rPr>
          <w:color w:val="000000" w:themeColor="text1"/>
        </w:rPr>
        <w:t xml:space="preserve">which it decided, in </w:t>
      </w:r>
      <w:r w:rsidRPr="00851078">
        <w:rPr>
          <w:color w:val="000000" w:themeColor="text1"/>
        </w:rPr>
        <w:t>paragraph 2</w:t>
      </w:r>
      <w:r w:rsidR="004F3C0A" w:rsidRPr="00851078">
        <w:rPr>
          <w:color w:val="000000" w:themeColor="text1"/>
        </w:rPr>
        <w:t>, to invite</w:t>
      </w:r>
      <w:r w:rsidRPr="00851078">
        <w:rPr>
          <w:color w:val="000000" w:themeColor="text1"/>
        </w:rPr>
        <w:t xml:space="preserve"> parties that ha</w:t>
      </w:r>
      <w:r w:rsidR="004F3C0A" w:rsidRPr="00851078">
        <w:rPr>
          <w:color w:val="000000" w:themeColor="text1"/>
        </w:rPr>
        <w:t>d</w:t>
      </w:r>
      <w:r w:rsidRPr="00851078">
        <w:rPr>
          <w:color w:val="000000" w:themeColor="text1"/>
        </w:rPr>
        <w:t xml:space="preserve"> HCFC-22 production facilities </w:t>
      </w:r>
      <w:r w:rsidR="004F3C0A" w:rsidRPr="00851078">
        <w:rPr>
          <w:color w:val="000000" w:themeColor="text1"/>
        </w:rPr>
        <w:t xml:space="preserve">and </w:t>
      </w:r>
      <w:r w:rsidRPr="00851078">
        <w:rPr>
          <w:color w:val="000000" w:themeColor="text1"/>
        </w:rPr>
        <w:t xml:space="preserve">did not submit information pursuant to decision XXXVI/3 to submit to the Ozone Secretariat, by 28 February 2026, on a voluntary </w:t>
      </w:r>
      <w:r w:rsidRPr="00851078">
        <w:t>basis</w:t>
      </w:r>
      <w:r w:rsidRPr="00851078">
        <w:rPr>
          <w:color w:val="000000" w:themeColor="text1"/>
        </w:rPr>
        <w:t xml:space="preserve">, their current methodologies for estimating and reporting HFC-23 emissions from HCFC-22 production. </w:t>
      </w:r>
    </w:p>
    <w:p w14:paraId="402B2084" w14:textId="4C33E3BA" w:rsidR="00323A74" w:rsidRPr="00851078" w:rsidRDefault="00323A74" w:rsidP="00323A74">
      <w:pPr>
        <w:pStyle w:val="Normalnumber"/>
        <w:tabs>
          <w:tab w:val="clear" w:pos="1247"/>
          <w:tab w:val="clear" w:pos="1814"/>
          <w:tab w:val="clear" w:pos="2381"/>
          <w:tab w:val="clear" w:pos="2948"/>
          <w:tab w:val="clear" w:pos="3515"/>
        </w:tabs>
        <w:ind w:left="1247"/>
      </w:pPr>
      <w:r w:rsidRPr="00851078">
        <w:t>In paragraph 3 of the decision, relevant parties were invited to report 2025 data, consistent with form 6 of the data reporting forms, on the amounts of HFC-23 generated, captured, destroyed and stored, and to examine, as appropriate, their HFC-23 emissions and the sources of those emissions and encourage scientific research institutions in their countries to undertake or collaborate internationally on research on their HFC-23 emissions and the sources of those emissions, and to report</w:t>
      </w:r>
      <w:r w:rsidR="00B84CA0" w:rsidRPr="00851078">
        <w:t xml:space="preserve"> any new relevant information</w:t>
      </w:r>
      <w:r w:rsidRPr="00851078">
        <w:t xml:space="preserve"> to the Ozone Secretariat.</w:t>
      </w:r>
    </w:p>
    <w:p w14:paraId="518B3FB2" w14:textId="6048015C" w:rsidR="00323A74" w:rsidRPr="00851078" w:rsidRDefault="00323A74" w:rsidP="00323A74">
      <w:pPr>
        <w:pStyle w:val="Normalnumber"/>
        <w:tabs>
          <w:tab w:val="clear" w:pos="1247"/>
          <w:tab w:val="clear" w:pos="1814"/>
          <w:tab w:val="clear" w:pos="2381"/>
          <w:tab w:val="clear" w:pos="2948"/>
          <w:tab w:val="clear" w:pos="3515"/>
        </w:tabs>
        <w:ind w:left="1247"/>
      </w:pPr>
      <w:r>
        <w:t xml:space="preserve">At the time of preparation of the present report, </w:t>
      </w:r>
      <w:r w:rsidR="00FB70DB">
        <w:t>3</w:t>
      </w:r>
      <w:r w:rsidR="00F241BA">
        <w:t>2</w:t>
      </w:r>
      <w:r>
        <w:t xml:space="preserve"> parties, namely Australia, China, the European Union</w:t>
      </w:r>
      <w:r w:rsidR="00FB70DB">
        <w:t xml:space="preserve"> and its member States</w:t>
      </w:r>
      <w:r w:rsidR="0958A5FA">
        <w:t>, Peru</w:t>
      </w:r>
      <w:r>
        <w:t xml:space="preserve"> and the Russian Federation, had provided information in response to paragraphs 2 and 3 of the decision. </w:t>
      </w:r>
      <w:r w:rsidR="00BE03F3">
        <w:t>The i</w:t>
      </w:r>
      <w:r>
        <w:t xml:space="preserve">nformation received </w:t>
      </w:r>
      <w:r w:rsidR="00B84CA0">
        <w:t>was</w:t>
      </w:r>
      <w:r>
        <w:t xml:space="preserve"> forwarded to the Scientific Assessment Panel and the Technology and Economic Assessment Panel.</w:t>
      </w:r>
    </w:p>
    <w:p w14:paraId="66175E09" w14:textId="11B3A6B4" w:rsidR="00323A74" w:rsidRPr="00851078" w:rsidRDefault="00323A74" w:rsidP="00323A74">
      <w:pPr>
        <w:pStyle w:val="Normalnumber"/>
        <w:tabs>
          <w:tab w:val="clear" w:pos="1247"/>
          <w:tab w:val="clear" w:pos="1814"/>
          <w:tab w:val="clear" w:pos="2381"/>
          <w:tab w:val="clear" w:pos="2948"/>
          <w:tab w:val="clear" w:pos="3515"/>
        </w:tabs>
        <w:ind w:left="1247"/>
      </w:pPr>
      <w:r w:rsidRPr="00851078">
        <w:t>In paragraph 1 of decision</w:t>
      </w:r>
      <w:r w:rsidR="00BE03F3" w:rsidRPr="00851078">
        <w:t xml:space="preserve"> </w:t>
      </w:r>
      <w:r w:rsidR="00BE03F3" w:rsidRPr="00851078">
        <w:rPr>
          <w:color w:val="000000" w:themeColor="text1"/>
        </w:rPr>
        <w:t>XXXVII/2</w:t>
      </w:r>
      <w:r w:rsidRPr="00851078">
        <w:t xml:space="preserve">, the Scientific Assessment Panel and the Technology and Economic Assessment Panel were requested to provide an update on emissions </w:t>
      </w:r>
      <w:r w:rsidR="00BE03F3" w:rsidRPr="00851078">
        <w:t xml:space="preserve">of </w:t>
      </w:r>
      <w:r w:rsidRPr="00851078">
        <w:t xml:space="preserve">HFC-23 to the Thirty-Eighth Meeting of the Parties, </w:t>
      </w:r>
      <w:proofErr w:type="gramStart"/>
      <w:r w:rsidRPr="00851078">
        <w:t>taking into account</w:t>
      </w:r>
      <w:proofErr w:type="gramEnd"/>
      <w:r w:rsidRPr="00851078">
        <w:t xml:space="preserve"> information submitted by parties in response to decision XXXVI/3 and pursuant to paragraph 2 of decision XXXVII/2.</w:t>
      </w:r>
    </w:p>
    <w:p w14:paraId="297F7F53" w14:textId="3C5C3819" w:rsidR="00323A74" w:rsidRPr="00851078" w:rsidRDefault="00323A74" w:rsidP="00323A74">
      <w:pPr>
        <w:pStyle w:val="Normalnumber"/>
        <w:tabs>
          <w:tab w:val="clear" w:pos="1247"/>
          <w:tab w:val="clear" w:pos="1814"/>
          <w:tab w:val="clear" w:pos="2381"/>
          <w:tab w:val="clear" w:pos="2948"/>
          <w:tab w:val="clear" w:pos="3515"/>
        </w:tabs>
        <w:ind w:left="1247"/>
        <w:rPr>
          <w:color w:val="000000" w:themeColor="text1"/>
        </w:rPr>
      </w:pPr>
      <w:r w:rsidRPr="00851078">
        <w:t xml:space="preserve">The issue of </w:t>
      </w:r>
      <w:r w:rsidR="00B84CA0" w:rsidRPr="00851078">
        <w:t xml:space="preserve">HFC-23 </w:t>
      </w:r>
      <w:r w:rsidRPr="00851078">
        <w:t xml:space="preserve">emissions will </w:t>
      </w:r>
      <w:r w:rsidRPr="00851078">
        <w:rPr>
          <w:color w:val="000000" w:themeColor="text1"/>
        </w:rPr>
        <w:t>be included on the agenda of the Thirty-Eighth Meeting of the Parties. The panels’ reports are expected to be available in early September 2026, and a summary of the reports will be included in the addendum to the relevant note by the Secretariat.</w:t>
      </w:r>
    </w:p>
    <w:p w14:paraId="1B4456E4" w14:textId="77777777" w:rsidR="00323A74" w:rsidRPr="00851078" w:rsidRDefault="00323A74" w:rsidP="00323A74">
      <w:pPr>
        <w:pStyle w:val="CH2"/>
        <w:rPr>
          <w:bCs/>
        </w:rPr>
      </w:pPr>
      <w:r w:rsidRPr="00851078">
        <w:rPr>
          <w:b w:val="0"/>
        </w:rPr>
        <w:lastRenderedPageBreak/>
        <w:tab/>
      </w:r>
      <w:r w:rsidRPr="00851078">
        <w:rPr>
          <w:bCs/>
        </w:rPr>
        <w:t>C.</w:t>
      </w:r>
      <w:r w:rsidRPr="00851078">
        <w:rPr>
          <w:bCs/>
        </w:rPr>
        <w:tab/>
        <w:t>National and regional initiatives to support the implementation of the Kigali Amendment to the Montreal Protocol (decision XXXVII/5)</w:t>
      </w:r>
    </w:p>
    <w:p w14:paraId="27C62419" w14:textId="02905516"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The Thirty-Seventh Meeting of the Parties, through paragraph 1 of decision XXXVII/5, invited parties to submit to the Ozone Secretariat, by 1 June 2026, information, including </w:t>
      </w:r>
      <w:r w:rsidR="00B84CA0" w:rsidRPr="00851078">
        <w:t xml:space="preserve">on </w:t>
      </w:r>
      <w:r w:rsidRPr="00851078">
        <w:t>policies, activities and key lessons learned, in relation to centres of excellence for sustainable cooling and testing centres for energy efficiency related to the implementation of the Kigali Amendment. In paragraph 2 of the decision, the Ozone Secretariat was requested to collate and summarize th</w:t>
      </w:r>
      <w:r w:rsidR="00727B13" w:rsidRPr="00851078">
        <w:t>e</w:t>
      </w:r>
      <w:r w:rsidRPr="00851078">
        <w:t xml:space="preserve"> information</w:t>
      </w:r>
      <w:r w:rsidR="00727B13" w:rsidRPr="00851078">
        <w:t xml:space="preserve"> submitted</w:t>
      </w:r>
      <w:r w:rsidRPr="00851078">
        <w:t xml:space="preserve"> and make it available by the Thirty-Eighth Meeting of the Parties, taking into account the updated paper on centres of excellence for sustainable cooling and testing centres for energy efficiency requested in decision 95/87 of the Executive Committee of the Multilateral Fund.</w:t>
      </w:r>
      <w:r w:rsidR="00C45688" w:rsidRPr="00851078">
        <w:t xml:space="preserve"> Any update</w:t>
      </w:r>
      <w:r w:rsidR="00D01BBB" w:rsidRPr="00851078">
        <w:t>s</w:t>
      </w:r>
      <w:r w:rsidR="00C45688" w:rsidRPr="00851078">
        <w:t xml:space="preserve"> on </w:t>
      </w:r>
      <w:r w:rsidR="00D01BBB" w:rsidRPr="00851078">
        <w:t>submissions received from parties after the preparation of th</w:t>
      </w:r>
      <w:r w:rsidR="007E07F6" w:rsidRPr="00851078">
        <w:t>e present</w:t>
      </w:r>
      <w:r w:rsidR="00D01BBB" w:rsidRPr="00851078">
        <w:t xml:space="preserve"> note will be included in the addendum to th</w:t>
      </w:r>
      <w:r w:rsidR="007E07F6" w:rsidRPr="00851078">
        <w:t>e</w:t>
      </w:r>
      <w:r w:rsidR="00D01BBB" w:rsidRPr="00851078">
        <w:t xml:space="preserve"> note.</w:t>
      </w:r>
    </w:p>
    <w:p w14:paraId="7763A08E" w14:textId="761CDB12"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The issue of national and regional initiatives to support the implementation of the Kigali Amendment to the Montreal Protocol will be included on the agenda of the Thirty-Eighth Meeting of the Parties, and a compilation of information received from parties in response to decision XXXVII/5 will be made available to the </w:t>
      </w:r>
      <w:r w:rsidR="00727B13" w:rsidRPr="00851078">
        <w:t>parties</w:t>
      </w:r>
      <w:r w:rsidRPr="00851078">
        <w:t>.</w:t>
      </w:r>
    </w:p>
    <w:p w14:paraId="441360BF" w14:textId="77777777" w:rsidR="00323A74" w:rsidRPr="00851078" w:rsidRDefault="00323A74" w:rsidP="00323A74">
      <w:pPr>
        <w:pStyle w:val="CH2"/>
        <w:rPr>
          <w:bCs/>
        </w:rPr>
      </w:pPr>
      <w:r w:rsidRPr="00851078">
        <w:rPr>
          <w:bCs/>
        </w:rPr>
        <w:tab/>
        <w:t>D.</w:t>
      </w:r>
      <w:r w:rsidRPr="00851078">
        <w:rPr>
          <w:bCs/>
        </w:rPr>
        <w:tab/>
        <w:t>Recycled, used and unwanted controlled substances (decisions XXXVII/3, para. 3, XXXVII/4, para. 3, and XXXVI/7, para. 5)</w:t>
      </w:r>
    </w:p>
    <w:p w14:paraId="36734E4A" w14:textId="55717C3F" w:rsidR="00323A74" w:rsidRPr="00851078" w:rsidRDefault="00323A74" w:rsidP="001618EA">
      <w:pPr>
        <w:pStyle w:val="Normalnumber"/>
        <w:tabs>
          <w:tab w:val="clear" w:pos="1247"/>
          <w:tab w:val="clear" w:pos="1814"/>
          <w:tab w:val="clear" w:pos="2381"/>
          <w:tab w:val="clear" w:pos="2948"/>
          <w:tab w:val="clear" w:pos="3515"/>
        </w:tabs>
        <w:ind w:left="1247"/>
      </w:pPr>
      <w:r w:rsidRPr="00851078">
        <w:t>The Thirty-Seventh Meeting of the Parties, through paragraph 3 of decision XXXVII/3, invited parties to submit</w:t>
      </w:r>
      <w:r w:rsidR="00D27F40" w:rsidRPr="00851078">
        <w:t xml:space="preserve"> to the Ozone Secretariat</w:t>
      </w:r>
      <w:r w:rsidRPr="00851078">
        <w:t xml:space="preserve">, on a voluntary basis, by 31 May 2026, information on existing reclamation and destruction facilities in their respective countries and, where available, their </w:t>
      </w:r>
      <w:r w:rsidR="00727B13" w:rsidRPr="00851078">
        <w:t xml:space="preserve">respective </w:t>
      </w:r>
      <w:r w:rsidRPr="00851078">
        <w:t>capacit</w:t>
      </w:r>
      <w:r w:rsidR="00D27F40" w:rsidRPr="00851078">
        <w:t>ies</w:t>
      </w:r>
      <w:r w:rsidR="00727B13" w:rsidRPr="00851078">
        <w:t>,</w:t>
      </w:r>
      <w:r w:rsidRPr="00851078">
        <w:t xml:space="preserve"> </w:t>
      </w:r>
      <w:r w:rsidR="00727B13" w:rsidRPr="00851078">
        <w:t xml:space="preserve">including information on </w:t>
      </w:r>
      <w:r w:rsidRPr="00851078">
        <w:t xml:space="preserve">the identification of </w:t>
      </w:r>
      <w:r w:rsidR="00727B13" w:rsidRPr="00851078">
        <w:t xml:space="preserve">existing destruction and reclamation </w:t>
      </w:r>
      <w:r w:rsidRPr="00851078">
        <w:t xml:space="preserve">facilities that </w:t>
      </w:r>
      <w:r w:rsidR="00727B13" w:rsidRPr="00851078">
        <w:t xml:space="preserve">could </w:t>
      </w:r>
      <w:r w:rsidRPr="00851078">
        <w:t xml:space="preserve">accept used refrigerants from other countries and the conditions associated with exporting used refrigerants for disposal at such facilities, taking into account any legislative barriers to transboundary movements. In the same paragraph, the Ozone Secretariat was requested to make that information available to the parties. At the time of preparation of the present report, one party (Australia) had provided </w:t>
      </w:r>
      <w:r w:rsidR="004C5284" w:rsidRPr="00851078">
        <w:t xml:space="preserve">the requested </w:t>
      </w:r>
      <w:r w:rsidRPr="00851078">
        <w:t>information</w:t>
      </w:r>
      <w:r w:rsidR="00D27F40" w:rsidRPr="00851078">
        <w:t>, which t</w:t>
      </w:r>
      <w:r w:rsidRPr="00851078">
        <w:t>h</w:t>
      </w:r>
      <w:r w:rsidR="007937EF" w:rsidRPr="00851078">
        <w:t xml:space="preserve">e Secretariat forwarded </w:t>
      </w:r>
      <w:r w:rsidRPr="00851078">
        <w:t xml:space="preserve">to the Technology and Economic Assessment Panel. </w:t>
      </w:r>
    </w:p>
    <w:p w14:paraId="008F2AA1" w14:textId="22DB7B24" w:rsidR="00323A74" w:rsidRPr="00851078" w:rsidRDefault="00323A74" w:rsidP="001618EA">
      <w:pPr>
        <w:pStyle w:val="Normalnumber"/>
        <w:tabs>
          <w:tab w:val="clear" w:pos="1247"/>
          <w:tab w:val="clear" w:pos="1814"/>
          <w:tab w:val="clear" w:pos="2381"/>
          <w:tab w:val="clear" w:pos="2948"/>
          <w:tab w:val="clear" w:pos="3515"/>
        </w:tabs>
        <w:ind w:left="1247"/>
      </w:pPr>
      <w:r w:rsidRPr="00851078">
        <w:t>The Secretariat will make available to the Thirty-Eighth Meeting of the Parties information on existing reclamation and destruction facilities and</w:t>
      </w:r>
      <w:r w:rsidR="007937EF" w:rsidRPr="00851078">
        <w:t>,</w:t>
      </w:r>
      <w:r w:rsidRPr="00851078">
        <w:t xml:space="preserve"> where available, the respective capacity of those facilities, based on information </w:t>
      </w:r>
      <w:r w:rsidR="004C5284" w:rsidRPr="00851078">
        <w:t>from</w:t>
      </w:r>
      <w:r w:rsidRPr="00851078">
        <w:t xml:space="preserve"> parties and other sources.</w:t>
      </w:r>
    </w:p>
    <w:p w14:paraId="0F630961" w14:textId="526F2A52" w:rsidR="00323A74" w:rsidRPr="00851078" w:rsidRDefault="00864B40" w:rsidP="00E23C9E">
      <w:pPr>
        <w:pStyle w:val="Normalnumber"/>
        <w:tabs>
          <w:tab w:val="clear" w:pos="1247"/>
          <w:tab w:val="clear" w:pos="1814"/>
          <w:tab w:val="clear" w:pos="2381"/>
          <w:tab w:val="clear" w:pos="2948"/>
          <w:tab w:val="clear" w:pos="3515"/>
        </w:tabs>
        <w:ind w:left="1247"/>
      </w:pPr>
      <w:r w:rsidRPr="00851078">
        <w:t>In p</w:t>
      </w:r>
      <w:r w:rsidR="00323A74" w:rsidRPr="00851078">
        <w:t>aragraph 3 of decision XXXVII/4</w:t>
      </w:r>
      <w:r w:rsidRPr="00851078">
        <w:t>, parties were</w:t>
      </w:r>
      <w:r w:rsidR="00323A74" w:rsidRPr="00851078">
        <w:t xml:space="preserve"> encouraged to reassess any national import and export restrictions other than licensing or quota requirements with a view to facilitating the import and export of recovered, recycled or reclaimed halons and other controlled substances used for fire suppression, with the aim of facilitating the meeting of remaining needs of the parties, taking into account the requirements of the Basel Convention on the Control of Transboundary Movements of Hazardous Wastes and Their Disposal, where applicable.</w:t>
      </w:r>
    </w:p>
    <w:p w14:paraId="656B8C21" w14:textId="51B940F0" w:rsidR="00323A74" w:rsidRPr="00851078" w:rsidRDefault="00864B40" w:rsidP="00E23C9E">
      <w:pPr>
        <w:pStyle w:val="Normalnumber"/>
        <w:tabs>
          <w:tab w:val="clear" w:pos="1247"/>
          <w:tab w:val="clear" w:pos="1814"/>
          <w:tab w:val="clear" w:pos="2381"/>
          <w:tab w:val="clear" w:pos="2948"/>
          <w:tab w:val="clear" w:pos="3515"/>
        </w:tabs>
        <w:ind w:left="1247"/>
      </w:pPr>
      <w:r w:rsidRPr="00851078">
        <w:t>In p</w:t>
      </w:r>
      <w:r w:rsidR="00323A74" w:rsidRPr="00851078">
        <w:t>aragraph 5 of decision XXXVI/7</w:t>
      </w:r>
      <w:r w:rsidRPr="00851078">
        <w:t>,</w:t>
      </w:r>
      <w:r w:rsidR="00323A74" w:rsidRPr="00851078">
        <w:t xml:space="preserve"> the Ozone Secretariat </w:t>
      </w:r>
      <w:r w:rsidRPr="00851078">
        <w:t xml:space="preserve">was requested </w:t>
      </w:r>
      <w:r w:rsidR="00323A74" w:rsidRPr="00851078">
        <w:t xml:space="preserve">to continue to liaise with relevant international bodies, including the secretariat of the Basel Convention, </w:t>
      </w:r>
      <w:proofErr w:type="gramStart"/>
      <w:r w:rsidR="00323A74" w:rsidRPr="00851078">
        <w:t>with regard to</w:t>
      </w:r>
      <w:proofErr w:type="gramEnd"/>
      <w:r w:rsidR="00323A74" w:rsidRPr="00851078">
        <w:t xml:space="preserve"> the importance of the sustainable management of halons and related elements of the decision and to report on the matter to the parties as needed.</w:t>
      </w:r>
    </w:p>
    <w:p w14:paraId="69EBB4AD" w14:textId="669962C0" w:rsidR="00323A74" w:rsidRPr="00851078" w:rsidRDefault="00323A74" w:rsidP="00E23C9E">
      <w:pPr>
        <w:pStyle w:val="Normalnumber"/>
        <w:tabs>
          <w:tab w:val="clear" w:pos="1247"/>
          <w:tab w:val="clear" w:pos="1814"/>
          <w:tab w:val="clear" w:pos="2381"/>
          <w:tab w:val="clear" w:pos="2948"/>
          <w:tab w:val="clear" w:pos="3515"/>
        </w:tabs>
        <w:ind w:left="1247"/>
      </w:pPr>
      <w:r w:rsidRPr="00851078">
        <w:t xml:space="preserve">As </w:t>
      </w:r>
      <w:r w:rsidR="007E07F6" w:rsidRPr="00851078">
        <w:t xml:space="preserve">is </w:t>
      </w:r>
      <w:r w:rsidRPr="00851078">
        <w:t xml:space="preserve">indicated in paragraph 14 above, the Ozone Secretariat, in collaboration with the </w:t>
      </w:r>
      <w:r w:rsidR="00864B40" w:rsidRPr="00851078">
        <w:t>s</w:t>
      </w:r>
      <w:r w:rsidRPr="00851078">
        <w:t xml:space="preserve">ecretariat of the Basel, Rotterdam and Stockholm </w:t>
      </w:r>
      <w:r w:rsidR="00864B40" w:rsidRPr="00851078">
        <w:t>c</w:t>
      </w:r>
      <w:r w:rsidRPr="00851078">
        <w:t xml:space="preserve">onventions and the Multilateral Fund </w:t>
      </w:r>
      <w:r w:rsidR="00864B40" w:rsidRPr="00851078">
        <w:t>s</w:t>
      </w:r>
      <w:r w:rsidRPr="00851078">
        <w:t>ecretariat</w:t>
      </w:r>
      <w:r w:rsidR="007937EF" w:rsidRPr="00851078">
        <w:t>,</w:t>
      </w:r>
      <w:r w:rsidRPr="00851078">
        <w:t xml:space="preserve"> is preparing a practical guide on transboundary movements of substances controlled under Montreal Protocol and equipment using </w:t>
      </w:r>
      <w:r w:rsidR="00D27F40" w:rsidRPr="00851078">
        <w:t>such</w:t>
      </w:r>
      <w:r w:rsidRPr="00851078">
        <w:t xml:space="preserve"> substances. The guide is expected to be finalized before the </w:t>
      </w:r>
      <w:r w:rsidR="00F935EF" w:rsidRPr="00851078">
        <w:t>forty</w:t>
      </w:r>
      <w:r w:rsidR="00F935EF" w:rsidRPr="00851078">
        <w:noBreakHyphen/>
      </w:r>
      <w:r w:rsidRPr="00851078">
        <w:t>eighth meeting of the Open-ended Working Group.</w:t>
      </w:r>
    </w:p>
    <w:p w14:paraId="73641275" w14:textId="6A44EC36" w:rsidR="00323A74" w:rsidRPr="00864B40" w:rsidRDefault="00323A74" w:rsidP="00AE4536">
      <w:pPr>
        <w:pStyle w:val="Normal-pool"/>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323A74" w14:paraId="737FECFD" w14:textId="77777777" w:rsidTr="001618EA">
        <w:tc>
          <w:tcPr>
            <w:tcW w:w="1897" w:type="dxa"/>
          </w:tcPr>
          <w:p w14:paraId="61250EA9" w14:textId="77777777" w:rsidR="00323A74" w:rsidRDefault="00323A74" w:rsidP="001618EA">
            <w:pPr>
              <w:pStyle w:val="Normal-pool"/>
              <w:spacing w:before="520"/>
              <w:rPr>
                <w:rFonts w:eastAsiaTheme="minorEastAsia"/>
              </w:rPr>
            </w:pPr>
          </w:p>
        </w:tc>
        <w:tc>
          <w:tcPr>
            <w:tcW w:w="1897" w:type="dxa"/>
          </w:tcPr>
          <w:p w14:paraId="65B0427B" w14:textId="77777777" w:rsidR="00323A74" w:rsidRDefault="00323A74" w:rsidP="001618EA">
            <w:pPr>
              <w:pStyle w:val="Normal-pool"/>
              <w:spacing w:before="520"/>
              <w:rPr>
                <w:rFonts w:eastAsiaTheme="minorEastAsia"/>
              </w:rPr>
            </w:pPr>
          </w:p>
        </w:tc>
        <w:tc>
          <w:tcPr>
            <w:tcW w:w="1897" w:type="dxa"/>
            <w:tcBorders>
              <w:bottom w:val="single" w:sz="4" w:space="0" w:color="auto"/>
            </w:tcBorders>
          </w:tcPr>
          <w:p w14:paraId="35F367C3" w14:textId="77777777" w:rsidR="00323A74" w:rsidRDefault="00323A74" w:rsidP="001618EA">
            <w:pPr>
              <w:pStyle w:val="Normal-pool"/>
              <w:spacing w:before="520"/>
              <w:rPr>
                <w:rFonts w:eastAsiaTheme="minorEastAsia"/>
              </w:rPr>
            </w:pPr>
          </w:p>
        </w:tc>
        <w:tc>
          <w:tcPr>
            <w:tcW w:w="1898" w:type="dxa"/>
          </w:tcPr>
          <w:p w14:paraId="55E08013" w14:textId="77777777" w:rsidR="00323A74" w:rsidRDefault="00323A74" w:rsidP="001618EA">
            <w:pPr>
              <w:pStyle w:val="Normal-pool"/>
              <w:spacing w:before="520"/>
              <w:rPr>
                <w:rFonts w:eastAsiaTheme="minorEastAsia"/>
              </w:rPr>
            </w:pPr>
          </w:p>
        </w:tc>
        <w:tc>
          <w:tcPr>
            <w:tcW w:w="1898" w:type="dxa"/>
          </w:tcPr>
          <w:p w14:paraId="209E49BF" w14:textId="77777777" w:rsidR="00323A74" w:rsidRDefault="00323A74" w:rsidP="001618EA">
            <w:pPr>
              <w:pStyle w:val="Normal-pool"/>
              <w:spacing w:before="520"/>
              <w:rPr>
                <w:rFonts w:eastAsiaTheme="minorEastAsia"/>
              </w:rPr>
            </w:pPr>
          </w:p>
        </w:tc>
      </w:tr>
    </w:tbl>
    <w:p w14:paraId="12F31F10" w14:textId="39D3E8C8" w:rsidR="00167C2D" w:rsidRPr="00167C2D" w:rsidRDefault="00167C2D" w:rsidP="00167C2D">
      <w:pPr>
        <w:pStyle w:val="Normal-pool"/>
        <w:rPr>
          <w:rFonts w:eastAsiaTheme="minorEastAsia"/>
        </w:rPr>
      </w:pPr>
    </w:p>
    <w:sectPr w:rsidR="00167C2D" w:rsidRPr="00167C2D" w:rsidSect="00167C2D">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6D3C" w14:textId="77777777" w:rsidR="00100D56" w:rsidRPr="00167C2D" w:rsidRDefault="00100D56">
      <w:r w:rsidRPr="00167C2D">
        <w:separator/>
      </w:r>
    </w:p>
  </w:endnote>
  <w:endnote w:type="continuationSeparator" w:id="0">
    <w:p w14:paraId="4A73CCA2" w14:textId="77777777" w:rsidR="00100D56" w:rsidRPr="00167C2D" w:rsidRDefault="00100D56">
      <w:r w:rsidRPr="00167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38FC" w14:textId="106EB07E" w:rsidR="007A36F8" w:rsidRPr="00076EFF" w:rsidRDefault="00167C2D" w:rsidP="00076EFF">
    <w:pPr>
      <w:pStyle w:val="Footer-pool"/>
    </w:pPr>
    <w:r w:rsidRPr="00076EFF">
      <w:rPr>
        <w:rStyle w:val="PageNumber"/>
        <w:b/>
      </w:rPr>
      <w:fldChar w:fldCharType="begin"/>
    </w:r>
    <w:r w:rsidRPr="00076EFF">
      <w:rPr>
        <w:rStyle w:val="PageNumber"/>
        <w:b/>
      </w:rPr>
      <w:instrText xml:space="preserve"> PAGE </w:instrText>
    </w:r>
    <w:r w:rsidRPr="00076EFF">
      <w:rPr>
        <w:rStyle w:val="PageNumber"/>
        <w:b/>
      </w:rPr>
      <w:fldChar w:fldCharType="separate"/>
    </w:r>
    <w:r w:rsidRPr="00076EFF">
      <w:rPr>
        <w:rStyle w:val="PageNumber"/>
        <w:b/>
      </w:rPr>
      <w:t>1</w:t>
    </w:r>
    <w:r w:rsidRPr="00076EFF">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6E88" w14:textId="7D5CA200" w:rsidR="007A36F8" w:rsidRPr="00076EFF" w:rsidRDefault="00167C2D" w:rsidP="00076EFF">
    <w:pPr>
      <w:pStyle w:val="Footer-pool"/>
      <w:jc w:val="right"/>
    </w:pPr>
    <w:r w:rsidRPr="00076EFF">
      <w:rPr>
        <w:rStyle w:val="PageNumber"/>
        <w:b/>
      </w:rPr>
      <w:fldChar w:fldCharType="begin"/>
    </w:r>
    <w:r w:rsidRPr="00076EFF">
      <w:rPr>
        <w:rStyle w:val="PageNumber"/>
        <w:b/>
      </w:rPr>
      <w:instrText xml:space="preserve"> PAGE \* MERGEFORMAT </w:instrText>
    </w:r>
    <w:r w:rsidRPr="00076EFF">
      <w:rPr>
        <w:rStyle w:val="PageNumber"/>
        <w:b/>
      </w:rPr>
      <w:fldChar w:fldCharType="separate"/>
    </w:r>
    <w:r w:rsidRPr="00076EFF">
      <w:rPr>
        <w:rStyle w:val="PageNumber"/>
        <w:b/>
      </w:rPr>
      <w:t>1</w:t>
    </w:r>
    <w:r w:rsidRPr="00076EF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F049" w14:textId="75C1B0BC" w:rsidR="00167C2D" w:rsidRPr="00167C2D" w:rsidRDefault="0004568A" w:rsidP="00167C2D">
    <w:pPr>
      <w:pStyle w:val="Footer-jobnumber"/>
    </w:pPr>
    <w:bookmarkStart w:id="10" w:name="FooterJobDate"/>
    <w:r>
      <w:t>K2604293[E]</w:t>
    </w:r>
    <w:r w:rsidR="00870152">
      <w:tab/>
      <w:t>0705</w:t>
    </w:r>
    <w:r>
      <w:t>26</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F237" w14:textId="77777777" w:rsidR="00100D56" w:rsidRPr="00167C2D" w:rsidRDefault="00100D56" w:rsidP="00C70B49">
      <w:pPr>
        <w:pStyle w:val="Footnote-Separator"/>
        <w:rPr>
          <w:szCs w:val="18"/>
        </w:rPr>
      </w:pPr>
      <w:r w:rsidRPr="00167C2D">
        <w:separator/>
      </w:r>
    </w:p>
  </w:footnote>
  <w:footnote w:type="continuationSeparator" w:id="0">
    <w:p w14:paraId="67CCC40A" w14:textId="77777777" w:rsidR="00100D56" w:rsidRPr="00167C2D" w:rsidRDefault="00100D56" w:rsidP="00C70B49">
      <w:pPr>
        <w:pStyle w:val="Footnote-Separator"/>
      </w:pPr>
      <w:r w:rsidRPr="00167C2D">
        <w:continuationSeparator/>
      </w:r>
    </w:p>
  </w:footnote>
  <w:footnote w:type="continuationNotice" w:id="1">
    <w:p w14:paraId="7EADEB72" w14:textId="77777777" w:rsidR="00100D56" w:rsidRPr="00167C2D" w:rsidRDefault="00100D56" w:rsidP="00C70B49">
      <w:pPr>
        <w:pStyle w:val="ASpacer"/>
      </w:pPr>
    </w:p>
  </w:footnote>
  <w:footnote w:id="2">
    <w:p w14:paraId="5FA270B0" w14:textId="44F8915F" w:rsidR="00447020" w:rsidRPr="005D2FBA" w:rsidRDefault="00447020" w:rsidP="00447020">
      <w:pPr>
        <w:pStyle w:val="Footnote-Text"/>
        <w:rPr>
          <w:szCs w:val="18"/>
        </w:rPr>
      </w:pPr>
      <w:r w:rsidRPr="005D2FBA">
        <w:rPr>
          <w:rStyle w:val="FootnoteReference"/>
          <w:sz w:val="18"/>
          <w:vertAlign w:val="baseline"/>
        </w:rPr>
        <w:t>*</w:t>
      </w:r>
      <w:r w:rsidRPr="005D2FBA">
        <w:rPr>
          <w:szCs w:val="18"/>
        </w:rPr>
        <w:t xml:space="preserve"> UNEP</w:t>
      </w:r>
      <w:r w:rsidRPr="005D2FBA">
        <w:rPr>
          <w:b/>
          <w:bCs/>
          <w:szCs w:val="18"/>
        </w:rPr>
        <w:t>/</w:t>
      </w:r>
      <w:r w:rsidRPr="005D2FBA">
        <w:rPr>
          <w:szCs w:val="18"/>
        </w:rPr>
        <w:t>OzL.Pro.WG.1/4</w:t>
      </w:r>
      <w:r>
        <w:rPr>
          <w:szCs w:val="18"/>
        </w:rPr>
        <w:t>8</w:t>
      </w:r>
      <w:r w:rsidRPr="005D2FBA">
        <w:rPr>
          <w:szCs w:val="18"/>
        </w:rPr>
        <w:t>/1.</w:t>
      </w:r>
    </w:p>
  </w:footnote>
  <w:footnote w:id="3">
    <w:p w14:paraId="4006D790" w14:textId="2FF9FFCD" w:rsidR="00323A74" w:rsidRPr="00CD1E77" w:rsidRDefault="00323A74" w:rsidP="00323A74">
      <w:pPr>
        <w:pStyle w:val="Footnote-Text"/>
        <w:tabs>
          <w:tab w:val="clear" w:pos="1247"/>
          <w:tab w:val="clear" w:pos="1871"/>
          <w:tab w:val="clear" w:pos="2495"/>
          <w:tab w:val="clear" w:pos="3119"/>
          <w:tab w:val="clear" w:pos="3742"/>
          <w:tab w:val="clear" w:pos="4366"/>
        </w:tabs>
        <w:rPr>
          <w:lang w:val="en-US"/>
        </w:rPr>
      </w:pPr>
      <w:r>
        <w:rPr>
          <w:rStyle w:val="FootnoteReference"/>
        </w:rPr>
        <w:footnoteRef/>
      </w:r>
      <w:r>
        <w:t xml:space="preserve"> The</w:t>
      </w:r>
      <w:r w:rsidR="007F7E8B">
        <w:t xml:space="preserve"> prioritized regions and locations</w:t>
      </w:r>
      <w:r>
        <w:t xml:space="preserve"> were: </w:t>
      </w:r>
      <w:r w:rsidRPr="00CD1E77">
        <w:t>Southern Asia (India/Bangladesh); South-East Asia (Viet Nam); Southern Africa (Botswana/South</w:t>
      </w:r>
      <w:r w:rsidR="00584DCA">
        <w:t> </w:t>
      </w:r>
      <w:r w:rsidRPr="00CD1E77">
        <w:t>Africa); the Middle East (Saudi Arabia); Central and Southern South America (Brazil/Argentina). Other potential regions examined by the Committee but not yet prioritized were: North Africa (Algeria); North America (Mexico); Northern South America (Ecuador); Eastern</w:t>
      </w:r>
      <w:r w:rsidR="00584DCA">
        <w:t> </w:t>
      </w:r>
      <w:r w:rsidRPr="00CD1E77">
        <w:t>Europe (Russian Federation); West Africa (Nigeria).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CE9" w14:textId="13A3B637" w:rsidR="007A36F8" w:rsidRPr="00167C2D" w:rsidRDefault="00167C2D" w:rsidP="00167C2D">
    <w:pPr>
      <w:pStyle w:val="Header-pool"/>
    </w:pPr>
    <w:r w:rsidRPr="00167C2D">
      <w:fldChar w:fldCharType="begin"/>
    </w:r>
    <w:r w:rsidRPr="00167C2D">
      <w:instrText xml:space="preserve"> StyleRef A_Symbol </w:instrText>
    </w:r>
    <w:r w:rsidRPr="00167C2D">
      <w:fldChar w:fldCharType="separate"/>
    </w:r>
    <w:r w:rsidR="00661BD8">
      <w:rPr>
        <w:noProof/>
      </w:rPr>
      <w:t>UNEP/OzL.Pro.WG.1/48/2</w:t>
    </w:r>
    <w:r w:rsidRPr="00167C2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E" w14:textId="63EBE37B" w:rsidR="007A36F8" w:rsidRPr="00167C2D" w:rsidRDefault="00167C2D" w:rsidP="00167C2D">
    <w:pPr>
      <w:pStyle w:val="Header-pool"/>
      <w:jc w:val="right"/>
    </w:pPr>
    <w:r w:rsidRPr="00167C2D">
      <w:fldChar w:fldCharType="begin"/>
    </w:r>
    <w:r w:rsidRPr="00167C2D">
      <w:instrText xml:space="preserve"> StyleRef A_Symbol </w:instrText>
    </w:r>
    <w:r w:rsidRPr="00167C2D">
      <w:fldChar w:fldCharType="separate"/>
    </w:r>
    <w:r w:rsidR="00661BD8">
      <w:rPr>
        <w:noProof/>
      </w:rPr>
      <w:t>UNEP/OzL.Pro.WG.1/48/2</w:t>
    </w:r>
    <w:r w:rsidRPr="00167C2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4AA9" w14:textId="22A9F534" w:rsidR="000D012D" w:rsidRDefault="000D012D" w:rsidP="000D012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307C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BAC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18E2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D846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9844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AA6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4D1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43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C24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756826920">
    <w:abstractNumId w:val="9"/>
  </w:num>
  <w:num w:numId="7" w16cid:durableId="356152859">
    <w:abstractNumId w:val="7"/>
  </w:num>
  <w:num w:numId="8" w16cid:durableId="505486963">
    <w:abstractNumId w:val="6"/>
  </w:num>
  <w:num w:numId="9" w16cid:durableId="395980340">
    <w:abstractNumId w:val="5"/>
  </w:num>
  <w:num w:numId="10" w16cid:durableId="1390030496">
    <w:abstractNumId w:val="4"/>
  </w:num>
  <w:num w:numId="11" w16cid:durableId="786197404">
    <w:abstractNumId w:val="8"/>
  </w:num>
  <w:num w:numId="12" w16cid:durableId="984356547">
    <w:abstractNumId w:val="3"/>
  </w:num>
  <w:num w:numId="13" w16cid:durableId="927233792">
    <w:abstractNumId w:val="2"/>
  </w:num>
  <w:num w:numId="14" w16cid:durableId="563836226">
    <w:abstractNumId w:val="1"/>
  </w:num>
  <w:num w:numId="15" w16cid:durableId="1735547983">
    <w:abstractNumId w:val="0"/>
  </w:num>
  <w:num w:numId="16" w16cid:durableId="189439185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CA" w:vendorID="64" w:dllVersion="0" w:nlCheck="1" w:checkStyle="0"/>
  <w:activeWritingStyle w:appName="MSWord" w:lang="en-GB"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DD"/>
    <w:rsid w:val="0000361C"/>
    <w:rsid w:val="000069FA"/>
    <w:rsid w:val="000149E6"/>
    <w:rsid w:val="00014A82"/>
    <w:rsid w:val="00016AF3"/>
    <w:rsid w:val="000208C8"/>
    <w:rsid w:val="000247B0"/>
    <w:rsid w:val="00026997"/>
    <w:rsid w:val="00030803"/>
    <w:rsid w:val="00033E0B"/>
    <w:rsid w:val="00035EDE"/>
    <w:rsid w:val="0004568A"/>
    <w:rsid w:val="000509B4"/>
    <w:rsid w:val="00052767"/>
    <w:rsid w:val="00055730"/>
    <w:rsid w:val="00056B2C"/>
    <w:rsid w:val="0006035B"/>
    <w:rsid w:val="00062F14"/>
    <w:rsid w:val="0007166E"/>
    <w:rsid w:val="00071886"/>
    <w:rsid w:val="000742BC"/>
    <w:rsid w:val="000758E8"/>
    <w:rsid w:val="00076EFF"/>
    <w:rsid w:val="0008041D"/>
    <w:rsid w:val="00082A0C"/>
    <w:rsid w:val="00082A74"/>
    <w:rsid w:val="00082DCD"/>
    <w:rsid w:val="00083504"/>
    <w:rsid w:val="000853CA"/>
    <w:rsid w:val="0008710B"/>
    <w:rsid w:val="0008767E"/>
    <w:rsid w:val="00095691"/>
    <w:rsid w:val="0009640C"/>
    <w:rsid w:val="000A4C70"/>
    <w:rsid w:val="000A5B62"/>
    <w:rsid w:val="000A6E66"/>
    <w:rsid w:val="000B21D5"/>
    <w:rsid w:val="000B22A2"/>
    <w:rsid w:val="000B48A7"/>
    <w:rsid w:val="000B56B5"/>
    <w:rsid w:val="000C2A52"/>
    <w:rsid w:val="000C46A9"/>
    <w:rsid w:val="000C6399"/>
    <w:rsid w:val="000C7839"/>
    <w:rsid w:val="000D012D"/>
    <w:rsid w:val="000D093F"/>
    <w:rsid w:val="000D33C0"/>
    <w:rsid w:val="000D5765"/>
    <w:rsid w:val="000D5884"/>
    <w:rsid w:val="000D6346"/>
    <w:rsid w:val="000D6941"/>
    <w:rsid w:val="000D71B6"/>
    <w:rsid w:val="000D7D11"/>
    <w:rsid w:val="000E0405"/>
    <w:rsid w:val="000E6E4F"/>
    <w:rsid w:val="000F6CFF"/>
    <w:rsid w:val="00100D56"/>
    <w:rsid w:val="001012A7"/>
    <w:rsid w:val="0010442B"/>
    <w:rsid w:val="001057DE"/>
    <w:rsid w:val="001132F8"/>
    <w:rsid w:val="00115F73"/>
    <w:rsid w:val="001172CF"/>
    <w:rsid w:val="00117773"/>
    <w:rsid w:val="001202E3"/>
    <w:rsid w:val="00123699"/>
    <w:rsid w:val="0012554E"/>
    <w:rsid w:val="00126443"/>
    <w:rsid w:val="00127AB9"/>
    <w:rsid w:val="0013059D"/>
    <w:rsid w:val="00131015"/>
    <w:rsid w:val="00135102"/>
    <w:rsid w:val="00135A2F"/>
    <w:rsid w:val="0014083A"/>
    <w:rsid w:val="00141A55"/>
    <w:rsid w:val="00141F2F"/>
    <w:rsid w:val="001435D9"/>
    <w:rsid w:val="001446A3"/>
    <w:rsid w:val="00146C7D"/>
    <w:rsid w:val="00151541"/>
    <w:rsid w:val="00152AD0"/>
    <w:rsid w:val="00152F70"/>
    <w:rsid w:val="00155395"/>
    <w:rsid w:val="00156E2C"/>
    <w:rsid w:val="001618EA"/>
    <w:rsid w:val="00167C2D"/>
    <w:rsid w:val="001718E3"/>
    <w:rsid w:val="00172E6C"/>
    <w:rsid w:val="00173D27"/>
    <w:rsid w:val="00174739"/>
    <w:rsid w:val="00175B28"/>
    <w:rsid w:val="00176B91"/>
    <w:rsid w:val="001773CD"/>
    <w:rsid w:val="0018127C"/>
    <w:rsid w:val="00181EC8"/>
    <w:rsid w:val="00181FC0"/>
    <w:rsid w:val="001841DB"/>
    <w:rsid w:val="00184349"/>
    <w:rsid w:val="00186F2D"/>
    <w:rsid w:val="0019161E"/>
    <w:rsid w:val="00195F33"/>
    <w:rsid w:val="00197C63"/>
    <w:rsid w:val="001A121A"/>
    <w:rsid w:val="001A411A"/>
    <w:rsid w:val="001A53D1"/>
    <w:rsid w:val="001A58F1"/>
    <w:rsid w:val="001A5EE1"/>
    <w:rsid w:val="001A7FF9"/>
    <w:rsid w:val="001B0766"/>
    <w:rsid w:val="001B1617"/>
    <w:rsid w:val="001B17C8"/>
    <w:rsid w:val="001B504B"/>
    <w:rsid w:val="001C29FC"/>
    <w:rsid w:val="001C5A2E"/>
    <w:rsid w:val="001D3874"/>
    <w:rsid w:val="001D5344"/>
    <w:rsid w:val="001D7E75"/>
    <w:rsid w:val="001E22D1"/>
    <w:rsid w:val="001E293B"/>
    <w:rsid w:val="001E3BBD"/>
    <w:rsid w:val="001E56D2"/>
    <w:rsid w:val="001E7D56"/>
    <w:rsid w:val="001F75DE"/>
    <w:rsid w:val="00200D58"/>
    <w:rsid w:val="002013BE"/>
    <w:rsid w:val="00204E2E"/>
    <w:rsid w:val="002063A4"/>
    <w:rsid w:val="00206F97"/>
    <w:rsid w:val="0021145B"/>
    <w:rsid w:val="00213964"/>
    <w:rsid w:val="00214277"/>
    <w:rsid w:val="00216E25"/>
    <w:rsid w:val="00223525"/>
    <w:rsid w:val="00224552"/>
    <w:rsid w:val="0022721D"/>
    <w:rsid w:val="0022762D"/>
    <w:rsid w:val="00227B0D"/>
    <w:rsid w:val="00230F1F"/>
    <w:rsid w:val="00232303"/>
    <w:rsid w:val="00234806"/>
    <w:rsid w:val="002378D6"/>
    <w:rsid w:val="00243D36"/>
    <w:rsid w:val="00247707"/>
    <w:rsid w:val="002539A9"/>
    <w:rsid w:val="002555C5"/>
    <w:rsid w:val="00260F2A"/>
    <w:rsid w:val="002616D3"/>
    <w:rsid w:val="00263171"/>
    <w:rsid w:val="00266ECF"/>
    <w:rsid w:val="002703B1"/>
    <w:rsid w:val="00272D90"/>
    <w:rsid w:val="002730E3"/>
    <w:rsid w:val="0027505F"/>
    <w:rsid w:val="00277919"/>
    <w:rsid w:val="00284B88"/>
    <w:rsid w:val="00286661"/>
    <w:rsid w:val="00286740"/>
    <w:rsid w:val="0028676C"/>
    <w:rsid w:val="002874DD"/>
    <w:rsid w:val="00287B42"/>
    <w:rsid w:val="00287E2E"/>
    <w:rsid w:val="00291405"/>
    <w:rsid w:val="002921AF"/>
    <w:rsid w:val="002929D8"/>
    <w:rsid w:val="002935C2"/>
    <w:rsid w:val="00293AC2"/>
    <w:rsid w:val="00293CB6"/>
    <w:rsid w:val="00295D84"/>
    <w:rsid w:val="002A237D"/>
    <w:rsid w:val="002A4C53"/>
    <w:rsid w:val="002B0672"/>
    <w:rsid w:val="002B1B4C"/>
    <w:rsid w:val="002B1CCF"/>
    <w:rsid w:val="002B247F"/>
    <w:rsid w:val="002B7367"/>
    <w:rsid w:val="002B7AFA"/>
    <w:rsid w:val="002C145D"/>
    <w:rsid w:val="002C2C3E"/>
    <w:rsid w:val="002C533E"/>
    <w:rsid w:val="002C5525"/>
    <w:rsid w:val="002C608E"/>
    <w:rsid w:val="002C7CDF"/>
    <w:rsid w:val="002D027F"/>
    <w:rsid w:val="002D1FC4"/>
    <w:rsid w:val="002D2630"/>
    <w:rsid w:val="002D79BB"/>
    <w:rsid w:val="002D7A85"/>
    <w:rsid w:val="002D7B60"/>
    <w:rsid w:val="002E19D4"/>
    <w:rsid w:val="002E38AE"/>
    <w:rsid w:val="002E5173"/>
    <w:rsid w:val="002E59D7"/>
    <w:rsid w:val="002F0362"/>
    <w:rsid w:val="002F3DA7"/>
    <w:rsid w:val="002F4761"/>
    <w:rsid w:val="002F49B1"/>
    <w:rsid w:val="002F5C79"/>
    <w:rsid w:val="003019E2"/>
    <w:rsid w:val="00303673"/>
    <w:rsid w:val="0031413F"/>
    <w:rsid w:val="0031475B"/>
    <w:rsid w:val="003148BB"/>
    <w:rsid w:val="003148CD"/>
    <w:rsid w:val="00317976"/>
    <w:rsid w:val="0032103A"/>
    <w:rsid w:val="0032136E"/>
    <w:rsid w:val="003213BF"/>
    <w:rsid w:val="00323885"/>
    <w:rsid w:val="00323A74"/>
    <w:rsid w:val="00325DB8"/>
    <w:rsid w:val="0032666E"/>
    <w:rsid w:val="00331475"/>
    <w:rsid w:val="003437AC"/>
    <w:rsid w:val="00351A93"/>
    <w:rsid w:val="00355AA2"/>
    <w:rsid w:val="00355EA9"/>
    <w:rsid w:val="003578DE"/>
    <w:rsid w:val="003602FD"/>
    <w:rsid w:val="00363129"/>
    <w:rsid w:val="003650F5"/>
    <w:rsid w:val="00365F6B"/>
    <w:rsid w:val="00370BF9"/>
    <w:rsid w:val="00371340"/>
    <w:rsid w:val="00372E8A"/>
    <w:rsid w:val="0037443E"/>
    <w:rsid w:val="003759E2"/>
    <w:rsid w:val="003766EE"/>
    <w:rsid w:val="0038180A"/>
    <w:rsid w:val="00386999"/>
    <w:rsid w:val="00390145"/>
    <w:rsid w:val="00390D15"/>
    <w:rsid w:val="00394379"/>
    <w:rsid w:val="00396257"/>
    <w:rsid w:val="00397EB8"/>
    <w:rsid w:val="003A07AB"/>
    <w:rsid w:val="003A086E"/>
    <w:rsid w:val="003A37B8"/>
    <w:rsid w:val="003A4FD0"/>
    <w:rsid w:val="003A69D1"/>
    <w:rsid w:val="003A7705"/>
    <w:rsid w:val="003B1545"/>
    <w:rsid w:val="003B44E5"/>
    <w:rsid w:val="003B5102"/>
    <w:rsid w:val="003C035E"/>
    <w:rsid w:val="003C3267"/>
    <w:rsid w:val="003C409D"/>
    <w:rsid w:val="003C5BA6"/>
    <w:rsid w:val="003E18D1"/>
    <w:rsid w:val="003E7298"/>
    <w:rsid w:val="003F0E85"/>
    <w:rsid w:val="003F1557"/>
    <w:rsid w:val="003F76D9"/>
    <w:rsid w:val="00401528"/>
    <w:rsid w:val="004017D7"/>
    <w:rsid w:val="00402390"/>
    <w:rsid w:val="004034D0"/>
    <w:rsid w:val="00403529"/>
    <w:rsid w:val="00404274"/>
    <w:rsid w:val="00404CB5"/>
    <w:rsid w:val="00405251"/>
    <w:rsid w:val="00407D29"/>
    <w:rsid w:val="00410BD5"/>
    <w:rsid w:val="00410C55"/>
    <w:rsid w:val="0041604D"/>
    <w:rsid w:val="00416854"/>
    <w:rsid w:val="00417725"/>
    <w:rsid w:val="0041779A"/>
    <w:rsid w:val="00417B99"/>
    <w:rsid w:val="004243EA"/>
    <w:rsid w:val="00425CA0"/>
    <w:rsid w:val="00431164"/>
    <w:rsid w:val="004363A2"/>
    <w:rsid w:val="00437F26"/>
    <w:rsid w:val="00444097"/>
    <w:rsid w:val="00445487"/>
    <w:rsid w:val="00446A3C"/>
    <w:rsid w:val="00447020"/>
    <w:rsid w:val="00452004"/>
    <w:rsid w:val="00454769"/>
    <w:rsid w:val="00456D58"/>
    <w:rsid w:val="00460770"/>
    <w:rsid w:val="00464C91"/>
    <w:rsid w:val="00466991"/>
    <w:rsid w:val="0047064C"/>
    <w:rsid w:val="00472B0B"/>
    <w:rsid w:val="00474D90"/>
    <w:rsid w:val="00477AFF"/>
    <w:rsid w:val="00481F0B"/>
    <w:rsid w:val="00485DB2"/>
    <w:rsid w:val="00491356"/>
    <w:rsid w:val="004929C5"/>
    <w:rsid w:val="00494E88"/>
    <w:rsid w:val="00495BFE"/>
    <w:rsid w:val="0049644E"/>
    <w:rsid w:val="0049663A"/>
    <w:rsid w:val="004A42E1"/>
    <w:rsid w:val="004A50E0"/>
    <w:rsid w:val="004A66B1"/>
    <w:rsid w:val="004A7BC2"/>
    <w:rsid w:val="004B0E28"/>
    <w:rsid w:val="004B110A"/>
    <w:rsid w:val="004B162C"/>
    <w:rsid w:val="004B6068"/>
    <w:rsid w:val="004C1081"/>
    <w:rsid w:val="004C15E9"/>
    <w:rsid w:val="004C2D37"/>
    <w:rsid w:val="004C38F6"/>
    <w:rsid w:val="004C3DBE"/>
    <w:rsid w:val="004C4B54"/>
    <w:rsid w:val="004C5284"/>
    <w:rsid w:val="004C592F"/>
    <w:rsid w:val="004C5C96"/>
    <w:rsid w:val="004D06A4"/>
    <w:rsid w:val="004D1DB0"/>
    <w:rsid w:val="004D3390"/>
    <w:rsid w:val="004D60EA"/>
    <w:rsid w:val="004D7B5C"/>
    <w:rsid w:val="004D7E71"/>
    <w:rsid w:val="004E2436"/>
    <w:rsid w:val="004E5981"/>
    <w:rsid w:val="004E59D4"/>
    <w:rsid w:val="004E79AC"/>
    <w:rsid w:val="004F1A81"/>
    <w:rsid w:val="004F3C0A"/>
    <w:rsid w:val="005014D5"/>
    <w:rsid w:val="00502160"/>
    <w:rsid w:val="00504BDF"/>
    <w:rsid w:val="005052C8"/>
    <w:rsid w:val="005057C0"/>
    <w:rsid w:val="0050721C"/>
    <w:rsid w:val="005218D9"/>
    <w:rsid w:val="005219E4"/>
    <w:rsid w:val="005258F8"/>
    <w:rsid w:val="00525DB3"/>
    <w:rsid w:val="00530051"/>
    <w:rsid w:val="00531CAF"/>
    <w:rsid w:val="00532E47"/>
    <w:rsid w:val="00533095"/>
    <w:rsid w:val="005343B4"/>
    <w:rsid w:val="0053491B"/>
    <w:rsid w:val="00534F7B"/>
    <w:rsid w:val="00535D84"/>
    <w:rsid w:val="00536186"/>
    <w:rsid w:val="00536826"/>
    <w:rsid w:val="00544CBB"/>
    <w:rsid w:val="00550518"/>
    <w:rsid w:val="00552970"/>
    <w:rsid w:val="00552CD6"/>
    <w:rsid w:val="00560F73"/>
    <w:rsid w:val="00562FDC"/>
    <w:rsid w:val="005730C8"/>
    <w:rsid w:val="0057315F"/>
    <w:rsid w:val="00574443"/>
    <w:rsid w:val="00575DF1"/>
    <w:rsid w:val="00576104"/>
    <w:rsid w:val="00584DCA"/>
    <w:rsid w:val="00590A09"/>
    <w:rsid w:val="0059263C"/>
    <w:rsid w:val="00592D52"/>
    <w:rsid w:val="005940BC"/>
    <w:rsid w:val="00594BA0"/>
    <w:rsid w:val="005A2106"/>
    <w:rsid w:val="005A21BA"/>
    <w:rsid w:val="005A3419"/>
    <w:rsid w:val="005A498D"/>
    <w:rsid w:val="005B35A7"/>
    <w:rsid w:val="005B381E"/>
    <w:rsid w:val="005C140E"/>
    <w:rsid w:val="005C2CDC"/>
    <w:rsid w:val="005C3613"/>
    <w:rsid w:val="005C51DE"/>
    <w:rsid w:val="005C67C8"/>
    <w:rsid w:val="005C7FCF"/>
    <w:rsid w:val="005D0249"/>
    <w:rsid w:val="005D148C"/>
    <w:rsid w:val="005D2B9D"/>
    <w:rsid w:val="005D6E8C"/>
    <w:rsid w:val="005E6F18"/>
    <w:rsid w:val="005F100C"/>
    <w:rsid w:val="005F26E6"/>
    <w:rsid w:val="005F2B6D"/>
    <w:rsid w:val="005F3FAC"/>
    <w:rsid w:val="005F68DA"/>
    <w:rsid w:val="005F75E6"/>
    <w:rsid w:val="006014DD"/>
    <w:rsid w:val="00601973"/>
    <w:rsid w:val="006047AD"/>
    <w:rsid w:val="0060773B"/>
    <w:rsid w:val="00607D94"/>
    <w:rsid w:val="00610B49"/>
    <w:rsid w:val="00611732"/>
    <w:rsid w:val="006148E9"/>
    <w:rsid w:val="006157B5"/>
    <w:rsid w:val="00626FC6"/>
    <w:rsid w:val="00627CB7"/>
    <w:rsid w:val="006303B4"/>
    <w:rsid w:val="00631191"/>
    <w:rsid w:val="00633CEB"/>
    <w:rsid w:val="00633D3D"/>
    <w:rsid w:val="00633F3A"/>
    <w:rsid w:val="0063618E"/>
    <w:rsid w:val="00637180"/>
    <w:rsid w:val="00641703"/>
    <w:rsid w:val="006431A6"/>
    <w:rsid w:val="006433CF"/>
    <w:rsid w:val="0064376F"/>
    <w:rsid w:val="0064414E"/>
    <w:rsid w:val="006459F6"/>
    <w:rsid w:val="006501AD"/>
    <w:rsid w:val="00651AF2"/>
    <w:rsid w:val="00651BFA"/>
    <w:rsid w:val="006533B3"/>
    <w:rsid w:val="00653E14"/>
    <w:rsid w:val="00653EE2"/>
    <w:rsid w:val="00657857"/>
    <w:rsid w:val="00661BD8"/>
    <w:rsid w:val="0066207D"/>
    <w:rsid w:val="006631AC"/>
    <w:rsid w:val="00663A80"/>
    <w:rsid w:val="00665A4B"/>
    <w:rsid w:val="0066713F"/>
    <w:rsid w:val="00667F78"/>
    <w:rsid w:val="006731FE"/>
    <w:rsid w:val="006742EE"/>
    <w:rsid w:val="0067513F"/>
    <w:rsid w:val="00676DD5"/>
    <w:rsid w:val="00680D89"/>
    <w:rsid w:val="00681BA7"/>
    <w:rsid w:val="00687509"/>
    <w:rsid w:val="00692E2A"/>
    <w:rsid w:val="0069359B"/>
    <w:rsid w:val="00693A79"/>
    <w:rsid w:val="00697129"/>
    <w:rsid w:val="006A2052"/>
    <w:rsid w:val="006A5B99"/>
    <w:rsid w:val="006A6969"/>
    <w:rsid w:val="006A76F2"/>
    <w:rsid w:val="006B08A2"/>
    <w:rsid w:val="006B48C7"/>
    <w:rsid w:val="006B53F2"/>
    <w:rsid w:val="006C3DDA"/>
    <w:rsid w:val="006C60DC"/>
    <w:rsid w:val="006D3277"/>
    <w:rsid w:val="006D7EFB"/>
    <w:rsid w:val="006E05C8"/>
    <w:rsid w:val="006E1D7A"/>
    <w:rsid w:val="006E1ED0"/>
    <w:rsid w:val="006E2559"/>
    <w:rsid w:val="006E4EA7"/>
    <w:rsid w:val="006E50EE"/>
    <w:rsid w:val="006E55AD"/>
    <w:rsid w:val="006E6672"/>
    <w:rsid w:val="006E6722"/>
    <w:rsid w:val="006F10F1"/>
    <w:rsid w:val="007018DE"/>
    <w:rsid w:val="007027B9"/>
    <w:rsid w:val="00705422"/>
    <w:rsid w:val="0070745B"/>
    <w:rsid w:val="0071349B"/>
    <w:rsid w:val="00713D8F"/>
    <w:rsid w:val="00715E88"/>
    <w:rsid w:val="0072508B"/>
    <w:rsid w:val="007258C2"/>
    <w:rsid w:val="00727678"/>
    <w:rsid w:val="007278A3"/>
    <w:rsid w:val="00727B13"/>
    <w:rsid w:val="00727E5B"/>
    <w:rsid w:val="00730FAB"/>
    <w:rsid w:val="00732257"/>
    <w:rsid w:val="00734729"/>
    <w:rsid w:val="00734CAA"/>
    <w:rsid w:val="00735E91"/>
    <w:rsid w:val="00736472"/>
    <w:rsid w:val="00736583"/>
    <w:rsid w:val="00736CE4"/>
    <w:rsid w:val="0074059E"/>
    <w:rsid w:val="00751451"/>
    <w:rsid w:val="0075473A"/>
    <w:rsid w:val="00755106"/>
    <w:rsid w:val="0075533C"/>
    <w:rsid w:val="00757581"/>
    <w:rsid w:val="007611A0"/>
    <w:rsid w:val="007658A0"/>
    <w:rsid w:val="007674D1"/>
    <w:rsid w:val="00771992"/>
    <w:rsid w:val="00772835"/>
    <w:rsid w:val="00775D39"/>
    <w:rsid w:val="00781EAB"/>
    <w:rsid w:val="00782ACF"/>
    <w:rsid w:val="00782F29"/>
    <w:rsid w:val="00783907"/>
    <w:rsid w:val="00785C4B"/>
    <w:rsid w:val="00786057"/>
    <w:rsid w:val="0079140A"/>
    <w:rsid w:val="007937EF"/>
    <w:rsid w:val="00796D3F"/>
    <w:rsid w:val="007A1683"/>
    <w:rsid w:val="007A3123"/>
    <w:rsid w:val="007A36F8"/>
    <w:rsid w:val="007A5C12"/>
    <w:rsid w:val="007A7CB0"/>
    <w:rsid w:val="007B2B49"/>
    <w:rsid w:val="007B2B9D"/>
    <w:rsid w:val="007B3FA4"/>
    <w:rsid w:val="007B68A3"/>
    <w:rsid w:val="007C0147"/>
    <w:rsid w:val="007C2541"/>
    <w:rsid w:val="007C3DFD"/>
    <w:rsid w:val="007C7D4A"/>
    <w:rsid w:val="007D02FF"/>
    <w:rsid w:val="007D147C"/>
    <w:rsid w:val="007D66A8"/>
    <w:rsid w:val="007D68C7"/>
    <w:rsid w:val="007D773D"/>
    <w:rsid w:val="007E003F"/>
    <w:rsid w:val="007E07F6"/>
    <w:rsid w:val="007E20D6"/>
    <w:rsid w:val="007E4E11"/>
    <w:rsid w:val="007F1089"/>
    <w:rsid w:val="007F5DCA"/>
    <w:rsid w:val="007F7E8B"/>
    <w:rsid w:val="00802E72"/>
    <w:rsid w:val="00803AAB"/>
    <w:rsid w:val="00805F1D"/>
    <w:rsid w:val="00807E00"/>
    <w:rsid w:val="00813373"/>
    <w:rsid w:val="00813A55"/>
    <w:rsid w:val="00814193"/>
    <w:rsid w:val="008164F2"/>
    <w:rsid w:val="00820CE5"/>
    <w:rsid w:val="00821395"/>
    <w:rsid w:val="008271A0"/>
    <w:rsid w:val="00830E26"/>
    <w:rsid w:val="00833D3D"/>
    <w:rsid w:val="00843576"/>
    <w:rsid w:val="00843B64"/>
    <w:rsid w:val="00844587"/>
    <w:rsid w:val="008446DE"/>
    <w:rsid w:val="008470BD"/>
    <w:rsid w:val="008478FC"/>
    <w:rsid w:val="00850023"/>
    <w:rsid w:val="00850253"/>
    <w:rsid w:val="00851078"/>
    <w:rsid w:val="00851878"/>
    <w:rsid w:val="00854E76"/>
    <w:rsid w:val="00855751"/>
    <w:rsid w:val="00856F13"/>
    <w:rsid w:val="00861AB6"/>
    <w:rsid w:val="00864B40"/>
    <w:rsid w:val="00867BFF"/>
    <w:rsid w:val="00870152"/>
    <w:rsid w:val="00874D9B"/>
    <w:rsid w:val="00876178"/>
    <w:rsid w:val="00880EB1"/>
    <w:rsid w:val="008822B5"/>
    <w:rsid w:val="00883F56"/>
    <w:rsid w:val="0088480A"/>
    <w:rsid w:val="00887400"/>
    <w:rsid w:val="0088757A"/>
    <w:rsid w:val="00887612"/>
    <w:rsid w:val="00887FB3"/>
    <w:rsid w:val="008907DD"/>
    <w:rsid w:val="008957DD"/>
    <w:rsid w:val="008968F4"/>
    <w:rsid w:val="00897D81"/>
    <w:rsid w:val="00897D98"/>
    <w:rsid w:val="008A16FB"/>
    <w:rsid w:val="008A26B4"/>
    <w:rsid w:val="008A6DF2"/>
    <w:rsid w:val="008A7807"/>
    <w:rsid w:val="008A7FC2"/>
    <w:rsid w:val="008B0D6B"/>
    <w:rsid w:val="008B3832"/>
    <w:rsid w:val="008B4CC9"/>
    <w:rsid w:val="008B642B"/>
    <w:rsid w:val="008C13F0"/>
    <w:rsid w:val="008C1B8B"/>
    <w:rsid w:val="008C2036"/>
    <w:rsid w:val="008C559A"/>
    <w:rsid w:val="008D3AE0"/>
    <w:rsid w:val="008D7C99"/>
    <w:rsid w:val="008E0FCB"/>
    <w:rsid w:val="008E2676"/>
    <w:rsid w:val="008E361C"/>
    <w:rsid w:val="008F4E24"/>
    <w:rsid w:val="008F600A"/>
    <w:rsid w:val="00904431"/>
    <w:rsid w:val="0090572A"/>
    <w:rsid w:val="00906E7C"/>
    <w:rsid w:val="009075D7"/>
    <w:rsid w:val="00907D78"/>
    <w:rsid w:val="009115FA"/>
    <w:rsid w:val="0092178C"/>
    <w:rsid w:val="00923E7C"/>
    <w:rsid w:val="0092493F"/>
    <w:rsid w:val="00925539"/>
    <w:rsid w:val="00930B88"/>
    <w:rsid w:val="00932EBE"/>
    <w:rsid w:val="0093463F"/>
    <w:rsid w:val="009378DC"/>
    <w:rsid w:val="00940DCC"/>
    <w:rsid w:val="0094179A"/>
    <w:rsid w:val="0094459E"/>
    <w:rsid w:val="00944DBC"/>
    <w:rsid w:val="009507EE"/>
    <w:rsid w:val="0095090F"/>
    <w:rsid w:val="00950977"/>
    <w:rsid w:val="009509FC"/>
    <w:rsid w:val="00951A7B"/>
    <w:rsid w:val="009564A6"/>
    <w:rsid w:val="00961A33"/>
    <w:rsid w:val="009628B9"/>
    <w:rsid w:val="00963BC8"/>
    <w:rsid w:val="0096613D"/>
    <w:rsid w:val="00967621"/>
    <w:rsid w:val="00967E6A"/>
    <w:rsid w:val="00974B3B"/>
    <w:rsid w:val="00975BB9"/>
    <w:rsid w:val="00980797"/>
    <w:rsid w:val="00983928"/>
    <w:rsid w:val="00992D33"/>
    <w:rsid w:val="00992FC6"/>
    <w:rsid w:val="009935AC"/>
    <w:rsid w:val="00994F12"/>
    <w:rsid w:val="009A6054"/>
    <w:rsid w:val="009A7AE5"/>
    <w:rsid w:val="009B4A0F"/>
    <w:rsid w:val="009B7E1B"/>
    <w:rsid w:val="009C0EBC"/>
    <w:rsid w:val="009C0FEC"/>
    <w:rsid w:val="009C11D2"/>
    <w:rsid w:val="009C4BA4"/>
    <w:rsid w:val="009C6C70"/>
    <w:rsid w:val="009D0922"/>
    <w:rsid w:val="009D0B63"/>
    <w:rsid w:val="009D4276"/>
    <w:rsid w:val="009D5500"/>
    <w:rsid w:val="009D5EE0"/>
    <w:rsid w:val="009D632C"/>
    <w:rsid w:val="009E0F77"/>
    <w:rsid w:val="009E1A50"/>
    <w:rsid w:val="009E307E"/>
    <w:rsid w:val="009E47E3"/>
    <w:rsid w:val="009E7B55"/>
    <w:rsid w:val="009F1EB6"/>
    <w:rsid w:val="009F2F04"/>
    <w:rsid w:val="009F5352"/>
    <w:rsid w:val="00A03133"/>
    <w:rsid w:val="00A03A4A"/>
    <w:rsid w:val="00A074C0"/>
    <w:rsid w:val="00A07870"/>
    <w:rsid w:val="00A0792B"/>
    <w:rsid w:val="00A07F19"/>
    <w:rsid w:val="00A11337"/>
    <w:rsid w:val="00A1348D"/>
    <w:rsid w:val="00A142D1"/>
    <w:rsid w:val="00A1489E"/>
    <w:rsid w:val="00A1716B"/>
    <w:rsid w:val="00A175C0"/>
    <w:rsid w:val="00A232EE"/>
    <w:rsid w:val="00A328A8"/>
    <w:rsid w:val="00A33F4B"/>
    <w:rsid w:val="00A37B52"/>
    <w:rsid w:val="00A4175F"/>
    <w:rsid w:val="00A41C3A"/>
    <w:rsid w:val="00A42F82"/>
    <w:rsid w:val="00A4377C"/>
    <w:rsid w:val="00A44411"/>
    <w:rsid w:val="00A45CFE"/>
    <w:rsid w:val="00A4685E"/>
    <w:rsid w:val="00A469FA"/>
    <w:rsid w:val="00A47304"/>
    <w:rsid w:val="00A479F4"/>
    <w:rsid w:val="00A50E94"/>
    <w:rsid w:val="00A51A4F"/>
    <w:rsid w:val="00A55B01"/>
    <w:rsid w:val="00A56849"/>
    <w:rsid w:val="00A56ABF"/>
    <w:rsid w:val="00A56B5B"/>
    <w:rsid w:val="00A603FF"/>
    <w:rsid w:val="00A657DD"/>
    <w:rsid w:val="00A666A6"/>
    <w:rsid w:val="00A675FD"/>
    <w:rsid w:val="00A72437"/>
    <w:rsid w:val="00A73AB8"/>
    <w:rsid w:val="00A76F7D"/>
    <w:rsid w:val="00A80611"/>
    <w:rsid w:val="00A81DE4"/>
    <w:rsid w:val="00A8392C"/>
    <w:rsid w:val="00A839A6"/>
    <w:rsid w:val="00A84B15"/>
    <w:rsid w:val="00A853E3"/>
    <w:rsid w:val="00A86144"/>
    <w:rsid w:val="00A87016"/>
    <w:rsid w:val="00AB0F51"/>
    <w:rsid w:val="00AB1F69"/>
    <w:rsid w:val="00AB4980"/>
    <w:rsid w:val="00AB5142"/>
    <w:rsid w:val="00AB5340"/>
    <w:rsid w:val="00AC010E"/>
    <w:rsid w:val="00AC01CC"/>
    <w:rsid w:val="00AC16B8"/>
    <w:rsid w:val="00AC7C96"/>
    <w:rsid w:val="00AD2156"/>
    <w:rsid w:val="00AD224C"/>
    <w:rsid w:val="00AD4018"/>
    <w:rsid w:val="00AD575D"/>
    <w:rsid w:val="00AE1D50"/>
    <w:rsid w:val="00AE237D"/>
    <w:rsid w:val="00AE2A3D"/>
    <w:rsid w:val="00AE4536"/>
    <w:rsid w:val="00AE502A"/>
    <w:rsid w:val="00AE542F"/>
    <w:rsid w:val="00AF0DF7"/>
    <w:rsid w:val="00AF1754"/>
    <w:rsid w:val="00AF18EF"/>
    <w:rsid w:val="00AF7C07"/>
    <w:rsid w:val="00B12BE2"/>
    <w:rsid w:val="00B13726"/>
    <w:rsid w:val="00B16837"/>
    <w:rsid w:val="00B20AB2"/>
    <w:rsid w:val="00B22C93"/>
    <w:rsid w:val="00B2300E"/>
    <w:rsid w:val="00B27589"/>
    <w:rsid w:val="00B3513A"/>
    <w:rsid w:val="00B37EF9"/>
    <w:rsid w:val="00B405B7"/>
    <w:rsid w:val="00B45E6D"/>
    <w:rsid w:val="00B51C7C"/>
    <w:rsid w:val="00B52222"/>
    <w:rsid w:val="00B523A2"/>
    <w:rsid w:val="00B5343F"/>
    <w:rsid w:val="00B547D5"/>
    <w:rsid w:val="00B54FE7"/>
    <w:rsid w:val="00B575E7"/>
    <w:rsid w:val="00B57C47"/>
    <w:rsid w:val="00B57D61"/>
    <w:rsid w:val="00B63128"/>
    <w:rsid w:val="00B66901"/>
    <w:rsid w:val="00B70335"/>
    <w:rsid w:val="00B71E6D"/>
    <w:rsid w:val="00B72070"/>
    <w:rsid w:val="00B779E1"/>
    <w:rsid w:val="00B84CA0"/>
    <w:rsid w:val="00B857DD"/>
    <w:rsid w:val="00B859A3"/>
    <w:rsid w:val="00B86043"/>
    <w:rsid w:val="00B91546"/>
    <w:rsid w:val="00B91B7F"/>
    <w:rsid w:val="00B91EE1"/>
    <w:rsid w:val="00B92A4B"/>
    <w:rsid w:val="00B93B59"/>
    <w:rsid w:val="00B9536A"/>
    <w:rsid w:val="00B95DAC"/>
    <w:rsid w:val="00BA0090"/>
    <w:rsid w:val="00BA1A67"/>
    <w:rsid w:val="00BB335E"/>
    <w:rsid w:val="00BB49DE"/>
    <w:rsid w:val="00BC07FE"/>
    <w:rsid w:val="00BC1E38"/>
    <w:rsid w:val="00BC4447"/>
    <w:rsid w:val="00BD0052"/>
    <w:rsid w:val="00BD0163"/>
    <w:rsid w:val="00BD159E"/>
    <w:rsid w:val="00BD2277"/>
    <w:rsid w:val="00BD7F1C"/>
    <w:rsid w:val="00BE03F3"/>
    <w:rsid w:val="00BE0694"/>
    <w:rsid w:val="00BE5B5F"/>
    <w:rsid w:val="00BF2476"/>
    <w:rsid w:val="00BF4361"/>
    <w:rsid w:val="00BF5048"/>
    <w:rsid w:val="00BF572D"/>
    <w:rsid w:val="00C07AB7"/>
    <w:rsid w:val="00C26F55"/>
    <w:rsid w:val="00C30C63"/>
    <w:rsid w:val="00C30FDA"/>
    <w:rsid w:val="00C32B37"/>
    <w:rsid w:val="00C3539F"/>
    <w:rsid w:val="00C36B8B"/>
    <w:rsid w:val="00C45688"/>
    <w:rsid w:val="00C4613B"/>
    <w:rsid w:val="00C47581"/>
    <w:rsid w:val="00C47DBF"/>
    <w:rsid w:val="00C50006"/>
    <w:rsid w:val="00C53666"/>
    <w:rsid w:val="00C53801"/>
    <w:rsid w:val="00C54206"/>
    <w:rsid w:val="00C552FF"/>
    <w:rsid w:val="00C558DA"/>
    <w:rsid w:val="00C55AF3"/>
    <w:rsid w:val="00C60713"/>
    <w:rsid w:val="00C6122D"/>
    <w:rsid w:val="00C62884"/>
    <w:rsid w:val="00C62968"/>
    <w:rsid w:val="00C64410"/>
    <w:rsid w:val="00C64DD7"/>
    <w:rsid w:val="00C6605C"/>
    <w:rsid w:val="00C6744F"/>
    <w:rsid w:val="00C70B49"/>
    <w:rsid w:val="00C70D41"/>
    <w:rsid w:val="00C758DB"/>
    <w:rsid w:val="00C75C7C"/>
    <w:rsid w:val="00C80974"/>
    <w:rsid w:val="00C80BC9"/>
    <w:rsid w:val="00C811D9"/>
    <w:rsid w:val="00C81597"/>
    <w:rsid w:val="00C81951"/>
    <w:rsid w:val="00C819CA"/>
    <w:rsid w:val="00C8320F"/>
    <w:rsid w:val="00C83A8F"/>
    <w:rsid w:val="00C84759"/>
    <w:rsid w:val="00C86D7A"/>
    <w:rsid w:val="00C903EB"/>
    <w:rsid w:val="00C909D3"/>
    <w:rsid w:val="00C90FCD"/>
    <w:rsid w:val="00C97578"/>
    <w:rsid w:val="00CA4B4D"/>
    <w:rsid w:val="00CA5856"/>
    <w:rsid w:val="00CA6C7F"/>
    <w:rsid w:val="00CA78AF"/>
    <w:rsid w:val="00CB054C"/>
    <w:rsid w:val="00CB6F8C"/>
    <w:rsid w:val="00CC0260"/>
    <w:rsid w:val="00CC10A6"/>
    <w:rsid w:val="00CD0443"/>
    <w:rsid w:val="00CD31CF"/>
    <w:rsid w:val="00CD5EB8"/>
    <w:rsid w:val="00CD6AC7"/>
    <w:rsid w:val="00CD7044"/>
    <w:rsid w:val="00CE08B9"/>
    <w:rsid w:val="00CE0AA7"/>
    <w:rsid w:val="00CE524C"/>
    <w:rsid w:val="00CF141F"/>
    <w:rsid w:val="00CF4777"/>
    <w:rsid w:val="00CF5AF8"/>
    <w:rsid w:val="00D01BBB"/>
    <w:rsid w:val="00D030A9"/>
    <w:rsid w:val="00D067BB"/>
    <w:rsid w:val="00D070CC"/>
    <w:rsid w:val="00D103AC"/>
    <w:rsid w:val="00D1352A"/>
    <w:rsid w:val="00D13EDE"/>
    <w:rsid w:val="00D15220"/>
    <w:rsid w:val="00D169AF"/>
    <w:rsid w:val="00D227E9"/>
    <w:rsid w:val="00D25249"/>
    <w:rsid w:val="00D255A7"/>
    <w:rsid w:val="00D26038"/>
    <w:rsid w:val="00D268C0"/>
    <w:rsid w:val="00D27F40"/>
    <w:rsid w:val="00D333AE"/>
    <w:rsid w:val="00D425FA"/>
    <w:rsid w:val="00D44172"/>
    <w:rsid w:val="00D466FC"/>
    <w:rsid w:val="00D50B8F"/>
    <w:rsid w:val="00D523F2"/>
    <w:rsid w:val="00D526D8"/>
    <w:rsid w:val="00D52E82"/>
    <w:rsid w:val="00D60669"/>
    <w:rsid w:val="00D63B8C"/>
    <w:rsid w:val="00D6426B"/>
    <w:rsid w:val="00D65B0B"/>
    <w:rsid w:val="00D712FD"/>
    <w:rsid w:val="00D72CB6"/>
    <w:rsid w:val="00D739CC"/>
    <w:rsid w:val="00D8093D"/>
    <w:rsid w:val="00D8108C"/>
    <w:rsid w:val="00D8396E"/>
    <w:rsid w:val="00D83AE8"/>
    <w:rsid w:val="00D83B7B"/>
    <w:rsid w:val="00D842AE"/>
    <w:rsid w:val="00D87313"/>
    <w:rsid w:val="00D9211C"/>
    <w:rsid w:val="00D92DE0"/>
    <w:rsid w:val="00D92FEF"/>
    <w:rsid w:val="00D93A0F"/>
    <w:rsid w:val="00D948D5"/>
    <w:rsid w:val="00D96B62"/>
    <w:rsid w:val="00DA1BCA"/>
    <w:rsid w:val="00DA3FFA"/>
    <w:rsid w:val="00DA65F0"/>
    <w:rsid w:val="00DA7299"/>
    <w:rsid w:val="00DB1516"/>
    <w:rsid w:val="00DB20CC"/>
    <w:rsid w:val="00DB36B7"/>
    <w:rsid w:val="00DB3E23"/>
    <w:rsid w:val="00DB47A7"/>
    <w:rsid w:val="00DB6CC6"/>
    <w:rsid w:val="00DB7744"/>
    <w:rsid w:val="00DB7CF7"/>
    <w:rsid w:val="00DC0C12"/>
    <w:rsid w:val="00DC204C"/>
    <w:rsid w:val="00DC2793"/>
    <w:rsid w:val="00DC46FF"/>
    <w:rsid w:val="00DC5254"/>
    <w:rsid w:val="00DC65FD"/>
    <w:rsid w:val="00DC7C4D"/>
    <w:rsid w:val="00DD1A4F"/>
    <w:rsid w:val="00DD3107"/>
    <w:rsid w:val="00DD5EFF"/>
    <w:rsid w:val="00DD7C2C"/>
    <w:rsid w:val="00DE02FE"/>
    <w:rsid w:val="00DE6E55"/>
    <w:rsid w:val="00DF36B5"/>
    <w:rsid w:val="00DF5660"/>
    <w:rsid w:val="00DF7F7E"/>
    <w:rsid w:val="00E02922"/>
    <w:rsid w:val="00E0574F"/>
    <w:rsid w:val="00E06797"/>
    <w:rsid w:val="00E0746B"/>
    <w:rsid w:val="00E122BC"/>
    <w:rsid w:val="00E1265B"/>
    <w:rsid w:val="00E13B48"/>
    <w:rsid w:val="00E1404F"/>
    <w:rsid w:val="00E142BB"/>
    <w:rsid w:val="00E163F8"/>
    <w:rsid w:val="00E17E04"/>
    <w:rsid w:val="00E212EF"/>
    <w:rsid w:val="00E21C83"/>
    <w:rsid w:val="00E23C9E"/>
    <w:rsid w:val="00E24354"/>
    <w:rsid w:val="00E24ADA"/>
    <w:rsid w:val="00E256F6"/>
    <w:rsid w:val="00E267AA"/>
    <w:rsid w:val="00E32314"/>
    <w:rsid w:val="00E32F59"/>
    <w:rsid w:val="00E36E6E"/>
    <w:rsid w:val="00E37F15"/>
    <w:rsid w:val="00E409D0"/>
    <w:rsid w:val="00E440CD"/>
    <w:rsid w:val="00E46D9A"/>
    <w:rsid w:val="00E509D1"/>
    <w:rsid w:val="00E565FF"/>
    <w:rsid w:val="00E56B38"/>
    <w:rsid w:val="00E600D6"/>
    <w:rsid w:val="00E60F13"/>
    <w:rsid w:val="00E63C75"/>
    <w:rsid w:val="00E63EFC"/>
    <w:rsid w:val="00E65388"/>
    <w:rsid w:val="00E67833"/>
    <w:rsid w:val="00E74ACB"/>
    <w:rsid w:val="00E80ACB"/>
    <w:rsid w:val="00E82E16"/>
    <w:rsid w:val="00E85B7D"/>
    <w:rsid w:val="00E85E36"/>
    <w:rsid w:val="00E874BC"/>
    <w:rsid w:val="00E90B90"/>
    <w:rsid w:val="00E9121B"/>
    <w:rsid w:val="00E91CE6"/>
    <w:rsid w:val="00E94B48"/>
    <w:rsid w:val="00E96614"/>
    <w:rsid w:val="00EA063E"/>
    <w:rsid w:val="00EA0AE2"/>
    <w:rsid w:val="00EA18A0"/>
    <w:rsid w:val="00EA292F"/>
    <w:rsid w:val="00EA2E66"/>
    <w:rsid w:val="00EA39E5"/>
    <w:rsid w:val="00EA759A"/>
    <w:rsid w:val="00EB3106"/>
    <w:rsid w:val="00EC5A46"/>
    <w:rsid w:val="00EC63E2"/>
    <w:rsid w:val="00ED0087"/>
    <w:rsid w:val="00ED1BFA"/>
    <w:rsid w:val="00ED1F3E"/>
    <w:rsid w:val="00ED3A5D"/>
    <w:rsid w:val="00ED798A"/>
    <w:rsid w:val="00EE085B"/>
    <w:rsid w:val="00EE1BA8"/>
    <w:rsid w:val="00EE1E98"/>
    <w:rsid w:val="00EE33DB"/>
    <w:rsid w:val="00EE397B"/>
    <w:rsid w:val="00EE42FE"/>
    <w:rsid w:val="00EE4483"/>
    <w:rsid w:val="00EE48F5"/>
    <w:rsid w:val="00EE5261"/>
    <w:rsid w:val="00EF165E"/>
    <w:rsid w:val="00EF22B3"/>
    <w:rsid w:val="00EF3E79"/>
    <w:rsid w:val="00EF469A"/>
    <w:rsid w:val="00EF4F93"/>
    <w:rsid w:val="00EF7D62"/>
    <w:rsid w:val="00F00C18"/>
    <w:rsid w:val="00F00C30"/>
    <w:rsid w:val="00F03B69"/>
    <w:rsid w:val="00F07A50"/>
    <w:rsid w:val="00F113DA"/>
    <w:rsid w:val="00F1389E"/>
    <w:rsid w:val="00F1612A"/>
    <w:rsid w:val="00F173F0"/>
    <w:rsid w:val="00F223F4"/>
    <w:rsid w:val="00F23184"/>
    <w:rsid w:val="00F241BA"/>
    <w:rsid w:val="00F25F15"/>
    <w:rsid w:val="00F27F26"/>
    <w:rsid w:val="00F319FC"/>
    <w:rsid w:val="00F32464"/>
    <w:rsid w:val="00F342E4"/>
    <w:rsid w:val="00F3476E"/>
    <w:rsid w:val="00F357F6"/>
    <w:rsid w:val="00F37DC8"/>
    <w:rsid w:val="00F42D97"/>
    <w:rsid w:val="00F439B3"/>
    <w:rsid w:val="00F44E2B"/>
    <w:rsid w:val="00F45AA8"/>
    <w:rsid w:val="00F46B0F"/>
    <w:rsid w:val="00F47359"/>
    <w:rsid w:val="00F502DD"/>
    <w:rsid w:val="00F511D5"/>
    <w:rsid w:val="00F52A1B"/>
    <w:rsid w:val="00F57B4E"/>
    <w:rsid w:val="00F638FC"/>
    <w:rsid w:val="00F650C3"/>
    <w:rsid w:val="00F6567C"/>
    <w:rsid w:val="00F65D85"/>
    <w:rsid w:val="00F71364"/>
    <w:rsid w:val="00F7203C"/>
    <w:rsid w:val="00F75453"/>
    <w:rsid w:val="00F77724"/>
    <w:rsid w:val="00F77884"/>
    <w:rsid w:val="00F8091E"/>
    <w:rsid w:val="00F81C38"/>
    <w:rsid w:val="00F8615C"/>
    <w:rsid w:val="00F90B1F"/>
    <w:rsid w:val="00F935EF"/>
    <w:rsid w:val="00F969E5"/>
    <w:rsid w:val="00F97AEE"/>
    <w:rsid w:val="00F97B36"/>
    <w:rsid w:val="00F97E54"/>
    <w:rsid w:val="00FA04BE"/>
    <w:rsid w:val="00FA1C95"/>
    <w:rsid w:val="00FA554D"/>
    <w:rsid w:val="00FA6BB0"/>
    <w:rsid w:val="00FA6C49"/>
    <w:rsid w:val="00FB1DFB"/>
    <w:rsid w:val="00FB70DB"/>
    <w:rsid w:val="00FB76E7"/>
    <w:rsid w:val="00FC1D30"/>
    <w:rsid w:val="00FC2B55"/>
    <w:rsid w:val="00FD18A9"/>
    <w:rsid w:val="00FD2D77"/>
    <w:rsid w:val="00FD4E71"/>
    <w:rsid w:val="00FD57C5"/>
    <w:rsid w:val="00FD5860"/>
    <w:rsid w:val="00FD62C1"/>
    <w:rsid w:val="00FE0517"/>
    <w:rsid w:val="00FE352D"/>
    <w:rsid w:val="00FE40EB"/>
    <w:rsid w:val="00FE4D02"/>
    <w:rsid w:val="00FE51C9"/>
    <w:rsid w:val="00FE5659"/>
    <w:rsid w:val="00FE7B2F"/>
    <w:rsid w:val="00FE7D62"/>
    <w:rsid w:val="00FF3819"/>
    <w:rsid w:val="00FF599D"/>
    <w:rsid w:val="0958A5FA"/>
    <w:rsid w:val="0ABEC0B0"/>
    <w:rsid w:val="0B2E31D6"/>
    <w:rsid w:val="0B7701F1"/>
    <w:rsid w:val="285F58E9"/>
    <w:rsid w:val="2DF3737E"/>
    <w:rsid w:val="39BB5799"/>
    <w:rsid w:val="3EE7A241"/>
    <w:rsid w:val="44EB08B3"/>
    <w:rsid w:val="46314655"/>
    <w:rsid w:val="4B610184"/>
    <w:rsid w:val="61859A02"/>
    <w:rsid w:val="702D80EF"/>
    <w:rsid w:val="78D46694"/>
    <w:rsid w:val="7B1A3D56"/>
    <w:rsid w:val="7BB4EC5A"/>
    <w:rsid w:val="7C8936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4211"/>
  <w15:chartTrackingRefBased/>
  <w15:docId w15:val="{0B3C3F30-0CA5-4E8D-BFF5-DF1FB81C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167C2D"/>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156E2C"/>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156E2C"/>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156E2C"/>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156E2C"/>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156E2C"/>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56E2C"/>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56E2C"/>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56E2C"/>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56E2C"/>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6E2C"/>
    <w:rPr>
      <w:rFonts w:ascii="Times New Roman" w:hAnsi="Times New Roman"/>
      <w:b/>
      <w:sz w:val="18"/>
      <w:lang w:val="en-GB"/>
    </w:rPr>
  </w:style>
  <w:style w:type="table" w:customStyle="1" w:styleId="Tabledocright">
    <w:name w:val="Table_doc_right"/>
    <w:basedOn w:val="TableNormal"/>
    <w:rsid w:val="00156E2C"/>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6E2C"/>
    <w:pPr>
      <w:ind w:left="1000"/>
    </w:pPr>
    <w:rPr>
      <w:sz w:val="18"/>
      <w:szCs w:val="18"/>
    </w:rPr>
  </w:style>
  <w:style w:type="paragraph" w:styleId="TOC7">
    <w:name w:val="toc 7"/>
    <w:basedOn w:val="Normal"/>
    <w:next w:val="Normal"/>
    <w:autoRedefine/>
    <w:semiHidden/>
    <w:rsid w:val="00156E2C"/>
    <w:pPr>
      <w:ind w:left="1200"/>
    </w:pPr>
    <w:rPr>
      <w:sz w:val="18"/>
      <w:szCs w:val="18"/>
    </w:rPr>
  </w:style>
  <w:style w:type="paragraph" w:styleId="TOC8">
    <w:name w:val="toc 8"/>
    <w:basedOn w:val="Normal"/>
    <w:next w:val="Normal"/>
    <w:autoRedefine/>
    <w:semiHidden/>
    <w:rsid w:val="00156E2C"/>
    <w:pPr>
      <w:ind w:left="1400"/>
    </w:pPr>
    <w:rPr>
      <w:sz w:val="18"/>
      <w:szCs w:val="18"/>
    </w:rPr>
  </w:style>
  <w:style w:type="paragraph" w:styleId="TOC9">
    <w:name w:val="toc 9"/>
    <w:basedOn w:val="Normal"/>
    <w:next w:val="Normal"/>
    <w:autoRedefine/>
    <w:semiHidden/>
    <w:rsid w:val="00156E2C"/>
    <w:pPr>
      <w:ind w:left="1600"/>
    </w:pPr>
    <w:rPr>
      <w:sz w:val="18"/>
      <w:szCs w:val="18"/>
    </w:rPr>
  </w:style>
  <w:style w:type="paragraph" w:customStyle="1" w:styleId="Titlefigure">
    <w:name w:val="Title_figure"/>
    <w:basedOn w:val="Titletable"/>
    <w:next w:val="NormalNonumber"/>
    <w:rsid w:val="00156E2C"/>
    <w:pPr>
      <w:tabs>
        <w:tab w:val="clear" w:pos="4990"/>
      </w:tabs>
    </w:pPr>
    <w:rPr>
      <w:bCs w:val="0"/>
    </w:rPr>
  </w:style>
  <w:style w:type="paragraph" w:styleId="TableofFigures">
    <w:name w:val="table of figures"/>
    <w:basedOn w:val="Normal"/>
    <w:next w:val="Normal"/>
    <w:autoRedefine/>
    <w:semiHidden/>
    <w:rsid w:val="00156E2C"/>
    <w:pPr>
      <w:ind w:left="1814" w:hanging="567"/>
    </w:pPr>
  </w:style>
  <w:style w:type="paragraph" w:customStyle="1" w:styleId="CH1">
    <w:name w:val="CH1"/>
    <w:basedOn w:val="Normal-pool"/>
    <w:next w:val="CH2"/>
    <w:link w:val="CH1Char"/>
    <w:qFormat/>
    <w:rsid w:val="00156E2C"/>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6E2C"/>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56E2C"/>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56E2C"/>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56E2C"/>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56E2C"/>
    <w:pPr>
      <w:tabs>
        <w:tab w:val="left" w:pos="4321"/>
        <w:tab w:val="right" w:pos="8641"/>
      </w:tabs>
      <w:spacing w:before="60"/>
    </w:pPr>
    <w:rPr>
      <w:b/>
      <w:sz w:val="18"/>
    </w:rPr>
  </w:style>
  <w:style w:type="paragraph" w:customStyle="1" w:styleId="Footer-pool">
    <w:name w:val="Footer-pool"/>
    <w:basedOn w:val="Normal-pool"/>
    <w:next w:val="Normal-pool"/>
    <w:rsid w:val="00156E2C"/>
    <w:pPr>
      <w:tabs>
        <w:tab w:val="right" w:pos="8641"/>
      </w:tabs>
      <w:spacing w:after="120"/>
    </w:pPr>
    <w:rPr>
      <w:b/>
      <w:sz w:val="18"/>
    </w:rPr>
  </w:style>
  <w:style w:type="paragraph" w:customStyle="1" w:styleId="Header-pool">
    <w:name w:val="Header-pool"/>
    <w:basedOn w:val="Normal"/>
    <w:next w:val="Normal"/>
    <w:rsid w:val="00156E2C"/>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156E2C"/>
    <w:rPr>
      <w:rFonts w:ascii="Times New Roman" w:hAnsi="Times New Roman"/>
      <w:color w:val="auto"/>
      <w:sz w:val="20"/>
      <w:szCs w:val="18"/>
      <w:vertAlign w:val="superscript"/>
      <w:lang w:val="en-GB"/>
    </w:rPr>
  </w:style>
  <w:style w:type="table" w:customStyle="1" w:styleId="AATable">
    <w:name w:val="AA_Table"/>
    <w:basedOn w:val="TableNormal"/>
    <w:semiHidden/>
    <w:rsid w:val="00156E2C"/>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56E2C"/>
    <w:pPr>
      <w:keepNext/>
      <w:keepLines/>
      <w:suppressAutoHyphens/>
    </w:pPr>
    <w:rPr>
      <w:b/>
    </w:rPr>
  </w:style>
  <w:style w:type="paragraph" w:customStyle="1" w:styleId="AATitle2">
    <w:name w:val="AA_Title2"/>
    <w:basedOn w:val="AATitle"/>
    <w:rsid w:val="00156E2C"/>
    <w:pPr>
      <w:keepNext w:val="0"/>
      <w:keepLines w:val="0"/>
      <w:tabs>
        <w:tab w:val="clear" w:pos="4990"/>
      </w:tabs>
      <w:spacing w:before="120" w:after="120"/>
    </w:pPr>
  </w:style>
  <w:style w:type="paragraph" w:customStyle="1" w:styleId="BBTitle">
    <w:name w:val="BB_Title"/>
    <w:basedOn w:val="Normal-pool"/>
    <w:link w:val="BBTitleChar"/>
    <w:qFormat/>
    <w:rsid w:val="00156E2C"/>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56E2C"/>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156E2C"/>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156E2C"/>
    <w:rPr>
      <w:color w:val="0000FF"/>
      <w:u w:val="none"/>
      <w:lang w:val="en-GB"/>
    </w:rPr>
  </w:style>
  <w:style w:type="numbering" w:customStyle="1" w:styleId="Normallist">
    <w:name w:val="Normal_list"/>
    <w:basedOn w:val="NoList"/>
    <w:rsid w:val="00156E2C"/>
    <w:pPr>
      <w:numPr>
        <w:numId w:val="1"/>
      </w:numPr>
    </w:pPr>
  </w:style>
  <w:style w:type="paragraph" w:customStyle="1" w:styleId="NormalNonumber">
    <w:name w:val="Normal_No_number"/>
    <w:basedOn w:val="Normal-pool"/>
    <w:qFormat/>
    <w:rsid w:val="00156E2C"/>
    <w:pPr>
      <w:spacing w:after="120"/>
      <w:ind w:left="1247"/>
    </w:pPr>
  </w:style>
  <w:style w:type="paragraph" w:customStyle="1" w:styleId="Normalnumber">
    <w:name w:val="Normal_number"/>
    <w:basedOn w:val="Normal"/>
    <w:link w:val="NormalnumberChar"/>
    <w:qFormat/>
    <w:rsid w:val="00156E2C"/>
    <w:pPr>
      <w:numPr>
        <w:numId w:val="1"/>
      </w:numPr>
      <w:spacing w:after="120"/>
    </w:pPr>
  </w:style>
  <w:style w:type="paragraph" w:customStyle="1" w:styleId="Titletable">
    <w:name w:val="Title_table"/>
    <w:basedOn w:val="Normal-pool"/>
    <w:next w:val="NormalNonumber"/>
    <w:rsid w:val="00156E2C"/>
    <w:pPr>
      <w:keepNext/>
      <w:keepLines/>
      <w:suppressAutoHyphens/>
      <w:spacing w:after="60"/>
      <w:ind w:left="1247"/>
    </w:pPr>
    <w:rPr>
      <w:b/>
      <w:bCs/>
    </w:rPr>
  </w:style>
  <w:style w:type="paragraph" w:styleId="TOC1">
    <w:name w:val="toc 1"/>
    <w:basedOn w:val="Normal"/>
    <w:next w:val="Normal"/>
    <w:autoRedefine/>
    <w:uiPriority w:val="39"/>
    <w:unhideWhenUsed/>
    <w:rsid w:val="00156E2C"/>
    <w:pPr>
      <w:tabs>
        <w:tab w:val="right" w:leader="dot" w:pos="9486"/>
      </w:tabs>
      <w:spacing w:before="240"/>
      <w:ind w:left="1984" w:hanging="737"/>
    </w:pPr>
    <w:rPr>
      <w:bCs/>
    </w:rPr>
  </w:style>
  <w:style w:type="paragraph" w:styleId="TOC2">
    <w:name w:val="toc 2"/>
    <w:basedOn w:val="Normal"/>
    <w:next w:val="Normal"/>
    <w:uiPriority w:val="39"/>
    <w:unhideWhenUsed/>
    <w:rsid w:val="00156E2C"/>
    <w:pPr>
      <w:tabs>
        <w:tab w:val="right" w:leader="dot" w:pos="9486"/>
      </w:tabs>
      <w:spacing w:before="60"/>
      <w:ind w:left="2608" w:hanging="737"/>
    </w:pPr>
  </w:style>
  <w:style w:type="paragraph" w:styleId="TOC3">
    <w:name w:val="toc 3"/>
    <w:basedOn w:val="Normal"/>
    <w:next w:val="Normal"/>
    <w:uiPriority w:val="39"/>
    <w:unhideWhenUsed/>
    <w:rsid w:val="00156E2C"/>
    <w:pPr>
      <w:tabs>
        <w:tab w:val="right" w:leader="dot" w:pos="9486"/>
      </w:tabs>
      <w:ind w:left="3232" w:hanging="737"/>
    </w:pPr>
    <w:rPr>
      <w:iCs/>
    </w:rPr>
  </w:style>
  <w:style w:type="paragraph" w:styleId="TOC4">
    <w:name w:val="toc 4"/>
    <w:basedOn w:val="Normal"/>
    <w:next w:val="Normal"/>
    <w:uiPriority w:val="39"/>
    <w:unhideWhenUsed/>
    <w:rsid w:val="00156E2C"/>
    <w:pPr>
      <w:tabs>
        <w:tab w:val="left" w:pos="1000"/>
        <w:tab w:val="right" w:leader="dot" w:pos="9486"/>
      </w:tabs>
      <w:ind w:left="3856" w:hanging="737"/>
    </w:pPr>
    <w:rPr>
      <w:szCs w:val="18"/>
    </w:rPr>
  </w:style>
  <w:style w:type="paragraph" w:styleId="TOC5">
    <w:name w:val="toc 5"/>
    <w:basedOn w:val="Normal"/>
    <w:next w:val="Normal"/>
    <w:uiPriority w:val="39"/>
    <w:rsid w:val="00156E2C"/>
    <w:pPr>
      <w:tabs>
        <w:tab w:val="right" w:leader="dot" w:pos="9486"/>
      </w:tabs>
      <w:ind w:left="4479" w:hanging="737"/>
    </w:pPr>
    <w:rPr>
      <w:sz w:val="18"/>
      <w:szCs w:val="18"/>
    </w:rPr>
  </w:style>
  <w:style w:type="paragraph" w:customStyle="1" w:styleId="ZZAnxheader">
    <w:name w:val="ZZ_Anx_header"/>
    <w:basedOn w:val="Normal-pool"/>
    <w:rsid w:val="00156E2C"/>
    <w:rPr>
      <w:b/>
      <w:bCs/>
      <w:sz w:val="28"/>
      <w:szCs w:val="22"/>
    </w:rPr>
  </w:style>
  <w:style w:type="paragraph" w:customStyle="1" w:styleId="ZZAnxtitle">
    <w:name w:val="ZZ_Anx_title"/>
    <w:basedOn w:val="Normal-pool"/>
    <w:rsid w:val="00156E2C"/>
    <w:pPr>
      <w:spacing w:before="360" w:after="120"/>
      <w:ind w:left="1247"/>
    </w:pPr>
    <w:rPr>
      <w:b/>
      <w:bCs/>
      <w:sz w:val="28"/>
      <w:szCs w:val="26"/>
    </w:rPr>
  </w:style>
  <w:style w:type="paragraph" w:styleId="NormalWeb">
    <w:name w:val="Normal (Web)"/>
    <w:basedOn w:val="Normal"/>
    <w:uiPriority w:val="99"/>
    <w:semiHidden/>
    <w:unhideWhenUsed/>
    <w:rsid w:val="00156E2C"/>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56E2C"/>
    <w:pPr>
      <w:spacing w:before="40" w:after="40"/>
    </w:pPr>
    <w:rPr>
      <w:sz w:val="18"/>
    </w:rPr>
  </w:style>
  <w:style w:type="paragraph" w:customStyle="1" w:styleId="Footnote-Text">
    <w:name w:val="Footnote-Text"/>
    <w:basedOn w:val="Normal-pool"/>
    <w:rsid w:val="00156E2C"/>
    <w:pPr>
      <w:spacing w:before="20" w:after="40"/>
      <w:ind w:left="1247"/>
    </w:pPr>
    <w:rPr>
      <w:sz w:val="18"/>
    </w:rPr>
  </w:style>
  <w:style w:type="paragraph" w:customStyle="1" w:styleId="AConvName">
    <w:name w:val="A_ConvName"/>
    <w:basedOn w:val="Normal-pool"/>
    <w:next w:val="Normal-pool"/>
    <w:rsid w:val="00156E2C"/>
    <w:pPr>
      <w:spacing w:before="120" w:after="240"/>
    </w:pPr>
    <w:rPr>
      <w:rFonts w:ascii="Arial" w:hAnsi="Arial"/>
      <w:b/>
      <w:sz w:val="28"/>
    </w:rPr>
  </w:style>
  <w:style w:type="paragraph" w:customStyle="1" w:styleId="ASymbol">
    <w:name w:val="A_Symbol"/>
    <w:basedOn w:val="Normal-pool"/>
    <w:rsid w:val="00156E2C"/>
    <w:pPr>
      <w:tabs>
        <w:tab w:val="clear" w:pos="624"/>
        <w:tab w:val="clear" w:pos="1247"/>
        <w:tab w:val="right" w:pos="2920"/>
      </w:tabs>
    </w:pPr>
    <w:rPr>
      <w:rFonts w:eastAsia="SimSun"/>
    </w:rPr>
  </w:style>
  <w:style w:type="paragraph" w:customStyle="1" w:styleId="AText">
    <w:name w:val="A_Text"/>
    <w:basedOn w:val="Normal-pool"/>
    <w:rsid w:val="00156E2C"/>
    <w:pPr>
      <w:spacing w:before="120"/>
    </w:pPr>
  </w:style>
  <w:style w:type="paragraph" w:customStyle="1" w:styleId="ATwoLetters">
    <w:name w:val="A_TwoLetters"/>
    <w:basedOn w:val="Normal-pool"/>
    <w:next w:val="Normal-pool"/>
    <w:rsid w:val="00156E2C"/>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156E2C"/>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156E2C"/>
    <w:rPr>
      <w:rFonts w:ascii="Tahoma" w:hAnsi="Tahoma" w:cs="Tahoma"/>
      <w:sz w:val="16"/>
      <w:szCs w:val="16"/>
    </w:rPr>
  </w:style>
  <w:style w:type="character" w:customStyle="1" w:styleId="BalloonTextChar">
    <w:name w:val="Balloon Text Char"/>
    <w:basedOn w:val="DefaultParagraphFont"/>
    <w:link w:val="BalloonText"/>
    <w:rsid w:val="00156E2C"/>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56E2C"/>
    <w:rPr>
      <w:sz w:val="16"/>
      <w:szCs w:val="16"/>
      <w:lang w:val="en-GB"/>
    </w:rPr>
  </w:style>
  <w:style w:type="paragraph" w:styleId="CommentText">
    <w:name w:val="annotation text"/>
    <w:basedOn w:val="Normal"/>
    <w:link w:val="CommentTextChar"/>
    <w:unhideWhenUsed/>
    <w:rsid w:val="00156E2C"/>
  </w:style>
  <w:style w:type="character" w:customStyle="1" w:styleId="CommentTextChar">
    <w:name w:val="Comment Text Char"/>
    <w:basedOn w:val="DefaultParagraphFont"/>
    <w:link w:val="CommentText"/>
    <w:rsid w:val="00156E2C"/>
    <w:rPr>
      <w:rFonts w:eastAsia="Times New Roman"/>
      <w:lang w:val="en-GB" w:eastAsia="en-US"/>
    </w:rPr>
  </w:style>
  <w:style w:type="paragraph" w:styleId="CommentSubject">
    <w:name w:val="annotation subject"/>
    <w:basedOn w:val="CommentText"/>
    <w:next w:val="CommentText"/>
    <w:link w:val="CommentSubjectChar"/>
    <w:semiHidden/>
    <w:unhideWhenUsed/>
    <w:rsid w:val="00156E2C"/>
    <w:rPr>
      <w:b/>
      <w:bCs/>
    </w:rPr>
  </w:style>
  <w:style w:type="character" w:customStyle="1" w:styleId="CommentSubjectChar">
    <w:name w:val="Comment Subject Char"/>
    <w:basedOn w:val="CommentTextChar"/>
    <w:link w:val="CommentSubject"/>
    <w:semiHidden/>
    <w:rsid w:val="00156E2C"/>
    <w:rPr>
      <w:rFonts w:eastAsia="Times New Roman"/>
      <w:b/>
      <w:bCs/>
      <w:lang w:val="en-GB" w:eastAsia="en-US"/>
    </w:rPr>
  </w:style>
  <w:style w:type="character" w:styleId="FollowedHyperlink">
    <w:name w:val="FollowedHyperlink"/>
    <w:uiPriority w:val="99"/>
    <w:semiHidden/>
    <w:rsid w:val="00156E2C"/>
    <w:rPr>
      <w:color w:val="0000FF"/>
      <w:u w:val="none"/>
      <w:lang w:val="en-GB"/>
    </w:rPr>
  </w:style>
  <w:style w:type="character" w:customStyle="1" w:styleId="FooterChar">
    <w:name w:val="Footer Char"/>
    <w:basedOn w:val="DefaultParagraphFont"/>
    <w:link w:val="CH4"/>
    <w:rsid w:val="00156E2C"/>
    <w:rPr>
      <w:rFonts w:eastAsia="Times New Roman"/>
      <w:b/>
      <w:lang w:val="en-GB" w:eastAsia="en-US"/>
    </w:rPr>
  </w:style>
  <w:style w:type="character" w:customStyle="1" w:styleId="HeaderChar">
    <w:name w:val="Header Char"/>
    <w:basedOn w:val="DefaultParagraphFont"/>
    <w:link w:val="Header"/>
    <w:semiHidden/>
    <w:rsid w:val="00156E2C"/>
    <w:rPr>
      <w:rFonts w:eastAsia="Times New Roman"/>
      <w:b/>
      <w:sz w:val="18"/>
      <w:lang w:val="en-GB" w:eastAsia="en-US"/>
    </w:rPr>
  </w:style>
  <w:style w:type="character" w:customStyle="1" w:styleId="Heading1Char">
    <w:name w:val="Heading 1 Char"/>
    <w:basedOn w:val="DefaultParagraphFont"/>
    <w:link w:val="Heading1"/>
    <w:rsid w:val="00156E2C"/>
    <w:rPr>
      <w:rFonts w:eastAsia="Times New Roman"/>
      <w:b/>
      <w:sz w:val="28"/>
      <w:szCs w:val="28"/>
      <w:lang w:val="en-GB" w:eastAsia="en-US"/>
    </w:rPr>
  </w:style>
  <w:style w:type="character" w:customStyle="1" w:styleId="Heading2Char">
    <w:name w:val="Heading 2 Char"/>
    <w:basedOn w:val="DefaultParagraphFont"/>
    <w:link w:val="Heading2"/>
    <w:rsid w:val="00156E2C"/>
    <w:rPr>
      <w:rFonts w:eastAsia="Times New Roman"/>
      <w:b/>
      <w:sz w:val="24"/>
      <w:szCs w:val="24"/>
      <w:lang w:val="en-GB" w:eastAsia="en-US"/>
    </w:rPr>
  </w:style>
  <w:style w:type="character" w:customStyle="1" w:styleId="Heading3Char">
    <w:name w:val="Heading 3 Char"/>
    <w:basedOn w:val="DefaultParagraphFont"/>
    <w:link w:val="Heading3"/>
    <w:rsid w:val="00156E2C"/>
    <w:rPr>
      <w:rFonts w:eastAsia="Times New Roman"/>
      <w:b/>
      <w:lang w:val="en-GB" w:eastAsia="en-US"/>
    </w:rPr>
  </w:style>
  <w:style w:type="character" w:customStyle="1" w:styleId="Heading4Char">
    <w:name w:val="Heading 4 Char"/>
    <w:basedOn w:val="DefaultParagraphFont"/>
    <w:link w:val="Heading4"/>
    <w:rsid w:val="00156E2C"/>
    <w:rPr>
      <w:rFonts w:eastAsia="Times New Roman"/>
      <w:b/>
      <w:lang w:val="en-GB" w:eastAsia="en-US"/>
    </w:rPr>
  </w:style>
  <w:style w:type="character" w:customStyle="1" w:styleId="Heading5Char">
    <w:name w:val="Heading 5 Char"/>
    <w:basedOn w:val="DefaultParagraphFont"/>
    <w:link w:val="Heading5"/>
    <w:rsid w:val="00156E2C"/>
    <w:rPr>
      <w:rFonts w:eastAsia="Times New Roman"/>
      <w:b/>
      <w:lang w:val="en-GB" w:eastAsia="en-US"/>
    </w:rPr>
  </w:style>
  <w:style w:type="character" w:customStyle="1" w:styleId="Heading6Char">
    <w:name w:val="Heading 6 Char"/>
    <w:basedOn w:val="DefaultParagraphFont"/>
    <w:link w:val="Heading6"/>
    <w:semiHidden/>
    <w:rsid w:val="00156E2C"/>
    <w:rPr>
      <w:rFonts w:eastAsia="Times New Roman"/>
      <w:bCs/>
      <w:sz w:val="24"/>
      <w:lang w:val="en-GB" w:eastAsia="en-US"/>
    </w:rPr>
  </w:style>
  <w:style w:type="character" w:customStyle="1" w:styleId="Heading7Char">
    <w:name w:val="Heading 7 Char"/>
    <w:basedOn w:val="DefaultParagraphFont"/>
    <w:link w:val="Heading7"/>
    <w:semiHidden/>
    <w:rsid w:val="00156E2C"/>
    <w:rPr>
      <w:rFonts w:eastAsia="Times New Roman"/>
      <w:b/>
      <w:snapToGrid w:val="0"/>
      <w:u w:val="single"/>
      <w:lang w:val="en-GB" w:eastAsia="en-US"/>
    </w:rPr>
  </w:style>
  <w:style w:type="character" w:customStyle="1" w:styleId="Heading8Char">
    <w:name w:val="Heading 8 Char"/>
    <w:basedOn w:val="DefaultParagraphFont"/>
    <w:link w:val="Heading8"/>
    <w:semiHidden/>
    <w:rsid w:val="00156E2C"/>
    <w:rPr>
      <w:rFonts w:eastAsia="Times New Roman"/>
      <w:b/>
      <w:snapToGrid w:val="0"/>
      <w:u w:val="single"/>
      <w:lang w:val="en-GB" w:eastAsia="en-US"/>
    </w:rPr>
  </w:style>
  <w:style w:type="character" w:customStyle="1" w:styleId="Heading9Char">
    <w:name w:val="Heading 9 Char"/>
    <w:basedOn w:val="DefaultParagraphFont"/>
    <w:link w:val="Heading9"/>
    <w:semiHidden/>
    <w:rsid w:val="00156E2C"/>
    <w:rPr>
      <w:rFonts w:eastAsia="Times New Roman"/>
      <w:snapToGrid w:val="0"/>
      <w:u w:val="single"/>
      <w:lang w:val="en-GB" w:eastAsia="en-US"/>
    </w:rPr>
  </w:style>
  <w:style w:type="paragraph" w:styleId="ListParagraph">
    <w:name w:val="List Paragraph"/>
    <w:basedOn w:val="Normal"/>
    <w:uiPriority w:val="34"/>
    <w:semiHidden/>
    <w:qFormat/>
    <w:rsid w:val="00156E2C"/>
    <w:pPr>
      <w:ind w:left="720"/>
      <w:contextualSpacing/>
    </w:pPr>
  </w:style>
  <w:style w:type="paragraph" w:styleId="NoSpacing">
    <w:name w:val="No Spacing"/>
    <w:uiPriority w:val="1"/>
    <w:semiHidden/>
    <w:qFormat/>
    <w:rsid w:val="00156E2C"/>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156E2C"/>
    <w:rPr>
      <w:rFonts w:eastAsia="Times New Roman"/>
      <w:lang w:val="en-GB" w:eastAsia="en-US"/>
    </w:rPr>
  </w:style>
  <w:style w:type="character" w:styleId="PlaceholderText">
    <w:name w:val="Placeholder Text"/>
    <w:basedOn w:val="DefaultParagraphFont"/>
    <w:uiPriority w:val="99"/>
    <w:semiHidden/>
    <w:rsid w:val="00156E2C"/>
    <w:rPr>
      <w:color w:val="808080"/>
      <w:lang w:val="en-GB"/>
    </w:rPr>
  </w:style>
  <w:style w:type="table" w:styleId="TableGrid">
    <w:name w:val="Table Grid"/>
    <w:basedOn w:val="TableNormal"/>
    <w:rsid w:val="00156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156E2C"/>
    <w:pPr>
      <w:spacing w:before="120" w:after="240"/>
    </w:pPr>
  </w:style>
  <w:style w:type="character" w:customStyle="1" w:styleId="ALogoChar">
    <w:name w:val="A_Logo Char"/>
    <w:basedOn w:val="DefaultParagraphFont"/>
    <w:link w:val="ALogo"/>
    <w:rsid w:val="00156E2C"/>
    <w:rPr>
      <w:rFonts w:eastAsia="Times New Roman"/>
      <w:lang w:val="en-GB" w:eastAsia="en-US"/>
    </w:rPr>
  </w:style>
  <w:style w:type="paragraph" w:customStyle="1" w:styleId="ASpacer">
    <w:name w:val="A_Spacer"/>
    <w:basedOn w:val="Normal-pool"/>
    <w:link w:val="ASpacerChar"/>
    <w:rsid w:val="00156E2C"/>
    <w:rPr>
      <w:sz w:val="2"/>
    </w:rPr>
  </w:style>
  <w:style w:type="character" w:customStyle="1" w:styleId="ASpacerChar">
    <w:name w:val="A_Spacer Char"/>
    <w:basedOn w:val="DefaultParagraphFont"/>
    <w:link w:val="ASpacer"/>
    <w:rsid w:val="00156E2C"/>
    <w:rPr>
      <w:rFonts w:eastAsia="Times New Roman"/>
      <w:sz w:val="2"/>
      <w:lang w:val="en-GB" w:eastAsia="en-US"/>
    </w:rPr>
  </w:style>
  <w:style w:type="paragraph" w:customStyle="1" w:styleId="AATitle1">
    <w:name w:val="AA_Title1"/>
    <w:basedOn w:val="Normal-pool"/>
    <w:rsid w:val="00156E2C"/>
  </w:style>
  <w:style w:type="character" w:styleId="UnresolvedMention">
    <w:name w:val="Unresolved Mention"/>
    <w:basedOn w:val="DefaultParagraphFont"/>
    <w:uiPriority w:val="99"/>
    <w:semiHidden/>
    <w:rsid w:val="00156E2C"/>
    <w:rPr>
      <w:color w:val="605E5C"/>
      <w:shd w:val="clear" w:color="auto" w:fill="E1DFDD"/>
      <w:lang w:val="en-GB"/>
    </w:rPr>
  </w:style>
  <w:style w:type="paragraph" w:customStyle="1" w:styleId="ANormal">
    <w:name w:val="A_Normal"/>
    <w:basedOn w:val="Normal-pool"/>
    <w:rsid w:val="00156E2C"/>
  </w:style>
  <w:style w:type="paragraph" w:customStyle="1" w:styleId="AText0">
    <w:name w:val="A_Text0"/>
    <w:basedOn w:val="AText"/>
    <w:next w:val="AText"/>
    <w:rsid w:val="00156E2C"/>
    <w:pPr>
      <w:tabs>
        <w:tab w:val="clear" w:pos="4990"/>
      </w:tabs>
      <w:spacing w:before="0" w:after="120"/>
    </w:pPr>
  </w:style>
  <w:style w:type="paragraph" w:styleId="Footer">
    <w:name w:val="footer"/>
    <w:basedOn w:val="Normal"/>
    <w:link w:val="FooterChar1"/>
    <w:unhideWhenUsed/>
    <w:rsid w:val="00156E2C"/>
    <w:pPr>
      <w:tabs>
        <w:tab w:val="clear" w:pos="1247"/>
        <w:tab w:val="right" w:pos="8641"/>
      </w:tabs>
    </w:pPr>
    <w:rPr>
      <w:b/>
      <w:sz w:val="18"/>
    </w:rPr>
  </w:style>
  <w:style w:type="character" w:customStyle="1" w:styleId="FooterChar1">
    <w:name w:val="Footer Char1"/>
    <w:basedOn w:val="DefaultParagraphFont"/>
    <w:link w:val="Footer"/>
    <w:rsid w:val="00156E2C"/>
    <w:rPr>
      <w:rFonts w:eastAsia="Times New Roman"/>
      <w:b/>
      <w:sz w:val="18"/>
      <w:lang w:val="en-GB" w:eastAsia="en-US"/>
    </w:rPr>
  </w:style>
  <w:style w:type="paragraph" w:customStyle="1" w:styleId="Normal-pool">
    <w:name w:val="Normal-pool"/>
    <w:qFormat/>
    <w:rsid w:val="00156E2C"/>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156E2C"/>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56E2C"/>
    <w:pPr>
      <w:spacing w:before="60"/>
      <w:ind w:left="624"/>
    </w:pPr>
    <w:rPr>
      <w:rFonts w:eastAsiaTheme="minorEastAsia"/>
      <w:sz w:val="18"/>
    </w:rPr>
  </w:style>
  <w:style w:type="paragraph" w:styleId="Bibliography">
    <w:name w:val="Bibliography"/>
    <w:basedOn w:val="Normal"/>
    <w:next w:val="Normal"/>
    <w:uiPriority w:val="37"/>
    <w:semiHidden/>
    <w:rsid w:val="00156E2C"/>
  </w:style>
  <w:style w:type="paragraph" w:styleId="BlockText">
    <w:name w:val="Block Text"/>
    <w:basedOn w:val="Normal"/>
    <w:semiHidden/>
    <w:unhideWhenUsed/>
    <w:rsid w:val="00156E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56E2C"/>
    <w:pPr>
      <w:spacing w:after="120"/>
    </w:pPr>
  </w:style>
  <w:style w:type="character" w:customStyle="1" w:styleId="BodyTextChar">
    <w:name w:val="Body Text Char"/>
    <w:basedOn w:val="DefaultParagraphFont"/>
    <w:link w:val="BodyText"/>
    <w:semiHidden/>
    <w:rsid w:val="00156E2C"/>
    <w:rPr>
      <w:rFonts w:eastAsia="Times New Roman"/>
      <w:lang w:val="en-GB" w:eastAsia="en-US"/>
    </w:rPr>
  </w:style>
  <w:style w:type="paragraph" w:styleId="BodyText2">
    <w:name w:val="Body Text 2"/>
    <w:basedOn w:val="Normal"/>
    <w:link w:val="BodyText2Char"/>
    <w:semiHidden/>
    <w:unhideWhenUsed/>
    <w:rsid w:val="00156E2C"/>
    <w:pPr>
      <w:spacing w:after="120" w:line="480" w:lineRule="auto"/>
    </w:pPr>
  </w:style>
  <w:style w:type="character" w:customStyle="1" w:styleId="BodyText2Char">
    <w:name w:val="Body Text 2 Char"/>
    <w:basedOn w:val="DefaultParagraphFont"/>
    <w:link w:val="BodyText2"/>
    <w:semiHidden/>
    <w:rsid w:val="00156E2C"/>
    <w:rPr>
      <w:rFonts w:eastAsia="Times New Roman"/>
      <w:lang w:val="en-GB" w:eastAsia="en-US"/>
    </w:rPr>
  </w:style>
  <w:style w:type="paragraph" w:styleId="BodyText3">
    <w:name w:val="Body Text 3"/>
    <w:basedOn w:val="Normal"/>
    <w:link w:val="BodyText3Char"/>
    <w:semiHidden/>
    <w:unhideWhenUsed/>
    <w:rsid w:val="00156E2C"/>
    <w:pPr>
      <w:spacing w:after="120"/>
    </w:pPr>
    <w:rPr>
      <w:sz w:val="16"/>
      <w:szCs w:val="16"/>
    </w:rPr>
  </w:style>
  <w:style w:type="character" w:customStyle="1" w:styleId="BodyText3Char">
    <w:name w:val="Body Text 3 Char"/>
    <w:basedOn w:val="DefaultParagraphFont"/>
    <w:link w:val="BodyText3"/>
    <w:semiHidden/>
    <w:rsid w:val="00156E2C"/>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56E2C"/>
    <w:pPr>
      <w:spacing w:after="0"/>
      <w:ind w:firstLine="360"/>
    </w:pPr>
  </w:style>
  <w:style w:type="character" w:customStyle="1" w:styleId="BodyTextFirstIndentChar">
    <w:name w:val="Body Text First Indent Char"/>
    <w:basedOn w:val="BodyTextChar"/>
    <w:link w:val="BodyTextFirstIndent"/>
    <w:semiHidden/>
    <w:rsid w:val="00156E2C"/>
    <w:rPr>
      <w:rFonts w:eastAsia="Times New Roman"/>
      <w:lang w:val="en-GB" w:eastAsia="en-US"/>
    </w:rPr>
  </w:style>
  <w:style w:type="paragraph" w:styleId="BodyTextIndent">
    <w:name w:val="Body Text Indent"/>
    <w:basedOn w:val="Normal"/>
    <w:link w:val="BodyTextIndentChar"/>
    <w:semiHidden/>
    <w:unhideWhenUsed/>
    <w:rsid w:val="00156E2C"/>
    <w:pPr>
      <w:spacing w:after="120"/>
      <w:ind w:left="283"/>
    </w:pPr>
  </w:style>
  <w:style w:type="character" w:customStyle="1" w:styleId="BodyTextIndentChar">
    <w:name w:val="Body Text Indent Char"/>
    <w:basedOn w:val="DefaultParagraphFont"/>
    <w:link w:val="BodyTextIndent"/>
    <w:semiHidden/>
    <w:rsid w:val="00156E2C"/>
    <w:rPr>
      <w:rFonts w:eastAsia="Times New Roman"/>
      <w:lang w:val="en-GB" w:eastAsia="en-US"/>
    </w:rPr>
  </w:style>
  <w:style w:type="paragraph" w:styleId="BodyTextFirstIndent2">
    <w:name w:val="Body Text First Indent 2"/>
    <w:basedOn w:val="BodyTextIndent"/>
    <w:link w:val="BodyTextFirstIndent2Char"/>
    <w:semiHidden/>
    <w:unhideWhenUsed/>
    <w:rsid w:val="00156E2C"/>
    <w:pPr>
      <w:spacing w:after="0"/>
      <w:ind w:left="360" w:firstLine="360"/>
    </w:pPr>
  </w:style>
  <w:style w:type="character" w:customStyle="1" w:styleId="BodyTextFirstIndent2Char">
    <w:name w:val="Body Text First Indent 2 Char"/>
    <w:basedOn w:val="BodyTextIndentChar"/>
    <w:link w:val="BodyTextFirstIndent2"/>
    <w:semiHidden/>
    <w:rsid w:val="00156E2C"/>
    <w:rPr>
      <w:rFonts w:eastAsia="Times New Roman"/>
      <w:lang w:val="en-GB" w:eastAsia="en-US"/>
    </w:rPr>
  </w:style>
  <w:style w:type="paragraph" w:styleId="BodyTextIndent2">
    <w:name w:val="Body Text Indent 2"/>
    <w:basedOn w:val="Normal"/>
    <w:link w:val="BodyTextIndent2Char"/>
    <w:semiHidden/>
    <w:unhideWhenUsed/>
    <w:rsid w:val="00156E2C"/>
    <w:pPr>
      <w:spacing w:after="120" w:line="480" w:lineRule="auto"/>
      <w:ind w:left="283"/>
    </w:pPr>
  </w:style>
  <w:style w:type="character" w:customStyle="1" w:styleId="BodyTextIndent2Char">
    <w:name w:val="Body Text Indent 2 Char"/>
    <w:basedOn w:val="DefaultParagraphFont"/>
    <w:link w:val="BodyTextIndent2"/>
    <w:semiHidden/>
    <w:rsid w:val="00156E2C"/>
    <w:rPr>
      <w:rFonts w:eastAsia="Times New Roman"/>
      <w:lang w:val="en-GB" w:eastAsia="en-US"/>
    </w:rPr>
  </w:style>
  <w:style w:type="paragraph" w:styleId="BodyTextIndent3">
    <w:name w:val="Body Text Indent 3"/>
    <w:basedOn w:val="Normal"/>
    <w:link w:val="BodyTextIndent3Char"/>
    <w:semiHidden/>
    <w:unhideWhenUsed/>
    <w:rsid w:val="00156E2C"/>
    <w:pPr>
      <w:spacing w:after="120"/>
      <w:ind w:left="283"/>
    </w:pPr>
    <w:rPr>
      <w:sz w:val="16"/>
      <w:szCs w:val="16"/>
    </w:rPr>
  </w:style>
  <w:style w:type="character" w:customStyle="1" w:styleId="BodyTextIndent3Char">
    <w:name w:val="Body Text Indent 3 Char"/>
    <w:basedOn w:val="DefaultParagraphFont"/>
    <w:link w:val="BodyTextIndent3"/>
    <w:semiHidden/>
    <w:rsid w:val="00156E2C"/>
    <w:rPr>
      <w:rFonts w:eastAsia="Times New Roman"/>
      <w:sz w:val="16"/>
      <w:szCs w:val="16"/>
      <w:lang w:val="en-GB" w:eastAsia="en-US"/>
    </w:rPr>
  </w:style>
  <w:style w:type="character" w:styleId="BookTitle">
    <w:name w:val="Book Title"/>
    <w:basedOn w:val="DefaultParagraphFont"/>
    <w:uiPriority w:val="33"/>
    <w:semiHidden/>
    <w:qFormat/>
    <w:rsid w:val="00156E2C"/>
    <w:rPr>
      <w:b/>
      <w:bCs/>
      <w:i/>
      <w:iCs/>
      <w:spacing w:val="5"/>
      <w:lang w:val="en-GB"/>
    </w:rPr>
  </w:style>
  <w:style w:type="paragraph" w:styleId="Caption">
    <w:name w:val="caption"/>
    <w:basedOn w:val="Normal"/>
    <w:next w:val="Normal"/>
    <w:semiHidden/>
    <w:unhideWhenUsed/>
    <w:qFormat/>
    <w:rsid w:val="00156E2C"/>
    <w:pPr>
      <w:spacing w:after="200"/>
    </w:pPr>
    <w:rPr>
      <w:i/>
      <w:iCs/>
      <w:color w:val="1F497D" w:themeColor="text2"/>
      <w:sz w:val="18"/>
      <w:szCs w:val="18"/>
    </w:rPr>
  </w:style>
  <w:style w:type="paragraph" w:styleId="Closing">
    <w:name w:val="Closing"/>
    <w:basedOn w:val="Normal"/>
    <w:link w:val="ClosingChar"/>
    <w:semiHidden/>
    <w:unhideWhenUsed/>
    <w:rsid w:val="00156E2C"/>
    <w:pPr>
      <w:ind w:left="4252"/>
    </w:pPr>
  </w:style>
  <w:style w:type="character" w:customStyle="1" w:styleId="ClosingChar">
    <w:name w:val="Closing Char"/>
    <w:basedOn w:val="DefaultParagraphFont"/>
    <w:link w:val="Closing"/>
    <w:semiHidden/>
    <w:rsid w:val="00156E2C"/>
    <w:rPr>
      <w:rFonts w:eastAsia="Times New Roman"/>
      <w:lang w:val="en-GB" w:eastAsia="en-US"/>
    </w:rPr>
  </w:style>
  <w:style w:type="table" w:styleId="ColorfulGrid">
    <w:name w:val="Colorful Grid"/>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56E2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56E2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56E2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56E2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56E2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56E2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56E2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56E2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56E2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56E2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56E2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56E2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56E2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56E2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6E2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56E2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56E2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56E2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56E2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56E2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56E2C"/>
  </w:style>
  <w:style w:type="character" w:customStyle="1" w:styleId="DateChar">
    <w:name w:val="Date Char"/>
    <w:basedOn w:val="DefaultParagraphFont"/>
    <w:link w:val="Date"/>
    <w:semiHidden/>
    <w:rsid w:val="00156E2C"/>
    <w:rPr>
      <w:rFonts w:eastAsia="Times New Roman"/>
      <w:lang w:val="en-GB" w:eastAsia="en-US"/>
    </w:rPr>
  </w:style>
  <w:style w:type="paragraph" w:styleId="DocumentMap">
    <w:name w:val="Document Map"/>
    <w:basedOn w:val="Normal"/>
    <w:link w:val="DocumentMapChar"/>
    <w:semiHidden/>
    <w:unhideWhenUsed/>
    <w:rsid w:val="00156E2C"/>
    <w:rPr>
      <w:rFonts w:ascii="Segoe UI" w:hAnsi="Segoe UI" w:cs="Segoe UI"/>
      <w:sz w:val="16"/>
      <w:szCs w:val="16"/>
    </w:rPr>
  </w:style>
  <w:style w:type="character" w:customStyle="1" w:styleId="DocumentMapChar">
    <w:name w:val="Document Map Char"/>
    <w:basedOn w:val="DefaultParagraphFont"/>
    <w:link w:val="DocumentMap"/>
    <w:semiHidden/>
    <w:rsid w:val="00156E2C"/>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56E2C"/>
  </w:style>
  <w:style w:type="character" w:customStyle="1" w:styleId="E-mailSignatureChar">
    <w:name w:val="E-mail Signature Char"/>
    <w:basedOn w:val="DefaultParagraphFont"/>
    <w:link w:val="E-mailSignature"/>
    <w:semiHidden/>
    <w:rsid w:val="00156E2C"/>
    <w:rPr>
      <w:rFonts w:eastAsia="Times New Roman"/>
      <w:lang w:val="en-GB" w:eastAsia="en-US"/>
    </w:rPr>
  </w:style>
  <w:style w:type="character" w:styleId="Emphasis">
    <w:name w:val="Emphasis"/>
    <w:basedOn w:val="DefaultParagraphFont"/>
    <w:semiHidden/>
    <w:qFormat/>
    <w:rsid w:val="00156E2C"/>
    <w:rPr>
      <w:i/>
      <w:iCs/>
      <w:lang w:val="en-GB"/>
    </w:rPr>
  </w:style>
  <w:style w:type="character" w:styleId="EndnoteReference">
    <w:name w:val="endnote reference"/>
    <w:basedOn w:val="DefaultParagraphFont"/>
    <w:semiHidden/>
    <w:unhideWhenUsed/>
    <w:rsid w:val="00156E2C"/>
    <w:rPr>
      <w:vertAlign w:val="superscript"/>
      <w:lang w:val="en-GB"/>
    </w:rPr>
  </w:style>
  <w:style w:type="paragraph" w:styleId="EndnoteText">
    <w:name w:val="endnote text"/>
    <w:basedOn w:val="Normal"/>
    <w:link w:val="EndnoteTextChar"/>
    <w:semiHidden/>
    <w:unhideWhenUsed/>
    <w:rsid w:val="00156E2C"/>
  </w:style>
  <w:style w:type="character" w:customStyle="1" w:styleId="EndnoteTextChar">
    <w:name w:val="Endnote Text Char"/>
    <w:basedOn w:val="DefaultParagraphFont"/>
    <w:link w:val="EndnoteText"/>
    <w:semiHidden/>
    <w:rsid w:val="00156E2C"/>
    <w:rPr>
      <w:rFonts w:eastAsia="Times New Roman"/>
      <w:lang w:val="en-GB" w:eastAsia="en-US"/>
    </w:rPr>
  </w:style>
  <w:style w:type="paragraph" w:styleId="EnvelopeAddress">
    <w:name w:val="envelope address"/>
    <w:basedOn w:val="Normal"/>
    <w:semiHidden/>
    <w:unhideWhenUsed/>
    <w:rsid w:val="00156E2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56E2C"/>
    <w:rPr>
      <w:rFonts w:asciiTheme="majorHAnsi" w:eastAsiaTheme="majorEastAsia" w:hAnsiTheme="majorHAnsi" w:cstheme="majorBidi"/>
    </w:rPr>
  </w:style>
  <w:style w:type="paragraph" w:styleId="FootnoteText">
    <w:name w:val="footnote text"/>
    <w:basedOn w:val="Normal"/>
    <w:link w:val="FootnoteTextChar"/>
    <w:semiHidden/>
    <w:unhideWhenUsed/>
    <w:rsid w:val="00156E2C"/>
  </w:style>
  <w:style w:type="character" w:customStyle="1" w:styleId="FootnoteTextChar">
    <w:name w:val="Footnote Text Char"/>
    <w:basedOn w:val="DefaultParagraphFont"/>
    <w:link w:val="FootnoteText"/>
    <w:semiHidden/>
    <w:rsid w:val="00156E2C"/>
    <w:rPr>
      <w:rFonts w:eastAsia="Times New Roman"/>
      <w:lang w:val="en-GB" w:eastAsia="en-US"/>
    </w:rPr>
  </w:style>
  <w:style w:type="table" w:styleId="GridTable1Light">
    <w:name w:val="Grid Table 1 Light"/>
    <w:basedOn w:val="TableNormal"/>
    <w:uiPriority w:val="46"/>
    <w:rsid w:val="00156E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56E2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6E2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6E2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6E2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6E2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6E2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6E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6E2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56E2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56E2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56E2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56E2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56E2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56E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56E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56E2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56E2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56E2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56E2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56E2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56E2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56E2C"/>
    <w:rPr>
      <w:color w:val="2B579A"/>
      <w:shd w:val="clear" w:color="auto" w:fill="E1DFDD"/>
      <w:lang w:val="en-GB"/>
    </w:rPr>
  </w:style>
  <w:style w:type="character" w:styleId="HTMLAcronym">
    <w:name w:val="HTML Acronym"/>
    <w:basedOn w:val="DefaultParagraphFont"/>
    <w:semiHidden/>
    <w:unhideWhenUsed/>
    <w:rsid w:val="00156E2C"/>
    <w:rPr>
      <w:lang w:val="en-GB"/>
    </w:rPr>
  </w:style>
  <w:style w:type="paragraph" w:styleId="HTMLAddress">
    <w:name w:val="HTML Address"/>
    <w:basedOn w:val="Normal"/>
    <w:link w:val="HTMLAddressChar"/>
    <w:semiHidden/>
    <w:unhideWhenUsed/>
    <w:rsid w:val="00156E2C"/>
    <w:rPr>
      <w:i/>
      <w:iCs/>
    </w:rPr>
  </w:style>
  <w:style w:type="character" w:customStyle="1" w:styleId="HTMLAddressChar">
    <w:name w:val="HTML Address Char"/>
    <w:basedOn w:val="DefaultParagraphFont"/>
    <w:link w:val="HTMLAddress"/>
    <w:semiHidden/>
    <w:rsid w:val="00156E2C"/>
    <w:rPr>
      <w:rFonts w:eastAsia="Times New Roman"/>
      <w:i/>
      <w:iCs/>
      <w:lang w:val="en-GB" w:eastAsia="en-US"/>
    </w:rPr>
  </w:style>
  <w:style w:type="character" w:styleId="HTMLCite">
    <w:name w:val="HTML Cite"/>
    <w:basedOn w:val="DefaultParagraphFont"/>
    <w:semiHidden/>
    <w:unhideWhenUsed/>
    <w:rsid w:val="00156E2C"/>
    <w:rPr>
      <w:i/>
      <w:iCs/>
      <w:lang w:val="en-GB"/>
    </w:rPr>
  </w:style>
  <w:style w:type="character" w:styleId="HTMLCode">
    <w:name w:val="HTML Code"/>
    <w:basedOn w:val="DefaultParagraphFont"/>
    <w:semiHidden/>
    <w:unhideWhenUsed/>
    <w:rsid w:val="00156E2C"/>
    <w:rPr>
      <w:rFonts w:ascii="Consolas" w:hAnsi="Consolas"/>
      <w:sz w:val="20"/>
      <w:szCs w:val="20"/>
      <w:lang w:val="en-GB"/>
    </w:rPr>
  </w:style>
  <w:style w:type="character" w:styleId="HTMLDefinition">
    <w:name w:val="HTML Definition"/>
    <w:basedOn w:val="DefaultParagraphFont"/>
    <w:semiHidden/>
    <w:unhideWhenUsed/>
    <w:rsid w:val="00156E2C"/>
    <w:rPr>
      <w:i/>
      <w:iCs/>
      <w:lang w:val="en-GB"/>
    </w:rPr>
  </w:style>
  <w:style w:type="character" w:styleId="HTMLKeyboard">
    <w:name w:val="HTML Keyboard"/>
    <w:basedOn w:val="DefaultParagraphFont"/>
    <w:semiHidden/>
    <w:unhideWhenUsed/>
    <w:rsid w:val="00156E2C"/>
    <w:rPr>
      <w:rFonts w:ascii="Consolas" w:hAnsi="Consolas"/>
      <w:sz w:val="20"/>
      <w:szCs w:val="20"/>
      <w:lang w:val="en-GB"/>
    </w:rPr>
  </w:style>
  <w:style w:type="paragraph" w:styleId="HTMLPreformatted">
    <w:name w:val="HTML Preformatted"/>
    <w:basedOn w:val="Normal"/>
    <w:link w:val="HTMLPreformattedChar"/>
    <w:semiHidden/>
    <w:unhideWhenUsed/>
    <w:rsid w:val="00156E2C"/>
    <w:rPr>
      <w:rFonts w:ascii="Consolas" w:hAnsi="Consolas"/>
    </w:rPr>
  </w:style>
  <w:style w:type="character" w:customStyle="1" w:styleId="HTMLPreformattedChar">
    <w:name w:val="HTML Preformatted Char"/>
    <w:basedOn w:val="DefaultParagraphFont"/>
    <w:link w:val="HTMLPreformatted"/>
    <w:semiHidden/>
    <w:rsid w:val="00156E2C"/>
    <w:rPr>
      <w:rFonts w:ascii="Consolas" w:eastAsia="Times New Roman" w:hAnsi="Consolas"/>
      <w:lang w:val="en-GB" w:eastAsia="en-US"/>
    </w:rPr>
  </w:style>
  <w:style w:type="character" w:styleId="HTMLSample">
    <w:name w:val="HTML Sample"/>
    <w:basedOn w:val="DefaultParagraphFont"/>
    <w:semiHidden/>
    <w:unhideWhenUsed/>
    <w:rsid w:val="00156E2C"/>
    <w:rPr>
      <w:rFonts w:ascii="Consolas" w:hAnsi="Consolas"/>
      <w:sz w:val="24"/>
      <w:szCs w:val="24"/>
      <w:lang w:val="en-GB"/>
    </w:rPr>
  </w:style>
  <w:style w:type="character" w:styleId="HTMLTypewriter">
    <w:name w:val="HTML Typewriter"/>
    <w:basedOn w:val="DefaultParagraphFont"/>
    <w:semiHidden/>
    <w:unhideWhenUsed/>
    <w:rsid w:val="00156E2C"/>
    <w:rPr>
      <w:rFonts w:ascii="Consolas" w:hAnsi="Consolas"/>
      <w:sz w:val="20"/>
      <w:szCs w:val="20"/>
      <w:lang w:val="en-GB"/>
    </w:rPr>
  </w:style>
  <w:style w:type="character" w:styleId="HTMLVariable">
    <w:name w:val="HTML Variable"/>
    <w:basedOn w:val="DefaultParagraphFont"/>
    <w:semiHidden/>
    <w:unhideWhenUsed/>
    <w:rsid w:val="00156E2C"/>
    <w:rPr>
      <w:i/>
      <w:iCs/>
      <w:lang w:val="en-GB"/>
    </w:rPr>
  </w:style>
  <w:style w:type="paragraph" w:styleId="Index1">
    <w:name w:val="index 1"/>
    <w:basedOn w:val="Normal"/>
    <w:next w:val="Normal"/>
    <w:autoRedefine/>
    <w:semiHidden/>
    <w:unhideWhenUsed/>
    <w:rsid w:val="00156E2C"/>
    <w:pPr>
      <w:tabs>
        <w:tab w:val="clear" w:pos="1247"/>
      </w:tabs>
      <w:ind w:left="200" w:hanging="200"/>
    </w:pPr>
  </w:style>
  <w:style w:type="paragraph" w:styleId="Index2">
    <w:name w:val="index 2"/>
    <w:basedOn w:val="Normal"/>
    <w:next w:val="Normal"/>
    <w:autoRedefine/>
    <w:semiHidden/>
    <w:unhideWhenUsed/>
    <w:rsid w:val="00156E2C"/>
    <w:pPr>
      <w:tabs>
        <w:tab w:val="clear" w:pos="1247"/>
      </w:tabs>
      <w:ind w:left="400" w:hanging="200"/>
    </w:pPr>
  </w:style>
  <w:style w:type="paragraph" w:styleId="Index3">
    <w:name w:val="index 3"/>
    <w:basedOn w:val="Normal"/>
    <w:next w:val="Normal"/>
    <w:autoRedefine/>
    <w:semiHidden/>
    <w:unhideWhenUsed/>
    <w:rsid w:val="00156E2C"/>
    <w:pPr>
      <w:tabs>
        <w:tab w:val="clear" w:pos="1247"/>
      </w:tabs>
      <w:ind w:left="600" w:hanging="200"/>
    </w:pPr>
  </w:style>
  <w:style w:type="paragraph" w:styleId="Index4">
    <w:name w:val="index 4"/>
    <w:basedOn w:val="Normal"/>
    <w:next w:val="Normal"/>
    <w:autoRedefine/>
    <w:semiHidden/>
    <w:unhideWhenUsed/>
    <w:rsid w:val="00156E2C"/>
    <w:pPr>
      <w:tabs>
        <w:tab w:val="clear" w:pos="1247"/>
      </w:tabs>
      <w:ind w:left="800" w:hanging="200"/>
    </w:pPr>
  </w:style>
  <w:style w:type="paragraph" w:styleId="Index5">
    <w:name w:val="index 5"/>
    <w:basedOn w:val="Normal"/>
    <w:next w:val="Normal"/>
    <w:autoRedefine/>
    <w:semiHidden/>
    <w:unhideWhenUsed/>
    <w:rsid w:val="00156E2C"/>
    <w:pPr>
      <w:tabs>
        <w:tab w:val="clear" w:pos="1247"/>
      </w:tabs>
      <w:ind w:left="1000" w:hanging="200"/>
    </w:pPr>
  </w:style>
  <w:style w:type="paragraph" w:styleId="Index6">
    <w:name w:val="index 6"/>
    <w:basedOn w:val="Normal"/>
    <w:next w:val="Normal"/>
    <w:autoRedefine/>
    <w:semiHidden/>
    <w:unhideWhenUsed/>
    <w:rsid w:val="00156E2C"/>
    <w:pPr>
      <w:tabs>
        <w:tab w:val="clear" w:pos="1247"/>
      </w:tabs>
      <w:ind w:left="1200" w:hanging="200"/>
    </w:pPr>
  </w:style>
  <w:style w:type="paragraph" w:styleId="Index7">
    <w:name w:val="index 7"/>
    <w:basedOn w:val="Normal"/>
    <w:next w:val="Normal"/>
    <w:autoRedefine/>
    <w:semiHidden/>
    <w:unhideWhenUsed/>
    <w:rsid w:val="00156E2C"/>
    <w:pPr>
      <w:tabs>
        <w:tab w:val="clear" w:pos="1247"/>
      </w:tabs>
      <w:ind w:left="1400" w:hanging="200"/>
    </w:pPr>
  </w:style>
  <w:style w:type="paragraph" w:styleId="Index8">
    <w:name w:val="index 8"/>
    <w:basedOn w:val="Normal"/>
    <w:next w:val="Normal"/>
    <w:autoRedefine/>
    <w:semiHidden/>
    <w:unhideWhenUsed/>
    <w:rsid w:val="00156E2C"/>
    <w:pPr>
      <w:tabs>
        <w:tab w:val="clear" w:pos="1247"/>
      </w:tabs>
      <w:ind w:left="1600" w:hanging="200"/>
    </w:pPr>
  </w:style>
  <w:style w:type="paragraph" w:styleId="Index9">
    <w:name w:val="index 9"/>
    <w:basedOn w:val="Normal"/>
    <w:next w:val="Normal"/>
    <w:autoRedefine/>
    <w:semiHidden/>
    <w:unhideWhenUsed/>
    <w:rsid w:val="00156E2C"/>
    <w:pPr>
      <w:tabs>
        <w:tab w:val="clear" w:pos="1247"/>
      </w:tabs>
      <w:ind w:left="1800" w:hanging="200"/>
    </w:pPr>
  </w:style>
  <w:style w:type="paragraph" w:styleId="IndexHeading">
    <w:name w:val="index heading"/>
    <w:basedOn w:val="Normal"/>
    <w:next w:val="Index1"/>
    <w:semiHidden/>
    <w:unhideWhenUsed/>
    <w:rsid w:val="00156E2C"/>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56E2C"/>
    <w:rPr>
      <w:i/>
      <w:iCs/>
      <w:color w:val="4F81BD" w:themeColor="accent1"/>
      <w:lang w:val="en-GB"/>
    </w:rPr>
  </w:style>
  <w:style w:type="paragraph" w:styleId="IntenseQuote">
    <w:name w:val="Intense Quote"/>
    <w:basedOn w:val="Normal"/>
    <w:next w:val="Normal"/>
    <w:link w:val="IntenseQuoteChar"/>
    <w:uiPriority w:val="30"/>
    <w:semiHidden/>
    <w:qFormat/>
    <w:rsid w:val="00156E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56E2C"/>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56E2C"/>
    <w:rPr>
      <w:b/>
      <w:bCs/>
      <w:smallCaps/>
      <w:color w:val="4F81BD" w:themeColor="accent1"/>
      <w:spacing w:val="5"/>
      <w:lang w:val="en-GB"/>
    </w:rPr>
  </w:style>
  <w:style w:type="table" w:styleId="LightGrid">
    <w:name w:val="Light Grid"/>
    <w:basedOn w:val="TableNormal"/>
    <w:uiPriority w:val="62"/>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56E2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6E2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56E2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56E2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56E2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56E2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56E2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56E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6E2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56E2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56E2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56E2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56E2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56E2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56E2C"/>
    <w:rPr>
      <w:lang w:val="en-GB"/>
    </w:rPr>
  </w:style>
  <w:style w:type="paragraph" w:styleId="List">
    <w:name w:val="List"/>
    <w:basedOn w:val="Normal"/>
    <w:semiHidden/>
    <w:unhideWhenUsed/>
    <w:rsid w:val="00156E2C"/>
    <w:pPr>
      <w:ind w:left="283" w:hanging="283"/>
      <w:contextualSpacing/>
    </w:pPr>
  </w:style>
  <w:style w:type="paragraph" w:styleId="List2">
    <w:name w:val="List 2"/>
    <w:basedOn w:val="Normal"/>
    <w:semiHidden/>
    <w:unhideWhenUsed/>
    <w:rsid w:val="00156E2C"/>
    <w:pPr>
      <w:ind w:left="566" w:hanging="283"/>
      <w:contextualSpacing/>
    </w:pPr>
  </w:style>
  <w:style w:type="paragraph" w:styleId="List3">
    <w:name w:val="List 3"/>
    <w:basedOn w:val="Normal"/>
    <w:semiHidden/>
    <w:unhideWhenUsed/>
    <w:rsid w:val="00156E2C"/>
    <w:pPr>
      <w:ind w:left="849" w:hanging="283"/>
      <w:contextualSpacing/>
    </w:pPr>
  </w:style>
  <w:style w:type="paragraph" w:styleId="List4">
    <w:name w:val="List 4"/>
    <w:basedOn w:val="Normal"/>
    <w:semiHidden/>
    <w:unhideWhenUsed/>
    <w:rsid w:val="00156E2C"/>
    <w:pPr>
      <w:ind w:left="1132" w:hanging="283"/>
      <w:contextualSpacing/>
    </w:pPr>
  </w:style>
  <w:style w:type="paragraph" w:styleId="List5">
    <w:name w:val="List 5"/>
    <w:basedOn w:val="Normal"/>
    <w:semiHidden/>
    <w:unhideWhenUsed/>
    <w:rsid w:val="00156E2C"/>
    <w:pPr>
      <w:ind w:left="1415" w:hanging="283"/>
      <w:contextualSpacing/>
    </w:pPr>
  </w:style>
  <w:style w:type="paragraph" w:styleId="ListBullet">
    <w:name w:val="List Bullet"/>
    <w:basedOn w:val="Normal"/>
    <w:semiHidden/>
    <w:rsid w:val="00156E2C"/>
    <w:pPr>
      <w:numPr>
        <w:numId w:val="6"/>
      </w:numPr>
      <w:contextualSpacing/>
    </w:pPr>
  </w:style>
  <w:style w:type="paragraph" w:styleId="ListBullet2">
    <w:name w:val="List Bullet 2"/>
    <w:basedOn w:val="Normal"/>
    <w:semiHidden/>
    <w:unhideWhenUsed/>
    <w:rsid w:val="00156E2C"/>
    <w:pPr>
      <w:numPr>
        <w:numId w:val="7"/>
      </w:numPr>
      <w:contextualSpacing/>
    </w:pPr>
  </w:style>
  <w:style w:type="paragraph" w:styleId="ListBullet3">
    <w:name w:val="List Bullet 3"/>
    <w:basedOn w:val="Normal"/>
    <w:semiHidden/>
    <w:unhideWhenUsed/>
    <w:rsid w:val="00156E2C"/>
    <w:pPr>
      <w:numPr>
        <w:numId w:val="8"/>
      </w:numPr>
      <w:contextualSpacing/>
    </w:pPr>
  </w:style>
  <w:style w:type="paragraph" w:styleId="ListBullet4">
    <w:name w:val="List Bullet 4"/>
    <w:basedOn w:val="Normal"/>
    <w:semiHidden/>
    <w:unhideWhenUsed/>
    <w:rsid w:val="00156E2C"/>
    <w:pPr>
      <w:numPr>
        <w:numId w:val="9"/>
      </w:numPr>
      <w:contextualSpacing/>
    </w:pPr>
  </w:style>
  <w:style w:type="paragraph" w:styleId="ListBullet5">
    <w:name w:val="List Bullet 5"/>
    <w:basedOn w:val="Normal"/>
    <w:semiHidden/>
    <w:unhideWhenUsed/>
    <w:rsid w:val="00156E2C"/>
    <w:pPr>
      <w:numPr>
        <w:numId w:val="10"/>
      </w:numPr>
      <w:contextualSpacing/>
    </w:pPr>
  </w:style>
  <w:style w:type="paragraph" w:styleId="ListContinue">
    <w:name w:val="List Continue"/>
    <w:basedOn w:val="Normal"/>
    <w:semiHidden/>
    <w:unhideWhenUsed/>
    <w:rsid w:val="00156E2C"/>
    <w:pPr>
      <w:spacing w:after="120"/>
      <w:ind w:left="283"/>
      <w:contextualSpacing/>
    </w:pPr>
  </w:style>
  <w:style w:type="paragraph" w:styleId="ListContinue2">
    <w:name w:val="List Continue 2"/>
    <w:basedOn w:val="Normal"/>
    <w:semiHidden/>
    <w:unhideWhenUsed/>
    <w:rsid w:val="00156E2C"/>
    <w:pPr>
      <w:spacing w:after="120"/>
      <w:ind w:left="566"/>
      <w:contextualSpacing/>
    </w:pPr>
  </w:style>
  <w:style w:type="paragraph" w:styleId="ListContinue3">
    <w:name w:val="List Continue 3"/>
    <w:basedOn w:val="Normal"/>
    <w:semiHidden/>
    <w:rsid w:val="00156E2C"/>
    <w:pPr>
      <w:spacing w:after="120"/>
      <w:ind w:left="849"/>
      <w:contextualSpacing/>
    </w:pPr>
  </w:style>
  <w:style w:type="paragraph" w:styleId="ListContinue4">
    <w:name w:val="List Continue 4"/>
    <w:basedOn w:val="Normal"/>
    <w:semiHidden/>
    <w:rsid w:val="00156E2C"/>
    <w:pPr>
      <w:spacing w:after="120"/>
      <w:ind w:left="1132"/>
      <w:contextualSpacing/>
    </w:pPr>
  </w:style>
  <w:style w:type="paragraph" w:styleId="ListContinue5">
    <w:name w:val="List Continue 5"/>
    <w:basedOn w:val="Normal"/>
    <w:semiHidden/>
    <w:rsid w:val="00156E2C"/>
    <w:pPr>
      <w:spacing w:after="120"/>
      <w:ind w:left="1415"/>
      <w:contextualSpacing/>
    </w:pPr>
  </w:style>
  <w:style w:type="paragraph" w:styleId="ListNumber">
    <w:name w:val="List Number"/>
    <w:basedOn w:val="Normal"/>
    <w:semiHidden/>
    <w:rsid w:val="00156E2C"/>
    <w:pPr>
      <w:numPr>
        <w:numId w:val="11"/>
      </w:numPr>
      <w:contextualSpacing/>
    </w:pPr>
  </w:style>
  <w:style w:type="paragraph" w:styleId="ListNumber2">
    <w:name w:val="List Number 2"/>
    <w:basedOn w:val="Normal"/>
    <w:semiHidden/>
    <w:unhideWhenUsed/>
    <w:rsid w:val="00156E2C"/>
    <w:pPr>
      <w:numPr>
        <w:numId w:val="12"/>
      </w:numPr>
      <w:contextualSpacing/>
    </w:pPr>
  </w:style>
  <w:style w:type="paragraph" w:styleId="ListNumber3">
    <w:name w:val="List Number 3"/>
    <w:basedOn w:val="Normal"/>
    <w:semiHidden/>
    <w:unhideWhenUsed/>
    <w:rsid w:val="00156E2C"/>
    <w:pPr>
      <w:numPr>
        <w:numId w:val="13"/>
      </w:numPr>
      <w:contextualSpacing/>
    </w:pPr>
  </w:style>
  <w:style w:type="paragraph" w:styleId="ListNumber4">
    <w:name w:val="List Number 4"/>
    <w:basedOn w:val="Normal"/>
    <w:semiHidden/>
    <w:unhideWhenUsed/>
    <w:rsid w:val="00156E2C"/>
    <w:pPr>
      <w:numPr>
        <w:numId w:val="14"/>
      </w:numPr>
      <w:contextualSpacing/>
    </w:pPr>
  </w:style>
  <w:style w:type="paragraph" w:styleId="ListNumber5">
    <w:name w:val="List Number 5"/>
    <w:basedOn w:val="Normal"/>
    <w:semiHidden/>
    <w:unhideWhenUsed/>
    <w:rsid w:val="00156E2C"/>
    <w:pPr>
      <w:numPr>
        <w:numId w:val="15"/>
      </w:numPr>
      <w:contextualSpacing/>
    </w:pPr>
  </w:style>
  <w:style w:type="table" w:styleId="ListTable1Light">
    <w:name w:val="List Table 1 Light"/>
    <w:basedOn w:val="TableNormal"/>
    <w:uiPriority w:val="46"/>
    <w:rsid w:val="00156E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6E2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56E2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56E2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56E2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56E2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56E2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56E2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6E2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56E2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56E2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56E2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56E2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56E2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56E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6E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56E2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56E2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56E2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56E2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56E2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56E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6E2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56E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56E2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56E2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56E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56E2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56E2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6E2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6E2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6E2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6E2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6E2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6E2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56E2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56E2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56E2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56E2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56E2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56E2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56E2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56E2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56E2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56E2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56E2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56E2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56E2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56E2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56E2C"/>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156E2C"/>
    <w:rPr>
      <w:rFonts w:ascii="Consolas" w:eastAsia="Times New Roman" w:hAnsi="Consolas"/>
      <w:lang w:val="en-GB" w:eastAsia="en-US"/>
    </w:rPr>
  </w:style>
  <w:style w:type="table" w:styleId="MediumGrid1">
    <w:name w:val="Medium Grid 1"/>
    <w:basedOn w:val="TableNormal"/>
    <w:uiPriority w:val="67"/>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56E2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56E2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56E2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56E2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56E2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56E2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56E2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56E2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6E2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6E2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56E2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6E2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6E2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6E2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6E2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6E2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56E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56E2C"/>
    <w:rPr>
      <w:color w:val="2B579A"/>
      <w:shd w:val="clear" w:color="auto" w:fill="E1DFDD"/>
      <w:lang w:val="en-GB"/>
    </w:rPr>
  </w:style>
  <w:style w:type="paragraph" w:styleId="MessageHeader">
    <w:name w:val="Message Header"/>
    <w:basedOn w:val="Normal"/>
    <w:link w:val="MessageHeaderChar"/>
    <w:semiHidden/>
    <w:rsid w:val="00156E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56E2C"/>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56E2C"/>
    <w:pPr>
      <w:ind w:left="720"/>
    </w:pPr>
  </w:style>
  <w:style w:type="paragraph" w:styleId="NoteHeading">
    <w:name w:val="Note Heading"/>
    <w:basedOn w:val="Normal"/>
    <w:next w:val="Normal"/>
    <w:link w:val="NoteHeadingChar"/>
    <w:semiHidden/>
    <w:unhideWhenUsed/>
    <w:rsid w:val="00156E2C"/>
  </w:style>
  <w:style w:type="character" w:customStyle="1" w:styleId="NoteHeadingChar">
    <w:name w:val="Note Heading Char"/>
    <w:basedOn w:val="DefaultParagraphFont"/>
    <w:link w:val="NoteHeading"/>
    <w:semiHidden/>
    <w:rsid w:val="00156E2C"/>
    <w:rPr>
      <w:rFonts w:eastAsia="Times New Roman"/>
      <w:lang w:val="en-GB" w:eastAsia="en-US"/>
    </w:rPr>
  </w:style>
  <w:style w:type="table" w:styleId="PlainTable1">
    <w:name w:val="Plain Table 1"/>
    <w:basedOn w:val="TableNormal"/>
    <w:uiPriority w:val="41"/>
    <w:rsid w:val="00156E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56E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56E2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6E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6E2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56E2C"/>
    <w:rPr>
      <w:rFonts w:ascii="Consolas" w:hAnsi="Consolas"/>
      <w:sz w:val="21"/>
      <w:szCs w:val="21"/>
    </w:rPr>
  </w:style>
  <w:style w:type="character" w:customStyle="1" w:styleId="PlainTextChar">
    <w:name w:val="Plain Text Char"/>
    <w:basedOn w:val="DefaultParagraphFont"/>
    <w:link w:val="PlainText"/>
    <w:semiHidden/>
    <w:rsid w:val="00156E2C"/>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56E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6E2C"/>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56E2C"/>
  </w:style>
  <w:style w:type="character" w:customStyle="1" w:styleId="SalutationChar">
    <w:name w:val="Salutation Char"/>
    <w:basedOn w:val="DefaultParagraphFont"/>
    <w:link w:val="Salutation"/>
    <w:semiHidden/>
    <w:rsid w:val="00156E2C"/>
    <w:rPr>
      <w:rFonts w:eastAsia="Times New Roman"/>
      <w:lang w:val="en-GB" w:eastAsia="en-US"/>
    </w:rPr>
  </w:style>
  <w:style w:type="paragraph" w:styleId="Signature">
    <w:name w:val="Signature"/>
    <w:basedOn w:val="Normal"/>
    <w:link w:val="SignatureChar"/>
    <w:semiHidden/>
    <w:unhideWhenUsed/>
    <w:rsid w:val="00156E2C"/>
    <w:pPr>
      <w:ind w:left="4252"/>
    </w:pPr>
  </w:style>
  <w:style w:type="character" w:customStyle="1" w:styleId="SignatureChar">
    <w:name w:val="Signature Char"/>
    <w:basedOn w:val="DefaultParagraphFont"/>
    <w:link w:val="Signature"/>
    <w:semiHidden/>
    <w:rsid w:val="00156E2C"/>
    <w:rPr>
      <w:rFonts w:eastAsia="Times New Roman"/>
      <w:lang w:val="en-GB" w:eastAsia="en-US"/>
    </w:rPr>
  </w:style>
  <w:style w:type="character" w:styleId="SmartHyperlink">
    <w:name w:val="Smart Hyperlink"/>
    <w:basedOn w:val="DefaultParagraphFont"/>
    <w:uiPriority w:val="99"/>
    <w:semiHidden/>
    <w:rsid w:val="00156E2C"/>
    <w:rPr>
      <w:u w:val="dotted"/>
      <w:lang w:val="en-GB"/>
    </w:rPr>
  </w:style>
  <w:style w:type="character" w:styleId="SmartLink">
    <w:name w:val="Smart Link"/>
    <w:basedOn w:val="DefaultParagraphFont"/>
    <w:uiPriority w:val="99"/>
    <w:semiHidden/>
    <w:unhideWhenUsed/>
    <w:rsid w:val="00156E2C"/>
    <w:rPr>
      <w:color w:val="0000FF"/>
      <w:u w:val="single"/>
      <w:shd w:val="clear" w:color="auto" w:fill="F3F2F1"/>
      <w:lang w:val="en-GB"/>
    </w:rPr>
  </w:style>
  <w:style w:type="character" w:styleId="Strong">
    <w:name w:val="Strong"/>
    <w:basedOn w:val="DefaultParagraphFont"/>
    <w:semiHidden/>
    <w:qFormat/>
    <w:rsid w:val="00156E2C"/>
    <w:rPr>
      <w:b/>
      <w:bCs/>
      <w:lang w:val="en-GB"/>
    </w:rPr>
  </w:style>
  <w:style w:type="paragraph" w:styleId="Subtitle">
    <w:name w:val="Subtitle"/>
    <w:basedOn w:val="Normal"/>
    <w:next w:val="Normal"/>
    <w:link w:val="SubtitleChar"/>
    <w:semiHidden/>
    <w:qFormat/>
    <w:rsid w:val="00156E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56E2C"/>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56E2C"/>
    <w:rPr>
      <w:i/>
      <w:iCs/>
      <w:color w:val="404040" w:themeColor="text1" w:themeTint="BF"/>
      <w:lang w:val="en-GB"/>
    </w:rPr>
  </w:style>
  <w:style w:type="character" w:styleId="SubtleReference">
    <w:name w:val="Subtle Reference"/>
    <w:basedOn w:val="DefaultParagraphFont"/>
    <w:uiPriority w:val="31"/>
    <w:semiHidden/>
    <w:qFormat/>
    <w:rsid w:val="00156E2C"/>
    <w:rPr>
      <w:smallCaps/>
      <w:color w:val="5A5A5A" w:themeColor="text1" w:themeTint="A5"/>
      <w:lang w:val="en-GB"/>
    </w:rPr>
  </w:style>
  <w:style w:type="table" w:styleId="Table3Deffects1">
    <w:name w:val="Table 3D effect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56E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56E2C"/>
    <w:pPr>
      <w:tabs>
        <w:tab w:val="clear" w:pos="1247"/>
      </w:tabs>
      <w:ind w:left="200" w:hanging="200"/>
    </w:pPr>
  </w:style>
  <w:style w:type="table" w:styleId="TableProfessional">
    <w:name w:val="Table Professional"/>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56E2C"/>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56E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56E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56E2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6E2C"/>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447020"/>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CH2Char">
    <w:name w:val="CH2 Char"/>
    <w:link w:val="CH2"/>
    <w:locked/>
    <w:rsid w:val="00323A74"/>
    <w:rPr>
      <w:rFonts w:eastAsia="Times New Roman"/>
      <w:b/>
      <w:sz w:val="24"/>
      <w:szCs w:val="24"/>
      <w:lang w:val="en-GB" w:eastAsia="en-US"/>
    </w:rPr>
  </w:style>
  <w:style w:type="character" w:customStyle="1" w:styleId="BBTitleChar">
    <w:name w:val="BB_Title Char"/>
    <w:link w:val="BBTitle"/>
    <w:rsid w:val="00323A74"/>
    <w:rPr>
      <w:rFonts w:eastAsia="Times New Roman"/>
      <w:b/>
      <w:sz w:val="28"/>
      <w:szCs w:val="28"/>
      <w:lang w:val="en-GB" w:eastAsia="en-US"/>
    </w:rPr>
  </w:style>
  <w:style w:type="character" w:customStyle="1" w:styleId="CH1Char">
    <w:name w:val="CH1 Char"/>
    <w:link w:val="CH1"/>
    <w:locked/>
    <w:rsid w:val="00323A74"/>
    <w:rPr>
      <w:rFonts w:eastAsia="Times New Roman"/>
      <w:b/>
      <w:sz w:val="28"/>
      <w:szCs w:val="28"/>
      <w:lang w:val="en-GB" w:eastAsia="en-US"/>
    </w:rPr>
  </w:style>
  <w:style w:type="paragraph" w:styleId="Revision">
    <w:name w:val="Revision"/>
    <w:hidden/>
    <w:uiPriority w:val="99"/>
    <w:semiHidden/>
    <w:rsid w:val="00A45CF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07F5777B-BAC2-44F0-8F39-871CDC11E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25</TotalTime>
  <Pages>8</Pages>
  <Words>5069</Words>
  <Characters>28894</Characters>
  <Application>Microsoft Office Word</Application>
  <DocSecurity>0</DocSecurity>
  <PresentationFormat/>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de Neeve</dc:creator>
  <cp:keywords/>
  <dc:description/>
  <cp:lastModifiedBy>Jane Mbau</cp:lastModifiedBy>
  <cp:revision>5</cp:revision>
  <cp:lastPrinted>2026-05-07T07:32:00Z</cp:lastPrinted>
  <dcterms:created xsi:type="dcterms:W3CDTF">2026-05-07T07:07:00Z</dcterms:created>
  <dcterms:modified xsi:type="dcterms:W3CDTF">2026-05-07T07:32:00Z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ffice_x0020_of_x0020_Origin">
    <vt:lpwstr/>
  </property>
  <property fmtid="{D5CDD505-2E9C-101B-9397-08002B2CF9AE}" pid="20" name="lcf76f155ced4ddcb4097134ff3c332f">
    <vt:lpwstr/>
  </property>
  <property fmtid="{D5CDD505-2E9C-101B-9397-08002B2CF9AE}" pid="21" name="Office of Origin">
    <vt:lpwstr/>
  </property>
</Properties>
</file>