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5126CB" w:rsidRPr="00514570" w14:paraId="41BE4801" w14:textId="77777777" w:rsidTr="005126CB">
        <w:trPr>
          <w:trHeight w:val="850"/>
        </w:trPr>
        <w:tc>
          <w:tcPr>
            <w:tcW w:w="1559" w:type="dxa"/>
          </w:tcPr>
          <w:p w14:paraId="059C0593" w14:textId="691FDACF" w:rsidR="005126CB" w:rsidRPr="00514570" w:rsidRDefault="005126CB" w:rsidP="005126CB">
            <w:pPr>
              <w:pStyle w:val="AUnitedNations"/>
            </w:pPr>
            <w:r w:rsidRPr="00514570">
              <w:t xml:space="preserve">Nations </w:t>
            </w:r>
            <w:r w:rsidRPr="00514570">
              <w:br/>
              <w:t>Unies</w:t>
            </w:r>
          </w:p>
        </w:tc>
        <w:tc>
          <w:tcPr>
            <w:tcW w:w="4819" w:type="dxa"/>
          </w:tcPr>
          <w:p w14:paraId="4D8E8CED" w14:textId="2A5418CD" w:rsidR="005126CB" w:rsidRPr="00514570" w:rsidRDefault="005126CB" w:rsidP="005126CB">
            <w:pPr>
              <w:pStyle w:val="Normal-pool"/>
            </w:pPr>
            <w:r w:rsidRPr="00514570">
              <w:drawing>
                <wp:anchor distT="0" distB="0" distL="114300" distR="114300" simplePos="0" relativeHeight="251658240" behindDoc="0" locked="0" layoutInCell="1" allowOverlap="1" wp14:anchorId="77483507" wp14:editId="6AE657CE">
                  <wp:simplePos x="0" y="0"/>
                  <wp:positionH relativeFrom="column">
                    <wp:posOffset>3175</wp:posOffset>
                  </wp:positionH>
                  <wp:positionV relativeFrom="paragraph">
                    <wp:posOffset>-4445</wp:posOffset>
                  </wp:positionV>
                  <wp:extent cx="1269153" cy="573559"/>
                  <wp:effectExtent l="0" t="0" r="7620" b="0"/>
                  <wp:wrapNone/>
                  <wp:docPr id="195969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94840"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3118" w:type="dxa"/>
          </w:tcPr>
          <w:p w14:paraId="70C14699" w14:textId="77777777" w:rsidR="005126CB" w:rsidRPr="00514570" w:rsidRDefault="005126CB" w:rsidP="005126CB">
            <w:pPr>
              <w:pStyle w:val="Normal-pool"/>
            </w:pPr>
          </w:p>
        </w:tc>
      </w:tr>
    </w:tbl>
    <w:p w14:paraId="76FA6F75" w14:textId="77777777" w:rsidR="005126CB" w:rsidRPr="00514570" w:rsidRDefault="005126CB" w:rsidP="005126CB">
      <w:pPr>
        <w:pStyle w:val="ASpacer"/>
      </w:pPr>
    </w:p>
    <w:tbl>
      <w:tblPr>
        <w:tblW w:w="9496" w:type="dxa"/>
        <w:tblLook w:val="0000" w:firstRow="0" w:lastRow="0" w:firstColumn="0" w:lastColumn="0" w:noHBand="0" w:noVBand="0"/>
      </w:tblPr>
      <w:tblGrid>
        <w:gridCol w:w="6378"/>
        <w:gridCol w:w="3118"/>
      </w:tblGrid>
      <w:tr w:rsidR="005126CB" w:rsidRPr="00514570" w14:paraId="254B285A" w14:textId="77777777" w:rsidTr="005126CB">
        <w:trPr>
          <w:trHeight w:val="340"/>
        </w:trPr>
        <w:tc>
          <w:tcPr>
            <w:tcW w:w="3358" w:type="pct"/>
            <w:vAlign w:val="bottom"/>
          </w:tcPr>
          <w:p w14:paraId="4EC86228" w14:textId="77777777" w:rsidR="005126CB" w:rsidRPr="00514570" w:rsidRDefault="005126CB" w:rsidP="005126CB">
            <w:pPr>
              <w:pStyle w:val="Normal-pool"/>
            </w:pPr>
          </w:p>
        </w:tc>
        <w:tc>
          <w:tcPr>
            <w:tcW w:w="1642" w:type="pct"/>
            <w:noWrap/>
            <w:vAlign w:val="bottom"/>
          </w:tcPr>
          <w:p w14:paraId="786A6900" w14:textId="64479B8F" w:rsidR="005126CB" w:rsidRPr="00514570" w:rsidRDefault="005126CB" w:rsidP="005126CB">
            <w:pPr>
              <w:pStyle w:val="ASymbol"/>
            </w:pPr>
            <w:r w:rsidRPr="00514570">
              <w:rPr>
                <w:b/>
                <w:sz w:val="28"/>
              </w:rPr>
              <w:t>UNEP</w:t>
            </w:r>
            <w:r w:rsidRPr="00514570">
              <w:t>/OzL.Pro.WG.</w:t>
            </w:r>
            <w:bookmarkStart w:id="0" w:name="Symbol1A"/>
            <w:r w:rsidRPr="00514570">
              <w:t>1</w:t>
            </w:r>
            <w:bookmarkStart w:id="1" w:name="Symbol1B"/>
            <w:bookmarkEnd w:id="0"/>
            <w:r w:rsidRPr="00514570">
              <w:t>/48</w:t>
            </w:r>
            <w:bookmarkStart w:id="2" w:name="Symbol1C"/>
            <w:bookmarkEnd w:id="1"/>
            <w:r w:rsidRPr="00514570">
              <w:t>/</w:t>
            </w:r>
            <w:bookmarkEnd w:id="2"/>
            <w:r w:rsidRPr="00514570">
              <w:t>2</w:t>
            </w:r>
          </w:p>
        </w:tc>
      </w:tr>
    </w:tbl>
    <w:p w14:paraId="56B4CC47" w14:textId="77777777" w:rsidR="005126CB" w:rsidRPr="00514570" w:rsidRDefault="005126CB" w:rsidP="005126CB">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5126CB" w:rsidRPr="00514570" w14:paraId="473B7DA1" w14:textId="77777777" w:rsidTr="005126CB">
        <w:trPr>
          <w:trHeight w:val="2098"/>
        </w:trPr>
        <w:tc>
          <w:tcPr>
            <w:tcW w:w="5386" w:type="dxa"/>
          </w:tcPr>
          <w:p w14:paraId="0A7C1D9D" w14:textId="65C7C93B" w:rsidR="005126CB" w:rsidRPr="00514570" w:rsidRDefault="005126CB" w:rsidP="005126CB">
            <w:pPr>
              <w:pStyle w:val="AConvName"/>
            </w:pPr>
            <w:r w:rsidRPr="00514570">
              <w:t xml:space="preserve">Protocole de Montréal </w:t>
            </w:r>
            <w:r w:rsidRPr="00514570">
              <w:br/>
              <w:t xml:space="preserve">relatif à des substances </w:t>
            </w:r>
            <w:r w:rsidRPr="00514570">
              <w:br/>
              <w:t xml:space="preserve">qui appauvrissent </w:t>
            </w:r>
            <w:r w:rsidRPr="00514570">
              <w:br/>
              <w:t>la couche d</w:t>
            </w:r>
            <w:r w:rsidR="00D02527" w:rsidRPr="00514570">
              <w:t>’</w:t>
            </w:r>
            <w:r w:rsidRPr="00514570">
              <w:t>ozone</w:t>
            </w:r>
          </w:p>
        </w:tc>
        <w:tc>
          <w:tcPr>
            <w:tcW w:w="992" w:type="dxa"/>
          </w:tcPr>
          <w:p w14:paraId="5688B5DF" w14:textId="77777777" w:rsidR="005126CB" w:rsidRPr="00514570" w:rsidRDefault="005126CB" w:rsidP="005126CB">
            <w:pPr>
              <w:pStyle w:val="Normal-pool"/>
            </w:pPr>
          </w:p>
        </w:tc>
        <w:tc>
          <w:tcPr>
            <w:tcW w:w="3118" w:type="dxa"/>
          </w:tcPr>
          <w:p w14:paraId="46B419E5" w14:textId="197D5247" w:rsidR="005126CB" w:rsidRPr="00514570" w:rsidRDefault="005126CB" w:rsidP="005126CB">
            <w:pPr>
              <w:pStyle w:val="AText"/>
            </w:pPr>
            <w:proofErr w:type="spellStart"/>
            <w:r w:rsidRPr="00514570">
              <w:t>Distr</w:t>
            </w:r>
            <w:proofErr w:type="spellEnd"/>
            <w:r w:rsidRPr="00514570">
              <w:t xml:space="preserve">. </w:t>
            </w:r>
            <w:bookmarkStart w:id="3" w:name="Distribution"/>
            <w:r w:rsidRPr="00514570">
              <w:rPr>
                <w:color w:val="000000"/>
              </w:rPr>
              <w:t>générale</w:t>
            </w:r>
            <w:bookmarkEnd w:id="3"/>
            <w:r w:rsidRPr="00514570">
              <w:t xml:space="preserve"> </w:t>
            </w:r>
          </w:p>
          <w:p w14:paraId="7B424B68" w14:textId="26BA2228" w:rsidR="005126CB" w:rsidRPr="00514570" w:rsidRDefault="005126CB" w:rsidP="005126CB">
            <w:pPr>
              <w:pStyle w:val="AText0"/>
            </w:pPr>
            <w:bookmarkStart w:id="4" w:name="DistributionDate"/>
            <w:r w:rsidRPr="00514570">
              <w:rPr>
                <w:color w:val="000000"/>
              </w:rPr>
              <w:t>7 avril 2026</w:t>
            </w:r>
            <w:bookmarkEnd w:id="4"/>
            <w:r w:rsidRPr="00514570">
              <w:t xml:space="preserve"> </w:t>
            </w:r>
          </w:p>
          <w:p w14:paraId="55B621CC" w14:textId="6F912BC8" w:rsidR="005126CB" w:rsidRPr="00514570" w:rsidRDefault="005126CB" w:rsidP="005126CB">
            <w:pPr>
              <w:pStyle w:val="AText"/>
            </w:pPr>
            <w:bookmarkStart w:id="5" w:name="DistributionLang"/>
            <w:r w:rsidRPr="00514570">
              <w:t xml:space="preserve">Français </w:t>
            </w:r>
            <w:r w:rsidRPr="00514570">
              <w:br/>
              <w:t>Original : anglais</w:t>
            </w:r>
            <w:bookmarkEnd w:id="5"/>
          </w:p>
        </w:tc>
      </w:tr>
    </w:tbl>
    <w:p w14:paraId="7211B4F7" w14:textId="77777777" w:rsidR="005126CB" w:rsidRPr="00514570" w:rsidRDefault="005126CB" w:rsidP="005126CB">
      <w:pPr>
        <w:pStyle w:val="ASpacer"/>
      </w:pPr>
    </w:p>
    <w:tbl>
      <w:tblPr>
        <w:tblW w:w="9496" w:type="dxa"/>
        <w:tblLayout w:type="fixed"/>
        <w:tblCellMar>
          <w:left w:w="0" w:type="dxa"/>
          <w:right w:w="0" w:type="dxa"/>
        </w:tblCellMar>
        <w:tblLook w:val="0000" w:firstRow="0" w:lastRow="0" w:firstColumn="0" w:lastColumn="0" w:noHBand="0" w:noVBand="0"/>
      </w:tblPr>
      <w:tblGrid>
        <w:gridCol w:w="5244"/>
        <w:gridCol w:w="4252"/>
      </w:tblGrid>
      <w:tr w:rsidR="005126CB" w:rsidRPr="00514570" w14:paraId="5899351D" w14:textId="77777777" w:rsidTr="005126CB">
        <w:trPr>
          <w:trHeight w:val="57"/>
        </w:trPr>
        <w:tc>
          <w:tcPr>
            <w:tcW w:w="5244" w:type="dxa"/>
          </w:tcPr>
          <w:p w14:paraId="54824A62" w14:textId="0B2CE558" w:rsidR="005126CB" w:rsidRPr="00514570" w:rsidRDefault="005126CB" w:rsidP="005126CB">
            <w:pPr>
              <w:pStyle w:val="AATitle"/>
            </w:pPr>
            <w:bookmarkStart w:id="6" w:name="CorNot1Text"/>
            <w:r w:rsidRPr="00514570">
              <w:t xml:space="preserve">Groupe de travail à composition non limitée des Parties </w:t>
            </w:r>
            <w:r w:rsidRPr="00514570">
              <w:br/>
              <w:t xml:space="preserve">au Protocole de Montréal relatif à des substances </w:t>
            </w:r>
            <w:r w:rsidRPr="00514570">
              <w:br/>
              <w:t>qui appauvrissent la couche d</w:t>
            </w:r>
            <w:r w:rsidR="00D02527" w:rsidRPr="00514570">
              <w:t>’</w:t>
            </w:r>
            <w:r w:rsidRPr="00514570">
              <w:t xml:space="preserve">ozone </w:t>
            </w:r>
          </w:p>
          <w:p w14:paraId="01B51B8F" w14:textId="4EACD9D4" w:rsidR="005126CB" w:rsidRPr="00514570" w:rsidRDefault="005126CB" w:rsidP="005126CB">
            <w:pPr>
              <w:pStyle w:val="AATitle"/>
            </w:pPr>
            <w:r w:rsidRPr="00514570">
              <w:t>Quarante-huitième réunion</w:t>
            </w:r>
            <w:bookmarkEnd w:id="6"/>
            <w:r w:rsidRPr="00514570">
              <w:t xml:space="preserve"> </w:t>
            </w:r>
          </w:p>
          <w:p w14:paraId="075B0172" w14:textId="65B66837" w:rsidR="005126CB" w:rsidRPr="00514570" w:rsidRDefault="005126CB" w:rsidP="005126CB">
            <w:pPr>
              <w:pStyle w:val="AATitle1"/>
            </w:pPr>
            <w:bookmarkStart w:id="7" w:name="CorNot1VenueDate"/>
            <w:r w:rsidRPr="00514570">
              <w:t>Bangkok, 13-17 juillet 2026</w:t>
            </w:r>
            <w:bookmarkEnd w:id="7"/>
            <w:r w:rsidRPr="00514570">
              <w:t xml:space="preserve"> </w:t>
            </w:r>
          </w:p>
          <w:p w14:paraId="06D8B427" w14:textId="14A74723" w:rsidR="005126CB" w:rsidRPr="00514570" w:rsidRDefault="005126CB" w:rsidP="005126CB">
            <w:pPr>
              <w:pStyle w:val="AATitle1"/>
            </w:pPr>
            <w:bookmarkStart w:id="8" w:name="CorNot1AgItem"/>
            <w:r w:rsidRPr="00514570">
              <w:t xml:space="preserve">Points </w:t>
            </w:r>
            <w:r w:rsidRPr="00514570">
              <w:rPr>
                <w:color w:val="000000"/>
              </w:rPr>
              <w:t>3 à 8</w:t>
            </w:r>
            <w:r w:rsidRPr="00514570">
              <w:t xml:space="preserve"> de l</w:t>
            </w:r>
            <w:r w:rsidR="00D02527" w:rsidRPr="00514570">
              <w:t>’</w:t>
            </w:r>
            <w:r w:rsidRPr="00514570">
              <w:t>ordre du jour provisoire</w:t>
            </w:r>
            <w:bookmarkEnd w:id="8"/>
            <w:r w:rsidRPr="00514570">
              <w:rPr>
                <w:rStyle w:val="FootnoteReference"/>
                <w:rFonts w:eastAsia="SimSun"/>
                <w:color w:val="000000"/>
                <w:vertAlign w:val="baseline"/>
              </w:rPr>
              <w:footnoteReference w:customMarkFollows="1" w:id="2"/>
              <w:t>*</w:t>
            </w:r>
          </w:p>
        </w:tc>
        <w:tc>
          <w:tcPr>
            <w:tcW w:w="4252" w:type="dxa"/>
          </w:tcPr>
          <w:p w14:paraId="4860CF0E" w14:textId="77777777" w:rsidR="005126CB" w:rsidRDefault="005126CB" w:rsidP="005126CB">
            <w:pPr>
              <w:pStyle w:val="Normal-pool"/>
            </w:pPr>
          </w:p>
          <w:p w14:paraId="4283E29B" w14:textId="44F41750" w:rsidR="00514570" w:rsidRPr="00514570" w:rsidRDefault="00514570" w:rsidP="00514570">
            <w:pPr>
              <w:tabs>
                <w:tab w:val="clear" w:pos="1814"/>
                <w:tab w:val="clear" w:pos="2381"/>
                <w:tab w:val="clear" w:pos="2948"/>
                <w:tab w:val="clear" w:pos="3515"/>
              </w:tabs>
              <w:rPr>
                <w:lang w:eastAsia="zh-CN"/>
              </w:rPr>
            </w:pPr>
            <w:r>
              <w:rPr>
                <w:lang w:eastAsia="zh-CN"/>
              </w:rPr>
              <w:tab/>
            </w:r>
          </w:p>
        </w:tc>
      </w:tr>
    </w:tbl>
    <w:p w14:paraId="0AEF3A66" w14:textId="77777777" w:rsidR="00167C2D" w:rsidRPr="00514570" w:rsidRDefault="00167C2D" w:rsidP="00167C2D">
      <w:pPr>
        <w:pStyle w:val="ASpacer"/>
        <w:rPr>
          <w:rFonts w:eastAsiaTheme="minorEastAsia"/>
        </w:rPr>
      </w:pPr>
    </w:p>
    <w:p w14:paraId="2EFE4640" w14:textId="4AFECA32" w:rsidR="00323A74" w:rsidRPr="00514570" w:rsidRDefault="00323A74" w:rsidP="005C2CDC">
      <w:pPr>
        <w:pStyle w:val="BBTitle"/>
        <w:spacing w:after="120"/>
      </w:pPr>
      <w:r w:rsidRPr="00514570">
        <w:rPr>
          <w:bCs/>
        </w:rPr>
        <w:t>Questions portées à l</w:t>
      </w:r>
      <w:r w:rsidR="00D02527" w:rsidRPr="00514570">
        <w:rPr>
          <w:bCs/>
        </w:rPr>
        <w:t>’</w:t>
      </w:r>
      <w:r w:rsidRPr="00514570">
        <w:rPr>
          <w:bCs/>
        </w:rPr>
        <w:t>attention du Groupe de travail à</w:t>
      </w:r>
      <w:r w:rsidR="00635BFC" w:rsidRPr="00514570">
        <w:rPr>
          <w:bCs/>
        </w:rPr>
        <w:t> </w:t>
      </w:r>
      <w:r w:rsidRPr="00514570">
        <w:rPr>
          <w:bCs/>
        </w:rPr>
        <w:t>composition non limitée des Parties au Protocole de</w:t>
      </w:r>
      <w:r w:rsidR="00B7624D" w:rsidRPr="00514570">
        <w:rPr>
          <w:bCs/>
        </w:rPr>
        <w:t> </w:t>
      </w:r>
      <w:r w:rsidRPr="00514570">
        <w:rPr>
          <w:bCs/>
        </w:rPr>
        <w:t>Montréal à sa quarante-huitième</w:t>
      </w:r>
      <w:r w:rsidR="00B7624D" w:rsidRPr="00514570">
        <w:rPr>
          <w:bCs/>
        </w:rPr>
        <w:t> </w:t>
      </w:r>
      <w:r w:rsidRPr="00514570">
        <w:rPr>
          <w:bCs/>
        </w:rPr>
        <w:t>réunion, pour examen et information</w:t>
      </w:r>
    </w:p>
    <w:p w14:paraId="6BD9C636" w14:textId="77777777" w:rsidR="00323A74" w:rsidRPr="00514570" w:rsidRDefault="00323A74" w:rsidP="005C2CDC">
      <w:pPr>
        <w:pStyle w:val="CH2"/>
        <w:keepNext w:val="0"/>
        <w:keepLines w:val="0"/>
        <w:spacing w:before="120" w:after="240"/>
      </w:pPr>
      <w:r w:rsidRPr="00514570">
        <w:tab/>
      </w:r>
      <w:r w:rsidRPr="00514570">
        <w:tab/>
      </w:r>
      <w:r w:rsidRPr="00514570">
        <w:rPr>
          <w:bCs/>
        </w:rPr>
        <w:t>Note du Secrétariat</w:t>
      </w:r>
    </w:p>
    <w:p w14:paraId="1C95F1F7" w14:textId="2898C53B" w:rsidR="00323A74" w:rsidRPr="00514570" w:rsidRDefault="00051B53" w:rsidP="00323A74">
      <w:pPr>
        <w:pStyle w:val="CH1"/>
      </w:pPr>
      <w:r w:rsidRPr="00514570">
        <w:rPr>
          <w:bCs/>
        </w:rPr>
        <w:tab/>
        <w:t>I.</w:t>
      </w:r>
      <w:r w:rsidRPr="00514570">
        <w:rPr>
          <w:bCs/>
        </w:rPr>
        <w:tab/>
      </w:r>
      <w:r w:rsidR="00323A74" w:rsidRPr="00514570">
        <w:rPr>
          <w:bCs/>
        </w:rPr>
        <w:t>Introduction</w:t>
      </w:r>
    </w:p>
    <w:p w14:paraId="3F705D62" w14:textId="02C6C48E" w:rsidR="00323A74" w:rsidRPr="00514570" w:rsidRDefault="00323A74" w:rsidP="00323A74">
      <w:pPr>
        <w:pStyle w:val="Normalnumber"/>
        <w:tabs>
          <w:tab w:val="clear" w:pos="1247"/>
          <w:tab w:val="clear" w:pos="1814"/>
          <w:tab w:val="clear" w:pos="2381"/>
          <w:tab w:val="clear" w:pos="2948"/>
          <w:tab w:val="clear" w:pos="3515"/>
        </w:tabs>
      </w:pPr>
      <w:r w:rsidRPr="00514570">
        <w:t>La présente</w:t>
      </w:r>
      <w:r w:rsidR="00B23EDE" w:rsidRPr="00514570">
        <w:t> </w:t>
      </w:r>
      <w:r w:rsidRPr="00514570">
        <w:t>note donne un aperçu des questions inscrites à l</w:t>
      </w:r>
      <w:r w:rsidR="00D02527" w:rsidRPr="00514570">
        <w:t>’</w:t>
      </w:r>
      <w:r w:rsidRPr="00514570">
        <w:t>ordre du jour provisoire de la quarante-huitième</w:t>
      </w:r>
      <w:r w:rsidR="00B23EDE" w:rsidRPr="00514570">
        <w:t> </w:t>
      </w:r>
      <w:r w:rsidRPr="00514570">
        <w:t>réunion du Groupe de travail à composition non limitée des Parties au Protocole de Montréal relatif à des substances qui appauvrissent la couche d</w:t>
      </w:r>
      <w:r w:rsidR="00D02527" w:rsidRPr="00514570">
        <w:t>’</w:t>
      </w:r>
      <w:r w:rsidRPr="00514570">
        <w:t>ozone. La section</w:t>
      </w:r>
      <w:r w:rsidR="0097769E" w:rsidRPr="00514570">
        <w:t> </w:t>
      </w:r>
      <w:r w:rsidRPr="00514570">
        <w:t>II contient un résumé des questions qui feront l</w:t>
      </w:r>
      <w:r w:rsidR="00D02527" w:rsidRPr="00514570">
        <w:t>’</w:t>
      </w:r>
      <w:r w:rsidRPr="00514570">
        <w:t>objet d</w:t>
      </w:r>
      <w:r w:rsidR="00D02527" w:rsidRPr="00514570">
        <w:t>’</w:t>
      </w:r>
      <w:r w:rsidRPr="00514570">
        <w:t>un examen par le Groupe de travail à composition non limitée. La section</w:t>
      </w:r>
      <w:r w:rsidR="00B643DF" w:rsidRPr="00514570">
        <w:t> </w:t>
      </w:r>
      <w:r w:rsidRPr="00514570">
        <w:t>III contient des informations qui ne feront pas l</w:t>
      </w:r>
      <w:r w:rsidR="00D02527" w:rsidRPr="00514570">
        <w:t>’</w:t>
      </w:r>
      <w:r w:rsidRPr="00514570">
        <w:t>objet d</w:t>
      </w:r>
      <w:r w:rsidR="00D02527" w:rsidRPr="00514570">
        <w:t>’</w:t>
      </w:r>
      <w:r w:rsidRPr="00514570">
        <w:t>un examen par le Groupe de travail à composition non limitée lors de sa quarante-huitième</w:t>
      </w:r>
      <w:r w:rsidR="00C713B6" w:rsidRPr="00514570">
        <w:t> </w:t>
      </w:r>
      <w:r w:rsidRPr="00514570">
        <w:t>réunion, mais qui présentent un intérêt pour la trente-huitième</w:t>
      </w:r>
      <w:r w:rsidR="00741C56" w:rsidRPr="00514570">
        <w:t> </w:t>
      </w:r>
      <w:r w:rsidRPr="00514570">
        <w:t>Réunion des Parties au Protocole de</w:t>
      </w:r>
      <w:r w:rsidR="00780A7E" w:rsidRPr="00514570">
        <w:t> </w:t>
      </w:r>
      <w:r w:rsidRPr="00514570">
        <w:t>Montréal et les manifestations connexes. Ces informations comprennent des données sur l</w:t>
      </w:r>
      <w:r w:rsidR="00D02527" w:rsidRPr="00514570">
        <w:t>’</w:t>
      </w:r>
      <w:r w:rsidRPr="00514570">
        <w:t>état d</w:t>
      </w:r>
      <w:r w:rsidR="00D02527" w:rsidRPr="00514570">
        <w:t>’</w:t>
      </w:r>
      <w:r w:rsidRPr="00514570">
        <w:t>avancement de la mise en œuvre des décisions adoptées par la trente-huitième</w:t>
      </w:r>
      <w:r w:rsidR="00EB2CFD" w:rsidRPr="00514570">
        <w:t> </w:t>
      </w:r>
      <w:r w:rsidRPr="00514570">
        <w:t>Réunion des Parties et nécessitant des mesures concrètes, notamment celles visant à renforcer la surveillance atmosphérique régionale des substances réglementées par le Protocole de Montréal</w:t>
      </w:r>
      <w:r w:rsidR="004E4745" w:rsidRPr="00514570">
        <w:t> </w:t>
      </w:r>
      <w:r w:rsidRPr="00514570">
        <w:t xml:space="preserve">; des informations sur les communications </w:t>
      </w:r>
      <w:r w:rsidR="00181DC1" w:rsidRPr="00514570">
        <w:t>soumises par les</w:t>
      </w:r>
      <w:r w:rsidRPr="00514570">
        <w:t xml:space="preserve"> Parties en </w:t>
      </w:r>
      <w:r w:rsidR="004F4078" w:rsidRPr="00514570">
        <w:t>application de</w:t>
      </w:r>
      <w:r w:rsidRPr="00514570">
        <w:t xml:space="preserve"> la décision</w:t>
      </w:r>
      <w:r w:rsidR="0072432C" w:rsidRPr="00514570">
        <w:t> </w:t>
      </w:r>
      <w:r w:rsidRPr="00514570">
        <w:t>XXXVI/3 concernant les émissions de HFC-23, ainsi que sur l</w:t>
      </w:r>
      <w:r w:rsidR="00D02527" w:rsidRPr="00514570">
        <w:t>’</w:t>
      </w:r>
      <w:r w:rsidRPr="00514570">
        <w:t>élaboration, par le Groupe de l</w:t>
      </w:r>
      <w:r w:rsidR="00D02527" w:rsidRPr="00514570">
        <w:t>’</w:t>
      </w:r>
      <w:r w:rsidRPr="00514570">
        <w:t>évaluation technique et économique et le Groupe de l</w:t>
      </w:r>
      <w:r w:rsidR="00D02527" w:rsidRPr="00514570">
        <w:t>’</w:t>
      </w:r>
      <w:r w:rsidRPr="00514570">
        <w:t xml:space="preserve">évaluation scientifique, des </w:t>
      </w:r>
      <w:r w:rsidR="00181DC1" w:rsidRPr="00514570">
        <w:t xml:space="preserve">versions </w:t>
      </w:r>
      <w:r w:rsidRPr="00514570">
        <w:t>mises à jour de leurs rapports sur le HFC-23 établis comme suite à la décision</w:t>
      </w:r>
      <w:r w:rsidR="0072432C" w:rsidRPr="00514570">
        <w:t> </w:t>
      </w:r>
      <w:r w:rsidRPr="00514570">
        <w:t>XXXVII/2</w:t>
      </w:r>
      <w:r w:rsidR="004E4745" w:rsidRPr="00514570">
        <w:t> </w:t>
      </w:r>
      <w:r w:rsidRPr="00514570">
        <w:t>; des informations reçues des Parties sur les initiatives nationales et régionales à l</w:t>
      </w:r>
      <w:r w:rsidR="00D02527" w:rsidRPr="00514570">
        <w:t>’</w:t>
      </w:r>
      <w:r w:rsidRPr="00514570">
        <w:t>appui de la mise en œuvre de l</w:t>
      </w:r>
      <w:r w:rsidR="00D02527" w:rsidRPr="00514570">
        <w:t>’</w:t>
      </w:r>
      <w:r w:rsidRPr="00514570">
        <w:t>Amendement de</w:t>
      </w:r>
      <w:r w:rsidR="0072432C" w:rsidRPr="00514570">
        <w:t> </w:t>
      </w:r>
      <w:r w:rsidRPr="00514570">
        <w:t>Kigali au Protocole de</w:t>
      </w:r>
      <w:r w:rsidR="0072432C" w:rsidRPr="00514570">
        <w:t> </w:t>
      </w:r>
      <w:r w:rsidRPr="00514570">
        <w:t>Montréal</w:t>
      </w:r>
      <w:r w:rsidR="004E4745" w:rsidRPr="00514570">
        <w:t> </w:t>
      </w:r>
      <w:r w:rsidRPr="00514570">
        <w:t xml:space="preserve">; ainsi que des informations sur les substances réglementées recyclées, réutilisées ou </w:t>
      </w:r>
      <w:r w:rsidR="00181DC1" w:rsidRPr="00514570">
        <w:t>non désirées</w:t>
      </w:r>
      <w:r w:rsidRPr="00514570">
        <w:t>.</w:t>
      </w:r>
    </w:p>
    <w:p w14:paraId="54BB4B79" w14:textId="34659A5C" w:rsidR="00323A74" w:rsidRPr="00514570" w:rsidRDefault="00323A74" w:rsidP="00323A74">
      <w:pPr>
        <w:pStyle w:val="Normalnumber"/>
        <w:tabs>
          <w:tab w:val="clear" w:pos="1247"/>
          <w:tab w:val="clear" w:pos="1814"/>
          <w:tab w:val="clear" w:pos="2381"/>
          <w:tab w:val="clear" w:pos="2948"/>
          <w:tab w:val="clear" w:pos="3515"/>
        </w:tabs>
      </w:pPr>
      <w:r w:rsidRPr="00514570">
        <w:t>De plus amples informations sur plusieurs points de l</w:t>
      </w:r>
      <w:r w:rsidR="00D02527" w:rsidRPr="00514570">
        <w:t>’</w:t>
      </w:r>
      <w:r w:rsidRPr="00514570">
        <w:t>ordre du jour seront fournies dans un additif à la présente</w:t>
      </w:r>
      <w:r w:rsidR="00D36025" w:rsidRPr="00514570">
        <w:t> </w:t>
      </w:r>
      <w:r w:rsidRPr="00514570">
        <w:t>note (UNEP/OzL.Pro.WG.1/4</w:t>
      </w:r>
      <w:r w:rsidR="00441420" w:rsidRPr="00514570">
        <w:t>8</w:t>
      </w:r>
      <w:r w:rsidRPr="00514570">
        <w:t>/2/Add.1) une fois achevé</w:t>
      </w:r>
      <w:r w:rsidR="00A72CB1" w:rsidRPr="00514570">
        <w:t>s</w:t>
      </w:r>
      <w:r w:rsidRPr="00514570">
        <w:t xml:space="preserve"> les volumes</w:t>
      </w:r>
      <w:r w:rsidR="00D36025" w:rsidRPr="00514570">
        <w:t> </w:t>
      </w:r>
      <w:r w:rsidRPr="00514570">
        <w:t>1 (rapport d</w:t>
      </w:r>
      <w:r w:rsidR="00D02527" w:rsidRPr="00514570">
        <w:t>’</w:t>
      </w:r>
      <w:r w:rsidRPr="00514570">
        <w:t>activité) et 2 (rapport de l</w:t>
      </w:r>
      <w:r w:rsidR="00D02527" w:rsidRPr="00514570">
        <w:t>’</w:t>
      </w:r>
      <w:r w:rsidRPr="00514570">
        <w:t>équipe spéciale créée comme suit à la décision</w:t>
      </w:r>
      <w:r w:rsidR="00D36025" w:rsidRPr="00514570">
        <w:t> </w:t>
      </w:r>
      <w:r w:rsidRPr="00514570">
        <w:t>XXXVII/6) de l</w:t>
      </w:r>
      <w:r w:rsidR="00D02527" w:rsidRPr="00514570">
        <w:t>’</w:t>
      </w:r>
      <w:r w:rsidRPr="00514570">
        <w:t>édition 2026 du rapport du Groupe de l</w:t>
      </w:r>
      <w:r w:rsidR="00D02527" w:rsidRPr="00514570">
        <w:t>’</w:t>
      </w:r>
      <w:r w:rsidRPr="00514570">
        <w:t>évaluation technique et économique. Les deux volumes devraient être publiés en mai 2026 et chargés sur le portail de la quarante-huitième</w:t>
      </w:r>
      <w:r w:rsidR="00D36025" w:rsidRPr="00514570">
        <w:t> </w:t>
      </w:r>
      <w:r w:rsidRPr="00514570">
        <w:t>réunion du Groupe de travail à composition non limitée. Le volume</w:t>
      </w:r>
      <w:r w:rsidR="00D36025" w:rsidRPr="00514570">
        <w:t> </w:t>
      </w:r>
      <w:r w:rsidRPr="00514570">
        <w:t>2 portera sur le point</w:t>
      </w:r>
      <w:r w:rsidR="00D36025" w:rsidRPr="00514570">
        <w:t> </w:t>
      </w:r>
      <w:r w:rsidRPr="00514570">
        <w:t>3 de l</w:t>
      </w:r>
      <w:r w:rsidR="00D02527" w:rsidRPr="00514570">
        <w:t>’</w:t>
      </w:r>
      <w:r w:rsidRPr="00514570">
        <w:t>ordre du jour provisoire, consacré à la reconstitution du Fonds multilatéral aux fins d</w:t>
      </w:r>
      <w:r w:rsidR="00D02527" w:rsidRPr="00514570">
        <w:t>’</w:t>
      </w:r>
      <w:r w:rsidRPr="00514570">
        <w:t>application du Protocole de</w:t>
      </w:r>
      <w:r w:rsidR="00D36025" w:rsidRPr="00514570">
        <w:t> </w:t>
      </w:r>
      <w:r w:rsidRPr="00514570">
        <w:t>Montréal pour la période</w:t>
      </w:r>
      <w:r w:rsidR="00D36025" w:rsidRPr="00514570">
        <w:t> </w:t>
      </w:r>
      <w:r w:rsidRPr="00514570">
        <w:t>2027-2029, tandis que le volume</w:t>
      </w:r>
      <w:r w:rsidR="008A4936" w:rsidRPr="00514570">
        <w:t> </w:t>
      </w:r>
      <w:r w:rsidRPr="00514570">
        <w:t>1 portera sur le point</w:t>
      </w:r>
      <w:r w:rsidR="00D36025" w:rsidRPr="00514570">
        <w:t> </w:t>
      </w:r>
      <w:r w:rsidRPr="00514570">
        <w:t>4, consacré aux exposés du Groupe de l</w:t>
      </w:r>
      <w:r w:rsidR="00D02527" w:rsidRPr="00514570">
        <w:t>’</w:t>
      </w:r>
      <w:r w:rsidRPr="00514570">
        <w:t>évaluation technique et économique sur son rapport d</w:t>
      </w:r>
      <w:r w:rsidR="00D02527" w:rsidRPr="00514570">
        <w:t>’</w:t>
      </w:r>
      <w:r w:rsidRPr="00514570">
        <w:t>activité pour 2026 et aux débats sur les sujets clés abordés dans ce rapport, y</w:t>
      </w:r>
      <w:r w:rsidR="00B23EDE" w:rsidRPr="00514570">
        <w:t> </w:t>
      </w:r>
      <w:r w:rsidRPr="00514570">
        <w:t xml:space="preserve">compris les questions que les Parties ont demandé au Groupe de </w:t>
      </w:r>
      <w:r w:rsidRPr="00514570">
        <w:lastRenderedPageBreak/>
        <w:t>couvrir dans ce document. L</w:t>
      </w:r>
      <w:r w:rsidR="00D02527" w:rsidRPr="00514570">
        <w:t>’</w:t>
      </w:r>
      <w:r w:rsidRPr="00514570">
        <w:t>additif contiendra un résumé des deux</w:t>
      </w:r>
      <w:r w:rsidR="00D646EB" w:rsidRPr="00514570">
        <w:t> </w:t>
      </w:r>
      <w:r w:rsidRPr="00514570">
        <w:t>volumes ainsi que des mises à jour des informations fournies par le Secrétariat dans la présente</w:t>
      </w:r>
      <w:r w:rsidR="00D36025" w:rsidRPr="00514570">
        <w:t> </w:t>
      </w:r>
      <w:r w:rsidRPr="00514570">
        <w:t>note.</w:t>
      </w:r>
      <w:bookmarkStart w:id="9" w:name="_Hlk162196883"/>
      <w:bookmarkEnd w:id="9"/>
    </w:p>
    <w:p w14:paraId="304B36C0" w14:textId="37E2D3E2" w:rsidR="00323A74" w:rsidRPr="00514570" w:rsidRDefault="00323A74" w:rsidP="00A8392C">
      <w:pPr>
        <w:pStyle w:val="Normalnumber"/>
        <w:keepNext/>
        <w:keepLines/>
        <w:tabs>
          <w:tab w:val="clear" w:pos="1247"/>
          <w:tab w:val="clear" w:pos="1814"/>
          <w:tab w:val="clear" w:pos="2381"/>
          <w:tab w:val="clear" w:pos="2948"/>
          <w:tab w:val="clear" w:pos="3515"/>
        </w:tabs>
      </w:pPr>
      <w:r w:rsidRPr="00514570">
        <w:t>Les questions qui ne sont pas directement liées à l</w:t>
      </w:r>
      <w:r w:rsidR="00D02527" w:rsidRPr="00514570">
        <w:t>’</w:t>
      </w:r>
      <w:r w:rsidRPr="00514570">
        <w:t>application du Protocole de</w:t>
      </w:r>
      <w:r w:rsidR="00D36025" w:rsidRPr="00514570">
        <w:t> </w:t>
      </w:r>
      <w:r w:rsidRPr="00514570">
        <w:t>Montréal ou des décisions issues des Réunions des Parties, mais qui peuvent tout de même présenter un intérêt pour les Parties, seront abordées dans une note d</w:t>
      </w:r>
      <w:r w:rsidR="00D02527" w:rsidRPr="00514570">
        <w:t>’</w:t>
      </w:r>
      <w:r w:rsidRPr="00514570">
        <w:t>information sur les questions que le Secrétariat souhaiterait porter à l</w:t>
      </w:r>
      <w:r w:rsidR="00D02527" w:rsidRPr="00514570">
        <w:t>’</w:t>
      </w:r>
      <w:r w:rsidRPr="00514570">
        <w:t>attention des Parties (UNEP/OzL.Pro.WG.1/48/INF/2). Cette note contiendra des informations sur les activités entreprises par le Secrétariat, sa coopération avec le Programme des Nations Unies pour l</w:t>
      </w:r>
      <w:r w:rsidR="00D02527" w:rsidRPr="00514570">
        <w:t>’</w:t>
      </w:r>
      <w:r w:rsidRPr="00514570">
        <w:t>environnement (PNUE) et d</w:t>
      </w:r>
      <w:r w:rsidR="00D02527" w:rsidRPr="00514570">
        <w:t>’</w:t>
      </w:r>
      <w:r w:rsidRPr="00514570">
        <w:t>autres organismes et ses contributions à leurs travaux, et sa participation aux activités et réunions pertinentes depuis la trente-septième Réunion des Parties au Protocole de</w:t>
      </w:r>
      <w:r w:rsidR="00E94A1E" w:rsidRPr="00514570">
        <w:t> </w:t>
      </w:r>
      <w:r w:rsidRPr="00514570">
        <w:t>Montréal, qui s</w:t>
      </w:r>
      <w:r w:rsidR="00D02527" w:rsidRPr="00514570">
        <w:t>’</w:t>
      </w:r>
      <w:r w:rsidRPr="00514570">
        <w:t>est tenue du 3 au 7 novembre 2025.</w:t>
      </w:r>
    </w:p>
    <w:p w14:paraId="50803CC4" w14:textId="1F2D7015" w:rsidR="00323A74" w:rsidRPr="00514570" w:rsidRDefault="00DD2CBA" w:rsidP="00323A74">
      <w:pPr>
        <w:pStyle w:val="CH1"/>
      </w:pPr>
      <w:r w:rsidRPr="00514570">
        <w:rPr>
          <w:bCs/>
        </w:rPr>
        <w:tab/>
        <w:t>II.</w:t>
      </w:r>
      <w:r w:rsidR="00323A74" w:rsidRPr="00514570">
        <w:tab/>
      </w:r>
      <w:r w:rsidR="00323A74" w:rsidRPr="00514570">
        <w:rPr>
          <w:bCs/>
        </w:rPr>
        <w:t>Résumé des questions devant être examinées par le Groupe de</w:t>
      </w:r>
      <w:r w:rsidR="00B7624D" w:rsidRPr="00514570">
        <w:rPr>
          <w:bCs/>
        </w:rPr>
        <w:t> </w:t>
      </w:r>
      <w:r w:rsidR="00323A74" w:rsidRPr="00514570">
        <w:rPr>
          <w:bCs/>
        </w:rPr>
        <w:t>travail à composition non limitée à sa quarante-huitième</w:t>
      </w:r>
      <w:r w:rsidR="00A72CB1" w:rsidRPr="00514570">
        <w:rPr>
          <w:bCs/>
        </w:rPr>
        <w:t xml:space="preserve"> </w:t>
      </w:r>
      <w:r w:rsidR="00323A74" w:rsidRPr="00514570">
        <w:rPr>
          <w:bCs/>
        </w:rPr>
        <w:t>réunion</w:t>
      </w:r>
    </w:p>
    <w:p w14:paraId="62A7FCF3" w14:textId="69888034" w:rsidR="00323A74" w:rsidRPr="00514570" w:rsidRDefault="00323A74" w:rsidP="00323A74">
      <w:pPr>
        <w:pStyle w:val="CH2"/>
      </w:pPr>
      <w:r w:rsidRPr="00514570">
        <w:tab/>
      </w:r>
      <w:r w:rsidRPr="00514570">
        <w:tab/>
      </w:r>
      <w:r w:rsidRPr="00514570">
        <w:rPr>
          <w:bCs/>
        </w:rPr>
        <w:t>Point</w:t>
      </w:r>
      <w:r w:rsidR="00B7624D" w:rsidRPr="00514570">
        <w:rPr>
          <w:bCs/>
        </w:rPr>
        <w:t> </w:t>
      </w:r>
      <w:r w:rsidRPr="00514570">
        <w:rPr>
          <w:bCs/>
        </w:rPr>
        <w:t>3 de l</w:t>
      </w:r>
      <w:r w:rsidR="00D02527" w:rsidRPr="00514570">
        <w:rPr>
          <w:bCs/>
        </w:rPr>
        <w:t>’</w:t>
      </w:r>
      <w:r w:rsidRPr="00514570">
        <w:rPr>
          <w:bCs/>
        </w:rPr>
        <w:t>ordre du jour</w:t>
      </w:r>
    </w:p>
    <w:p w14:paraId="619FD6A2" w14:textId="45B2A1A9" w:rsidR="00323A74" w:rsidRPr="00514570" w:rsidRDefault="00323A74" w:rsidP="00323A74">
      <w:pPr>
        <w:pStyle w:val="CH2"/>
        <w:spacing w:before="120"/>
      </w:pPr>
      <w:r w:rsidRPr="00514570">
        <w:tab/>
      </w:r>
      <w:r w:rsidRPr="00514570">
        <w:tab/>
      </w:r>
      <w:r w:rsidRPr="00514570">
        <w:rPr>
          <w:bCs/>
        </w:rPr>
        <w:t>Rapport du Groupe de l</w:t>
      </w:r>
      <w:r w:rsidR="00D02527" w:rsidRPr="00514570">
        <w:rPr>
          <w:bCs/>
        </w:rPr>
        <w:t>’</w:t>
      </w:r>
      <w:r w:rsidRPr="00514570">
        <w:rPr>
          <w:bCs/>
        </w:rPr>
        <w:t>évaluation technique et économique sur</w:t>
      </w:r>
      <w:r w:rsidR="00CB3DC6" w:rsidRPr="00514570">
        <w:rPr>
          <w:bCs/>
        </w:rPr>
        <w:t> </w:t>
      </w:r>
      <w:r w:rsidRPr="00514570">
        <w:rPr>
          <w:bCs/>
        </w:rPr>
        <w:t>la</w:t>
      </w:r>
      <w:r w:rsidR="00B7624D" w:rsidRPr="00514570">
        <w:rPr>
          <w:bCs/>
        </w:rPr>
        <w:t> </w:t>
      </w:r>
      <w:r w:rsidRPr="00514570">
        <w:rPr>
          <w:bCs/>
        </w:rPr>
        <w:t>reconstitution du Fonds multilatéral aux fins d</w:t>
      </w:r>
      <w:r w:rsidR="00D02527" w:rsidRPr="00514570">
        <w:rPr>
          <w:bCs/>
        </w:rPr>
        <w:t>’</w:t>
      </w:r>
      <w:r w:rsidRPr="00514570">
        <w:rPr>
          <w:bCs/>
        </w:rPr>
        <w:t>application du Protocole de</w:t>
      </w:r>
      <w:r w:rsidR="00B7624D" w:rsidRPr="00514570">
        <w:rPr>
          <w:bCs/>
        </w:rPr>
        <w:t> </w:t>
      </w:r>
      <w:r w:rsidRPr="00514570">
        <w:rPr>
          <w:bCs/>
        </w:rPr>
        <w:t>Montréal pour la période</w:t>
      </w:r>
      <w:r w:rsidR="002D6AEA" w:rsidRPr="00514570">
        <w:rPr>
          <w:bCs/>
        </w:rPr>
        <w:t> </w:t>
      </w:r>
      <w:r w:rsidRPr="00514570">
        <w:rPr>
          <w:bCs/>
        </w:rPr>
        <w:t>2027-2029 (décision</w:t>
      </w:r>
      <w:r w:rsidR="00D02527" w:rsidRPr="00514570">
        <w:rPr>
          <w:bCs/>
        </w:rPr>
        <w:t> </w:t>
      </w:r>
      <w:r w:rsidRPr="00514570">
        <w:rPr>
          <w:bCs/>
        </w:rPr>
        <w:t>XXXVII/6)</w:t>
      </w:r>
    </w:p>
    <w:p w14:paraId="4BF9F552" w14:textId="40B7BD05" w:rsidR="00323A74" w:rsidRPr="00514570" w:rsidRDefault="00323A74" w:rsidP="00E23C9E">
      <w:pPr>
        <w:pStyle w:val="Normalnumber"/>
        <w:tabs>
          <w:tab w:val="clear" w:pos="1247"/>
          <w:tab w:val="clear" w:pos="1814"/>
          <w:tab w:val="clear" w:pos="2381"/>
          <w:tab w:val="clear" w:pos="2948"/>
          <w:tab w:val="clear" w:pos="3515"/>
        </w:tabs>
      </w:pPr>
      <w:r w:rsidRPr="00514570">
        <w:t>La trente-septième</w:t>
      </w:r>
      <w:r w:rsidR="00D02527" w:rsidRPr="00514570">
        <w:t> </w:t>
      </w:r>
      <w:r w:rsidRPr="00514570">
        <w:t>Réunion des Parties a adopté la décision</w:t>
      </w:r>
      <w:r w:rsidR="005E3F4F" w:rsidRPr="00514570">
        <w:t> </w:t>
      </w:r>
      <w:r w:rsidRPr="00514570">
        <w:t>XXXVII/6 sur le cadre de l</w:t>
      </w:r>
      <w:r w:rsidR="00D02527" w:rsidRPr="00514570">
        <w:t>’</w:t>
      </w:r>
      <w:r w:rsidRPr="00514570">
        <w:t>étude sur la reconstitution du Fonds multilatéral aux fins d</w:t>
      </w:r>
      <w:r w:rsidR="00D02527" w:rsidRPr="00514570">
        <w:t>’</w:t>
      </w:r>
      <w:r w:rsidRPr="00514570">
        <w:t>application du Protocole de Montréal pour la période 2027-2029. Dans cette décision, le Groupe de l</w:t>
      </w:r>
      <w:r w:rsidR="00D02527" w:rsidRPr="00514570">
        <w:t>’</w:t>
      </w:r>
      <w:r w:rsidRPr="00514570">
        <w:t>évaluation technique et économique était prié d</w:t>
      </w:r>
      <w:r w:rsidR="00D02527" w:rsidRPr="00514570">
        <w:t>’</w:t>
      </w:r>
      <w:r w:rsidRPr="00514570">
        <w:t>établir un rapport à soumettre au Groupe de travail à composition non limitée des Parties à sa quarante-huitième</w:t>
      </w:r>
      <w:r w:rsidR="00D36025" w:rsidRPr="00514570">
        <w:t> </w:t>
      </w:r>
      <w:r w:rsidRPr="00514570">
        <w:t>réunion pour transmission à la trente-huitième</w:t>
      </w:r>
      <w:r w:rsidR="00DC66F6" w:rsidRPr="00514570">
        <w:t> </w:t>
      </w:r>
      <w:r w:rsidRPr="00514570">
        <w:t>Réunion des Parties au Protocole de</w:t>
      </w:r>
      <w:r w:rsidR="000D6662" w:rsidRPr="00514570">
        <w:t> </w:t>
      </w:r>
      <w:r w:rsidRPr="00514570">
        <w:t>Montréal, afin que cette dernière puisse adopter une décision concernant le montant approprié de la reconstitution du Fonds multilatéral pour la période</w:t>
      </w:r>
      <w:r w:rsidR="001716FC" w:rsidRPr="00514570">
        <w:t> </w:t>
      </w:r>
      <w:r w:rsidRPr="00514570">
        <w:t>2027-2029.</w:t>
      </w:r>
    </w:p>
    <w:p w14:paraId="4F4516EA" w14:textId="5481B2CE" w:rsidR="00323A74" w:rsidRPr="00514570" w:rsidRDefault="001773CD" w:rsidP="00E23C9E">
      <w:pPr>
        <w:pStyle w:val="Normalnumber"/>
        <w:tabs>
          <w:tab w:val="clear" w:pos="1247"/>
          <w:tab w:val="clear" w:pos="1814"/>
          <w:tab w:val="clear" w:pos="2381"/>
          <w:tab w:val="clear" w:pos="2948"/>
          <w:tab w:val="clear" w:pos="3515"/>
        </w:tabs>
      </w:pPr>
      <w:r w:rsidRPr="00514570">
        <w:t>Il a été demandé au Groupe, lors de l</w:t>
      </w:r>
      <w:r w:rsidR="00D02527" w:rsidRPr="00514570">
        <w:t>’</w:t>
      </w:r>
      <w:r w:rsidRPr="00514570">
        <w:t xml:space="preserve">élaboration du rapport, de tenir compte de toutes les mesures de </w:t>
      </w:r>
      <w:r w:rsidR="00181DC1" w:rsidRPr="00514570">
        <w:t>réglementation</w:t>
      </w:r>
      <w:r w:rsidRPr="00514570">
        <w:t xml:space="preserve"> et décisions adoptées par les Réunions des Parties jusqu</w:t>
      </w:r>
      <w:r w:rsidR="00D02527" w:rsidRPr="00514570">
        <w:t>’</w:t>
      </w:r>
      <w:r w:rsidRPr="00514570">
        <w:t>à la trente-septième</w:t>
      </w:r>
      <w:r w:rsidR="009C4CCB" w:rsidRPr="00514570">
        <w:t> </w:t>
      </w:r>
      <w:r w:rsidRPr="00514570">
        <w:t>Réunion des Parties incluse, ainsi que par le Comité</w:t>
      </w:r>
      <w:r w:rsidR="00D36025" w:rsidRPr="00514570">
        <w:t> </w:t>
      </w:r>
      <w:r w:rsidRPr="00514570">
        <w:t>exécutif du Fonds multilatéral jusqu</w:t>
      </w:r>
      <w:r w:rsidR="00D02527" w:rsidRPr="00514570">
        <w:t>’</w:t>
      </w:r>
      <w:r w:rsidRPr="00514570">
        <w:t>à sa quatre-vingt-dix-huitième</w:t>
      </w:r>
      <w:r w:rsidR="00D36025" w:rsidRPr="00514570">
        <w:t> </w:t>
      </w:r>
      <w:r w:rsidRPr="00514570">
        <w:t>réunion incluse</w:t>
      </w:r>
      <w:r w:rsidR="004E4745" w:rsidRPr="00514570">
        <w:t> </w:t>
      </w:r>
      <w:r w:rsidRPr="00514570">
        <w:t>; des besoins propres aux pays à faible et très faible consommation</w:t>
      </w:r>
      <w:r w:rsidR="00EA7D7D" w:rsidRPr="00514570">
        <w:t> </w:t>
      </w:r>
      <w:r w:rsidRPr="00514570">
        <w:t>; de la nécessité d</w:t>
      </w:r>
      <w:r w:rsidR="00D02527" w:rsidRPr="00514570">
        <w:t>’</w:t>
      </w:r>
      <w:r w:rsidRPr="00514570">
        <w:t>allouer des ressources pour permettre à toutes les Parties visées au paragraphe</w:t>
      </w:r>
      <w:r w:rsidR="00DD2F5D" w:rsidRPr="00514570">
        <w:t> </w:t>
      </w:r>
      <w:r w:rsidRPr="00514570">
        <w:t>1 de l</w:t>
      </w:r>
      <w:r w:rsidR="00D02527" w:rsidRPr="00514570">
        <w:t>’</w:t>
      </w:r>
      <w:r w:rsidRPr="00514570">
        <w:t>article</w:t>
      </w:r>
      <w:r w:rsidR="00D36025" w:rsidRPr="00514570">
        <w:t> </w:t>
      </w:r>
      <w:r w:rsidRPr="00514570">
        <w:t>5 du Protocole de</w:t>
      </w:r>
      <w:r w:rsidR="00D36025" w:rsidRPr="00514570">
        <w:t> </w:t>
      </w:r>
      <w:r w:rsidRPr="00514570">
        <w:t>Montréal (Parties visées à l</w:t>
      </w:r>
      <w:r w:rsidR="00D02527" w:rsidRPr="00514570">
        <w:t>’</w:t>
      </w:r>
      <w:r w:rsidRPr="00514570">
        <w:t>article</w:t>
      </w:r>
      <w:r w:rsidR="00D36025" w:rsidRPr="00514570">
        <w:t> </w:t>
      </w:r>
      <w:r w:rsidRPr="00514570">
        <w:t xml:space="preserve">5) de respecter toutes les mesures de réglementation des </w:t>
      </w:r>
      <w:proofErr w:type="spellStart"/>
      <w:r w:rsidRPr="00514570">
        <w:t>hydrofluorocarbones</w:t>
      </w:r>
      <w:proofErr w:type="spellEnd"/>
      <w:r w:rsidRPr="00514570">
        <w:t xml:space="preserve"> (HFC), ainsi que tous leurs engagements dans le cadre des plans approuvés de gestion de l</w:t>
      </w:r>
      <w:r w:rsidR="00D02527" w:rsidRPr="00514570">
        <w:t>’</w:t>
      </w:r>
      <w:r w:rsidRPr="00514570">
        <w:t xml:space="preserve">élimination des </w:t>
      </w:r>
      <w:proofErr w:type="spellStart"/>
      <w:r w:rsidRPr="00514570">
        <w:t>hydrochlorofluorocarbones</w:t>
      </w:r>
      <w:proofErr w:type="spellEnd"/>
      <w:r w:rsidRPr="00514570">
        <w:t xml:space="preserve"> (HCFC) ainsi que des plans de mise en œuvre de l</w:t>
      </w:r>
      <w:r w:rsidR="00D02527" w:rsidRPr="00514570">
        <w:t>’</w:t>
      </w:r>
      <w:r w:rsidRPr="00514570">
        <w:t>Amendement de Kigali</w:t>
      </w:r>
      <w:r w:rsidR="00EA7D7D" w:rsidRPr="00514570">
        <w:t> </w:t>
      </w:r>
      <w:r w:rsidRPr="00514570">
        <w:t>; de l</w:t>
      </w:r>
      <w:r w:rsidR="00D02527" w:rsidRPr="00514570">
        <w:t>’</w:t>
      </w:r>
      <w:r w:rsidRPr="00514570">
        <w:t>intégration des technologies et des outils numériques dans le secteur de l</w:t>
      </w:r>
      <w:r w:rsidR="00D02527" w:rsidRPr="00514570">
        <w:t>’</w:t>
      </w:r>
      <w:r w:rsidRPr="00514570">
        <w:t>entretien</w:t>
      </w:r>
      <w:r w:rsidR="00EA7D7D" w:rsidRPr="00514570">
        <w:t> </w:t>
      </w:r>
      <w:r w:rsidRPr="00514570">
        <w:t xml:space="preserve">; </w:t>
      </w:r>
      <w:r w:rsidR="00181DC1" w:rsidRPr="00514570">
        <w:t>d</w:t>
      </w:r>
      <w:r w:rsidR="00D02527" w:rsidRPr="00514570">
        <w:t>’</w:t>
      </w:r>
      <w:r w:rsidRPr="00514570">
        <w:t>un scénario visant à allouer des ressources à un mécanisme de financement destiné à soutenir un nombre limité de projets pilotes afin d</w:t>
      </w:r>
      <w:r w:rsidR="00D02527" w:rsidRPr="00514570">
        <w:t>’</w:t>
      </w:r>
      <w:r w:rsidRPr="00514570">
        <w:t>améliorer la surveillance atmosphérique régionale des substances réglementées.</w:t>
      </w:r>
    </w:p>
    <w:p w14:paraId="288CFDD4" w14:textId="56B6395F" w:rsidR="00323A74" w:rsidRPr="00514570" w:rsidRDefault="001132F8" w:rsidP="00E23C9E">
      <w:pPr>
        <w:pStyle w:val="Normalnumber"/>
        <w:tabs>
          <w:tab w:val="clear" w:pos="1247"/>
          <w:tab w:val="clear" w:pos="1814"/>
          <w:tab w:val="clear" w:pos="2381"/>
          <w:tab w:val="clear" w:pos="2948"/>
          <w:tab w:val="clear" w:pos="3515"/>
        </w:tabs>
      </w:pPr>
      <w:r w:rsidRPr="00514570">
        <w:t>Il était aussi demandé au Groupe, pour estimer les besoins de financement associés aux objectifs de réduction, d</w:t>
      </w:r>
      <w:r w:rsidR="00D02527" w:rsidRPr="00514570">
        <w:t>’</w:t>
      </w:r>
      <w:r w:rsidRPr="00514570">
        <w:t>appliquer une méthode clairement expliquée, fondée sur le respect des dispositions, qui s</w:t>
      </w:r>
      <w:r w:rsidR="00D02527" w:rsidRPr="00514570">
        <w:t>’</w:t>
      </w:r>
      <w:r w:rsidRPr="00514570">
        <w:t>inspire du plan d</w:t>
      </w:r>
      <w:r w:rsidR="00D02527" w:rsidRPr="00514570">
        <w:t>’</w:t>
      </w:r>
      <w:r w:rsidRPr="00514570">
        <w:t>activité du Fonds multilatéral tout en restant indépendante, et qui applique aux secteurs manufacturiers une fourchette de chiffres de rentabilité fondés sur l</w:t>
      </w:r>
      <w:r w:rsidR="00D02527" w:rsidRPr="00514570">
        <w:t>’</w:t>
      </w:r>
      <w:r w:rsidRPr="00514570">
        <w:t>expérience historique plutôt que sur les seuls seuils de coût-efficacité approuvés par le Comité</w:t>
      </w:r>
      <w:r w:rsidR="00F96501" w:rsidRPr="00514570">
        <w:t> </w:t>
      </w:r>
      <w:r w:rsidRPr="00514570">
        <w:t>exécutif. En outre, il était demandé au Groupe, indépendamment des principaux besoins de financement estimés, d</w:t>
      </w:r>
      <w:r w:rsidR="00D02527" w:rsidRPr="00514570">
        <w:t>’</w:t>
      </w:r>
      <w:r w:rsidRPr="00514570">
        <w:t>élaborer des scénarios pour différents nombres de Parties visées à l</w:t>
      </w:r>
      <w:r w:rsidR="00D02527" w:rsidRPr="00514570">
        <w:t>’</w:t>
      </w:r>
      <w:r w:rsidRPr="00514570">
        <w:t>article</w:t>
      </w:r>
      <w:r w:rsidR="00027C98" w:rsidRPr="00514570">
        <w:t> </w:t>
      </w:r>
      <w:r w:rsidRPr="00514570">
        <w:t>5 qui n</w:t>
      </w:r>
      <w:r w:rsidR="00D02527" w:rsidRPr="00514570">
        <w:t>’</w:t>
      </w:r>
      <w:r w:rsidRPr="00514570">
        <w:t>avaient pas encore soumis de plans de mise en œuvre de l</w:t>
      </w:r>
      <w:r w:rsidR="00D02527" w:rsidRPr="00514570">
        <w:t>’</w:t>
      </w:r>
      <w:r w:rsidRPr="00514570">
        <w:t>Amendement de</w:t>
      </w:r>
      <w:r w:rsidR="009046EB" w:rsidRPr="00514570">
        <w:t> </w:t>
      </w:r>
      <w:r w:rsidRPr="00514570">
        <w:t>Kigali visant à réduire volontairement et progressivement les HFC avant les objectifs du Protocole</w:t>
      </w:r>
      <w:r w:rsidR="005C62F6" w:rsidRPr="00514570">
        <w:t>.</w:t>
      </w:r>
    </w:p>
    <w:p w14:paraId="43F27A4B" w14:textId="66AA416A" w:rsidR="00323A74" w:rsidRPr="00514570" w:rsidRDefault="00323A74" w:rsidP="00E23C9E">
      <w:pPr>
        <w:pStyle w:val="Normalnumber"/>
        <w:tabs>
          <w:tab w:val="clear" w:pos="1247"/>
          <w:tab w:val="clear" w:pos="1814"/>
          <w:tab w:val="clear" w:pos="2381"/>
          <w:tab w:val="clear" w:pos="2948"/>
          <w:tab w:val="clear" w:pos="3515"/>
        </w:tabs>
      </w:pPr>
      <w:r w:rsidRPr="00514570">
        <w:t>Enfin, le Groupe était prié de fournir des chiffres indicatifs concernant la reconstitution pour les périodes 2030-2032 et 2033-2035 à l</w:t>
      </w:r>
      <w:r w:rsidR="00D02527" w:rsidRPr="00514570">
        <w:t>’</w:t>
      </w:r>
      <w:r w:rsidRPr="00514570">
        <w:t>appui d</w:t>
      </w:r>
      <w:r w:rsidR="00D02527" w:rsidRPr="00514570">
        <w:t>’</w:t>
      </w:r>
      <w:r w:rsidRPr="00514570">
        <w:t>un niveau de financement stable et suffisant, étant entendu que ces chiffres seraient actualisés lors des études ultérieures sur la reconstitution</w:t>
      </w:r>
      <w:r w:rsidR="005C62F6" w:rsidRPr="00514570">
        <w:t>.</w:t>
      </w:r>
    </w:p>
    <w:p w14:paraId="484A65A3" w14:textId="7F0E08D6" w:rsidR="00323A74" w:rsidRPr="00514570" w:rsidRDefault="00323A74" w:rsidP="00E23C9E">
      <w:pPr>
        <w:pStyle w:val="Normalnumber"/>
        <w:tabs>
          <w:tab w:val="clear" w:pos="1247"/>
          <w:tab w:val="clear" w:pos="1814"/>
          <w:tab w:val="clear" w:pos="2381"/>
          <w:tab w:val="clear" w:pos="2948"/>
          <w:tab w:val="clear" w:pos="3515"/>
        </w:tabs>
      </w:pPr>
      <w:r w:rsidRPr="00514570">
        <w:t>Au cours du second</w:t>
      </w:r>
      <w:r w:rsidR="00D36025" w:rsidRPr="00514570">
        <w:t> </w:t>
      </w:r>
      <w:r w:rsidRPr="00514570">
        <w:t>semestre de 2025, le Secrétariat, en concertation avec les coprésident(e)s et les membres concerné(e)s du Groupe de l</w:t>
      </w:r>
      <w:r w:rsidR="00D02527" w:rsidRPr="00514570">
        <w:t>’</w:t>
      </w:r>
      <w:r w:rsidRPr="00514570">
        <w:t>évaluation technique et économique, a apporté son appui spécialisé au Groupe pour l</w:t>
      </w:r>
      <w:r w:rsidR="00D02527" w:rsidRPr="00514570">
        <w:t>’</w:t>
      </w:r>
      <w:r w:rsidRPr="00514570">
        <w:t>aider à estimer les montants nécessaires à la reconstitution du Fonds multilatéral pour la période</w:t>
      </w:r>
      <w:r w:rsidR="00016D84" w:rsidRPr="00514570">
        <w:t> </w:t>
      </w:r>
      <w:r w:rsidRPr="00514570">
        <w:t>2027-2029. Cette assistance visait principalement à actualiser et à améliorer le modèle de calcul des coûts utilisé par le Groupe afin d</w:t>
      </w:r>
      <w:r w:rsidR="00D02527" w:rsidRPr="00514570">
        <w:t>’</w:t>
      </w:r>
      <w:r w:rsidRPr="00514570">
        <w:t>en renforcer la fonctionnalité, la souplesse, la transparence et l</w:t>
      </w:r>
      <w:r w:rsidR="00D02527" w:rsidRPr="00514570">
        <w:t>’</w:t>
      </w:r>
      <w:r w:rsidRPr="00514570">
        <w:t>accessibilité, et de permettre aux Parties de mieux comprendre les différents scénarios de reconstitution et les conclusions y afférentes.</w:t>
      </w:r>
    </w:p>
    <w:p w14:paraId="692A089C" w14:textId="71241629" w:rsidR="00323A74" w:rsidRPr="00514570" w:rsidRDefault="00323A74" w:rsidP="00E23C9E">
      <w:pPr>
        <w:pStyle w:val="Normalnumber"/>
        <w:tabs>
          <w:tab w:val="clear" w:pos="1247"/>
          <w:tab w:val="clear" w:pos="1814"/>
          <w:tab w:val="clear" w:pos="2381"/>
          <w:tab w:val="clear" w:pos="2948"/>
          <w:tab w:val="clear" w:pos="3515"/>
        </w:tabs>
      </w:pPr>
      <w:r w:rsidRPr="00514570">
        <w:lastRenderedPageBreak/>
        <w:t>Conformément à la décision</w:t>
      </w:r>
      <w:r w:rsidR="00D36025" w:rsidRPr="00514570">
        <w:t> </w:t>
      </w:r>
      <w:r w:rsidRPr="00514570">
        <w:t>XXXVII/6, le Groupe a mis en place une équipe spéciale. Le rapport de l</w:t>
      </w:r>
      <w:r w:rsidR="00D02527" w:rsidRPr="00514570">
        <w:t>’</w:t>
      </w:r>
      <w:r w:rsidRPr="00514570">
        <w:t>équipe spéciale sera publié sous la forme du volume</w:t>
      </w:r>
      <w:r w:rsidR="00D36025" w:rsidRPr="00514570">
        <w:t> </w:t>
      </w:r>
      <w:r w:rsidRPr="00514570">
        <w:t>2 du rapport du Groupe pour 2026. Un résumé du rapport figurera dans l</w:t>
      </w:r>
      <w:r w:rsidR="00D02527" w:rsidRPr="00514570">
        <w:t>’</w:t>
      </w:r>
      <w:r w:rsidRPr="00514570">
        <w:t>additif à la présente</w:t>
      </w:r>
      <w:r w:rsidR="00D36025" w:rsidRPr="00514570">
        <w:t> </w:t>
      </w:r>
      <w:r w:rsidRPr="00514570">
        <w:t>note.</w:t>
      </w:r>
    </w:p>
    <w:p w14:paraId="0C99462E" w14:textId="14A42EFD" w:rsidR="00323A74" w:rsidRPr="00514570" w:rsidRDefault="00323A74" w:rsidP="00D02527">
      <w:pPr>
        <w:pStyle w:val="CH2"/>
        <w:ind w:firstLine="0"/>
      </w:pPr>
      <w:r w:rsidRPr="00514570">
        <w:rPr>
          <w:bCs/>
        </w:rPr>
        <w:t>Point</w:t>
      </w:r>
      <w:r w:rsidR="00D02527" w:rsidRPr="00514570">
        <w:rPr>
          <w:bCs/>
        </w:rPr>
        <w:t> </w:t>
      </w:r>
      <w:r w:rsidRPr="00514570">
        <w:rPr>
          <w:bCs/>
        </w:rPr>
        <w:t>4 de l</w:t>
      </w:r>
      <w:r w:rsidR="00D02527" w:rsidRPr="00514570">
        <w:rPr>
          <w:bCs/>
        </w:rPr>
        <w:t>’</w:t>
      </w:r>
      <w:r w:rsidRPr="00514570">
        <w:rPr>
          <w:bCs/>
        </w:rPr>
        <w:t>ordre du jour</w:t>
      </w:r>
    </w:p>
    <w:p w14:paraId="6F260FB3" w14:textId="6C666CAE" w:rsidR="00323A74" w:rsidRPr="00514570" w:rsidRDefault="00323A74" w:rsidP="00323A74">
      <w:pPr>
        <w:pStyle w:val="CH2"/>
        <w:spacing w:before="120"/>
      </w:pPr>
      <w:r w:rsidRPr="00514570">
        <w:tab/>
      </w:r>
      <w:r w:rsidRPr="00514570">
        <w:tab/>
      </w:r>
      <w:r w:rsidRPr="00514570">
        <w:rPr>
          <w:bCs/>
        </w:rPr>
        <w:t>Exposés du Groupe de l</w:t>
      </w:r>
      <w:r w:rsidR="00D02527" w:rsidRPr="00514570">
        <w:rPr>
          <w:bCs/>
        </w:rPr>
        <w:t>’</w:t>
      </w:r>
      <w:r w:rsidRPr="00514570">
        <w:rPr>
          <w:bCs/>
        </w:rPr>
        <w:t>évaluation technique et économique sur son rapport d</w:t>
      </w:r>
      <w:r w:rsidR="00D02527" w:rsidRPr="00514570">
        <w:rPr>
          <w:bCs/>
        </w:rPr>
        <w:t>’</w:t>
      </w:r>
      <w:r w:rsidRPr="00514570">
        <w:rPr>
          <w:bCs/>
        </w:rPr>
        <w:t>activité pour 2026</w:t>
      </w:r>
    </w:p>
    <w:p w14:paraId="223540B0" w14:textId="5C815572" w:rsidR="00323A74" w:rsidRPr="00514570" w:rsidRDefault="00C364EA" w:rsidP="00323A74">
      <w:pPr>
        <w:pStyle w:val="CH3"/>
        <w:spacing w:before="120"/>
      </w:pPr>
      <w:r w:rsidRPr="00514570">
        <w:rPr>
          <w:bCs/>
        </w:rPr>
        <w:tab/>
        <w:t>a)</w:t>
      </w:r>
      <w:r w:rsidR="00323A74" w:rsidRPr="00514570">
        <w:tab/>
      </w:r>
      <w:proofErr w:type="gramStart"/>
      <w:r w:rsidR="00323A74" w:rsidRPr="00514570">
        <w:rPr>
          <w:bCs/>
        </w:rPr>
        <w:t>Le halon</w:t>
      </w:r>
      <w:proofErr w:type="gramEnd"/>
      <w:r w:rsidR="00063BBA" w:rsidRPr="00514570">
        <w:rPr>
          <w:bCs/>
        </w:rPr>
        <w:t> </w:t>
      </w:r>
      <w:r w:rsidR="00323A74" w:rsidRPr="00514570">
        <w:rPr>
          <w:bCs/>
        </w:rPr>
        <w:t>1301 et la persistance de son utilisation dans l</w:t>
      </w:r>
      <w:r w:rsidR="00D02527" w:rsidRPr="00514570">
        <w:rPr>
          <w:bCs/>
        </w:rPr>
        <w:t>’</w:t>
      </w:r>
      <w:r w:rsidR="00323A74" w:rsidRPr="00514570">
        <w:rPr>
          <w:bCs/>
        </w:rPr>
        <w:t>industrie aéronautique</w:t>
      </w:r>
      <w:r w:rsidR="00063BBA" w:rsidRPr="00514570">
        <w:rPr>
          <w:bCs/>
        </w:rPr>
        <w:t> </w:t>
      </w:r>
      <w:r w:rsidR="00323A74" w:rsidRPr="00514570">
        <w:rPr>
          <w:bCs/>
        </w:rPr>
        <w:t>;</w:t>
      </w:r>
      <w:r w:rsidR="00323A74" w:rsidRPr="00514570">
        <w:t xml:space="preserve"> </w:t>
      </w:r>
      <w:r w:rsidR="00323A74" w:rsidRPr="00514570">
        <w:rPr>
          <w:bCs/>
        </w:rPr>
        <w:t>gestion d</w:t>
      </w:r>
      <w:r w:rsidR="00D02527" w:rsidRPr="00514570">
        <w:rPr>
          <w:bCs/>
        </w:rPr>
        <w:t>’</w:t>
      </w:r>
      <w:r w:rsidR="00323A74" w:rsidRPr="00514570">
        <w:rPr>
          <w:bCs/>
        </w:rPr>
        <w:t>autres substances réglementées utilisées pour lutter contre les incendies (décision</w:t>
      </w:r>
      <w:r w:rsidR="00D02527" w:rsidRPr="00514570">
        <w:rPr>
          <w:bCs/>
        </w:rPr>
        <w:t> </w:t>
      </w:r>
      <w:r w:rsidR="00323A74" w:rsidRPr="00514570">
        <w:rPr>
          <w:bCs/>
        </w:rPr>
        <w:t>XXXVII/4)</w:t>
      </w:r>
    </w:p>
    <w:p w14:paraId="6FFF60BF" w14:textId="19E2A6DC" w:rsidR="00323A74" w:rsidRPr="00514570" w:rsidRDefault="00323A74" w:rsidP="00E23C9E">
      <w:pPr>
        <w:pStyle w:val="Normalnumber"/>
        <w:tabs>
          <w:tab w:val="clear" w:pos="1247"/>
          <w:tab w:val="clear" w:pos="1814"/>
          <w:tab w:val="clear" w:pos="2381"/>
          <w:tab w:val="clear" w:pos="2948"/>
          <w:tab w:val="clear" w:pos="3515"/>
        </w:tabs>
      </w:pPr>
      <w:r w:rsidRPr="00514570">
        <w:t>La trente-septième</w:t>
      </w:r>
      <w:r w:rsidR="00063BBA" w:rsidRPr="00514570">
        <w:t> </w:t>
      </w:r>
      <w:r w:rsidRPr="00514570">
        <w:t>Réunion des Parties a adopté la décision</w:t>
      </w:r>
      <w:r w:rsidR="00063BBA" w:rsidRPr="00514570">
        <w:t> </w:t>
      </w:r>
      <w:r w:rsidRPr="00514570">
        <w:t>XXXVII/4, dans laquelle, au paragraphe</w:t>
      </w:r>
      <w:r w:rsidR="0003004E" w:rsidRPr="00514570">
        <w:t> </w:t>
      </w:r>
      <w:r w:rsidRPr="00514570">
        <w:t>1, elle a prié le Secrétariat de l</w:t>
      </w:r>
      <w:r w:rsidR="00D02527" w:rsidRPr="00514570">
        <w:t>’</w:t>
      </w:r>
      <w:r w:rsidRPr="00514570">
        <w:t>ozone d</w:t>
      </w:r>
      <w:r w:rsidR="00D02527" w:rsidRPr="00514570">
        <w:t>’</w:t>
      </w:r>
      <w:r w:rsidRPr="00514570">
        <w:t>assurer la liaison avec le secrétariat de l</w:t>
      </w:r>
      <w:r w:rsidR="00D02527" w:rsidRPr="00514570">
        <w:t>’</w:t>
      </w:r>
      <w:r w:rsidRPr="00514570">
        <w:t>Organisation de l</w:t>
      </w:r>
      <w:r w:rsidR="00D02527" w:rsidRPr="00514570">
        <w:t>’</w:t>
      </w:r>
      <w:r w:rsidRPr="00514570">
        <w:t>aviation civile internationale (OACI) sur la question des agents d</w:t>
      </w:r>
      <w:r w:rsidR="00D02527" w:rsidRPr="00514570">
        <w:t>’</w:t>
      </w:r>
      <w:r w:rsidRPr="00514570">
        <w:t>extinction réglementés par le Protocole de</w:t>
      </w:r>
      <w:r w:rsidR="000657A8" w:rsidRPr="00514570">
        <w:t> </w:t>
      </w:r>
      <w:r w:rsidRPr="00514570">
        <w:t>Montréal relatif à des substances qui appauvrissent la couche d</w:t>
      </w:r>
      <w:r w:rsidR="00D02527" w:rsidRPr="00514570">
        <w:t>’</w:t>
      </w:r>
      <w:r w:rsidRPr="00514570">
        <w:t>ozone et de faciliter l</w:t>
      </w:r>
      <w:r w:rsidR="00D02527" w:rsidRPr="00514570">
        <w:t>’</w:t>
      </w:r>
      <w:r w:rsidRPr="00514570">
        <w:t>échange d</w:t>
      </w:r>
      <w:r w:rsidR="00D02527" w:rsidRPr="00514570">
        <w:t>’</w:t>
      </w:r>
      <w:r w:rsidRPr="00514570">
        <w:t>informations entre le Groupe de l</w:t>
      </w:r>
      <w:r w:rsidR="00D02527" w:rsidRPr="00514570">
        <w:t>’</w:t>
      </w:r>
      <w:r w:rsidRPr="00514570">
        <w:t>évaluation technique et économique, par l</w:t>
      </w:r>
      <w:r w:rsidR="00D02527" w:rsidRPr="00514570">
        <w:t>’</w:t>
      </w:r>
      <w:r w:rsidRPr="00514570">
        <w:t>intermédiaire de son Comité des choix techniques pour la lutte contre les incendies, et les comités techniques et groupes de travail compétents de l</w:t>
      </w:r>
      <w:r w:rsidR="00D02527" w:rsidRPr="00514570">
        <w:t>’</w:t>
      </w:r>
      <w:r w:rsidRPr="00514570">
        <w:t>OACI. Cette demande visait à permettre au Groupe de mieux évaluer l</w:t>
      </w:r>
      <w:r w:rsidR="00D02527" w:rsidRPr="00514570">
        <w:t>’</w:t>
      </w:r>
      <w:r w:rsidRPr="00514570">
        <w:t>utilisation future des halons dans l</w:t>
      </w:r>
      <w:r w:rsidR="00D02527" w:rsidRPr="00514570">
        <w:t>’</w:t>
      </w:r>
      <w:r w:rsidRPr="00514570">
        <w:t>aviation civile et les besoins futurs.</w:t>
      </w:r>
    </w:p>
    <w:p w14:paraId="332F8429" w14:textId="4717D551" w:rsidR="00323A74" w:rsidRPr="00514570" w:rsidRDefault="00323A74" w:rsidP="00E23C9E">
      <w:pPr>
        <w:pStyle w:val="Normalnumber"/>
        <w:tabs>
          <w:tab w:val="clear" w:pos="1247"/>
          <w:tab w:val="clear" w:pos="1814"/>
          <w:tab w:val="clear" w:pos="2381"/>
          <w:tab w:val="clear" w:pos="2948"/>
          <w:tab w:val="clear" w:pos="3515"/>
        </w:tabs>
      </w:pPr>
      <w:r w:rsidRPr="00514570">
        <w:t>Le 4</w:t>
      </w:r>
      <w:r w:rsidR="0003004E" w:rsidRPr="00514570">
        <w:t> </w:t>
      </w:r>
      <w:r w:rsidRPr="00514570">
        <w:t>février 2026, le Secrétariat a écrit à l</w:t>
      </w:r>
      <w:r w:rsidR="00D02527" w:rsidRPr="00514570">
        <w:t>’</w:t>
      </w:r>
      <w:r w:rsidRPr="00514570">
        <w:t>OACI pour l</w:t>
      </w:r>
      <w:r w:rsidR="00D02527" w:rsidRPr="00514570">
        <w:t>’</w:t>
      </w:r>
      <w:r w:rsidRPr="00514570">
        <w:t>informer de l</w:t>
      </w:r>
      <w:r w:rsidR="00D02527" w:rsidRPr="00514570">
        <w:t>’</w:t>
      </w:r>
      <w:r w:rsidRPr="00514570">
        <w:t>adoption de la décision</w:t>
      </w:r>
      <w:r w:rsidR="0003004E" w:rsidRPr="00514570">
        <w:t> </w:t>
      </w:r>
      <w:r w:rsidRPr="00514570">
        <w:t>XXXVII/4 et se féliciter de l</w:t>
      </w:r>
      <w:r w:rsidR="00D02527" w:rsidRPr="00514570">
        <w:t>’</w:t>
      </w:r>
      <w:r w:rsidRPr="00514570">
        <w:t>étroite coopération entre les organes compétents de l</w:t>
      </w:r>
      <w:r w:rsidR="00D02527" w:rsidRPr="00514570">
        <w:t>’</w:t>
      </w:r>
      <w:r w:rsidRPr="00514570">
        <w:t>OACI et le Groupe de l</w:t>
      </w:r>
      <w:r w:rsidR="00D02527" w:rsidRPr="00514570">
        <w:t>’</w:t>
      </w:r>
      <w:r w:rsidRPr="00514570">
        <w:t>évaluation technique et économique, ainsi que son Comité des choix techniques pour la lutte contre les incendies, dans l</w:t>
      </w:r>
      <w:r w:rsidR="00D02527" w:rsidRPr="00514570">
        <w:t>’</w:t>
      </w:r>
      <w:r w:rsidRPr="00514570">
        <w:t>exécution des travaux demandés. Toute information nouvelle concernant la coordination entre le Secrétariat de l</w:t>
      </w:r>
      <w:r w:rsidR="00D02527" w:rsidRPr="00514570">
        <w:t>’</w:t>
      </w:r>
      <w:r w:rsidR="00A72CB1" w:rsidRPr="00514570">
        <w:t>o</w:t>
      </w:r>
      <w:r w:rsidRPr="00514570">
        <w:t>zone et le secrétariat de l</w:t>
      </w:r>
      <w:r w:rsidR="00D02527" w:rsidRPr="00514570">
        <w:t>’</w:t>
      </w:r>
      <w:r w:rsidRPr="00514570">
        <w:t>OACI, ainsi qu</w:t>
      </w:r>
      <w:r w:rsidR="00D02527" w:rsidRPr="00514570">
        <w:t>’</w:t>
      </w:r>
      <w:r w:rsidRPr="00514570">
        <w:t>entre le Groupe de l</w:t>
      </w:r>
      <w:r w:rsidR="00D02527" w:rsidRPr="00514570">
        <w:t>’</w:t>
      </w:r>
      <w:r w:rsidRPr="00514570">
        <w:t>évaluation technique et économique et son Comité des choix techniques pour la lutte contre les incendies, d</w:t>
      </w:r>
      <w:r w:rsidR="00D02527" w:rsidRPr="00514570">
        <w:t>’</w:t>
      </w:r>
      <w:r w:rsidRPr="00514570">
        <w:t>une part, et les comités techniques et groupes de travail concernés de l</w:t>
      </w:r>
      <w:r w:rsidR="00D02527" w:rsidRPr="00514570">
        <w:t>’</w:t>
      </w:r>
      <w:r w:rsidRPr="00514570">
        <w:t>OACI, d</w:t>
      </w:r>
      <w:r w:rsidR="00D02527" w:rsidRPr="00514570">
        <w:t>’</w:t>
      </w:r>
      <w:r w:rsidRPr="00514570">
        <w:t>autre part, sera fournie dans l</w:t>
      </w:r>
      <w:r w:rsidR="00D02527" w:rsidRPr="00514570">
        <w:t>’</w:t>
      </w:r>
      <w:r w:rsidRPr="00514570">
        <w:t>additif à la présente</w:t>
      </w:r>
      <w:r w:rsidR="0003004E" w:rsidRPr="00514570">
        <w:t> </w:t>
      </w:r>
      <w:r w:rsidRPr="00514570">
        <w:t>note.</w:t>
      </w:r>
    </w:p>
    <w:p w14:paraId="40EDEDA4" w14:textId="45EFDC89" w:rsidR="00323A74" w:rsidRPr="00514570" w:rsidRDefault="00EE48F5" w:rsidP="00E23C9E">
      <w:pPr>
        <w:pStyle w:val="Normalnumber"/>
        <w:tabs>
          <w:tab w:val="clear" w:pos="1247"/>
          <w:tab w:val="clear" w:pos="1814"/>
          <w:tab w:val="clear" w:pos="2381"/>
          <w:tab w:val="clear" w:pos="2948"/>
          <w:tab w:val="clear" w:pos="3515"/>
        </w:tabs>
      </w:pPr>
      <w:r w:rsidRPr="00514570">
        <w:t>Au paragraphe</w:t>
      </w:r>
      <w:r w:rsidR="0003004E" w:rsidRPr="00514570">
        <w:t> </w:t>
      </w:r>
      <w:r w:rsidRPr="00514570">
        <w:t>1 de la décision</w:t>
      </w:r>
      <w:r w:rsidR="0003004E" w:rsidRPr="00514570">
        <w:t> </w:t>
      </w:r>
      <w:r w:rsidRPr="00514570">
        <w:t>XXXVII/4, la trente-septième</w:t>
      </w:r>
      <w:r w:rsidR="0003004E" w:rsidRPr="00514570">
        <w:t> </w:t>
      </w:r>
      <w:r w:rsidRPr="00514570">
        <w:t xml:space="preserve">Réunion des Parties a également </w:t>
      </w:r>
      <w:r w:rsidR="007D2336" w:rsidRPr="00514570">
        <w:t>prié le</w:t>
      </w:r>
      <w:r w:rsidRPr="00514570">
        <w:t xml:space="preserve"> Groupe de soumettre aux Parties, avant la quarante-huitième réunion du Groupe de travail à composition non limitée, un rapport sur la disponibilité des halons et la répartition mondiale des réserves de halons. La suite donné</w:t>
      </w:r>
      <w:r w:rsidR="00A72CB1" w:rsidRPr="00514570">
        <w:t>e</w:t>
      </w:r>
      <w:r w:rsidRPr="00514570">
        <w:t xml:space="preserve"> par le Groupe de l</w:t>
      </w:r>
      <w:r w:rsidR="00D02527" w:rsidRPr="00514570">
        <w:t>’</w:t>
      </w:r>
      <w:r w:rsidRPr="00514570">
        <w:t>évaluation technique et économique à cette demande figurera dans son rapport d</w:t>
      </w:r>
      <w:r w:rsidR="00D02527" w:rsidRPr="00514570">
        <w:t>’</w:t>
      </w:r>
      <w:r w:rsidRPr="00514570">
        <w:t>activité et sera résumée dans l</w:t>
      </w:r>
      <w:r w:rsidR="00D02527" w:rsidRPr="00514570">
        <w:t>’</w:t>
      </w:r>
      <w:r w:rsidRPr="00514570">
        <w:t>additif à la présente note.</w:t>
      </w:r>
    </w:p>
    <w:p w14:paraId="02C270C4" w14:textId="6DB3E71D" w:rsidR="00323A74" w:rsidRPr="00514570" w:rsidRDefault="00EE48F5" w:rsidP="00E23C9E">
      <w:pPr>
        <w:pStyle w:val="Normalnumber"/>
        <w:tabs>
          <w:tab w:val="clear" w:pos="1247"/>
          <w:tab w:val="clear" w:pos="1814"/>
          <w:tab w:val="clear" w:pos="2381"/>
          <w:tab w:val="clear" w:pos="2948"/>
          <w:tab w:val="clear" w:pos="3515"/>
        </w:tabs>
      </w:pPr>
      <w:r w:rsidRPr="00514570">
        <w:t>Au paragraphe</w:t>
      </w:r>
      <w:r w:rsidR="00002343" w:rsidRPr="00514570">
        <w:t> </w:t>
      </w:r>
      <w:r w:rsidRPr="00514570">
        <w:t>2 de la décision</w:t>
      </w:r>
      <w:r w:rsidR="00002343" w:rsidRPr="00514570">
        <w:t> </w:t>
      </w:r>
      <w:r w:rsidRPr="00514570">
        <w:t>XXXVII/4, les Parties étaient engagées à se mettre en rapport, par l</w:t>
      </w:r>
      <w:r w:rsidR="00D02527" w:rsidRPr="00514570">
        <w:t>’</w:t>
      </w:r>
      <w:r w:rsidRPr="00514570">
        <w:t>intermédiaire de leurs responsables nationaux de l</w:t>
      </w:r>
      <w:r w:rsidR="00D02527" w:rsidRPr="00514570">
        <w:t>’</w:t>
      </w:r>
      <w:r w:rsidRPr="00514570">
        <w:t>ozone, avec leurs autorités nationales de l</w:t>
      </w:r>
      <w:r w:rsidR="00D02527" w:rsidRPr="00514570">
        <w:t>’</w:t>
      </w:r>
      <w:r w:rsidRPr="00514570">
        <w:t>aviation civile afin de comprendre comment les halons et leurs substituts étaient utilisés et fournis aux transporteurs aériens pour répondre aux besoins actuels de l</w:t>
      </w:r>
      <w:r w:rsidR="00D02527" w:rsidRPr="00514570">
        <w:t>’</w:t>
      </w:r>
      <w:r w:rsidRPr="00514570">
        <w:t>aviation civile. Au paragraphe</w:t>
      </w:r>
      <w:r w:rsidR="00D50D36" w:rsidRPr="00514570">
        <w:t> </w:t>
      </w:r>
      <w:r w:rsidRPr="00514570">
        <w:t>3 de la décision, les Parties étaient engagées également à réévaluer les restrictions nationales frappant l</w:t>
      </w:r>
      <w:r w:rsidR="00D02527" w:rsidRPr="00514570">
        <w:t>’</w:t>
      </w:r>
      <w:r w:rsidRPr="00514570">
        <w:t>importation et l</w:t>
      </w:r>
      <w:r w:rsidR="00D02527" w:rsidRPr="00514570">
        <w:t>’</w:t>
      </w:r>
      <w:r w:rsidRPr="00514570">
        <w:t>exportation autres que les exigences en matière de licence ou de quota, en vue de faciliter l</w:t>
      </w:r>
      <w:r w:rsidR="00D02527" w:rsidRPr="00514570">
        <w:t>’</w:t>
      </w:r>
      <w:r w:rsidRPr="00514570">
        <w:t>importation et l</w:t>
      </w:r>
      <w:r w:rsidR="00D02527" w:rsidRPr="00514570">
        <w:t>’</w:t>
      </w:r>
      <w:r w:rsidRPr="00514570">
        <w:t>exportation de halons récupérés, recyclés ou régénérés et d</w:t>
      </w:r>
      <w:r w:rsidR="00D02527" w:rsidRPr="00514570">
        <w:t>’</w:t>
      </w:r>
      <w:r w:rsidRPr="00514570">
        <w:t>autres substances réglementées utilisées pour l</w:t>
      </w:r>
      <w:r w:rsidR="00D02527" w:rsidRPr="00514570">
        <w:t>’</w:t>
      </w:r>
      <w:r w:rsidRPr="00514570">
        <w:t>extinction des incendies afin de permettre aux Parties de satisfaire à leurs besoins résiduels à cet égard, en tenant compte des exigences de la Convention de</w:t>
      </w:r>
      <w:r w:rsidR="00D50D36" w:rsidRPr="00514570">
        <w:t> </w:t>
      </w:r>
      <w:r w:rsidRPr="00514570">
        <w:t>Bâle sur le contrôle des mouvements transfrontières de déchets dangereux et de leur élimination, selon qu</w:t>
      </w:r>
      <w:r w:rsidR="00D02527" w:rsidRPr="00514570">
        <w:t>’</w:t>
      </w:r>
      <w:r w:rsidRPr="00514570">
        <w:t>il convenait.</w:t>
      </w:r>
    </w:p>
    <w:p w14:paraId="786CCDEA" w14:textId="249E29AC" w:rsidR="00323A74" w:rsidRPr="00514570" w:rsidRDefault="007D2336" w:rsidP="008F4E24">
      <w:pPr>
        <w:pStyle w:val="Normalnumber"/>
        <w:tabs>
          <w:tab w:val="clear" w:pos="1247"/>
          <w:tab w:val="clear" w:pos="1814"/>
          <w:tab w:val="clear" w:pos="2381"/>
          <w:tab w:val="clear" w:pos="2948"/>
          <w:tab w:val="clear" w:pos="3515"/>
        </w:tabs>
      </w:pPr>
      <w:r w:rsidRPr="00514570">
        <w:t>E</w:t>
      </w:r>
      <w:r w:rsidR="00323A74" w:rsidRPr="00514570">
        <w:t xml:space="preserve">n collaboration avec le </w:t>
      </w:r>
      <w:r w:rsidR="00C83F7D" w:rsidRPr="00514570">
        <w:t>S</w:t>
      </w:r>
      <w:r w:rsidR="00323A74" w:rsidRPr="00514570">
        <w:t>ecrétariat de la Convention de</w:t>
      </w:r>
      <w:r w:rsidR="00D50D36" w:rsidRPr="00514570">
        <w:t> </w:t>
      </w:r>
      <w:r w:rsidR="00323A74" w:rsidRPr="00514570">
        <w:t>Bâle, de la Convention de</w:t>
      </w:r>
      <w:r w:rsidR="00D50D36" w:rsidRPr="00514570">
        <w:t> </w:t>
      </w:r>
      <w:r w:rsidR="00323A74" w:rsidRPr="00514570">
        <w:t>Rotterdam sur la procédure de consentement préalable en connaissance de cause applicable à certains produits chimiques et pesticides dangereux qui font l</w:t>
      </w:r>
      <w:r w:rsidR="00D02527" w:rsidRPr="00514570">
        <w:t>’</w:t>
      </w:r>
      <w:r w:rsidR="00323A74" w:rsidRPr="00514570">
        <w:t>objet d</w:t>
      </w:r>
      <w:r w:rsidR="00D02527" w:rsidRPr="00514570">
        <w:t>’</w:t>
      </w:r>
      <w:r w:rsidR="00323A74" w:rsidRPr="00514570">
        <w:t>un commerce international, de la Convention de</w:t>
      </w:r>
      <w:r w:rsidR="00D50D36" w:rsidRPr="00514570">
        <w:t> </w:t>
      </w:r>
      <w:r w:rsidR="00323A74" w:rsidRPr="00514570">
        <w:t xml:space="preserve">Stockholm sur les polluants organiques persistants et le secrétariat du Fonds multilatéral, </w:t>
      </w:r>
      <w:r w:rsidRPr="00514570">
        <w:t>le Secrétariat de l</w:t>
      </w:r>
      <w:r w:rsidR="00D02527" w:rsidRPr="00514570">
        <w:t>’</w:t>
      </w:r>
      <w:r w:rsidRPr="00514570">
        <w:t xml:space="preserve">ozone </w:t>
      </w:r>
      <w:r w:rsidR="00323A74" w:rsidRPr="00514570">
        <w:t>élabore actuellement un guide pratique sur les mouvements transfrontières des substances réglementées au titre du Protocole de</w:t>
      </w:r>
      <w:r w:rsidR="001D171A" w:rsidRPr="00514570">
        <w:t> </w:t>
      </w:r>
      <w:r w:rsidR="00323A74" w:rsidRPr="00514570">
        <w:t>Montréal et des équipements utilisant ces substances. Ce guide, qui met en lumière les liens entre le Protocole de</w:t>
      </w:r>
      <w:r w:rsidR="001D171A" w:rsidRPr="00514570">
        <w:t> </w:t>
      </w:r>
      <w:r w:rsidR="00323A74" w:rsidRPr="00514570">
        <w:t>Montréal et la Convention de</w:t>
      </w:r>
      <w:r w:rsidR="00E427C7" w:rsidRPr="00514570">
        <w:t> </w:t>
      </w:r>
      <w:r w:rsidR="00323A74" w:rsidRPr="00514570">
        <w:t xml:space="preserve">Bâle </w:t>
      </w:r>
      <w:r w:rsidRPr="00514570">
        <w:t>au regard de</w:t>
      </w:r>
      <w:r w:rsidR="00323A74" w:rsidRPr="00514570">
        <w:t xml:space="preserve"> ces mouvements transfrontières, devrait être finalisé avant la quarante-huitième</w:t>
      </w:r>
      <w:r w:rsidR="00870BCA" w:rsidRPr="00514570">
        <w:t> </w:t>
      </w:r>
      <w:r w:rsidR="00323A74" w:rsidRPr="00514570">
        <w:t xml:space="preserve">réunion du Groupe de travail à composition non limitée et sera </w:t>
      </w:r>
      <w:r w:rsidRPr="00514570">
        <w:t>diffusé</w:t>
      </w:r>
      <w:r w:rsidR="00323A74" w:rsidRPr="00514570">
        <w:t xml:space="preserve"> en tant que document de référence.</w:t>
      </w:r>
    </w:p>
    <w:p w14:paraId="01248B7E" w14:textId="081030AD" w:rsidR="00323A74" w:rsidRPr="00514570" w:rsidRDefault="00EE48F5" w:rsidP="00E23C9E">
      <w:pPr>
        <w:pStyle w:val="Normalnumber"/>
        <w:tabs>
          <w:tab w:val="clear" w:pos="1247"/>
          <w:tab w:val="clear" w:pos="1814"/>
          <w:tab w:val="clear" w:pos="2381"/>
          <w:tab w:val="clear" w:pos="2948"/>
          <w:tab w:val="clear" w:pos="3515"/>
        </w:tabs>
      </w:pPr>
      <w:r w:rsidRPr="00514570">
        <w:t>Au paragraphe</w:t>
      </w:r>
      <w:r w:rsidR="00870BCA" w:rsidRPr="00514570">
        <w:t> </w:t>
      </w:r>
      <w:r w:rsidRPr="00514570">
        <w:t>4 de la décision</w:t>
      </w:r>
      <w:r w:rsidR="000E4B46" w:rsidRPr="00514570">
        <w:t> </w:t>
      </w:r>
      <w:r w:rsidRPr="00514570">
        <w:t>XXXVII/4, les Parties étaient invitées à soumettre volontairement au Secrétariat de l</w:t>
      </w:r>
      <w:r w:rsidR="00D02527" w:rsidRPr="00514570">
        <w:t>’</w:t>
      </w:r>
      <w:r w:rsidRPr="00514570">
        <w:t>ozone, le 31</w:t>
      </w:r>
      <w:r w:rsidR="00EB3AF3" w:rsidRPr="00514570">
        <w:t> </w:t>
      </w:r>
      <w:r w:rsidRPr="00514570">
        <w:t>mars 2026 au plus tard, les informations disponibles concernant la mise au point de solutions de remplacement susceptibles d</w:t>
      </w:r>
      <w:r w:rsidR="00D02527" w:rsidRPr="00514570">
        <w:t>’</w:t>
      </w:r>
      <w:r w:rsidRPr="00514570">
        <w:t>être utilisées dans la lutte contre les incendies, et le Secrétariat de l</w:t>
      </w:r>
      <w:r w:rsidR="00D02527" w:rsidRPr="00514570">
        <w:t>’</w:t>
      </w:r>
      <w:r w:rsidRPr="00514570">
        <w:t>ozone était prié de transmettre les informations reçues au Groupe de l</w:t>
      </w:r>
      <w:r w:rsidR="00D02527" w:rsidRPr="00514570">
        <w:t>’</w:t>
      </w:r>
      <w:r w:rsidRPr="00514570">
        <w:t>évaluation technique et économique pour examen et inclusion dans son rapport d</w:t>
      </w:r>
      <w:r w:rsidR="00D02527" w:rsidRPr="00514570">
        <w:t>’</w:t>
      </w:r>
      <w:r w:rsidRPr="00514570">
        <w:t>activité de 2027, au plus tard. Au moment de la rédaction de la présente</w:t>
      </w:r>
      <w:r w:rsidR="0026462E" w:rsidRPr="00514570">
        <w:t> </w:t>
      </w:r>
      <w:r w:rsidRPr="00514570">
        <w:t>note, 31</w:t>
      </w:r>
      <w:r w:rsidR="00D9403E" w:rsidRPr="00514570">
        <w:t> </w:t>
      </w:r>
      <w:r w:rsidRPr="00514570">
        <w:t>Parties (</w:t>
      </w:r>
      <w:r w:rsidR="004F4078" w:rsidRPr="00514570">
        <w:t xml:space="preserve">États-Unis d’Amérique, </w:t>
      </w:r>
      <w:r w:rsidRPr="00514570">
        <w:t xml:space="preserve">Mexique, Pérou </w:t>
      </w:r>
      <w:r w:rsidR="004F4078" w:rsidRPr="00514570">
        <w:t>et Union européenne et ses États membres</w:t>
      </w:r>
      <w:r w:rsidRPr="00514570">
        <w:t>) avaient communiqué les informations demandées. Ces communications ont été transmises au Groupe de l</w:t>
      </w:r>
      <w:r w:rsidR="00D02527" w:rsidRPr="00514570">
        <w:t>’</w:t>
      </w:r>
      <w:r w:rsidRPr="00514570">
        <w:t xml:space="preserve">évaluation technique </w:t>
      </w:r>
      <w:r w:rsidRPr="00514570">
        <w:lastRenderedPageBreak/>
        <w:t>et économique. Par ailleurs, le Canada a indiqué qu</w:t>
      </w:r>
      <w:r w:rsidR="00D02527" w:rsidRPr="00514570">
        <w:t>’</w:t>
      </w:r>
      <w:r w:rsidRPr="00514570">
        <w:t>il n</w:t>
      </w:r>
      <w:r w:rsidR="00D02527" w:rsidRPr="00514570">
        <w:t>’</w:t>
      </w:r>
      <w:r w:rsidRPr="00514570">
        <w:t xml:space="preserve">avait aucune information à fournir </w:t>
      </w:r>
      <w:r w:rsidR="00E74645" w:rsidRPr="00514570">
        <w:t xml:space="preserve">comme </w:t>
      </w:r>
      <w:proofErr w:type="gramStart"/>
      <w:r w:rsidR="00E74645" w:rsidRPr="00514570">
        <w:t xml:space="preserve">suite </w:t>
      </w:r>
      <w:r w:rsidRPr="00514570">
        <w:t>à</w:t>
      </w:r>
      <w:proofErr w:type="gramEnd"/>
      <w:r w:rsidRPr="00514570">
        <w:t xml:space="preserve"> la décision</w:t>
      </w:r>
      <w:r w:rsidR="00BC3F38" w:rsidRPr="00514570">
        <w:t> </w:t>
      </w:r>
      <w:r w:rsidRPr="00514570">
        <w:t>XXXVII/4,</w:t>
      </w:r>
      <w:r w:rsidR="00E74645" w:rsidRPr="00514570">
        <w:t xml:space="preserve"> et</w:t>
      </w:r>
      <w:r w:rsidRPr="00514570">
        <w:t xml:space="preserve"> </w:t>
      </w:r>
      <w:r w:rsidR="00603DA8" w:rsidRPr="00514570">
        <w:t xml:space="preserve">le Pérou </w:t>
      </w:r>
      <w:r w:rsidRPr="00514570">
        <w:t xml:space="preserve">et Saint-Vincent-et-les Grenadines </w:t>
      </w:r>
      <w:r w:rsidR="00603DA8" w:rsidRPr="00514570">
        <w:t xml:space="preserve">ont </w:t>
      </w:r>
      <w:r w:rsidRPr="00514570">
        <w:t>informé le Secrétariat qu</w:t>
      </w:r>
      <w:r w:rsidR="00D02527" w:rsidRPr="00514570">
        <w:t>’</w:t>
      </w:r>
      <w:r w:rsidRPr="00514570">
        <w:t>il</w:t>
      </w:r>
      <w:r w:rsidR="00824E3D" w:rsidRPr="00514570">
        <w:t>s</w:t>
      </w:r>
      <w:r w:rsidRPr="00514570">
        <w:t xml:space="preserve"> n</w:t>
      </w:r>
      <w:r w:rsidR="00D02527" w:rsidRPr="00514570">
        <w:t>’</w:t>
      </w:r>
      <w:r w:rsidRPr="00514570">
        <w:t>utilisai</w:t>
      </w:r>
      <w:r w:rsidR="00824E3D" w:rsidRPr="00514570">
        <w:t>en</w:t>
      </w:r>
      <w:r w:rsidRPr="00514570">
        <w:t xml:space="preserve">t pas </w:t>
      </w:r>
      <w:proofErr w:type="gramStart"/>
      <w:r w:rsidRPr="00514570">
        <w:t>le halon</w:t>
      </w:r>
      <w:proofErr w:type="gramEnd"/>
      <w:r w:rsidR="00BC3F38" w:rsidRPr="00514570">
        <w:t> </w:t>
      </w:r>
      <w:r w:rsidRPr="00514570">
        <w:t>1301 comme système de lutte contre les incendies. Toute information nouvelle concernant la communication par les Parties des données demandées sera incluse dans l</w:t>
      </w:r>
      <w:r w:rsidR="00D02527" w:rsidRPr="00514570">
        <w:t>’</w:t>
      </w:r>
      <w:r w:rsidRPr="00514570">
        <w:t>additif à la présente</w:t>
      </w:r>
      <w:r w:rsidR="000C02F4" w:rsidRPr="00514570">
        <w:t> </w:t>
      </w:r>
      <w:r w:rsidRPr="00514570">
        <w:t>note.</w:t>
      </w:r>
    </w:p>
    <w:p w14:paraId="7208002A" w14:textId="5BD10D36" w:rsidR="00323A74" w:rsidRPr="00514570" w:rsidRDefault="00FE163B" w:rsidP="00323A74">
      <w:pPr>
        <w:pStyle w:val="CH3"/>
      </w:pPr>
      <w:r w:rsidRPr="00514570">
        <w:rPr>
          <w:bCs/>
        </w:rPr>
        <w:tab/>
        <w:t>b)</w:t>
      </w:r>
      <w:r w:rsidRPr="00514570">
        <w:rPr>
          <w:bCs/>
        </w:rPr>
        <w:tab/>
      </w:r>
      <w:r w:rsidR="00323A74" w:rsidRPr="00514570">
        <w:rPr>
          <w:bCs/>
        </w:rPr>
        <w:t>Inhalateurs-doseurs utilisant des gaz propulseurs à faible potentiel de réchauffement global (décision</w:t>
      </w:r>
      <w:r w:rsidR="00BC3F38" w:rsidRPr="00514570">
        <w:rPr>
          <w:bCs/>
        </w:rPr>
        <w:t> </w:t>
      </w:r>
      <w:r w:rsidR="00323A74" w:rsidRPr="00514570">
        <w:rPr>
          <w:bCs/>
        </w:rPr>
        <w:t>XXXVI/6)</w:t>
      </w:r>
    </w:p>
    <w:p w14:paraId="37FB4F95" w14:textId="573553E4" w:rsidR="00323A74" w:rsidRPr="00514570" w:rsidRDefault="00323A74" w:rsidP="00323A74">
      <w:pPr>
        <w:pStyle w:val="Normalnumber"/>
        <w:tabs>
          <w:tab w:val="clear" w:pos="1247"/>
          <w:tab w:val="clear" w:pos="1814"/>
          <w:tab w:val="clear" w:pos="2381"/>
          <w:tab w:val="clear" w:pos="2948"/>
          <w:tab w:val="clear" w:pos="3515"/>
        </w:tabs>
      </w:pPr>
      <w:r w:rsidRPr="00514570">
        <w:t>La trente-sixième</w:t>
      </w:r>
      <w:r w:rsidR="00BC3F38" w:rsidRPr="00514570">
        <w:t> </w:t>
      </w:r>
      <w:r w:rsidRPr="00514570">
        <w:t>Réunion des Parties a adopté la décision</w:t>
      </w:r>
      <w:r w:rsidR="0027790C" w:rsidRPr="00514570">
        <w:t> </w:t>
      </w:r>
      <w:r w:rsidRPr="00514570">
        <w:t>XXXVI/6, dans laquelle, entre autres, elle a invité les Parties qui produisaient des inhalateurs-doseurs à communiquer volontairement au Secrétariat de l</w:t>
      </w:r>
      <w:r w:rsidR="00D02527" w:rsidRPr="00514570">
        <w:t>’</w:t>
      </w:r>
      <w:r w:rsidRPr="00514570">
        <w:t>ozone, de préférence avant juin 2025 ou lorsqu</w:t>
      </w:r>
      <w:r w:rsidR="00D02527" w:rsidRPr="00514570">
        <w:t>’</w:t>
      </w:r>
      <w:r w:rsidRPr="00514570">
        <w:t>elle serait disponible, toute information pertinente sur les progrès réalisés dans la mise au point d</w:t>
      </w:r>
      <w:r w:rsidR="00D02527" w:rsidRPr="00514570">
        <w:t>’</w:t>
      </w:r>
      <w:r w:rsidRPr="00514570">
        <w:t>inhalateurs-doseurs utilisant des gaz propulseurs à faible potentiel de réchauffement global, sur la disponibilité d</w:t>
      </w:r>
      <w:r w:rsidR="00D02527" w:rsidRPr="00514570">
        <w:t>’</w:t>
      </w:r>
      <w:r w:rsidRPr="00514570">
        <w:t xml:space="preserve">autres solutions de remplacement et sur la mise en œuvre des enseignements tirés des précédentes transitions </w:t>
      </w:r>
      <w:r w:rsidR="00E429DF" w:rsidRPr="00514570">
        <w:t>e</w:t>
      </w:r>
      <w:r w:rsidRPr="00514570">
        <w:t>n matière de gaz propulseurs d</w:t>
      </w:r>
      <w:r w:rsidR="00D02527" w:rsidRPr="00514570">
        <w:t>’</w:t>
      </w:r>
      <w:r w:rsidRPr="00514570">
        <w:t>inhalateurs-doseurs. Au paragraphe</w:t>
      </w:r>
      <w:r w:rsidR="00D07365" w:rsidRPr="00514570">
        <w:t> </w:t>
      </w:r>
      <w:r w:rsidRPr="00514570">
        <w:t>3 de la décision, le Groupe de l</w:t>
      </w:r>
      <w:r w:rsidR="00D02527" w:rsidRPr="00514570">
        <w:t>’</w:t>
      </w:r>
      <w:r w:rsidRPr="00514570">
        <w:t>évaluation technique et économique était prié de continuer à fournir, dans ses rapports d</w:t>
      </w:r>
      <w:r w:rsidR="00D02527" w:rsidRPr="00514570">
        <w:t>’</w:t>
      </w:r>
      <w:r w:rsidRPr="00514570">
        <w:t>activité annuels, des informations actualisées sur les propulseurs d</w:t>
      </w:r>
      <w:r w:rsidR="00D02527" w:rsidRPr="00514570">
        <w:t>’</w:t>
      </w:r>
      <w:r w:rsidRPr="00514570">
        <w:t>inhalateurs-doseurs à faible potentiel de réchauffement global et de compléter son rapport d</w:t>
      </w:r>
      <w:r w:rsidR="00D02527" w:rsidRPr="00514570">
        <w:t>’</w:t>
      </w:r>
      <w:r w:rsidRPr="00514570">
        <w:t>évaluation quadriennal de 2026 par des informations actualisées, notamment sur la disponibilité, la faisabilité technique, la viabilité économique, la sécurité et la pénétration du marché s</w:t>
      </w:r>
      <w:r w:rsidR="00D02527" w:rsidRPr="00514570">
        <w:t>’</w:t>
      </w:r>
      <w:r w:rsidRPr="00514570">
        <w:t>agissant de ces propulseurs dans les Parties visées à l</w:t>
      </w:r>
      <w:r w:rsidR="00D02527" w:rsidRPr="00514570">
        <w:t>’</w:t>
      </w:r>
      <w:r w:rsidRPr="00514570">
        <w:t>article</w:t>
      </w:r>
      <w:r w:rsidR="00B91608" w:rsidRPr="00514570">
        <w:t> </w:t>
      </w:r>
      <w:r w:rsidRPr="00514570">
        <w:t>5 et dans les Parties non visées au paragraphe</w:t>
      </w:r>
      <w:r w:rsidR="00B91608" w:rsidRPr="00514570">
        <w:t> </w:t>
      </w:r>
      <w:r w:rsidRPr="00514570">
        <w:t>1 de l</w:t>
      </w:r>
      <w:r w:rsidR="00D02527" w:rsidRPr="00514570">
        <w:t>’</w:t>
      </w:r>
      <w:r w:rsidRPr="00514570">
        <w:t>article</w:t>
      </w:r>
      <w:r w:rsidR="00B91608" w:rsidRPr="00514570">
        <w:t> </w:t>
      </w:r>
      <w:r w:rsidRPr="00514570">
        <w:t>5 (Parties non visées à l</w:t>
      </w:r>
      <w:r w:rsidR="00D02527" w:rsidRPr="00514570">
        <w:t>’</w:t>
      </w:r>
      <w:r w:rsidRPr="00514570">
        <w:t>article</w:t>
      </w:r>
      <w:r w:rsidR="00B91608" w:rsidRPr="00514570">
        <w:t> </w:t>
      </w:r>
      <w:r w:rsidRPr="00514570">
        <w:t>5).</w:t>
      </w:r>
    </w:p>
    <w:p w14:paraId="3F28E3F7" w14:textId="3F8278CB" w:rsidR="00323A74" w:rsidRPr="00514570" w:rsidRDefault="00323A74" w:rsidP="00323A74">
      <w:pPr>
        <w:pStyle w:val="Normalnumber"/>
        <w:tabs>
          <w:tab w:val="clear" w:pos="1247"/>
          <w:tab w:val="clear" w:pos="1814"/>
          <w:tab w:val="clear" w:pos="2381"/>
          <w:tab w:val="clear" w:pos="2948"/>
          <w:tab w:val="clear" w:pos="3515"/>
        </w:tabs>
      </w:pPr>
      <w:r w:rsidRPr="00514570">
        <w:t>Lors de la quarante-septième</w:t>
      </w:r>
      <w:r w:rsidR="00640E35" w:rsidRPr="00514570">
        <w:t> </w:t>
      </w:r>
      <w:r w:rsidRPr="00514570">
        <w:t xml:space="preserve">réunion du Groupe de travail à composition non limitée, </w:t>
      </w:r>
      <w:r w:rsidR="00FA6D98" w:rsidRPr="00514570">
        <w:t>d</w:t>
      </w:r>
      <w:r w:rsidRPr="00514570">
        <w:t>es représentant(e)s ont examiné les informations actualisées concernant les propulseurs d</w:t>
      </w:r>
      <w:r w:rsidR="00D02527" w:rsidRPr="00514570">
        <w:t>’</w:t>
      </w:r>
      <w:r w:rsidRPr="00514570">
        <w:t>inhalateurs-doseurs à faible potentiel de réchauffement global, telles qu</w:t>
      </w:r>
      <w:r w:rsidR="00D02527" w:rsidRPr="00514570">
        <w:t>’</w:t>
      </w:r>
      <w:r w:rsidRPr="00514570">
        <w:t>elles figuraient dans le rapport d</w:t>
      </w:r>
      <w:r w:rsidR="00D02527" w:rsidRPr="00514570">
        <w:t>’</w:t>
      </w:r>
      <w:r w:rsidRPr="00514570">
        <w:t>activité du Groupe de l</w:t>
      </w:r>
      <w:r w:rsidR="00D02527" w:rsidRPr="00514570">
        <w:t>’</w:t>
      </w:r>
      <w:r w:rsidRPr="00514570">
        <w:t>évaluation technique et économique pour 2025. Les discussions qui ont suivi ont porté sur la disponibilité et le développement de solutions de remplacement aux inhalateurs-doseurs utilisant des propulseurs à fort potentiel de réchauffement global, ainsi que sur les difficultés liées à l</w:t>
      </w:r>
      <w:r w:rsidR="00D02527" w:rsidRPr="00514570">
        <w:t>’</w:t>
      </w:r>
      <w:r w:rsidRPr="00514570">
        <w:t xml:space="preserve">adoption de ces solutions, sujets sur lesquels </w:t>
      </w:r>
      <w:r w:rsidR="00FA6D98" w:rsidRPr="00514570">
        <w:t>d</w:t>
      </w:r>
      <w:r w:rsidRPr="00514570">
        <w:t>es représentant(e)s ont sollicité des conseils supplémentaires auprès du Groupe. On a souligné le droit des Parties à prendre leurs propres décisions concernant l</w:t>
      </w:r>
      <w:r w:rsidR="00D02527" w:rsidRPr="00514570">
        <w:t>’</w:t>
      </w:r>
      <w:r w:rsidRPr="00514570">
        <w:t>abandon progressif des HFC dans les inhalateurs-doseurs, ainsi que le rôle et la responsabilité de l</w:t>
      </w:r>
      <w:r w:rsidR="00D02527" w:rsidRPr="00514570">
        <w:t>’</w:t>
      </w:r>
      <w:r w:rsidRPr="00514570">
        <w:t>industrie pharmaceutique et la nécessité d</w:t>
      </w:r>
      <w:r w:rsidR="00D02527" w:rsidRPr="00514570">
        <w:t>’</w:t>
      </w:r>
      <w:r w:rsidRPr="00514570">
        <w:t>aider les secteurs pharmaceutiques des pays en développement à adopter des solutions de remplacement. Les Parties ont été encouragées à fournir des informations complémentaires, conformément à la décision</w:t>
      </w:r>
      <w:r w:rsidR="00640E35" w:rsidRPr="00514570">
        <w:t> </w:t>
      </w:r>
      <w:r w:rsidRPr="00514570">
        <w:t xml:space="preserve">XXXVI/6, afin de permettre un débat plus approfondi sur ce sujet. Les débats y afférents sont résumés </w:t>
      </w:r>
      <w:r w:rsidR="00FA6D98" w:rsidRPr="00514570">
        <w:t>aux</w:t>
      </w:r>
      <w:r w:rsidRPr="00514570">
        <w:t xml:space="preserve"> paragraphes 93 à 97 du rapport de la quarante-septième</w:t>
      </w:r>
      <w:r w:rsidR="00640E35" w:rsidRPr="00514570">
        <w:t> </w:t>
      </w:r>
      <w:r w:rsidRPr="00514570">
        <w:t>réunion du Groupe de travail à composition non limitée (UNEP/OzL.Pro.WG.1/47/6).</w:t>
      </w:r>
    </w:p>
    <w:p w14:paraId="1EBE5698" w14:textId="74FA42E4" w:rsidR="00323A74" w:rsidRPr="00514570" w:rsidRDefault="00323A74" w:rsidP="00E23C9E">
      <w:pPr>
        <w:pStyle w:val="Normalnumber"/>
        <w:tabs>
          <w:tab w:val="clear" w:pos="1247"/>
          <w:tab w:val="clear" w:pos="1814"/>
          <w:tab w:val="clear" w:pos="2381"/>
          <w:tab w:val="clear" w:pos="2948"/>
          <w:tab w:val="clear" w:pos="3515"/>
        </w:tabs>
      </w:pPr>
      <w:r w:rsidRPr="00514570">
        <w:t>Au moment de la rédaction de la présente</w:t>
      </w:r>
      <w:r w:rsidR="00D65BDC" w:rsidRPr="00514570">
        <w:t> </w:t>
      </w:r>
      <w:r w:rsidRPr="00514570">
        <w:t>note, le Secrétariat de l</w:t>
      </w:r>
      <w:r w:rsidR="00D02527" w:rsidRPr="00514570">
        <w:t>’</w:t>
      </w:r>
      <w:r w:rsidRPr="00514570">
        <w:t>ozone n</w:t>
      </w:r>
      <w:r w:rsidR="00D02527" w:rsidRPr="00514570">
        <w:t>’</w:t>
      </w:r>
      <w:r w:rsidRPr="00514570">
        <w:t>avait reçu aucune autre communication que celles présentées en 2025 par l</w:t>
      </w:r>
      <w:r w:rsidR="00D02527" w:rsidRPr="00514570">
        <w:t>’</w:t>
      </w:r>
      <w:r w:rsidRPr="00514570">
        <w:t>Union européenne et ses 27</w:t>
      </w:r>
      <w:r w:rsidR="00D65BDC" w:rsidRPr="00514570">
        <w:t> </w:t>
      </w:r>
      <w:r w:rsidRPr="00514570">
        <w:t>États membres, ainsi que par les États-Unis d</w:t>
      </w:r>
      <w:r w:rsidR="00D02527" w:rsidRPr="00514570">
        <w:t>’</w:t>
      </w:r>
      <w:r w:rsidRPr="00514570">
        <w:t>Amérique.</w:t>
      </w:r>
    </w:p>
    <w:p w14:paraId="070CD339" w14:textId="6F43A0C1" w:rsidR="00323A74" w:rsidRPr="00514570" w:rsidRDefault="00323A74" w:rsidP="00323A74">
      <w:pPr>
        <w:pStyle w:val="Normalnumber"/>
        <w:tabs>
          <w:tab w:val="clear" w:pos="1247"/>
          <w:tab w:val="clear" w:pos="1814"/>
          <w:tab w:val="clear" w:pos="2381"/>
          <w:tab w:val="clear" w:pos="2948"/>
          <w:tab w:val="clear" w:pos="3515"/>
        </w:tabs>
      </w:pPr>
      <w:r w:rsidRPr="00514570">
        <w:t>Un résumé de toute information actualisée sur les gaz propulseurs d</w:t>
      </w:r>
      <w:r w:rsidR="00D02527" w:rsidRPr="00514570">
        <w:t>’</w:t>
      </w:r>
      <w:r w:rsidRPr="00514570">
        <w:t>inhalateurs-doseurs à faible potentiel de réchauffement global contenue dans le rapport d</w:t>
      </w:r>
      <w:r w:rsidR="00D02527" w:rsidRPr="00514570">
        <w:t>’</w:t>
      </w:r>
      <w:r w:rsidRPr="00514570">
        <w:t>activité pour 2026 du Groupe de l</w:t>
      </w:r>
      <w:r w:rsidR="00D02527" w:rsidRPr="00514570">
        <w:t>’</w:t>
      </w:r>
      <w:r w:rsidRPr="00514570">
        <w:t>évaluation technique et économique et de toute nouvelle information communiquée par les Parties conformément au paragraphe</w:t>
      </w:r>
      <w:r w:rsidR="00D65BDC" w:rsidRPr="00514570">
        <w:t> </w:t>
      </w:r>
      <w:r w:rsidRPr="00514570">
        <w:t>16 ci-dessus sera inclus dans l</w:t>
      </w:r>
      <w:r w:rsidR="00D02527" w:rsidRPr="00514570">
        <w:t>’</w:t>
      </w:r>
      <w:r w:rsidRPr="00514570">
        <w:t>additif à la présente note.</w:t>
      </w:r>
    </w:p>
    <w:p w14:paraId="120FE88F" w14:textId="76209A74" w:rsidR="00323A74" w:rsidRPr="00514570" w:rsidRDefault="002F52EC" w:rsidP="00323A74">
      <w:pPr>
        <w:pStyle w:val="CH3"/>
      </w:pPr>
      <w:r w:rsidRPr="00514570">
        <w:rPr>
          <w:bCs/>
        </w:rPr>
        <w:tab/>
        <w:t>c)</w:t>
      </w:r>
      <w:r w:rsidR="00323A74" w:rsidRPr="00514570">
        <w:tab/>
      </w:r>
      <w:r w:rsidR="00323A74" w:rsidRPr="00514570">
        <w:rPr>
          <w:bCs/>
        </w:rPr>
        <w:t>Options concernant l</w:t>
      </w:r>
      <w:r w:rsidR="00D02527" w:rsidRPr="00514570">
        <w:rPr>
          <w:bCs/>
        </w:rPr>
        <w:t>’</w:t>
      </w:r>
      <w:r w:rsidR="00323A74" w:rsidRPr="00514570">
        <w:rPr>
          <w:bCs/>
        </w:rPr>
        <w:t>organisation du Groupe et de ses comités des choix techniques (décision</w:t>
      </w:r>
      <w:r w:rsidR="00D02527" w:rsidRPr="00514570">
        <w:rPr>
          <w:bCs/>
        </w:rPr>
        <w:t> </w:t>
      </w:r>
      <w:r w:rsidR="00323A74" w:rsidRPr="00514570">
        <w:rPr>
          <w:bCs/>
        </w:rPr>
        <w:t>XXXV/20)</w:t>
      </w:r>
    </w:p>
    <w:p w14:paraId="075967EE" w14:textId="12B27669" w:rsidR="00323A74" w:rsidRPr="00514570" w:rsidRDefault="00323A74" w:rsidP="00E23C9E">
      <w:pPr>
        <w:pStyle w:val="Normalnumber"/>
        <w:tabs>
          <w:tab w:val="clear" w:pos="1247"/>
          <w:tab w:val="clear" w:pos="1814"/>
          <w:tab w:val="clear" w:pos="2381"/>
          <w:tab w:val="clear" w:pos="2948"/>
          <w:tab w:val="clear" w:pos="3515"/>
        </w:tabs>
      </w:pPr>
      <w:r w:rsidRPr="00514570">
        <w:t>Dans sa décision</w:t>
      </w:r>
      <w:r w:rsidR="00D65BDC" w:rsidRPr="00514570">
        <w:t> </w:t>
      </w:r>
      <w:r w:rsidRPr="00514570">
        <w:t>XXXV/20, la trente-cinquième Réunion des Parties a prié le Groupe de l</w:t>
      </w:r>
      <w:r w:rsidR="00D02527" w:rsidRPr="00514570">
        <w:t>’</w:t>
      </w:r>
      <w:r w:rsidRPr="00514570">
        <w:t xml:space="preserve">évaluation technique et économique de présenter des options sur son organisation et celle de ses comités des choix techniques. Le rapport complet du Groupe sur cette question </w:t>
      </w:r>
      <w:r w:rsidR="00FA6D98" w:rsidRPr="00514570">
        <w:t>figurait dans le</w:t>
      </w:r>
      <w:r w:rsidRPr="00514570">
        <w:t xml:space="preserve"> chapitre</w:t>
      </w:r>
      <w:r w:rsidR="00D65BDC" w:rsidRPr="00514570">
        <w:t> </w:t>
      </w:r>
      <w:r w:rsidRPr="00514570">
        <w:t>8 de son rapport d</w:t>
      </w:r>
      <w:r w:rsidR="00D02527" w:rsidRPr="00514570">
        <w:t>’</w:t>
      </w:r>
      <w:r w:rsidRPr="00514570">
        <w:t xml:space="preserve">activité pour 2025 et </w:t>
      </w:r>
      <w:r w:rsidR="00FA6D98" w:rsidRPr="00514570">
        <w:t xml:space="preserve">était </w:t>
      </w:r>
      <w:r w:rsidRPr="00514570">
        <w:t>résumé dans la note du Secrétariat sur les questions portées à l</w:t>
      </w:r>
      <w:r w:rsidR="00D02527" w:rsidRPr="00514570">
        <w:t>’</w:t>
      </w:r>
      <w:r w:rsidRPr="00514570">
        <w:t>attention du Groupe de travail à composition non limitée des Parties au Protocole de</w:t>
      </w:r>
      <w:r w:rsidR="00D65BDC" w:rsidRPr="00514570">
        <w:t> </w:t>
      </w:r>
      <w:r w:rsidRPr="00514570">
        <w:t>Montréal à sa quarante-septième</w:t>
      </w:r>
      <w:r w:rsidR="00D65BDC" w:rsidRPr="00514570">
        <w:t> </w:t>
      </w:r>
      <w:r w:rsidRPr="00514570">
        <w:t>réunion, pour examen et information (UNEP/OzL.Pro.WG.1/47/2, par.</w:t>
      </w:r>
      <w:r w:rsidR="00BE7158" w:rsidRPr="00514570">
        <w:t> </w:t>
      </w:r>
      <w:r w:rsidRPr="00514570">
        <w:t>17 à 21) et dans son additif (UNEP/OzL.Pro.WG.1/47/2/Add.1, par.</w:t>
      </w:r>
      <w:r w:rsidR="00BE7158" w:rsidRPr="00514570">
        <w:t> </w:t>
      </w:r>
      <w:r w:rsidRPr="00514570">
        <w:t>19 à 28 et tableau</w:t>
      </w:r>
      <w:r w:rsidR="00BE7158" w:rsidRPr="00514570">
        <w:t> </w:t>
      </w:r>
      <w:r w:rsidRPr="00514570">
        <w:t xml:space="preserve">1). </w:t>
      </w:r>
    </w:p>
    <w:p w14:paraId="0BF4CEDC" w14:textId="4696F30E" w:rsidR="00323A74" w:rsidRPr="00514570" w:rsidRDefault="00323A74" w:rsidP="00E23C9E">
      <w:pPr>
        <w:pStyle w:val="Normalnumber"/>
        <w:tabs>
          <w:tab w:val="clear" w:pos="1247"/>
          <w:tab w:val="clear" w:pos="1814"/>
          <w:tab w:val="clear" w:pos="2381"/>
          <w:tab w:val="clear" w:pos="2948"/>
          <w:tab w:val="clear" w:pos="3515"/>
        </w:tabs>
      </w:pPr>
      <w:r w:rsidRPr="00514570">
        <w:t>À la quarante-septième</w:t>
      </w:r>
      <w:r w:rsidR="00CF516C" w:rsidRPr="00514570">
        <w:t> </w:t>
      </w:r>
      <w:r w:rsidRPr="00514570">
        <w:t>réunion du Groupe de travail à composition non limitée, un groupe informel de Parties intéressées avait rencontré les coprésident(e)s du Groupe de l</w:t>
      </w:r>
      <w:r w:rsidR="00D02527" w:rsidRPr="00514570">
        <w:t>’</w:t>
      </w:r>
      <w:r w:rsidRPr="00514570">
        <w:t>évaluation technique et économique et de ses comités des choix techniques en marge de la réunion afin de poursuivre les discussions sur les options envisageables pour l</w:t>
      </w:r>
      <w:r w:rsidR="00D02527" w:rsidRPr="00514570">
        <w:t>’</w:t>
      </w:r>
      <w:r w:rsidRPr="00514570">
        <w:t>organisation du Groupe et de ses comités des choix techniques. À l</w:t>
      </w:r>
      <w:r w:rsidR="00D02527" w:rsidRPr="00514570">
        <w:t>’</w:t>
      </w:r>
      <w:r w:rsidRPr="00514570">
        <w:t>issue de ces discussions, le groupe informel a indiqué que le Groupe de l</w:t>
      </w:r>
      <w:r w:rsidR="00D02527" w:rsidRPr="00514570">
        <w:t>’</w:t>
      </w:r>
      <w:r w:rsidRPr="00514570">
        <w:t xml:space="preserve">évaluation technique et économique avait besoin de plus de temps pour fournir les informations supplémentaires </w:t>
      </w:r>
      <w:r w:rsidRPr="00514570">
        <w:lastRenderedPageBreak/>
        <w:t>demandées par les Parties. Certain(e)s représentant(e)s ont également indiqué qu</w:t>
      </w:r>
      <w:r w:rsidR="00D02527" w:rsidRPr="00514570">
        <w:t>’</w:t>
      </w:r>
      <w:r w:rsidRPr="00514570">
        <w:t>ils (elles) avaient besoin de plus de temps pour examiner la question. Le Groupe de travail était convenu de reprendre les discussions à ce sujet à la trente-septième</w:t>
      </w:r>
      <w:r w:rsidR="00CF516C" w:rsidRPr="00514570">
        <w:t> </w:t>
      </w:r>
      <w:r w:rsidRPr="00514570">
        <w:t>Réunion des Parties.</w:t>
      </w:r>
    </w:p>
    <w:p w14:paraId="49B086A4" w14:textId="7A9B39BF" w:rsidR="00323A74" w:rsidRPr="00514570" w:rsidRDefault="00323A74" w:rsidP="00E23C9E">
      <w:pPr>
        <w:pStyle w:val="Normalnumber"/>
        <w:tabs>
          <w:tab w:val="clear" w:pos="1247"/>
          <w:tab w:val="clear" w:pos="1814"/>
          <w:tab w:val="clear" w:pos="2381"/>
          <w:tab w:val="clear" w:pos="2948"/>
          <w:tab w:val="clear" w:pos="3515"/>
        </w:tabs>
      </w:pPr>
      <w:r w:rsidRPr="00514570">
        <w:t>Le Groupe de l</w:t>
      </w:r>
      <w:r w:rsidR="00D02527" w:rsidRPr="00514570">
        <w:t>’</w:t>
      </w:r>
      <w:r w:rsidRPr="00514570">
        <w:t>évaluation technique et économique a ensuite préparé les informations supplémentaires demandées par les Parties dans le cadre des discussions au sein du groupe informel et fait savoir qu</w:t>
      </w:r>
      <w:r w:rsidR="00D02527" w:rsidRPr="00514570">
        <w:t>’</w:t>
      </w:r>
      <w:r w:rsidRPr="00514570">
        <w:t>il était prêt à répondre à toute question lors de la trente-septième</w:t>
      </w:r>
      <w:r w:rsidR="0058798D" w:rsidRPr="00514570">
        <w:t> </w:t>
      </w:r>
      <w:r w:rsidRPr="00514570">
        <w:t>Réunion des Parties. Le groupe informel créé lors de la trente-septième Réunion des Parties a examiné diverses options, mais a conclu que le moment n</w:t>
      </w:r>
      <w:r w:rsidR="00D02527" w:rsidRPr="00514570">
        <w:t>’</w:t>
      </w:r>
      <w:r w:rsidRPr="00514570">
        <w:t>était pas opportun pour procéder à une restructuration du Groupe de l</w:t>
      </w:r>
      <w:r w:rsidR="00D02527" w:rsidRPr="00514570">
        <w:t>’</w:t>
      </w:r>
      <w:r w:rsidRPr="00514570">
        <w:t>évaluation technique et économique et de ses comités des choix techniques. Compte tenu de l</w:t>
      </w:r>
      <w:r w:rsidR="00D02527" w:rsidRPr="00514570">
        <w:t>’</w:t>
      </w:r>
      <w:r w:rsidRPr="00514570">
        <w:t xml:space="preserve">importance de </w:t>
      </w:r>
      <w:r w:rsidR="00FA6D98" w:rsidRPr="00514570">
        <w:t>la poursuite</w:t>
      </w:r>
      <w:r w:rsidRPr="00514570">
        <w:t xml:space="preserve"> </w:t>
      </w:r>
      <w:r w:rsidR="00FA6D98" w:rsidRPr="00514570">
        <w:t>d</w:t>
      </w:r>
      <w:r w:rsidRPr="00514570">
        <w:t>es discussions sur cette question, notamment en ce qui concern</w:t>
      </w:r>
      <w:r w:rsidR="00FA6D98" w:rsidRPr="00514570">
        <w:t>ait</w:t>
      </w:r>
      <w:r w:rsidRPr="00514570">
        <w:t xml:space="preserve"> l</w:t>
      </w:r>
      <w:r w:rsidR="00D02527" w:rsidRPr="00514570">
        <w:t>’</w:t>
      </w:r>
      <w:r w:rsidRPr="00514570">
        <w:t>optimisation de la charge de travail, la composition du Groupe et les contraintes financières, les Parties sont convenues d</w:t>
      </w:r>
      <w:r w:rsidR="00D02527" w:rsidRPr="00514570">
        <w:t>’</w:t>
      </w:r>
      <w:r w:rsidRPr="00514570">
        <w:t>inscrire ce point à l</w:t>
      </w:r>
      <w:r w:rsidR="00D02527" w:rsidRPr="00514570">
        <w:t>’</w:t>
      </w:r>
      <w:r w:rsidRPr="00514570">
        <w:t>ordre du jour de la quarante-huitième</w:t>
      </w:r>
      <w:r w:rsidR="0058798D" w:rsidRPr="00514570">
        <w:t> </w:t>
      </w:r>
      <w:r w:rsidRPr="00514570">
        <w:t>réunion du Groupe de travail à composition non limitée.</w:t>
      </w:r>
    </w:p>
    <w:p w14:paraId="142A2EAD" w14:textId="388FAFE5" w:rsidR="00323A74" w:rsidRPr="00514570" w:rsidRDefault="00E74432" w:rsidP="00323A74">
      <w:pPr>
        <w:pStyle w:val="CH3"/>
      </w:pPr>
      <w:r w:rsidRPr="00514570">
        <w:rPr>
          <w:bCs/>
        </w:rPr>
        <w:tab/>
        <w:t>d)</w:t>
      </w:r>
      <w:r w:rsidRPr="00514570">
        <w:rPr>
          <w:bCs/>
        </w:rPr>
        <w:tab/>
      </w:r>
      <w:r w:rsidR="00323A74" w:rsidRPr="00514570">
        <w:rPr>
          <w:bCs/>
        </w:rPr>
        <w:t>Changements dans la composition du Groupe d</w:t>
      </w:r>
      <w:r w:rsidR="00D02527" w:rsidRPr="00514570">
        <w:rPr>
          <w:bCs/>
        </w:rPr>
        <w:t>’</w:t>
      </w:r>
      <w:r w:rsidR="00323A74" w:rsidRPr="00514570">
        <w:rPr>
          <w:bCs/>
        </w:rPr>
        <w:t>expert(e)s</w:t>
      </w:r>
    </w:p>
    <w:p w14:paraId="314D684F" w14:textId="0F821CEE" w:rsidR="00323A74" w:rsidRPr="00514570" w:rsidRDefault="00EF7D62" w:rsidP="00E23C9E">
      <w:pPr>
        <w:pStyle w:val="Normalnumber"/>
        <w:tabs>
          <w:tab w:val="clear" w:pos="1247"/>
          <w:tab w:val="clear" w:pos="1814"/>
          <w:tab w:val="clear" w:pos="2381"/>
          <w:tab w:val="clear" w:pos="2948"/>
          <w:tab w:val="clear" w:pos="3515"/>
        </w:tabs>
      </w:pPr>
      <w:r w:rsidRPr="00514570">
        <w:t>Le rapport d</w:t>
      </w:r>
      <w:r w:rsidR="00D02527" w:rsidRPr="00514570">
        <w:t>’</w:t>
      </w:r>
      <w:r w:rsidRPr="00514570">
        <w:t>activité du Groupe de l</w:t>
      </w:r>
      <w:r w:rsidR="00D02527" w:rsidRPr="00514570">
        <w:t>’</w:t>
      </w:r>
      <w:r w:rsidRPr="00514570">
        <w:t>évaluation technique et économique pour 2026 devrait contenir des informations sur la composition du Groupe et de ses comités des choix techniques, y</w:t>
      </w:r>
      <w:r w:rsidR="00B23EDE" w:rsidRPr="00514570">
        <w:t> </w:t>
      </w:r>
      <w:r w:rsidRPr="00514570">
        <w:t>compris la durée du mandat de chaque membre</w:t>
      </w:r>
      <w:r w:rsidR="00764281" w:rsidRPr="00514570">
        <w:t> </w:t>
      </w:r>
      <w:r w:rsidRPr="00514570">
        <w:t xml:space="preserve">; les compétences disponibles </w:t>
      </w:r>
      <w:r w:rsidR="00FA6D98" w:rsidRPr="00514570">
        <w:t>dans</w:t>
      </w:r>
      <w:r w:rsidRPr="00514570">
        <w:t xml:space="preserve"> chaque comité</w:t>
      </w:r>
      <w:r w:rsidR="00EA7D7D" w:rsidRPr="00514570">
        <w:t> </w:t>
      </w:r>
      <w:r w:rsidRPr="00514570">
        <w:t>; ainsi que la matrice des compétences requises au sein du Groupe et de ses comités des choix techniques. En application de la décision XXXI/8 intitulée « Mandat du Groupe de l</w:t>
      </w:r>
      <w:r w:rsidR="00D02527" w:rsidRPr="00514570">
        <w:t>’</w:t>
      </w:r>
      <w:r w:rsidRPr="00514570">
        <w:t>évaluation technique et économique et de ses comités des choix techniques et organes subsidiaires temporaires – procédures de nomination », le Groupe est censé fournir, dans son rapport d</w:t>
      </w:r>
      <w:r w:rsidR="00D02527" w:rsidRPr="00514570">
        <w:t>’</w:t>
      </w:r>
      <w:r w:rsidRPr="00514570">
        <w:t xml:space="preserve">activité pour 2026, un résumé des procédures </w:t>
      </w:r>
      <w:r w:rsidR="00FA6D98" w:rsidRPr="00514570">
        <w:t>qu</w:t>
      </w:r>
      <w:r w:rsidR="00D02527" w:rsidRPr="00514570">
        <w:t>’</w:t>
      </w:r>
      <w:r w:rsidR="00FA6D98" w:rsidRPr="00514570">
        <w:t>il a mises en place</w:t>
      </w:r>
      <w:r w:rsidR="009432C5" w:rsidRPr="00514570">
        <w:t>,</w:t>
      </w:r>
      <w:r w:rsidR="00FA6D98" w:rsidRPr="00514570">
        <w:t xml:space="preserve"> avec</w:t>
      </w:r>
      <w:r w:rsidRPr="00514570">
        <w:t xml:space="preserve"> ses comités des choix techniques</w:t>
      </w:r>
      <w:r w:rsidR="009432C5" w:rsidRPr="00514570">
        <w:t>,</w:t>
      </w:r>
      <w:r w:rsidR="00FA6D98" w:rsidRPr="00514570">
        <w:t xml:space="preserve"> </w:t>
      </w:r>
      <w:r w:rsidRPr="00514570">
        <w:t xml:space="preserve">pour assurer le respect </w:t>
      </w:r>
      <w:r w:rsidR="00FA6D98" w:rsidRPr="00514570">
        <w:t>de son</w:t>
      </w:r>
      <w:r w:rsidRPr="00514570">
        <w:t xml:space="preserve"> mandat par des procédures claires et transparentes.</w:t>
      </w:r>
    </w:p>
    <w:p w14:paraId="01A760CA" w14:textId="64F0788B" w:rsidR="00323A74" w:rsidRPr="00514570" w:rsidRDefault="00323A74" w:rsidP="00E23C9E">
      <w:pPr>
        <w:pStyle w:val="Normalnumber"/>
        <w:tabs>
          <w:tab w:val="clear" w:pos="1247"/>
          <w:tab w:val="clear" w:pos="1814"/>
          <w:tab w:val="clear" w:pos="2381"/>
          <w:tab w:val="clear" w:pos="2948"/>
          <w:tab w:val="clear" w:pos="3515"/>
        </w:tabs>
      </w:pPr>
      <w:r w:rsidRPr="00514570">
        <w:t>Les informations relatives aux modifications de la composition du Groupe de l</w:t>
      </w:r>
      <w:r w:rsidR="00D02527" w:rsidRPr="00514570">
        <w:t>’</w:t>
      </w:r>
      <w:r w:rsidRPr="00514570">
        <w:t>évaluation technique et économique ainsi qu</w:t>
      </w:r>
      <w:r w:rsidR="00D02527" w:rsidRPr="00514570">
        <w:t>’</w:t>
      </w:r>
      <w:r w:rsidRPr="00514570">
        <w:t>à la procédure de soumission des nominations seront fournies dans l</w:t>
      </w:r>
      <w:r w:rsidR="00D02527" w:rsidRPr="00514570">
        <w:t>’</w:t>
      </w:r>
      <w:r w:rsidRPr="00514570">
        <w:t>additif à la présente note et accompagnées du tableau des compétences requises.</w:t>
      </w:r>
    </w:p>
    <w:p w14:paraId="0D38E0CE" w14:textId="3DEDAE1A" w:rsidR="00323A74" w:rsidRPr="00514570" w:rsidRDefault="00250D83" w:rsidP="00323A74">
      <w:pPr>
        <w:pStyle w:val="CH3"/>
      </w:pPr>
      <w:r w:rsidRPr="00514570">
        <w:rPr>
          <w:bCs/>
        </w:rPr>
        <w:tab/>
        <w:t>e)</w:t>
      </w:r>
      <w:r w:rsidR="00323A74" w:rsidRPr="00514570">
        <w:tab/>
      </w:r>
      <w:r w:rsidR="00323A74" w:rsidRPr="00514570">
        <w:rPr>
          <w:bCs/>
        </w:rPr>
        <w:t>Questions diverses</w:t>
      </w:r>
    </w:p>
    <w:p w14:paraId="5A14F3E3" w14:textId="5041C4D2" w:rsidR="00323A74" w:rsidRPr="00514570" w:rsidRDefault="00323A74" w:rsidP="00323A74">
      <w:pPr>
        <w:pStyle w:val="Normalnumber"/>
        <w:tabs>
          <w:tab w:val="clear" w:pos="1247"/>
          <w:tab w:val="clear" w:pos="1814"/>
          <w:tab w:val="clear" w:pos="2381"/>
          <w:tab w:val="clear" w:pos="2948"/>
          <w:tab w:val="clear" w:pos="3515"/>
        </w:tabs>
      </w:pPr>
      <w:r w:rsidRPr="00514570">
        <w:t>Toute Partie souhaitant soulever d</w:t>
      </w:r>
      <w:r w:rsidR="00D02527" w:rsidRPr="00514570">
        <w:t>’</w:t>
      </w:r>
      <w:r w:rsidRPr="00514570">
        <w:t>autres questions liées au rapport d</w:t>
      </w:r>
      <w:r w:rsidR="00D02527" w:rsidRPr="00514570">
        <w:t>’</w:t>
      </w:r>
      <w:r w:rsidRPr="00514570">
        <w:t>activité du Groupe pour 2026 afin qu</w:t>
      </w:r>
      <w:r w:rsidR="00D02527" w:rsidRPr="00514570">
        <w:t>’</w:t>
      </w:r>
      <w:r w:rsidRPr="00514570">
        <w:t>elles soient examinées à la quarante-huitième réunion du Groupe de travail à composition non limitée est priée de les soulever lors de l</w:t>
      </w:r>
      <w:r w:rsidR="00D02527" w:rsidRPr="00514570">
        <w:t>’</w:t>
      </w:r>
      <w:r w:rsidRPr="00514570">
        <w:t>adoption de l</w:t>
      </w:r>
      <w:r w:rsidR="00D02527" w:rsidRPr="00514570">
        <w:t>’</w:t>
      </w:r>
      <w:r w:rsidRPr="00514570">
        <w:t>ordre du jour de ladite réunion et de demander leur inscription à l</w:t>
      </w:r>
      <w:r w:rsidR="00D02527" w:rsidRPr="00514570">
        <w:t>’</w:t>
      </w:r>
      <w:r w:rsidRPr="00514570">
        <w:t>ordre du jour, selon que de besoin.</w:t>
      </w:r>
    </w:p>
    <w:p w14:paraId="70DD2184" w14:textId="5D29E096" w:rsidR="00323A74" w:rsidRPr="00514570" w:rsidRDefault="00323A74" w:rsidP="00D02527">
      <w:pPr>
        <w:pStyle w:val="CH2"/>
        <w:ind w:firstLine="0"/>
      </w:pPr>
      <w:r w:rsidRPr="00514570">
        <w:rPr>
          <w:bCs/>
        </w:rPr>
        <w:t>Point</w:t>
      </w:r>
      <w:r w:rsidR="00D02527" w:rsidRPr="00514570">
        <w:rPr>
          <w:bCs/>
        </w:rPr>
        <w:t> </w:t>
      </w:r>
      <w:r w:rsidRPr="00514570">
        <w:rPr>
          <w:bCs/>
        </w:rPr>
        <w:t>5 de l</w:t>
      </w:r>
      <w:r w:rsidR="00D02527" w:rsidRPr="00514570">
        <w:rPr>
          <w:bCs/>
        </w:rPr>
        <w:t>’</w:t>
      </w:r>
      <w:r w:rsidRPr="00514570">
        <w:rPr>
          <w:bCs/>
        </w:rPr>
        <w:t>ordre du jour</w:t>
      </w:r>
    </w:p>
    <w:p w14:paraId="6E5BC993" w14:textId="37EB911D" w:rsidR="00323A74" w:rsidRPr="00514570" w:rsidRDefault="00323A74" w:rsidP="00323A74">
      <w:pPr>
        <w:pStyle w:val="CH2"/>
        <w:spacing w:before="120"/>
      </w:pPr>
      <w:r w:rsidRPr="00514570">
        <w:tab/>
      </w:r>
      <w:r w:rsidRPr="00514570">
        <w:tab/>
      </w:r>
      <w:r w:rsidRPr="00514570">
        <w:rPr>
          <w:bCs/>
        </w:rPr>
        <w:t>Amélioration de la surveillance atmosphérique régionale des substances réglementées par le Protocole de</w:t>
      </w:r>
      <w:r w:rsidR="00D02527" w:rsidRPr="00514570">
        <w:rPr>
          <w:bCs/>
        </w:rPr>
        <w:t> </w:t>
      </w:r>
      <w:r w:rsidRPr="00514570">
        <w:rPr>
          <w:bCs/>
        </w:rPr>
        <w:t>Montréal (décision</w:t>
      </w:r>
      <w:r w:rsidR="00D02527" w:rsidRPr="00514570">
        <w:rPr>
          <w:bCs/>
        </w:rPr>
        <w:t> </w:t>
      </w:r>
      <w:r w:rsidRPr="00514570">
        <w:rPr>
          <w:bCs/>
        </w:rPr>
        <w:t>XXXVII/1)</w:t>
      </w:r>
    </w:p>
    <w:p w14:paraId="5250F9B9" w14:textId="1C0C804B" w:rsidR="00323A74" w:rsidRPr="00514570" w:rsidRDefault="005A21BA" w:rsidP="00323A74">
      <w:pPr>
        <w:pStyle w:val="Normalnumber"/>
        <w:tabs>
          <w:tab w:val="clear" w:pos="1247"/>
          <w:tab w:val="clear" w:pos="1814"/>
          <w:tab w:val="clear" w:pos="2381"/>
          <w:tab w:val="clear" w:pos="2948"/>
          <w:tab w:val="clear" w:pos="3515"/>
        </w:tabs>
        <w:rPr>
          <w:color w:val="000000" w:themeColor="text1"/>
        </w:rPr>
      </w:pPr>
      <w:r w:rsidRPr="00514570">
        <w:t>La trente-septième</w:t>
      </w:r>
      <w:r w:rsidR="00D02527" w:rsidRPr="00514570">
        <w:t> </w:t>
      </w:r>
      <w:r w:rsidRPr="00514570">
        <w:t xml:space="preserve">Réunion des Parties a entendu </w:t>
      </w:r>
      <w:r w:rsidR="00CD2A9D" w:rsidRPr="00514570">
        <w:t>un exposé sur le</w:t>
      </w:r>
      <w:r w:rsidRPr="00514570">
        <w:t xml:space="preserve"> rapport sur l</w:t>
      </w:r>
      <w:r w:rsidR="00D02527" w:rsidRPr="00514570">
        <w:t>’</w:t>
      </w:r>
      <w:r w:rsidRPr="00514570">
        <w:t>état d</w:t>
      </w:r>
      <w:r w:rsidR="00D02527" w:rsidRPr="00514570">
        <w:t>’</w:t>
      </w:r>
      <w:r w:rsidRPr="00514570">
        <w:t>avancement de la mise en œuvre de la décision</w:t>
      </w:r>
      <w:r w:rsidR="00F852E9" w:rsidRPr="00514570">
        <w:t> </w:t>
      </w:r>
      <w:r w:rsidRPr="00514570">
        <w:t>XXXVI/1 relative à l</w:t>
      </w:r>
      <w:r w:rsidR="00D02527" w:rsidRPr="00514570">
        <w:t>’</w:t>
      </w:r>
      <w:r w:rsidRPr="00514570">
        <w:t>amélioration de la surveillance atmosphérique régionale des substances réglementées par le Protocole de</w:t>
      </w:r>
      <w:r w:rsidR="0058798D" w:rsidRPr="00514570">
        <w:t> </w:t>
      </w:r>
      <w:r w:rsidRPr="00514570">
        <w:t>Montréal (UNEP/OzL.Pro.37/9, par. 90 à 93). L</w:t>
      </w:r>
      <w:r w:rsidR="00D02527" w:rsidRPr="00514570">
        <w:t>’</w:t>
      </w:r>
      <w:r w:rsidR="00CD2A9D" w:rsidRPr="00514570">
        <w:t>exposé</w:t>
      </w:r>
      <w:r w:rsidRPr="00514570">
        <w:t>, assuré par l</w:t>
      </w:r>
      <w:r w:rsidR="00D02527" w:rsidRPr="00514570">
        <w:t>’</w:t>
      </w:r>
      <w:r w:rsidRPr="00514570">
        <w:t>un des Coprésident(e)s du Comité consultatif du fonds d</w:t>
      </w:r>
      <w:r w:rsidR="00D02527" w:rsidRPr="00514570">
        <w:t>’</w:t>
      </w:r>
      <w:r w:rsidRPr="00514570">
        <w:t>affectation spéciale général destiné à financer des activités de recherche et d</w:t>
      </w:r>
      <w:r w:rsidR="00D02527" w:rsidRPr="00514570">
        <w:t>’</w:t>
      </w:r>
      <w:r w:rsidRPr="00514570">
        <w:t>observations systématiques au titre de la Convention de</w:t>
      </w:r>
      <w:r w:rsidR="0098322F" w:rsidRPr="00514570">
        <w:t> </w:t>
      </w:r>
      <w:r w:rsidRPr="00514570">
        <w:t>Vienne pour la protection de la couche d</w:t>
      </w:r>
      <w:r w:rsidR="00D02527" w:rsidRPr="00514570">
        <w:t>’</w:t>
      </w:r>
      <w:r w:rsidRPr="00514570">
        <w:t>ozone et par le représentant du Secrétariat de l</w:t>
      </w:r>
      <w:r w:rsidR="00D02527" w:rsidRPr="00514570">
        <w:t>’</w:t>
      </w:r>
      <w:r w:rsidR="00E429DF" w:rsidRPr="00514570">
        <w:t>o</w:t>
      </w:r>
      <w:r w:rsidRPr="00514570">
        <w:t>zone au sein dudit Comité, a porté sur les progrès réalisés dans l</w:t>
      </w:r>
      <w:r w:rsidR="00D02527" w:rsidRPr="00514570">
        <w:t>’</w:t>
      </w:r>
      <w:r w:rsidRPr="00514570">
        <w:t>évaluation de l</w:t>
      </w:r>
      <w:r w:rsidR="00D02527" w:rsidRPr="00514570">
        <w:t>’</w:t>
      </w:r>
      <w:r w:rsidRPr="00514570">
        <w:t>adéquation des sites potentiels pour la surveillance des émissions régionales de substances réglementées, ainsi que sur les mises à jour des estimations de coûts du Secrétariat et des options de financement à long terme lié à la surveillance de l</w:t>
      </w:r>
      <w:r w:rsidR="00D02527" w:rsidRPr="00514570">
        <w:t>’</w:t>
      </w:r>
      <w:r w:rsidRPr="00514570">
        <w:t>atmosphère, ainsi qu</w:t>
      </w:r>
      <w:r w:rsidR="00CD2A9D" w:rsidRPr="00514570">
        <w:t xml:space="preserve">e sur </w:t>
      </w:r>
      <w:r w:rsidRPr="00514570">
        <w:t xml:space="preserve">une liste de </w:t>
      </w:r>
      <w:r w:rsidR="00EB3816" w:rsidRPr="00514570">
        <w:t>10 </w:t>
      </w:r>
      <w:r w:rsidRPr="00514570">
        <w:t>régions et sites potentiels sélectionnés par le Comité consultatif pour l</w:t>
      </w:r>
      <w:r w:rsidR="00D02527" w:rsidRPr="00514570">
        <w:t>’</w:t>
      </w:r>
      <w:r w:rsidRPr="00514570">
        <w:t>installation de stations de surveillance, dont cinq avaient été classés comme prioritaires par le Comité</w:t>
      </w:r>
      <w:r w:rsidR="00323A74" w:rsidRPr="00514570">
        <w:rPr>
          <w:rStyle w:val="FootnoteReference"/>
        </w:rPr>
        <w:footnoteReference w:id="3"/>
      </w:r>
      <w:r w:rsidRPr="00514570">
        <w:t xml:space="preserve">. </w:t>
      </w:r>
    </w:p>
    <w:p w14:paraId="078908A6" w14:textId="2F1DB84A" w:rsidR="00323A74" w:rsidRPr="00514570" w:rsidRDefault="00323A74" w:rsidP="00E54692">
      <w:pPr>
        <w:pStyle w:val="Normalnumber"/>
        <w:keepNext/>
        <w:keepLines/>
        <w:tabs>
          <w:tab w:val="clear" w:pos="1247"/>
          <w:tab w:val="clear" w:pos="1814"/>
          <w:tab w:val="clear" w:pos="2381"/>
          <w:tab w:val="clear" w:pos="2948"/>
          <w:tab w:val="clear" w:pos="3515"/>
        </w:tabs>
        <w:rPr>
          <w:color w:val="000000" w:themeColor="text1"/>
        </w:rPr>
      </w:pPr>
      <w:r w:rsidRPr="00514570">
        <w:lastRenderedPageBreak/>
        <w:t>Au cours de la discussion qui a suivi, des représentant(e)s ont interrogé le Coprésident du Comité consultatif sur la procédure suivie pour sélectionner les régions susceptibles d</w:t>
      </w:r>
      <w:r w:rsidR="00D02527" w:rsidRPr="00514570">
        <w:t>’</w:t>
      </w:r>
      <w:r w:rsidRPr="00514570">
        <w:t>accueillir de futures stations de surveillance, ainsi que sur les critères de sélection. Ils (elles) ont fait part de leur</w:t>
      </w:r>
      <w:r w:rsidR="00C32F56" w:rsidRPr="00514570">
        <w:t>s</w:t>
      </w:r>
      <w:r w:rsidRPr="00514570">
        <w:t xml:space="preserve"> </w:t>
      </w:r>
      <w:r w:rsidR="00C32F56" w:rsidRPr="00514570">
        <w:t>vues</w:t>
      </w:r>
      <w:r w:rsidRPr="00514570">
        <w:t xml:space="preserve"> sur une éventuelle collaboration avec les institutions concernées, notamment </w:t>
      </w:r>
      <w:r w:rsidR="00C32F56" w:rsidRPr="00514570">
        <w:t>pour</w:t>
      </w:r>
      <w:r w:rsidRPr="00514570">
        <w:t xml:space="preserve"> les projets de surveillance conjoints et le partage des données. </w:t>
      </w:r>
      <w:r w:rsidR="00C32F56" w:rsidRPr="00514570">
        <w:t>S</w:t>
      </w:r>
      <w:r w:rsidR="00D02527" w:rsidRPr="00514570">
        <w:t>’</w:t>
      </w:r>
      <w:r w:rsidR="00C32F56" w:rsidRPr="00514570">
        <w:t>agissant de</w:t>
      </w:r>
      <w:r w:rsidRPr="00514570">
        <w:t xml:space="preserve"> la nécessité d</w:t>
      </w:r>
      <w:r w:rsidR="00D02527" w:rsidRPr="00514570">
        <w:t>’</w:t>
      </w:r>
      <w:r w:rsidRPr="00514570">
        <w:t>un financement durable, ils (elles) ont soulevé la question du financement futur d</w:t>
      </w:r>
      <w:r w:rsidR="00D02527" w:rsidRPr="00514570">
        <w:t>’</w:t>
      </w:r>
      <w:r w:rsidRPr="00514570">
        <w:t>un programme de surveillance de l</w:t>
      </w:r>
      <w:r w:rsidR="00D02527" w:rsidRPr="00514570">
        <w:t>’</w:t>
      </w:r>
      <w:r w:rsidRPr="00514570">
        <w:t>atmosphère au-delà de la période de cinq</w:t>
      </w:r>
      <w:r w:rsidR="0058798D" w:rsidRPr="00514570">
        <w:t> </w:t>
      </w:r>
      <w:r w:rsidRPr="00514570">
        <w:t>ans proposée, notamment la nécessité d</w:t>
      </w:r>
      <w:r w:rsidR="00D02527" w:rsidRPr="00514570">
        <w:t>’</w:t>
      </w:r>
      <w:r w:rsidRPr="00514570">
        <w:t>un soutien technique et financier adéquat de la part du Fonds multilatéral. Des représentant(e)s ont également souligné la nécessité d</w:t>
      </w:r>
      <w:r w:rsidR="00D02527" w:rsidRPr="00514570">
        <w:t>’</w:t>
      </w:r>
      <w:r w:rsidRPr="00514570">
        <w:t>obtenir à la fois l</w:t>
      </w:r>
      <w:r w:rsidR="00D02527" w:rsidRPr="00514570">
        <w:t>’</w:t>
      </w:r>
      <w:r w:rsidRPr="00514570">
        <w:t>autorisation et l</w:t>
      </w:r>
      <w:r w:rsidR="00D02527" w:rsidRPr="00514570">
        <w:t>’</w:t>
      </w:r>
      <w:r w:rsidRPr="00514570">
        <w:t>engagement des pays d</w:t>
      </w:r>
      <w:r w:rsidR="00D02527" w:rsidRPr="00514570">
        <w:t>’</w:t>
      </w:r>
      <w:r w:rsidRPr="00514570">
        <w:t>accueil, ainsi qu</w:t>
      </w:r>
      <w:r w:rsidR="00D02527" w:rsidRPr="00514570">
        <w:t>’</w:t>
      </w:r>
      <w:r w:rsidRPr="00514570">
        <w:t>un engagement clair de la part des institutions d</w:t>
      </w:r>
      <w:r w:rsidR="00D02527" w:rsidRPr="00514570">
        <w:t>’</w:t>
      </w:r>
      <w:r w:rsidRPr="00514570">
        <w:t>accueil. Un résumé des débats figure aux paragraphes</w:t>
      </w:r>
      <w:r w:rsidR="0058798D" w:rsidRPr="00514570">
        <w:t> </w:t>
      </w:r>
      <w:r w:rsidRPr="00514570">
        <w:t>103 à 117 du rapport de la réunion (UNEP/OzL.Pro.37/9).</w:t>
      </w:r>
    </w:p>
    <w:p w14:paraId="566A4575" w14:textId="6A23E64B" w:rsidR="00323A74" w:rsidRPr="00514570" w:rsidRDefault="00323A74" w:rsidP="001618EA">
      <w:pPr>
        <w:pStyle w:val="Normalnumber"/>
        <w:tabs>
          <w:tab w:val="clear" w:pos="1247"/>
          <w:tab w:val="clear" w:pos="1814"/>
          <w:tab w:val="clear" w:pos="2381"/>
          <w:tab w:val="clear" w:pos="2948"/>
          <w:tab w:val="clear" w:pos="3515"/>
        </w:tabs>
        <w:rPr>
          <w:color w:val="000000" w:themeColor="text1"/>
        </w:rPr>
      </w:pPr>
      <w:r w:rsidRPr="00514570">
        <w:t>Par la suite, la trente-septième</w:t>
      </w:r>
      <w:r w:rsidR="0058798D" w:rsidRPr="00514570">
        <w:t> </w:t>
      </w:r>
      <w:r w:rsidRPr="00514570">
        <w:t>Réunion des Parties a adopté la décision</w:t>
      </w:r>
      <w:r w:rsidR="00C07BB4" w:rsidRPr="00514570">
        <w:t> </w:t>
      </w:r>
      <w:r w:rsidRPr="00514570">
        <w:t>XXXVII/1. Au</w:t>
      </w:r>
      <w:r w:rsidR="00480304" w:rsidRPr="00514570">
        <w:t> </w:t>
      </w:r>
      <w:r w:rsidRPr="00514570">
        <w:t>paragraphe</w:t>
      </w:r>
      <w:r w:rsidR="00C07BB4" w:rsidRPr="00514570">
        <w:t> </w:t>
      </w:r>
      <w:r w:rsidRPr="00514570">
        <w:t>1 de la décision, le Secrétariat de l</w:t>
      </w:r>
      <w:r w:rsidR="00D02527" w:rsidRPr="00514570">
        <w:t>’</w:t>
      </w:r>
      <w:r w:rsidR="00E429DF" w:rsidRPr="00514570">
        <w:t>o</w:t>
      </w:r>
      <w:r w:rsidRPr="00514570">
        <w:t>zone</w:t>
      </w:r>
      <w:r w:rsidR="00E80D34" w:rsidRPr="00514570">
        <w:t xml:space="preserve"> </w:t>
      </w:r>
      <w:r w:rsidRPr="00514570">
        <w:t xml:space="preserve">a </w:t>
      </w:r>
      <w:r w:rsidR="00E74645" w:rsidRPr="00514570">
        <w:t>été</w:t>
      </w:r>
      <w:r w:rsidRPr="00514570">
        <w:t xml:space="preserve"> prié de poursuivre l</w:t>
      </w:r>
      <w:r w:rsidR="00D02527" w:rsidRPr="00514570">
        <w:t>’</w:t>
      </w:r>
      <w:r w:rsidRPr="00514570">
        <w:t>évaluation de l</w:t>
      </w:r>
      <w:r w:rsidR="00D02527" w:rsidRPr="00514570">
        <w:t>’</w:t>
      </w:r>
      <w:r w:rsidRPr="00514570">
        <w:t>adéquation des sites potentiels pour la surveillance des émissions de substances réglementées situés dans les régions et les emplacements identifiés dans les informations fournies par le Comité consultatif, en consultation avec ce dernier et avec la participation volontaire des Parties concernées et en consultation avec elles. Aux paragraphes</w:t>
      </w:r>
      <w:r w:rsidR="00C07BB4" w:rsidRPr="00514570">
        <w:t> </w:t>
      </w:r>
      <w:r w:rsidRPr="00514570">
        <w:t>2 et 3, le Secrétariat de l</w:t>
      </w:r>
      <w:r w:rsidR="00D02527" w:rsidRPr="00514570">
        <w:t>’</w:t>
      </w:r>
      <w:r w:rsidRPr="00514570">
        <w:t>ozone était prié de préparer, en</w:t>
      </w:r>
      <w:r w:rsidR="007C37DA" w:rsidRPr="00514570">
        <w:t> </w:t>
      </w:r>
      <w:r w:rsidRPr="00514570">
        <w:t>consultation avec les Parties concernées qui avaient manifesté leur intérêt, les prochaines étapes possibles en vue de la mise en place d</w:t>
      </w:r>
      <w:r w:rsidR="00D02527" w:rsidRPr="00514570">
        <w:t>’</w:t>
      </w:r>
      <w:r w:rsidRPr="00514570">
        <w:t>activités de surveillance sur les sites potentiels, en tenant compte des priorités présentées par le Comité consultatif lors de la trente-septième Réunion des Parties et de l</w:t>
      </w:r>
      <w:r w:rsidR="00D02527" w:rsidRPr="00514570">
        <w:t>’</w:t>
      </w:r>
      <w:r w:rsidRPr="00514570">
        <w:t>approche d</w:t>
      </w:r>
      <w:r w:rsidR="00D02527" w:rsidRPr="00514570">
        <w:t>’</w:t>
      </w:r>
      <w:r w:rsidRPr="00514570">
        <w:t>échantillonnage progressif présentée dans l</w:t>
      </w:r>
      <w:r w:rsidR="00D02527" w:rsidRPr="00514570">
        <w:t>’</w:t>
      </w:r>
      <w:r w:rsidRPr="00514570">
        <w:t>additif à la note du Secrétariat sur les questions portées à l</w:t>
      </w:r>
      <w:r w:rsidR="00D02527" w:rsidRPr="00514570">
        <w:t>’</w:t>
      </w:r>
      <w:r w:rsidRPr="00514570">
        <w:t>attention de la trente-septième Réunion des Parties au Protocole de Montréal, pour examen et information (UNEP/OzL.Pro.37/2/Add.1), et de mener à bien ces activités grâce à une ligne budgétaire de 100</w:t>
      </w:r>
      <w:r w:rsidR="00C07BB4" w:rsidRPr="00514570">
        <w:t> </w:t>
      </w:r>
      <w:r w:rsidRPr="00514570">
        <w:t>000</w:t>
      </w:r>
      <w:r w:rsidR="00C07BB4" w:rsidRPr="00514570">
        <w:t> </w:t>
      </w:r>
      <w:r w:rsidRPr="00514570">
        <w:t>dollars des États-Unis pour 2026, prélevée à titre exceptionnel sur le solde de trésorerie du fonds d</w:t>
      </w:r>
      <w:r w:rsidR="00D02527" w:rsidRPr="00514570">
        <w:t>’</w:t>
      </w:r>
      <w:r w:rsidRPr="00514570">
        <w:t>affectation spéciale pour le Protocole de</w:t>
      </w:r>
      <w:r w:rsidR="00DF726A" w:rsidRPr="00514570">
        <w:t> </w:t>
      </w:r>
      <w:r w:rsidRPr="00514570">
        <w:t>Montréal. Au paragraphe</w:t>
      </w:r>
      <w:r w:rsidR="00435581" w:rsidRPr="00514570">
        <w:t> </w:t>
      </w:r>
      <w:r w:rsidRPr="00514570">
        <w:t>4 de la décision, le Secrétariat de l</w:t>
      </w:r>
      <w:r w:rsidR="00D02527" w:rsidRPr="00514570">
        <w:t>’</w:t>
      </w:r>
      <w:r w:rsidRPr="00514570">
        <w:t>ozone était invité à faire rapport au Groupe de travail à composition non limitée à sa quarante-huitième réunion et à la trente-huitième</w:t>
      </w:r>
      <w:r w:rsidR="001C6B0C" w:rsidRPr="00514570">
        <w:t> </w:t>
      </w:r>
      <w:r w:rsidRPr="00514570">
        <w:t>Réunion des Parties sur l</w:t>
      </w:r>
      <w:r w:rsidR="00D02527" w:rsidRPr="00514570">
        <w:t>’</w:t>
      </w:r>
      <w:r w:rsidRPr="00514570">
        <w:t>état d</w:t>
      </w:r>
      <w:r w:rsidR="00D02527" w:rsidRPr="00514570">
        <w:t>’</w:t>
      </w:r>
      <w:r w:rsidRPr="00514570">
        <w:t>avancement et les résultats éventuels de ces activités.</w:t>
      </w:r>
    </w:p>
    <w:p w14:paraId="45F76F72" w14:textId="60E46019" w:rsidR="00323A74" w:rsidRPr="00514570" w:rsidRDefault="00323A74" w:rsidP="00E23C9E">
      <w:pPr>
        <w:pStyle w:val="Normalnumber"/>
        <w:tabs>
          <w:tab w:val="clear" w:pos="1247"/>
          <w:tab w:val="clear" w:pos="1814"/>
          <w:tab w:val="clear" w:pos="2381"/>
          <w:tab w:val="clear" w:pos="2948"/>
          <w:tab w:val="clear" w:pos="3515"/>
        </w:tabs>
        <w:rPr>
          <w:color w:val="000000" w:themeColor="text1"/>
        </w:rPr>
      </w:pPr>
      <w:r w:rsidRPr="00514570">
        <w:t>Au paragraphe</w:t>
      </w:r>
      <w:r w:rsidR="00435581" w:rsidRPr="00514570">
        <w:t> </w:t>
      </w:r>
      <w:r w:rsidRPr="00514570">
        <w:t>5 de la décision</w:t>
      </w:r>
      <w:r w:rsidR="00435581" w:rsidRPr="00514570">
        <w:t> </w:t>
      </w:r>
      <w:r w:rsidRPr="00514570">
        <w:t>XXXVII/1, le Comité</w:t>
      </w:r>
      <w:r w:rsidR="0071368F" w:rsidRPr="00514570">
        <w:t> </w:t>
      </w:r>
      <w:r w:rsidRPr="00514570">
        <w:t>exécutif du Fonds multilatéral était prié de tenir compte des informations, y</w:t>
      </w:r>
      <w:r w:rsidR="00B23EDE" w:rsidRPr="00514570">
        <w:t> </w:t>
      </w:r>
      <w:r w:rsidRPr="00514570">
        <w:t>compris sur l</w:t>
      </w:r>
      <w:r w:rsidR="00D02527" w:rsidRPr="00514570">
        <w:t>’</w:t>
      </w:r>
      <w:r w:rsidRPr="00514570">
        <w:t>approche progressive et les coûts estimés, concernant la mise en place et l</w:t>
      </w:r>
      <w:r w:rsidR="00D02527" w:rsidRPr="00514570">
        <w:t>’</w:t>
      </w:r>
      <w:r w:rsidRPr="00514570">
        <w:t>exploitation des stations de surveillance atmosphérique, comme indiqué dans la note du Secrétariat sur les questions portées à l</w:t>
      </w:r>
      <w:r w:rsidR="00D02527" w:rsidRPr="00514570">
        <w:t>’</w:t>
      </w:r>
      <w:r w:rsidRPr="00514570">
        <w:t>attention de la trente-septième</w:t>
      </w:r>
      <w:r w:rsidR="002B76BD" w:rsidRPr="00514570">
        <w:t> </w:t>
      </w:r>
      <w:r w:rsidRPr="00514570">
        <w:t>Réunion des Parties au Protocole de</w:t>
      </w:r>
      <w:r w:rsidR="002B76BD" w:rsidRPr="00514570">
        <w:t> </w:t>
      </w:r>
      <w:r w:rsidRPr="00514570">
        <w:t>Montréal, pour examen et information (UNEP/OzL.Pro.37/2/Add.1), au</w:t>
      </w:r>
      <w:r w:rsidR="00252F79" w:rsidRPr="00514570">
        <w:t> </w:t>
      </w:r>
      <w:r w:rsidRPr="00514570">
        <w:t>moment d</w:t>
      </w:r>
      <w:r w:rsidR="00D02527" w:rsidRPr="00514570">
        <w:t>’</w:t>
      </w:r>
      <w:r w:rsidRPr="00514570">
        <w:t>élaborer des lignes directrices et d</w:t>
      </w:r>
      <w:r w:rsidR="00D02527" w:rsidRPr="00514570">
        <w:t>’</w:t>
      </w:r>
      <w:r w:rsidRPr="00514570">
        <w:t>envisager de créer un guichet de financement pour des projets pilotes et d</w:t>
      </w:r>
      <w:r w:rsidR="00D02527" w:rsidRPr="00514570">
        <w:t>’</w:t>
      </w:r>
      <w:r w:rsidRPr="00514570">
        <w:t>informer les Partie</w:t>
      </w:r>
      <w:r w:rsidR="00E429DF" w:rsidRPr="00514570">
        <w:t>s</w:t>
      </w:r>
      <w:r w:rsidRPr="00514570">
        <w:t xml:space="preserve"> des progrès accomplis en prévision de la trente-huitième Réunion des Parties. Au cours du débat de haut niveau de la trente-huitième</w:t>
      </w:r>
      <w:r w:rsidR="002B76BD" w:rsidRPr="00514570">
        <w:t> </w:t>
      </w:r>
      <w:r w:rsidRPr="00514570">
        <w:t>Réunion des Parties, le</w:t>
      </w:r>
      <w:r w:rsidR="00252F79" w:rsidRPr="00514570">
        <w:t> </w:t>
      </w:r>
      <w:r w:rsidRPr="00514570">
        <w:t>Président du Comité</w:t>
      </w:r>
      <w:r w:rsidR="002B76BD" w:rsidRPr="00514570">
        <w:t> </w:t>
      </w:r>
      <w:r w:rsidRPr="00514570">
        <w:t>exécutif devrait rendre compte des progrès accomplis par le Comité</w:t>
      </w:r>
      <w:r w:rsidR="002B76BD" w:rsidRPr="00514570">
        <w:t> </w:t>
      </w:r>
      <w:r w:rsidRPr="00514570">
        <w:t xml:space="preserve">exécutif </w:t>
      </w:r>
      <w:r w:rsidR="00251A48" w:rsidRPr="00514570">
        <w:t>concernant</w:t>
      </w:r>
      <w:r w:rsidRPr="00514570">
        <w:t xml:space="preserve"> la demande de la trente-septième</w:t>
      </w:r>
      <w:r w:rsidR="002B76BD" w:rsidRPr="00514570">
        <w:t> </w:t>
      </w:r>
      <w:r w:rsidRPr="00514570">
        <w:t>Réunion des Parties à cet égard.</w:t>
      </w:r>
    </w:p>
    <w:p w14:paraId="407B4F5E" w14:textId="17664744" w:rsidR="00323A74" w:rsidRPr="00514570" w:rsidRDefault="00323A74" w:rsidP="00E23C9E">
      <w:pPr>
        <w:pStyle w:val="Normalnumber"/>
        <w:tabs>
          <w:tab w:val="clear" w:pos="1247"/>
          <w:tab w:val="clear" w:pos="1814"/>
          <w:tab w:val="clear" w:pos="2381"/>
          <w:tab w:val="clear" w:pos="2948"/>
          <w:tab w:val="clear" w:pos="3515"/>
        </w:tabs>
        <w:rPr>
          <w:color w:val="000000" w:themeColor="text1"/>
        </w:rPr>
      </w:pPr>
      <w:r w:rsidRPr="00514570">
        <w:t>Le rapport du Secrétariat et du Comité consultatif sur l</w:t>
      </w:r>
      <w:r w:rsidR="00D02527" w:rsidRPr="00514570">
        <w:t>’</w:t>
      </w:r>
      <w:r w:rsidRPr="00514570">
        <w:t>état d</w:t>
      </w:r>
      <w:r w:rsidR="00D02527" w:rsidRPr="00514570">
        <w:t>’</w:t>
      </w:r>
      <w:r w:rsidRPr="00514570">
        <w:t>avancement de la mise en œuvre de la décision</w:t>
      </w:r>
      <w:r w:rsidR="002B76BD" w:rsidRPr="00514570">
        <w:t> </w:t>
      </w:r>
      <w:r w:rsidRPr="00514570">
        <w:t>XXXVII/1 et des questions connexes sera résumé dans l</w:t>
      </w:r>
      <w:r w:rsidR="00D02527" w:rsidRPr="00514570">
        <w:t>’</w:t>
      </w:r>
      <w:r w:rsidRPr="00514570">
        <w:t>additif à la présente</w:t>
      </w:r>
      <w:r w:rsidR="002B76BD" w:rsidRPr="00514570">
        <w:t> </w:t>
      </w:r>
      <w:r w:rsidRPr="00514570">
        <w:t>note, et un exposé sur ce sujet sera fait au Groupe de travail à composition non limitée par le Secrétariat et le Coprésident du Comité consultatif. Un nouveau rapport sera présenté à la trente-huitième</w:t>
      </w:r>
      <w:r w:rsidR="002B76BD" w:rsidRPr="00514570">
        <w:t> </w:t>
      </w:r>
      <w:r w:rsidRPr="00514570">
        <w:t>Réunion des Parties, conformément au paragraphe</w:t>
      </w:r>
      <w:r w:rsidR="002B76BD" w:rsidRPr="00514570">
        <w:t> </w:t>
      </w:r>
      <w:r w:rsidRPr="00514570">
        <w:t>4 de la décision</w:t>
      </w:r>
      <w:r w:rsidR="002B76BD" w:rsidRPr="00514570">
        <w:t> </w:t>
      </w:r>
      <w:r w:rsidRPr="00514570">
        <w:t>XXXVII/1.</w:t>
      </w:r>
    </w:p>
    <w:p w14:paraId="55A092A7" w14:textId="512671BF" w:rsidR="00323A74" w:rsidRPr="00514570" w:rsidRDefault="00323A74" w:rsidP="00F852E9">
      <w:pPr>
        <w:pStyle w:val="CH2"/>
        <w:ind w:firstLine="0"/>
      </w:pPr>
      <w:r w:rsidRPr="00514570">
        <w:rPr>
          <w:bCs/>
        </w:rPr>
        <w:t>Point</w:t>
      </w:r>
      <w:r w:rsidR="00F852E9" w:rsidRPr="00514570">
        <w:rPr>
          <w:bCs/>
        </w:rPr>
        <w:t> </w:t>
      </w:r>
      <w:r w:rsidRPr="00514570">
        <w:rPr>
          <w:bCs/>
        </w:rPr>
        <w:t>6 de l</w:t>
      </w:r>
      <w:r w:rsidR="00D02527" w:rsidRPr="00514570">
        <w:rPr>
          <w:bCs/>
        </w:rPr>
        <w:t>’</w:t>
      </w:r>
      <w:r w:rsidRPr="00514570">
        <w:rPr>
          <w:bCs/>
        </w:rPr>
        <w:t>ordre du jour</w:t>
      </w:r>
    </w:p>
    <w:p w14:paraId="0C26F1C7" w14:textId="52517566" w:rsidR="00323A74" w:rsidRPr="00514570" w:rsidRDefault="00323A74" w:rsidP="00323A74">
      <w:pPr>
        <w:pStyle w:val="CH2"/>
        <w:spacing w:before="120"/>
      </w:pPr>
      <w:r w:rsidRPr="00514570">
        <w:tab/>
      </w:r>
      <w:r w:rsidRPr="00514570">
        <w:tab/>
      </w:r>
      <w:r w:rsidRPr="00514570">
        <w:rPr>
          <w:bCs/>
        </w:rPr>
        <w:t>Assurer la viabilité des opérations du Protocole de</w:t>
      </w:r>
      <w:r w:rsidR="00F852E9" w:rsidRPr="00514570">
        <w:rPr>
          <w:bCs/>
        </w:rPr>
        <w:t> </w:t>
      </w:r>
      <w:r w:rsidRPr="00514570">
        <w:rPr>
          <w:bCs/>
        </w:rPr>
        <w:t>Montréal (décision</w:t>
      </w:r>
      <w:r w:rsidR="00F852E9" w:rsidRPr="00514570">
        <w:rPr>
          <w:bCs/>
        </w:rPr>
        <w:t> </w:t>
      </w:r>
      <w:r w:rsidRPr="00514570">
        <w:rPr>
          <w:bCs/>
        </w:rPr>
        <w:t>XXXVII/7)</w:t>
      </w:r>
    </w:p>
    <w:p w14:paraId="4D16225A" w14:textId="03D8053B" w:rsidR="00323A74" w:rsidRPr="00514570" w:rsidRDefault="00851878" w:rsidP="00323A74">
      <w:pPr>
        <w:pStyle w:val="Normalnumber"/>
        <w:tabs>
          <w:tab w:val="clear" w:pos="1247"/>
          <w:tab w:val="clear" w:pos="1814"/>
          <w:tab w:val="clear" w:pos="2381"/>
          <w:tab w:val="clear" w:pos="2948"/>
          <w:tab w:val="clear" w:pos="3515"/>
        </w:tabs>
        <w:rPr>
          <w:color w:val="000000" w:themeColor="text1"/>
        </w:rPr>
      </w:pPr>
      <w:r w:rsidRPr="00514570">
        <w:t>Au paragraphe</w:t>
      </w:r>
      <w:r w:rsidR="002B76BD" w:rsidRPr="00514570">
        <w:t> </w:t>
      </w:r>
      <w:r w:rsidRPr="00514570">
        <w:t>1 de la décision</w:t>
      </w:r>
      <w:r w:rsidR="002B76BD" w:rsidRPr="00514570">
        <w:t> </w:t>
      </w:r>
      <w:r w:rsidRPr="00514570">
        <w:t>XXXVII/7, la trente-septième</w:t>
      </w:r>
      <w:r w:rsidR="009D1C1E" w:rsidRPr="00514570">
        <w:t> </w:t>
      </w:r>
      <w:r w:rsidRPr="00514570">
        <w:t>Réunion des Parties a prié le Secrétariat de l</w:t>
      </w:r>
      <w:r w:rsidR="00D02527" w:rsidRPr="00514570">
        <w:t>’</w:t>
      </w:r>
      <w:r w:rsidRPr="00514570">
        <w:t>ozone d</w:t>
      </w:r>
      <w:r w:rsidR="00D02527" w:rsidRPr="00514570">
        <w:t>’</w:t>
      </w:r>
      <w:r w:rsidRPr="00514570">
        <w:t>établir un rapport, pour examen par le Groupe de travail à composition non limitée à sa quarante-huitième</w:t>
      </w:r>
      <w:r w:rsidR="00162066" w:rsidRPr="00514570">
        <w:t> </w:t>
      </w:r>
      <w:r w:rsidRPr="00514570">
        <w:t>réunion, sur les options permettant d</w:t>
      </w:r>
      <w:r w:rsidR="00D02527" w:rsidRPr="00514570">
        <w:t>’</w:t>
      </w:r>
      <w:r w:rsidRPr="00514570">
        <w:t>apporter des changements efficients et efficaces, assorties d</w:t>
      </w:r>
      <w:r w:rsidR="00D02527" w:rsidRPr="00514570">
        <w:t>’</w:t>
      </w:r>
      <w:r w:rsidRPr="00514570">
        <w:t>estimations des coûts y afférentes, au calendrier des Réunions des Parties au Protocole de</w:t>
      </w:r>
      <w:r w:rsidR="00050F6D" w:rsidRPr="00514570">
        <w:t> </w:t>
      </w:r>
      <w:r w:rsidRPr="00514570">
        <w:t>Montréal et des réunions du Groupe de travail à composition non limitée, du Comité d</w:t>
      </w:r>
      <w:r w:rsidR="00D02527" w:rsidRPr="00514570">
        <w:t>’</w:t>
      </w:r>
      <w:r w:rsidRPr="00514570">
        <w:t>application de la procédure applicable en cas de non-respect du Protocole de</w:t>
      </w:r>
      <w:r w:rsidR="002B76BD" w:rsidRPr="00514570">
        <w:t> </w:t>
      </w:r>
      <w:r w:rsidRPr="00514570">
        <w:t>Montréal et des groupes d</w:t>
      </w:r>
      <w:r w:rsidR="00D02527" w:rsidRPr="00514570">
        <w:t>’</w:t>
      </w:r>
      <w:r w:rsidRPr="00514570">
        <w:t>évaluation, à la durée de ces réunions et à l</w:t>
      </w:r>
      <w:r w:rsidR="00D02527" w:rsidRPr="00514570">
        <w:t>’</w:t>
      </w:r>
      <w:r w:rsidRPr="00514570">
        <w:t>appui fourni par le Secrétariat de l</w:t>
      </w:r>
      <w:r w:rsidR="00D02527" w:rsidRPr="00514570">
        <w:t>’</w:t>
      </w:r>
      <w:r w:rsidRPr="00514570">
        <w:t>ozone à ces réunions, ainsi qu</w:t>
      </w:r>
      <w:r w:rsidR="00D02527" w:rsidRPr="00514570">
        <w:t>’</w:t>
      </w:r>
      <w:r w:rsidRPr="00514570">
        <w:t>au calendrier des décisions relatives à la reconstitution des ressources. Le paragraphe</w:t>
      </w:r>
      <w:r w:rsidR="002B76BD" w:rsidRPr="00514570">
        <w:t> </w:t>
      </w:r>
      <w:r w:rsidRPr="00514570">
        <w:t>2 de la décision précise que le rapport ne devrait pas porter préjudice à l</w:t>
      </w:r>
      <w:r w:rsidR="00D02527" w:rsidRPr="00514570">
        <w:t>’</w:t>
      </w:r>
      <w:r w:rsidRPr="00514570">
        <w:t>examen que mèneront par la suite les Parties au sujet des options qui y sont recensées, et qu</w:t>
      </w:r>
      <w:r w:rsidR="00D02527" w:rsidRPr="00514570">
        <w:t>’</w:t>
      </w:r>
      <w:r w:rsidRPr="00514570">
        <w:t>il devrait exposer tant les avantages que les inconvénients que ces options pourraient présenter.</w:t>
      </w:r>
    </w:p>
    <w:p w14:paraId="6530C656" w14:textId="4B640752" w:rsidR="00323A74" w:rsidRPr="00514570" w:rsidRDefault="00851878" w:rsidP="00323A74">
      <w:pPr>
        <w:pStyle w:val="Normalnumber"/>
        <w:tabs>
          <w:tab w:val="clear" w:pos="1247"/>
          <w:tab w:val="clear" w:pos="1814"/>
          <w:tab w:val="clear" w:pos="2381"/>
          <w:tab w:val="clear" w:pos="2948"/>
          <w:tab w:val="clear" w:pos="3515"/>
        </w:tabs>
        <w:rPr>
          <w:color w:val="000000" w:themeColor="text1"/>
        </w:rPr>
      </w:pPr>
      <w:r w:rsidRPr="00514570">
        <w:lastRenderedPageBreak/>
        <w:t>Les Parties seront saisies d</w:t>
      </w:r>
      <w:r w:rsidR="00D02527" w:rsidRPr="00514570">
        <w:t>’</w:t>
      </w:r>
      <w:r w:rsidRPr="00514570">
        <w:t xml:space="preserve">une note du Secrétariat comme </w:t>
      </w:r>
      <w:proofErr w:type="gramStart"/>
      <w:r w:rsidRPr="00514570">
        <w:t>suite à</w:t>
      </w:r>
      <w:proofErr w:type="gramEnd"/>
      <w:r w:rsidRPr="00514570">
        <w:t xml:space="preserve"> la décision</w:t>
      </w:r>
      <w:r w:rsidR="002B76BD" w:rsidRPr="00514570">
        <w:t> </w:t>
      </w:r>
      <w:r w:rsidRPr="00514570">
        <w:t>XXXVII/7 (UNEP/OzL.Pro.WG.1/48/4).</w:t>
      </w:r>
    </w:p>
    <w:p w14:paraId="1B35C3CF" w14:textId="6B44ABE7" w:rsidR="00323A74" w:rsidRPr="00514570" w:rsidRDefault="00323A74" w:rsidP="00EB457E">
      <w:pPr>
        <w:pStyle w:val="CH2"/>
        <w:ind w:firstLine="0"/>
      </w:pPr>
      <w:r w:rsidRPr="00514570">
        <w:rPr>
          <w:bCs/>
        </w:rPr>
        <w:t>Point</w:t>
      </w:r>
      <w:r w:rsidR="00EB457E" w:rsidRPr="00514570">
        <w:rPr>
          <w:bCs/>
        </w:rPr>
        <w:t> </w:t>
      </w:r>
      <w:r w:rsidRPr="00514570">
        <w:rPr>
          <w:bCs/>
        </w:rPr>
        <w:t>7 de l</w:t>
      </w:r>
      <w:r w:rsidR="00D02527" w:rsidRPr="00514570">
        <w:rPr>
          <w:bCs/>
        </w:rPr>
        <w:t>’</w:t>
      </w:r>
      <w:r w:rsidRPr="00514570">
        <w:rPr>
          <w:bCs/>
        </w:rPr>
        <w:t>ordre du jour</w:t>
      </w:r>
    </w:p>
    <w:p w14:paraId="78A5AB9F" w14:textId="1BC71C03" w:rsidR="00323A74" w:rsidRPr="00514570" w:rsidRDefault="00323A74" w:rsidP="00323A74">
      <w:pPr>
        <w:pStyle w:val="CH2"/>
        <w:spacing w:before="120"/>
      </w:pPr>
      <w:r w:rsidRPr="00514570">
        <w:tab/>
      </w:r>
      <w:r w:rsidRPr="00514570">
        <w:tab/>
      </w:r>
      <w:r w:rsidRPr="00514570">
        <w:rPr>
          <w:bCs/>
        </w:rPr>
        <w:t>Poursuite du renforcement des institutions relevant du Protocole de</w:t>
      </w:r>
      <w:r w:rsidR="00EB457E" w:rsidRPr="00514570">
        <w:rPr>
          <w:bCs/>
        </w:rPr>
        <w:t> </w:t>
      </w:r>
      <w:r w:rsidRPr="00514570">
        <w:rPr>
          <w:bCs/>
        </w:rPr>
        <w:t>Montréal (UNEP/OzL.Pro.37/9, par.</w:t>
      </w:r>
      <w:r w:rsidR="00A879D8" w:rsidRPr="00514570">
        <w:rPr>
          <w:bCs/>
        </w:rPr>
        <w:t> </w:t>
      </w:r>
      <w:r w:rsidRPr="00514570">
        <w:rPr>
          <w:bCs/>
        </w:rPr>
        <w:t>166)</w:t>
      </w:r>
    </w:p>
    <w:p w14:paraId="06B5E149" w14:textId="5AA3A382" w:rsidR="00323A74" w:rsidRPr="00514570" w:rsidRDefault="00323A74" w:rsidP="00E23C9E">
      <w:pPr>
        <w:pStyle w:val="Normalnumber"/>
        <w:tabs>
          <w:tab w:val="clear" w:pos="1247"/>
          <w:tab w:val="clear" w:pos="1814"/>
          <w:tab w:val="clear" w:pos="2381"/>
          <w:tab w:val="clear" w:pos="2948"/>
          <w:tab w:val="clear" w:pos="3515"/>
        </w:tabs>
      </w:pPr>
      <w:r w:rsidRPr="00514570">
        <w:t>Conformément au paragraphe</w:t>
      </w:r>
      <w:r w:rsidR="00101FAB" w:rsidRPr="00514570">
        <w:t> </w:t>
      </w:r>
      <w:r w:rsidRPr="00514570">
        <w:t>4 de la décision XXXVI/9, relative aux prochaines étapes dans la poursuite du renforcement des institutions du Protocole de</w:t>
      </w:r>
      <w:r w:rsidR="006967D3" w:rsidRPr="00514570">
        <w:t> </w:t>
      </w:r>
      <w:r w:rsidRPr="00514570">
        <w:t>Montréal, le Secrétariat de l</w:t>
      </w:r>
      <w:r w:rsidR="00D02527" w:rsidRPr="00514570">
        <w:t>’</w:t>
      </w:r>
      <w:r w:rsidRPr="00514570">
        <w:t>ozone a organisé une réunion informelle d</w:t>
      </w:r>
      <w:r w:rsidR="00D02527" w:rsidRPr="00514570">
        <w:t>’</w:t>
      </w:r>
      <w:r w:rsidRPr="00514570">
        <w:t>une journée entre les Parties afin de faciliter la mise en œuvre du Protocole de</w:t>
      </w:r>
      <w:r w:rsidR="00067172" w:rsidRPr="00514570">
        <w:t> </w:t>
      </w:r>
      <w:r w:rsidRPr="00514570">
        <w:t>Montréal. Cette réunion informelle s</w:t>
      </w:r>
      <w:r w:rsidR="00D02527" w:rsidRPr="00514570">
        <w:t>’</w:t>
      </w:r>
      <w:r w:rsidRPr="00514570">
        <w:t>est tenue le 2</w:t>
      </w:r>
      <w:r w:rsidR="00101FAB" w:rsidRPr="00514570">
        <w:t> </w:t>
      </w:r>
      <w:r w:rsidRPr="00514570">
        <w:t>novembre 202</w:t>
      </w:r>
      <w:r w:rsidR="00B3104C" w:rsidRPr="00514570">
        <w:t>5</w:t>
      </w:r>
      <w:r w:rsidRPr="00514570">
        <w:t xml:space="preserve">, </w:t>
      </w:r>
      <w:r w:rsidR="008C4B69" w:rsidRPr="00514570">
        <w:t xml:space="preserve">immédiatement </w:t>
      </w:r>
      <w:r w:rsidRPr="00514570">
        <w:t>avant la trente-septième</w:t>
      </w:r>
      <w:r w:rsidR="00101FAB" w:rsidRPr="00514570">
        <w:t> </w:t>
      </w:r>
      <w:r w:rsidRPr="00514570">
        <w:t>Réunion des Parties, et un résumé des résultats (UNEP/OzL.Pro.37/7) a été mis à la disposition de la trente-septième</w:t>
      </w:r>
      <w:r w:rsidR="00101FAB" w:rsidRPr="00514570">
        <w:t> </w:t>
      </w:r>
      <w:r w:rsidRPr="00514570">
        <w:t>Réunion des Parties.</w:t>
      </w:r>
    </w:p>
    <w:p w14:paraId="0A905E00" w14:textId="670EF0A9" w:rsidR="00323A74" w:rsidRPr="00514570" w:rsidRDefault="00323A74" w:rsidP="00E23C9E">
      <w:pPr>
        <w:pStyle w:val="Normalnumber"/>
        <w:tabs>
          <w:tab w:val="clear" w:pos="1247"/>
          <w:tab w:val="clear" w:pos="1814"/>
          <w:tab w:val="clear" w:pos="2381"/>
          <w:tab w:val="clear" w:pos="2948"/>
          <w:tab w:val="clear" w:pos="3515"/>
        </w:tabs>
      </w:pPr>
      <w:r w:rsidRPr="00514570">
        <w:t>Lors de la trente-septième</w:t>
      </w:r>
      <w:r w:rsidR="00673C2B" w:rsidRPr="00514570">
        <w:t> </w:t>
      </w:r>
      <w:r w:rsidRPr="00514570">
        <w:t>Réunion des Parties, le représentant de l</w:t>
      </w:r>
      <w:r w:rsidR="00D02527" w:rsidRPr="00514570">
        <w:t>’</w:t>
      </w:r>
      <w:r w:rsidRPr="00514570">
        <w:t>Union européenne a présenté une proposition de projet de décision visant à rationaliser les informations fournies par les Parties au Secrétariat concernant leurs systèmes d</w:t>
      </w:r>
      <w:r w:rsidR="00D02527" w:rsidRPr="00514570">
        <w:t>’</w:t>
      </w:r>
      <w:r w:rsidRPr="00514570">
        <w:t>octroi de licences, dans le but de renforcer ces derniers. Après un premier échange de vues sur la proposition, dont le résumé figure aux paragraphes</w:t>
      </w:r>
      <w:r w:rsidR="00673C2B" w:rsidRPr="00514570">
        <w:t> </w:t>
      </w:r>
      <w:r w:rsidRPr="00514570">
        <w:t>159 à 163 du rapport de la réunion (UNEP/OzL.Pro37/9), un groupe informel a été constitué afin de clarifier</w:t>
      </w:r>
      <w:r w:rsidR="008C4B69" w:rsidRPr="00514570">
        <w:t xml:space="preserve"> certains points</w:t>
      </w:r>
      <w:r w:rsidRPr="00514570">
        <w:t xml:space="preserve"> et d</w:t>
      </w:r>
      <w:r w:rsidR="00D02527" w:rsidRPr="00514570">
        <w:t>’</w:t>
      </w:r>
      <w:r w:rsidRPr="00514570">
        <w:t>échanger des vues sur le projet de décision présenté par l</w:t>
      </w:r>
      <w:r w:rsidR="00D02527" w:rsidRPr="00514570">
        <w:t>’</w:t>
      </w:r>
      <w:r w:rsidRPr="00514570">
        <w:t>Union européenne ainsi que sur d</w:t>
      </w:r>
      <w:r w:rsidR="00D02527" w:rsidRPr="00514570">
        <w:t>’</w:t>
      </w:r>
      <w:r w:rsidRPr="00514570">
        <w:t>autres questions clés soulevées lors de la réunion informelle. Des</w:t>
      </w:r>
      <w:r w:rsidR="00DB06A6" w:rsidRPr="00514570">
        <w:t> </w:t>
      </w:r>
      <w:r w:rsidRPr="00514570">
        <w:t>représentant(e)s ont manifesté leur intérêt à poursuivre le dialogue sur le bilan de la réunion informelle et les Parties sont convenues d</w:t>
      </w:r>
      <w:r w:rsidR="00D02527" w:rsidRPr="00514570">
        <w:t>’</w:t>
      </w:r>
      <w:r w:rsidRPr="00514570">
        <w:t>inscrire cette question à l</w:t>
      </w:r>
      <w:r w:rsidR="00D02527" w:rsidRPr="00514570">
        <w:t>’</w:t>
      </w:r>
      <w:r w:rsidRPr="00514570">
        <w:t xml:space="preserve">ordre du jour de la </w:t>
      </w:r>
      <w:r w:rsidR="00DB06A6" w:rsidRPr="00514570">
        <w:br/>
      </w:r>
      <w:r w:rsidRPr="00514570">
        <w:t>quarante-huitième réunion du Groupe de travail à composition non limitée.</w:t>
      </w:r>
    </w:p>
    <w:p w14:paraId="5F72ED7B" w14:textId="22FC43C3" w:rsidR="00323A74" w:rsidRPr="00514570" w:rsidRDefault="00323A74" w:rsidP="00E23C9E">
      <w:pPr>
        <w:pStyle w:val="Normalnumber"/>
        <w:tabs>
          <w:tab w:val="clear" w:pos="1247"/>
          <w:tab w:val="clear" w:pos="1814"/>
          <w:tab w:val="clear" w:pos="2381"/>
          <w:tab w:val="clear" w:pos="2948"/>
          <w:tab w:val="clear" w:pos="3515"/>
        </w:tabs>
      </w:pPr>
      <w:r w:rsidRPr="00514570">
        <w:t>Outre le résumé des résultats de la réunion informelle, les Parties seront saisies d</w:t>
      </w:r>
      <w:r w:rsidR="00D02527" w:rsidRPr="00514570">
        <w:t>’</w:t>
      </w:r>
      <w:r w:rsidRPr="00514570">
        <w:t>une note du Secrétariat contenant la compilation des informations communiquées par les Parties sur les pratiques de commerce illicite, ainsi que les stratégies adoptées par les autorités nationales pour repérer et réprimer les cas de commerce illicite (UNEP/OzL.Pro.WG.1/48/3). La présente</w:t>
      </w:r>
      <w:r w:rsidR="00764F14" w:rsidRPr="00514570">
        <w:t> </w:t>
      </w:r>
      <w:r w:rsidRPr="00514570">
        <w:t>note met à jour une compilation similaire mise à disposition avant la quarante-septième réunion du Groupe de travail à composition non limitée en vue de son examen par la trente-septième</w:t>
      </w:r>
      <w:r w:rsidR="00357E6D" w:rsidRPr="00514570">
        <w:t> </w:t>
      </w:r>
      <w:r w:rsidRPr="00514570">
        <w:t>Réunion des Parties (UNEP/OzL.Pro.WG.1/47/5) et inclut les informations reçues des Parties depuis le 22</w:t>
      </w:r>
      <w:r w:rsidR="00B9751C" w:rsidRPr="00514570">
        <w:t> </w:t>
      </w:r>
      <w:r w:rsidRPr="00514570">
        <w:t>avril 2025.</w:t>
      </w:r>
    </w:p>
    <w:p w14:paraId="570D6C76" w14:textId="0E5C18DD" w:rsidR="00323A74" w:rsidRPr="00514570" w:rsidRDefault="00323A74" w:rsidP="00A879D8">
      <w:pPr>
        <w:pStyle w:val="CH2"/>
        <w:ind w:firstLine="0"/>
      </w:pPr>
      <w:r w:rsidRPr="00514570">
        <w:rPr>
          <w:bCs/>
        </w:rPr>
        <w:t>Point</w:t>
      </w:r>
      <w:r w:rsidR="00A879D8" w:rsidRPr="00514570">
        <w:rPr>
          <w:bCs/>
        </w:rPr>
        <w:t> </w:t>
      </w:r>
      <w:r w:rsidRPr="00514570">
        <w:rPr>
          <w:bCs/>
        </w:rPr>
        <w:t>8 de l</w:t>
      </w:r>
      <w:r w:rsidR="00D02527" w:rsidRPr="00514570">
        <w:rPr>
          <w:bCs/>
        </w:rPr>
        <w:t>’</w:t>
      </w:r>
      <w:r w:rsidRPr="00514570">
        <w:rPr>
          <w:bCs/>
        </w:rPr>
        <w:t>ordre du jour</w:t>
      </w:r>
    </w:p>
    <w:p w14:paraId="3906D078" w14:textId="4B8FC1C2" w:rsidR="00323A74" w:rsidRPr="00514570" w:rsidRDefault="00323A74" w:rsidP="00323A74">
      <w:pPr>
        <w:pStyle w:val="CH2"/>
        <w:spacing w:before="120"/>
      </w:pPr>
      <w:r w:rsidRPr="00514570">
        <w:tab/>
      </w:r>
      <w:r w:rsidRPr="00514570">
        <w:tab/>
      </w:r>
      <w:r w:rsidRPr="00514570">
        <w:rPr>
          <w:bCs/>
        </w:rPr>
        <w:t>État d</w:t>
      </w:r>
      <w:r w:rsidR="00D02527" w:rsidRPr="00514570">
        <w:rPr>
          <w:bCs/>
        </w:rPr>
        <w:t>’</w:t>
      </w:r>
      <w:r w:rsidRPr="00514570">
        <w:rPr>
          <w:bCs/>
        </w:rPr>
        <w:t>avancement des préparatifs de la trente-huitième</w:t>
      </w:r>
      <w:r w:rsidR="00B9751C" w:rsidRPr="00514570">
        <w:rPr>
          <w:bCs/>
        </w:rPr>
        <w:t> </w:t>
      </w:r>
      <w:r w:rsidRPr="00514570">
        <w:rPr>
          <w:bCs/>
        </w:rPr>
        <w:t>Réunion des Parties, qui se tiendra à Kigali</w:t>
      </w:r>
    </w:p>
    <w:p w14:paraId="2D3CAFC2" w14:textId="36DF2B43" w:rsidR="00DB20CC" w:rsidRPr="00514570" w:rsidRDefault="00323A74" w:rsidP="00DB20CC">
      <w:pPr>
        <w:pStyle w:val="Normalnumber"/>
      </w:pPr>
      <w:r w:rsidRPr="00514570">
        <w:t>Par sa décision</w:t>
      </w:r>
      <w:r w:rsidR="00B9751C" w:rsidRPr="00514570">
        <w:t> </w:t>
      </w:r>
      <w:r w:rsidRPr="00514570">
        <w:t>XXXVII/22, la trente-septième</w:t>
      </w:r>
      <w:r w:rsidR="00A76A26" w:rsidRPr="00514570">
        <w:t> </w:t>
      </w:r>
      <w:r w:rsidRPr="00514570">
        <w:t>Réunion des Parties a décidé de convoquer la trente-huitième</w:t>
      </w:r>
      <w:r w:rsidR="00A76A26" w:rsidRPr="00514570">
        <w:t> </w:t>
      </w:r>
      <w:r w:rsidRPr="00514570">
        <w:t>Réunion des Parties du 2 au 6</w:t>
      </w:r>
      <w:r w:rsidR="00A76A26" w:rsidRPr="00514570">
        <w:t> </w:t>
      </w:r>
      <w:r w:rsidRPr="00514570">
        <w:t xml:space="preserve">novembre 2026 à Kigali. </w:t>
      </w:r>
      <w:r w:rsidR="00B7093C" w:rsidRPr="00514570">
        <w:t xml:space="preserve">Elle </w:t>
      </w:r>
      <w:r w:rsidRPr="00514570">
        <w:t>se tiendra parallèlement à la soixante-dix-septième</w:t>
      </w:r>
      <w:r w:rsidR="00A76A26" w:rsidRPr="00514570">
        <w:t> </w:t>
      </w:r>
      <w:r w:rsidRPr="00514570">
        <w:t>réunion du Comité d</w:t>
      </w:r>
      <w:r w:rsidR="00D02527" w:rsidRPr="00514570">
        <w:t>’</w:t>
      </w:r>
      <w:r w:rsidRPr="00514570">
        <w:t>application et à une réunion du Bureau de la trente-septième</w:t>
      </w:r>
      <w:r w:rsidR="00A76A26" w:rsidRPr="00514570">
        <w:t> </w:t>
      </w:r>
      <w:r w:rsidRPr="00514570">
        <w:t>Réunion des Parties, ainsi qu</w:t>
      </w:r>
      <w:r w:rsidR="00D02527" w:rsidRPr="00514570">
        <w:t>’</w:t>
      </w:r>
      <w:r w:rsidRPr="00514570">
        <w:t>à d</w:t>
      </w:r>
      <w:r w:rsidR="00D02527" w:rsidRPr="00514570">
        <w:t>’</w:t>
      </w:r>
      <w:r w:rsidRPr="00514570">
        <w:t>autres manifestations connexes.</w:t>
      </w:r>
    </w:p>
    <w:p w14:paraId="5578711F" w14:textId="61600779" w:rsidR="00323A74" w:rsidRPr="00514570" w:rsidRDefault="005A2106" w:rsidP="00E23C9E">
      <w:pPr>
        <w:pStyle w:val="Normalnumber"/>
        <w:tabs>
          <w:tab w:val="clear" w:pos="1247"/>
          <w:tab w:val="clear" w:pos="1814"/>
          <w:tab w:val="clear" w:pos="2381"/>
          <w:tab w:val="clear" w:pos="2948"/>
          <w:tab w:val="clear" w:pos="3515"/>
        </w:tabs>
      </w:pPr>
      <w:r w:rsidRPr="00514570">
        <w:t>Le Secrétariat a mené une mission exploratoire à Kigali du 11 au 13</w:t>
      </w:r>
      <w:r w:rsidR="00A76A26" w:rsidRPr="00514570">
        <w:t> </w:t>
      </w:r>
      <w:r w:rsidRPr="00514570">
        <w:t>mars 2026 et a entamé des discussions avec le Gouvernement rwandais et l</w:t>
      </w:r>
      <w:r w:rsidR="00D02527" w:rsidRPr="00514570">
        <w:t>’</w:t>
      </w:r>
      <w:r w:rsidRPr="00514570">
        <w:t>équipe chargée de l</w:t>
      </w:r>
      <w:r w:rsidR="00D02527" w:rsidRPr="00514570">
        <w:t>’</w:t>
      </w:r>
      <w:r w:rsidRPr="00514570">
        <w:t>organisation de la conférence concernant les modalités logistiques des réunions. Les modalités seront finalisées en temps voulu avant l</w:t>
      </w:r>
      <w:r w:rsidR="00D02527" w:rsidRPr="00514570">
        <w:t>’</w:t>
      </w:r>
      <w:r w:rsidRPr="00514570">
        <w:t>ouverture des réunions.</w:t>
      </w:r>
    </w:p>
    <w:p w14:paraId="089890D3" w14:textId="17187E65" w:rsidR="00323A74" w:rsidRPr="00514570" w:rsidRDefault="00323A74" w:rsidP="00E23C9E">
      <w:pPr>
        <w:pStyle w:val="Normalnumber"/>
        <w:tabs>
          <w:tab w:val="clear" w:pos="1247"/>
          <w:tab w:val="clear" w:pos="1814"/>
          <w:tab w:val="clear" w:pos="2381"/>
          <w:tab w:val="clear" w:pos="2948"/>
          <w:tab w:val="clear" w:pos="3515"/>
        </w:tabs>
      </w:pPr>
      <w:r w:rsidRPr="00514570">
        <w:t>Un(e) représentant(e) du Gouvernement rwandais informera les Parties de l</w:t>
      </w:r>
      <w:r w:rsidR="00D02527" w:rsidRPr="00514570">
        <w:t>’</w:t>
      </w:r>
      <w:r w:rsidRPr="00514570">
        <w:t>état d</w:t>
      </w:r>
      <w:r w:rsidR="00D02527" w:rsidRPr="00514570">
        <w:t>’</w:t>
      </w:r>
      <w:r w:rsidRPr="00514570">
        <w:t>avancement des préparatifs de la trente-huitième</w:t>
      </w:r>
      <w:r w:rsidR="007165BA" w:rsidRPr="00514570">
        <w:t> </w:t>
      </w:r>
      <w:r w:rsidRPr="00514570">
        <w:t xml:space="preserve">Réunion des Parties. </w:t>
      </w:r>
    </w:p>
    <w:p w14:paraId="5FF8AAF8" w14:textId="71122ECC" w:rsidR="00323A74" w:rsidRPr="00514570" w:rsidRDefault="00197B0D" w:rsidP="00323A74">
      <w:pPr>
        <w:pStyle w:val="CH1"/>
      </w:pPr>
      <w:r w:rsidRPr="00514570">
        <w:rPr>
          <w:bCs/>
        </w:rPr>
        <w:tab/>
        <w:t>III.</w:t>
      </w:r>
      <w:r w:rsidRPr="00514570">
        <w:rPr>
          <w:bCs/>
        </w:rPr>
        <w:tab/>
      </w:r>
      <w:r w:rsidR="00323A74" w:rsidRPr="00514570">
        <w:rPr>
          <w:bCs/>
        </w:rPr>
        <w:t>Questions intéressant la trente-huitième</w:t>
      </w:r>
      <w:r w:rsidR="00A7679C" w:rsidRPr="00514570">
        <w:rPr>
          <w:bCs/>
        </w:rPr>
        <w:t> </w:t>
      </w:r>
      <w:r w:rsidR="00323A74" w:rsidRPr="00514570">
        <w:rPr>
          <w:bCs/>
        </w:rPr>
        <w:t>Réunion des Parties, y</w:t>
      </w:r>
      <w:r w:rsidR="00A879D8" w:rsidRPr="00514570">
        <w:rPr>
          <w:bCs/>
        </w:rPr>
        <w:t> </w:t>
      </w:r>
      <w:r w:rsidR="00323A74" w:rsidRPr="00514570">
        <w:rPr>
          <w:bCs/>
        </w:rPr>
        <w:t>compris l</w:t>
      </w:r>
      <w:r w:rsidR="00D02527" w:rsidRPr="00514570">
        <w:rPr>
          <w:bCs/>
        </w:rPr>
        <w:t>’</w:t>
      </w:r>
      <w:r w:rsidR="00323A74" w:rsidRPr="00514570">
        <w:rPr>
          <w:bCs/>
        </w:rPr>
        <w:t>état d</w:t>
      </w:r>
      <w:r w:rsidR="00D02527" w:rsidRPr="00514570">
        <w:rPr>
          <w:bCs/>
        </w:rPr>
        <w:t>’</w:t>
      </w:r>
      <w:r w:rsidR="00323A74" w:rsidRPr="00514570">
        <w:rPr>
          <w:bCs/>
        </w:rPr>
        <w:t>avancement de la mise en œuvre des décisions antérieures</w:t>
      </w:r>
    </w:p>
    <w:p w14:paraId="61C3CE66" w14:textId="5BCA6450" w:rsidR="00323A74" w:rsidRPr="00514570" w:rsidRDefault="00F41D86" w:rsidP="00A45CFE">
      <w:pPr>
        <w:pStyle w:val="CH2"/>
      </w:pPr>
      <w:r w:rsidRPr="00514570">
        <w:rPr>
          <w:bCs/>
        </w:rPr>
        <w:tab/>
        <w:t>A.</w:t>
      </w:r>
      <w:r w:rsidRPr="00514570">
        <w:rPr>
          <w:bCs/>
        </w:rPr>
        <w:tab/>
      </w:r>
      <w:r w:rsidR="00323A74" w:rsidRPr="00514570">
        <w:rPr>
          <w:bCs/>
        </w:rPr>
        <w:t>Amélioration de la surveillance atmosphérique régionale des substances réglementées par le Protocole de</w:t>
      </w:r>
      <w:r w:rsidR="00C6318B" w:rsidRPr="00514570">
        <w:rPr>
          <w:bCs/>
        </w:rPr>
        <w:t> </w:t>
      </w:r>
      <w:r w:rsidR="00323A74" w:rsidRPr="00514570">
        <w:rPr>
          <w:bCs/>
        </w:rPr>
        <w:t>Montréal (décision</w:t>
      </w:r>
      <w:r w:rsidR="00C6318B" w:rsidRPr="00514570">
        <w:rPr>
          <w:bCs/>
        </w:rPr>
        <w:t> </w:t>
      </w:r>
      <w:r w:rsidR="00323A74" w:rsidRPr="00514570">
        <w:rPr>
          <w:bCs/>
        </w:rPr>
        <w:t>XXXVII/1)</w:t>
      </w:r>
    </w:p>
    <w:p w14:paraId="2FD204E2" w14:textId="1440313B" w:rsidR="00323A74" w:rsidRPr="00514570" w:rsidRDefault="00323A74" w:rsidP="00323A74">
      <w:pPr>
        <w:pStyle w:val="Normalnumber"/>
        <w:tabs>
          <w:tab w:val="clear" w:pos="1247"/>
          <w:tab w:val="clear" w:pos="1814"/>
          <w:tab w:val="clear" w:pos="2381"/>
          <w:tab w:val="clear" w:pos="2948"/>
          <w:tab w:val="clear" w:pos="3515"/>
        </w:tabs>
        <w:rPr>
          <w:color w:val="000000" w:themeColor="text1"/>
        </w:rPr>
      </w:pPr>
      <w:r w:rsidRPr="00514570">
        <w:t>Conformément à la décision</w:t>
      </w:r>
      <w:r w:rsidR="00A76A26" w:rsidRPr="00514570">
        <w:t> </w:t>
      </w:r>
      <w:r w:rsidRPr="00514570">
        <w:t>XXXVII/1, et comme indiqué au paragraphe</w:t>
      </w:r>
      <w:r w:rsidR="00A76A26" w:rsidRPr="00514570">
        <w:t> </w:t>
      </w:r>
      <w:r w:rsidRPr="00514570">
        <w:t>30 ci-dessus, le Secrétariat et le Comité consultatif présenteront à la trente-huitième</w:t>
      </w:r>
      <w:r w:rsidR="00B90725" w:rsidRPr="00514570">
        <w:t> </w:t>
      </w:r>
      <w:r w:rsidRPr="00514570">
        <w:t>Réunion des Parties un rapport sur l</w:t>
      </w:r>
      <w:r w:rsidR="00D02527" w:rsidRPr="00514570">
        <w:t>’</w:t>
      </w:r>
      <w:r w:rsidRPr="00514570">
        <w:t>état d</w:t>
      </w:r>
      <w:r w:rsidR="00D02527" w:rsidRPr="00514570">
        <w:t>’</w:t>
      </w:r>
      <w:r w:rsidRPr="00514570">
        <w:t>avancement de leurs activités liées à l</w:t>
      </w:r>
      <w:r w:rsidR="00D02527" w:rsidRPr="00514570">
        <w:t>’</w:t>
      </w:r>
      <w:r w:rsidRPr="00514570">
        <w:t>évaluation de l</w:t>
      </w:r>
      <w:r w:rsidR="00D02527" w:rsidRPr="00514570">
        <w:t>’</w:t>
      </w:r>
      <w:r w:rsidRPr="00514570">
        <w:t xml:space="preserve">adéquation des sites potentiels pour la surveillance des émissions régionales de substances réglementées et </w:t>
      </w:r>
      <w:r w:rsidR="00B7093C" w:rsidRPr="00514570">
        <w:t>tous</w:t>
      </w:r>
      <w:r w:rsidRPr="00514570">
        <w:t xml:space="preserve"> résultats de ces activités. </w:t>
      </w:r>
    </w:p>
    <w:p w14:paraId="2712262C" w14:textId="70ACCA26" w:rsidR="00323A74" w:rsidRPr="00514570" w:rsidRDefault="005D35B5" w:rsidP="00323A74">
      <w:pPr>
        <w:pStyle w:val="CH2"/>
      </w:pPr>
      <w:r w:rsidRPr="00514570">
        <w:lastRenderedPageBreak/>
        <w:tab/>
      </w:r>
      <w:r w:rsidRPr="00514570">
        <w:rPr>
          <w:bCs/>
        </w:rPr>
        <w:t>B.</w:t>
      </w:r>
      <w:r w:rsidR="00323A74" w:rsidRPr="00514570">
        <w:tab/>
      </w:r>
      <w:r w:rsidR="00323A74" w:rsidRPr="00514570">
        <w:rPr>
          <w:bCs/>
        </w:rPr>
        <w:t>Émissions de HFC-23 (décision</w:t>
      </w:r>
      <w:r w:rsidR="00C6318B" w:rsidRPr="00514570">
        <w:rPr>
          <w:bCs/>
        </w:rPr>
        <w:t> </w:t>
      </w:r>
      <w:r w:rsidR="00323A74" w:rsidRPr="00514570">
        <w:rPr>
          <w:bCs/>
        </w:rPr>
        <w:t>XXXVII/2)</w:t>
      </w:r>
    </w:p>
    <w:p w14:paraId="7E4F382D" w14:textId="6032FEE2" w:rsidR="00323A74" w:rsidRPr="00514570" w:rsidRDefault="00323A74" w:rsidP="00E23C9E">
      <w:pPr>
        <w:pStyle w:val="Normalnumber"/>
        <w:tabs>
          <w:tab w:val="clear" w:pos="1247"/>
          <w:tab w:val="clear" w:pos="1814"/>
          <w:tab w:val="clear" w:pos="2381"/>
          <w:tab w:val="clear" w:pos="2948"/>
          <w:tab w:val="clear" w:pos="3515"/>
        </w:tabs>
      </w:pPr>
      <w:r w:rsidRPr="00514570">
        <w:t>La trente-septième</w:t>
      </w:r>
      <w:r w:rsidR="00A76A26" w:rsidRPr="00514570">
        <w:t> </w:t>
      </w:r>
      <w:r w:rsidRPr="00514570">
        <w:t>Réunion des Parties a adopté la décision</w:t>
      </w:r>
      <w:r w:rsidR="00A76A26" w:rsidRPr="00514570">
        <w:t> </w:t>
      </w:r>
      <w:r w:rsidRPr="00514570">
        <w:t>XXXVII/2, au paragraphe</w:t>
      </w:r>
      <w:r w:rsidR="00A76A26" w:rsidRPr="00514570">
        <w:t> </w:t>
      </w:r>
      <w:r w:rsidRPr="00514570">
        <w:t>2 de laquelle elle a décidé d</w:t>
      </w:r>
      <w:r w:rsidR="00D02527" w:rsidRPr="00514570">
        <w:t>’</w:t>
      </w:r>
      <w:r w:rsidRPr="00514570">
        <w:t>inviter les Parties qui disposaient d</w:t>
      </w:r>
      <w:r w:rsidR="00D02527" w:rsidRPr="00514570">
        <w:t>’</w:t>
      </w:r>
      <w:r w:rsidRPr="00514570">
        <w:t>installations de production de HCFC-22 et n</w:t>
      </w:r>
      <w:r w:rsidR="00D02527" w:rsidRPr="00514570">
        <w:t>’</w:t>
      </w:r>
      <w:r w:rsidRPr="00514570">
        <w:t>avaient pas soumis d</w:t>
      </w:r>
      <w:r w:rsidR="00D02527" w:rsidRPr="00514570">
        <w:t>’</w:t>
      </w:r>
      <w:r w:rsidRPr="00514570">
        <w:t>informations conformément à la décision</w:t>
      </w:r>
      <w:r w:rsidR="00A76A26" w:rsidRPr="00514570">
        <w:t> </w:t>
      </w:r>
      <w:r w:rsidRPr="00514570">
        <w:t>XXXVI/3 à informer volontairement le Secrétariat de l</w:t>
      </w:r>
      <w:r w:rsidR="00D02527" w:rsidRPr="00514570">
        <w:t>’</w:t>
      </w:r>
      <w:r w:rsidRPr="00514570">
        <w:t>ozone, avant le 28</w:t>
      </w:r>
      <w:r w:rsidR="00A76A26" w:rsidRPr="00514570">
        <w:t> </w:t>
      </w:r>
      <w:r w:rsidRPr="00514570">
        <w:t>février 2026, de leurs méthodes actuelles d</w:t>
      </w:r>
      <w:r w:rsidR="00D02527" w:rsidRPr="00514570">
        <w:t>’</w:t>
      </w:r>
      <w:r w:rsidRPr="00514570">
        <w:t xml:space="preserve">estimation et de notification des émissions de HFC-23 provenant de la production de HCFC-22. </w:t>
      </w:r>
    </w:p>
    <w:p w14:paraId="402B2084" w14:textId="6728D7A6" w:rsidR="00323A74" w:rsidRPr="00514570" w:rsidRDefault="00323A74" w:rsidP="00323A74">
      <w:pPr>
        <w:pStyle w:val="Normalnumber"/>
        <w:tabs>
          <w:tab w:val="clear" w:pos="1247"/>
          <w:tab w:val="clear" w:pos="1814"/>
          <w:tab w:val="clear" w:pos="2381"/>
          <w:tab w:val="clear" w:pos="2948"/>
          <w:tab w:val="clear" w:pos="3515"/>
        </w:tabs>
      </w:pPr>
      <w:r w:rsidRPr="00514570">
        <w:t>Au paragraphe</w:t>
      </w:r>
      <w:r w:rsidR="00A76A26" w:rsidRPr="00514570">
        <w:t> </w:t>
      </w:r>
      <w:r w:rsidRPr="00514570">
        <w:t>3 de la décision, les Parties concernées ont été invitées à communiquer les données pour 2025, conformément au formulaire de communication des données n° 6, sur les quantités de HFC-23 générées, captées, détruites et stockées, ainsi qu</w:t>
      </w:r>
      <w:r w:rsidR="00D02527" w:rsidRPr="00514570">
        <w:t>’</w:t>
      </w:r>
      <w:r w:rsidRPr="00514570">
        <w:t xml:space="preserve">à examiner, le cas échéant, leurs émissions de HFC-23 et les sources de ces émissions, et </w:t>
      </w:r>
      <w:r w:rsidR="00B7093C" w:rsidRPr="00514570">
        <w:t xml:space="preserve">à </w:t>
      </w:r>
      <w:r w:rsidRPr="00514570">
        <w:t>encourager les instituts de recherche scientifique de leur pays à entreprendre ou à collaborer au niveau international à des recherches sur leurs émissions de HFC-23 et les sources de ces émissions, et à communiquer au Secrétariat de l</w:t>
      </w:r>
      <w:r w:rsidR="00D02527" w:rsidRPr="00514570">
        <w:t>’</w:t>
      </w:r>
      <w:r w:rsidRPr="00514570">
        <w:t>ozone toute nouvelle information pertinente, le cas échéant.</w:t>
      </w:r>
    </w:p>
    <w:p w14:paraId="518B3FB2" w14:textId="72181CBE" w:rsidR="00323A74" w:rsidRPr="00514570" w:rsidRDefault="00323A74" w:rsidP="00323A74">
      <w:pPr>
        <w:pStyle w:val="Normalnumber"/>
        <w:tabs>
          <w:tab w:val="clear" w:pos="1247"/>
          <w:tab w:val="clear" w:pos="1814"/>
          <w:tab w:val="clear" w:pos="2381"/>
          <w:tab w:val="clear" w:pos="2948"/>
          <w:tab w:val="clear" w:pos="3515"/>
        </w:tabs>
      </w:pPr>
      <w:r w:rsidRPr="00514570">
        <w:t>Au moment de la rédaction du présent</w:t>
      </w:r>
      <w:r w:rsidR="00AC4790" w:rsidRPr="00514570">
        <w:t> </w:t>
      </w:r>
      <w:r w:rsidRPr="00514570">
        <w:t>rapport, 3</w:t>
      </w:r>
      <w:r w:rsidR="00631412" w:rsidRPr="00514570">
        <w:t>2</w:t>
      </w:r>
      <w:r w:rsidR="00A76A26" w:rsidRPr="00514570">
        <w:t> </w:t>
      </w:r>
      <w:r w:rsidRPr="00514570">
        <w:t>Parties, à savoir l</w:t>
      </w:r>
      <w:r w:rsidR="00D02527" w:rsidRPr="00514570">
        <w:t>’</w:t>
      </w:r>
      <w:r w:rsidRPr="00514570">
        <w:t>Australie, la Chine, la Fédération de Russie</w:t>
      </w:r>
      <w:r w:rsidR="004F4078" w:rsidRPr="00514570">
        <w:t>,</w:t>
      </w:r>
      <w:r w:rsidR="001F060D" w:rsidRPr="00514570">
        <w:t xml:space="preserve"> le Pérou</w:t>
      </w:r>
      <w:r w:rsidR="004F4078" w:rsidRPr="00514570">
        <w:t xml:space="preserve"> et l’Union européenne et ses États membres,</w:t>
      </w:r>
      <w:r w:rsidRPr="00514570">
        <w:t xml:space="preserve"> avaient fourni des informations </w:t>
      </w:r>
      <w:r w:rsidR="004F4078" w:rsidRPr="00514570">
        <w:t xml:space="preserve">comme </w:t>
      </w:r>
      <w:proofErr w:type="gramStart"/>
      <w:r w:rsidR="004F4078" w:rsidRPr="00514570">
        <w:t xml:space="preserve">suite </w:t>
      </w:r>
      <w:r w:rsidRPr="00514570">
        <w:t>aux</w:t>
      </w:r>
      <w:proofErr w:type="gramEnd"/>
      <w:r w:rsidRPr="00514570">
        <w:t xml:space="preserve"> paragraphes</w:t>
      </w:r>
      <w:r w:rsidR="00DE3960" w:rsidRPr="00514570">
        <w:t> </w:t>
      </w:r>
      <w:r w:rsidRPr="00514570">
        <w:t>2 et 3 de la décision. Les informations reçues ont été transmises au Groupe de l</w:t>
      </w:r>
      <w:r w:rsidR="00D02527" w:rsidRPr="00514570">
        <w:t>’</w:t>
      </w:r>
      <w:r w:rsidRPr="00514570">
        <w:t>évaluation scientifique et au Groupe de l</w:t>
      </w:r>
      <w:r w:rsidR="00D02527" w:rsidRPr="00514570">
        <w:t>’</w:t>
      </w:r>
      <w:r w:rsidRPr="00514570">
        <w:t>évaluation technique et économique.</w:t>
      </w:r>
    </w:p>
    <w:p w14:paraId="66175E09" w14:textId="684D055E" w:rsidR="00323A74" w:rsidRPr="00514570" w:rsidRDefault="00323A74" w:rsidP="00323A74">
      <w:pPr>
        <w:pStyle w:val="Normalnumber"/>
        <w:tabs>
          <w:tab w:val="clear" w:pos="1247"/>
          <w:tab w:val="clear" w:pos="1814"/>
          <w:tab w:val="clear" w:pos="2381"/>
          <w:tab w:val="clear" w:pos="2948"/>
          <w:tab w:val="clear" w:pos="3515"/>
        </w:tabs>
      </w:pPr>
      <w:r w:rsidRPr="00514570">
        <w:t>Au paragraphe</w:t>
      </w:r>
      <w:r w:rsidR="00DE3960" w:rsidRPr="00514570">
        <w:t> </w:t>
      </w:r>
      <w:r w:rsidRPr="00514570">
        <w:t>1 de la décision</w:t>
      </w:r>
      <w:r w:rsidR="00DE3960" w:rsidRPr="00514570">
        <w:t> </w:t>
      </w:r>
      <w:r w:rsidRPr="00514570">
        <w:t>XXXVII/2, le Groupe de l</w:t>
      </w:r>
      <w:r w:rsidR="00D02527" w:rsidRPr="00514570">
        <w:t>’</w:t>
      </w:r>
      <w:r w:rsidRPr="00514570">
        <w:t>évaluation scientifique et le Groupe de l</w:t>
      </w:r>
      <w:r w:rsidR="00D02527" w:rsidRPr="00514570">
        <w:t>’</w:t>
      </w:r>
      <w:r w:rsidRPr="00514570">
        <w:t xml:space="preserve">évaluation technique et économique ont été invités </w:t>
      </w:r>
      <w:r w:rsidR="00E429DF" w:rsidRPr="00514570">
        <w:t xml:space="preserve">à </w:t>
      </w:r>
      <w:r w:rsidRPr="00514570">
        <w:t>fournir un bilan sur les émissions de HFC-23 à la trente-huitième</w:t>
      </w:r>
      <w:r w:rsidR="00DE3960" w:rsidRPr="00514570">
        <w:t> </w:t>
      </w:r>
      <w:r w:rsidRPr="00514570">
        <w:t xml:space="preserve">Réunion des Parties, en tenant compte des informations soumises par les Parties </w:t>
      </w:r>
      <w:r w:rsidR="004F4078" w:rsidRPr="00514570">
        <w:t xml:space="preserve">comme </w:t>
      </w:r>
      <w:proofErr w:type="gramStart"/>
      <w:r w:rsidR="004F4078" w:rsidRPr="00514570">
        <w:t xml:space="preserve">suite </w:t>
      </w:r>
      <w:r w:rsidRPr="00514570">
        <w:t>à</w:t>
      </w:r>
      <w:proofErr w:type="gramEnd"/>
      <w:r w:rsidRPr="00514570">
        <w:t xml:space="preserve"> la décision</w:t>
      </w:r>
      <w:r w:rsidR="00DE3960" w:rsidRPr="00514570">
        <w:t> </w:t>
      </w:r>
      <w:r w:rsidRPr="00514570">
        <w:t>XXXVI/3 et conformément au paragraphe</w:t>
      </w:r>
      <w:r w:rsidR="00DE3960" w:rsidRPr="00514570">
        <w:t> </w:t>
      </w:r>
      <w:r w:rsidRPr="00514570">
        <w:t>2 de la décision</w:t>
      </w:r>
      <w:r w:rsidR="00DE3960" w:rsidRPr="00514570">
        <w:t> </w:t>
      </w:r>
      <w:r w:rsidRPr="00514570">
        <w:t>XXXVII/2.</w:t>
      </w:r>
    </w:p>
    <w:p w14:paraId="297F7F53" w14:textId="7F33B6E3" w:rsidR="00323A74" w:rsidRPr="00514570" w:rsidRDefault="00323A74" w:rsidP="00323A74">
      <w:pPr>
        <w:pStyle w:val="Normalnumber"/>
        <w:tabs>
          <w:tab w:val="clear" w:pos="1247"/>
          <w:tab w:val="clear" w:pos="1814"/>
          <w:tab w:val="clear" w:pos="2381"/>
          <w:tab w:val="clear" w:pos="2948"/>
          <w:tab w:val="clear" w:pos="3515"/>
        </w:tabs>
        <w:rPr>
          <w:color w:val="000000" w:themeColor="text1"/>
        </w:rPr>
      </w:pPr>
      <w:r w:rsidRPr="00514570">
        <w:t>La question des émissions de HFC-23 figurera à l</w:t>
      </w:r>
      <w:r w:rsidR="00D02527" w:rsidRPr="00514570">
        <w:t>’</w:t>
      </w:r>
      <w:r w:rsidRPr="00514570">
        <w:t>ordre du jour de la trente-huitième</w:t>
      </w:r>
      <w:r w:rsidR="003A3209" w:rsidRPr="00514570">
        <w:t> </w:t>
      </w:r>
      <w:r w:rsidRPr="00514570">
        <w:t>Réunion des Parties. Les rapports des groupes devraient être disponibles vers le début du mois de septembre</w:t>
      </w:r>
      <w:r w:rsidR="004F4078" w:rsidRPr="00514570">
        <w:t> </w:t>
      </w:r>
      <w:r w:rsidRPr="00514570">
        <w:t>2026 et un résumé en sera fourni dans l</w:t>
      </w:r>
      <w:r w:rsidR="00D02527" w:rsidRPr="00514570">
        <w:t>’</w:t>
      </w:r>
      <w:r w:rsidRPr="00514570">
        <w:t>additif à la note du Secrétariat</w:t>
      </w:r>
      <w:r w:rsidR="004F4078" w:rsidRPr="00514570">
        <w:t xml:space="preserve"> sur le sujet</w:t>
      </w:r>
      <w:r w:rsidRPr="00514570">
        <w:t>.</w:t>
      </w:r>
    </w:p>
    <w:p w14:paraId="1B4456E4" w14:textId="629C2ABA" w:rsidR="00323A74" w:rsidRPr="00514570" w:rsidRDefault="005D35B5" w:rsidP="00323A74">
      <w:pPr>
        <w:pStyle w:val="CH2"/>
        <w:rPr>
          <w:bCs/>
        </w:rPr>
      </w:pPr>
      <w:r w:rsidRPr="00514570">
        <w:tab/>
        <w:t>C.</w:t>
      </w:r>
      <w:r w:rsidR="00323A74" w:rsidRPr="00514570">
        <w:tab/>
      </w:r>
      <w:r w:rsidR="00323A74" w:rsidRPr="00514570">
        <w:rPr>
          <w:bCs/>
        </w:rPr>
        <w:t>Initiatives nationales et régionales à l</w:t>
      </w:r>
      <w:r w:rsidR="00D02527" w:rsidRPr="00514570">
        <w:rPr>
          <w:bCs/>
        </w:rPr>
        <w:t>’</w:t>
      </w:r>
      <w:r w:rsidR="00323A74" w:rsidRPr="00514570">
        <w:rPr>
          <w:bCs/>
        </w:rPr>
        <w:t>appui de la mise en œuvre de</w:t>
      </w:r>
      <w:r w:rsidR="00C6318B" w:rsidRPr="00514570">
        <w:rPr>
          <w:bCs/>
        </w:rPr>
        <w:t> </w:t>
      </w:r>
      <w:r w:rsidR="00323A74" w:rsidRPr="00514570">
        <w:rPr>
          <w:bCs/>
        </w:rPr>
        <w:t>l</w:t>
      </w:r>
      <w:r w:rsidR="00D02527" w:rsidRPr="00514570">
        <w:rPr>
          <w:bCs/>
        </w:rPr>
        <w:t>’</w:t>
      </w:r>
      <w:r w:rsidR="00323A74" w:rsidRPr="00514570">
        <w:rPr>
          <w:bCs/>
        </w:rPr>
        <w:t>Amendement de Kigali au Protocole de Montréal (décision</w:t>
      </w:r>
      <w:r w:rsidR="00C6318B" w:rsidRPr="00514570">
        <w:rPr>
          <w:bCs/>
        </w:rPr>
        <w:t> </w:t>
      </w:r>
      <w:r w:rsidR="00323A74" w:rsidRPr="00514570">
        <w:rPr>
          <w:bCs/>
        </w:rPr>
        <w:t>XXXVII/5)</w:t>
      </w:r>
    </w:p>
    <w:p w14:paraId="27C62419" w14:textId="14A1478E" w:rsidR="00323A74" w:rsidRPr="00514570" w:rsidRDefault="00323A74" w:rsidP="00E23C9E">
      <w:pPr>
        <w:pStyle w:val="Normalnumber"/>
        <w:tabs>
          <w:tab w:val="clear" w:pos="1247"/>
          <w:tab w:val="clear" w:pos="1814"/>
          <w:tab w:val="clear" w:pos="2381"/>
          <w:tab w:val="clear" w:pos="2948"/>
          <w:tab w:val="clear" w:pos="3515"/>
        </w:tabs>
      </w:pPr>
      <w:r w:rsidRPr="00514570">
        <w:t>La trente-septième</w:t>
      </w:r>
      <w:r w:rsidR="00974316" w:rsidRPr="00514570">
        <w:t> </w:t>
      </w:r>
      <w:r w:rsidRPr="00514570">
        <w:t>Réunion des Parties, au paragraphe</w:t>
      </w:r>
      <w:r w:rsidR="00974316" w:rsidRPr="00514570">
        <w:t> </w:t>
      </w:r>
      <w:r w:rsidRPr="00514570">
        <w:t>1 de sa décision</w:t>
      </w:r>
      <w:r w:rsidR="00974316" w:rsidRPr="00514570">
        <w:t> </w:t>
      </w:r>
      <w:r w:rsidRPr="00514570">
        <w:t>XXXVII/5, a invité les Parties à communiquer au Secrétariat de l</w:t>
      </w:r>
      <w:r w:rsidR="00D02527" w:rsidRPr="00514570">
        <w:t>’</w:t>
      </w:r>
      <w:r w:rsidRPr="00514570">
        <w:t>ozone, le 1</w:t>
      </w:r>
      <w:r w:rsidRPr="00514570">
        <w:rPr>
          <w:rFonts w:eastAsia="SimSun"/>
          <w:vertAlign w:val="superscript"/>
          <w:lang w:eastAsia="zh-CN"/>
        </w:rPr>
        <w:t>er</w:t>
      </w:r>
      <w:r w:rsidR="00357D85" w:rsidRPr="00514570">
        <w:rPr>
          <w:rFonts w:eastAsia="SimSun"/>
          <w:vertAlign w:val="superscript"/>
          <w:lang w:eastAsia="zh-CN"/>
        </w:rPr>
        <w:t> </w:t>
      </w:r>
      <w:r w:rsidRPr="00514570">
        <w:t>juin 2026 au plus tard, des informations, notamment sur les politiques, les activités et les principaux enseignements retenus concernant les centres d</w:t>
      </w:r>
      <w:r w:rsidR="00D02527" w:rsidRPr="00514570">
        <w:t>’</w:t>
      </w:r>
      <w:r w:rsidRPr="00514570">
        <w:t>excellence pour la réfrigération durable et les centres d</w:t>
      </w:r>
      <w:r w:rsidR="00D02527" w:rsidRPr="00514570">
        <w:t>’</w:t>
      </w:r>
      <w:r w:rsidRPr="00514570">
        <w:t>essai en matière d</w:t>
      </w:r>
      <w:r w:rsidR="00D02527" w:rsidRPr="00514570">
        <w:t>’</w:t>
      </w:r>
      <w:r w:rsidRPr="00514570">
        <w:t>efficacité énergétique, dans le cadre de la mise en œuvre de l</w:t>
      </w:r>
      <w:r w:rsidR="00D02527" w:rsidRPr="00514570">
        <w:t>’</w:t>
      </w:r>
      <w:r w:rsidRPr="00514570">
        <w:t>Amendement de</w:t>
      </w:r>
      <w:r w:rsidR="00F175E9" w:rsidRPr="00514570">
        <w:t> </w:t>
      </w:r>
      <w:r w:rsidRPr="00514570">
        <w:t>Kigali. Au paragraphe</w:t>
      </w:r>
      <w:r w:rsidR="00F175E9" w:rsidRPr="00514570">
        <w:t> </w:t>
      </w:r>
      <w:r w:rsidRPr="00514570">
        <w:t>2 de la décision, le Secrétariat de l</w:t>
      </w:r>
      <w:r w:rsidR="00D02527" w:rsidRPr="00514570">
        <w:t>’</w:t>
      </w:r>
      <w:r w:rsidRPr="00514570">
        <w:t>ozone était prié de regrouper et de résumer les informations fournies et de les mettre à disposition pour la trente-huitième</w:t>
      </w:r>
      <w:r w:rsidR="00F175E9" w:rsidRPr="00514570">
        <w:t> </w:t>
      </w:r>
      <w:r w:rsidRPr="00514570">
        <w:t>Réunion des Parties, en tenant compte du document actualisé sur les centres d</w:t>
      </w:r>
      <w:r w:rsidR="00D02527" w:rsidRPr="00514570">
        <w:t>’</w:t>
      </w:r>
      <w:r w:rsidRPr="00514570">
        <w:t>excellence pour la réfrigération durable et les centres d</w:t>
      </w:r>
      <w:r w:rsidR="00D02527" w:rsidRPr="00514570">
        <w:t>’</w:t>
      </w:r>
      <w:r w:rsidRPr="00514570">
        <w:t>essai en matière d</w:t>
      </w:r>
      <w:r w:rsidR="00D02527" w:rsidRPr="00514570">
        <w:t>’</w:t>
      </w:r>
      <w:r w:rsidRPr="00514570">
        <w:t>efficacité énergétique, demandé dans la décision</w:t>
      </w:r>
      <w:r w:rsidR="00F175E9" w:rsidRPr="00514570">
        <w:t> </w:t>
      </w:r>
      <w:r w:rsidRPr="00514570">
        <w:t>95/87 du Comité</w:t>
      </w:r>
      <w:r w:rsidR="00F175E9" w:rsidRPr="00514570">
        <w:t> </w:t>
      </w:r>
      <w:r w:rsidRPr="00514570">
        <w:t>exécutif du Fonds multilatéral. Toute information nouvelle sur les observations reçues des Parties après l</w:t>
      </w:r>
      <w:r w:rsidR="00D02527" w:rsidRPr="00514570">
        <w:t>’</w:t>
      </w:r>
      <w:r w:rsidRPr="00514570">
        <w:t>établissement de la présente</w:t>
      </w:r>
      <w:r w:rsidR="00F175E9" w:rsidRPr="00514570">
        <w:t> </w:t>
      </w:r>
      <w:r w:rsidRPr="00514570">
        <w:t>note sera incluse dans l</w:t>
      </w:r>
      <w:r w:rsidR="00D02527" w:rsidRPr="00514570">
        <w:t>’</w:t>
      </w:r>
      <w:r w:rsidRPr="00514570">
        <w:t>additif à celle-ci.</w:t>
      </w:r>
    </w:p>
    <w:p w14:paraId="7763A08E" w14:textId="6E2E0788" w:rsidR="00323A74" w:rsidRPr="00514570" w:rsidRDefault="00323A74" w:rsidP="00E23C9E">
      <w:pPr>
        <w:pStyle w:val="Normalnumber"/>
        <w:tabs>
          <w:tab w:val="clear" w:pos="1247"/>
          <w:tab w:val="clear" w:pos="1814"/>
          <w:tab w:val="clear" w:pos="2381"/>
          <w:tab w:val="clear" w:pos="2948"/>
          <w:tab w:val="clear" w:pos="3515"/>
        </w:tabs>
      </w:pPr>
      <w:r w:rsidRPr="00514570">
        <w:t>La question des initiatives nationales et régionales à l</w:t>
      </w:r>
      <w:r w:rsidR="00D02527" w:rsidRPr="00514570">
        <w:t>’</w:t>
      </w:r>
      <w:r w:rsidRPr="00514570">
        <w:t>appui de la mise en œuvre de l</w:t>
      </w:r>
      <w:r w:rsidR="00D02527" w:rsidRPr="00514570">
        <w:t>’</w:t>
      </w:r>
      <w:r w:rsidRPr="00514570">
        <w:t>Amendement de</w:t>
      </w:r>
      <w:r w:rsidR="00F175E9" w:rsidRPr="00514570">
        <w:t> </w:t>
      </w:r>
      <w:r w:rsidRPr="00514570">
        <w:t>Kigali au Protocole de</w:t>
      </w:r>
      <w:r w:rsidR="00F175E9" w:rsidRPr="00514570">
        <w:t> </w:t>
      </w:r>
      <w:r w:rsidRPr="00514570">
        <w:t>Montréal sera inscrite à l</w:t>
      </w:r>
      <w:r w:rsidR="00D02527" w:rsidRPr="00514570">
        <w:t>’</w:t>
      </w:r>
      <w:r w:rsidRPr="00514570">
        <w:t>ordre du jour de la trente-huitième</w:t>
      </w:r>
      <w:r w:rsidR="00F175E9" w:rsidRPr="00514570">
        <w:t> </w:t>
      </w:r>
      <w:r w:rsidRPr="00514570">
        <w:t xml:space="preserve">Réunion des Parties, et une compilation des informations reçues des Parties </w:t>
      </w:r>
      <w:r w:rsidR="004F4078" w:rsidRPr="00514570">
        <w:t xml:space="preserve">en application de </w:t>
      </w:r>
      <w:r w:rsidRPr="00514570">
        <w:t>la décision</w:t>
      </w:r>
      <w:r w:rsidR="00014A94" w:rsidRPr="00514570">
        <w:t> </w:t>
      </w:r>
      <w:r w:rsidRPr="00514570">
        <w:t>XXXVII/5 sera mise à la disposition des Parties.</w:t>
      </w:r>
    </w:p>
    <w:p w14:paraId="441360BF" w14:textId="70F318CF" w:rsidR="00323A74" w:rsidRPr="00514570" w:rsidRDefault="00AA6C2E" w:rsidP="00323A74">
      <w:pPr>
        <w:pStyle w:val="CH2"/>
        <w:rPr>
          <w:bCs/>
        </w:rPr>
      </w:pPr>
      <w:r w:rsidRPr="00514570">
        <w:rPr>
          <w:bCs/>
        </w:rPr>
        <w:tab/>
        <w:t>D.</w:t>
      </w:r>
      <w:r w:rsidRPr="00514570">
        <w:rPr>
          <w:bCs/>
        </w:rPr>
        <w:tab/>
      </w:r>
      <w:r w:rsidR="00323A74" w:rsidRPr="00514570">
        <w:rPr>
          <w:bCs/>
        </w:rPr>
        <w:t>Substances réglementées recyclées, usagées ou non désirées (décisions</w:t>
      </w:r>
      <w:r w:rsidR="00C6318B" w:rsidRPr="00514570">
        <w:rPr>
          <w:bCs/>
        </w:rPr>
        <w:t> </w:t>
      </w:r>
      <w:r w:rsidR="00323A74" w:rsidRPr="00514570">
        <w:rPr>
          <w:bCs/>
        </w:rPr>
        <w:t>XXXVII/3, par</w:t>
      </w:r>
      <w:r w:rsidR="00E429DF" w:rsidRPr="00514570">
        <w:rPr>
          <w:bCs/>
        </w:rPr>
        <w:t>.</w:t>
      </w:r>
      <w:r w:rsidR="00C6318B" w:rsidRPr="00514570">
        <w:rPr>
          <w:bCs/>
        </w:rPr>
        <w:t> </w:t>
      </w:r>
      <w:r w:rsidR="00323A74" w:rsidRPr="00514570">
        <w:rPr>
          <w:bCs/>
        </w:rPr>
        <w:t>3, XXXVII/4, par</w:t>
      </w:r>
      <w:r w:rsidR="00E429DF" w:rsidRPr="00514570">
        <w:rPr>
          <w:bCs/>
        </w:rPr>
        <w:t>.</w:t>
      </w:r>
      <w:r w:rsidR="001363FD" w:rsidRPr="00514570">
        <w:rPr>
          <w:bCs/>
        </w:rPr>
        <w:t> </w:t>
      </w:r>
      <w:r w:rsidR="00323A74" w:rsidRPr="00514570">
        <w:rPr>
          <w:bCs/>
        </w:rPr>
        <w:t>3, et XXXVI/7, par</w:t>
      </w:r>
      <w:r w:rsidR="00E429DF" w:rsidRPr="00514570">
        <w:rPr>
          <w:bCs/>
        </w:rPr>
        <w:t>. </w:t>
      </w:r>
      <w:r w:rsidR="00323A74" w:rsidRPr="00514570">
        <w:rPr>
          <w:bCs/>
        </w:rPr>
        <w:t>5)</w:t>
      </w:r>
    </w:p>
    <w:p w14:paraId="36734E4A" w14:textId="249D45EF" w:rsidR="00323A74" w:rsidRPr="00514570" w:rsidRDefault="00323A74" w:rsidP="001618EA">
      <w:pPr>
        <w:pStyle w:val="Normalnumber"/>
        <w:tabs>
          <w:tab w:val="clear" w:pos="1247"/>
          <w:tab w:val="clear" w:pos="1814"/>
          <w:tab w:val="clear" w:pos="2381"/>
          <w:tab w:val="clear" w:pos="2948"/>
          <w:tab w:val="clear" w:pos="3515"/>
        </w:tabs>
      </w:pPr>
      <w:r w:rsidRPr="00514570">
        <w:t>La trente-septième</w:t>
      </w:r>
      <w:r w:rsidR="00014A94" w:rsidRPr="00514570">
        <w:t> </w:t>
      </w:r>
      <w:r w:rsidRPr="00514570">
        <w:t>Réunion des Parties, au paragraphe</w:t>
      </w:r>
      <w:r w:rsidR="00014A94" w:rsidRPr="00514570">
        <w:t> </w:t>
      </w:r>
      <w:r w:rsidRPr="00514570">
        <w:t>3 de sa décision</w:t>
      </w:r>
      <w:r w:rsidR="00014A94" w:rsidRPr="00514570">
        <w:t> </w:t>
      </w:r>
      <w:r w:rsidRPr="00514570">
        <w:t>XXXVII/3, a invité les Parties à communiquer au Secrétariat de l</w:t>
      </w:r>
      <w:r w:rsidR="00D02527" w:rsidRPr="00514570">
        <w:t>’</w:t>
      </w:r>
      <w:r w:rsidRPr="00514570">
        <w:t>ozone, avant le 31</w:t>
      </w:r>
      <w:r w:rsidR="00E148F6" w:rsidRPr="00514570">
        <w:t> </w:t>
      </w:r>
      <w:r w:rsidRPr="00514570">
        <w:t>mars 2026, des informations sur les installations de récupération et de destruction existant dans leurs pays respectifs et, le cas échéant, sur les capacités respectives de ces installations, y</w:t>
      </w:r>
      <w:r w:rsidR="000255FE" w:rsidRPr="00514570">
        <w:t> </w:t>
      </w:r>
      <w:r w:rsidRPr="00514570">
        <w:t>compris des informations sur les installations de destruction et de récupération existantes qui peuvent accepter des réfrigérants usagés provenant d</w:t>
      </w:r>
      <w:r w:rsidR="00D02527" w:rsidRPr="00514570">
        <w:t>’</w:t>
      </w:r>
      <w:r w:rsidRPr="00514570">
        <w:t>autres pays, et les conditions associées à l</w:t>
      </w:r>
      <w:r w:rsidR="00D02527" w:rsidRPr="00514570">
        <w:t>’</w:t>
      </w:r>
      <w:r w:rsidRPr="00514570">
        <w:t>exportation de réfrigérants usagés en vue de leur élimination dans ces installations, en tenant compte de tout obstacle législatif aux mouvements transfrontières. Dans ce même paragraphe, le Secrétariat de l</w:t>
      </w:r>
      <w:r w:rsidR="00D02527" w:rsidRPr="00514570">
        <w:t>’</w:t>
      </w:r>
      <w:r w:rsidRPr="00514570">
        <w:t>ozone était prié de mettre ces informations à la disposition des Parties. Au moment de la rédaction du présent rapport, une Partie (l</w:t>
      </w:r>
      <w:r w:rsidR="00D02527" w:rsidRPr="00514570">
        <w:t>’</w:t>
      </w:r>
      <w:r w:rsidRPr="00514570">
        <w:t>Australie) avait fourni les informations demandées, que le Secrétariat a transmises au Groupe de l</w:t>
      </w:r>
      <w:r w:rsidR="00D02527" w:rsidRPr="00514570">
        <w:t>’</w:t>
      </w:r>
      <w:r w:rsidRPr="00514570">
        <w:t xml:space="preserve">évaluation technique et économique. </w:t>
      </w:r>
    </w:p>
    <w:p w14:paraId="008F2AA1" w14:textId="407C46B1" w:rsidR="00323A74" w:rsidRPr="00514570" w:rsidRDefault="00323A74" w:rsidP="001618EA">
      <w:pPr>
        <w:pStyle w:val="Normalnumber"/>
        <w:tabs>
          <w:tab w:val="clear" w:pos="1247"/>
          <w:tab w:val="clear" w:pos="1814"/>
          <w:tab w:val="clear" w:pos="2381"/>
          <w:tab w:val="clear" w:pos="2948"/>
          <w:tab w:val="clear" w:pos="3515"/>
        </w:tabs>
      </w:pPr>
      <w:r w:rsidRPr="00514570">
        <w:lastRenderedPageBreak/>
        <w:t>Le Secrétariat mettra à la disposition de la trente-huitième</w:t>
      </w:r>
      <w:r w:rsidR="00E148F6" w:rsidRPr="00514570">
        <w:t> </w:t>
      </w:r>
      <w:r w:rsidRPr="00514570">
        <w:t>Réunion des Parties des informations sur les installations existantes de récupération et de destruction et, le cas échéant, sur les capacités respectives de ces installations, sur la base des informations fournies par les Parties et d</w:t>
      </w:r>
      <w:r w:rsidR="00D02527" w:rsidRPr="00514570">
        <w:t>’</w:t>
      </w:r>
      <w:r w:rsidRPr="00514570">
        <w:t>autres sources.</w:t>
      </w:r>
    </w:p>
    <w:p w14:paraId="0F630961" w14:textId="75E9F384" w:rsidR="00323A74" w:rsidRPr="00514570" w:rsidRDefault="00864B40" w:rsidP="00E23C9E">
      <w:pPr>
        <w:pStyle w:val="Normalnumber"/>
        <w:tabs>
          <w:tab w:val="clear" w:pos="1247"/>
          <w:tab w:val="clear" w:pos="1814"/>
          <w:tab w:val="clear" w:pos="2381"/>
          <w:tab w:val="clear" w:pos="2948"/>
          <w:tab w:val="clear" w:pos="3515"/>
        </w:tabs>
      </w:pPr>
      <w:r w:rsidRPr="00514570">
        <w:t>Au paragraphe</w:t>
      </w:r>
      <w:r w:rsidR="00E148F6" w:rsidRPr="00514570">
        <w:t> </w:t>
      </w:r>
      <w:r w:rsidRPr="00514570">
        <w:t>3 de la décision</w:t>
      </w:r>
      <w:r w:rsidR="00E148F6" w:rsidRPr="00514570">
        <w:t> </w:t>
      </w:r>
      <w:r w:rsidRPr="00514570">
        <w:t>XXXVII/4, les Parties étaient engagées à réévaluer les restrictions nationales frappant l</w:t>
      </w:r>
      <w:r w:rsidR="00D02527" w:rsidRPr="00514570">
        <w:t>’</w:t>
      </w:r>
      <w:r w:rsidRPr="00514570">
        <w:t>importation et l</w:t>
      </w:r>
      <w:r w:rsidR="00D02527" w:rsidRPr="00514570">
        <w:t>’</w:t>
      </w:r>
      <w:r w:rsidRPr="00514570">
        <w:t>exportation autres que les exigences en matière de licence ou de quota, en vue de faciliter l</w:t>
      </w:r>
      <w:r w:rsidR="00D02527" w:rsidRPr="00514570">
        <w:t>’</w:t>
      </w:r>
      <w:r w:rsidRPr="00514570">
        <w:t>importation et l</w:t>
      </w:r>
      <w:r w:rsidR="00D02527" w:rsidRPr="00514570">
        <w:t>’</w:t>
      </w:r>
      <w:r w:rsidRPr="00514570">
        <w:t>exportation de halons récupérés, recyclés ou régénérés et d</w:t>
      </w:r>
      <w:r w:rsidR="00D02527" w:rsidRPr="00514570">
        <w:t>’</w:t>
      </w:r>
      <w:r w:rsidRPr="00514570">
        <w:t>autres substances réglementées utilisées pour l</w:t>
      </w:r>
      <w:r w:rsidR="00D02527" w:rsidRPr="00514570">
        <w:t>’</w:t>
      </w:r>
      <w:r w:rsidRPr="00514570">
        <w:t>extinction des incendies afin de permettre aux Parties de satisfaire à leurs besoins résiduels à cet égard, en tenant compte des exigences de la Convention de</w:t>
      </w:r>
      <w:r w:rsidR="00E148F6" w:rsidRPr="00514570">
        <w:t> </w:t>
      </w:r>
      <w:r w:rsidRPr="00514570">
        <w:t>Bâle sur le contrôle des mouvements transfrontières de déchets dangereux et de leur élimination, selon qu</w:t>
      </w:r>
      <w:r w:rsidR="00D02527" w:rsidRPr="00514570">
        <w:t>’</w:t>
      </w:r>
      <w:r w:rsidRPr="00514570">
        <w:t>il convenait.</w:t>
      </w:r>
    </w:p>
    <w:p w14:paraId="656B8C21" w14:textId="78E93F42" w:rsidR="00323A74" w:rsidRPr="00514570" w:rsidRDefault="00864B40" w:rsidP="00E23C9E">
      <w:pPr>
        <w:pStyle w:val="Normalnumber"/>
        <w:tabs>
          <w:tab w:val="clear" w:pos="1247"/>
          <w:tab w:val="clear" w:pos="1814"/>
          <w:tab w:val="clear" w:pos="2381"/>
          <w:tab w:val="clear" w:pos="2948"/>
          <w:tab w:val="clear" w:pos="3515"/>
        </w:tabs>
      </w:pPr>
      <w:r w:rsidRPr="00514570">
        <w:t>Au paragraphe</w:t>
      </w:r>
      <w:r w:rsidR="00E148F6" w:rsidRPr="00514570">
        <w:t> </w:t>
      </w:r>
      <w:r w:rsidRPr="00514570">
        <w:t>5 de la décision</w:t>
      </w:r>
      <w:r w:rsidR="00E148F6" w:rsidRPr="00514570">
        <w:t> </w:t>
      </w:r>
      <w:r w:rsidRPr="00514570">
        <w:t>XXXVI/7, le Secrétariat de l</w:t>
      </w:r>
      <w:r w:rsidR="00D02527" w:rsidRPr="00514570">
        <w:t>’</w:t>
      </w:r>
      <w:r w:rsidRPr="00514570">
        <w:t>ozone était prié de continuer à s</w:t>
      </w:r>
      <w:r w:rsidR="00D02527" w:rsidRPr="00514570">
        <w:t>’</w:t>
      </w:r>
      <w:r w:rsidRPr="00514570">
        <w:t xml:space="preserve">entretenir avec les organes internationaux </w:t>
      </w:r>
      <w:r w:rsidR="004F4078" w:rsidRPr="00514570">
        <w:t>compétents</w:t>
      </w:r>
      <w:r w:rsidRPr="00514570">
        <w:t>, y</w:t>
      </w:r>
      <w:r w:rsidR="000255FE" w:rsidRPr="00514570">
        <w:t> </w:t>
      </w:r>
      <w:r w:rsidRPr="00514570">
        <w:t>compris le Secrétariat de la Convention de</w:t>
      </w:r>
      <w:r w:rsidR="00E148F6" w:rsidRPr="00514570">
        <w:t> </w:t>
      </w:r>
      <w:r w:rsidRPr="00514570">
        <w:t>Bâle, au sujet de l</w:t>
      </w:r>
      <w:r w:rsidR="00D02527" w:rsidRPr="00514570">
        <w:t>’</w:t>
      </w:r>
      <w:r w:rsidRPr="00514570">
        <w:t>importance d</w:t>
      </w:r>
      <w:r w:rsidR="00D02527" w:rsidRPr="00514570">
        <w:t>’</w:t>
      </w:r>
      <w:r w:rsidRPr="00514570">
        <w:t>une gestion durable des halons et des éléments connexes de la décision, et de faire rapport aux Parties sur la question, s</w:t>
      </w:r>
      <w:r w:rsidR="00D02527" w:rsidRPr="00514570">
        <w:t>’</w:t>
      </w:r>
      <w:r w:rsidRPr="00514570">
        <w:t>il y avait lieu.</w:t>
      </w:r>
    </w:p>
    <w:p w14:paraId="69EBB4AD" w14:textId="687E5B5D" w:rsidR="00323A74" w:rsidRPr="00514570" w:rsidRDefault="00323A74" w:rsidP="00E23C9E">
      <w:pPr>
        <w:pStyle w:val="Normalnumber"/>
        <w:tabs>
          <w:tab w:val="clear" w:pos="1247"/>
          <w:tab w:val="clear" w:pos="1814"/>
          <w:tab w:val="clear" w:pos="2381"/>
          <w:tab w:val="clear" w:pos="2948"/>
          <w:tab w:val="clear" w:pos="3515"/>
        </w:tabs>
      </w:pPr>
      <w:r w:rsidRPr="00514570">
        <w:t>Comme indiqué au paragraphe</w:t>
      </w:r>
      <w:r w:rsidR="00E148F6" w:rsidRPr="00514570">
        <w:t> </w:t>
      </w:r>
      <w:r w:rsidRPr="00514570">
        <w:t>14 ci-dessus, le Secrétariat de l</w:t>
      </w:r>
      <w:r w:rsidR="00D02527" w:rsidRPr="00514570">
        <w:t>’</w:t>
      </w:r>
      <w:r w:rsidRPr="00514570">
        <w:t>ozone, en collaboration avec les secrétariats des Conventions de</w:t>
      </w:r>
      <w:r w:rsidR="00E148F6" w:rsidRPr="00514570">
        <w:t> </w:t>
      </w:r>
      <w:r w:rsidRPr="00514570">
        <w:t>Bâle, de Rotterdam et de Stockholm ainsi qu</w:t>
      </w:r>
      <w:r w:rsidR="00D02527" w:rsidRPr="00514570">
        <w:t>’</w:t>
      </w:r>
      <w:r w:rsidRPr="00514570">
        <w:t>avec le secrétariat du Fonds multilatéral, élabore actuellement un guide pratique sur les mouvements transfrontières des substances réglementées au titre du Protocole de</w:t>
      </w:r>
      <w:r w:rsidR="00E148F6" w:rsidRPr="00514570">
        <w:t> </w:t>
      </w:r>
      <w:r w:rsidRPr="00514570">
        <w:t>Montréal et des équipements utilisant ces substances. Le guide devrait être finalisé avant la quarante-huitième réunion du Groupe de travail à composition non limitée.</w:t>
      </w:r>
    </w:p>
    <w:p w14:paraId="73641275" w14:textId="6A44EC36" w:rsidR="00323A74" w:rsidRPr="00514570" w:rsidRDefault="00323A74" w:rsidP="00AE4536">
      <w:pPr>
        <w:pStyle w:val="Normal-pool"/>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23A74" w:rsidRPr="00514570" w14:paraId="737FECFD" w14:textId="77777777" w:rsidTr="001618EA">
        <w:tc>
          <w:tcPr>
            <w:tcW w:w="1897" w:type="dxa"/>
          </w:tcPr>
          <w:p w14:paraId="61250EA9" w14:textId="77777777" w:rsidR="00323A74" w:rsidRPr="00514570" w:rsidRDefault="00323A74" w:rsidP="001618EA">
            <w:pPr>
              <w:pStyle w:val="Normal-pool"/>
              <w:spacing w:before="520"/>
              <w:rPr>
                <w:rFonts w:eastAsiaTheme="minorEastAsia"/>
              </w:rPr>
            </w:pPr>
          </w:p>
        </w:tc>
        <w:tc>
          <w:tcPr>
            <w:tcW w:w="1897" w:type="dxa"/>
          </w:tcPr>
          <w:p w14:paraId="65B0427B" w14:textId="77777777" w:rsidR="00323A74" w:rsidRPr="00514570" w:rsidRDefault="00323A74" w:rsidP="001618EA">
            <w:pPr>
              <w:pStyle w:val="Normal-pool"/>
              <w:spacing w:before="520"/>
              <w:rPr>
                <w:rFonts w:eastAsiaTheme="minorEastAsia"/>
              </w:rPr>
            </w:pPr>
          </w:p>
        </w:tc>
        <w:tc>
          <w:tcPr>
            <w:tcW w:w="1897" w:type="dxa"/>
            <w:tcBorders>
              <w:bottom w:val="single" w:sz="4" w:space="0" w:color="auto"/>
            </w:tcBorders>
          </w:tcPr>
          <w:p w14:paraId="35F367C3" w14:textId="77777777" w:rsidR="00323A74" w:rsidRPr="00514570" w:rsidRDefault="00323A74" w:rsidP="001618EA">
            <w:pPr>
              <w:pStyle w:val="Normal-pool"/>
              <w:spacing w:before="520"/>
              <w:rPr>
                <w:rFonts w:eastAsiaTheme="minorEastAsia"/>
              </w:rPr>
            </w:pPr>
          </w:p>
        </w:tc>
        <w:tc>
          <w:tcPr>
            <w:tcW w:w="1898" w:type="dxa"/>
          </w:tcPr>
          <w:p w14:paraId="55E08013" w14:textId="77777777" w:rsidR="00323A74" w:rsidRPr="00514570" w:rsidRDefault="00323A74" w:rsidP="001618EA">
            <w:pPr>
              <w:pStyle w:val="Normal-pool"/>
              <w:spacing w:before="520"/>
              <w:rPr>
                <w:rFonts w:eastAsiaTheme="minorEastAsia"/>
              </w:rPr>
            </w:pPr>
          </w:p>
        </w:tc>
        <w:tc>
          <w:tcPr>
            <w:tcW w:w="1898" w:type="dxa"/>
          </w:tcPr>
          <w:p w14:paraId="209E49BF" w14:textId="77777777" w:rsidR="00323A74" w:rsidRPr="00514570" w:rsidRDefault="00323A74" w:rsidP="001618EA">
            <w:pPr>
              <w:pStyle w:val="Normal-pool"/>
              <w:spacing w:before="520"/>
              <w:rPr>
                <w:rFonts w:eastAsiaTheme="minorEastAsia"/>
              </w:rPr>
            </w:pPr>
          </w:p>
        </w:tc>
      </w:tr>
    </w:tbl>
    <w:p w14:paraId="12F31F10" w14:textId="504F6041" w:rsidR="00167C2D" w:rsidRPr="00514570" w:rsidRDefault="00167C2D" w:rsidP="00AA6C2E">
      <w:pPr>
        <w:pStyle w:val="Normal-pool"/>
        <w:rPr>
          <w:rFonts w:eastAsiaTheme="minorEastAsia"/>
        </w:rPr>
      </w:pPr>
    </w:p>
    <w:sectPr w:rsidR="00167C2D" w:rsidRPr="00514570" w:rsidSect="005126CB">
      <w:headerReference w:type="even" r:id="rId12"/>
      <w:headerReference w:type="default" r:id="rId13"/>
      <w:footerReference w:type="even" r:id="rId14"/>
      <w:footerReference w:type="defaul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A733" w14:textId="77777777" w:rsidR="00E77CE3" w:rsidRPr="005126CB" w:rsidRDefault="00E77CE3">
      <w:r w:rsidRPr="005126CB">
        <w:separator/>
      </w:r>
    </w:p>
  </w:endnote>
  <w:endnote w:type="continuationSeparator" w:id="0">
    <w:p w14:paraId="7F64EFF0" w14:textId="77777777" w:rsidR="00E77CE3" w:rsidRPr="005126CB" w:rsidRDefault="00E77CE3">
      <w:r w:rsidRPr="005126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38FC" w14:textId="219BEEA2" w:rsidR="007A36F8" w:rsidRPr="005126CB" w:rsidRDefault="005126CB" w:rsidP="005126CB">
    <w:pPr>
      <w:pStyle w:val="Footer-pool"/>
    </w:pPr>
    <w:r w:rsidRPr="005126CB">
      <w:rPr>
        <w:rStyle w:val="PageNumber"/>
        <w:b/>
      </w:rPr>
      <w:fldChar w:fldCharType="begin"/>
    </w:r>
    <w:r w:rsidRPr="005126CB">
      <w:rPr>
        <w:rStyle w:val="PageNumber"/>
        <w:b/>
      </w:rPr>
      <w:instrText xml:space="preserve"> PAGE </w:instrText>
    </w:r>
    <w:r w:rsidRPr="005126CB">
      <w:rPr>
        <w:rStyle w:val="PageNumber"/>
        <w:b/>
      </w:rPr>
      <w:fldChar w:fldCharType="separate"/>
    </w:r>
    <w:r w:rsidRPr="005126CB">
      <w:rPr>
        <w:rStyle w:val="PageNumber"/>
        <w:b/>
        <w:noProof/>
      </w:rPr>
      <w:t>4</w:t>
    </w:r>
    <w:r w:rsidRPr="005126C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6E88" w14:textId="23DAF4D0" w:rsidR="007A36F8" w:rsidRPr="005126CB" w:rsidRDefault="005126CB" w:rsidP="005126CB">
    <w:pPr>
      <w:pStyle w:val="Footer-pool"/>
      <w:jc w:val="right"/>
    </w:pPr>
    <w:r w:rsidRPr="005126CB">
      <w:rPr>
        <w:rStyle w:val="PageNumber"/>
        <w:b/>
      </w:rPr>
      <w:fldChar w:fldCharType="begin"/>
    </w:r>
    <w:r w:rsidRPr="005126CB">
      <w:rPr>
        <w:rStyle w:val="PageNumber"/>
        <w:b/>
      </w:rPr>
      <w:instrText xml:space="preserve"> PAGE \* MERGEFORMAT </w:instrText>
    </w:r>
    <w:r w:rsidRPr="005126CB">
      <w:rPr>
        <w:rStyle w:val="PageNumber"/>
        <w:b/>
      </w:rPr>
      <w:fldChar w:fldCharType="separate"/>
    </w:r>
    <w:r w:rsidRPr="005126CB">
      <w:rPr>
        <w:rStyle w:val="PageNumber"/>
        <w:b/>
        <w:noProof/>
      </w:rPr>
      <w:t>5</w:t>
    </w:r>
    <w:r w:rsidRPr="005126CB">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F049" w14:textId="0047EF11" w:rsidR="00167C2D" w:rsidRPr="005126CB" w:rsidRDefault="005126CB" w:rsidP="005126CB">
    <w:pPr>
      <w:pStyle w:val="Footer-jobnumber"/>
    </w:pPr>
    <w:bookmarkStart w:id="10" w:name="FooterJobDate"/>
    <w:r w:rsidRPr="005126CB">
      <w:t>K</w:t>
    </w:r>
    <w:r w:rsidR="006E5036">
      <w:t>2604293</w:t>
    </w:r>
    <w:r w:rsidRPr="005126CB">
      <w:t>[F]</w:t>
    </w:r>
    <w:r w:rsidRPr="005126CB">
      <w:tab/>
      <w:t>1</w:t>
    </w:r>
    <w:r w:rsidR="00176300">
      <w:t>4</w:t>
    </w:r>
    <w:r w:rsidRPr="005126CB">
      <w:t>0</w:t>
    </w:r>
    <w:r w:rsidR="006E5036">
      <w:t>5</w:t>
    </w:r>
    <w:r w:rsidRPr="005126CB">
      <w:t>26</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BFEF" w14:textId="77777777" w:rsidR="00E77CE3" w:rsidRPr="005126CB" w:rsidRDefault="00E77CE3" w:rsidP="005126CB">
      <w:pPr>
        <w:pStyle w:val="Footnote-Separator"/>
        <w:ind w:left="624"/>
        <w:rPr>
          <w:szCs w:val="18"/>
        </w:rPr>
      </w:pPr>
      <w:r w:rsidRPr="005126CB">
        <w:separator/>
      </w:r>
    </w:p>
  </w:footnote>
  <w:footnote w:type="continuationSeparator" w:id="0">
    <w:p w14:paraId="66A025A6" w14:textId="77777777" w:rsidR="00E77CE3" w:rsidRPr="005126CB" w:rsidRDefault="00E77CE3" w:rsidP="005126CB">
      <w:pPr>
        <w:pStyle w:val="Footnote-Separator"/>
      </w:pPr>
      <w:r w:rsidRPr="005126CB">
        <w:continuationSeparator/>
      </w:r>
    </w:p>
  </w:footnote>
  <w:footnote w:type="continuationNotice" w:id="1">
    <w:p w14:paraId="7DDDE02D" w14:textId="77777777" w:rsidR="00E77CE3" w:rsidRPr="005126CB" w:rsidRDefault="00E77CE3" w:rsidP="005126CB">
      <w:pPr>
        <w:pStyle w:val="ASpacer"/>
      </w:pPr>
    </w:p>
  </w:footnote>
  <w:footnote w:id="2">
    <w:p w14:paraId="68133A5E" w14:textId="77777777" w:rsidR="005126CB" w:rsidRPr="005126CB" w:rsidRDefault="005126CB" w:rsidP="005126CB">
      <w:pPr>
        <w:pStyle w:val="Footnote-Text"/>
        <w:rPr>
          <w:szCs w:val="18"/>
        </w:rPr>
      </w:pPr>
      <w:r w:rsidRPr="005126CB">
        <w:t>* UNEP/OzL.Pro.WG.1/48/1.</w:t>
      </w:r>
    </w:p>
  </w:footnote>
  <w:footnote w:id="3">
    <w:p w14:paraId="4006D790" w14:textId="069961A2" w:rsidR="00323A74" w:rsidRPr="005126CB" w:rsidRDefault="005126CB" w:rsidP="005126CB">
      <w:pPr>
        <w:pStyle w:val="Footnote-Text"/>
      </w:pPr>
      <w:r w:rsidRPr="005126CB">
        <w:rPr>
          <w:rStyle w:val="FootnoteReference"/>
          <w:rFonts w:eastAsia="SimSun"/>
          <w:sz w:val="20"/>
        </w:rPr>
        <w:footnoteRef/>
      </w:r>
      <w:r w:rsidR="00323A74" w:rsidRPr="005126CB">
        <w:t xml:space="preserve"> Les régions et zones prioritaires étaient les suivantes</w:t>
      </w:r>
      <w:r w:rsidR="00E10337">
        <w:t> </w:t>
      </w:r>
      <w:r w:rsidR="00323A74" w:rsidRPr="005126CB">
        <w:t>: Asie du Sud (Inde/Bangladesh)</w:t>
      </w:r>
      <w:r w:rsidR="000936E2">
        <w:t> </w:t>
      </w:r>
      <w:r w:rsidR="00323A74" w:rsidRPr="005126CB">
        <w:t>; Asie du Sud-Est (Viet</w:t>
      </w:r>
      <w:r w:rsidR="00C60FF9">
        <w:t> </w:t>
      </w:r>
      <w:r w:rsidR="00323A74" w:rsidRPr="005126CB">
        <w:t>Nam)</w:t>
      </w:r>
      <w:r w:rsidR="000936E2">
        <w:t> </w:t>
      </w:r>
      <w:r w:rsidR="00323A74" w:rsidRPr="005126CB">
        <w:t>; Afrique australe (Botswana/Afrique du Sud)</w:t>
      </w:r>
      <w:r w:rsidR="00127768">
        <w:t> </w:t>
      </w:r>
      <w:r w:rsidR="00323A74" w:rsidRPr="005126CB">
        <w:t>; Moyen-Orient (Arabie saoudite)</w:t>
      </w:r>
      <w:r w:rsidR="00127768">
        <w:t> </w:t>
      </w:r>
      <w:r w:rsidR="00323A74" w:rsidRPr="005126CB">
        <w:t>; Amérique centrale et Amérique du Sud (Brésil/Argentine). Les autres régions potentielles ayant été examinées par le Comité mais n’ayant pas encore été classées par ordre de priorité étaient les suivantes</w:t>
      </w:r>
      <w:r w:rsidR="00E10337">
        <w:t> </w:t>
      </w:r>
      <w:r w:rsidR="00323A74" w:rsidRPr="005126CB">
        <w:t>: Afrique du Nord (Algérie)</w:t>
      </w:r>
      <w:r w:rsidR="00127768">
        <w:t> </w:t>
      </w:r>
      <w:r w:rsidR="00323A74" w:rsidRPr="005126CB">
        <w:t>; Amérique</w:t>
      </w:r>
      <w:r w:rsidR="00C60FF9">
        <w:t> </w:t>
      </w:r>
      <w:r w:rsidR="00323A74" w:rsidRPr="005126CB">
        <w:t>du Nord (Mexique)</w:t>
      </w:r>
      <w:r w:rsidR="00127768">
        <w:t> </w:t>
      </w:r>
      <w:r w:rsidR="00323A74" w:rsidRPr="005126CB">
        <w:t>; Nord de l’Amérique du Sud (Équateur)</w:t>
      </w:r>
      <w:r w:rsidR="00127768">
        <w:t> </w:t>
      </w:r>
      <w:r w:rsidR="00323A74" w:rsidRPr="005126CB">
        <w:t>; Europe orientale (Fédération de Russie)</w:t>
      </w:r>
      <w:r w:rsidR="00127768">
        <w:t> </w:t>
      </w:r>
      <w:r w:rsidR="00323A74" w:rsidRPr="005126CB">
        <w:t>; Afrique de l’Ouest (Nigéria).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CE9" w14:textId="12C889E5" w:rsidR="007A36F8" w:rsidRPr="005126CB" w:rsidRDefault="005126CB" w:rsidP="005126CB">
    <w:pPr>
      <w:pStyle w:val="Header-pool"/>
    </w:pPr>
    <w:r w:rsidRPr="005126CB">
      <w:rPr>
        <w:noProof/>
      </w:rPr>
      <w:fldChar w:fldCharType="begin"/>
    </w:r>
    <w:r w:rsidRPr="005126CB">
      <w:rPr>
        <w:noProof/>
      </w:rPr>
      <w:instrText xml:space="preserve"> StyleRef A_Symbol </w:instrText>
    </w:r>
    <w:r w:rsidRPr="005126CB">
      <w:rPr>
        <w:noProof/>
      </w:rPr>
      <w:fldChar w:fldCharType="separate"/>
    </w:r>
    <w:r w:rsidR="00A45C65">
      <w:rPr>
        <w:noProof/>
      </w:rPr>
      <w:t>UNEP/OzL.Pro.WG.1/48/2</w:t>
    </w:r>
    <w:r w:rsidRPr="005126C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77E" w14:textId="7903FB72" w:rsidR="007A36F8" w:rsidRPr="005126CB" w:rsidRDefault="005126CB" w:rsidP="005126CB">
    <w:pPr>
      <w:pStyle w:val="Header-pool"/>
      <w:jc w:val="right"/>
    </w:pPr>
    <w:r w:rsidRPr="005126CB">
      <w:rPr>
        <w:noProof/>
      </w:rPr>
      <w:fldChar w:fldCharType="begin"/>
    </w:r>
    <w:r w:rsidRPr="005126CB">
      <w:rPr>
        <w:noProof/>
      </w:rPr>
      <w:instrText xml:space="preserve"> StyleRef A_Symbol </w:instrText>
    </w:r>
    <w:r w:rsidRPr="005126CB">
      <w:rPr>
        <w:noProof/>
      </w:rPr>
      <w:fldChar w:fldCharType="separate"/>
    </w:r>
    <w:r w:rsidR="00A45C65">
      <w:rPr>
        <w:noProof/>
      </w:rPr>
      <w:t>UNEP/OzL.Pro.WG.1/48/2</w:t>
    </w:r>
    <w:r w:rsidRPr="005126C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307C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BAC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18E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D846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9844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9AA6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4D1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C24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9"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0"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62291BF8"/>
    <w:multiLevelType w:val="multilevel"/>
    <w:tmpl w:val="1CA2EF82"/>
    <w:numStyleLink w:val="Normallist"/>
  </w:abstractNum>
  <w:abstractNum w:abstractNumId="22"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8"/>
  </w:num>
  <w:num w:numId="2" w16cid:durableId="1242644713">
    <w:abstractNumId w:val="22"/>
  </w:num>
  <w:num w:numId="3" w16cid:durableId="1933662228">
    <w:abstractNumId w:val="16"/>
  </w:num>
  <w:num w:numId="4" w16cid:durableId="1991909117">
    <w:abstractNumId w:val="11"/>
  </w:num>
  <w:num w:numId="5" w16cid:durableId="1138956019">
    <w:abstractNumId w:val="13"/>
  </w:num>
  <w:num w:numId="6" w16cid:durableId="756826920">
    <w:abstractNumId w:val="9"/>
  </w:num>
  <w:num w:numId="7" w16cid:durableId="356152859">
    <w:abstractNumId w:val="7"/>
  </w:num>
  <w:num w:numId="8" w16cid:durableId="505486963">
    <w:abstractNumId w:val="6"/>
  </w:num>
  <w:num w:numId="9" w16cid:durableId="395980340">
    <w:abstractNumId w:val="5"/>
  </w:num>
  <w:num w:numId="10" w16cid:durableId="1390030496">
    <w:abstractNumId w:val="4"/>
  </w:num>
  <w:num w:numId="11" w16cid:durableId="786197404">
    <w:abstractNumId w:val="8"/>
  </w:num>
  <w:num w:numId="12" w16cid:durableId="984356547">
    <w:abstractNumId w:val="3"/>
  </w:num>
  <w:num w:numId="13" w16cid:durableId="927233792">
    <w:abstractNumId w:val="2"/>
  </w:num>
  <w:num w:numId="14" w16cid:durableId="563836226">
    <w:abstractNumId w:val="1"/>
  </w:num>
  <w:num w:numId="15" w16cid:durableId="1735547983">
    <w:abstractNumId w:val="0"/>
  </w:num>
  <w:num w:numId="16" w16cid:durableId="1894391855">
    <w:abstractNumId w:val="18"/>
  </w:num>
  <w:num w:numId="17" w16cid:durableId="1626504287">
    <w:abstractNumId w:val="14"/>
  </w:num>
  <w:num w:numId="18" w16cid:durableId="499194188">
    <w:abstractNumId w:val="17"/>
  </w:num>
  <w:num w:numId="19" w16cid:durableId="1702246126">
    <w:abstractNumId w:val="21"/>
  </w:num>
  <w:num w:numId="20" w16cid:durableId="258760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054750">
    <w:abstractNumId w:val="19"/>
  </w:num>
  <w:num w:numId="22" w16cid:durableId="2008628561">
    <w:abstractNumId w:val="20"/>
  </w:num>
  <w:num w:numId="23" w16cid:durableId="1445953522">
    <w:abstractNumId w:val="10"/>
  </w:num>
  <w:num w:numId="24" w16cid:durableId="2036882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0081516">
    <w:abstractNumId w:val="15"/>
  </w:num>
  <w:num w:numId="26" w16cid:durableId="737441382">
    <w:abstractNumId w:val="12"/>
  </w:num>
  <w:num w:numId="27" w16cid:durableId="9726123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DD"/>
    <w:rsid w:val="00002343"/>
    <w:rsid w:val="0000361C"/>
    <w:rsid w:val="000149E6"/>
    <w:rsid w:val="00014A82"/>
    <w:rsid w:val="00014A94"/>
    <w:rsid w:val="00016AF3"/>
    <w:rsid w:val="00016D84"/>
    <w:rsid w:val="000208C8"/>
    <w:rsid w:val="000247B0"/>
    <w:rsid w:val="000255FE"/>
    <w:rsid w:val="00026997"/>
    <w:rsid w:val="00027C98"/>
    <w:rsid w:val="0003004E"/>
    <w:rsid w:val="00033E0B"/>
    <w:rsid w:val="00035EDE"/>
    <w:rsid w:val="000509B4"/>
    <w:rsid w:val="00050F6D"/>
    <w:rsid w:val="00051B53"/>
    <w:rsid w:val="00052767"/>
    <w:rsid w:val="00055730"/>
    <w:rsid w:val="00056B2C"/>
    <w:rsid w:val="0006035B"/>
    <w:rsid w:val="00062F14"/>
    <w:rsid w:val="00063BBA"/>
    <w:rsid w:val="0006567A"/>
    <w:rsid w:val="000657A8"/>
    <w:rsid w:val="00067172"/>
    <w:rsid w:val="0007166E"/>
    <w:rsid w:val="00071886"/>
    <w:rsid w:val="000742BC"/>
    <w:rsid w:val="000758E8"/>
    <w:rsid w:val="00076EFF"/>
    <w:rsid w:val="0008041D"/>
    <w:rsid w:val="00082A0C"/>
    <w:rsid w:val="00082A74"/>
    <w:rsid w:val="00082DCD"/>
    <w:rsid w:val="00083504"/>
    <w:rsid w:val="000853CA"/>
    <w:rsid w:val="0008710B"/>
    <w:rsid w:val="0008767E"/>
    <w:rsid w:val="000936E2"/>
    <w:rsid w:val="00095691"/>
    <w:rsid w:val="0009640C"/>
    <w:rsid w:val="000A4C70"/>
    <w:rsid w:val="000A5B62"/>
    <w:rsid w:val="000A6E66"/>
    <w:rsid w:val="000B21D5"/>
    <w:rsid w:val="000B22A2"/>
    <w:rsid w:val="000B48A7"/>
    <w:rsid w:val="000C02F4"/>
    <w:rsid w:val="000C2A52"/>
    <w:rsid w:val="000C46A9"/>
    <w:rsid w:val="000C6399"/>
    <w:rsid w:val="000C7839"/>
    <w:rsid w:val="000D093F"/>
    <w:rsid w:val="000D33C0"/>
    <w:rsid w:val="000D5765"/>
    <w:rsid w:val="000D5884"/>
    <w:rsid w:val="000D6662"/>
    <w:rsid w:val="000D6941"/>
    <w:rsid w:val="000D71B6"/>
    <w:rsid w:val="000D7D11"/>
    <w:rsid w:val="000E0405"/>
    <w:rsid w:val="000E4B46"/>
    <w:rsid w:val="000E6E4F"/>
    <w:rsid w:val="000E6FD9"/>
    <w:rsid w:val="000F6CFF"/>
    <w:rsid w:val="001012A7"/>
    <w:rsid w:val="00101FAB"/>
    <w:rsid w:val="0010442B"/>
    <w:rsid w:val="001057DE"/>
    <w:rsid w:val="001132F8"/>
    <w:rsid w:val="00115F73"/>
    <w:rsid w:val="00117773"/>
    <w:rsid w:val="001202E3"/>
    <w:rsid w:val="00123699"/>
    <w:rsid w:val="0012554E"/>
    <w:rsid w:val="00126443"/>
    <w:rsid w:val="00126660"/>
    <w:rsid w:val="00127768"/>
    <w:rsid w:val="00127AB9"/>
    <w:rsid w:val="0013059D"/>
    <w:rsid w:val="00131015"/>
    <w:rsid w:val="00135102"/>
    <w:rsid w:val="00135A2F"/>
    <w:rsid w:val="001363FD"/>
    <w:rsid w:val="0014083A"/>
    <w:rsid w:val="00141A55"/>
    <w:rsid w:val="00141F2F"/>
    <w:rsid w:val="001446A3"/>
    <w:rsid w:val="00146C7D"/>
    <w:rsid w:val="00152F70"/>
    <w:rsid w:val="00155395"/>
    <w:rsid w:val="00156E2C"/>
    <w:rsid w:val="001618EA"/>
    <w:rsid w:val="00162066"/>
    <w:rsid w:val="00167C2D"/>
    <w:rsid w:val="001716FC"/>
    <w:rsid w:val="001718E3"/>
    <w:rsid w:val="001728BD"/>
    <w:rsid w:val="00172E6C"/>
    <w:rsid w:val="00173D27"/>
    <w:rsid w:val="00174739"/>
    <w:rsid w:val="00175B28"/>
    <w:rsid w:val="00176300"/>
    <w:rsid w:val="001773CD"/>
    <w:rsid w:val="0018127C"/>
    <w:rsid w:val="00181DC1"/>
    <w:rsid w:val="00181EC8"/>
    <w:rsid w:val="00181FC0"/>
    <w:rsid w:val="00184349"/>
    <w:rsid w:val="00186F2D"/>
    <w:rsid w:val="0019161E"/>
    <w:rsid w:val="00195BF6"/>
    <w:rsid w:val="00195F33"/>
    <w:rsid w:val="00197B0D"/>
    <w:rsid w:val="00197C63"/>
    <w:rsid w:val="001A121A"/>
    <w:rsid w:val="001A411A"/>
    <w:rsid w:val="001A53D1"/>
    <w:rsid w:val="001A58F1"/>
    <w:rsid w:val="001A5EE1"/>
    <w:rsid w:val="001A7FF9"/>
    <w:rsid w:val="001B0766"/>
    <w:rsid w:val="001B1617"/>
    <w:rsid w:val="001B17C8"/>
    <w:rsid w:val="001B4E10"/>
    <w:rsid w:val="001B504B"/>
    <w:rsid w:val="001C29FC"/>
    <w:rsid w:val="001C5A2E"/>
    <w:rsid w:val="001C6B0C"/>
    <w:rsid w:val="001D171A"/>
    <w:rsid w:val="001D3874"/>
    <w:rsid w:val="001D5344"/>
    <w:rsid w:val="001D7E75"/>
    <w:rsid w:val="001E22D1"/>
    <w:rsid w:val="001E293B"/>
    <w:rsid w:val="001E3BBD"/>
    <w:rsid w:val="001E56D2"/>
    <w:rsid w:val="001E7D56"/>
    <w:rsid w:val="001F060D"/>
    <w:rsid w:val="001F5C07"/>
    <w:rsid w:val="001F75DE"/>
    <w:rsid w:val="00200D58"/>
    <w:rsid w:val="002013BE"/>
    <w:rsid w:val="00204E2E"/>
    <w:rsid w:val="002063A4"/>
    <w:rsid w:val="00206F97"/>
    <w:rsid w:val="0021145B"/>
    <w:rsid w:val="00213964"/>
    <w:rsid w:val="00214277"/>
    <w:rsid w:val="00223525"/>
    <w:rsid w:val="00224552"/>
    <w:rsid w:val="0022721D"/>
    <w:rsid w:val="0022762D"/>
    <w:rsid w:val="00227B0D"/>
    <w:rsid w:val="00230F1F"/>
    <w:rsid w:val="00232303"/>
    <w:rsid w:val="00234806"/>
    <w:rsid w:val="002378D6"/>
    <w:rsid w:val="00243D36"/>
    <w:rsid w:val="00247707"/>
    <w:rsid w:val="00250D83"/>
    <w:rsid w:val="00251A48"/>
    <w:rsid w:val="00252F79"/>
    <w:rsid w:val="002539A9"/>
    <w:rsid w:val="00260F2A"/>
    <w:rsid w:val="002616D3"/>
    <w:rsid w:val="00263171"/>
    <w:rsid w:val="0026462E"/>
    <w:rsid w:val="00266ECF"/>
    <w:rsid w:val="002703B1"/>
    <w:rsid w:val="00270EAE"/>
    <w:rsid w:val="00272D90"/>
    <w:rsid w:val="002730E3"/>
    <w:rsid w:val="0027505F"/>
    <w:rsid w:val="0027790C"/>
    <w:rsid w:val="00277919"/>
    <w:rsid w:val="00284B88"/>
    <w:rsid w:val="00286661"/>
    <w:rsid w:val="00286740"/>
    <w:rsid w:val="0028676C"/>
    <w:rsid w:val="00287B42"/>
    <w:rsid w:val="00287E2E"/>
    <w:rsid w:val="00291405"/>
    <w:rsid w:val="002921AF"/>
    <w:rsid w:val="002929D8"/>
    <w:rsid w:val="002935C2"/>
    <w:rsid w:val="00293AC2"/>
    <w:rsid w:val="00293CB6"/>
    <w:rsid w:val="00295D84"/>
    <w:rsid w:val="002A237D"/>
    <w:rsid w:val="002A4C53"/>
    <w:rsid w:val="002B0672"/>
    <w:rsid w:val="002B1B4C"/>
    <w:rsid w:val="002B1CCF"/>
    <w:rsid w:val="002B247F"/>
    <w:rsid w:val="002B5648"/>
    <w:rsid w:val="002B7367"/>
    <w:rsid w:val="002B76BD"/>
    <w:rsid w:val="002B7AFA"/>
    <w:rsid w:val="002C0D97"/>
    <w:rsid w:val="002C145D"/>
    <w:rsid w:val="002C2C3E"/>
    <w:rsid w:val="002C533E"/>
    <w:rsid w:val="002C5525"/>
    <w:rsid w:val="002C608E"/>
    <w:rsid w:val="002C7CDF"/>
    <w:rsid w:val="002D027F"/>
    <w:rsid w:val="002D2630"/>
    <w:rsid w:val="002D39F0"/>
    <w:rsid w:val="002D6AEA"/>
    <w:rsid w:val="002D79BB"/>
    <w:rsid w:val="002D7A85"/>
    <w:rsid w:val="002D7B60"/>
    <w:rsid w:val="002E19D4"/>
    <w:rsid w:val="002E38AE"/>
    <w:rsid w:val="002E5173"/>
    <w:rsid w:val="002E59D7"/>
    <w:rsid w:val="002F0362"/>
    <w:rsid w:val="002F3DA7"/>
    <w:rsid w:val="002F4761"/>
    <w:rsid w:val="002F49B1"/>
    <w:rsid w:val="002F52EC"/>
    <w:rsid w:val="002F5C79"/>
    <w:rsid w:val="003019E2"/>
    <w:rsid w:val="00303673"/>
    <w:rsid w:val="0031413F"/>
    <w:rsid w:val="003148BB"/>
    <w:rsid w:val="003148CD"/>
    <w:rsid w:val="00317976"/>
    <w:rsid w:val="0032103A"/>
    <w:rsid w:val="0032136E"/>
    <w:rsid w:val="003213BF"/>
    <w:rsid w:val="00323885"/>
    <w:rsid w:val="00323A74"/>
    <w:rsid w:val="00325DB8"/>
    <w:rsid w:val="0032666E"/>
    <w:rsid w:val="00331475"/>
    <w:rsid w:val="00334C40"/>
    <w:rsid w:val="003437AC"/>
    <w:rsid w:val="00351A93"/>
    <w:rsid w:val="003528CB"/>
    <w:rsid w:val="00355AA2"/>
    <w:rsid w:val="00355EA9"/>
    <w:rsid w:val="003578DE"/>
    <w:rsid w:val="00357D85"/>
    <w:rsid w:val="00357E6D"/>
    <w:rsid w:val="003602FD"/>
    <w:rsid w:val="00363129"/>
    <w:rsid w:val="003650F5"/>
    <w:rsid w:val="00365F6B"/>
    <w:rsid w:val="00370BF9"/>
    <w:rsid w:val="00371340"/>
    <w:rsid w:val="00372E8A"/>
    <w:rsid w:val="0037443E"/>
    <w:rsid w:val="003759E2"/>
    <w:rsid w:val="003766EE"/>
    <w:rsid w:val="0038180A"/>
    <w:rsid w:val="00386999"/>
    <w:rsid w:val="00390145"/>
    <w:rsid w:val="00390D15"/>
    <w:rsid w:val="00394379"/>
    <w:rsid w:val="00396257"/>
    <w:rsid w:val="00397EB8"/>
    <w:rsid w:val="003A07AB"/>
    <w:rsid w:val="003A086E"/>
    <w:rsid w:val="003A3209"/>
    <w:rsid w:val="003A37B8"/>
    <w:rsid w:val="003A4FD0"/>
    <w:rsid w:val="003A69D1"/>
    <w:rsid w:val="003A7705"/>
    <w:rsid w:val="003B1545"/>
    <w:rsid w:val="003B44E5"/>
    <w:rsid w:val="003B5102"/>
    <w:rsid w:val="003C035E"/>
    <w:rsid w:val="003C3267"/>
    <w:rsid w:val="003C409D"/>
    <w:rsid w:val="003C5BA6"/>
    <w:rsid w:val="003C5FE5"/>
    <w:rsid w:val="003D094A"/>
    <w:rsid w:val="003E1769"/>
    <w:rsid w:val="003E18D1"/>
    <w:rsid w:val="003E7298"/>
    <w:rsid w:val="003F0E85"/>
    <w:rsid w:val="003F1557"/>
    <w:rsid w:val="00401528"/>
    <w:rsid w:val="004017D7"/>
    <w:rsid w:val="00401FB9"/>
    <w:rsid w:val="00402390"/>
    <w:rsid w:val="004034D0"/>
    <w:rsid w:val="00404274"/>
    <w:rsid w:val="00404CB5"/>
    <w:rsid w:val="00405251"/>
    <w:rsid w:val="00406580"/>
    <w:rsid w:val="00407D29"/>
    <w:rsid w:val="00410BD5"/>
    <w:rsid w:val="00410C55"/>
    <w:rsid w:val="0041604D"/>
    <w:rsid w:val="00416854"/>
    <w:rsid w:val="00417725"/>
    <w:rsid w:val="0041779A"/>
    <w:rsid w:val="00417B99"/>
    <w:rsid w:val="004243EA"/>
    <w:rsid w:val="00425CA0"/>
    <w:rsid w:val="00435581"/>
    <w:rsid w:val="004363A2"/>
    <w:rsid w:val="00437F26"/>
    <w:rsid w:val="00441420"/>
    <w:rsid w:val="00444097"/>
    <w:rsid w:val="00445487"/>
    <w:rsid w:val="00446A3C"/>
    <w:rsid w:val="00447020"/>
    <w:rsid w:val="00452004"/>
    <w:rsid w:val="00454769"/>
    <w:rsid w:val="00456D58"/>
    <w:rsid w:val="00460770"/>
    <w:rsid w:val="00464C91"/>
    <w:rsid w:val="00466991"/>
    <w:rsid w:val="0047064C"/>
    <w:rsid w:val="00472B0B"/>
    <w:rsid w:val="00474D90"/>
    <w:rsid w:val="00477AFF"/>
    <w:rsid w:val="00480304"/>
    <w:rsid w:val="00481F0B"/>
    <w:rsid w:val="00491356"/>
    <w:rsid w:val="00491F81"/>
    <w:rsid w:val="004929C5"/>
    <w:rsid w:val="00494E88"/>
    <w:rsid w:val="00495BFE"/>
    <w:rsid w:val="0049644E"/>
    <w:rsid w:val="0049663A"/>
    <w:rsid w:val="004A38E9"/>
    <w:rsid w:val="004A42E1"/>
    <w:rsid w:val="004A4451"/>
    <w:rsid w:val="004A50E0"/>
    <w:rsid w:val="004A66B1"/>
    <w:rsid w:val="004A7BC2"/>
    <w:rsid w:val="004B0E28"/>
    <w:rsid w:val="004B110A"/>
    <w:rsid w:val="004B162C"/>
    <w:rsid w:val="004B6068"/>
    <w:rsid w:val="004C1081"/>
    <w:rsid w:val="004C3DBE"/>
    <w:rsid w:val="004C4B54"/>
    <w:rsid w:val="004C5284"/>
    <w:rsid w:val="004C592F"/>
    <w:rsid w:val="004C5C96"/>
    <w:rsid w:val="004D06A4"/>
    <w:rsid w:val="004D1DB0"/>
    <w:rsid w:val="004D3390"/>
    <w:rsid w:val="004D60EA"/>
    <w:rsid w:val="004D7B5C"/>
    <w:rsid w:val="004D7E71"/>
    <w:rsid w:val="004E2436"/>
    <w:rsid w:val="004E4745"/>
    <w:rsid w:val="004E5981"/>
    <w:rsid w:val="004E59D4"/>
    <w:rsid w:val="004E79AC"/>
    <w:rsid w:val="004F1A81"/>
    <w:rsid w:val="004F3C0A"/>
    <w:rsid w:val="004F4078"/>
    <w:rsid w:val="005014D5"/>
    <w:rsid w:val="00502160"/>
    <w:rsid w:val="005052C8"/>
    <w:rsid w:val="005057C0"/>
    <w:rsid w:val="0050721C"/>
    <w:rsid w:val="005126CB"/>
    <w:rsid w:val="00514570"/>
    <w:rsid w:val="005218D9"/>
    <w:rsid w:val="005219E4"/>
    <w:rsid w:val="005258F8"/>
    <w:rsid w:val="00525DB3"/>
    <w:rsid w:val="00531CAF"/>
    <w:rsid w:val="005324B1"/>
    <w:rsid w:val="00532E47"/>
    <w:rsid w:val="00533095"/>
    <w:rsid w:val="005343B4"/>
    <w:rsid w:val="0053491B"/>
    <w:rsid w:val="00534F7B"/>
    <w:rsid w:val="00535D84"/>
    <w:rsid w:val="00536186"/>
    <w:rsid w:val="00536826"/>
    <w:rsid w:val="00544CBB"/>
    <w:rsid w:val="00550518"/>
    <w:rsid w:val="00552970"/>
    <w:rsid w:val="00552CD6"/>
    <w:rsid w:val="0055792E"/>
    <w:rsid w:val="00557A90"/>
    <w:rsid w:val="00560F73"/>
    <w:rsid w:val="00562FDC"/>
    <w:rsid w:val="005730C8"/>
    <w:rsid w:val="0057315F"/>
    <w:rsid w:val="00574443"/>
    <w:rsid w:val="00575DF1"/>
    <w:rsid w:val="00576104"/>
    <w:rsid w:val="00584DCA"/>
    <w:rsid w:val="0058798D"/>
    <w:rsid w:val="00590A09"/>
    <w:rsid w:val="00590E2A"/>
    <w:rsid w:val="0059263C"/>
    <w:rsid w:val="00592D52"/>
    <w:rsid w:val="005940BC"/>
    <w:rsid w:val="00594BA0"/>
    <w:rsid w:val="005A2106"/>
    <w:rsid w:val="005A21BA"/>
    <w:rsid w:val="005A498D"/>
    <w:rsid w:val="005B35A7"/>
    <w:rsid w:val="005B381E"/>
    <w:rsid w:val="005C140E"/>
    <w:rsid w:val="005C2CDC"/>
    <w:rsid w:val="005C3613"/>
    <w:rsid w:val="005C51DE"/>
    <w:rsid w:val="005C62F6"/>
    <w:rsid w:val="005C67C8"/>
    <w:rsid w:val="005C7FCF"/>
    <w:rsid w:val="005D0249"/>
    <w:rsid w:val="005D148C"/>
    <w:rsid w:val="005D2B9D"/>
    <w:rsid w:val="005D35B5"/>
    <w:rsid w:val="005D639F"/>
    <w:rsid w:val="005D6E8C"/>
    <w:rsid w:val="005E3F4F"/>
    <w:rsid w:val="005E6F18"/>
    <w:rsid w:val="005F100C"/>
    <w:rsid w:val="005F1365"/>
    <w:rsid w:val="005F26E6"/>
    <w:rsid w:val="005F68DA"/>
    <w:rsid w:val="005F75E6"/>
    <w:rsid w:val="006014DD"/>
    <w:rsid w:val="00601973"/>
    <w:rsid w:val="00603DA8"/>
    <w:rsid w:val="0060773B"/>
    <w:rsid w:val="00607D94"/>
    <w:rsid w:val="00610B49"/>
    <w:rsid w:val="00611732"/>
    <w:rsid w:val="006148E9"/>
    <w:rsid w:val="006157B5"/>
    <w:rsid w:val="0062368E"/>
    <w:rsid w:val="00626FC6"/>
    <w:rsid w:val="00627CB7"/>
    <w:rsid w:val="006303B4"/>
    <w:rsid w:val="00631191"/>
    <w:rsid w:val="00631412"/>
    <w:rsid w:val="00633CEB"/>
    <w:rsid w:val="00633D3D"/>
    <w:rsid w:val="00633F3A"/>
    <w:rsid w:val="00635BFC"/>
    <w:rsid w:val="0063618E"/>
    <w:rsid w:val="00637180"/>
    <w:rsid w:val="00640E35"/>
    <w:rsid w:val="00641703"/>
    <w:rsid w:val="006431A6"/>
    <w:rsid w:val="006433CF"/>
    <w:rsid w:val="0064376F"/>
    <w:rsid w:val="0064414E"/>
    <w:rsid w:val="006459F6"/>
    <w:rsid w:val="006501AD"/>
    <w:rsid w:val="00651AF2"/>
    <w:rsid w:val="00651BFA"/>
    <w:rsid w:val="006533B3"/>
    <w:rsid w:val="00653E14"/>
    <w:rsid w:val="00653EE2"/>
    <w:rsid w:val="0066207D"/>
    <w:rsid w:val="006631AC"/>
    <w:rsid w:val="00663A80"/>
    <w:rsid w:val="00665A4B"/>
    <w:rsid w:val="00667114"/>
    <w:rsid w:val="0066713F"/>
    <w:rsid w:val="00667F78"/>
    <w:rsid w:val="006731FE"/>
    <w:rsid w:val="00673C2B"/>
    <w:rsid w:val="006742EE"/>
    <w:rsid w:val="0067513F"/>
    <w:rsid w:val="00676DD5"/>
    <w:rsid w:val="00680D89"/>
    <w:rsid w:val="00681BA7"/>
    <w:rsid w:val="00687509"/>
    <w:rsid w:val="00692E2A"/>
    <w:rsid w:val="0069359B"/>
    <w:rsid w:val="00693A79"/>
    <w:rsid w:val="006967D3"/>
    <w:rsid w:val="00697129"/>
    <w:rsid w:val="006A2052"/>
    <w:rsid w:val="006A5B99"/>
    <w:rsid w:val="006A6969"/>
    <w:rsid w:val="006A76F2"/>
    <w:rsid w:val="006B08A2"/>
    <w:rsid w:val="006B48C7"/>
    <w:rsid w:val="006B53F2"/>
    <w:rsid w:val="006C3DDA"/>
    <w:rsid w:val="006C60DC"/>
    <w:rsid w:val="006D3277"/>
    <w:rsid w:val="006D7EFB"/>
    <w:rsid w:val="006E1D7A"/>
    <w:rsid w:val="006E1ED0"/>
    <w:rsid w:val="006E2559"/>
    <w:rsid w:val="006E4EA7"/>
    <w:rsid w:val="006E5036"/>
    <w:rsid w:val="006E50EE"/>
    <w:rsid w:val="006E55AD"/>
    <w:rsid w:val="006E6672"/>
    <w:rsid w:val="006E6722"/>
    <w:rsid w:val="006F10F1"/>
    <w:rsid w:val="007018DE"/>
    <w:rsid w:val="007027B9"/>
    <w:rsid w:val="00705422"/>
    <w:rsid w:val="0070745B"/>
    <w:rsid w:val="0071368F"/>
    <w:rsid w:val="00713D8F"/>
    <w:rsid w:val="00715E88"/>
    <w:rsid w:val="007165BA"/>
    <w:rsid w:val="0072432C"/>
    <w:rsid w:val="0072508B"/>
    <w:rsid w:val="007258C2"/>
    <w:rsid w:val="00727678"/>
    <w:rsid w:val="007278A3"/>
    <w:rsid w:val="00727B13"/>
    <w:rsid w:val="00730FAB"/>
    <w:rsid w:val="00732257"/>
    <w:rsid w:val="00734729"/>
    <w:rsid w:val="00734CAA"/>
    <w:rsid w:val="00735E91"/>
    <w:rsid w:val="00736472"/>
    <w:rsid w:val="00736583"/>
    <w:rsid w:val="00736CE4"/>
    <w:rsid w:val="0074059E"/>
    <w:rsid w:val="00741C56"/>
    <w:rsid w:val="00751451"/>
    <w:rsid w:val="0075473A"/>
    <w:rsid w:val="00755106"/>
    <w:rsid w:val="0075533C"/>
    <w:rsid w:val="00757581"/>
    <w:rsid w:val="007611A0"/>
    <w:rsid w:val="00764281"/>
    <w:rsid w:val="00764F14"/>
    <w:rsid w:val="007658A0"/>
    <w:rsid w:val="007674D1"/>
    <w:rsid w:val="00771992"/>
    <w:rsid w:val="00771A73"/>
    <w:rsid w:val="00772835"/>
    <w:rsid w:val="00775D39"/>
    <w:rsid w:val="00780A7E"/>
    <w:rsid w:val="00781EAB"/>
    <w:rsid w:val="00782ACF"/>
    <w:rsid w:val="00782F29"/>
    <w:rsid w:val="00783907"/>
    <w:rsid w:val="0078462B"/>
    <w:rsid w:val="00785C4B"/>
    <w:rsid w:val="0079140A"/>
    <w:rsid w:val="007937EF"/>
    <w:rsid w:val="00796D3F"/>
    <w:rsid w:val="007A1683"/>
    <w:rsid w:val="007A3123"/>
    <w:rsid w:val="007A36F8"/>
    <w:rsid w:val="007A5C12"/>
    <w:rsid w:val="007A7CB0"/>
    <w:rsid w:val="007B2B49"/>
    <w:rsid w:val="007B2B9D"/>
    <w:rsid w:val="007B3FA4"/>
    <w:rsid w:val="007B68A3"/>
    <w:rsid w:val="007C0147"/>
    <w:rsid w:val="007C2541"/>
    <w:rsid w:val="007C37DA"/>
    <w:rsid w:val="007C3DFD"/>
    <w:rsid w:val="007C7D4A"/>
    <w:rsid w:val="007D02FF"/>
    <w:rsid w:val="007D147C"/>
    <w:rsid w:val="007D2336"/>
    <w:rsid w:val="007D66A8"/>
    <w:rsid w:val="007D68C7"/>
    <w:rsid w:val="007D773D"/>
    <w:rsid w:val="007E003F"/>
    <w:rsid w:val="007E07F6"/>
    <w:rsid w:val="007E4E11"/>
    <w:rsid w:val="007F1089"/>
    <w:rsid w:val="007F5DCA"/>
    <w:rsid w:val="007F7E8B"/>
    <w:rsid w:val="0080225B"/>
    <w:rsid w:val="00802E72"/>
    <w:rsid w:val="00803AAB"/>
    <w:rsid w:val="00805F1D"/>
    <w:rsid w:val="00807E00"/>
    <w:rsid w:val="00813A55"/>
    <w:rsid w:val="00814193"/>
    <w:rsid w:val="008164F2"/>
    <w:rsid w:val="00820CE5"/>
    <w:rsid w:val="00821395"/>
    <w:rsid w:val="00824E3D"/>
    <w:rsid w:val="008271A0"/>
    <w:rsid w:val="00830E26"/>
    <w:rsid w:val="00833D3D"/>
    <w:rsid w:val="00843576"/>
    <w:rsid w:val="00843B64"/>
    <w:rsid w:val="00844587"/>
    <w:rsid w:val="008446DE"/>
    <w:rsid w:val="008470BD"/>
    <w:rsid w:val="008478FC"/>
    <w:rsid w:val="00850023"/>
    <w:rsid w:val="00850253"/>
    <w:rsid w:val="00851078"/>
    <w:rsid w:val="00851878"/>
    <w:rsid w:val="00854E76"/>
    <w:rsid w:val="00855751"/>
    <w:rsid w:val="00856F13"/>
    <w:rsid w:val="00861AB6"/>
    <w:rsid w:val="00864B40"/>
    <w:rsid w:val="00867BFF"/>
    <w:rsid w:val="00870BCA"/>
    <w:rsid w:val="00874D9B"/>
    <w:rsid w:val="00876178"/>
    <w:rsid w:val="00880EB1"/>
    <w:rsid w:val="0088480A"/>
    <w:rsid w:val="00887400"/>
    <w:rsid w:val="0088757A"/>
    <w:rsid w:val="00887612"/>
    <w:rsid w:val="00887FB3"/>
    <w:rsid w:val="008957DD"/>
    <w:rsid w:val="008968F4"/>
    <w:rsid w:val="00897D98"/>
    <w:rsid w:val="008A1110"/>
    <w:rsid w:val="008A16FB"/>
    <w:rsid w:val="008A26B4"/>
    <w:rsid w:val="008A4936"/>
    <w:rsid w:val="008A6DF2"/>
    <w:rsid w:val="008A7807"/>
    <w:rsid w:val="008A7FC2"/>
    <w:rsid w:val="008B0D6B"/>
    <w:rsid w:val="008B3832"/>
    <w:rsid w:val="008B4CC9"/>
    <w:rsid w:val="008B642B"/>
    <w:rsid w:val="008C13F0"/>
    <w:rsid w:val="008C1B8B"/>
    <w:rsid w:val="008C2036"/>
    <w:rsid w:val="008C4B69"/>
    <w:rsid w:val="008D2D15"/>
    <w:rsid w:val="008D3AE0"/>
    <w:rsid w:val="008D7C99"/>
    <w:rsid w:val="008E0FCB"/>
    <w:rsid w:val="008E2676"/>
    <w:rsid w:val="008E361C"/>
    <w:rsid w:val="008F4E24"/>
    <w:rsid w:val="00904431"/>
    <w:rsid w:val="009046EB"/>
    <w:rsid w:val="0090572A"/>
    <w:rsid w:val="00906E7C"/>
    <w:rsid w:val="009075D7"/>
    <w:rsid w:val="00907D78"/>
    <w:rsid w:val="009115FA"/>
    <w:rsid w:val="0092178C"/>
    <w:rsid w:val="00923E7C"/>
    <w:rsid w:val="0092493F"/>
    <w:rsid w:val="00925539"/>
    <w:rsid w:val="00930B88"/>
    <w:rsid w:val="0093463F"/>
    <w:rsid w:val="009378DC"/>
    <w:rsid w:val="00940DCC"/>
    <w:rsid w:val="0094179A"/>
    <w:rsid w:val="009432C5"/>
    <w:rsid w:val="0094459E"/>
    <w:rsid w:val="00944DBC"/>
    <w:rsid w:val="009507EE"/>
    <w:rsid w:val="0095090F"/>
    <w:rsid w:val="00950977"/>
    <w:rsid w:val="009509FC"/>
    <w:rsid w:val="00951A7B"/>
    <w:rsid w:val="009564A6"/>
    <w:rsid w:val="00961A33"/>
    <w:rsid w:val="00962249"/>
    <w:rsid w:val="009628B9"/>
    <w:rsid w:val="00963BC8"/>
    <w:rsid w:val="0096613D"/>
    <w:rsid w:val="00967621"/>
    <w:rsid w:val="00967E6A"/>
    <w:rsid w:val="00974316"/>
    <w:rsid w:val="00974B3B"/>
    <w:rsid w:val="00975BB9"/>
    <w:rsid w:val="0097769E"/>
    <w:rsid w:val="00980797"/>
    <w:rsid w:val="0098322F"/>
    <w:rsid w:val="009832DF"/>
    <w:rsid w:val="00983928"/>
    <w:rsid w:val="00985C9B"/>
    <w:rsid w:val="00992D33"/>
    <w:rsid w:val="00992FC6"/>
    <w:rsid w:val="009935AC"/>
    <w:rsid w:val="00994F12"/>
    <w:rsid w:val="009A6054"/>
    <w:rsid w:val="009A7AE5"/>
    <w:rsid w:val="009B4A0F"/>
    <w:rsid w:val="009B7E1B"/>
    <w:rsid w:val="009C0EBC"/>
    <w:rsid w:val="009C0FEC"/>
    <w:rsid w:val="009C11D2"/>
    <w:rsid w:val="009C4BA4"/>
    <w:rsid w:val="009C4CCB"/>
    <w:rsid w:val="009C6C70"/>
    <w:rsid w:val="009D0922"/>
    <w:rsid w:val="009D0B63"/>
    <w:rsid w:val="009D1C1E"/>
    <w:rsid w:val="009D4276"/>
    <w:rsid w:val="009D5500"/>
    <w:rsid w:val="009D5EE0"/>
    <w:rsid w:val="009D632C"/>
    <w:rsid w:val="009E0F77"/>
    <w:rsid w:val="009E1A50"/>
    <w:rsid w:val="009E307E"/>
    <w:rsid w:val="009E47E3"/>
    <w:rsid w:val="009E7B55"/>
    <w:rsid w:val="009F1EB6"/>
    <w:rsid w:val="009F2F04"/>
    <w:rsid w:val="009F5352"/>
    <w:rsid w:val="00A03133"/>
    <w:rsid w:val="00A03A4A"/>
    <w:rsid w:val="00A074C0"/>
    <w:rsid w:val="00A07870"/>
    <w:rsid w:val="00A0792B"/>
    <w:rsid w:val="00A07F19"/>
    <w:rsid w:val="00A11337"/>
    <w:rsid w:val="00A1348D"/>
    <w:rsid w:val="00A142D1"/>
    <w:rsid w:val="00A1489E"/>
    <w:rsid w:val="00A175C0"/>
    <w:rsid w:val="00A232EE"/>
    <w:rsid w:val="00A328A8"/>
    <w:rsid w:val="00A33F4B"/>
    <w:rsid w:val="00A37B52"/>
    <w:rsid w:val="00A4175F"/>
    <w:rsid w:val="00A41C3A"/>
    <w:rsid w:val="00A42F82"/>
    <w:rsid w:val="00A4377C"/>
    <w:rsid w:val="00A44411"/>
    <w:rsid w:val="00A45C65"/>
    <w:rsid w:val="00A45CFE"/>
    <w:rsid w:val="00A4685E"/>
    <w:rsid w:val="00A469FA"/>
    <w:rsid w:val="00A47304"/>
    <w:rsid w:val="00A479F4"/>
    <w:rsid w:val="00A50E94"/>
    <w:rsid w:val="00A51A4F"/>
    <w:rsid w:val="00A55B01"/>
    <w:rsid w:val="00A56849"/>
    <w:rsid w:val="00A56ABF"/>
    <w:rsid w:val="00A56B5B"/>
    <w:rsid w:val="00A603FF"/>
    <w:rsid w:val="00A657DD"/>
    <w:rsid w:val="00A666A6"/>
    <w:rsid w:val="00A675FD"/>
    <w:rsid w:val="00A72437"/>
    <w:rsid w:val="00A72CB1"/>
    <w:rsid w:val="00A73AB8"/>
    <w:rsid w:val="00A7679C"/>
    <w:rsid w:val="00A76A26"/>
    <w:rsid w:val="00A80611"/>
    <w:rsid w:val="00A81DE4"/>
    <w:rsid w:val="00A8392C"/>
    <w:rsid w:val="00A839A6"/>
    <w:rsid w:val="00A84B15"/>
    <w:rsid w:val="00A853E3"/>
    <w:rsid w:val="00A86144"/>
    <w:rsid w:val="00A87016"/>
    <w:rsid w:val="00A879D8"/>
    <w:rsid w:val="00AA6C2E"/>
    <w:rsid w:val="00AB0F51"/>
    <w:rsid w:val="00AB1F69"/>
    <w:rsid w:val="00AB4980"/>
    <w:rsid w:val="00AB5142"/>
    <w:rsid w:val="00AB5340"/>
    <w:rsid w:val="00AC010E"/>
    <w:rsid w:val="00AC01CC"/>
    <w:rsid w:val="00AC16B8"/>
    <w:rsid w:val="00AC4790"/>
    <w:rsid w:val="00AC7C96"/>
    <w:rsid w:val="00AD224C"/>
    <w:rsid w:val="00AD4018"/>
    <w:rsid w:val="00AD575D"/>
    <w:rsid w:val="00AE1D50"/>
    <w:rsid w:val="00AE237D"/>
    <w:rsid w:val="00AE2A3D"/>
    <w:rsid w:val="00AE4536"/>
    <w:rsid w:val="00AE502A"/>
    <w:rsid w:val="00AE542F"/>
    <w:rsid w:val="00AF0DF7"/>
    <w:rsid w:val="00AF1754"/>
    <w:rsid w:val="00AF18EF"/>
    <w:rsid w:val="00AF7C07"/>
    <w:rsid w:val="00B13726"/>
    <w:rsid w:val="00B16837"/>
    <w:rsid w:val="00B20AB2"/>
    <w:rsid w:val="00B22C93"/>
    <w:rsid w:val="00B2300E"/>
    <w:rsid w:val="00B23EDE"/>
    <w:rsid w:val="00B27589"/>
    <w:rsid w:val="00B3104C"/>
    <w:rsid w:val="00B3513A"/>
    <w:rsid w:val="00B37EF9"/>
    <w:rsid w:val="00B405B7"/>
    <w:rsid w:val="00B45E6D"/>
    <w:rsid w:val="00B51C7C"/>
    <w:rsid w:val="00B52222"/>
    <w:rsid w:val="00B523A2"/>
    <w:rsid w:val="00B5343F"/>
    <w:rsid w:val="00B547D5"/>
    <w:rsid w:val="00B54FE7"/>
    <w:rsid w:val="00B5599E"/>
    <w:rsid w:val="00B575E7"/>
    <w:rsid w:val="00B57C47"/>
    <w:rsid w:val="00B63128"/>
    <w:rsid w:val="00B643DF"/>
    <w:rsid w:val="00B66901"/>
    <w:rsid w:val="00B70335"/>
    <w:rsid w:val="00B7093C"/>
    <w:rsid w:val="00B71E6D"/>
    <w:rsid w:val="00B72070"/>
    <w:rsid w:val="00B7624D"/>
    <w:rsid w:val="00B779E1"/>
    <w:rsid w:val="00B84CA0"/>
    <w:rsid w:val="00B857DD"/>
    <w:rsid w:val="00B859A3"/>
    <w:rsid w:val="00B86043"/>
    <w:rsid w:val="00B90725"/>
    <w:rsid w:val="00B91546"/>
    <w:rsid w:val="00B91608"/>
    <w:rsid w:val="00B91B7F"/>
    <w:rsid w:val="00B91EE1"/>
    <w:rsid w:val="00B92A4B"/>
    <w:rsid w:val="00B93B59"/>
    <w:rsid w:val="00B95DAC"/>
    <w:rsid w:val="00B9751C"/>
    <w:rsid w:val="00BA0090"/>
    <w:rsid w:val="00BA1A67"/>
    <w:rsid w:val="00BB335E"/>
    <w:rsid w:val="00BB49DE"/>
    <w:rsid w:val="00BC07FE"/>
    <w:rsid w:val="00BC1E38"/>
    <w:rsid w:val="00BC3F38"/>
    <w:rsid w:val="00BC4447"/>
    <w:rsid w:val="00BD0163"/>
    <w:rsid w:val="00BD039F"/>
    <w:rsid w:val="00BD159E"/>
    <w:rsid w:val="00BD2277"/>
    <w:rsid w:val="00BD7F1C"/>
    <w:rsid w:val="00BE03F3"/>
    <w:rsid w:val="00BE0694"/>
    <w:rsid w:val="00BE5B5F"/>
    <w:rsid w:val="00BE7158"/>
    <w:rsid w:val="00BF2476"/>
    <w:rsid w:val="00BF4361"/>
    <w:rsid w:val="00BF5048"/>
    <w:rsid w:val="00BF572D"/>
    <w:rsid w:val="00C016D4"/>
    <w:rsid w:val="00C07AB7"/>
    <w:rsid w:val="00C07BB4"/>
    <w:rsid w:val="00C26F55"/>
    <w:rsid w:val="00C30C63"/>
    <w:rsid w:val="00C30FDA"/>
    <w:rsid w:val="00C32B37"/>
    <w:rsid w:val="00C32F56"/>
    <w:rsid w:val="00C3539F"/>
    <w:rsid w:val="00C364EA"/>
    <w:rsid w:val="00C36B8B"/>
    <w:rsid w:val="00C37966"/>
    <w:rsid w:val="00C45688"/>
    <w:rsid w:val="00C4613B"/>
    <w:rsid w:val="00C47581"/>
    <w:rsid w:val="00C47DBF"/>
    <w:rsid w:val="00C50006"/>
    <w:rsid w:val="00C509BD"/>
    <w:rsid w:val="00C53666"/>
    <w:rsid w:val="00C53801"/>
    <w:rsid w:val="00C54206"/>
    <w:rsid w:val="00C552FF"/>
    <w:rsid w:val="00C558DA"/>
    <w:rsid w:val="00C55AF3"/>
    <w:rsid w:val="00C60713"/>
    <w:rsid w:val="00C60FF9"/>
    <w:rsid w:val="00C6122D"/>
    <w:rsid w:val="00C62884"/>
    <w:rsid w:val="00C62968"/>
    <w:rsid w:val="00C6318B"/>
    <w:rsid w:val="00C64410"/>
    <w:rsid w:val="00C6605C"/>
    <w:rsid w:val="00C6744F"/>
    <w:rsid w:val="00C70B49"/>
    <w:rsid w:val="00C70D41"/>
    <w:rsid w:val="00C713B6"/>
    <w:rsid w:val="00C758DB"/>
    <w:rsid w:val="00C75C7C"/>
    <w:rsid w:val="00C80974"/>
    <w:rsid w:val="00C80BC9"/>
    <w:rsid w:val="00C811D9"/>
    <w:rsid w:val="00C81597"/>
    <w:rsid w:val="00C81951"/>
    <w:rsid w:val="00C819CA"/>
    <w:rsid w:val="00C8320F"/>
    <w:rsid w:val="00C83A8F"/>
    <w:rsid w:val="00C83F7D"/>
    <w:rsid w:val="00C84759"/>
    <w:rsid w:val="00C86D7A"/>
    <w:rsid w:val="00C903EB"/>
    <w:rsid w:val="00C909D3"/>
    <w:rsid w:val="00C90FCD"/>
    <w:rsid w:val="00C97578"/>
    <w:rsid w:val="00CA4B4D"/>
    <w:rsid w:val="00CA6C7F"/>
    <w:rsid w:val="00CA78AF"/>
    <w:rsid w:val="00CB054C"/>
    <w:rsid w:val="00CB3DC6"/>
    <w:rsid w:val="00CB6F8C"/>
    <w:rsid w:val="00CC0260"/>
    <w:rsid w:val="00CC10A6"/>
    <w:rsid w:val="00CD0443"/>
    <w:rsid w:val="00CD2A9D"/>
    <w:rsid w:val="00CD31CF"/>
    <w:rsid w:val="00CD5EB8"/>
    <w:rsid w:val="00CD6AC7"/>
    <w:rsid w:val="00CD7044"/>
    <w:rsid w:val="00CE08B9"/>
    <w:rsid w:val="00CE0AA7"/>
    <w:rsid w:val="00CE524C"/>
    <w:rsid w:val="00CF141F"/>
    <w:rsid w:val="00CF4777"/>
    <w:rsid w:val="00CF516C"/>
    <w:rsid w:val="00CF5AF8"/>
    <w:rsid w:val="00D01BBB"/>
    <w:rsid w:val="00D02527"/>
    <w:rsid w:val="00D030A9"/>
    <w:rsid w:val="00D067BB"/>
    <w:rsid w:val="00D070CC"/>
    <w:rsid w:val="00D07365"/>
    <w:rsid w:val="00D103AC"/>
    <w:rsid w:val="00D1352A"/>
    <w:rsid w:val="00D13EDE"/>
    <w:rsid w:val="00D15220"/>
    <w:rsid w:val="00D169AF"/>
    <w:rsid w:val="00D227E9"/>
    <w:rsid w:val="00D25249"/>
    <w:rsid w:val="00D255A7"/>
    <w:rsid w:val="00D26038"/>
    <w:rsid w:val="00D268C0"/>
    <w:rsid w:val="00D27F40"/>
    <w:rsid w:val="00D35BC2"/>
    <w:rsid w:val="00D36025"/>
    <w:rsid w:val="00D425FA"/>
    <w:rsid w:val="00D43CFC"/>
    <w:rsid w:val="00D44172"/>
    <w:rsid w:val="00D466FC"/>
    <w:rsid w:val="00D50B8F"/>
    <w:rsid w:val="00D50D36"/>
    <w:rsid w:val="00D523F2"/>
    <w:rsid w:val="00D526D8"/>
    <w:rsid w:val="00D52E82"/>
    <w:rsid w:val="00D60669"/>
    <w:rsid w:val="00D63B8C"/>
    <w:rsid w:val="00D6426B"/>
    <w:rsid w:val="00D646EB"/>
    <w:rsid w:val="00D65B0B"/>
    <w:rsid w:val="00D65BDC"/>
    <w:rsid w:val="00D712FD"/>
    <w:rsid w:val="00D72CB6"/>
    <w:rsid w:val="00D739CC"/>
    <w:rsid w:val="00D75386"/>
    <w:rsid w:val="00D8093D"/>
    <w:rsid w:val="00D8108C"/>
    <w:rsid w:val="00D83AE8"/>
    <w:rsid w:val="00D83B7B"/>
    <w:rsid w:val="00D842AE"/>
    <w:rsid w:val="00D87313"/>
    <w:rsid w:val="00D9211C"/>
    <w:rsid w:val="00D92DE0"/>
    <w:rsid w:val="00D92FEF"/>
    <w:rsid w:val="00D93A0F"/>
    <w:rsid w:val="00D9403E"/>
    <w:rsid w:val="00D94380"/>
    <w:rsid w:val="00D948D5"/>
    <w:rsid w:val="00D96B62"/>
    <w:rsid w:val="00DA1BCA"/>
    <w:rsid w:val="00DA3FFA"/>
    <w:rsid w:val="00DA65F0"/>
    <w:rsid w:val="00DA7299"/>
    <w:rsid w:val="00DB06A6"/>
    <w:rsid w:val="00DB1516"/>
    <w:rsid w:val="00DB20CC"/>
    <w:rsid w:val="00DB36B7"/>
    <w:rsid w:val="00DB3E23"/>
    <w:rsid w:val="00DB47A7"/>
    <w:rsid w:val="00DB6CC6"/>
    <w:rsid w:val="00DB7744"/>
    <w:rsid w:val="00DB7CF7"/>
    <w:rsid w:val="00DC0C12"/>
    <w:rsid w:val="00DC2793"/>
    <w:rsid w:val="00DC46FF"/>
    <w:rsid w:val="00DC5254"/>
    <w:rsid w:val="00DC65FD"/>
    <w:rsid w:val="00DC66F6"/>
    <w:rsid w:val="00DC7C4D"/>
    <w:rsid w:val="00DD1A4F"/>
    <w:rsid w:val="00DD2CBA"/>
    <w:rsid w:val="00DD2F5D"/>
    <w:rsid w:val="00DD3107"/>
    <w:rsid w:val="00DD5EFF"/>
    <w:rsid w:val="00DD7C2C"/>
    <w:rsid w:val="00DE02FE"/>
    <w:rsid w:val="00DE3960"/>
    <w:rsid w:val="00DE6B56"/>
    <w:rsid w:val="00DE6E55"/>
    <w:rsid w:val="00DF36B5"/>
    <w:rsid w:val="00DF5660"/>
    <w:rsid w:val="00DF726A"/>
    <w:rsid w:val="00DF7F7E"/>
    <w:rsid w:val="00E002D1"/>
    <w:rsid w:val="00E02922"/>
    <w:rsid w:val="00E0574F"/>
    <w:rsid w:val="00E06797"/>
    <w:rsid w:val="00E0746B"/>
    <w:rsid w:val="00E10337"/>
    <w:rsid w:val="00E122BC"/>
    <w:rsid w:val="00E1265B"/>
    <w:rsid w:val="00E13B48"/>
    <w:rsid w:val="00E1404F"/>
    <w:rsid w:val="00E142BB"/>
    <w:rsid w:val="00E148F6"/>
    <w:rsid w:val="00E163F8"/>
    <w:rsid w:val="00E17E04"/>
    <w:rsid w:val="00E212EF"/>
    <w:rsid w:val="00E21C83"/>
    <w:rsid w:val="00E23C9E"/>
    <w:rsid w:val="00E24354"/>
    <w:rsid w:val="00E24ADA"/>
    <w:rsid w:val="00E256F6"/>
    <w:rsid w:val="00E267AA"/>
    <w:rsid w:val="00E32F59"/>
    <w:rsid w:val="00E35A86"/>
    <w:rsid w:val="00E36E6E"/>
    <w:rsid w:val="00E37F15"/>
    <w:rsid w:val="00E409D0"/>
    <w:rsid w:val="00E427C7"/>
    <w:rsid w:val="00E429DF"/>
    <w:rsid w:val="00E440CD"/>
    <w:rsid w:val="00E46D9A"/>
    <w:rsid w:val="00E509D1"/>
    <w:rsid w:val="00E54692"/>
    <w:rsid w:val="00E565FF"/>
    <w:rsid w:val="00E56B38"/>
    <w:rsid w:val="00E600D6"/>
    <w:rsid w:val="00E60F13"/>
    <w:rsid w:val="00E63C75"/>
    <w:rsid w:val="00E63EFC"/>
    <w:rsid w:val="00E65388"/>
    <w:rsid w:val="00E67833"/>
    <w:rsid w:val="00E7356F"/>
    <w:rsid w:val="00E74432"/>
    <w:rsid w:val="00E74645"/>
    <w:rsid w:val="00E74ACB"/>
    <w:rsid w:val="00E75DDD"/>
    <w:rsid w:val="00E77CE3"/>
    <w:rsid w:val="00E80ACB"/>
    <w:rsid w:val="00E80D34"/>
    <w:rsid w:val="00E85B7D"/>
    <w:rsid w:val="00E85E36"/>
    <w:rsid w:val="00E87A66"/>
    <w:rsid w:val="00E90B90"/>
    <w:rsid w:val="00E9121B"/>
    <w:rsid w:val="00E91CE6"/>
    <w:rsid w:val="00E94A1E"/>
    <w:rsid w:val="00E94B48"/>
    <w:rsid w:val="00E96614"/>
    <w:rsid w:val="00EA063E"/>
    <w:rsid w:val="00EA0AE2"/>
    <w:rsid w:val="00EA18A0"/>
    <w:rsid w:val="00EA292F"/>
    <w:rsid w:val="00EA2E66"/>
    <w:rsid w:val="00EA39E5"/>
    <w:rsid w:val="00EA759A"/>
    <w:rsid w:val="00EA7D7D"/>
    <w:rsid w:val="00EB2CFD"/>
    <w:rsid w:val="00EB3106"/>
    <w:rsid w:val="00EB3816"/>
    <w:rsid w:val="00EB3AF3"/>
    <w:rsid w:val="00EB457E"/>
    <w:rsid w:val="00EC5A46"/>
    <w:rsid w:val="00EC63E2"/>
    <w:rsid w:val="00ED0087"/>
    <w:rsid w:val="00ED1BFA"/>
    <w:rsid w:val="00ED1F3E"/>
    <w:rsid w:val="00ED3A5D"/>
    <w:rsid w:val="00ED798A"/>
    <w:rsid w:val="00EE085B"/>
    <w:rsid w:val="00EE110E"/>
    <w:rsid w:val="00EE1BA8"/>
    <w:rsid w:val="00EE1E98"/>
    <w:rsid w:val="00EE33DB"/>
    <w:rsid w:val="00EE397B"/>
    <w:rsid w:val="00EE4483"/>
    <w:rsid w:val="00EE48F5"/>
    <w:rsid w:val="00EE5261"/>
    <w:rsid w:val="00EF165E"/>
    <w:rsid w:val="00EF22B3"/>
    <w:rsid w:val="00EF3E79"/>
    <w:rsid w:val="00EF469A"/>
    <w:rsid w:val="00EF4F93"/>
    <w:rsid w:val="00EF7D62"/>
    <w:rsid w:val="00F00C18"/>
    <w:rsid w:val="00F00C30"/>
    <w:rsid w:val="00F03B69"/>
    <w:rsid w:val="00F07A50"/>
    <w:rsid w:val="00F113DA"/>
    <w:rsid w:val="00F1389E"/>
    <w:rsid w:val="00F1612A"/>
    <w:rsid w:val="00F173F0"/>
    <w:rsid w:val="00F175E9"/>
    <w:rsid w:val="00F223F4"/>
    <w:rsid w:val="00F23184"/>
    <w:rsid w:val="00F25F15"/>
    <w:rsid w:val="00F27F26"/>
    <w:rsid w:val="00F319FC"/>
    <w:rsid w:val="00F32464"/>
    <w:rsid w:val="00F342E4"/>
    <w:rsid w:val="00F3476E"/>
    <w:rsid w:val="00F357F6"/>
    <w:rsid w:val="00F37DC8"/>
    <w:rsid w:val="00F41D86"/>
    <w:rsid w:val="00F42D97"/>
    <w:rsid w:val="00F439B3"/>
    <w:rsid w:val="00F44E2B"/>
    <w:rsid w:val="00F45AA8"/>
    <w:rsid w:val="00F46B0F"/>
    <w:rsid w:val="00F47359"/>
    <w:rsid w:val="00F502DD"/>
    <w:rsid w:val="00F511D5"/>
    <w:rsid w:val="00F52A1B"/>
    <w:rsid w:val="00F57B4E"/>
    <w:rsid w:val="00F638FC"/>
    <w:rsid w:val="00F650C3"/>
    <w:rsid w:val="00F6567C"/>
    <w:rsid w:val="00F65D85"/>
    <w:rsid w:val="00F7203C"/>
    <w:rsid w:val="00F75453"/>
    <w:rsid w:val="00F77724"/>
    <w:rsid w:val="00F77884"/>
    <w:rsid w:val="00F8091E"/>
    <w:rsid w:val="00F852E9"/>
    <w:rsid w:val="00F8615C"/>
    <w:rsid w:val="00F90B1F"/>
    <w:rsid w:val="00F92A70"/>
    <w:rsid w:val="00F935EF"/>
    <w:rsid w:val="00F96501"/>
    <w:rsid w:val="00F969E5"/>
    <w:rsid w:val="00F97AEE"/>
    <w:rsid w:val="00F97E54"/>
    <w:rsid w:val="00FA1C95"/>
    <w:rsid w:val="00FA554D"/>
    <w:rsid w:val="00FA6BB0"/>
    <w:rsid w:val="00FA6C49"/>
    <w:rsid w:val="00FA6D98"/>
    <w:rsid w:val="00FB1DFB"/>
    <w:rsid w:val="00FB70DB"/>
    <w:rsid w:val="00FC0793"/>
    <w:rsid w:val="00FC2B55"/>
    <w:rsid w:val="00FD18A9"/>
    <w:rsid w:val="00FD2D77"/>
    <w:rsid w:val="00FD4E71"/>
    <w:rsid w:val="00FD5037"/>
    <w:rsid w:val="00FD5860"/>
    <w:rsid w:val="00FD7FC9"/>
    <w:rsid w:val="00FE163B"/>
    <w:rsid w:val="00FE352D"/>
    <w:rsid w:val="00FE40EB"/>
    <w:rsid w:val="00FE4D02"/>
    <w:rsid w:val="00FE51C9"/>
    <w:rsid w:val="00FE5659"/>
    <w:rsid w:val="00FE7B2F"/>
    <w:rsid w:val="00FE7D62"/>
    <w:rsid w:val="00FF3819"/>
    <w:rsid w:val="00FF599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4211"/>
  <w15:chartTrackingRefBased/>
  <w15:docId w15:val="{520E54CC-99A5-435B-A557-A6E5601C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5126CB"/>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5126CB"/>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5126CB"/>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5126CB"/>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5126CB"/>
    <w:pPr>
      <w:numPr>
        <w:numId w:val="27"/>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5126CB"/>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5126CB"/>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5126CB"/>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5126CB"/>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5126CB"/>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5126CB"/>
    <w:rPr>
      <w:rFonts w:ascii="Times New Roman" w:hAnsi="Times New Roman"/>
      <w:b/>
      <w:sz w:val="18"/>
      <w:lang w:val="fr-FR"/>
    </w:rPr>
  </w:style>
  <w:style w:type="table" w:customStyle="1" w:styleId="Tabledocright">
    <w:name w:val="Table_doc_right"/>
    <w:basedOn w:val="TableNormal"/>
    <w:rsid w:val="005126CB"/>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5126CB"/>
    <w:pPr>
      <w:ind w:left="1000"/>
    </w:pPr>
    <w:rPr>
      <w:sz w:val="18"/>
      <w:szCs w:val="18"/>
    </w:rPr>
  </w:style>
  <w:style w:type="paragraph" w:styleId="TOC7">
    <w:name w:val="toc 7"/>
    <w:basedOn w:val="Normal"/>
    <w:next w:val="Normal"/>
    <w:autoRedefine/>
    <w:semiHidden/>
    <w:rsid w:val="005126CB"/>
    <w:pPr>
      <w:ind w:left="1200"/>
    </w:pPr>
    <w:rPr>
      <w:sz w:val="18"/>
      <w:szCs w:val="18"/>
    </w:rPr>
  </w:style>
  <w:style w:type="paragraph" w:styleId="TOC8">
    <w:name w:val="toc 8"/>
    <w:basedOn w:val="Normal"/>
    <w:next w:val="Normal"/>
    <w:autoRedefine/>
    <w:semiHidden/>
    <w:rsid w:val="005126CB"/>
    <w:pPr>
      <w:ind w:left="1400"/>
    </w:pPr>
    <w:rPr>
      <w:sz w:val="18"/>
      <w:szCs w:val="18"/>
    </w:rPr>
  </w:style>
  <w:style w:type="paragraph" w:styleId="TOC9">
    <w:name w:val="toc 9"/>
    <w:basedOn w:val="Normal"/>
    <w:next w:val="Normal"/>
    <w:autoRedefine/>
    <w:semiHidden/>
    <w:rsid w:val="005126CB"/>
    <w:pPr>
      <w:ind w:left="1600"/>
    </w:pPr>
    <w:rPr>
      <w:sz w:val="18"/>
      <w:szCs w:val="18"/>
    </w:rPr>
  </w:style>
  <w:style w:type="paragraph" w:customStyle="1" w:styleId="Titlefigure">
    <w:name w:val="Title_figure"/>
    <w:basedOn w:val="Titletable"/>
    <w:next w:val="NormalNonumber"/>
    <w:rsid w:val="005126CB"/>
    <w:rPr>
      <w:bCs w:val="0"/>
    </w:rPr>
  </w:style>
  <w:style w:type="paragraph" w:styleId="TableofFigures">
    <w:name w:val="table of figures"/>
    <w:basedOn w:val="Normal"/>
    <w:next w:val="Normal"/>
    <w:autoRedefine/>
    <w:semiHidden/>
    <w:rsid w:val="005126CB"/>
    <w:pPr>
      <w:ind w:left="1814" w:hanging="567"/>
    </w:pPr>
  </w:style>
  <w:style w:type="paragraph" w:customStyle="1" w:styleId="CH1">
    <w:name w:val="CH1"/>
    <w:basedOn w:val="Normal-pool"/>
    <w:next w:val="CH2"/>
    <w:link w:val="CH1Char"/>
    <w:qFormat/>
    <w:rsid w:val="005126CB"/>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5126CB"/>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5126CB"/>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5126CB"/>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5126CB"/>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156E2C"/>
    <w:pPr>
      <w:tabs>
        <w:tab w:val="left" w:pos="4321"/>
        <w:tab w:val="right" w:pos="8641"/>
      </w:tabs>
      <w:spacing w:before="60"/>
    </w:pPr>
    <w:rPr>
      <w:b/>
      <w:sz w:val="18"/>
    </w:rPr>
  </w:style>
  <w:style w:type="paragraph" w:customStyle="1" w:styleId="Footer-pool">
    <w:name w:val="Footer-pool"/>
    <w:basedOn w:val="Normal"/>
    <w:next w:val="Normal"/>
    <w:rsid w:val="005126CB"/>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5126CB"/>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fr"/>
    <w:link w:val="CharCharCharCharCarChar"/>
    <w:rsid w:val="005126CB"/>
    <w:rPr>
      <w:rFonts w:eastAsia="Times New Roman"/>
      <w:szCs w:val="18"/>
      <w:vertAlign w:val="superscript"/>
      <w:lang w:val="fr-FR" w:eastAsia="en-US"/>
    </w:rPr>
  </w:style>
  <w:style w:type="table" w:customStyle="1" w:styleId="AATable">
    <w:name w:val="AA_Table"/>
    <w:basedOn w:val="TableNormal"/>
    <w:semiHidden/>
    <w:rsid w:val="00156E2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5126CB"/>
    <w:pPr>
      <w:keepNext/>
      <w:keepLines/>
      <w:suppressAutoHyphens/>
    </w:pPr>
    <w:rPr>
      <w:b/>
    </w:rPr>
  </w:style>
  <w:style w:type="paragraph" w:customStyle="1" w:styleId="AATitle2">
    <w:name w:val="AA_Title2"/>
    <w:basedOn w:val="AATitle"/>
    <w:qFormat/>
    <w:rsid w:val="005126CB"/>
    <w:pPr>
      <w:keepNext w:val="0"/>
      <w:keepLines w:val="0"/>
      <w:spacing w:before="120" w:after="120"/>
    </w:pPr>
  </w:style>
  <w:style w:type="paragraph" w:customStyle="1" w:styleId="BBTitle">
    <w:name w:val="BB_Title"/>
    <w:basedOn w:val="Normal-pool"/>
    <w:link w:val="BBTitleChar"/>
    <w:qFormat/>
    <w:rsid w:val="005126CB"/>
    <w:pPr>
      <w:keepNext/>
      <w:keepLines/>
      <w:suppressAutoHyphens/>
      <w:spacing w:before="320" w:after="240"/>
      <w:ind w:left="1247" w:right="567"/>
    </w:pPr>
    <w:rPr>
      <w:b/>
      <w:sz w:val="28"/>
      <w:szCs w:val="28"/>
    </w:rPr>
  </w:style>
  <w:style w:type="paragraph" w:customStyle="1" w:styleId="CH4">
    <w:name w:val="CH4"/>
    <w:basedOn w:val="Normal-pool"/>
    <w:next w:val="Normalnumber"/>
    <w:rsid w:val="005126CB"/>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5126CB"/>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styleId="Hyperlink">
    <w:name w:val="Hyperlink"/>
    <w:basedOn w:val="DefaultParagraphFont"/>
    <w:uiPriority w:val="99"/>
    <w:rsid w:val="005126CB"/>
    <w:rPr>
      <w:color w:val="0000FF"/>
      <w:u w:val="none"/>
      <w:lang w:val="fr-FR"/>
    </w:rPr>
  </w:style>
  <w:style w:type="numbering" w:customStyle="1" w:styleId="Normallist">
    <w:name w:val="Normal_list"/>
    <w:basedOn w:val="NoList"/>
    <w:rsid w:val="005126CB"/>
    <w:pPr>
      <w:numPr>
        <w:numId w:val="1"/>
      </w:numPr>
    </w:pPr>
  </w:style>
  <w:style w:type="paragraph" w:customStyle="1" w:styleId="NormalNonumber">
    <w:name w:val="Normal_No_number"/>
    <w:basedOn w:val="Normal-pool"/>
    <w:qFormat/>
    <w:rsid w:val="005126CB"/>
    <w:pPr>
      <w:spacing w:after="120"/>
      <w:ind w:left="1247"/>
    </w:pPr>
  </w:style>
  <w:style w:type="paragraph" w:customStyle="1" w:styleId="Normalnumber">
    <w:name w:val="Normal_number"/>
    <w:basedOn w:val="Normal"/>
    <w:link w:val="NormalnumberChar"/>
    <w:qFormat/>
    <w:rsid w:val="005126CB"/>
    <w:pPr>
      <w:numPr>
        <w:numId w:val="24"/>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5126CB"/>
    <w:pPr>
      <w:keepNext/>
      <w:keepLines/>
      <w:suppressAutoHyphens/>
      <w:spacing w:after="60"/>
      <w:ind w:left="1247"/>
    </w:pPr>
    <w:rPr>
      <w:b/>
      <w:bCs/>
    </w:rPr>
  </w:style>
  <w:style w:type="paragraph" w:styleId="TOC1">
    <w:name w:val="toc 1"/>
    <w:basedOn w:val="Normal"/>
    <w:next w:val="Normal"/>
    <w:autoRedefine/>
    <w:uiPriority w:val="39"/>
    <w:unhideWhenUsed/>
    <w:rsid w:val="005126CB"/>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5126CB"/>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5126CB"/>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5126CB"/>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5126CB"/>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5126CB"/>
    <w:rPr>
      <w:b/>
      <w:bCs/>
      <w:sz w:val="28"/>
      <w:szCs w:val="22"/>
    </w:rPr>
  </w:style>
  <w:style w:type="paragraph" w:customStyle="1" w:styleId="ZZAnxtitle">
    <w:name w:val="ZZ_Anx_title"/>
    <w:basedOn w:val="Normal-pool"/>
    <w:rsid w:val="005126CB"/>
    <w:pPr>
      <w:spacing w:before="360" w:after="120"/>
      <w:ind w:left="1247"/>
    </w:pPr>
    <w:rPr>
      <w:b/>
      <w:bCs/>
      <w:sz w:val="28"/>
      <w:szCs w:val="26"/>
    </w:rPr>
  </w:style>
  <w:style w:type="paragraph" w:styleId="NormalWeb">
    <w:name w:val="Normal (Web)"/>
    <w:basedOn w:val="Normal"/>
    <w:uiPriority w:val="99"/>
    <w:semiHidden/>
    <w:unhideWhenUsed/>
    <w:rsid w:val="00156E2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5126CB"/>
    <w:pPr>
      <w:spacing w:before="40" w:after="40"/>
    </w:pPr>
    <w:rPr>
      <w:sz w:val="18"/>
    </w:rPr>
  </w:style>
  <w:style w:type="paragraph" w:customStyle="1" w:styleId="Footnote-Text">
    <w:name w:val="Footnote-Text"/>
    <w:basedOn w:val="Normal-pool"/>
    <w:rsid w:val="005126CB"/>
    <w:pPr>
      <w:spacing w:before="20" w:after="40"/>
      <w:ind w:left="1247"/>
    </w:pPr>
    <w:rPr>
      <w:sz w:val="18"/>
    </w:rPr>
  </w:style>
  <w:style w:type="paragraph" w:customStyle="1" w:styleId="AConvName">
    <w:name w:val="A_ConvName"/>
    <w:basedOn w:val="Normal-pool"/>
    <w:next w:val="Normal-pool"/>
    <w:rsid w:val="005126CB"/>
    <w:pPr>
      <w:tabs>
        <w:tab w:val="clear" w:pos="1247"/>
      </w:tabs>
      <w:spacing w:before="120" w:after="240"/>
    </w:pPr>
    <w:rPr>
      <w:rFonts w:ascii="Arial" w:hAnsi="Arial"/>
      <w:b/>
      <w:sz w:val="28"/>
    </w:rPr>
  </w:style>
  <w:style w:type="paragraph" w:customStyle="1" w:styleId="ASymbol">
    <w:name w:val="A_Symbol"/>
    <w:basedOn w:val="Normal-pool"/>
    <w:rsid w:val="005126CB"/>
    <w:pPr>
      <w:tabs>
        <w:tab w:val="clear" w:pos="1247"/>
      </w:tabs>
    </w:pPr>
  </w:style>
  <w:style w:type="paragraph" w:customStyle="1" w:styleId="AText">
    <w:name w:val="A_Text"/>
    <w:basedOn w:val="Normal-pool"/>
    <w:rsid w:val="005126CB"/>
    <w:pPr>
      <w:spacing w:before="120"/>
    </w:pPr>
  </w:style>
  <w:style w:type="paragraph" w:customStyle="1" w:styleId="ATwoLetters">
    <w:name w:val="A_TwoLetters"/>
    <w:basedOn w:val="Normal-pool"/>
    <w:next w:val="Normal-pool"/>
    <w:rsid w:val="005126CB"/>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5126CB"/>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156E2C"/>
    <w:rPr>
      <w:rFonts w:ascii="Tahoma" w:hAnsi="Tahoma" w:cs="Tahoma"/>
      <w:sz w:val="16"/>
      <w:szCs w:val="16"/>
    </w:rPr>
  </w:style>
  <w:style w:type="character" w:customStyle="1" w:styleId="BalloonTextChar">
    <w:name w:val="Balloon Text Char"/>
    <w:basedOn w:val="DefaultParagraphFont"/>
    <w:link w:val="BalloonText"/>
    <w:rsid w:val="00156E2C"/>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5126CB"/>
    <w:rPr>
      <w:sz w:val="16"/>
      <w:szCs w:val="16"/>
      <w:lang w:val="fr-FR"/>
    </w:rPr>
  </w:style>
  <w:style w:type="paragraph" w:styleId="CommentText">
    <w:name w:val="annotation text"/>
    <w:basedOn w:val="Normal"/>
    <w:link w:val="CommentTextChar"/>
    <w:unhideWhenUsed/>
    <w:rsid w:val="005126CB"/>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5126CB"/>
    <w:rPr>
      <w:rFonts w:eastAsia="Times New Roman"/>
      <w:lang w:val="fr-FR" w:eastAsia="en-US"/>
    </w:rPr>
  </w:style>
  <w:style w:type="paragraph" w:styleId="CommentSubject">
    <w:name w:val="annotation subject"/>
    <w:basedOn w:val="CommentText"/>
    <w:next w:val="CommentText"/>
    <w:link w:val="CommentSubjectChar"/>
    <w:semiHidden/>
    <w:unhideWhenUsed/>
    <w:rsid w:val="005126CB"/>
    <w:rPr>
      <w:b/>
      <w:bCs/>
    </w:rPr>
  </w:style>
  <w:style w:type="character" w:customStyle="1" w:styleId="CommentSubjectChar">
    <w:name w:val="Comment Subject Char"/>
    <w:basedOn w:val="CommentTextChar"/>
    <w:link w:val="CommentSubject"/>
    <w:semiHidden/>
    <w:rsid w:val="005126CB"/>
    <w:rPr>
      <w:rFonts w:eastAsia="Times New Roman"/>
      <w:b/>
      <w:bCs/>
      <w:lang w:val="fr-FR" w:eastAsia="en-US"/>
    </w:rPr>
  </w:style>
  <w:style w:type="character" w:styleId="FollowedHyperlink">
    <w:name w:val="FollowedHyperlink"/>
    <w:uiPriority w:val="99"/>
    <w:semiHidden/>
    <w:rsid w:val="005126CB"/>
    <w:rPr>
      <w:color w:val="0000FF"/>
      <w:u w:val="none"/>
      <w:lang w:val="fr-FR"/>
    </w:rPr>
  </w:style>
  <w:style w:type="character" w:customStyle="1" w:styleId="FooterChar">
    <w:name w:val="Footer Char"/>
    <w:basedOn w:val="DefaultParagraphFont"/>
    <w:link w:val="Footer"/>
    <w:rsid w:val="005126CB"/>
    <w:rPr>
      <w:rFonts w:eastAsia="Times New Roman"/>
      <w:b/>
      <w:sz w:val="18"/>
      <w:lang w:val="fr-FR" w:eastAsia="en-US"/>
    </w:rPr>
  </w:style>
  <w:style w:type="character" w:customStyle="1" w:styleId="HeaderChar">
    <w:name w:val="Header Char"/>
    <w:basedOn w:val="DefaultParagraphFont"/>
    <w:link w:val="Header"/>
    <w:semiHidden/>
    <w:rsid w:val="005126CB"/>
    <w:rPr>
      <w:rFonts w:eastAsia="Times New Roman"/>
      <w:b/>
      <w:sz w:val="18"/>
      <w:lang w:val="fr-FR" w:eastAsia="en-US"/>
    </w:rPr>
  </w:style>
  <w:style w:type="character" w:customStyle="1" w:styleId="Heading1Char">
    <w:name w:val="Heading 1 Char"/>
    <w:basedOn w:val="DefaultParagraphFont"/>
    <w:link w:val="Heading1"/>
    <w:rsid w:val="005126CB"/>
    <w:rPr>
      <w:rFonts w:eastAsia="Times New Roman"/>
      <w:b/>
      <w:sz w:val="28"/>
      <w:szCs w:val="28"/>
      <w:lang w:val="fr-FR"/>
    </w:rPr>
  </w:style>
  <w:style w:type="character" w:customStyle="1" w:styleId="Heading2Char">
    <w:name w:val="Heading 2 Char"/>
    <w:basedOn w:val="DefaultParagraphFont"/>
    <w:link w:val="Heading2"/>
    <w:rsid w:val="005126CB"/>
    <w:rPr>
      <w:rFonts w:eastAsia="Times New Roman"/>
      <w:b/>
      <w:sz w:val="24"/>
      <w:szCs w:val="24"/>
      <w:lang w:val="fr-FR"/>
    </w:rPr>
  </w:style>
  <w:style w:type="character" w:customStyle="1" w:styleId="Heading3Char">
    <w:name w:val="Heading 3 Char"/>
    <w:basedOn w:val="DefaultParagraphFont"/>
    <w:link w:val="Heading3"/>
    <w:rsid w:val="005126CB"/>
    <w:rPr>
      <w:rFonts w:eastAsia="Times New Roman"/>
      <w:b/>
      <w:lang w:val="fr-FR"/>
    </w:rPr>
  </w:style>
  <w:style w:type="character" w:customStyle="1" w:styleId="Heading4Char">
    <w:name w:val="Heading 4 Char"/>
    <w:basedOn w:val="DefaultParagraphFont"/>
    <w:link w:val="Heading4"/>
    <w:rsid w:val="005126CB"/>
    <w:rPr>
      <w:rFonts w:eastAsia="Times New Roman"/>
      <w:b/>
      <w:lang w:val="fr-FR" w:eastAsia="en-US"/>
    </w:rPr>
  </w:style>
  <w:style w:type="character" w:customStyle="1" w:styleId="Heading5Char">
    <w:name w:val="Heading 5 Char"/>
    <w:basedOn w:val="DefaultParagraphFont"/>
    <w:link w:val="Heading5"/>
    <w:rsid w:val="005126CB"/>
    <w:rPr>
      <w:rFonts w:eastAsia="Times New Roman"/>
      <w:b/>
      <w:lang w:val="fr-FR"/>
    </w:rPr>
  </w:style>
  <w:style w:type="character" w:customStyle="1" w:styleId="Heading6Char">
    <w:name w:val="Heading 6 Char"/>
    <w:basedOn w:val="DefaultParagraphFont"/>
    <w:link w:val="Heading6"/>
    <w:rsid w:val="005126CB"/>
    <w:rPr>
      <w:rFonts w:eastAsia="Times New Roman"/>
      <w:bCs/>
      <w:sz w:val="24"/>
      <w:lang w:val="fr-FR"/>
    </w:rPr>
  </w:style>
  <w:style w:type="character" w:customStyle="1" w:styleId="Heading7Char">
    <w:name w:val="Heading 7 Char"/>
    <w:basedOn w:val="DefaultParagraphFont"/>
    <w:link w:val="Heading7"/>
    <w:rsid w:val="005126CB"/>
    <w:rPr>
      <w:rFonts w:eastAsia="Times New Roman"/>
      <w:b/>
      <w:snapToGrid w:val="0"/>
      <w:u w:val="single"/>
      <w:lang w:val="fr-FR"/>
    </w:rPr>
  </w:style>
  <w:style w:type="character" w:customStyle="1" w:styleId="Heading8Char">
    <w:name w:val="Heading 8 Char"/>
    <w:basedOn w:val="DefaultParagraphFont"/>
    <w:link w:val="Heading8"/>
    <w:rsid w:val="005126CB"/>
    <w:rPr>
      <w:rFonts w:eastAsia="Times New Roman"/>
      <w:b/>
      <w:snapToGrid w:val="0"/>
      <w:u w:val="single"/>
      <w:lang w:val="fr-FR"/>
    </w:rPr>
  </w:style>
  <w:style w:type="character" w:customStyle="1" w:styleId="Heading9Char">
    <w:name w:val="Heading 9 Char"/>
    <w:basedOn w:val="DefaultParagraphFont"/>
    <w:link w:val="Heading9"/>
    <w:rsid w:val="005126CB"/>
    <w:rPr>
      <w:rFonts w:eastAsia="Times New Roman"/>
      <w:snapToGrid w:val="0"/>
      <w:u w:val="single"/>
      <w:lang w:val="fr-FR" w:eastAsia="en-US"/>
    </w:rPr>
  </w:style>
  <w:style w:type="paragraph" w:styleId="ListParagraph">
    <w:name w:val="List Paragraph"/>
    <w:basedOn w:val="Normal"/>
    <w:uiPriority w:val="34"/>
    <w:semiHidden/>
    <w:qFormat/>
    <w:rsid w:val="00156E2C"/>
    <w:pPr>
      <w:ind w:left="720"/>
      <w:contextualSpacing/>
    </w:pPr>
  </w:style>
  <w:style w:type="paragraph" w:styleId="NoSpacing">
    <w:name w:val="No Spacing"/>
    <w:uiPriority w:val="1"/>
    <w:semiHidden/>
    <w:qFormat/>
    <w:rsid w:val="00156E2C"/>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5126CB"/>
    <w:rPr>
      <w:rFonts w:eastAsia="Times New Roman"/>
      <w:lang w:eastAsia="en-US"/>
    </w:rPr>
  </w:style>
  <w:style w:type="character" w:styleId="PlaceholderText">
    <w:name w:val="Placeholder Text"/>
    <w:basedOn w:val="DefaultParagraphFont"/>
    <w:uiPriority w:val="99"/>
    <w:semiHidden/>
    <w:rsid w:val="00156E2C"/>
    <w:rPr>
      <w:color w:val="808080"/>
      <w:lang w:val="fr-FR"/>
    </w:rPr>
  </w:style>
  <w:style w:type="table" w:styleId="TableGrid">
    <w:name w:val="Table Grid"/>
    <w:basedOn w:val="TableNormal"/>
    <w:rsid w:val="0015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5126CB"/>
    <w:pPr>
      <w:spacing w:before="120" w:after="240"/>
    </w:pPr>
    <w:rPr>
      <w:rFonts w:eastAsia="Times New Roman"/>
    </w:rPr>
  </w:style>
  <w:style w:type="character" w:customStyle="1" w:styleId="ALogoChar">
    <w:name w:val="A_Logo Char"/>
    <w:basedOn w:val="DefaultParagraphFont"/>
    <w:link w:val="ALogo"/>
    <w:rsid w:val="005126CB"/>
    <w:rPr>
      <w:rFonts w:eastAsia="Times New Roman"/>
      <w:lang w:val="fr-FR"/>
    </w:rPr>
  </w:style>
  <w:style w:type="paragraph" w:customStyle="1" w:styleId="ASpacer">
    <w:name w:val="A_Spacer"/>
    <w:basedOn w:val="Normal-pool"/>
    <w:link w:val="ASpacerChar"/>
    <w:qFormat/>
    <w:rsid w:val="005126CB"/>
    <w:rPr>
      <w:rFonts w:eastAsia="Times New Roman"/>
      <w:sz w:val="2"/>
    </w:rPr>
  </w:style>
  <w:style w:type="character" w:customStyle="1" w:styleId="ASpacerChar">
    <w:name w:val="A_Spacer Char"/>
    <w:basedOn w:val="DefaultParagraphFont"/>
    <w:link w:val="ASpacer"/>
    <w:rsid w:val="005126CB"/>
    <w:rPr>
      <w:rFonts w:eastAsia="Times New Roman"/>
      <w:sz w:val="2"/>
      <w:lang w:val="fr-FR"/>
    </w:rPr>
  </w:style>
  <w:style w:type="paragraph" w:customStyle="1" w:styleId="AATitle1">
    <w:name w:val="AA_Title1"/>
    <w:basedOn w:val="Normal-pool"/>
    <w:qFormat/>
    <w:rsid w:val="005126CB"/>
  </w:style>
  <w:style w:type="character" w:styleId="UnresolvedMention">
    <w:name w:val="Unresolved Mention"/>
    <w:basedOn w:val="DefaultParagraphFont"/>
    <w:uiPriority w:val="99"/>
    <w:semiHidden/>
    <w:rsid w:val="00156E2C"/>
    <w:rPr>
      <w:color w:val="605E5C"/>
      <w:shd w:val="clear" w:color="auto" w:fill="E1DFDD"/>
      <w:lang w:val="fr-FR"/>
    </w:rPr>
  </w:style>
  <w:style w:type="paragraph" w:customStyle="1" w:styleId="ANormal">
    <w:name w:val="A_Normal"/>
    <w:basedOn w:val="Normal-pool"/>
    <w:qFormat/>
    <w:rsid w:val="005126CB"/>
    <w:rPr>
      <w:rFonts w:eastAsia="Times New Roman"/>
    </w:rPr>
  </w:style>
  <w:style w:type="paragraph" w:customStyle="1" w:styleId="AText0">
    <w:name w:val="A_Text0"/>
    <w:basedOn w:val="AText"/>
    <w:next w:val="Normal-pool"/>
    <w:qFormat/>
    <w:rsid w:val="005126CB"/>
    <w:pPr>
      <w:spacing w:before="0" w:after="120"/>
    </w:pPr>
    <w:rPr>
      <w:rFonts w:eastAsia="Times New Roman"/>
    </w:rPr>
  </w:style>
  <w:style w:type="paragraph" w:styleId="Footer">
    <w:name w:val="footer"/>
    <w:basedOn w:val="Normal"/>
    <w:link w:val="FooterChar"/>
    <w:unhideWhenUsed/>
    <w:rsid w:val="005126CB"/>
    <w:pPr>
      <w:tabs>
        <w:tab w:val="right" w:pos="8641"/>
      </w:tabs>
      <w:spacing w:after="120"/>
    </w:pPr>
    <w:rPr>
      <w:b/>
      <w:sz w:val="18"/>
    </w:rPr>
  </w:style>
  <w:style w:type="character" w:customStyle="1" w:styleId="FooterChar1">
    <w:name w:val="Footer Char1"/>
    <w:basedOn w:val="DefaultParagraphFont"/>
    <w:rsid w:val="00156E2C"/>
    <w:rPr>
      <w:rFonts w:eastAsia="Times New Roman"/>
      <w:b/>
      <w:sz w:val="18"/>
      <w:lang w:val="fr-FR" w:eastAsia="en-US"/>
    </w:rPr>
  </w:style>
  <w:style w:type="paragraph" w:customStyle="1" w:styleId="Normal-pool">
    <w:name w:val="Normal-pool"/>
    <w:qFormat/>
    <w:rsid w:val="005126CB"/>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5126CB"/>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5126CB"/>
    <w:pPr>
      <w:spacing w:before="60"/>
    </w:pPr>
    <w:rPr>
      <w:sz w:val="18"/>
    </w:rPr>
  </w:style>
  <w:style w:type="paragraph" w:styleId="Bibliography">
    <w:name w:val="Bibliography"/>
    <w:basedOn w:val="Normal"/>
    <w:next w:val="Normal"/>
    <w:uiPriority w:val="37"/>
    <w:semiHidden/>
    <w:rsid w:val="00156E2C"/>
  </w:style>
  <w:style w:type="paragraph" w:styleId="BlockText">
    <w:name w:val="Block Text"/>
    <w:basedOn w:val="Normal"/>
    <w:semiHidden/>
    <w:unhideWhenUsed/>
    <w:rsid w:val="00156E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56E2C"/>
    <w:pPr>
      <w:spacing w:after="120"/>
    </w:pPr>
  </w:style>
  <w:style w:type="character" w:customStyle="1" w:styleId="BodyTextChar">
    <w:name w:val="Body Text Char"/>
    <w:basedOn w:val="DefaultParagraphFont"/>
    <w:link w:val="BodyText"/>
    <w:semiHidden/>
    <w:rsid w:val="00156E2C"/>
    <w:rPr>
      <w:rFonts w:eastAsia="Times New Roman"/>
      <w:lang w:val="fr-FR" w:eastAsia="en-US"/>
    </w:rPr>
  </w:style>
  <w:style w:type="paragraph" w:styleId="BodyText2">
    <w:name w:val="Body Text 2"/>
    <w:basedOn w:val="Normal"/>
    <w:link w:val="BodyText2Char"/>
    <w:semiHidden/>
    <w:unhideWhenUsed/>
    <w:rsid w:val="00156E2C"/>
    <w:pPr>
      <w:spacing w:after="120" w:line="480" w:lineRule="auto"/>
    </w:pPr>
  </w:style>
  <w:style w:type="character" w:customStyle="1" w:styleId="BodyText2Char">
    <w:name w:val="Body Text 2 Char"/>
    <w:basedOn w:val="DefaultParagraphFont"/>
    <w:link w:val="BodyText2"/>
    <w:semiHidden/>
    <w:rsid w:val="00156E2C"/>
    <w:rPr>
      <w:rFonts w:eastAsia="Times New Roman"/>
      <w:lang w:val="fr-FR" w:eastAsia="en-US"/>
    </w:rPr>
  </w:style>
  <w:style w:type="paragraph" w:styleId="BodyText3">
    <w:name w:val="Body Text 3"/>
    <w:basedOn w:val="Normal"/>
    <w:link w:val="BodyText3Char"/>
    <w:semiHidden/>
    <w:unhideWhenUsed/>
    <w:rsid w:val="00156E2C"/>
    <w:pPr>
      <w:spacing w:after="120"/>
    </w:pPr>
    <w:rPr>
      <w:sz w:val="16"/>
      <w:szCs w:val="16"/>
    </w:rPr>
  </w:style>
  <w:style w:type="character" w:customStyle="1" w:styleId="BodyText3Char">
    <w:name w:val="Body Text 3 Char"/>
    <w:basedOn w:val="DefaultParagraphFont"/>
    <w:link w:val="BodyText3"/>
    <w:semiHidden/>
    <w:rsid w:val="00156E2C"/>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156E2C"/>
    <w:pPr>
      <w:spacing w:after="0"/>
      <w:ind w:firstLine="360"/>
    </w:pPr>
  </w:style>
  <w:style w:type="character" w:customStyle="1" w:styleId="BodyTextFirstIndentChar">
    <w:name w:val="Body Text First Indent Char"/>
    <w:basedOn w:val="BodyTextChar"/>
    <w:link w:val="BodyTextFirstIndent"/>
    <w:semiHidden/>
    <w:rsid w:val="00156E2C"/>
    <w:rPr>
      <w:rFonts w:eastAsia="Times New Roman"/>
      <w:lang w:val="fr-FR" w:eastAsia="en-US"/>
    </w:rPr>
  </w:style>
  <w:style w:type="paragraph" w:styleId="BodyTextIndent">
    <w:name w:val="Body Text Indent"/>
    <w:basedOn w:val="Normal"/>
    <w:link w:val="BodyTextIndentChar"/>
    <w:semiHidden/>
    <w:unhideWhenUsed/>
    <w:rsid w:val="00156E2C"/>
    <w:pPr>
      <w:spacing w:after="120"/>
      <w:ind w:left="283"/>
    </w:pPr>
  </w:style>
  <w:style w:type="character" w:customStyle="1" w:styleId="BodyTextIndentChar">
    <w:name w:val="Body Text Indent Char"/>
    <w:basedOn w:val="DefaultParagraphFont"/>
    <w:link w:val="BodyTextIndent"/>
    <w:semiHidden/>
    <w:rsid w:val="00156E2C"/>
    <w:rPr>
      <w:rFonts w:eastAsia="Times New Roman"/>
      <w:lang w:val="fr-FR" w:eastAsia="en-US"/>
    </w:rPr>
  </w:style>
  <w:style w:type="paragraph" w:styleId="BodyTextFirstIndent2">
    <w:name w:val="Body Text First Indent 2"/>
    <w:basedOn w:val="BodyTextIndent"/>
    <w:link w:val="BodyTextFirstIndent2Char"/>
    <w:semiHidden/>
    <w:unhideWhenUsed/>
    <w:rsid w:val="00156E2C"/>
    <w:pPr>
      <w:spacing w:after="0"/>
      <w:ind w:left="360" w:firstLine="360"/>
    </w:pPr>
  </w:style>
  <w:style w:type="character" w:customStyle="1" w:styleId="BodyTextFirstIndent2Char">
    <w:name w:val="Body Text First Indent 2 Char"/>
    <w:basedOn w:val="BodyTextIndentChar"/>
    <w:link w:val="BodyTextFirstIndent2"/>
    <w:semiHidden/>
    <w:rsid w:val="00156E2C"/>
    <w:rPr>
      <w:rFonts w:eastAsia="Times New Roman"/>
      <w:lang w:val="fr-FR" w:eastAsia="en-US"/>
    </w:rPr>
  </w:style>
  <w:style w:type="paragraph" w:styleId="BodyTextIndent2">
    <w:name w:val="Body Text Indent 2"/>
    <w:basedOn w:val="Normal"/>
    <w:link w:val="BodyTextIndent2Char"/>
    <w:semiHidden/>
    <w:unhideWhenUsed/>
    <w:rsid w:val="00156E2C"/>
    <w:pPr>
      <w:spacing w:after="120" w:line="480" w:lineRule="auto"/>
      <w:ind w:left="283"/>
    </w:pPr>
  </w:style>
  <w:style w:type="character" w:customStyle="1" w:styleId="BodyTextIndent2Char">
    <w:name w:val="Body Text Indent 2 Char"/>
    <w:basedOn w:val="DefaultParagraphFont"/>
    <w:link w:val="BodyTextIndent2"/>
    <w:semiHidden/>
    <w:rsid w:val="00156E2C"/>
    <w:rPr>
      <w:rFonts w:eastAsia="Times New Roman"/>
      <w:lang w:val="fr-FR" w:eastAsia="en-US"/>
    </w:rPr>
  </w:style>
  <w:style w:type="paragraph" w:styleId="BodyTextIndent3">
    <w:name w:val="Body Text Indent 3"/>
    <w:basedOn w:val="Normal"/>
    <w:link w:val="BodyTextIndent3Char"/>
    <w:semiHidden/>
    <w:unhideWhenUsed/>
    <w:rsid w:val="00156E2C"/>
    <w:pPr>
      <w:spacing w:after="120"/>
      <w:ind w:left="283"/>
    </w:pPr>
    <w:rPr>
      <w:sz w:val="16"/>
      <w:szCs w:val="16"/>
    </w:rPr>
  </w:style>
  <w:style w:type="character" w:customStyle="1" w:styleId="BodyTextIndent3Char">
    <w:name w:val="Body Text Indent 3 Char"/>
    <w:basedOn w:val="DefaultParagraphFont"/>
    <w:link w:val="BodyTextIndent3"/>
    <w:semiHidden/>
    <w:rsid w:val="00156E2C"/>
    <w:rPr>
      <w:rFonts w:eastAsia="Times New Roman"/>
      <w:sz w:val="16"/>
      <w:szCs w:val="16"/>
      <w:lang w:val="fr-FR" w:eastAsia="en-US"/>
    </w:rPr>
  </w:style>
  <w:style w:type="character" w:styleId="BookTitle">
    <w:name w:val="Book Title"/>
    <w:basedOn w:val="DefaultParagraphFont"/>
    <w:uiPriority w:val="33"/>
    <w:semiHidden/>
    <w:qFormat/>
    <w:rsid w:val="00156E2C"/>
    <w:rPr>
      <w:b/>
      <w:bCs/>
      <w:i/>
      <w:iCs/>
      <w:spacing w:val="5"/>
      <w:lang w:val="fr-FR"/>
    </w:rPr>
  </w:style>
  <w:style w:type="paragraph" w:styleId="Caption">
    <w:name w:val="caption"/>
    <w:basedOn w:val="Normal"/>
    <w:next w:val="Normal"/>
    <w:semiHidden/>
    <w:unhideWhenUsed/>
    <w:qFormat/>
    <w:rsid w:val="00156E2C"/>
    <w:pPr>
      <w:spacing w:after="200"/>
    </w:pPr>
    <w:rPr>
      <w:i/>
      <w:iCs/>
      <w:color w:val="1F497D" w:themeColor="text2"/>
      <w:sz w:val="18"/>
      <w:szCs w:val="18"/>
    </w:rPr>
  </w:style>
  <w:style w:type="paragraph" w:styleId="Closing">
    <w:name w:val="Closing"/>
    <w:basedOn w:val="Normal"/>
    <w:link w:val="ClosingChar"/>
    <w:semiHidden/>
    <w:unhideWhenUsed/>
    <w:rsid w:val="00156E2C"/>
    <w:pPr>
      <w:ind w:left="4252"/>
    </w:pPr>
  </w:style>
  <w:style w:type="character" w:customStyle="1" w:styleId="ClosingChar">
    <w:name w:val="Closing Char"/>
    <w:basedOn w:val="DefaultParagraphFont"/>
    <w:link w:val="Closing"/>
    <w:semiHidden/>
    <w:rsid w:val="00156E2C"/>
    <w:rPr>
      <w:rFonts w:eastAsia="Times New Roman"/>
      <w:lang w:val="fr-FR" w:eastAsia="en-US"/>
    </w:rPr>
  </w:style>
  <w:style w:type="table" w:styleId="ColorfulGrid">
    <w:name w:val="Colorful Grid"/>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56E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6E2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56E2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56E2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56E2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56E2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56E2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6E2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56E2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6E2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56E2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56E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6E2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56E2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56E2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56E2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56E2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56E2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56E2C"/>
  </w:style>
  <w:style w:type="character" w:customStyle="1" w:styleId="DateChar">
    <w:name w:val="Date Char"/>
    <w:basedOn w:val="DefaultParagraphFont"/>
    <w:link w:val="Date"/>
    <w:semiHidden/>
    <w:rsid w:val="00156E2C"/>
    <w:rPr>
      <w:rFonts w:eastAsia="Times New Roman"/>
      <w:lang w:val="fr-FR" w:eastAsia="en-US"/>
    </w:rPr>
  </w:style>
  <w:style w:type="paragraph" w:styleId="DocumentMap">
    <w:name w:val="Document Map"/>
    <w:basedOn w:val="Normal"/>
    <w:link w:val="DocumentMapChar"/>
    <w:semiHidden/>
    <w:unhideWhenUsed/>
    <w:rsid w:val="00156E2C"/>
    <w:rPr>
      <w:rFonts w:ascii="Segoe UI" w:hAnsi="Segoe UI" w:cs="Segoe UI"/>
      <w:sz w:val="16"/>
      <w:szCs w:val="16"/>
    </w:rPr>
  </w:style>
  <w:style w:type="character" w:customStyle="1" w:styleId="DocumentMapChar">
    <w:name w:val="Document Map Char"/>
    <w:basedOn w:val="DefaultParagraphFont"/>
    <w:link w:val="DocumentMap"/>
    <w:semiHidden/>
    <w:rsid w:val="00156E2C"/>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156E2C"/>
  </w:style>
  <w:style w:type="character" w:customStyle="1" w:styleId="E-mailSignatureChar">
    <w:name w:val="E-mail Signature Char"/>
    <w:basedOn w:val="DefaultParagraphFont"/>
    <w:link w:val="E-mailSignature"/>
    <w:semiHidden/>
    <w:rsid w:val="00156E2C"/>
    <w:rPr>
      <w:rFonts w:eastAsia="Times New Roman"/>
      <w:lang w:val="fr-FR" w:eastAsia="en-US"/>
    </w:rPr>
  </w:style>
  <w:style w:type="character" w:styleId="Emphasis">
    <w:name w:val="Emphasis"/>
    <w:basedOn w:val="DefaultParagraphFont"/>
    <w:semiHidden/>
    <w:qFormat/>
    <w:rsid w:val="00156E2C"/>
    <w:rPr>
      <w:i/>
      <w:iCs/>
      <w:lang w:val="fr-FR"/>
    </w:rPr>
  </w:style>
  <w:style w:type="character" w:styleId="EndnoteReference">
    <w:name w:val="endnote reference"/>
    <w:basedOn w:val="DefaultParagraphFont"/>
    <w:semiHidden/>
    <w:unhideWhenUsed/>
    <w:rsid w:val="00156E2C"/>
    <w:rPr>
      <w:vertAlign w:val="superscript"/>
      <w:lang w:val="fr-FR"/>
    </w:rPr>
  </w:style>
  <w:style w:type="paragraph" w:styleId="EndnoteText">
    <w:name w:val="endnote text"/>
    <w:basedOn w:val="Normal"/>
    <w:link w:val="EndnoteTextChar"/>
    <w:semiHidden/>
    <w:unhideWhenUsed/>
    <w:rsid w:val="00156E2C"/>
  </w:style>
  <w:style w:type="character" w:customStyle="1" w:styleId="EndnoteTextChar">
    <w:name w:val="Endnote Text Char"/>
    <w:basedOn w:val="DefaultParagraphFont"/>
    <w:link w:val="EndnoteText"/>
    <w:semiHidden/>
    <w:rsid w:val="00156E2C"/>
    <w:rPr>
      <w:rFonts w:eastAsia="Times New Roman"/>
      <w:lang w:val="fr-FR" w:eastAsia="en-US"/>
    </w:rPr>
  </w:style>
  <w:style w:type="paragraph" w:styleId="EnvelopeAddress">
    <w:name w:val="envelope address"/>
    <w:basedOn w:val="Normal"/>
    <w:semiHidden/>
    <w:unhideWhenUsed/>
    <w:rsid w:val="00156E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56E2C"/>
    <w:rPr>
      <w:rFonts w:asciiTheme="majorHAnsi" w:eastAsiaTheme="majorEastAsia" w:hAnsiTheme="majorHAnsi" w:cstheme="majorBidi"/>
    </w:rPr>
  </w:style>
  <w:style w:type="paragraph" w:styleId="FootnoteText">
    <w:name w:val="footnote text"/>
    <w:basedOn w:val="Normal"/>
    <w:link w:val="FootnoteTextChar"/>
    <w:semiHidden/>
    <w:rsid w:val="005126CB"/>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156E2C"/>
    <w:rPr>
      <w:rFonts w:eastAsia="Times New Roman"/>
      <w:sz w:val="18"/>
      <w:lang w:val="fr-FR" w:eastAsia="en-US"/>
    </w:rPr>
  </w:style>
  <w:style w:type="table" w:styleId="GridTable1Light">
    <w:name w:val="Grid Table 1 Light"/>
    <w:basedOn w:val="TableNormal"/>
    <w:uiPriority w:val="46"/>
    <w:rsid w:val="00156E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6E2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6E2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6E2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6E2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6E2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6E2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6E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6E2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56E2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56E2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56E2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56E2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56E2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56E2C"/>
    <w:rPr>
      <w:color w:val="2B579A"/>
      <w:shd w:val="clear" w:color="auto" w:fill="E1DFDD"/>
      <w:lang w:val="fr-FR"/>
    </w:rPr>
  </w:style>
  <w:style w:type="character" w:styleId="HTMLAcronym">
    <w:name w:val="HTML Acronym"/>
    <w:basedOn w:val="DefaultParagraphFont"/>
    <w:semiHidden/>
    <w:unhideWhenUsed/>
    <w:rsid w:val="00156E2C"/>
    <w:rPr>
      <w:lang w:val="fr-FR"/>
    </w:rPr>
  </w:style>
  <w:style w:type="paragraph" w:styleId="HTMLAddress">
    <w:name w:val="HTML Address"/>
    <w:basedOn w:val="Normal"/>
    <w:link w:val="HTMLAddressChar"/>
    <w:semiHidden/>
    <w:unhideWhenUsed/>
    <w:rsid w:val="00156E2C"/>
    <w:rPr>
      <w:i/>
      <w:iCs/>
    </w:rPr>
  </w:style>
  <w:style w:type="character" w:customStyle="1" w:styleId="HTMLAddressChar">
    <w:name w:val="HTML Address Char"/>
    <w:basedOn w:val="DefaultParagraphFont"/>
    <w:link w:val="HTMLAddress"/>
    <w:semiHidden/>
    <w:rsid w:val="00156E2C"/>
    <w:rPr>
      <w:rFonts w:eastAsia="Times New Roman"/>
      <w:i/>
      <w:iCs/>
      <w:lang w:val="fr-FR" w:eastAsia="en-US"/>
    </w:rPr>
  </w:style>
  <w:style w:type="character" w:styleId="HTMLCite">
    <w:name w:val="HTML Cite"/>
    <w:basedOn w:val="DefaultParagraphFont"/>
    <w:semiHidden/>
    <w:unhideWhenUsed/>
    <w:rsid w:val="00156E2C"/>
    <w:rPr>
      <w:i/>
      <w:iCs/>
      <w:lang w:val="fr-FR"/>
    </w:rPr>
  </w:style>
  <w:style w:type="character" w:styleId="HTMLCode">
    <w:name w:val="HTML Code"/>
    <w:basedOn w:val="DefaultParagraphFont"/>
    <w:semiHidden/>
    <w:unhideWhenUsed/>
    <w:rsid w:val="00156E2C"/>
    <w:rPr>
      <w:rFonts w:ascii="Consolas" w:hAnsi="Consolas"/>
      <w:sz w:val="20"/>
      <w:szCs w:val="20"/>
      <w:lang w:val="fr-FR"/>
    </w:rPr>
  </w:style>
  <w:style w:type="character" w:styleId="HTMLDefinition">
    <w:name w:val="HTML Definition"/>
    <w:basedOn w:val="DefaultParagraphFont"/>
    <w:semiHidden/>
    <w:unhideWhenUsed/>
    <w:rsid w:val="00156E2C"/>
    <w:rPr>
      <w:i/>
      <w:iCs/>
      <w:lang w:val="fr-FR"/>
    </w:rPr>
  </w:style>
  <w:style w:type="character" w:styleId="HTMLKeyboard">
    <w:name w:val="HTML Keyboard"/>
    <w:basedOn w:val="DefaultParagraphFont"/>
    <w:semiHidden/>
    <w:unhideWhenUsed/>
    <w:rsid w:val="00156E2C"/>
    <w:rPr>
      <w:rFonts w:ascii="Consolas" w:hAnsi="Consolas"/>
      <w:sz w:val="20"/>
      <w:szCs w:val="20"/>
      <w:lang w:val="fr-FR"/>
    </w:rPr>
  </w:style>
  <w:style w:type="paragraph" w:styleId="HTMLPreformatted">
    <w:name w:val="HTML Preformatted"/>
    <w:basedOn w:val="Normal"/>
    <w:link w:val="HTMLPreformattedChar"/>
    <w:semiHidden/>
    <w:unhideWhenUsed/>
    <w:rsid w:val="00156E2C"/>
    <w:rPr>
      <w:rFonts w:ascii="Consolas" w:hAnsi="Consolas"/>
    </w:rPr>
  </w:style>
  <w:style w:type="character" w:customStyle="1" w:styleId="HTMLPreformattedChar">
    <w:name w:val="HTML Preformatted Char"/>
    <w:basedOn w:val="DefaultParagraphFont"/>
    <w:link w:val="HTMLPreformatted"/>
    <w:semiHidden/>
    <w:rsid w:val="00156E2C"/>
    <w:rPr>
      <w:rFonts w:ascii="Consolas" w:eastAsia="Times New Roman" w:hAnsi="Consolas"/>
      <w:lang w:val="fr-FR" w:eastAsia="en-US"/>
    </w:rPr>
  </w:style>
  <w:style w:type="character" w:styleId="HTMLSample">
    <w:name w:val="HTML Sample"/>
    <w:basedOn w:val="DefaultParagraphFont"/>
    <w:semiHidden/>
    <w:unhideWhenUsed/>
    <w:rsid w:val="00156E2C"/>
    <w:rPr>
      <w:rFonts w:ascii="Consolas" w:hAnsi="Consolas"/>
      <w:sz w:val="24"/>
      <w:szCs w:val="24"/>
      <w:lang w:val="fr-FR"/>
    </w:rPr>
  </w:style>
  <w:style w:type="character" w:styleId="HTMLTypewriter">
    <w:name w:val="HTML Typewriter"/>
    <w:basedOn w:val="DefaultParagraphFont"/>
    <w:semiHidden/>
    <w:unhideWhenUsed/>
    <w:rsid w:val="00156E2C"/>
    <w:rPr>
      <w:rFonts w:ascii="Consolas" w:hAnsi="Consolas"/>
      <w:sz w:val="20"/>
      <w:szCs w:val="20"/>
      <w:lang w:val="fr-FR"/>
    </w:rPr>
  </w:style>
  <w:style w:type="character" w:styleId="HTMLVariable">
    <w:name w:val="HTML Variable"/>
    <w:basedOn w:val="DefaultParagraphFont"/>
    <w:semiHidden/>
    <w:unhideWhenUsed/>
    <w:rsid w:val="00156E2C"/>
    <w:rPr>
      <w:i/>
      <w:iCs/>
      <w:lang w:val="fr-FR"/>
    </w:rPr>
  </w:style>
  <w:style w:type="paragraph" w:styleId="Index1">
    <w:name w:val="index 1"/>
    <w:basedOn w:val="Normal"/>
    <w:next w:val="Normal"/>
    <w:autoRedefine/>
    <w:semiHidden/>
    <w:unhideWhenUsed/>
    <w:rsid w:val="00156E2C"/>
    <w:pPr>
      <w:tabs>
        <w:tab w:val="clear" w:pos="1247"/>
      </w:tabs>
      <w:ind w:left="200" w:hanging="200"/>
    </w:pPr>
  </w:style>
  <w:style w:type="paragraph" w:styleId="Index2">
    <w:name w:val="index 2"/>
    <w:basedOn w:val="Normal"/>
    <w:next w:val="Normal"/>
    <w:autoRedefine/>
    <w:semiHidden/>
    <w:unhideWhenUsed/>
    <w:rsid w:val="00156E2C"/>
    <w:pPr>
      <w:tabs>
        <w:tab w:val="clear" w:pos="1247"/>
      </w:tabs>
      <w:ind w:left="400" w:hanging="200"/>
    </w:pPr>
  </w:style>
  <w:style w:type="paragraph" w:styleId="Index3">
    <w:name w:val="index 3"/>
    <w:basedOn w:val="Normal"/>
    <w:next w:val="Normal"/>
    <w:autoRedefine/>
    <w:semiHidden/>
    <w:unhideWhenUsed/>
    <w:rsid w:val="00156E2C"/>
    <w:pPr>
      <w:tabs>
        <w:tab w:val="clear" w:pos="1247"/>
      </w:tabs>
      <w:ind w:left="600" w:hanging="200"/>
    </w:pPr>
  </w:style>
  <w:style w:type="paragraph" w:styleId="Index4">
    <w:name w:val="index 4"/>
    <w:basedOn w:val="Normal"/>
    <w:next w:val="Normal"/>
    <w:autoRedefine/>
    <w:semiHidden/>
    <w:unhideWhenUsed/>
    <w:rsid w:val="00156E2C"/>
    <w:pPr>
      <w:tabs>
        <w:tab w:val="clear" w:pos="1247"/>
      </w:tabs>
      <w:ind w:left="800" w:hanging="200"/>
    </w:pPr>
  </w:style>
  <w:style w:type="paragraph" w:styleId="Index5">
    <w:name w:val="index 5"/>
    <w:basedOn w:val="Normal"/>
    <w:next w:val="Normal"/>
    <w:autoRedefine/>
    <w:semiHidden/>
    <w:unhideWhenUsed/>
    <w:rsid w:val="00156E2C"/>
    <w:pPr>
      <w:tabs>
        <w:tab w:val="clear" w:pos="1247"/>
      </w:tabs>
      <w:ind w:left="1000" w:hanging="200"/>
    </w:pPr>
  </w:style>
  <w:style w:type="paragraph" w:styleId="Index6">
    <w:name w:val="index 6"/>
    <w:basedOn w:val="Normal"/>
    <w:next w:val="Normal"/>
    <w:autoRedefine/>
    <w:semiHidden/>
    <w:unhideWhenUsed/>
    <w:rsid w:val="00156E2C"/>
    <w:pPr>
      <w:tabs>
        <w:tab w:val="clear" w:pos="1247"/>
      </w:tabs>
      <w:ind w:left="1200" w:hanging="200"/>
    </w:pPr>
  </w:style>
  <w:style w:type="paragraph" w:styleId="Index7">
    <w:name w:val="index 7"/>
    <w:basedOn w:val="Normal"/>
    <w:next w:val="Normal"/>
    <w:autoRedefine/>
    <w:semiHidden/>
    <w:unhideWhenUsed/>
    <w:rsid w:val="00156E2C"/>
    <w:pPr>
      <w:tabs>
        <w:tab w:val="clear" w:pos="1247"/>
      </w:tabs>
      <w:ind w:left="1400" w:hanging="200"/>
    </w:pPr>
  </w:style>
  <w:style w:type="paragraph" w:styleId="Index8">
    <w:name w:val="index 8"/>
    <w:basedOn w:val="Normal"/>
    <w:next w:val="Normal"/>
    <w:autoRedefine/>
    <w:semiHidden/>
    <w:unhideWhenUsed/>
    <w:rsid w:val="00156E2C"/>
    <w:pPr>
      <w:tabs>
        <w:tab w:val="clear" w:pos="1247"/>
      </w:tabs>
      <w:ind w:left="1600" w:hanging="200"/>
    </w:pPr>
  </w:style>
  <w:style w:type="paragraph" w:styleId="Index9">
    <w:name w:val="index 9"/>
    <w:basedOn w:val="Normal"/>
    <w:next w:val="Normal"/>
    <w:autoRedefine/>
    <w:semiHidden/>
    <w:unhideWhenUsed/>
    <w:rsid w:val="00156E2C"/>
    <w:pPr>
      <w:tabs>
        <w:tab w:val="clear" w:pos="1247"/>
      </w:tabs>
      <w:ind w:left="1800" w:hanging="200"/>
    </w:pPr>
  </w:style>
  <w:style w:type="paragraph" w:styleId="IndexHeading">
    <w:name w:val="index heading"/>
    <w:basedOn w:val="Normal"/>
    <w:next w:val="Index1"/>
    <w:semiHidden/>
    <w:unhideWhenUsed/>
    <w:rsid w:val="00156E2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56E2C"/>
    <w:rPr>
      <w:i/>
      <w:iCs/>
      <w:color w:val="4F81BD" w:themeColor="accent1"/>
      <w:lang w:val="fr-FR"/>
    </w:rPr>
  </w:style>
  <w:style w:type="paragraph" w:styleId="IntenseQuote">
    <w:name w:val="Intense Quote"/>
    <w:basedOn w:val="Normal"/>
    <w:next w:val="Normal"/>
    <w:link w:val="IntenseQuoteChar"/>
    <w:uiPriority w:val="30"/>
    <w:semiHidden/>
    <w:qFormat/>
    <w:rsid w:val="00156E2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56E2C"/>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156E2C"/>
    <w:rPr>
      <w:b/>
      <w:bCs/>
      <w:smallCaps/>
      <w:color w:val="4F81BD" w:themeColor="accent1"/>
      <w:spacing w:val="5"/>
      <w:lang w:val="fr-FR"/>
    </w:rPr>
  </w:style>
  <w:style w:type="table" w:styleId="LightGrid">
    <w:name w:val="Light Grid"/>
    <w:basedOn w:val="TableNormal"/>
    <w:uiPriority w:val="62"/>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56E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6E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56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56E2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56E2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56E2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56E2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56E2C"/>
    <w:rPr>
      <w:lang w:val="fr-FR"/>
    </w:rPr>
  </w:style>
  <w:style w:type="paragraph" w:styleId="List">
    <w:name w:val="List"/>
    <w:basedOn w:val="Normal"/>
    <w:semiHidden/>
    <w:unhideWhenUsed/>
    <w:rsid w:val="00156E2C"/>
    <w:pPr>
      <w:ind w:left="283" w:hanging="283"/>
      <w:contextualSpacing/>
    </w:pPr>
  </w:style>
  <w:style w:type="paragraph" w:styleId="List2">
    <w:name w:val="List 2"/>
    <w:basedOn w:val="Normal"/>
    <w:semiHidden/>
    <w:unhideWhenUsed/>
    <w:rsid w:val="00156E2C"/>
    <w:pPr>
      <w:ind w:left="566" w:hanging="283"/>
      <w:contextualSpacing/>
    </w:pPr>
  </w:style>
  <w:style w:type="paragraph" w:styleId="List3">
    <w:name w:val="List 3"/>
    <w:basedOn w:val="Normal"/>
    <w:semiHidden/>
    <w:unhideWhenUsed/>
    <w:rsid w:val="00156E2C"/>
    <w:pPr>
      <w:ind w:left="849" w:hanging="283"/>
      <w:contextualSpacing/>
    </w:pPr>
  </w:style>
  <w:style w:type="paragraph" w:styleId="List4">
    <w:name w:val="List 4"/>
    <w:basedOn w:val="Normal"/>
    <w:semiHidden/>
    <w:unhideWhenUsed/>
    <w:rsid w:val="00156E2C"/>
    <w:pPr>
      <w:ind w:left="1132" w:hanging="283"/>
      <w:contextualSpacing/>
    </w:pPr>
  </w:style>
  <w:style w:type="paragraph" w:styleId="List5">
    <w:name w:val="List 5"/>
    <w:basedOn w:val="Normal"/>
    <w:semiHidden/>
    <w:unhideWhenUsed/>
    <w:rsid w:val="00156E2C"/>
    <w:pPr>
      <w:ind w:left="1415" w:hanging="283"/>
      <w:contextualSpacing/>
    </w:pPr>
  </w:style>
  <w:style w:type="paragraph" w:styleId="ListBullet">
    <w:name w:val="List Bullet"/>
    <w:basedOn w:val="Normal"/>
    <w:semiHidden/>
    <w:rsid w:val="00156E2C"/>
    <w:pPr>
      <w:numPr>
        <w:numId w:val="6"/>
      </w:numPr>
      <w:contextualSpacing/>
    </w:pPr>
  </w:style>
  <w:style w:type="paragraph" w:styleId="ListBullet2">
    <w:name w:val="List Bullet 2"/>
    <w:basedOn w:val="Normal"/>
    <w:semiHidden/>
    <w:unhideWhenUsed/>
    <w:rsid w:val="00156E2C"/>
    <w:pPr>
      <w:numPr>
        <w:numId w:val="7"/>
      </w:numPr>
      <w:contextualSpacing/>
    </w:pPr>
  </w:style>
  <w:style w:type="paragraph" w:styleId="ListBullet3">
    <w:name w:val="List Bullet 3"/>
    <w:basedOn w:val="Normal"/>
    <w:semiHidden/>
    <w:unhideWhenUsed/>
    <w:rsid w:val="00156E2C"/>
    <w:pPr>
      <w:numPr>
        <w:numId w:val="8"/>
      </w:numPr>
      <w:contextualSpacing/>
    </w:pPr>
  </w:style>
  <w:style w:type="paragraph" w:styleId="ListBullet4">
    <w:name w:val="List Bullet 4"/>
    <w:basedOn w:val="Normal"/>
    <w:semiHidden/>
    <w:unhideWhenUsed/>
    <w:rsid w:val="00156E2C"/>
    <w:pPr>
      <w:numPr>
        <w:numId w:val="9"/>
      </w:numPr>
      <w:contextualSpacing/>
    </w:pPr>
  </w:style>
  <w:style w:type="paragraph" w:styleId="ListBullet5">
    <w:name w:val="List Bullet 5"/>
    <w:basedOn w:val="Normal"/>
    <w:semiHidden/>
    <w:unhideWhenUsed/>
    <w:rsid w:val="00156E2C"/>
    <w:pPr>
      <w:numPr>
        <w:numId w:val="10"/>
      </w:numPr>
      <w:contextualSpacing/>
    </w:pPr>
  </w:style>
  <w:style w:type="paragraph" w:styleId="ListContinue">
    <w:name w:val="List Continue"/>
    <w:basedOn w:val="Normal"/>
    <w:semiHidden/>
    <w:unhideWhenUsed/>
    <w:rsid w:val="00156E2C"/>
    <w:pPr>
      <w:spacing w:after="120"/>
      <w:ind w:left="283"/>
      <w:contextualSpacing/>
    </w:pPr>
  </w:style>
  <w:style w:type="paragraph" w:styleId="ListContinue2">
    <w:name w:val="List Continue 2"/>
    <w:basedOn w:val="Normal"/>
    <w:semiHidden/>
    <w:unhideWhenUsed/>
    <w:rsid w:val="00156E2C"/>
    <w:pPr>
      <w:spacing w:after="120"/>
      <w:ind w:left="566"/>
      <w:contextualSpacing/>
    </w:pPr>
  </w:style>
  <w:style w:type="paragraph" w:styleId="ListContinue3">
    <w:name w:val="List Continue 3"/>
    <w:basedOn w:val="Normal"/>
    <w:semiHidden/>
    <w:rsid w:val="00156E2C"/>
    <w:pPr>
      <w:spacing w:after="120"/>
      <w:ind w:left="849"/>
      <w:contextualSpacing/>
    </w:pPr>
  </w:style>
  <w:style w:type="paragraph" w:styleId="ListContinue4">
    <w:name w:val="List Continue 4"/>
    <w:basedOn w:val="Normal"/>
    <w:semiHidden/>
    <w:rsid w:val="00156E2C"/>
    <w:pPr>
      <w:spacing w:after="120"/>
      <w:ind w:left="1132"/>
      <w:contextualSpacing/>
    </w:pPr>
  </w:style>
  <w:style w:type="paragraph" w:styleId="ListContinue5">
    <w:name w:val="List Continue 5"/>
    <w:basedOn w:val="Normal"/>
    <w:semiHidden/>
    <w:rsid w:val="00156E2C"/>
    <w:pPr>
      <w:spacing w:after="120"/>
      <w:ind w:left="1415"/>
      <w:contextualSpacing/>
    </w:pPr>
  </w:style>
  <w:style w:type="paragraph" w:styleId="ListNumber">
    <w:name w:val="List Number"/>
    <w:basedOn w:val="Normal"/>
    <w:semiHidden/>
    <w:rsid w:val="005126CB"/>
    <w:pPr>
      <w:numPr>
        <w:numId w:val="11"/>
      </w:numPr>
      <w:contextualSpacing/>
    </w:pPr>
  </w:style>
  <w:style w:type="paragraph" w:styleId="ListNumber2">
    <w:name w:val="List Number 2"/>
    <w:basedOn w:val="Normal"/>
    <w:semiHidden/>
    <w:unhideWhenUsed/>
    <w:rsid w:val="00156E2C"/>
    <w:pPr>
      <w:numPr>
        <w:numId w:val="12"/>
      </w:numPr>
      <w:contextualSpacing/>
    </w:pPr>
  </w:style>
  <w:style w:type="paragraph" w:styleId="ListNumber3">
    <w:name w:val="List Number 3"/>
    <w:basedOn w:val="Normal"/>
    <w:semiHidden/>
    <w:unhideWhenUsed/>
    <w:rsid w:val="00156E2C"/>
    <w:pPr>
      <w:numPr>
        <w:numId w:val="13"/>
      </w:numPr>
      <w:contextualSpacing/>
    </w:pPr>
  </w:style>
  <w:style w:type="paragraph" w:styleId="ListNumber4">
    <w:name w:val="List Number 4"/>
    <w:basedOn w:val="Normal"/>
    <w:semiHidden/>
    <w:unhideWhenUsed/>
    <w:rsid w:val="00156E2C"/>
    <w:pPr>
      <w:numPr>
        <w:numId w:val="14"/>
      </w:numPr>
      <w:contextualSpacing/>
    </w:pPr>
  </w:style>
  <w:style w:type="paragraph" w:styleId="ListNumber5">
    <w:name w:val="List Number 5"/>
    <w:basedOn w:val="Normal"/>
    <w:semiHidden/>
    <w:unhideWhenUsed/>
    <w:rsid w:val="00156E2C"/>
    <w:pPr>
      <w:numPr>
        <w:numId w:val="15"/>
      </w:numPr>
      <w:contextualSpacing/>
    </w:pPr>
  </w:style>
  <w:style w:type="table" w:styleId="ListTable1Light">
    <w:name w:val="List Table 1 Light"/>
    <w:basedOn w:val="TableNormal"/>
    <w:uiPriority w:val="46"/>
    <w:rsid w:val="00156E2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6E2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56E2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56E2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56E2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56E2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56E2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56E2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6E2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56E2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56E2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56E2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56E2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56E2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56E2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6E2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56E2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56E2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56E2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56E2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56E2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56E2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6E2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6E2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6E2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6E2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6E2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6E2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6E2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6E2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56E2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56E2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56E2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56E2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56E2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56E2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6E2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6E2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6E2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6E2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6E2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6E2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56E2C"/>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156E2C"/>
    <w:rPr>
      <w:rFonts w:ascii="Consolas" w:eastAsia="Times New Roman" w:hAnsi="Consolas"/>
      <w:lang w:val="fr-FR" w:eastAsia="en-US"/>
    </w:rPr>
  </w:style>
  <w:style w:type="table" w:styleId="MediumGrid1">
    <w:name w:val="Medium Grid 1"/>
    <w:basedOn w:val="TableNormal"/>
    <w:uiPriority w:val="67"/>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56E2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56E2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56E2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56E2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56E2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56E2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56E2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56E2C"/>
    <w:rPr>
      <w:color w:val="2B579A"/>
      <w:shd w:val="clear" w:color="auto" w:fill="E1DFDD"/>
      <w:lang w:val="fr-FR"/>
    </w:rPr>
  </w:style>
  <w:style w:type="paragraph" w:styleId="MessageHeader">
    <w:name w:val="Message Header"/>
    <w:basedOn w:val="Normal"/>
    <w:link w:val="MessageHeaderChar"/>
    <w:semiHidden/>
    <w:rsid w:val="00156E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56E2C"/>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156E2C"/>
    <w:pPr>
      <w:ind w:left="720"/>
    </w:pPr>
  </w:style>
  <w:style w:type="paragraph" w:styleId="NoteHeading">
    <w:name w:val="Note Heading"/>
    <w:basedOn w:val="Normal"/>
    <w:next w:val="Normal"/>
    <w:link w:val="NoteHeadingChar"/>
    <w:semiHidden/>
    <w:unhideWhenUsed/>
    <w:rsid w:val="00156E2C"/>
  </w:style>
  <w:style w:type="character" w:customStyle="1" w:styleId="NoteHeadingChar">
    <w:name w:val="Note Heading Char"/>
    <w:basedOn w:val="DefaultParagraphFont"/>
    <w:link w:val="NoteHeading"/>
    <w:semiHidden/>
    <w:rsid w:val="00156E2C"/>
    <w:rPr>
      <w:rFonts w:eastAsia="Times New Roman"/>
      <w:lang w:val="fr-FR" w:eastAsia="en-US"/>
    </w:rPr>
  </w:style>
  <w:style w:type="table" w:styleId="PlainTable1">
    <w:name w:val="Plain Table 1"/>
    <w:basedOn w:val="TableNormal"/>
    <w:uiPriority w:val="41"/>
    <w:rsid w:val="0015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6E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6E2C"/>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6E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6E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56E2C"/>
    <w:rPr>
      <w:rFonts w:ascii="Consolas" w:hAnsi="Consolas"/>
      <w:sz w:val="21"/>
      <w:szCs w:val="21"/>
    </w:rPr>
  </w:style>
  <w:style w:type="character" w:customStyle="1" w:styleId="PlainTextChar">
    <w:name w:val="Plain Text Char"/>
    <w:basedOn w:val="DefaultParagraphFont"/>
    <w:link w:val="PlainText"/>
    <w:semiHidden/>
    <w:rsid w:val="00156E2C"/>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156E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6E2C"/>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156E2C"/>
  </w:style>
  <w:style w:type="character" w:customStyle="1" w:styleId="SalutationChar">
    <w:name w:val="Salutation Char"/>
    <w:basedOn w:val="DefaultParagraphFont"/>
    <w:link w:val="Salutation"/>
    <w:semiHidden/>
    <w:rsid w:val="00156E2C"/>
    <w:rPr>
      <w:rFonts w:eastAsia="Times New Roman"/>
      <w:lang w:val="fr-FR" w:eastAsia="en-US"/>
    </w:rPr>
  </w:style>
  <w:style w:type="paragraph" w:styleId="Signature">
    <w:name w:val="Signature"/>
    <w:basedOn w:val="Normal"/>
    <w:link w:val="SignatureChar"/>
    <w:semiHidden/>
    <w:unhideWhenUsed/>
    <w:rsid w:val="00156E2C"/>
    <w:pPr>
      <w:ind w:left="4252"/>
    </w:pPr>
  </w:style>
  <w:style w:type="character" w:customStyle="1" w:styleId="SignatureChar">
    <w:name w:val="Signature Char"/>
    <w:basedOn w:val="DefaultParagraphFont"/>
    <w:link w:val="Signature"/>
    <w:semiHidden/>
    <w:rsid w:val="00156E2C"/>
    <w:rPr>
      <w:rFonts w:eastAsia="Times New Roman"/>
      <w:lang w:val="fr-FR" w:eastAsia="en-US"/>
    </w:rPr>
  </w:style>
  <w:style w:type="character" w:styleId="SmartHyperlink">
    <w:name w:val="Smart Hyperlink"/>
    <w:basedOn w:val="DefaultParagraphFont"/>
    <w:uiPriority w:val="99"/>
    <w:semiHidden/>
    <w:rsid w:val="00156E2C"/>
    <w:rPr>
      <w:u w:val="dotted"/>
      <w:lang w:val="fr-FR"/>
    </w:rPr>
  </w:style>
  <w:style w:type="character" w:styleId="SmartLink">
    <w:name w:val="Smart Link"/>
    <w:basedOn w:val="DefaultParagraphFont"/>
    <w:uiPriority w:val="99"/>
    <w:semiHidden/>
    <w:unhideWhenUsed/>
    <w:rsid w:val="00156E2C"/>
    <w:rPr>
      <w:color w:val="0000FF"/>
      <w:u w:val="single"/>
      <w:shd w:val="clear" w:color="auto" w:fill="F3F2F1"/>
      <w:lang w:val="fr-FR"/>
    </w:rPr>
  </w:style>
  <w:style w:type="character" w:styleId="Strong">
    <w:name w:val="Strong"/>
    <w:basedOn w:val="DefaultParagraphFont"/>
    <w:semiHidden/>
    <w:qFormat/>
    <w:rsid w:val="00156E2C"/>
    <w:rPr>
      <w:b/>
      <w:bCs/>
      <w:lang w:val="fr-FR"/>
    </w:rPr>
  </w:style>
  <w:style w:type="paragraph" w:styleId="Subtitle">
    <w:name w:val="Subtitle"/>
    <w:basedOn w:val="Normal"/>
    <w:next w:val="Normal"/>
    <w:link w:val="SubtitleChar"/>
    <w:semiHidden/>
    <w:qFormat/>
    <w:rsid w:val="00156E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56E2C"/>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156E2C"/>
    <w:rPr>
      <w:i/>
      <w:iCs/>
      <w:color w:val="404040" w:themeColor="text1" w:themeTint="BF"/>
      <w:lang w:val="fr-FR"/>
    </w:rPr>
  </w:style>
  <w:style w:type="character" w:styleId="SubtleReference">
    <w:name w:val="Subtle Reference"/>
    <w:basedOn w:val="DefaultParagraphFont"/>
    <w:uiPriority w:val="31"/>
    <w:semiHidden/>
    <w:qFormat/>
    <w:rsid w:val="00156E2C"/>
    <w:rPr>
      <w:smallCaps/>
      <w:color w:val="5A5A5A" w:themeColor="text1" w:themeTint="A5"/>
      <w:lang w:val="fr-FR"/>
    </w:rPr>
  </w:style>
  <w:style w:type="table" w:styleId="Table3Deffects1">
    <w:name w:val="Table 3D effect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6E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56E2C"/>
    <w:pPr>
      <w:tabs>
        <w:tab w:val="clear" w:pos="1247"/>
      </w:tabs>
      <w:ind w:left="200" w:hanging="200"/>
    </w:pPr>
  </w:style>
  <w:style w:type="table" w:styleId="TableProfessional">
    <w:name w:val="Table Professional"/>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56E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56E2C"/>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156E2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56E2C"/>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447020"/>
    <w:pPr>
      <w:tabs>
        <w:tab w:val="clear" w:pos="1247"/>
        <w:tab w:val="clear" w:pos="1814"/>
        <w:tab w:val="clear" w:pos="2381"/>
        <w:tab w:val="clear" w:pos="2948"/>
        <w:tab w:val="clear" w:pos="3515"/>
      </w:tabs>
      <w:spacing w:after="160" w:line="240" w:lineRule="exact"/>
      <w:jc w:val="both"/>
    </w:pPr>
    <w:rPr>
      <w:szCs w:val="18"/>
      <w:vertAlign w:val="superscript"/>
    </w:rPr>
  </w:style>
  <w:style w:type="character" w:customStyle="1" w:styleId="CH2Char">
    <w:name w:val="CH2 Char"/>
    <w:link w:val="CH2"/>
    <w:locked/>
    <w:rsid w:val="00323A74"/>
    <w:rPr>
      <w:b/>
      <w:sz w:val="24"/>
      <w:szCs w:val="24"/>
    </w:rPr>
  </w:style>
  <w:style w:type="character" w:customStyle="1" w:styleId="BBTitleChar">
    <w:name w:val="BB_Title Char"/>
    <w:link w:val="BBTitle"/>
    <w:rsid w:val="00323A74"/>
    <w:rPr>
      <w:b/>
      <w:sz w:val="28"/>
      <w:szCs w:val="28"/>
    </w:rPr>
  </w:style>
  <w:style w:type="character" w:customStyle="1" w:styleId="CH1Char">
    <w:name w:val="CH1 Char"/>
    <w:link w:val="CH1"/>
    <w:locked/>
    <w:rsid w:val="00323A74"/>
    <w:rPr>
      <w:b/>
      <w:sz w:val="28"/>
      <w:szCs w:val="28"/>
    </w:rPr>
  </w:style>
  <w:style w:type="paragraph" w:styleId="Revision">
    <w:name w:val="Revision"/>
    <w:hidden/>
    <w:uiPriority w:val="99"/>
    <w:semiHidden/>
    <w:rsid w:val="00A45CF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3.xml><?xml version="1.0" encoding="utf-8"?>
<ds:datastoreItem xmlns:ds="http://schemas.openxmlformats.org/officeDocument/2006/customXml" ds:itemID="{8E219865-2996-465F-A0F2-F02312D0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TotalTime>
  <Pages>9</Pages>
  <Words>5795</Words>
  <Characters>33033</Characters>
  <Application>Microsoft Office Word</Application>
  <DocSecurity>0</DocSecurity>
  <PresentationFormat/>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38751</CharactersWithSpaces>
  <SharedDoc>false</SharedDoc>
  <HyperlinkBase/>
  <HLinks>
    <vt:vector size="18" baseType="variant">
      <vt:variant>
        <vt:i4>5636132</vt:i4>
      </vt:variant>
      <vt:variant>
        <vt:i4>6</vt:i4>
      </vt:variant>
      <vt:variant>
        <vt:i4>0</vt:i4>
      </vt:variant>
      <vt:variant>
        <vt:i4>5</vt:i4>
      </vt:variant>
      <vt:variant>
        <vt:lpwstr>mailto:meg.seki@un.org</vt:lpwstr>
      </vt:variant>
      <vt:variant>
        <vt:lpwstr/>
      </vt:variant>
      <vt:variant>
        <vt:i4>7864322</vt:i4>
      </vt:variant>
      <vt:variant>
        <vt:i4>3</vt:i4>
      </vt:variant>
      <vt:variant>
        <vt:i4>0</vt:i4>
      </vt:variant>
      <vt:variant>
        <vt:i4>5</vt:i4>
      </vt:variant>
      <vt:variant>
        <vt:lpwstr>mailto:sophia.mylona@un.org</vt:lpwstr>
      </vt:variant>
      <vt:variant>
        <vt:lpwstr/>
      </vt:variant>
      <vt:variant>
        <vt:i4>7864322</vt:i4>
      </vt:variant>
      <vt:variant>
        <vt:i4>0</vt:i4>
      </vt:variant>
      <vt:variant>
        <vt:i4>0</vt:i4>
      </vt:variant>
      <vt:variant>
        <vt:i4>5</vt:i4>
      </vt:variant>
      <vt:variant>
        <vt:lpwstr>mailto:sophia.mylona@un.org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Herimalala Raveloarinjato</cp:lastModifiedBy>
  <cp:revision>4</cp:revision>
  <cp:lastPrinted>2026-05-14T09:18:00Z</cp:lastPrinted>
  <dcterms:created xsi:type="dcterms:W3CDTF">2026-05-14T09:16:00Z</dcterms:created>
  <dcterms:modified xsi:type="dcterms:W3CDTF">2026-05-14T09:18:00Z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0x0101001C49DCCFF06D044688251B3E010FA2BB</vt:lpwstr>
  </property>
</Properties>
</file>