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333252" w:rsidRPr="005D0209" w14:paraId="3D86E8E0" w14:textId="77777777" w:rsidTr="000903A0">
        <w:trPr>
          <w:trHeight w:val="850"/>
        </w:trPr>
        <w:tc>
          <w:tcPr>
            <w:tcW w:w="2693" w:type="dxa"/>
          </w:tcPr>
          <w:p w14:paraId="69EFAE59" w14:textId="77777777" w:rsidR="00333252" w:rsidRPr="005D0209" w:rsidRDefault="00333252" w:rsidP="000903A0">
            <w:pPr>
              <w:pStyle w:val="AUnitedNations"/>
              <w:tabs>
                <w:tab w:val="clear" w:pos="624"/>
                <w:tab w:val="clear" w:pos="1871"/>
                <w:tab w:val="clear" w:pos="2495"/>
                <w:tab w:val="clear" w:pos="3119"/>
                <w:tab w:val="clear" w:pos="3742"/>
                <w:tab w:val="clear" w:pos="4366"/>
              </w:tabs>
            </w:pPr>
            <w:r w:rsidRPr="005D0209">
              <w:t xml:space="preserve">ОРГАНИЗАЦИЯ </w:t>
            </w:r>
            <w:r w:rsidRPr="005D0209">
              <w:br/>
              <w:t xml:space="preserve">ОБЪЕДИНЕННЫХ </w:t>
            </w:r>
            <w:r w:rsidRPr="005D0209">
              <w:br/>
              <w:t>НАЦИЙ</w:t>
            </w:r>
          </w:p>
        </w:tc>
        <w:tc>
          <w:tcPr>
            <w:tcW w:w="6520" w:type="dxa"/>
          </w:tcPr>
          <w:p w14:paraId="2B008771" w14:textId="77777777" w:rsidR="00333252" w:rsidRPr="005D0209" w:rsidRDefault="00333252" w:rsidP="000903A0">
            <w:pPr>
              <w:pStyle w:val="Normal-pool"/>
              <w:tabs>
                <w:tab w:val="clear" w:pos="624"/>
                <w:tab w:val="clear" w:pos="1247"/>
                <w:tab w:val="clear" w:pos="1871"/>
                <w:tab w:val="clear" w:pos="2495"/>
                <w:tab w:val="clear" w:pos="3119"/>
                <w:tab w:val="clear" w:pos="3742"/>
                <w:tab w:val="clear" w:pos="4366"/>
              </w:tabs>
            </w:pPr>
            <w:r w:rsidRPr="005D0209">
              <w:rPr>
                <w:noProof/>
              </w:rPr>
              <w:drawing>
                <wp:anchor distT="0" distB="0" distL="114300" distR="114300" simplePos="0" relativeHeight="251660288" behindDoc="0" locked="0" layoutInCell="1" allowOverlap="1" wp14:anchorId="1C748C05" wp14:editId="3E2C61E0">
                  <wp:simplePos x="0" y="0"/>
                  <wp:positionH relativeFrom="column">
                    <wp:posOffset>-635</wp:posOffset>
                  </wp:positionH>
                  <wp:positionV relativeFrom="paragraph">
                    <wp:posOffset>-1270</wp:posOffset>
                  </wp:positionV>
                  <wp:extent cx="1269153" cy="573559"/>
                  <wp:effectExtent l="0" t="0" r="0" b="0"/>
                  <wp:wrapNone/>
                  <wp:docPr id="168409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745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4E58BE3C" w14:textId="77777777" w:rsidR="00333252" w:rsidRPr="005D0209" w:rsidRDefault="00333252" w:rsidP="000903A0">
            <w:pPr>
              <w:pStyle w:val="Normal-pool"/>
              <w:tabs>
                <w:tab w:val="clear" w:pos="624"/>
                <w:tab w:val="clear" w:pos="1247"/>
                <w:tab w:val="clear" w:pos="1871"/>
                <w:tab w:val="clear" w:pos="2495"/>
                <w:tab w:val="clear" w:pos="3119"/>
                <w:tab w:val="clear" w:pos="3742"/>
                <w:tab w:val="clear" w:pos="4366"/>
              </w:tabs>
            </w:pPr>
          </w:p>
        </w:tc>
      </w:tr>
    </w:tbl>
    <w:p w14:paraId="7BA0B47C" w14:textId="77777777" w:rsidR="00333252" w:rsidRPr="005D0209" w:rsidRDefault="00333252" w:rsidP="00333252">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333252" w:rsidRPr="005D0209" w14:paraId="4EBCE6FE" w14:textId="77777777" w:rsidTr="000903A0">
        <w:trPr>
          <w:trHeight w:val="340"/>
        </w:trPr>
        <w:tc>
          <w:tcPr>
            <w:tcW w:w="3358" w:type="pct"/>
            <w:vAlign w:val="bottom"/>
          </w:tcPr>
          <w:p w14:paraId="5F38F474" w14:textId="77777777" w:rsidR="00333252" w:rsidRPr="005D0209" w:rsidRDefault="00333252" w:rsidP="000903A0">
            <w:pPr>
              <w:pStyle w:val="Normal-pool"/>
              <w:tabs>
                <w:tab w:val="clear" w:pos="624"/>
                <w:tab w:val="clear" w:pos="1247"/>
                <w:tab w:val="clear" w:pos="1871"/>
                <w:tab w:val="clear" w:pos="2495"/>
                <w:tab w:val="clear" w:pos="3119"/>
                <w:tab w:val="clear" w:pos="3742"/>
                <w:tab w:val="clear" w:pos="4366"/>
              </w:tabs>
            </w:pPr>
          </w:p>
        </w:tc>
        <w:tc>
          <w:tcPr>
            <w:tcW w:w="1642" w:type="pct"/>
            <w:noWrap/>
            <w:vAlign w:val="bottom"/>
          </w:tcPr>
          <w:p w14:paraId="2706E647" w14:textId="1AFFC0EF" w:rsidR="00333252" w:rsidRPr="00333252" w:rsidRDefault="00333252" w:rsidP="000903A0">
            <w:pPr>
              <w:pStyle w:val="ASymbol"/>
              <w:tabs>
                <w:tab w:val="clear" w:pos="1871"/>
                <w:tab w:val="clear" w:pos="2495"/>
                <w:tab w:val="clear" w:pos="3119"/>
                <w:tab w:val="clear" w:pos="3742"/>
                <w:tab w:val="clear" w:pos="4366"/>
              </w:tabs>
              <w:rPr>
                <w:lang w:val="ru-RU"/>
              </w:rPr>
            </w:pPr>
            <w:r w:rsidRPr="005D0209">
              <w:rPr>
                <w:b/>
                <w:sz w:val="28"/>
              </w:rPr>
              <w:t>UNEP</w:t>
            </w:r>
            <w:r w:rsidRPr="005D0209">
              <w:t>/OzL.Pro.WG.1/48/</w:t>
            </w:r>
            <w:r>
              <w:rPr>
                <w:lang w:val="ru-RU"/>
              </w:rPr>
              <w:t>2</w:t>
            </w:r>
          </w:p>
        </w:tc>
      </w:tr>
    </w:tbl>
    <w:p w14:paraId="3FF676C4" w14:textId="77777777" w:rsidR="00333252" w:rsidRPr="005D0209" w:rsidRDefault="00333252" w:rsidP="00333252">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33252" w:rsidRPr="005358A2" w14:paraId="79AA8A63" w14:textId="77777777" w:rsidTr="000903A0">
        <w:trPr>
          <w:trHeight w:val="2098"/>
        </w:trPr>
        <w:tc>
          <w:tcPr>
            <w:tcW w:w="5386" w:type="dxa"/>
          </w:tcPr>
          <w:p w14:paraId="6D370488" w14:textId="77777777" w:rsidR="00333252" w:rsidRPr="00333252" w:rsidRDefault="00333252" w:rsidP="000903A0">
            <w:pPr>
              <w:pStyle w:val="AConvName"/>
              <w:tabs>
                <w:tab w:val="clear" w:pos="624"/>
                <w:tab w:val="clear" w:pos="1871"/>
                <w:tab w:val="clear" w:pos="2495"/>
                <w:tab w:val="clear" w:pos="3119"/>
                <w:tab w:val="clear" w:pos="3742"/>
                <w:tab w:val="clear" w:pos="4366"/>
              </w:tabs>
              <w:rPr>
                <w:lang w:val="ru-RU"/>
              </w:rPr>
            </w:pPr>
            <w:r w:rsidRPr="00333252">
              <w:rPr>
                <w:lang w:val="ru-RU"/>
              </w:rPr>
              <w:t xml:space="preserve">Монреальский протокол </w:t>
            </w:r>
            <w:r w:rsidRPr="00333252">
              <w:rPr>
                <w:lang w:val="ru-RU"/>
              </w:rPr>
              <w:br/>
              <w:t xml:space="preserve">по веществам, разрушающим </w:t>
            </w:r>
            <w:r w:rsidRPr="00333252">
              <w:rPr>
                <w:lang w:val="ru-RU"/>
              </w:rPr>
              <w:br/>
              <w:t>озоновый слой</w:t>
            </w:r>
          </w:p>
        </w:tc>
        <w:tc>
          <w:tcPr>
            <w:tcW w:w="992" w:type="dxa"/>
          </w:tcPr>
          <w:p w14:paraId="72B5D29C" w14:textId="77777777" w:rsidR="00333252" w:rsidRPr="00333252" w:rsidRDefault="00333252" w:rsidP="000903A0">
            <w:pPr>
              <w:pStyle w:val="Normal-pool"/>
              <w:tabs>
                <w:tab w:val="clear" w:pos="624"/>
                <w:tab w:val="clear" w:pos="1247"/>
                <w:tab w:val="clear" w:pos="1871"/>
                <w:tab w:val="clear" w:pos="2495"/>
                <w:tab w:val="clear" w:pos="3119"/>
                <w:tab w:val="clear" w:pos="3742"/>
                <w:tab w:val="clear" w:pos="4366"/>
              </w:tabs>
              <w:rPr>
                <w:lang w:val="ru-RU"/>
              </w:rPr>
            </w:pPr>
          </w:p>
        </w:tc>
        <w:tc>
          <w:tcPr>
            <w:tcW w:w="3118" w:type="dxa"/>
          </w:tcPr>
          <w:p w14:paraId="445D9897" w14:textId="77777777" w:rsidR="00333252" w:rsidRPr="005358A2" w:rsidRDefault="00333252" w:rsidP="000903A0">
            <w:pPr>
              <w:pStyle w:val="AText"/>
              <w:tabs>
                <w:tab w:val="clear" w:pos="624"/>
                <w:tab w:val="clear" w:pos="1247"/>
                <w:tab w:val="clear" w:pos="1871"/>
                <w:tab w:val="clear" w:pos="2495"/>
                <w:tab w:val="clear" w:pos="3119"/>
                <w:tab w:val="clear" w:pos="3742"/>
                <w:tab w:val="clear" w:pos="4366"/>
              </w:tabs>
            </w:pPr>
            <w:r w:rsidRPr="005358A2">
              <w:t xml:space="preserve">Distr.: General </w:t>
            </w:r>
          </w:p>
          <w:p w14:paraId="55B3C4AD" w14:textId="41D373FA" w:rsidR="00333252" w:rsidRPr="00333252" w:rsidRDefault="00333252" w:rsidP="000903A0">
            <w:pPr>
              <w:pStyle w:val="AText0"/>
              <w:tabs>
                <w:tab w:val="clear" w:pos="624"/>
                <w:tab w:val="clear" w:pos="1247"/>
                <w:tab w:val="clear" w:pos="1871"/>
                <w:tab w:val="clear" w:pos="2495"/>
                <w:tab w:val="clear" w:pos="3119"/>
                <w:tab w:val="clear" w:pos="3742"/>
                <w:tab w:val="clear" w:pos="4366"/>
              </w:tabs>
              <w:rPr>
                <w:lang w:val="en-US"/>
              </w:rPr>
            </w:pPr>
            <w:r w:rsidRPr="0004478E">
              <w:t xml:space="preserve">7 </w:t>
            </w:r>
            <w:r>
              <w:rPr>
                <w:lang w:val="en-US"/>
              </w:rPr>
              <w:t>April 2026</w:t>
            </w:r>
          </w:p>
          <w:p w14:paraId="6C8D094C" w14:textId="77777777" w:rsidR="00333252" w:rsidRPr="005358A2" w:rsidRDefault="00333252" w:rsidP="000903A0">
            <w:pPr>
              <w:pStyle w:val="AText"/>
              <w:tabs>
                <w:tab w:val="clear" w:pos="624"/>
                <w:tab w:val="clear" w:pos="1247"/>
                <w:tab w:val="clear" w:pos="1871"/>
                <w:tab w:val="clear" w:pos="2495"/>
                <w:tab w:val="clear" w:pos="3119"/>
                <w:tab w:val="clear" w:pos="3742"/>
                <w:tab w:val="clear" w:pos="4366"/>
              </w:tabs>
            </w:pPr>
            <w:r w:rsidRPr="005358A2">
              <w:t xml:space="preserve">Russian </w:t>
            </w:r>
            <w:r w:rsidRPr="005358A2">
              <w:br/>
              <w:t>Original: English</w:t>
            </w:r>
          </w:p>
        </w:tc>
      </w:tr>
    </w:tbl>
    <w:p w14:paraId="1E8BF9D1" w14:textId="77777777" w:rsidR="00333252" w:rsidRPr="005358A2" w:rsidRDefault="00333252" w:rsidP="00333252">
      <w:pPr>
        <w:pStyle w:val="ASpacer"/>
        <w:tabs>
          <w:tab w:val="clear" w:pos="624"/>
          <w:tab w:val="clear" w:pos="1247"/>
          <w:tab w:val="clear" w:pos="1871"/>
          <w:tab w:val="clear" w:pos="2495"/>
          <w:tab w:val="clear" w:pos="3119"/>
          <w:tab w:val="clear" w:pos="3742"/>
          <w:tab w:val="clear" w:pos="4366"/>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33252" w:rsidRPr="005D0209" w14:paraId="73EE6A65" w14:textId="77777777" w:rsidTr="000903A0">
        <w:trPr>
          <w:trHeight w:val="57"/>
        </w:trPr>
        <w:tc>
          <w:tcPr>
            <w:tcW w:w="5301" w:type="dxa"/>
          </w:tcPr>
          <w:p w14:paraId="7AFB9885" w14:textId="77777777" w:rsidR="00333252" w:rsidRPr="00333252" w:rsidRDefault="00333252" w:rsidP="000903A0">
            <w:pPr>
              <w:pStyle w:val="AATitle"/>
              <w:tabs>
                <w:tab w:val="clear" w:pos="624"/>
                <w:tab w:val="clear" w:pos="1247"/>
                <w:tab w:val="clear" w:pos="1871"/>
                <w:tab w:val="clear" w:pos="2495"/>
                <w:tab w:val="clear" w:pos="3119"/>
                <w:tab w:val="clear" w:pos="3742"/>
                <w:tab w:val="clear" w:pos="4366"/>
              </w:tabs>
              <w:rPr>
                <w:lang w:val="ru-RU"/>
              </w:rPr>
            </w:pPr>
            <w:r w:rsidRPr="00333252">
              <w:rPr>
                <w:lang w:val="ru-RU"/>
              </w:rPr>
              <w:t xml:space="preserve">Рабочая группа открытого состава Сторон </w:t>
            </w:r>
            <w:r w:rsidRPr="00333252">
              <w:rPr>
                <w:lang w:val="ru-RU"/>
              </w:rPr>
              <w:br/>
              <w:t xml:space="preserve">Монреальского протокола по веществам, </w:t>
            </w:r>
            <w:r w:rsidRPr="00333252">
              <w:rPr>
                <w:lang w:val="ru-RU"/>
              </w:rPr>
              <w:br/>
              <w:t xml:space="preserve">разрушающим озоновый слой </w:t>
            </w:r>
          </w:p>
          <w:p w14:paraId="21171F1A" w14:textId="77777777" w:rsidR="00333252" w:rsidRPr="00333252" w:rsidRDefault="00333252" w:rsidP="000903A0">
            <w:pPr>
              <w:pStyle w:val="AATitle"/>
              <w:tabs>
                <w:tab w:val="clear" w:pos="624"/>
                <w:tab w:val="clear" w:pos="1247"/>
                <w:tab w:val="clear" w:pos="1871"/>
                <w:tab w:val="clear" w:pos="2495"/>
                <w:tab w:val="clear" w:pos="3119"/>
                <w:tab w:val="clear" w:pos="3742"/>
                <w:tab w:val="clear" w:pos="4366"/>
              </w:tabs>
              <w:rPr>
                <w:lang w:val="ru-RU"/>
              </w:rPr>
            </w:pPr>
            <w:r w:rsidRPr="00333252">
              <w:rPr>
                <w:lang w:val="ru-RU"/>
              </w:rPr>
              <w:t xml:space="preserve">Сорок восьмое совещание </w:t>
            </w:r>
          </w:p>
          <w:p w14:paraId="0F10FACB" w14:textId="77777777" w:rsidR="00333252" w:rsidRPr="00333252" w:rsidRDefault="00333252" w:rsidP="000903A0">
            <w:pPr>
              <w:pStyle w:val="AATitle1"/>
              <w:tabs>
                <w:tab w:val="clear" w:pos="624"/>
                <w:tab w:val="clear" w:pos="1247"/>
                <w:tab w:val="clear" w:pos="1871"/>
                <w:tab w:val="clear" w:pos="2495"/>
                <w:tab w:val="clear" w:pos="3119"/>
                <w:tab w:val="clear" w:pos="3742"/>
                <w:tab w:val="clear" w:pos="4366"/>
              </w:tabs>
              <w:rPr>
                <w:lang w:val="ru-RU"/>
              </w:rPr>
            </w:pPr>
            <w:r w:rsidRPr="00333252">
              <w:rPr>
                <w:lang w:val="ru-RU"/>
              </w:rPr>
              <w:t xml:space="preserve">Бангкок, 13–17 июля 2026 года </w:t>
            </w:r>
          </w:p>
          <w:p w14:paraId="46D4E020" w14:textId="4DE63742" w:rsidR="00333252" w:rsidRPr="00333252" w:rsidRDefault="00333252" w:rsidP="00910E83">
            <w:pPr>
              <w:pStyle w:val="AATitle2"/>
              <w:tabs>
                <w:tab w:val="clear" w:pos="624"/>
                <w:tab w:val="clear" w:pos="1247"/>
                <w:tab w:val="clear" w:pos="1871"/>
                <w:tab w:val="clear" w:pos="2495"/>
                <w:tab w:val="clear" w:pos="3119"/>
                <w:tab w:val="clear" w:pos="3742"/>
                <w:tab w:val="clear" w:pos="4366"/>
              </w:tabs>
              <w:spacing w:before="0" w:after="0"/>
              <w:rPr>
                <w:b w:val="0"/>
                <w:bCs/>
              </w:rPr>
            </w:pPr>
            <w:r w:rsidRPr="00333252">
              <w:rPr>
                <w:b w:val="0"/>
                <w:bCs/>
                <w:color w:val="000000"/>
                <w:lang w:val="ru-RU"/>
              </w:rPr>
              <w:t>Пункты 3–8 предварительной повестки дня</w:t>
            </w:r>
            <w:r w:rsidRPr="00333252">
              <w:rPr>
                <w:rStyle w:val="FootnoteReference"/>
                <w:b w:val="0"/>
                <w:bCs/>
                <w:color w:val="000000"/>
                <w:vertAlign w:val="baseline"/>
                <w:lang w:val="ru-RU"/>
              </w:rPr>
              <w:footnoteReference w:customMarkFollows="1" w:id="2"/>
              <w:t>*</w:t>
            </w:r>
          </w:p>
        </w:tc>
        <w:tc>
          <w:tcPr>
            <w:tcW w:w="4195" w:type="dxa"/>
          </w:tcPr>
          <w:p w14:paraId="6FA6FABF" w14:textId="77777777" w:rsidR="00333252" w:rsidRPr="005D0209" w:rsidRDefault="00333252" w:rsidP="000903A0">
            <w:pPr>
              <w:pStyle w:val="Normal-pool"/>
              <w:tabs>
                <w:tab w:val="clear" w:pos="624"/>
                <w:tab w:val="clear" w:pos="1247"/>
                <w:tab w:val="clear" w:pos="1871"/>
                <w:tab w:val="clear" w:pos="2495"/>
                <w:tab w:val="clear" w:pos="3119"/>
                <w:tab w:val="clear" w:pos="3742"/>
                <w:tab w:val="clear" w:pos="4366"/>
              </w:tabs>
            </w:pPr>
          </w:p>
        </w:tc>
      </w:tr>
    </w:tbl>
    <w:p w14:paraId="2EFE4640" w14:textId="77777777" w:rsidR="00323A74" w:rsidRPr="00607E1A" w:rsidRDefault="00323A74" w:rsidP="00333252">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Вопросы для обсуждения Рабочей группой открытого состава Сторон Монреальского протокола на ее сорок восьмом совещании и информация для ее сведения</w:t>
      </w:r>
    </w:p>
    <w:p w14:paraId="6BD9C636" w14:textId="24F2A07D" w:rsidR="00323A74" w:rsidRPr="00851078" w:rsidRDefault="00323A74" w:rsidP="00333252">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r>
        <w:rPr>
          <w:bCs/>
          <w:lang w:val="ru-RU"/>
        </w:rPr>
        <w:t>Записка секретариата</w:t>
      </w:r>
    </w:p>
    <w:p w14:paraId="1C95F1F7" w14:textId="3F1C8C6A" w:rsidR="00323A74" w:rsidRPr="00851078" w:rsidRDefault="00333252" w:rsidP="00333252">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323A74">
        <w:rPr>
          <w:bCs/>
          <w:lang w:val="ru-RU"/>
        </w:rPr>
        <w:t>I.</w:t>
      </w:r>
      <w:r w:rsidR="00323A74">
        <w:rPr>
          <w:lang w:val="ru-RU"/>
        </w:rPr>
        <w:tab/>
      </w:r>
      <w:r w:rsidR="00323A74">
        <w:rPr>
          <w:bCs/>
          <w:lang w:val="ru-RU"/>
        </w:rPr>
        <w:t>Введение</w:t>
      </w:r>
    </w:p>
    <w:p w14:paraId="3F705D62" w14:textId="008850D1"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настоящей записке представлен общий обзор вопросов, включенных в предварительную повестку дня сорок восьмого совещания Рабочей группы открытого состава Сторон Монреальского протокола по веществам, разрушающим озоновый слой. В разделе II приводится краткое изложение вопросов для обсуждения Рабочей группой открытого состава. В разделе III содержится информация, которая не предусмотрена для обсуждения на сорок восьмом совещании Рабочей группы открытого состава, но которая имеет отношение к тридцать восьмому Совещанию Сторон Монреальского протокола и сопутствующим мероприятиям. Указанная информация включает: сведения о ходе выполнения решений, предусматривающих принятие мер тридцать восьмым Совещанием Сторон, в частности об усилении регионального атмосферного мониторинга веществ, регулируемых в рамках Монреальского протокола; сведения о материалах, представленных Сторонами во исполнение решения XXXVI/3 о выбросах ГФУ-23, и о подготовке Группой по техническому обзору и экономической оценке и Группой по научной оценке обновлений их докладов о ГФУ-23, подготовленных во исполнение решения XXXVII/2; сведения, полученные от Сторон, о национальных и региональных инициативах в поддержку осуществления Кигалийской поправки к Монреальскому протоколу; а также сведения о рециркулированных, повторно используемых и невостребованных регулируемых веществах.</w:t>
      </w:r>
    </w:p>
    <w:p w14:paraId="54BB4B79" w14:textId="0D4A2DB0"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Дополнительная информация в отношении отдельных пунктов предварительной повестки дня будет представлена в добавлении к настоящей записке (UNEP/OzL.Pro.WG.1/48/2/Add.1) </w:t>
      </w:r>
      <w:r w:rsidR="00E179BB">
        <w:rPr>
          <w:lang w:val="ru-RU"/>
        </w:rPr>
        <w:t xml:space="preserve">после </w:t>
      </w:r>
      <w:r>
        <w:rPr>
          <w:lang w:val="ru-RU"/>
        </w:rPr>
        <w:t xml:space="preserve">завершения работы над томом 1 (доклад о ходе работы) и томом 2 (доклад целевой группы, созданной во исполнение решения XXXVII/6) доклада Группы по техническому обзору и экономической оценке за 2026 год. Ожидается, что эти два тома будут изданы в мае 2026 года и опубликованы на портале сорок восьмого совещания Рабочей группы открытого состава. Том 2 будет посвящен пункту 3 предварительной повестки дня, касающемуся пополнения Многостороннего фонда для осуществления Монреальского протокола на 2027–2029 годы, а том 1 – пункту 4, касающемуся сообщений Группы по техническому обзору и экономической оценке о ее докладе о ходе работы за 2026 год и обсуждений ключевых тем, о которых говорится в докладе, в том числе вопросов, которые </w:t>
      </w:r>
      <w:r>
        <w:rPr>
          <w:lang w:val="ru-RU"/>
        </w:rPr>
        <w:lastRenderedPageBreak/>
        <w:t xml:space="preserve">Стороны </w:t>
      </w:r>
      <w:r w:rsidR="002919A7">
        <w:rPr>
          <w:lang w:val="ru-RU"/>
        </w:rPr>
        <w:t>поручили</w:t>
      </w:r>
      <w:r>
        <w:rPr>
          <w:lang w:val="ru-RU"/>
        </w:rPr>
        <w:t xml:space="preserve"> Групп</w:t>
      </w:r>
      <w:r w:rsidR="002919A7">
        <w:rPr>
          <w:lang w:val="ru-RU"/>
        </w:rPr>
        <w:t>е</w:t>
      </w:r>
      <w:r>
        <w:rPr>
          <w:lang w:val="ru-RU"/>
        </w:rPr>
        <w:t xml:space="preserve"> рассмотреть в докладе. В добавление будет включено краткое изложение содержания обоих томов, а также обновленная информация, представленная секретариатом в настоящей записке.</w:t>
      </w:r>
      <w:bookmarkStart w:id="0" w:name="_Hlk162196883"/>
      <w:bookmarkEnd w:id="0"/>
    </w:p>
    <w:p w14:paraId="304B36C0" w14:textId="3FF02820" w:rsidR="00323A74" w:rsidRPr="00607E1A" w:rsidRDefault="00323A74" w:rsidP="003D7FC9">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Вопросы, непосредственно не связанные с осуществлением Монреальского протокола или выполнением решений совещаний Сторон, которые при этом могут представлять интерес для Сторон, будут рассмотрены в информационной записке о вопросах, на которые секретариат обращает внимание Сторон (UNEP/OzL.Pro.WG.1/48/INF/2). В эту записку будет включена информация о деятельности секретариата, его сотрудничестве с Программой Организации Объединенных Наций по окружающей среде и другими органами и вкладе в их работу, а также о его участии в соответствующих мероприятиях и совещаниях после тридцать седьмого Совещания Сторон Монреальского протокола, которое проходило 3–7 ноября 2025 года.</w:t>
      </w:r>
    </w:p>
    <w:p w14:paraId="50803CC4" w14:textId="5212A0DA" w:rsidR="00323A74" w:rsidRPr="00607E1A" w:rsidRDefault="003D7FC9" w:rsidP="00333252">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04478E">
        <w:rPr>
          <w:bCs/>
          <w:lang w:val="ru-RU"/>
        </w:rPr>
        <w:tab/>
      </w:r>
      <w:r w:rsidR="00323A74">
        <w:rPr>
          <w:bCs/>
          <w:lang w:val="ru-RU"/>
        </w:rPr>
        <w:t>II.</w:t>
      </w:r>
      <w:r w:rsidR="00323A74">
        <w:rPr>
          <w:lang w:val="ru-RU"/>
        </w:rPr>
        <w:tab/>
      </w:r>
      <w:r w:rsidR="00323A74">
        <w:rPr>
          <w:bCs/>
          <w:lang w:val="ru-RU"/>
        </w:rPr>
        <w:t>Краткое изложение вопросов для обсуждения Рабочей группой открытого состава на ее сорок восьмом совещании</w:t>
      </w:r>
    </w:p>
    <w:p w14:paraId="62A7FCF3" w14:textId="4F7F2023" w:rsidR="00323A74" w:rsidRPr="00607E1A" w:rsidRDefault="00323A74" w:rsidP="003D7FC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t>Пункт 3 повестки дня</w:t>
      </w:r>
    </w:p>
    <w:p w14:paraId="619FD6A2" w14:textId="3D048B39" w:rsidR="00323A74" w:rsidRPr="00607E1A" w:rsidRDefault="00323A74" w:rsidP="003D7FC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Доклад Группы по техническому обзору и экономической оценке о пополнении Многостороннего фонда для осуществления Монреальского протокола на трехгодичный период 2027–2029 годов (решение XXXVII/6)</w:t>
      </w:r>
    </w:p>
    <w:p w14:paraId="4BF9F552" w14:textId="68DD973C"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Тридцать седьмое Совещание Сторон приняло решение XXXVII/6 о техническом задании для исследования по вопросу о пополнении Многостороннего фонда для осуществления Монреальского протокола на 2027–2029 годы. В этом решении Группе по техническому обзору и экономической оценке было поручено подготовить доклад для представления тридцать восьмому Совещанию Сторон и представить его через Рабочую группу открытого состава на ее сорок восьмом совещании, с тем чтобы тридцать восьмое Совещание Сторон могло принять решение о надлежащем уровне пополнения Многостороннего фонда в период 2027–2029 годов.</w:t>
      </w:r>
    </w:p>
    <w:p w14:paraId="4F4516EA" w14:textId="094D7C99" w:rsidR="00323A74" w:rsidRPr="00607E1A" w:rsidRDefault="001773CD" w:rsidP="00333252">
      <w:pPr>
        <w:pStyle w:val="Normalnumber"/>
        <w:tabs>
          <w:tab w:val="clear" w:pos="624"/>
          <w:tab w:val="clear" w:pos="1247"/>
          <w:tab w:val="clear" w:pos="1814"/>
          <w:tab w:val="clear" w:pos="2381"/>
          <w:tab w:val="clear" w:pos="2948"/>
          <w:tab w:val="clear" w:pos="3515"/>
        </w:tabs>
        <w:ind w:left="1247"/>
        <w:rPr>
          <w:lang w:val="ru-RU"/>
        </w:rPr>
      </w:pPr>
      <w:r>
        <w:rPr>
          <w:lang w:val="ru-RU"/>
        </w:rPr>
        <w:t>При подготовке доклада Группе было предложено учесть все меры регулирования и решения, согласованные совещаниями Сторон до тридцать седьмого Совещания Сторон включительно, а также Исполнительным комитетом Многостороннего фонда до его девяносто восьмого совещания включительно; особые потребности стран с низким и очень низким объемом потребления; необходимость направления ресурсов для обеспечения возможности всем Сторонам, действующим в соответствии с пунктом 1 статьи 5 Монреальского протокола (Стороны, действующие в рамках статьи 5), выполнять все меры регулирования гидрофторуглеродов (ГФУ) и их обязательства в соответствии с утвержденными планами регулирования поэтапного вывода из обращения гидрохлорфторуглеродов (ГХФУ) и планами осуществления Кигалийской поправки; интеграцию цифровых технологий и инструментов в секторе обслуживания; сценарий, предусматривающий направление ресурсов для механизма финансирования в интересах поддержки ограниченного числа экспериментальных проектов по усилению регионального атмосферного мониторинга регулируемых веществ.</w:t>
      </w:r>
    </w:p>
    <w:p w14:paraId="288CFDD4" w14:textId="156AD58D" w:rsidR="00323A74" w:rsidRPr="00607E1A" w:rsidRDefault="001132F8"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Группе было поручено также при оценке потребностей в финансировании, связанных с целевыми показателями для гидрохлорфторуглеродов и гидрофторуглеродов, использовать четко сформулированную и основанную на соблюдении методологию, которая учитывает план работы Многостороннего фонда, но не зависит от него, и в которой применяется диапазон показателей </w:t>
      </w:r>
      <w:proofErr w:type="spellStart"/>
      <w:r>
        <w:rPr>
          <w:lang w:val="ru-RU"/>
        </w:rPr>
        <w:t>затратоэффективности</w:t>
      </w:r>
      <w:proofErr w:type="spellEnd"/>
      <w:r>
        <w:rPr>
          <w:lang w:val="ru-RU"/>
        </w:rPr>
        <w:t xml:space="preserve"> для обрабатывающих отраслей, основанных на историческом опыте, а не только на пороговых значениях </w:t>
      </w:r>
      <w:proofErr w:type="spellStart"/>
      <w:r>
        <w:rPr>
          <w:lang w:val="ru-RU"/>
        </w:rPr>
        <w:t>затратоэффективности</w:t>
      </w:r>
      <w:proofErr w:type="spellEnd"/>
      <w:r>
        <w:rPr>
          <w:lang w:val="ru-RU"/>
        </w:rPr>
        <w:t>, утвержденных Исполнительным комитетом. Кроме того, Группе было поручено подготовить – отдельно от основных расчетных потребностей в финансировании – сценарии с учетом различного числа Сторон, действующих в рамках статьи 5, которыми еще не представлены планы выполнения Кигалийской поправки для поэтапного сокращения оборота ГФУ с опережением целевых показателей Монреальского протокола на добровольной основе.</w:t>
      </w:r>
    </w:p>
    <w:p w14:paraId="43F27A4B" w14:textId="2FE9D276"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заключение Группе было поручено представить ориентировочные показатели пополнения на периоды 2030–2032 и 2033–2035 годов для поддержания стабильного и достаточного уровня финансирования при том понимании, что эти показатели будут обновлены при последующих исследованиях по вопросу о пополнении.</w:t>
      </w:r>
    </w:p>
    <w:p w14:paraId="484A65A3" w14:textId="46A147C3"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Во второй половине 2025 года секретариат в консультации с сопредседателями и соответствующими членами Группы по техническому обзору и экономической оценке оказал </w:t>
      </w:r>
      <w:r>
        <w:rPr>
          <w:lang w:val="ru-RU"/>
        </w:rPr>
        <w:lastRenderedPageBreak/>
        <w:t>экспертную поддержку Группе в оценке уровня пополнения Многостороннего фонда на 2027</w:t>
      </w:r>
      <w:r w:rsidR="000C246F" w:rsidRPr="000C246F">
        <w:rPr>
          <w:lang w:val="ru-RU"/>
        </w:rPr>
        <w:noBreakHyphen/>
      </w:r>
      <w:r>
        <w:rPr>
          <w:lang w:val="ru-RU"/>
        </w:rPr>
        <w:t>2029 годы. Указанная поддержка была направлена на обновление и совершенствование модели расчета затрат, используемой Группой, с целью повышения ее функциональности, гибкости, транспарентности и доступности, а также для того, чтобы Стороны могли лучше понимать различные сценарии пополнения</w:t>
      </w:r>
      <w:r w:rsidR="00E179BB">
        <w:rPr>
          <w:lang w:val="ru-RU"/>
        </w:rPr>
        <w:t>, а также</w:t>
      </w:r>
      <w:r>
        <w:rPr>
          <w:lang w:val="ru-RU"/>
        </w:rPr>
        <w:t xml:space="preserve"> выводы.</w:t>
      </w:r>
    </w:p>
    <w:p w14:paraId="692A089C" w14:textId="6F2BB065"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Во исполнение решения XXXVII/6 Группа создала целевую группу. Доклад этой целевой группы будет опубликован в качестве тома 2 доклада Группы за 2026 год. Краткое изложение этого доклада будет включено в добавление к настоящей записке.</w:t>
      </w:r>
    </w:p>
    <w:p w14:paraId="0C99462E" w14:textId="3954D4CB" w:rsidR="00323A74" w:rsidRPr="00607E1A" w:rsidRDefault="00323A74" w:rsidP="000C246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t>Пункт 4 повестки дня</w:t>
      </w:r>
    </w:p>
    <w:p w14:paraId="6F260FB3" w14:textId="37124756" w:rsidR="00323A74" w:rsidRPr="00607E1A" w:rsidRDefault="00323A74" w:rsidP="000C246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 xml:space="preserve">Сообщения Группы по техническому обзору и экономической оценке, посвященные ее докладу о ходе работы </w:t>
      </w:r>
      <w:r w:rsidR="00E179BB">
        <w:rPr>
          <w:bCs/>
          <w:lang w:val="ru-RU"/>
        </w:rPr>
        <w:t xml:space="preserve">за </w:t>
      </w:r>
      <w:r>
        <w:rPr>
          <w:bCs/>
          <w:lang w:val="ru-RU"/>
        </w:rPr>
        <w:t>2026 год</w:t>
      </w:r>
    </w:p>
    <w:p w14:paraId="223540B0" w14:textId="69AD0706" w:rsidR="00323A74" w:rsidRPr="00607E1A" w:rsidRDefault="000C246F" w:rsidP="00333252">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tab/>
      </w:r>
      <w:r w:rsidR="00323A74">
        <w:rPr>
          <w:bCs/>
          <w:lang w:val="ru-RU"/>
        </w:rPr>
        <w:t>a)</w:t>
      </w:r>
      <w:r w:rsidR="00323A74">
        <w:rPr>
          <w:lang w:val="ru-RU"/>
        </w:rPr>
        <w:tab/>
      </w:r>
      <w:proofErr w:type="spellStart"/>
      <w:r w:rsidR="00323A74">
        <w:rPr>
          <w:bCs/>
          <w:lang w:val="ru-RU"/>
        </w:rPr>
        <w:t>Галон</w:t>
      </w:r>
      <w:proofErr w:type="spellEnd"/>
      <w:r w:rsidR="00323A74">
        <w:rPr>
          <w:bCs/>
          <w:lang w:val="ru-RU"/>
        </w:rPr>
        <w:t xml:space="preserve"> 1301 и его дальнейше</w:t>
      </w:r>
      <w:r w:rsidR="00E179BB">
        <w:rPr>
          <w:bCs/>
          <w:lang w:val="ru-RU"/>
        </w:rPr>
        <w:t xml:space="preserve">е </w:t>
      </w:r>
      <w:r w:rsidR="00323A74">
        <w:rPr>
          <w:bCs/>
          <w:lang w:val="ru-RU"/>
        </w:rPr>
        <w:t>использование в авиационном секторе;</w:t>
      </w:r>
      <w:r w:rsidR="00323A74">
        <w:rPr>
          <w:lang w:val="ru-RU"/>
        </w:rPr>
        <w:t xml:space="preserve"> </w:t>
      </w:r>
      <w:r w:rsidR="00323A74">
        <w:rPr>
          <w:bCs/>
          <w:lang w:val="ru-RU"/>
        </w:rPr>
        <w:t>обращение с другими регулируемыми веществами, используемыми для пожаротушения (решение</w:t>
      </w:r>
      <w:r w:rsidR="00E179BB">
        <w:rPr>
          <w:bCs/>
          <w:lang w:val="ru-RU"/>
        </w:rPr>
        <w:t> </w:t>
      </w:r>
      <w:r w:rsidR="00323A74">
        <w:rPr>
          <w:bCs/>
          <w:lang w:val="ru-RU"/>
        </w:rPr>
        <w:t>XXXVII/4)</w:t>
      </w:r>
    </w:p>
    <w:p w14:paraId="6FFF60BF" w14:textId="293D45B8"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На тридцать седьмом Совещании Сторон было принято решение XXXVII/4, в пункте 1 которого секретариату по озону было поручено взаимодействовать с секретариатом Международной организации гражданской авиации (ИКАО) по вопросам средств пожаротушения, регулируемых Монреальским протоколом, и содействовать обмену информацией между Группой по техническому обзору и экономической оценке через ее Комитет по техническим вариантам замены для пожаротушения и соответствующими техническими комитетами и рабочими группами ИКАО. Данное поручение было направлено на то, чтобы представить Группе возможность более точно оценить будущее использование галонов в гражданской авиации и потребность в них.</w:t>
      </w:r>
    </w:p>
    <w:p w14:paraId="332F8429" w14:textId="55903D81"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4 февраля 2026 года секретариат направил ИКАО письмо, в котором сообщил о принятии решения XXXVII/4 и выразил удовлетворение тесным сотрудничеством между соответствующими органами ИКАО и Группой по техническому обзору и экономической оценке, а также ее Комитетом по техническим вариантам замены для пожаротушения в ходе выполнения требуемой работы. Любая новая информация о взаимодействии между секретариатом по озону и секретариатом ИКАО, а также между Группой по техническому обзору и экономической оценке и ее Комитетом по техническим вариантам замены для пожаротушения и соответствующими техническими комитетами и рабочими группами ИКАО будет представлена в </w:t>
      </w:r>
      <w:r w:rsidR="00E179BB" w:rsidRPr="00E179BB">
        <w:rPr>
          <w:lang w:val="ru-RU"/>
        </w:rPr>
        <w:t>добавлении</w:t>
      </w:r>
      <w:r w:rsidR="00E179BB">
        <w:rPr>
          <w:lang w:val="ru-RU"/>
        </w:rPr>
        <w:t xml:space="preserve"> </w:t>
      </w:r>
      <w:r>
        <w:rPr>
          <w:lang w:val="ru-RU"/>
        </w:rPr>
        <w:t>к настоящей записке.</w:t>
      </w:r>
    </w:p>
    <w:p w14:paraId="40EDEDA4" w14:textId="7DA128CC" w:rsidR="00323A74" w:rsidRPr="00607E1A" w:rsidRDefault="00EE48F5"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1 решения XXXVII/4 участники тридцать седьмого Совещания Сторон также поручили Группе представить Сторонам доклад о наличии галонов и глобальном распределении фондов галонов до сорок восьмого совещания Рабочей группы открытого состава. Ответ Группы по техническому обзору и экономической оценке на это поручение будет включен в доклад Группы о ходе работы и кратко изложен в </w:t>
      </w:r>
      <w:r w:rsidR="00E179BB" w:rsidRPr="00E179BB">
        <w:rPr>
          <w:lang w:val="ru-RU"/>
        </w:rPr>
        <w:t>добавлении</w:t>
      </w:r>
      <w:r w:rsidR="00E179BB">
        <w:rPr>
          <w:lang w:val="ru-RU"/>
        </w:rPr>
        <w:t xml:space="preserve"> </w:t>
      </w:r>
      <w:r>
        <w:rPr>
          <w:lang w:val="ru-RU"/>
        </w:rPr>
        <w:t>к настоящей записке.</w:t>
      </w:r>
    </w:p>
    <w:p w14:paraId="02C270C4" w14:textId="6B7FE285" w:rsidR="00323A74" w:rsidRPr="00607E1A" w:rsidRDefault="00EE48F5"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2 решения XXXVII/4 Сторонам было рекомендовано посредством их национальных должностных лиц по озоновому слою взаимодействовать с их национальными ведомствами гражданской авиации, чтобы получить представление о том, как галоны и их альтернативы </w:t>
      </w:r>
      <w:r w:rsidR="00E85997" w:rsidRPr="00E85997">
        <w:rPr>
          <w:lang w:val="ru-RU"/>
        </w:rPr>
        <w:t>поставляются авиаперевозчикам и используются ими</w:t>
      </w:r>
      <w:r w:rsidR="00E85997" w:rsidRPr="00E85997" w:rsidDel="00E85997">
        <w:rPr>
          <w:lang w:val="ru-RU"/>
        </w:rPr>
        <w:t xml:space="preserve"> </w:t>
      </w:r>
      <w:r>
        <w:rPr>
          <w:lang w:val="ru-RU"/>
        </w:rPr>
        <w:t xml:space="preserve">для удовлетворения имеющихся потребностей </w:t>
      </w:r>
      <w:r w:rsidR="00E85997">
        <w:rPr>
          <w:lang w:val="ru-RU"/>
        </w:rPr>
        <w:t xml:space="preserve">в </w:t>
      </w:r>
      <w:r>
        <w:rPr>
          <w:lang w:val="ru-RU"/>
        </w:rPr>
        <w:t>гражданской авиации. В пункте 3 этого решения Сторонам также было рекомендовано провести повторную оценку любых национальных ограничений на импорт и экспорт, кроме требований в отношении лицензирования или квотирования, в целях оказания содействия импорту и экспорту утилизированных, рециркулированных или восстановленных галонов и других регулируемых веществ, используемых для пожаротушения, с целью содействия удовлетворению сохраняющихся потребностей Сторон и с учетом требований Базельской конвенции о контроле за трансграничной перевозкой опасных отходов и их удалением, где это применимо.</w:t>
      </w:r>
    </w:p>
    <w:p w14:paraId="786CCDEA" w14:textId="0A2FBE6C"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Секретариат по озону в сотрудничестве с секретариатом Базельской конвенции, Роттердамской конвенци</w:t>
      </w:r>
      <w:r w:rsidR="000D3D3B">
        <w:rPr>
          <w:lang w:val="ru-RU"/>
        </w:rPr>
        <w:t>и</w:t>
      </w:r>
      <w:r>
        <w:rPr>
          <w:lang w:val="ru-RU"/>
        </w:rPr>
        <w:t xml:space="preserve"> о процедуре предварительного обоснованного согласия в отношении отдельных опасных химических веществ и пестицидов в международной торговле, Стокгольмской </w:t>
      </w:r>
      <w:r w:rsidR="000D3D3B">
        <w:rPr>
          <w:lang w:val="ru-RU"/>
        </w:rPr>
        <w:t xml:space="preserve">конвенции </w:t>
      </w:r>
      <w:r>
        <w:rPr>
          <w:lang w:val="ru-RU"/>
        </w:rPr>
        <w:t xml:space="preserve">о стойких органических загрязнителях и секретариатом Многостороннего фонда разрабатывает практическое пособие по вопросам трансграничных перевозок веществ, регулируемых Монреальским протоколом, и оборудования, в котором используются такие вещества. Ожидается, что это пособие, в котором рассматриваются связи </w:t>
      </w:r>
      <w:r>
        <w:rPr>
          <w:lang w:val="ru-RU"/>
        </w:rPr>
        <w:lastRenderedPageBreak/>
        <w:t>между Монреальским протоколом и Базельской конвенцией в отношении таких трансграничных перевозок, будет подготовлено до сорок восьмого совещания Рабочей группы открытого состава и будет представлено в качестве справочного документа.</w:t>
      </w:r>
    </w:p>
    <w:p w14:paraId="01248B7E" w14:textId="0E5CC236" w:rsidR="00323A74" w:rsidRPr="00607E1A" w:rsidRDefault="00EE48F5"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4 решения XXXVII/4 Сторонам было предложено на добровольной основе представить в секретариат по озону не позднее 31 марта 2026 года имеющуюся информацию о разработке альтернатив, пригодных для применения в качестве заменителей в целях пожаротушения, и поручить секретариату по озону направить полученную информацию Группе по техническому обзору и экономической оценке в срок, позволяющий рассмотреть ее и включить в доклад о ходе работы в 2027 году, но не позднее. На момент подготовки настоящей записки 31 Сторона (Европейский союз и его государства-члены, Мексика, Перу и Соединенные Штаты Америки) представила запрошенную информацию. Полученные материалы были переданы Группе по техническому обзору и экономической оценке. Кроме того, Канада сообщила об отсутствии информации для представления во исполнение решения</w:t>
      </w:r>
      <w:r w:rsidR="007467F6">
        <w:rPr>
          <w:lang w:val="ru-RU"/>
        </w:rPr>
        <w:t> </w:t>
      </w:r>
      <w:r>
        <w:rPr>
          <w:lang w:val="ru-RU"/>
        </w:rPr>
        <w:t xml:space="preserve">XXXVII/4, а </w:t>
      </w:r>
      <w:r w:rsidR="00FA308B" w:rsidRPr="00FA308B">
        <w:rPr>
          <w:lang w:val="ru-RU"/>
        </w:rPr>
        <w:t>П</w:t>
      </w:r>
      <w:r w:rsidR="00FA308B">
        <w:rPr>
          <w:lang w:val="ru-RU"/>
        </w:rPr>
        <w:t xml:space="preserve">еру и </w:t>
      </w:r>
      <w:r>
        <w:rPr>
          <w:lang w:val="ru-RU"/>
        </w:rPr>
        <w:t xml:space="preserve">Сент-Винсент и Гренадины сообщили секретариату, что они не используют </w:t>
      </w:r>
      <w:proofErr w:type="spellStart"/>
      <w:r>
        <w:rPr>
          <w:lang w:val="ru-RU"/>
        </w:rPr>
        <w:t>галон</w:t>
      </w:r>
      <w:proofErr w:type="spellEnd"/>
      <w:r w:rsidR="000D3D3B">
        <w:rPr>
          <w:lang w:val="ru-RU"/>
        </w:rPr>
        <w:t> </w:t>
      </w:r>
      <w:r>
        <w:rPr>
          <w:lang w:val="ru-RU"/>
        </w:rPr>
        <w:t>1301 в системах пожаротушения. Любая новая информация о представлении Сторонами запрашиваемых сведений будет включена в добавление к настоящей записке.</w:t>
      </w:r>
    </w:p>
    <w:p w14:paraId="7208002A" w14:textId="288600F5" w:rsidR="00323A74" w:rsidRPr="00607E1A" w:rsidRDefault="000C246F" w:rsidP="00333252">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tab/>
      </w:r>
      <w:r w:rsidR="00323A74">
        <w:rPr>
          <w:bCs/>
          <w:lang w:val="ru-RU"/>
        </w:rPr>
        <w:t>b)</w:t>
      </w:r>
      <w:r w:rsidR="00323A74">
        <w:rPr>
          <w:lang w:val="ru-RU"/>
        </w:rPr>
        <w:tab/>
      </w:r>
      <w:r w:rsidR="00323A74">
        <w:rPr>
          <w:bCs/>
          <w:lang w:val="ru-RU"/>
        </w:rPr>
        <w:t xml:space="preserve">Дозированные ингаляторы с </w:t>
      </w:r>
      <w:proofErr w:type="spellStart"/>
      <w:r w:rsidR="00323A74">
        <w:rPr>
          <w:bCs/>
          <w:lang w:val="ru-RU"/>
        </w:rPr>
        <w:t>пропеллентами</w:t>
      </w:r>
      <w:proofErr w:type="spellEnd"/>
      <w:r w:rsidR="00323A74">
        <w:rPr>
          <w:bCs/>
          <w:lang w:val="ru-RU"/>
        </w:rPr>
        <w:t xml:space="preserve"> с низким потенциалом глобального потепления (решение XXXVI/6)</w:t>
      </w:r>
    </w:p>
    <w:p w14:paraId="37FB4F95" w14:textId="717F5C59"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Тридцать шестое Совещание Сторон приняло решение XXXVI/6, в котором, среди прочего, предложило Сторонам, производящим дозированные ингаляторы, представлять в секретариат по озону на добровольной основе, предпочтительно до июня 2025 года или по мере появления, любую соответствующую информацию о ходе разработки дозированных ингаляторов с использованием </w:t>
      </w:r>
      <w:proofErr w:type="spellStart"/>
      <w:r>
        <w:rPr>
          <w:lang w:val="ru-RU"/>
        </w:rPr>
        <w:t>пропеллентов</w:t>
      </w:r>
      <w:proofErr w:type="spellEnd"/>
      <w:r>
        <w:rPr>
          <w:lang w:val="ru-RU"/>
        </w:rPr>
        <w:t xml:space="preserve">, обладающих более низким потенциалом глобального потепления, о наличии других альтернатив и о применении полученного ранее опыта замены </w:t>
      </w:r>
      <w:proofErr w:type="spellStart"/>
      <w:r>
        <w:rPr>
          <w:lang w:val="ru-RU"/>
        </w:rPr>
        <w:t>пропеллентов</w:t>
      </w:r>
      <w:proofErr w:type="spellEnd"/>
      <w:r>
        <w:rPr>
          <w:lang w:val="ru-RU"/>
        </w:rPr>
        <w:t xml:space="preserve"> для дозированных ингаляторов. В пункте 3 этого решения Группе по техническому обзору и экономической оценке было поручено продолжать представлять в ее годовых докладах о ходе работы обновленную информацию о </w:t>
      </w:r>
      <w:proofErr w:type="spellStart"/>
      <w:r>
        <w:rPr>
          <w:lang w:val="ru-RU"/>
        </w:rPr>
        <w:t>пропеллентах</w:t>
      </w:r>
      <w:proofErr w:type="spellEnd"/>
      <w:r>
        <w:rPr>
          <w:lang w:val="ru-RU"/>
        </w:rPr>
        <w:t xml:space="preserve"> с низким потенциалом глобального потепления для дозированных ингаляторов и дополнить четырехгодичный доклад об оценке, который должен быть представлен в 2026 году, актуальной информацией о таких </w:t>
      </w:r>
      <w:proofErr w:type="spellStart"/>
      <w:r>
        <w:rPr>
          <w:lang w:val="ru-RU"/>
        </w:rPr>
        <w:t>пропеллентах</w:t>
      </w:r>
      <w:proofErr w:type="spellEnd"/>
      <w:r>
        <w:rPr>
          <w:lang w:val="ru-RU"/>
        </w:rPr>
        <w:t xml:space="preserve"> во всех Сторонах, в том числе об их наличии, технической осуществимости, экономической эффективности, безопасности и поступлении в коммерческий оборот этих </w:t>
      </w:r>
      <w:proofErr w:type="spellStart"/>
      <w:r>
        <w:rPr>
          <w:lang w:val="ru-RU"/>
        </w:rPr>
        <w:t>пропеллентов</w:t>
      </w:r>
      <w:proofErr w:type="spellEnd"/>
      <w:r>
        <w:rPr>
          <w:lang w:val="ru-RU"/>
        </w:rPr>
        <w:t xml:space="preserve"> в Сторонах, действующих</w:t>
      </w:r>
      <w:r w:rsidR="00E179BB">
        <w:rPr>
          <w:lang w:val="ru-RU"/>
        </w:rPr>
        <w:t xml:space="preserve"> в</w:t>
      </w:r>
      <w:r>
        <w:rPr>
          <w:lang w:val="ru-RU"/>
        </w:rPr>
        <w:t xml:space="preserve"> рамках статьи 5, и Сторонах, не действующих в рамках пункта 1 статьи 5 (Сторонах, не действующих в рамках статьи 5).</w:t>
      </w:r>
    </w:p>
    <w:p w14:paraId="3F28E3F7" w14:textId="7E749E69"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На сорок седьмом совещании Рабочей группы открытого состава представители рассмотрели обновленную информацию о </w:t>
      </w:r>
      <w:proofErr w:type="spellStart"/>
      <w:r>
        <w:rPr>
          <w:lang w:val="ru-RU"/>
        </w:rPr>
        <w:t>пропеллентах</w:t>
      </w:r>
      <w:proofErr w:type="spellEnd"/>
      <w:r>
        <w:rPr>
          <w:lang w:val="ru-RU"/>
        </w:rPr>
        <w:t xml:space="preserve"> для дозированных ингаляторов с низким потенциалом глобального потепления в докладе о ходе работы Группы по техническому обзору и экономической оценке (2025 год). В ходе последующих обсуждений поднимались вопросы доступности и разработки альтернатив дозированным ингаляторам, в которых используются </w:t>
      </w:r>
      <w:proofErr w:type="spellStart"/>
      <w:r>
        <w:rPr>
          <w:lang w:val="ru-RU"/>
        </w:rPr>
        <w:t>пропелленты</w:t>
      </w:r>
      <w:proofErr w:type="spellEnd"/>
      <w:r>
        <w:rPr>
          <w:lang w:val="ru-RU"/>
        </w:rPr>
        <w:t xml:space="preserve"> с высоким потенциалом глобального потепления, а также трудности, связанные с внедрением таких альтернатив; по этим вопросам представители обратились к Группе за дополнительными рекомендациями. Было отмечено право Сторон самостоятельно принимать решения о поэтапном отказе от использования ГФУ в дозированных ингаляторах, а также роль и ответственность фармацевтической промышленности и необходимость оказания помощи фармацевтическим отраслям в развивающихся странах в освоении альтернатив. Было предложено продолжать направлять информацию, запрошенную в решении XXXVI/6, с целью обеспечения более полного обсуждения данной темы. Краткое изложение обсуждений этого вопроса, состоявшихся в ходе сорок седьмого совещания Рабочей группы открытого состава, приводится в пунктах 93–97 доклада о работе совещания (UNEP/OzL.Pro.WG.1/47/6).</w:t>
      </w:r>
    </w:p>
    <w:p w14:paraId="1EBE5698" w14:textId="7A0453B5"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На момент подготовки настоящей записки секретариатом по озону не было получено дополнительных материалов, помимо тех, которые были представлены </w:t>
      </w:r>
      <w:r w:rsidR="00E85997">
        <w:rPr>
          <w:lang w:val="ru-RU"/>
        </w:rPr>
        <w:t xml:space="preserve">в 2025 году </w:t>
      </w:r>
      <w:r>
        <w:rPr>
          <w:lang w:val="ru-RU"/>
        </w:rPr>
        <w:t>Европейским союзом и его 27 государствами-членами, а также Соединенными Штатами Америки.</w:t>
      </w:r>
    </w:p>
    <w:p w14:paraId="070CD339" w14:textId="4A6DABB7"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Краткое изложение любой обновленной информации о </w:t>
      </w:r>
      <w:proofErr w:type="spellStart"/>
      <w:r>
        <w:rPr>
          <w:lang w:val="ru-RU"/>
        </w:rPr>
        <w:t>пропеллентах</w:t>
      </w:r>
      <w:proofErr w:type="spellEnd"/>
      <w:r>
        <w:rPr>
          <w:lang w:val="ru-RU"/>
        </w:rPr>
        <w:t xml:space="preserve"> для дозированных ингаляторов с низким потенциалом глобального потепления в докладе о ходе работы Группы по техническому обзору и экономической оценке </w:t>
      </w:r>
      <w:r w:rsidR="00E179BB">
        <w:rPr>
          <w:lang w:val="ru-RU"/>
        </w:rPr>
        <w:t xml:space="preserve">за </w:t>
      </w:r>
      <w:r>
        <w:rPr>
          <w:lang w:val="ru-RU"/>
        </w:rPr>
        <w:t>2026 год и любые обновленные данные о представлении Сторонами информации, описанной в пункте 16 выше, будут включены в добавление к настоящей записке.</w:t>
      </w:r>
    </w:p>
    <w:p w14:paraId="120FE88F" w14:textId="37DF88C0" w:rsidR="00323A74" w:rsidRPr="00607E1A" w:rsidRDefault="000C246F" w:rsidP="00333252">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lastRenderedPageBreak/>
        <w:tab/>
      </w:r>
      <w:r w:rsidR="00323A74">
        <w:rPr>
          <w:bCs/>
          <w:lang w:val="ru-RU"/>
        </w:rPr>
        <w:t>c)</w:t>
      </w:r>
      <w:r w:rsidR="00323A74">
        <w:rPr>
          <w:lang w:val="ru-RU"/>
        </w:rPr>
        <w:tab/>
      </w:r>
      <w:r w:rsidR="00323A74">
        <w:rPr>
          <w:bCs/>
          <w:lang w:val="ru-RU"/>
        </w:rPr>
        <w:t>Варианты организации Группы и ее комитетов по техническим вариантам замены (решение XXXV/20)</w:t>
      </w:r>
    </w:p>
    <w:p w14:paraId="075967EE" w14:textId="2C459B31"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решении XXXV/20 тридцать пятого Совещания Сторон Группе по техническому обзору и экономической оценке было предложено представить варианты организации работы Группы и ее комитетов по техническим вариантам замены. Полный текст доклада Группы по этому вопросу изложен в главе 8 ее доклада о ходе работы за 2025 год и кратко изложен в записке секретариата о вопросах для обсуждения Рабочей группой открытого состава на ее сорок седьмом совещании и информации для ее сведения (UNEP/OzL.Pro.WG.1/47/2, пункты</w:t>
      </w:r>
      <w:r w:rsidR="000C246F">
        <w:rPr>
          <w:lang w:val="en-US"/>
        </w:rPr>
        <w:t> </w:t>
      </w:r>
      <w:r>
        <w:rPr>
          <w:lang w:val="ru-RU"/>
        </w:rPr>
        <w:t>17–21) и добавлении к ней (UNEP/OzL.Pro.WG.1/47/2/Add.1, пункты 19–28 и таблица</w:t>
      </w:r>
      <w:r w:rsidR="000C246F">
        <w:rPr>
          <w:lang w:val="en-US"/>
        </w:rPr>
        <w:t> </w:t>
      </w:r>
      <w:r>
        <w:rPr>
          <w:lang w:val="ru-RU"/>
        </w:rPr>
        <w:t xml:space="preserve">1). </w:t>
      </w:r>
    </w:p>
    <w:p w14:paraId="0BF4CEDC" w14:textId="0031FABE"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ходе сорок седьмого совещания Рабочей группы открытого состава неофициальная группа заинтересованных Сторон провела совещание с сопредседателями Группы по техническому обзору и экономической оценке и ее комитетов по техническим вариантам замены в кулуарах совещания для обсуждения вариантов организации Группы и ее комитетов по техническим вариантам замены. По итогам этих обсуждений группа указала, что экспертной группе требуется дополнительное время для предоставления информации, запрошенной Сторонами. Некоторые представители также указали, что им требуется больше времени для рассмотрения этого вопроса. Рабочая группа постановила возобновить обсуждение этого вопроса на тридцать седьмом Совещании Сторон.</w:t>
      </w:r>
    </w:p>
    <w:p w14:paraId="49B086A4" w14:textId="37103B73"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Группа подготовила дополнительную информацию, запрошенную Сторонами в ходе неофициальных групповых обсуждений, и выразила готовность ответить на любые вопросы на тридцать седьмом Совещании Сторон. Неофициальная группа, сформированная в ходе тридцать седьмого Совещания Сторон, рассмотрела различные варианты, но заключила, что в настоящее время реорганизация Группы экспертов и ее Комитетов по техническим вариантам замены представляется преждевременной. Учитывая важность продолжения обсуждения данного вопроса, в частности в отношении оптимизации рабочей нагрузки, членского состава и финансовых ограничений, Стороны постановили включить этот пункт в повестку дня сорок восьмого совещания Рабочей группы открытого состава.</w:t>
      </w:r>
    </w:p>
    <w:p w14:paraId="142A2EAD" w14:textId="0A4D37B4" w:rsidR="00323A74" w:rsidRPr="00607E1A" w:rsidRDefault="00454F54" w:rsidP="00333252">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tab/>
      </w:r>
      <w:r w:rsidR="00323A74">
        <w:rPr>
          <w:bCs/>
          <w:lang w:val="ru-RU"/>
        </w:rPr>
        <w:t>d)</w:t>
      </w:r>
      <w:r w:rsidR="00323A74">
        <w:rPr>
          <w:lang w:val="ru-RU"/>
        </w:rPr>
        <w:tab/>
      </w:r>
      <w:r w:rsidR="00323A74">
        <w:rPr>
          <w:bCs/>
          <w:lang w:val="ru-RU"/>
        </w:rPr>
        <w:t>Изменения в членском составе Группы</w:t>
      </w:r>
    </w:p>
    <w:p w14:paraId="314D684F" w14:textId="0DD7F5DB" w:rsidR="00323A74" w:rsidRPr="00607E1A" w:rsidRDefault="00EF7D62"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Ожидается, что в докладе о ходе работы Группы по техническому обзору и экономической оценке </w:t>
      </w:r>
      <w:r w:rsidR="00607E1A">
        <w:rPr>
          <w:lang w:val="ru-RU"/>
        </w:rPr>
        <w:t xml:space="preserve">за 2026 год </w:t>
      </w:r>
      <w:r>
        <w:rPr>
          <w:lang w:val="ru-RU"/>
        </w:rPr>
        <w:t>будет содержаться информация о составе Группы и ее комитетов по техническим вариантам замены, включая срок полномочий каждого члена; экспертных знани</w:t>
      </w:r>
      <w:r w:rsidR="00607E1A">
        <w:rPr>
          <w:lang w:val="ru-RU"/>
        </w:rPr>
        <w:t>я</w:t>
      </w:r>
      <w:r>
        <w:rPr>
          <w:lang w:val="ru-RU"/>
        </w:rPr>
        <w:t xml:space="preserve">х, имеющихся в каждом комитете; и матрице необходимых экспертных знаний Группы и ее комитетов по техническим вариантам замены. В соответствии с </w:t>
      </w:r>
      <w:r w:rsidR="002919A7">
        <w:rPr>
          <w:lang w:val="ru-RU"/>
        </w:rPr>
        <w:t>поручением</w:t>
      </w:r>
      <w:r>
        <w:rPr>
          <w:lang w:val="ru-RU"/>
        </w:rPr>
        <w:t>, содержащ</w:t>
      </w:r>
      <w:r w:rsidR="002919A7">
        <w:rPr>
          <w:lang w:val="ru-RU"/>
        </w:rPr>
        <w:t>им</w:t>
      </w:r>
      <w:r>
        <w:rPr>
          <w:lang w:val="ru-RU"/>
        </w:rPr>
        <w:t>ся в решении XXXI/8 «Круг ведения Группы по техническому обзору и экономической оценке, ее комитетов по техническим вариантам замены и временных вспомогательных органов: процедуры выдвижения кандидатур», ожидается, что Группа представит в своем докладе за 2026 год краткое изложение мер, которые Группа и ее комитеты по техническим вариантам замены приняли для обеспечения соблюдения круга ведения Группы на основе четких и транспарентных процедур.</w:t>
      </w:r>
    </w:p>
    <w:p w14:paraId="01A760CA" w14:textId="2CC4F0F9"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Информация об изменениях в членском составе Группы по техническому обзору и экономической оценке, а также о процедуре представления кандидатур будет изложена в </w:t>
      </w:r>
      <w:r w:rsidR="00E179BB" w:rsidRPr="00E179BB">
        <w:rPr>
          <w:lang w:val="ru-RU"/>
        </w:rPr>
        <w:t>добавлении</w:t>
      </w:r>
      <w:r w:rsidR="00E179BB">
        <w:rPr>
          <w:lang w:val="ru-RU"/>
        </w:rPr>
        <w:t xml:space="preserve"> </w:t>
      </w:r>
      <w:r>
        <w:rPr>
          <w:lang w:val="ru-RU"/>
        </w:rPr>
        <w:t>к настоящей записке вместе с матрицей необходимых экспертных знаний.</w:t>
      </w:r>
    </w:p>
    <w:p w14:paraId="0D38E0CE" w14:textId="4F5E9F66" w:rsidR="00323A74" w:rsidRPr="00851078" w:rsidRDefault="00454F54" w:rsidP="00333252">
      <w:pPr>
        <w:pStyle w:val="CH3"/>
        <w:keepNext w:val="0"/>
        <w:keepLines w:val="0"/>
        <w:tabs>
          <w:tab w:val="clear" w:pos="1247"/>
          <w:tab w:val="clear" w:pos="1871"/>
          <w:tab w:val="clear" w:pos="2495"/>
          <w:tab w:val="clear" w:pos="3119"/>
          <w:tab w:val="clear" w:pos="3742"/>
          <w:tab w:val="clear" w:pos="4366"/>
          <w:tab w:val="clear" w:pos="4990"/>
        </w:tabs>
        <w:spacing w:before="0"/>
        <w:ind w:right="284"/>
      </w:pPr>
      <w:r w:rsidRPr="0004478E">
        <w:rPr>
          <w:bCs/>
          <w:lang w:val="ru-RU"/>
        </w:rPr>
        <w:tab/>
      </w:r>
      <w:r w:rsidR="00323A74">
        <w:rPr>
          <w:bCs/>
          <w:lang w:val="ru-RU"/>
        </w:rPr>
        <w:t>e)</w:t>
      </w:r>
      <w:r w:rsidR="00323A74">
        <w:rPr>
          <w:lang w:val="ru-RU"/>
        </w:rPr>
        <w:tab/>
      </w:r>
      <w:r w:rsidR="00323A74">
        <w:rPr>
          <w:bCs/>
          <w:lang w:val="ru-RU"/>
        </w:rPr>
        <w:t>Иные вопросы</w:t>
      </w:r>
    </w:p>
    <w:p w14:paraId="5A14F3E3" w14:textId="26246E72"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Любой Стороне, желающей обсудить любые иные вопросы, связанные с докладом Группы о ходе работы </w:t>
      </w:r>
      <w:r w:rsidR="002919A7">
        <w:rPr>
          <w:lang w:val="ru-RU"/>
        </w:rPr>
        <w:t xml:space="preserve">за </w:t>
      </w:r>
      <w:r>
        <w:rPr>
          <w:lang w:val="ru-RU"/>
        </w:rPr>
        <w:t xml:space="preserve">2026 год, для обсуждения на сорок восьмом совещании Рабочей группы открытого состава, предлагается поднять их во время утверждения повестки дня </w:t>
      </w:r>
      <w:r w:rsidR="002919A7">
        <w:rPr>
          <w:lang w:val="ru-RU"/>
        </w:rPr>
        <w:t>в ходе самого совещания</w:t>
      </w:r>
      <w:r>
        <w:rPr>
          <w:lang w:val="ru-RU"/>
        </w:rPr>
        <w:t xml:space="preserve"> и просить о включении этих вопросов в повестку дня в случае необходимости.</w:t>
      </w:r>
    </w:p>
    <w:p w14:paraId="70DD2184" w14:textId="70A28288" w:rsidR="00323A74" w:rsidRPr="00607E1A" w:rsidRDefault="00323A74" w:rsidP="008D751E">
      <w:pPr>
        <w:pStyle w:val="CH2"/>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lastRenderedPageBreak/>
        <w:t>Пункт 5 повестки дня</w:t>
      </w:r>
    </w:p>
    <w:p w14:paraId="6E5BC993" w14:textId="4E9023B5" w:rsidR="00323A74" w:rsidRPr="00607E1A" w:rsidRDefault="00323A74" w:rsidP="008D751E">
      <w:pPr>
        <w:pStyle w:val="CH2"/>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Усиление регионального атмосферного мониторинга веществ, регулируемых в рамках Монреальского протокола (решение</w:t>
      </w:r>
      <w:r w:rsidR="00454F54">
        <w:rPr>
          <w:bCs/>
          <w:lang w:val="en-US"/>
        </w:rPr>
        <w:t> </w:t>
      </w:r>
      <w:r>
        <w:rPr>
          <w:bCs/>
          <w:lang w:val="ru-RU"/>
        </w:rPr>
        <w:t>XXXVII/1)</w:t>
      </w:r>
    </w:p>
    <w:p w14:paraId="5250F9B9" w14:textId="79F95834" w:rsidR="00323A74" w:rsidRPr="00607E1A" w:rsidRDefault="005A21BA" w:rsidP="008D751E">
      <w:pPr>
        <w:pStyle w:val="Normalnumber"/>
        <w:keepNext/>
        <w:keepLines/>
        <w:tabs>
          <w:tab w:val="clear" w:pos="624"/>
          <w:tab w:val="clear" w:pos="1247"/>
          <w:tab w:val="clear" w:pos="1814"/>
          <w:tab w:val="clear" w:pos="2381"/>
          <w:tab w:val="clear" w:pos="2948"/>
          <w:tab w:val="clear" w:pos="3515"/>
        </w:tabs>
        <w:ind w:left="1247"/>
        <w:rPr>
          <w:color w:val="000000" w:themeColor="text1"/>
          <w:lang w:val="ru-RU"/>
        </w:rPr>
      </w:pPr>
      <w:r>
        <w:rPr>
          <w:lang w:val="ru-RU"/>
        </w:rPr>
        <w:t>На тридцать седьмом Совещании Сторон был заслушан доклад о ходе выполнения решения XXXVI/1 об усилении регионального атмосферного мониторинга веществ, регулируемых в рамках Монреальского протокола (UNEP/OzL.Pro.37/9, пункты 90–93). В докладе, с которым выступили сопредседатель Консультативного комитета при Общем целевом фонде для финансирования связанной с Венской конвенцией об охране озонового слоя деятельности по проведению исследований и систематических наблюдений, а также представитель секретариата по озону в составе Консультативного комитета, были освещены успехи, достигнутые в ходе оценки пригодности потенциальных участков для мониторинга региональных выбросов регулируемых веществ, а также обновленные данные о смете расходов секретариата и вариантах долгосрочного финансирования, связанного с мониторингом атмосферы, а также перечень из 10 потенциальных регионов и мест, отобранных Консультативным комитетом для создания станций мониторинга, пять из которых были определены Комитетом в качестве приоритетных</w:t>
      </w:r>
      <w:r w:rsidR="00323A74" w:rsidRPr="00851078">
        <w:rPr>
          <w:rStyle w:val="FootnoteReference"/>
          <w:lang w:val="ru-RU"/>
        </w:rPr>
        <w:footnoteReference w:id="3"/>
      </w:r>
      <w:r>
        <w:rPr>
          <w:lang w:val="ru-RU"/>
        </w:rPr>
        <w:t xml:space="preserve">. </w:t>
      </w:r>
    </w:p>
    <w:p w14:paraId="078908A6" w14:textId="7C6B10BD"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В ходе последовавших обсуждений представители обратились к сопредседателю Консультативного комитета с вопросом о процедуре отбора регионов, в которых в будущем могут быть размещены станции мониторинга, в том числе о критериях отбора. Они высказали свои мнения о возможном сотрудничестве с соответствующими учреждениями, в том числе в рамках совместных проектов по мониторингу и обмена данными. Говоря о необходимости обеспечения устойчивого финансирования, они подняли вопрос о будущем финансировании программы мониторинга атмосферы после истечения предлагаемого пятилетнего срока, в том числе о необходимости адекватной технической и финансовой поддержки со стороны Многостороннего фонда. Представители также подчеркнули необходимость получения как разрешения, так и согласия от принимающих стран, а также четких обязательств со стороны принимающих учреждений. Краткое изложение обсуждений приводится в пунктах 103–117 доклада о работе совещания (UNEP/OzL.Pro.37/9).</w:t>
      </w:r>
    </w:p>
    <w:p w14:paraId="566A4575" w14:textId="1CEC710A"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Впоследствии на тридцать седьмом Совещании Сторон было принято решение</w:t>
      </w:r>
      <w:r w:rsidR="00454F54">
        <w:rPr>
          <w:lang w:val="en-US"/>
        </w:rPr>
        <w:t> </w:t>
      </w:r>
      <w:r>
        <w:rPr>
          <w:lang w:val="ru-RU"/>
        </w:rPr>
        <w:t xml:space="preserve">XXXVII/1. В пункте 1 этого решения секретариату по озону было поручено продолжать оценивать пригодность потенциальных мест для мониторинга выбросов регулируемых веществ, расположенных в регионах и местах, указанных в информации, представленной Консультативным комитетом, во взаимодействии с Консультативным комитетом, а также при добровольном участии заинтересованных сторон и в консультации с ними. В пунктах 2 и 3 секретариату по озону было поручено подготовить в консультации с заинтересованными Сторонами, выразившими интерес, возможные дальнейшие шаги по организации мониторинга на потенциальных участках с учетом приоритетности, представленной Консультативным комитетом на тридцать седьмом Совещании Сторон, и поэтапного подхода к отбору проб, изложенного в добавлении к записке секретариата о вопросах для обсуждения и информации для сведения тридцать седьмого Совещания Сторон (UNEP/OzL.Pro.37/2/Add.1), а также осуществить эту деятельность за счет статьи бюджета на 2026 год в размере 100 000 долл. США, выделенных в порядке исключения из остатка кассовых средств Целевого фонда для Монреальского протокола. В пункте 4 этого решения секретариату по озону было поручено представить Рабочей группе открытого состава </w:t>
      </w:r>
      <w:r w:rsidR="00E179BB">
        <w:rPr>
          <w:lang w:val="ru-RU"/>
        </w:rPr>
        <w:t xml:space="preserve">на </w:t>
      </w:r>
      <w:r>
        <w:rPr>
          <w:lang w:val="ru-RU"/>
        </w:rPr>
        <w:t>ее сорок восьмом совещании, а также на тридцать восьмом Совещании Сторон доклад о ходе и результатах этой работы.</w:t>
      </w:r>
    </w:p>
    <w:p w14:paraId="45F76F72" w14:textId="6F8C3382"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 xml:space="preserve">В пункте 5 решения XXXVII/1 Исполнительному комитету Многостороннего фонда было поручено принять во внимание информацию, в том числе о поэтапном подходе и сметных расходах, касающуюся создания и эксплуатации станций атмосферного мониторинга, как это изложено в </w:t>
      </w:r>
      <w:r w:rsidR="00E179BB" w:rsidRPr="00E179BB">
        <w:rPr>
          <w:lang w:val="ru-RU"/>
        </w:rPr>
        <w:t>добавлении</w:t>
      </w:r>
      <w:r w:rsidR="00E179BB">
        <w:rPr>
          <w:lang w:val="ru-RU"/>
        </w:rPr>
        <w:t xml:space="preserve"> </w:t>
      </w:r>
      <w:r>
        <w:rPr>
          <w:lang w:val="ru-RU"/>
        </w:rPr>
        <w:t xml:space="preserve">к записке секретариата о вопросах для обсуждения и информации для сведения тридцать седьмого Совещания Сторон (UNEP/OzL.Pro.37/2/Add.1), при разработке </w:t>
      </w:r>
      <w:r>
        <w:rPr>
          <w:lang w:val="ru-RU"/>
        </w:rPr>
        <w:lastRenderedPageBreak/>
        <w:t>руководящих принципов и рассмотрении вопроса о механизме финансирования для поддержки экспериментальных проектов, и представить новые сведения о достигнутых результатах Сторонам до тридцать восьмого Совещания Сторон. Ожидается, что в ходе сегмента высокого уровня тридцать восьмого Совещания Сторон Председатель Исполнительного комитета представит доклад о ходе работы Исполнительного комитета по выполнению поручения тридцать седьмого совещания Сторон в этой связи.</w:t>
      </w:r>
    </w:p>
    <w:p w14:paraId="407B4F5E" w14:textId="36EAC9BA"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Доклад секретариата и Консультативного комитета о ходе выполнения решения</w:t>
      </w:r>
      <w:r w:rsidR="00454F54">
        <w:rPr>
          <w:lang w:val="en-US"/>
        </w:rPr>
        <w:t> </w:t>
      </w:r>
      <w:r>
        <w:rPr>
          <w:lang w:val="ru-RU"/>
        </w:rPr>
        <w:t>XXXVII/1 и связанных с ним вопросах будет кратко изложен в добавлении к настоящей записке, а секретариат и сопредседатель Консультативного комитета представят Рабочей группе открытого состава сообщение по данному вопросу. Дополнительный доклад будет представлен тридцать восьмому Совещанию Сторон в соответствии с пунктом 4 решения</w:t>
      </w:r>
      <w:r w:rsidR="00941910">
        <w:rPr>
          <w:lang w:val="en-US"/>
        </w:rPr>
        <w:t> </w:t>
      </w:r>
      <w:r>
        <w:rPr>
          <w:lang w:val="ru-RU"/>
        </w:rPr>
        <w:t>XXXVII/1.</w:t>
      </w:r>
    </w:p>
    <w:p w14:paraId="55A092A7" w14:textId="4625DA52" w:rsidR="00323A74" w:rsidRPr="00607E1A" w:rsidRDefault="00323A74" w:rsidP="0094191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Пункт 6 повестки дня</w:t>
      </w:r>
    </w:p>
    <w:p w14:paraId="0C26F1C7" w14:textId="5A5970B4" w:rsidR="00323A74" w:rsidRPr="00607E1A" w:rsidRDefault="00323A74" w:rsidP="0094191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Обеспечение устойчивости деятельности в рамках Монреальского протокола (решение XXXVII/7)</w:t>
      </w:r>
    </w:p>
    <w:p w14:paraId="4D16225A" w14:textId="03B6FCBE" w:rsidR="00323A74" w:rsidRPr="00607E1A" w:rsidRDefault="00851878"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В пункте 1 решения XXXVII/7 тридцать седьмое Совещание Сторон поручило секретариату по озону подготовить для рассмотрения Рабочей группой открытого состава на ее сорок восьмом совещании доклад о вариантах внесения эффективных и действенных изменений, с соответствующими сметами, в отношении сроков проведения, поддержки секретариатом и продолжительности совещаний Сторон Монреальского протокола и совещаний Рабочей группы открытого состава, Комитета по выполнению в рамках процедуры, касающейся несоблюдения Монреальского протокола, и групп по оценке, а также сроков принятия решений о пополнении. В пункте 2 этого решения указывается, что доклад не должен предвосхищать рассмотрение в будущем Сторонами представленных в нем вариантов и должен включать как возможные преимущества, так и недостатки этих вариантов.</w:t>
      </w:r>
    </w:p>
    <w:p w14:paraId="6530C656" w14:textId="5C9ECFDE" w:rsidR="00323A74" w:rsidRPr="00607E1A" w:rsidRDefault="00851878"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На рассмотрение Сторон будет представлена записка секретариата, подготовленная во исполнение решения XXXVII/7 (UNEP/OzL.Pro.WG.1/48/4).</w:t>
      </w:r>
    </w:p>
    <w:p w14:paraId="1B35C3CF" w14:textId="5164A73F" w:rsidR="00323A74" w:rsidRPr="00607E1A" w:rsidRDefault="00323A74" w:rsidP="0094191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t>Пункт 7 повестки дня</w:t>
      </w:r>
    </w:p>
    <w:p w14:paraId="78A5AB9F" w14:textId="14D43AFF" w:rsidR="00323A74" w:rsidRPr="00607E1A" w:rsidRDefault="00323A74" w:rsidP="0094191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Дальнейшее укрепление учреждений Монреальского протокола (документ UNEP/OzL.Pro.37/9, пункт 166)</w:t>
      </w:r>
    </w:p>
    <w:p w14:paraId="06B5E149" w14:textId="17590D84" w:rsidR="00323A74" w:rsidRPr="00851078" w:rsidRDefault="00323A74" w:rsidP="00333252">
      <w:pPr>
        <w:pStyle w:val="Normalnumber"/>
        <w:tabs>
          <w:tab w:val="clear" w:pos="624"/>
          <w:tab w:val="clear" w:pos="1247"/>
          <w:tab w:val="clear" w:pos="1814"/>
          <w:tab w:val="clear" w:pos="2381"/>
          <w:tab w:val="clear" w:pos="2948"/>
          <w:tab w:val="clear" w:pos="3515"/>
        </w:tabs>
        <w:ind w:left="1247"/>
      </w:pPr>
      <w:r>
        <w:rPr>
          <w:lang w:val="ru-RU"/>
        </w:rPr>
        <w:t>Во исполнение пункта 4 решения XXXVI/9 о последующих действиях по дальнейшему укреплению учреждений Монреальского протокола секретариат по озону организовал однодневное неофициальное совещание Сторон, посвященное содействию осуществлению Монреальского протокола. Это неофициальное совещание состоялось 2 ноября 202</w:t>
      </w:r>
      <w:r w:rsidR="00E85997">
        <w:rPr>
          <w:lang w:val="ru-RU"/>
        </w:rPr>
        <w:t>5</w:t>
      </w:r>
      <w:r>
        <w:rPr>
          <w:lang w:val="ru-RU"/>
        </w:rPr>
        <w:t xml:space="preserve"> года, непосредственно перед началом тридцать седьмого Совещания Сторон, а краткое изложение его итогов (UNEP/OzL.Pro.37/7) было представлено тридцать седьмому Совещанию Сторон.</w:t>
      </w:r>
    </w:p>
    <w:p w14:paraId="0A905E00" w14:textId="14973475"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ходе тридцать седьмой сессии Конференции Сторон представитель Европейского союза внес на рассмотрение проект решения, направленного на оптимизацию информации, предоставляемой Сторонами секретариату об их системах лицензирования, с целью укрепления таких систем. После первоначального обмена мнениями о данном предложении, краткое изложение которого содержится</w:t>
      </w:r>
      <w:r w:rsidR="00E179BB">
        <w:rPr>
          <w:lang w:val="ru-RU"/>
        </w:rPr>
        <w:t xml:space="preserve"> в пунктах</w:t>
      </w:r>
      <w:r>
        <w:rPr>
          <w:lang w:val="ru-RU"/>
        </w:rPr>
        <w:t xml:space="preserve"> 159–163 доклада о работе совещания (UNEP/OzL.Pro37/9), была сформирована неофициальная группа для уточнения и обсуждения проекта решения, представленного Европейским союзом, а также других ключевых вопросов, поднятых в ходе неофициального совещания. Представители выразили заинтересованность </w:t>
      </w:r>
      <w:proofErr w:type="gramStart"/>
      <w:r w:rsidR="00E179BB">
        <w:rPr>
          <w:lang w:val="ru-RU"/>
        </w:rPr>
        <w:t>в продолжени</w:t>
      </w:r>
      <w:r w:rsidR="000D3D3B">
        <w:rPr>
          <w:lang w:val="ru-RU"/>
        </w:rPr>
        <w:t>и</w:t>
      </w:r>
      <w:proofErr w:type="gramEnd"/>
      <w:r>
        <w:rPr>
          <w:lang w:val="ru-RU"/>
        </w:rPr>
        <w:t xml:space="preserve"> диалога по итогам </w:t>
      </w:r>
      <w:r w:rsidR="00E179BB">
        <w:rPr>
          <w:lang w:val="ru-RU"/>
        </w:rPr>
        <w:t>неофициального</w:t>
      </w:r>
      <w:r>
        <w:rPr>
          <w:lang w:val="ru-RU"/>
        </w:rPr>
        <w:t xml:space="preserve"> совещания, и Стороны постановили включить этот вопрос в повестку дня сорок восьмого совещания Рабочей группы открытого состава.</w:t>
      </w:r>
    </w:p>
    <w:p w14:paraId="5F72ED7B" w14:textId="3418DD89"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Помимо краткого изложения итогов неофициального совещания, Сторонам будет представлен свод информации, полученной от Сторон, о незаконных торговых операциях и подходах, применяемых национальными органами для выявления и рассмотрения таких случаев (UNEP/OzL.Pro.WG.1/48/3). Настоящая записка представляет собой обновленную редакцию аналогичного свода, представленного до сорок седьмого совещания Рабочей группы открытого состава для рассмотрения на тридцать седьмом Совещании Сторон (UNEP/OzL.Pro.WG.1/47/5), и содержит информацию, полученную от Сторон после 22 апреля 2025 года.</w:t>
      </w:r>
    </w:p>
    <w:p w14:paraId="570D6C76" w14:textId="6C0E5279" w:rsidR="00323A74" w:rsidRPr="00607E1A" w:rsidRDefault="00323A74" w:rsidP="00907608">
      <w:pPr>
        <w:pStyle w:val="CH2"/>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lastRenderedPageBreak/>
        <w:t>Пункт 8 повестки дня</w:t>
      </w:r>
    </w:p>
    <w:p w14:paraId="3906D078" w14:textId="243BA280" w:rsidR="00323A74" w:rsidRPr="00941910" w:rsidRDefault="00323A74" w:rsidP="0094191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bCs/>
          <w:lang w:val="ru-RU"/>
        </w:rPr>
        <w:t>Ход подготовки к тридцать восьмому Совещанию Сторон, которое состоится в Кигали</w:t>
      </w:r>
    </w:p>
    <w:p w14:paraId="2D3CAFC2" w14:textId="0FF8E8FB" w:rsidR="00DB20CC" w:rsidRPr="00607E1A" w:rsidRDefault="00323A74" w:rsidP="00333252">
      <w:pPr>
        <w:pStyle w:val="Normalnumber"/>
        <w:tabs>
          <w:tab w:val="clear" w:pos="624"/>
          <w:tab w:val="clear" w:pos="1247"/>
          <w:tab w:val="clear" w:pos="1814"/>
          <w:tab w:val="clear" w:pos="2381"/>
          <w:tab w:val="clear" w:pos="2948"/>
          <w:tab w:val="clear" w:pos="3515"/>
        </w:tabs>
        <w:rPr>
          <w:lang w:val="ru-RU"/>
        </w:rPr>
      </w:pPr>
      <w:r>
        <w:rPr>
          <w:lang w:val="ru-RU"/>
        </w:rPr>
        <w:t>В соответствии с решением XXXVII/22 тридцать седьмое Совещание Сторон постановило провести тридцать восьмое Совещание Сторон в Кигали 2–6 ноября 2026 года. Тридцать восьмое Совещание Сторон пройдет одновременно с семьдесят седьмым совещанием Комитета по выполнению и совещанием Бюро тридцать седьмого Совещания Сторон, а также с другими сопутствующими мероприятиями.</w:t>
      </w:r>
    </w:p>
    <w:p w14:paraId="5578711F" w14:textId="13BB8AF3" w:rsidR="00323A74" w:rsidRPr="00851078" w:rsidRDefault="005A2106" w:rsidP="00333252">
      <w:pPr>
        <w:pStyle w:val="Normalnumber"/>
        <w:tabs>
          <w:tab w:val="clear" w:pos="624"/>
          <w:tab w:val="clear" w:pos="1247"/>
          <w:tab w:val="clear" w:pos="1814"/>
          <w:tab w:val="clear" w:pos="2381"/>
          <w:tab w:val="clear" w:pos="2948"/>
          <w:tab w:val="clear" w:pos="3515"/>
        </w:tabs>
        <w:ind w:left="1247"/>
      </w:pPr>
      <w:r>
        <w:rPr>
          <w:lang w:val="ru-RU"/>
        </w:rPr>
        <w:t>Секретариат провел ознакомительную поездку в Кигали с 11 по 13 марта 2026 года и приступил к обсуждению с правительством Руанды и группой обслуживания конференций вопросов материально-технического обеспечения совещаний. Эти вопросы будут согласованы заблаговременно до начала совещаний.</w:t>
      </w:r>
    </w:p>
    <w:p w14:paraId="089890D3" w14:textId="0DE200BC" w:rsidR="00323A74" w:rsidRPr="00851078" w:rsidRDefault="00323A74" w:rsidP="00941910">
      <w:pPr>
        <w:pStyle w:val="Normalnumber"/>
        <w:tabs>
          <w:tab w:val="clear" w:pos="624"/>
          <w:tab w:val="clear" w:pos="1247"/>
          <w:tab w:val="clear" w:pos="1814"/>
          <w:tab w:val="clear" w:pos="2381"/>
          <w:tab w:val="clear" w:pos="2948"/>
          <w:tab w:val="clear" w:pos="3515"/>
        </w:tabs>
        <w:spacing w:after="240"/>
        <w:ind w:left="1247"/>
      </w:pPr>
      <w:r>
        <w:rPr>
          <w:lang w:val="ru-RU"/>
        </w:rPr>
        <w:t xml:space="preserve">Представитель правительства Руанды проинформирует Стороны о ходе подготовки к тридцать восьмому Совещанию Сторон. </w:t>
      </w:r>
    </w:p>
    <w:p w14:paraId="5FF8AAF8" w14:textId="29BCE0B5" w:rsidR="00323A74" w:rsidRPr="00607E1A" w:rsidRDefault="00941910" w:rsidP="00333252">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907608">
        <w:rPr>
          <w:bCs/>
          <w:lang w:val="ru-RU"/>
        </w:rPr>
        <w:tab/>
      </w:r>
      <w:r w:rsidR="00323A74">
        <w:rPr>
          <w:bCs/>
          <w:lang w:val="ru-RU"/>
        </w:rPr>
        <w:t>III.</w:t>
      </w:r>
      <w:r w:rsidR="00323A74">
        <w:rPr>
          <w:lang w:val="ru-RU"/>
        </w:rPr>
        <w:tab/>
      </w:r>
      <w:r w:rsidR="00323A74">
        <w:rPr>
          <w:bCs/>
          <w:lang w:val="ru-RU"/>
        </w:rPr>
        <w:t>Актуальные вопросы для тридцать восьмого Совещания Сторон, включая обновленную информацию о выполнении ранее принятых решений</w:t>
      </w:r>
    </w:p>
    <w:p w14:paraId="61C3CE66" w14:textId="4E055B2A" w:rsidR="00323A74" w:rsidRPr="00607E1A" w:rsidRDefault="00941910" w:rsidP="00333252">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tab/>
      </w:r>
      <w:r w:rsidR="00323A74">
        <w:rPr>
          <w:bCs/>
          <w:lang w:val="ru-RU"/>
        </w:rPr>
        <w:t>A.</w:t>
      </w:r>
      <w:r w:rsidR="00323A74">
        <w:rPr>
          <w:lang w:val="ru-RU"/>
        </w:rPr>
        <w:tab/>
      </w:r>
      <w:r w:rsidR="00323A74">
        <w:rPr>
          <w:bCs/>
          <w:lang w:val="ru-RU"/>
        </w:rPr>
        <w:t>Усиление регионального атмосферного мониторинга веществ, регулируемых в рамках Монреальского протокола (решение XXXVII/1)</w:t>
      </w:r>
    </w:p>
    <w:p w14:paraId="2FD204E2" w14:textId="53987A8B"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 xml:space="preserve">В соответствии с решением XXXVII/1 и как указано в пункте 30 выше, секретариат и Консультативный комитет представят на тридцать восьмом Совещании Сторон доклад о ходе работы и любых результатах своей деятельности, связанной с оценкой пригодности потенциальных мест для мониторинга региональных выбросов регулируемых веществ. </w:t>
      </w:r>
    </w:p>
    <w:p w14:paraId="2712262C" w14:textId="3E874B2D" w:rsidR="00323A74" w:rsidRPr="00607E1A" w:rsidRDefault="00941910" w:rsidP="00333252">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4478E">
        <w:rPr>
          <w:bCs/>
          <w:lang w:val="ru-RU"/>
        </w:rPr>
        <w:tab/>
      </w:r>
      <w:r w:rsidR="00323A74">
        <w:rPr>
          <w:bCs/>
          <w:lang w:val="ru-RU"/>
        </w:rPr>
        <w:t>B.</w:t>
      </w:r>
      <w:r w:rsidR="00323A74">
        <w:rPr>
          <w:lang w:val="ru-RU"/>
        </w:rPr>
        <w:tab/>
      </w:r>
      <w:r w:rsidR="00323A74">
        <w:rPr>
          <w:bCs/>
          <w:lang w:val="ru-RU"/>
        </w:rPr>
        <w:t>Выбросы ГФУ-23 (решение XXXVII/2)</w:t>
      </w:r>
    </w:p>
    <w:p w14:paraId="7E4F382D" w14:textId="0F442A0F"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На тридцать седьмом Совещании Сторон было принято решение XXXVII/2, в пункте 2 которого было решено предложить Сторонам, у которых имеются объекты для производства ГХФУ-22 и которыми не представлена информация согласно решению XXXVI/3, представить в секретариат по озону на добровольной основе не позднее 28 февраля 2026 года сведения об их текущих методах для оценки выбросов ГФУ-23 при производстве ГХФУ-22 и представления сведений о них. </w:t>
      </w:r>
    </w:p>
    <w:p w14:paraId="402B2084" w14:textId="41F5334F"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3 этого решения соответствующим Сторонам было предложено представить данные за 2025 год в соответствии с формой 6 форм представления данных о количествах произведенных, уловленных, уничтоженных и складированных ГФУ-23, а также изучать, в надлежащих случаях, их выбросы ГФУ-23 и источники этих выбросов и стимулировать научно</w:t>
      </w:r>
      <w:r w:rsidR="003E1CCD">
        <w:rPr>
          <w:lang w:val="ru-RU"/>
        </w:rPr>
        <w:noBreakHyphen/>
      </w:r>
      <w:r>
        <w:rPr>
          <w:lang w:val="ru-RU"/>
        </w:rPr>
        <w:t>исследовательские учреждения в их странах проводить исследования их выбросов ГФУ-23 и источников этих выбросов или сотрудничать на международном уровне в таких исследованиях, а также сообщать в секретариат по озону новую соответствующую информацию.</w:t>
      </w:r>
    </w:p>
    <w:p w14:paraId="518B3FB2" w14:textId="768D1768"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На момент подготовки настоящего доклада 3</w:t>
      </w:r>
      <w:r w:rsidR="00FA308B">
        <w:rPr>
          <w:lang w:val="ru-RU"/>
        </w:rPr>
        <w:t>2</w:t>
      </w:r>
      <w:r>
        <w:rPr>
          <w:lang w:val="ru-RU"/>
        </w:rPr>
        <w:t xml:space="preserve"> </w:t>
      </w:r>
      <w:r w:rsidR="00FA308B">
        <w:rPr>
          <w:lang w:val="ru-RU"/>
        </w:rPr>
        <w:t>С</w:t>
      </w:r>
      <w:r>
        <w:rPr>
          <w:lang w:val="ru-RU"/>
        </w:rPr>
        <w:t>торон</w:t>
      </w:r>
      <w:r w:rsidR="00FA308B">
        <w:rPr>
          <w:lang w:val="ru-RU"/>
        </w:rPr>
        <w:t>ы</w:t>
      </w:r>
      <w:r>
        <w:rPr>
          <w:lang w:val="ru-RU"/>
        </w:rPr>
        <w:t xml:space="preserve">, а именно Австралия, Европейский союз и его государства-члены, Китай, </w:t>
      </w:r>
      <w:r w:rsidR="00FA308B">
        <w:rPr>
          <w:lang w:val="ru-RU"/>
        </w:rPr>
        <w:t>Перу и</w:t>
      </w:r>
      <w:r>
        <w:rPr>
          <w:lang w:val="ru-RU"/>
        </w:rPr>
        <w:t xml:space="preserve"> Российская Федерация, представили информацию в соответствии с пунктами 2 и 3 данного решения. Полученная информация была передана в Группу по научной оценке и Группу по техническому обзору и экономической оценке.</w:t>
      </w:r>
    </w:p>
    <w:p w14:paraId="66175E09" w14:textId="11B3A6B4"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1 решения XXXVII/2 Группе по научной оценке и Группе по техническому обзору и экономической оценке было поручено представить тридцать восьмому Совещанию Сторон обновленную информацию о выбросах ГФУ-23 с учетом данных, представленных Сторонами во исполнение решения XXXVI/3 и в соответствии с пунктом 2 решения XXXVII/2.</w:t>
      </w:r>
    </w:p>
    <w:p w14:paraId="297F7F53" w14:textId="1B6C111A" w:rsidR="00323A74" w:rsidRPr="00607E1A" w:rsidRDefault="00323A74" w:rsidP="00333252">
      <w:pPr>
        <w:pStyle w:val="Normalnumber"/>
        <w:tabs>
          <w:tab w:val="clear" w:pos="624"/>
          <w:tab w:val="clear" w:pos="1247"/>
          <w:tab w:val="clear" w:pos="1814"/>
          <w:tab w:val="clear" w:pos="2381"/>
          <w:tab w:val="clear" w:pos="2948"/>
          <w:tab w:val="clear" w:pos="3515"/>
        </w:tabs>
        <w:ind w:left="1247"/>
        <w:rPr>
          <w:color w:val="000000" w:themeColor="text1"/>
          <w:lang w:val="ru-RU"/>
        </w:rPr>
      </w:pPr>
      <w:r>
        <w:rPr>
          <w:lang w:val="ru-RU"/>
        </w:rPr>
        <w:t>Вопрос о выбросах ГФУ-23 будет включен в повестку дня тридцать восьмого Совещания Сторон. Ожидается, что доклады групп будут представлены в начале сентября 2026</w:t>
      </w:r>
      <w:r w:rsidR="0029648A">
        <w:rPr>
          <w:lang w:val="en-US"/>
        </w:rPr>
        <w:t> </w:t>
      </w:r>
      <w:r>
        <w:rPr>
          <w:lang w:val="ru-RU"/>
        </w:rPr>
        <w:t>года, а их краткое изложение будет включено в добавление к соответствующей записке секретариата для этого совещания.</w:t>
      </w:r>
    </w:p>
    <w:p w14:paraId="1B4456E4" w14:textId="1BD8D9A1" w:rsidR="00323A74" w:rsidRPr="00607E1A" w:rsidRDefault="0029648A" w:rsidP="00333252">
      <w:pPr>
        <w:pStyle w:val="CH2"/>
        <w:keepNext w:val="0"/>
        <w:keepLines w:val="0"/>
        <w:tabs>
          <w:tab w:val="clear" w:pos="1247"/>
          <w:tab w:val="clear" w:pos="1871"/>
          <w:tab w:val="clear" w:pos="2495"/>
          <w:tab w:val="clear" w:pos="3119"/>
          <w:tab w:val="clear" w:pos="3742"/>
          <w:tab w:val="clear" w:pos="4366"/>
          <w:tab w:val="clear" w:pos="4990"/>
        </w:tabs>
        <w:spacing w:before="0"/>
        <w:ind w:right="284"/>
        <w:rPr>
          <w:bCs/>
          <w:lang w:val="ru-RU"/>
        </w:rPr>
      </w:pPr>
      <w:r w:rsidRPr="0004478E">
        <w:rPr>
          <w:lang w:val="ru-RU"/>
        </w:rPr>
        <w:lastRenderedPageBreak/>
        <w:tab/>
      </w:r>
      <w:r w:rsidR="00323A74">
        <w:rPr>
          <w:lang w:val="ru-RU"/>
        </w:rPr>
        <w:t>C.</w:t>
      </w:r>
      <w:r w:rsidR="00323A74">
        <w:rPr>
          <w:lang w:val="ru-RU"/>
        </w:rPr>
        <w:tab/>
      </w:r>
      <w:r w:rsidR="00323A74">
        <w:rPr>
          <w:bCs/>
          <w:lang w:val="ru-RU"/>
        </w:rPr>
        <w:t>Национальные и региональные инициативы в поддержку осуществления Кигалийской поправки к Монреальскому протоколу (решение XXXVII/5)</w:t>
      </w:r>
    </w:p>
    <w:p w14:paraId="27C62419" w14:textId="02188606"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1 решения XXXVII/5 тридцать седьмое Совещание Сторон</w:t>
      </w:r>
      <w:r>
        <w:rPr>
          <w:b/>
          <w:bCs/>
          <w:lang w:val="ru-RU"/>
        </w:rPr>
        <w:t xml:space="preserve"> </w:t>
      </w:r>
      <w:r>
        <w:rPr>
          <w:lang w:val="ru-RU"/>
        </w:rPr>
        <w:t>предложило Сторонам представить в секретариат по озону не позднее 1 июня 2026 года информацию, в том числе о мерах политики, мероприятиях и основных извлеченных уроках, в отношении центров передового опыта в вопросах устойчивого охлаждения и испытательных центров в сфере энергоэффективности в связи с реализацией Кигалийской поправки. В пункте 2 этого решения секретариату по озону было поручено обобщить и кратко изложить представленную информацию и опубликовать ее до тридцать восьмого Совещания Сторон, принимая во внимание обновленный документ о центрах передового опыта в вопросах устойчивого охлаждения и испытательных центров в сфере энергоэффективности, испрошенный в решении</w:t>
      </w:r>
      <w:r w:rsidR="00C0170F">
        <w:rPr>
          <w:lang w:val="en-US"/>
        </w:rPr>
        <w:t> </w:t>
      </w:r>
      <w:r>
        <w:rPr>
          <w:lang w:val="ru-RU"/>
        </w:rPr>
        <w:t>95/87 Исполнительного комитета Многостороннего фонда. Любые обновления, касающиеся материалов, полученных от Сторон после подготовки настоящей записки, будут включены в добавление к ней.</w:t>
      </w:r>
    </w:p>
    <w:p w14:paraId="7763A08E" w14:textId="761CDB12"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Вопрос о национальных и региональных инициативах по содействию осуществлению Кигалийской поправки к Монреальскому протоколу будет включен в повестку дня тридцать восьмого Совещания Сторон, а свод информации, полученной от Сторон во исполнение решения XXXVII/5, будет представлен Сторонам.</w:t>
      </w:r>
    </w:p>
    <w:p w14:paraId="441360BF" w14:textId="1D5F015A" w:rsidR="00323A74" w:rsidRPr="00607E1A" w:rsidRDefault="00C0170F" w:rsidP="00333252">
      <w:pPr>
        <w:pStyle w:val="CH2"/>
        <w:keepNext w:val="0"/>
        <w:keepLines w:val="0"/>
        <w:tabs>
          <w:tab w:val="clear" w:pos="1247"/>
          <w:tab w:val="clear" w:pos="1871"/>
          <w:tab w:val="clear" w:pos="2495"/>
          <w:tab w:val="clear" w:pos="3119"/>
          <w:tab w:val="clear" w:pos="3742"/>
          <w:tab w:val="clear" w:pos="4366"/>
          <w:tab w:val="clear" w:pos="4990"/>
        </w:tabs>
        <w:spacing w:before="0"/>
        <w:ind w:right="284"/>
        <w:rPr>
          <w:bCs/>
          <w:lang w:val="ru-RU"/>
        </w:rPr>
      </w:pPr>
      <w:r w:rsidRPr="00916E20">
        <w:rPr>
          <w:bCs/>
          <w:lang w:val="ru-RU"/>
        </w:rPr>
        <w:tab/>
      </w:r>
      <w:r w:rsidR="00323A74">
        <w:rPr>
          <w:bCs/>
          <w:lang w:val="ru-RU"/>
        </w:rPr>
        <w:t>D.</w:t>
      </w:r>
      <w:r w:rsidR="00323A74">
        <w:rPr>
          <w:lang w:val="ru-RU"/>
        </w:rPr>
        <w:tab/>
      </w:r>
      <w:r w:rsidR="00323A74">
        <w:rPr>
          <w:bCs/>
          <w:lang w:val="ru-RU"/>
        </w:rPr>
        <w:t>Рециркулированные, использованные и невостребованные регулируемые вещества (решения XXXVII/3, пункт 3, XXXVII/4, пункт</w:t>
      </w:r>
      <w:r>
        <w:rPr>
          <w:bCs/>
          <w:lang w:val="en-US"/>
        </w:rPr>
        <w:t> </w:t>
      </w:r>
      <w:r w:rsidR="00323A74">
        <w:rPr>
          <w:bCs/>
          <w:lang w:val="ru-RU"/>
        </w:rPr>
        <w:t>3, и XXXVI/7, пункт 5)</w:t>
      </w:r>
    </w:p>
    <w:p w14:paraId="36734E4A" w14:textId="4A0E5704"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3 решения XXXVII/3 тридцать седьмое Совещание Сторон предложило Сторонам на добровольной основе представить в секретариат по озону не позднее 31 мая 2026</w:t>
      </w:r>
      <w:r w:rsidR="00C0170F">
        <w:rPr>
          <w:lang w:val="en-US"/>
        </w:rPr>
        <w:t> </w:t>
      </w:r>
      <w:r>
        <w:rPr>
          <w:lang w:val="ru-RU"/>
        </w:rPr>
        <w:t xml:space="preserve">года информацию о действующих объектах по восстановлению и уничтожению и, при наличии, о соответствующих мощностях этих объектов, включая информацию об определении действующих объектов по восстановлению и уничтожению, которые могут принимать отработанные хладагенты из других стран, а также об условиях, связанных с экспортом отработанных хладагентов для удаления с использованием таких объектов с учетом любых законодательных ограничений в отношении трансграничных перевозок. В том же пункте секретариату по озону было поручено представить эту информацию Сторонам. На момент подготовки настоящего доклада одна Сторона (Австралия) представила запрошенную информацию, которую секретариат направил Группе по техническому обзору и экономической оценке. </w:t>
      </w:r>
    </w:p>
    <w:p w14:paraId="008F2AA1" w14:textId="22DB7B24"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На тридцать восьмом Совещании Сторон секретариат представит информацию о действующих объектах по восстановлению и уничтожению, а также, при наличии таких данных, о соответствующих мощностях этих объектов, с учетом информации, полученной от Сторон и из других источников.</w:t>
      </w:r>
    </w:p>
    <w:p w14:paraId="0F630961" w14:textId="526F2A52" w:rsidR="00323A74" w:rsidRPr="00607E1A" w:rsidRDefault="00864B40"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3 этого решения XXXVII/4 Сторонам было рекомендовано провести повторную оценку любых национальных ограничений на импорт и экспорт, кроме требований в отношении лицензирования или квотирования, в целях оказания содействия импорту и экспорту утилизированных, рециркулированных или восстановленных галонов и других регулируемых веществ, используемых для пожаротушения, с целью содействия удовлетворению сохраняющихся потребностей Сторон и с учетом требований Базельской конвенции о контроле за трансграничной перевозкой опасных отходов и их удалением, где это применимо.</w:t>
      </w:r>
    </w:p>
    <w:p w14:paraId="656B8C21" w14:textId="51B940F0" w:rsidR="00323A74" w:rsidRPr="00607E1A" w:rsidRDefault="00864B40" w:rsidP="00333252">
      <w:pPr>
        <w:pStyle w:val="Normalnumber"/>
        <w:tabs>
          <w:tab w:val="clear" w:pos="624"/>
          <w:tab w:val="clear" w:pos="1247"/>
          <w:tab w:val="clear" w:pos="1814"/>
          <w:tab w:val="clear" w:pos="2381"/>
          <w:tab w:val="clear" w:pos="2948"/>
          <w:tab w:val="clear" w:pos="3515"/>
        </w:tabs>
        <w:ind w:left="1247"/>
        <w:rPr>
          <w:lang w:val="ru-RU"/>
        </w:rPr>
      </w:pPr>
      <w:r>
        <w:rPr>
          <w:lang w:val="ru-RU"/>
        </w:rPr>
        <w:t>В пункте 5 решения XXXVI/7 секретариату по озону было поручено продолжать поддерживать связь с соответствующими международными органами, включая секретариат Базельской конвенции, по вопросам важности рационального регулирования галонов и связанных с этим элементами решения и представлять доклады Сторонам при необходимости.</w:t>
      </w:r>
    </w:p>
    <w:p w14:paraId="69EBB4AD" w14:textId="669962C0" w:rsidR="00323A74" w:rsidRPr="00607E1A" w:rsidRDefault="00323A74" w:rsidP="00333252">
      <w:pPr>
        <w:pStyle w:val="Normalnumber"/>
        <w:tabs>
          <w:tab w:val="clear" w:pos="624"/>
          <w:tab w:val="clear" w:pos="1247"/>
          <w:tab w:val="clear" w:pos="1814"/>
          <w:tab w:val="clear" w:pos="2381"/>
          <w:tab w:val="clear" w:pos="2948"/>
          <w:tab w:val="clear" w:pos="3515"/>
        </w:tabs>
        <w:ind w:left="1247"/>
        <w:rPr>
          <w:lang w:val="ru-RU"/>
        </w:rPr>
      </w:pPr>
      <w:r>
        <w:rPr>
          <w:lang w:val="ru-RU"/>
        </w:rPr>
        <w:t>Как указано в пункте 14 выше, секретариат по озону в сотрудничестве с секретариатом Базельской, Роттердамской и Стокгольмской конвенций, а также с секретариатом Многостороннего фонда разрабатывает практическое пособие по вопросам трансграничных перевозок веществ, регулируемых Монреальским протоколом, и оборудования, в котором используются такие вещества. Ожидается, что подготовка этого пособия будет завершена до сорок восьмого совещания Рабочей группы открытого состава.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23A74" w:rsidRPr="008D751E" w14:paraId="737FECFD" w14:textId="77777777" w:rsidTr="001618EA">
        <w:tc>
          <w:tcPr>
            <w:tcW w:w="1897" w:type="dxa"/>
          </w:tcPr>
          <w:p w14:paraId="61250EA9" w14:textId="77777777" w:rsidR="00323A74" w:rsidRPr="00607E1A" w:rsidRDefault="00323A74" w:rsidP="00333252">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1897" w:type="dxa"/>
          </w:tcPr>
          <w:p w14:paraId="65B0427B" w14:textId="77777777" w:rsidR="00323A74" w:rsidRPr="00607E1A" w:rsidRDefault="00323A74" w:rsidP="00333252">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1897" w:type="dxa"/>
            <w:tcBorders>
              <w:bottom w:val="single" w:sz="4" w:space="0" w:color="auto"/>
            </w:tcBorders>
          </w:tcPr>
          <w:p w14:paraId="35F367C3" w14:textId="77777777" w:rsidR="00323A74" w:rsidRPr="00607E1A" w:rsidRDefault="00323A74" w:rsidP="00333252">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1898" w:type="dxa"/>
          </w:tcPr>
          <w:p w14:paraId="55E08013" w14:textId="77777777" w:rsidR="00323A74" w:rsidRPr="00607E1A" w:rsidRDefault="00323A74" w:rsidP="00333252">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1898" w:type="dxa"/>
          </w:tcPr>
          <w:p w14:paraId="209E49BF" w14:textId="77777777" w:rsidR="00323A74" w:rsidRPr="00607E1A" w:rsidRDefault="00323A74" w:rsidP="00333252">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r>
    </w:tbl>
    <w:p w14:paraId="12F31F10" w14:textId="39D3E8C8" w:rsidR="00167C2D" w:rsidRPr="00907608" w:rsidRDefault="00167C2D" w:rsidP="00907608">
      <w:pPr>
        <w:pStyle w:val="Normal-pool"/>
        <w:tabs>
          <w:tab w:val="clear" w:pos="624"/>
          <w:tab w:val="clear" w:pos="1247"/>
          <w:tab w:val="clear" w:pos="1871"/>
          <w:tab w:val="clear" w:pos="2495"/>
          <w:tab w:val="clear" w:pos="3119"/>
          <w:tab w:val="clear" w:pos="3742"/>
          <w:tab w:val="clear" w:pos="4366"/>
          <w:tab w:val="clear" w:pos="4990"/>
        </w:tabs>
        <w:rPr>
          <w:rFonts w:eastAsiaTheme="minorEastAsia"/>
          <w:sz w:val="2"/>
          <w:szCs w:val="2"/>
          <w:lang w:val="ru-RU"/>
        </w:rPr>
      </w:pPr>
    </w:p>
    <w:sectPr w:rsidR="00167C2D" w:rsidRPr="00907608" w:rsidSect="00167C2D">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92D5" w14:textId="77777777" w:rsidR="00867C7E" w:rsidRPr="00167C2D" w:rsidRDefault="00867C7E">
      <w:r w:rsidRPr="00167C2D">
        <w:separator/>
      </w:r>
    </w:p>
  </w:endnote>
  <w:endnote w:type="continuationSeparator" w:id="0">
    <w:p w14:paraId="1837DE0B" w14:textId="77777777" w:rsidR="00867C7E" w:rsidRPr="00167C2D" w:rsidRDefault="00867C7E">
      <w:r w:rsidRPr="00167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8FC" w14:textId="106EB07E" w:rsidR="007A36F8" w:rsidRPr="00076EFF" w:rsidRDefault="00167C2D" w:rsidP="003D7FC9">
    <w:pPr>
      <w:pStyle w:val="Footer-pool"/>
      <w:tabs>
        <w:tab w:val="clear" w:pos="624"/>
        <w:tab w:val="clear" w:pos="1247"/>
        <w:tab w:val="clear" w:pos="1871"/>
        <w:tab w:val="clear" w:pos="2495"/>
        <w:tab w:val="clear" w:pos="3119"/>
        <w:tab w:val="clear" w:pos="3742"/>
        <w:tab w:val="clear" w:pos="4366"/>
        <w:tab w:val="clear" w:pos="4990"/>
        <w:tab w:val="clear" w:pos="8641"/>
      </w:tabs>
    </w:pPr>
    <w:r w:rsidRPr="00076EFF">
      <w:rPr>
        <w:rStyle w:val="PageNumber"/>
        <w:b/>
      </w:rPr>
      <w:fldChar w:fldCharType="begin"/>
    </w:r>
    <w:r w:rsidRPr="00076EFF">
      <w:rPr>
        <w:rStyle w:val="PageNumber"/>
        <w:b/>
      </w:rPr>
      <w:instrText xml:space="preserve"> PAGE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E88" w14:textId="7D5CA200" w:rsidR="007A36F8" w:rsidRPr="00076EFF" w:rsidRDefault="00167C2D" w:rsidP="003D7FC9">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076EFF">
      <w:rPr>
        <w:rStyle w:val="PageNumber"/>
        <w:b/>
      </w:rPr>
      <w:fldChar w:fldCharType="begin"/>
    </w:r>
    <w:r w:rsidRPr="00076EFF">
      <w:rPr>
        <w:rStyle w:val="PageNumber"/>
        <w:b/>
      </w:rPr>
      <w:instrText xml:space="preserve"> PAGE \* MERGEFORMAT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049" w14:textId="05918AA4" w:rsidR="00167C2D" w:rsidRPr="00167C2D" w:rsidRDefault="00167C2D" w:rsidP="00167C2D">
    <w:pPr>
      <w:pStyle w:val="Footer-jobnumber"/>
    </w:pPr>
    <w:bookmarkStart w:id="1" w:name="FooterJobDate"/>
    <w:r>
      <w:t>K2604293[</w:t>
    </w:r>
    <w:r w:rsidR="003D7FC9">
      <w:t>R</w:t>
    </w:r>
    <w:r>
      <w:t>]</w:t>
    </w:r>
    <w:r>
      <w:tab/>
    </w:r>
    <w:r w:rsidR="00C4613B">
      <w:t>0</w:t>
    </w:r>
    <w:r w:rsidR="00AB106B">
      <w:rPr>
        <w:lang w:val="ru-RU"/>
      </w:rPr>
      <w:t>7</w:t>
    </w:r>
    <w:r w:rsidR="003D7FC9">
      <w:t>05</w:t>
    </w:r>
    <w:r>
      <w:t>26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3E7" w14:textId="77777777" w:rsidR="00867C7E" w:rsidRPr="00167C2D" w:rsidRDefault="00867C7E" w:rsidP="00C70B49">
      <w:pPr>
        <w:pStyle w:val="Footnote-Separator"/>
        <w:rPr>
          <w:szCs w:val="18"/>
        </w:rPr>
      </w:pPr>
      <w:r w:rsidRPr="00167C2D">
        <w:separator/>
      </w:r>
    </w:p>
  </w:footnote>
  <w:footnote w:type="continuationSeparator" w:id="0">
    <w:p w14:paraId="410BBC67" w14:textId="77777777" w:rsidR="00867C7E" w:rsidRPr="00167C2D" w:rsidRDefault="00867C7E" w:rsidP="00C70B49">
      <w:pPr>
        <w:pStyle w:val="Footnote-Separator"/>
      </w:pPr>
      <w:r w:rsidRPr="00167C2D">
        <w:continuationSeparator/>
      </w:r>
    </w:p>
  </w:footnote>
  <w:footnote w:type="continuationNotice" w:id="1">
    <w:p w14:paraId="28D3C407" w14:textId="77777777" w:rsidR="00867C7E" w:rsidRPr="00167C2D" w:rsidRDefault="00867C7E" w:rsidP="00C70B49">
      <w:pPr>
        <w:pStyle w:val="ASpacer"/>
      </w:pPr>
    </w:p>
  </w:footnote>
  <w:footnote w:id="2">
    <w:p w14:paraId="13E2BDC4" w14:textId="77777777" w:rsidR="00333252" w:rsidRPr="00607E1A" w:rsidRDefault="00333252" w:rsidP="003D7FC9">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lang w:val="ru-RU"/>
        </w:rPr>
        <w:t>* UNEP/OzL.Pro.WG.1/48/1.</w:t>
      </w:r>
    </w:p>
  </w:footnote>
  <w:footnote w:id="3">
    <w:p w14:paraId="4006D790" w14:textId="2FF9FFCD" w:rsidR="00323A74" w:rsidRPr="00607E1A" w:rsidRDefault="00323A74" w:rsidP="00454F54">
      <w:pPr>
        <w:pStyle w:val="Footnote-Text"/>
        <w:tabs>
          <w:tab w:val="clear" w:pos="624"/>
          <w:tab w:val="clear" w:pos="1247"/>
          <w:tab w:val="clear" w:pos="1871"/>
          <w:tab w:val="clear" w:pos="2495"/>
          <w:tab w:val="clear" w:pos="3119"/>
          <w:tab w:val="clear" w:pos="3742"/>
          <w:tab w:val="clear" w:pos="4366"/>
          <w:tab w:val="clear" w:pos="4990"/>
        </w:tabs>
        <w:rPr>
          <w:lang w:val="ru-RU"/>
        </w:rPr>
      </w:pPr>
      <w:r>
        <w:rPr>
          <w:rStyle w:val="FootnoteReference"/>
          <w:lang w:val="ru-RU"/>
        </w:rPr>
        <w:footnoteRef/>
      </w:r>
      <w:r>
        <w:rPr>
          <w:lang w:val="ru-RU"/>
        </w:rPr>
        <w:t xml:space="preserve"> В число приоритетных регионов и мест вошли: Южная Азия (Индия и Бангладеш); Юго-Восточная Азия (Вьетнам); Южная Африка (Ботсвана и Южно-Африканская Республика); Ближний Восток (Саудовская Аравия); Центральная и Южная Америка (Бразилия и Аргентина). Другими потенциальными регионами, которые были рассмотрены Комитетом, но пока не были определены в качестве приоритетных, являются: Северная Африка (Алжир); Северная Америка (Мексика); Северная часть Южной Америки (Эквадор); Восточная Европа (Российская Федерация); Западная Африка (Нигерия).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CE9" w14:textId="5DE2E1B4" w:rsidR="007A36F8" w:rsidRPr="00167C2D" w:rsidRDefault="0066713F" w:rsidP="003D7FC9">
    <w:pPr>
      <w:pStyle w:val="Header-pool"/>
      <w:tabs>
        <w:tab w:val="clear" w:pos="1247"/>
        <w:tab w:val="clear" w:pos="1814"/>
        <w:tab w:val="clear" w:pos="2381"/>
        <w:tab w:val="clear" w:pos="2948"/>
        <w:tab w:val="clear" w:pos="3515"/>
        <w:tab w:val="clear" w:pos="9072"/>
      </w:tabs>
      <w:spacing w:after="120"/>
    </w:pPr>
    <w:r>
      <w:rPr>
        <w:noProof/>
      </w:rPr>
      <w:t>UNEP/OzL.Pro.WG.1/48/2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E" w14:textId="2DB9924C" w:rsidR="007A36F8" w:rsidRPr="00167C2D" w:rsidRDefault="0066713F" w:rsidP="003D7FC9">
    <w:pPr>
      <w:pStyle w:val="Header-pool"/>
      <w:tabs>
        <w:tab w:val="clear" w:pos="1247"/>
        <w:tab w:val="clear" w:pos="1814"/>
        <w:tab w:val="clear" w:pos="2381"/>
        <w:tab w:val="clear" w:pos="2948"/>
        <w:tab w:val="clear" w:pos="3515"/>
        <w:tab w:val="clear" w:pos="9072"/>
      </w:tabs>
      <w:spacing w:after="120"/>
      <w:jc w:val="right"/>
    </w:pPr>
    <w:r>
      <w:rPr>
        <w:noProof/>
      </w:rPr>
      <w:t>UNEP/OzL.Pro.WG.1/48/2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07C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AC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18E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846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844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A6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D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43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C24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756826920">
    <w:abstractNumId w:val="9"/>
  </w:num>
  <w:num w:numId="7" w16cid:durableId="356152859">
    <w:abstractNumId w:val="7"/>
  </w:num>
  <w:num w:numId="8" w16cid:durableId="505486963">
    <w:abstractNumId w:val="6"/>
  </w:num>
  <w:num w:numId="9" w16cid:durableId="395980340">
    <w:abstractNumId w:val="5"/>
  </w:num>
  <w:num w:numId="10" w16cid:durableId="1390030496">
    <w:abstractNumId w:val="4"/>
  </w:num>
  <w:num w:numId="11" w16cid:durableId="786197404">
    <w:abstractNumId w:val="8"/>
  </w:num>
  <w:num w:numId="12" w16cid:durableId="984356547">
    <w:abstractNumId w:val="3"/>
  </w:num>
  <w:num w:numId="13" w16cid:durableId="927233792">
    <w:abstractNumId w:val="2"/>
  </w:num>
  <w:num w:numId="14" w16cid:durableId="563836226">
    <w:abstractNumId w:val="1"/>
  </w:num>
  <w:num w:numId="15" w16cid:durableId="1735547983">
    <w:abstractNumId w:val="0"/>
  </w:num>
  <w:num w:numId="16" w16cid:durableId="189439185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D"/>
    <w:rsid w:val="0000361C"/>
    <w:rsid w:val="000149E6"/>
    <w:rsid w:val="00014A82"/>
    <w:rsid w:val="00016AF3"/>
    <w:rsid w:val="000208C8"/>
    <w:rsid w:val="000247B0"/>
    <w:rsid w:val="00026997"/>
    <w:rsid w:val="00033E0B"/>
    <w:rsid w:val="00035EDE"/>
    <w:rsid w:val="0004478E"/>
    <w:rsid w:val="000509B4"/>
    <w:rsid w:val="00052767"/>
    <w:rsid w:val="00055730"/>
    <w:rsid w:val="00056B2C"/>
    <w:rsid w:val="0006035B"/>
    <w:rsid w:val="00062F14"/>
    <w:rsid w:val="0007166E"/>
    <w:rsid w:val="00071886"/>
    <w:rsid w:val="00073C89"/>
    <w:rsid w:val="000742BC"/>
    <w:rsid w:val="000758E8"/>
    <w:rsid w:val="00076EFF"/>
    <w:rsid w:val="0008041D"/>
    <w:rsid w:val="00082A0C"/>
    <w:rsid w:val="00082A74"/>
    <w:rsid w:val="00082DCD"/>
    <w:rsid w:val="00083504"/>
    <w:rsid w:val="000853CA"/>
    <w:rsid w:val="0008710B"/>
    <w:rsid w:val="0008767E"/>
    <w:rsid w:val="00095691"/>
    <w:rsid w:val="0009640C"/>
    <w:rsid w:val="000A2C72"/>
    <w:rsid w:val="000A4C70"/>
    <w:rsid w:val="000A5B62"/>
    <w:rsid w:val="000A6E66"/>
    <w:rsid w:val="000B21D5"/>
    <w:rsid w:val="000B22A2"/>
    <w:rsid w:val="000B48A7"/>
    <w:rsid w:val="000C246F"/>
    <w:rsid w:val="000C2A52"/>
    <w:rsid w:val="000C46A9"/>
    <w:rsid w:val="000C6399"/>
    <w:rsid w:val="000C7839"/>
    <w:rsid w:val="000D093F"/>
    <w:rsid w:val="000D33C0"/>
    <w:rsid w:val="000D3D3B"/>
    <w:rsid w:val="000D5765"/>
    <w:rsid w:val="000D5884"/>
    <w:rsid w:val="000D6941"/>
    <w:rsid w:val="000D71B6"/>
    <w:rsid w:val="000D7D11"/>
    <w:rsid w:val="000E0405"/>
    <w:rsid w:val="000E6E4F"/>
    <w:rsid w:val="000F6CFF"/>
    <w:rsid w:val="001012A7"/>
    <w:rsid w:val="0010442B"/>
    <w:rsid w:val="001057DE"/>
    <w:rsid w:val="001132F8"/>
    <w:rsid w:val="00115F73"/>
    <w:rsid w:val="00117773"/>
    <w:rsid w:val="001202E3"/>
    <w:rsid w:val="00123699"/>
    <w:rsid w:val="0012554E"/>
    <w:rsid w:val="00126443"/>
    <w:rsid w:val="00127AB9"/>
    <w:rsid w:val="0013059D"/>
    <w:rsid w:val="00131015"/>
    <w:rsid w:val="00135102"/>
    <w:rsid w:val="00135A2F"/>
    <w:rsid w:val="0014083A"/>
    <w:rsid w:val="00141A55"/>
    <w:rsid w:val="00141F2F"/>
    <w:rsid w:val="001446A3"/>
    <w:rsid w:val="00146C7D"/>
    <w:rsid w:val="00152F70"/>
    <w:rsid w:val="00155395"/>
    <w:rsid w:val="00156E2C"/>
    <w:rsid w:val="001618EA"/>
    <w:rsid w:val="00167C2D"/>
    <w:rsid w:val="001718E3"/>
    <w:rsid w:val="00172E6C"/>
    <w:rsid w:val="00173D27"/>
    <w:rsid w:val="00174739"/>
    <w:rsid w:val="00175B28"/>
    <w:rsid w:val="001773CD"/>
    <w:rsid w:val="0018127C"/>
    <w:rsid w:val="00181EC8"/>
    <w:rsid w:val="00181FC0"/>
    <w:rsid w:val="00184349"/>
    <w:rsid w:val="00186F2D"/>
    <w:rsid w:val="0019161E"/>
    <w:rsid w:val="00195F33"/>
    <w:rsid w:val="00197C63"/>
    <w:rsid w:val="001A121A"/>
    <w:rsid w:val="001A411A"/>
    <w:rsid w:val="001A53D1"/>
    <w:rsid w:val="001A58F1"/>
    <w:rsid w:val="001A5EE1"/>
    <w:rsid w:val="001A7FF9"/>
    <w:rsid w:val="001B0766"/>
    <w:rsid w:val="001B1617"/>
    <w:rsid w:val="001B17C8"/>
    <w:rsid w:val="001B504B"/>
    <w:rsid w:val="001C29FC"/>
    <w:rsid w:val="001C5A2E"/>
    <w:rsid w:val="001D3874"/>
    <w:rsid w:val="001D5344"/>
    <w:rsid w:val="001D7E75"/>
    <w:rsid w:val="001E22D1"/>
    <w:rsid w:val="001E293B"/>
    <w:rsid w:val="001E3BBD"/>
    <w:rsid w:val="001E56D2"/>
    <w:rsid w:val="001E7D56"/>
    <w:rsid w:val="001F75DE"/>
    <w:rsid w:val="00200D58"/>
    <w:rsid w:val="002013BE"/>
    <w:rsid w:val="00204E2E"/>
    <w:rsid w:val="002063A4"/>
    <w:rsid w:val="00206F97"/>
    <w:rsid w:val="0021145B"/>
    <w:rsid w:val="00213964"/>
    <w:rsid w:val="00214277"/>
    <w:rsid w:val="00223525"/>
    <w:rsid w:val="00224552"/>
    <w:rsid w:val="0022721D"/>
    <w:rsid w:val="0022762D"/>
    <w:rsid w:val="00227B0D"/>
    <w:rsid w:val="00230F1F"/>
    <w:rsid w:val="00232303"/>
    <w:rsid w:val="00234806"/>
    <w:rsid w:val="002378D6"/>
    <w:rsid w:val="00243D36"/>
    <w:rsid w:val="00247707"/>
    <w:rsid w:val="0025194E"/>
    <w:rsid w:val="002539A9"/>
    <w:rsid w:val="00254FBD"/>
    <w:rsid w:val="00260F2A"/>
    <w:rsid w:val="002616D3"/>
    <w:rsid w:val="00263171"/>
    <w:rsid w:val="00266ECF"/>
    <w:rsid w:val="002703B1"/>
    <w:rsid w:val="00272D90"/>
    <w:rsid w:val="002730E3"/>
    <w:rsid w:val="0027505F"/>
    <w:rsid w:val="00277919"/>
    <w:rsid w:val="00284B88"/>
    <w:rsid w:val="00286661"/>
    <w:rsid w:val="00286740"/>
    <w:rsid w:val="0028676C"/>
    <w:rsid w:val="00287B42"/>
    <w:rsid w:val="00287E2E"/>
    <w:rsid w:val="00291405"/>
    <w:rsid w:val="00291610"/>
    <w:rsid w:val="002919A7"/>
    <w:rsid w:val="002921AF"/>
    <w:rsid w:val="002929D8"/>
    <w:rsid w:val="002935C2"/>
    <w:rsid w:val="00293AC2"/>
    <w:rsid w:val="00293CB6"/>
    <w:rsid w:val="00295D84"/>
    <w:rsid w:val="0029648A"/>
    <w:rsid w:val="002A237D"/>
    <w:rsid w:val="002A4C53"/>
    <w:rsid w:val="002B0672"/>
    <w:rsid w:val="002B1B4C"/>
    <w:rsid w:val="002B1CCF"/>
    <w:rsid w:val="002B247F"/>
    <w:rsid w:val="002B7367"/>
    <w:rsid w:val="002B7AFA"/>
    <w:rsid w:val="002C145D"/>
    <w:rsid w:val="002C2C3E"/>
    <w:rsid w:val="002C533E"/>
    <w:rsid w:val="002C5525"/>
    <w:rsid w:val="002C608E"/>
    <w:rsid w:val="002C7CDF"/>
    <w:rsid w:val="002D027F"/>
    <w:rsid w:val="002D2630"/>
    <w:rsid w:val="002D79BB"/>
    <w:rsid w:val="002D7A85"/>
    <w:rsid w:val="002D7B60"/>
    <w:rsid w:val="002E19D4"/>
    <w:rsid w:val="002E38AE"/>
    <w:rsid w:val="002E5173"/>
    <w:rsid w:val="002E59D7"/>
    <w:rsid w:val="002F0362"/>
    <w:rsid w:val="002F3DA7"/>
    <w:rsid w:val="002F4761"/>
    <w:rsid w:val="002F49B1"/>
    <w:rsid w:val="002F5C79"/>
    <w:rsid w:val="003004BA"/>
    <w:rsid w:val="003019E2"/>
    <w:rsid w:val="00303673"/>
    <w:rsid w:val="0031413F"/>
    <w:rsid w:val="003148BB"/>
    <w:rsid w:val="003148CD"/>
    <w:rsid w:val="00317976"/>
    <w:rsid w:val="0032103A"/>
    <w:rsid w:val="0032136E"/>
    <w:rsid w:val="003213BF"/>
    <w:rsid w:val="00323885"/>
    <w:rsid w:val="00323A74"/>
    <w:rsid w:val="00325DB8"/>
    <w:rsid w:val="0032666E"/>
    <w:rsid w:val="00331475"/>
    <w:rsid w:val="00333252"/>
    <w:rsid w:val="003437AC"/>
    <w:rsid w:val="00351A93"/>
    <w:rsid w:val="00355AA2"/>
    <w:rsid w:val="00355EA9"/>
    <w:rsid w:val="003578DE"/>
    <w:rsid w:val="003602FD"/>
    <w:rsid w:val="00363129"/>
    <w:rsid w:val="003650F5"/>
    <w:rsid w:val="00365F6B"/>
    <w:rsid w:val="00370BF9"/>
    <w:rsid w:val="00371340"/>
    <w:rsid w:val="00372E8A"/>
    <w:rsid w:val="0037443E"/>
    <w:rsid w:val="003759E2"/>
    <w:rsid w:val="003766EE"/>
    <w:rsid w:val="0038180A"/>
    <w:rsid w:val="00386999"/>
    <w:rsid w:val="00390145"/>
    <w:rsid w:val="00390D15"/>
    <w:rsid w:val="00394379"/>
    <w:rsid w:val="00396257"/>
    <w:rsid w:val="00397EB8"/>
    <w:rsid w:val="003A07AB"/>
    <w:rsid w:val="003A086E"/>
    <w:rsid w:val="003A37B8"/>
    <w:rsid w:val="003A4FD0"/>
    <w:rsid w:val="003A69D1"/>
    <w:rsid w:val="003A7705"/>
    <w:rsid w:val="003B1545"/>
    <w:rsid w:val="003B44E5"/>
    <w:rsid w:val="003B5102"/>
    <w:rsid w:val="003C035E"/>
    <w:rsid w:val="003C3267"/>
    <w:rsid w:val="003C409D"/>
    <w:rsid w:val="003C5BA6"/>
    <w:rsid w:val="003D7FC9"/>
    <w:rsid w:val="003E18D1"/>
    <w:rsid w:val="003E1CCD"/>
    <w:rsid w:val="003E7298"/>
    <w:rsid w:val="003F0E85"/>
    <w:rsid w:val="003F1557"/>
    <w:rsid w:val="00401528"/>
    <w:rsid w:val="004017D7"/>
    <w:rsid w:val="00402390"/>
    <w:rsid w:val="004034D0"/>
    <w:rsid w:val="00404274"/>
    <w:rsid w:val="00404CB5"/>
    <w:rsid w:val="00405251"/>
    <w:rsid w:val="00407D29"/>
    <w:rsid w:val="00410BD5"/>
    <w:rsid w:val="00410C55"/>
    <w:rsid w:val="0041604D"/>
    <w:rsid w:val="00416854"/>
    <w:rsid w:val="00417725"/>
    <w:rsid w:val="0041779A"/>
    <w:rsid w:val="00417B99"/>
    <w:rsid w:val="004243EA"/>
    <w:rsid w:val="00425CA0"/>
    <w:rsid w:val="004363A2"/>
    <w:rsid w:val="00437F26"/>
    <w:rsid w:val="00444097"/>
    <w:rsid w:val="00445487"/>
    <w:rsid w:val="00446A3C"/>
    <w:rsid w:val="00447020"/>
    <w:rsid w:val="00452004"/>
    <w:rsid w:val="00454769"/>
    <w:rsid w:val="00454F54"/>
    <w:rsid w:val="00456D58"/>
    <w:rsid w:val="00460770"/>
    <w:rsid w:val="00464C91"/>
    <w:rsid w:val="00466991"/>
    <w:rsid w:val="0047064C"/>
    <w:rsid w:val="00472B0B"/>
    <w:rsid w:val="00474D90"/>
    <w:rsid w:val="00477AFF"/>
    <w:rsid w:val="00481F0B"/>
    <w:rsid w:val="00491356"/>
    <w:rsid w:val="004929C5"/>
    <w:rsid w:val="00494E88"/>
    <w:rsid w:val="00495BFE"/>
    <w:rsid w:val="0049644E"/>
    <w:rsid w:val="0049663A"/>
    <w:rsid w:val="004A42E1"/>
    <w:rsid w:val="004A50E0"/>
    <w:rsid w:val="004A66B1"/>
    <w:rsid w:val="004A7BC2"/>
    <w:rsid w:val="004B0E28"/>
    <w:rsid w:val="004B110A"/>
    <w:rsid w:val="004B162C"/>
    <w:rsid w:val="004B6068"/>
    <w:rsid w:val="004C1081"/>
    <w:rsid w:val="004C3DBE"/>
    <w:rsid w:val="004C4B54"/>
    <w:rsid w:val="004C5284"/>
    <w:rsid w:val="004C592F"/>
    <w:rsid w:val="004C5C96"/>
    <w:rsid w:val="004D06A4"/>
    <w:rsid w:val="004D1DB0"/>
    <w:rsid w:val="004D3390"/>
    <w:rsid w:val="004D60EA"/>
    <w:rsid w:val="004D7B5C"/>
    <w:rsid w:val="004D7E71"/>
    <w:rsid w:val="004E2436"/>
    <w:rsid w:val="004E5981"/>
    <w:rsid w:val="004E59D4"/>
    <w:rsid w:val="004E79AC"/>
    <w:rsid w:val="004F1A81"/>
    <w:rsid w:val="004F3C0A"/>
    <w:rsid w:val="005014D5"/>
    <w:rsid w:val="00502160"/>
    <w:rsid w:val="005052C8"/>
    <w:rsid w:val="005057C0"/>
    <w:rsid w:val="0050721C"/>
    <w:rsid w:val="005100B8"/>
    <w:rsid w:val="005218D9"/>
    <w:rsid w:val="005219E4"/>
    <w:rsid w:val="005258F8"/>
    <w:rsid w:val="00525DB3"/>
    <w:rsid w:val="00531CAF"/>
    <w:rsid w:val="00532E47"/>
    <w:rsid w:val="00533095"/>
    <w:rsid w:val="005343B4"/>
    <w:rsid w:val="0053491B"/>
    <w:rsid w:val="00534F7B"/>
    <w:rsid w:val="00535D84"/>
    <w:rsid w:val="00536186"/>
    <w:rsid w:val="00536826"/>
    <w:rsid w:val="00544CBB"/>
    <w:rsid w:val="00550518"/>
    <w:rsid w:val="00552970"/>
    <w:rsid w:val="00552CD6"/>
    <w:rsid w:val="00560F73"/>
    <w:rsid w:val="00562FDC"/>
    <w:rsid w:val="005730C8"/>
    <w:rsid w:val="0057315F"/>
    <w:rsid w:val="00574443"/>
    <w:rsid w:val="00575DF1"/>
    <w:rsid w:val="00576104"/>
    <w:rsid w:val="00584DCA"/>
    <w:rsid w:val="00590A09"/>
    <w:rsid w:val="0059263C"/>
    <w:rsid w:val="00592D52"/>
    <w:rsid w:val="005940BC"/>
    <w:rsid w:val="00594BA0"/>
    <w:rsid w:val="005A2106"/>
    <w:rsid w:val="005A21BA"/>
    <w:rsid w:val="005A498D"/>
    <w:rsid w:val="005B35A7"/>
    <w:rsid w:val="005B381E"/>
    <w:rsid w:val="005C140E"/>
    <w:rsid w:val="005C2A41"/>
    <w:rsid w:val="005C2CDC"/>
    <w:rsid w:val="005C3613"/>
    <w:rsid w:val="005C51DE"/>
    <w:rsid w:val="005C67C8"/>
    <w:rsid w:val="005C7FCF"/>
    <w:rsid w:val="005D0249"/>
    <w:rsid w:val="005D148C"/>
    <w:rsid w:val="005D2B9D"/>
    <w:rsid w:val="005D6E8C"/>
    <w:rsid w:val="005E6F18"/>
    <w:rsid w:val="005F100C"/>
    <w:rsid w:val="005F26E6"/>
    <w:rsid w:val="005F68DA"/>
    <w:rsid w:val="005F6C9C"/>
    <w:rsid w:val="005F75E6"/>
    <w:rsid w:val="006014DD"/>
    <w:rsid w:val="00601973"/>
    <w:rsid w:val="0060773B"/>
    <w:rsid w:val="00607D94"/>
    <w:rsid w:val="00607E1A"/>
    <w:rsid w:val="00610B49"/>
    <w:rsid w:val="00611732"/>
    <w:rsid w:val="006148E9"/>
    <w:rsid w:val="006157B5"/>
    <w:rsid w:val="00626FC6"/>
    <w:rsid w:val="00627CB7"/>
    <w:rsid w:val="006303B4"/>
    <w:rsid w:val="00631191"/>
    <w:rsid w:val="00633CEB"/>
    <w:rsid w:val="00633D3D"/>
    <w:rsid w:val="00633F3A"/>
    <w:rsid w:val="0063618E"/>
    <w:rsid w:val="00637180"/>
    <w:rsid w:val="00641703"/>
    <w:rsid w:val="006431A6"/>
    <w:rsid w:val="006433CF"/>
    <w:rsid w:val="0064376F"/>
    <w:rsid w:val="0064414E"/>
    <w:rsid w:val="006459F6"/>
    <w:rsid w:val="006501AD"/>
    <w:rsid w:val="00651AF2"/>
    <w:rsid w:val="00651BFA"/>
    <w:rsid w:val="006533B3"/>
    <w:rsid w:val="00653E14"/>
    <w:rsid w:val="00653EE2"/>
    <w:rsid w:val="0066207D"/>
    <w:rsid w:val="006631AC"/>
    <w:rsid w:val="00663A80"/>
    <w:rsid w:val="00665A4B"/>
    <w:rsid w:val="0066713F"/>
    <w:rsid w:val="00667F78"/>
    <w:rsid w:val="006731FE"/>
    <w:rsid w:val="006742EE"/>
    <w:rsid w:val="0067513F"/>
    <w:rsid w:val="00676DD5"/>
    <w:rsid w:val="00680D89"/>
    <w:rsid w:val="00681BA7"/>
    <w:rsid w:val="0068569B"/>
    <w:rsid w:val="00687509"/>
    <w:rsid w:val="00692E2A"/>
    <w:rsid w:val="0069359B"/>
    <w:rsid w:val="00693A79"/>
    <w:rsid w:val="00697129"/>
    <w:rsid w:val="006A2052"/>
    <w:rsid w:val="006A5B99"/>
    <w:rsid w:val="006A6969"/>
    <w:rsid w:val="006A76F2"/>
    <w:rsid w:val="006B08A2"/>
    <w:rsid w:val="006B48C7"/>
    <w:rsid w:val="006B53F2"/>
    <w:rsid w:val="006C3DDA"/>
    <w:rsid w:val="006C60DC"/>
    <w:rsid w:val="006D3277"/>
    <w:rsid w:val="006D7EFB"/>
    <w:rsid w:val="006E1D7A"/>
    <w:rsid w:val="006E1ED0"/>
    <w:rsid w:val="006E2559"/>
    <w:rsid w:val="006E4EA7"/>
    <w:rsid w:val="006E50EE"/>
    <w:rsid w:val="006E55AD"/>
    <w:rsid w:val="006E6672"/>
    <w:rsid w:val="006E6722"/>
    <w:rsid w:val="006F10F1"/>
    <w:rsid w:val="007018DE"/>
    <w:rsid w:val="007027B9"/>
    <w:rsid w:val="00705422"/>
    <w:rsid w:val="0070745B"/>
    <w:rsid w:val="00713D8F"/>
    <w:rsid w:val="00715E88"/>
    <w:rsid w:val="0072508B"/>
    <w:rsid w:val="007258C2"/>
    <w:rsid w:val="00727678"/>
    <w:rsid w:val="007278A3"/>
    <w:rsid w:val="00727B13"/>
    <w:rsid w:val="00730FAB"/>
    <w:rsid w:val="00732257"/>
    <w:rsid w:val="00732B12"/>
    <w:rsid w:val="00734729"/>
    <w:rsid w:val="00734CAA"/>
    <w:rsid w:val="00735E91"/>
    <w:rsid w:val="00736472"/>
    <w:rsid w:val="00736583"/>
    <w:rsid w:val="00736CE4"/>
    <w:rsid w:val="0074059E"/>
    <w:rsid w:val="007467F6"/>
    <w:rsid w:val="00751451"/>
    <w:rsid w:val="0075473A"/>
    <w:rsid w:val="00755106"/>
    <w:rsid w:val="0075533C"/>
    <w:rsid w:val="00757581"/>
    <w:rsid w:val="007611A0"/>
    <w:rsid w:val="007658A0"/>
    <w:rsid w:val="007674D1"/>
    <w:rsid w:val="00771992"/>
    <w:rsid w:val="00772835"/>
    <w:rsid w:val="00775D39"/>
    <w:rsid w:val="00781EAB"/>
    <w:rsid w:val="00782ACF"/>
    <w:rsid w:val="00782F29"/>
    <w:rsid w:val="00783907"/>
    <w:rsid w:val="00785C4B"/>
    <w:rsid w:val="00786756"/>
    <w:rsid w:val="0079140A"/>
    <w:rsid w:val="007937EF"/>
    <w:rsid w:val="00796D3F"/>
    <w:rsid w:val="007A1683"/>
    <w:rsid w:val="007A3123"/>
    <w:rsid w:val="007A36F8"/>
    <w:rsid w:val="007A5C12"/>
    <w:rsid w:val="007A7CB0"/>
    <w:rsid w:val="007B2B49"/>
    <w:rsid w:val="007B2B9D"/>
    <w:rsid w:val="007B3FA4"/>
    <w:rsid w:val="007B68A3"/>
    <w:rsid w:val="007C0147"/>
    <w:rsid w:val="007C2541"/>
    <w:rsid w:val="007C3DFD"/>
    <w:rsid w:val="007C7D4A"/>
    <w:rsid w:val="007D02FF"/>
    <w:rsid w:val="007D147C"/>
    <w:rsid w:val="007D66A8"/>
    <w:rsid w:val="007D68C7"/>
    <w:rsid w:val="007D773D"/>
    <w:rsid w:val="007E003F"/>
    <w:rsid w:val="007E07F6"/>
    <w:rsid w:val="007E4E11"/>
    <w:rsid w:val="007F1089"/>
    <w:rsid w:val="007F5DCA"/>
    <w:rsid w:val="007F7E8B"/>
    <w:rsid w:val="00802E72"/>
    <w:rsid w:val="0080324B"/>
    <w:rsid w:val="00803AAB"/>
    <w:rsid w:val="00805F1D"/>
    <w:rsid w:val="00807E00"/>
    <w:rsid w:val="00813A55"/>
    <w:rsid w:val="00814193"/>
    <w:rsid w:val="008164F2"/>
    <w:rsid w:val="00820CE5"/>
    <w:rsid w:val="00821395"/>
    <w:rsid w:val="008271A0"/>
    <w:rsid w:val="00830E26"/>
    <w:rsid w:val="00833D3D"/>
    <w:rsid w:val="00843576"/>
    <w:rsid w:val="00843B64"/>
    <w:rsid w:val="00844587"/>
    <w:rsid w:val="008446DE"/>
    <w:rsid w:val="008470BD"/>
    <w:rsid w:val="008478FC"/>
    <w:rsid w:val="00850023"/>
    <w:rsid w:val="00850253"/>
    <w:rsid w:val="00851078"/>
    <w:rsid w:val="00851878"/>
    <w:rsid w:val="00852F14"/>
    <w:rsid w:val="00854E76"/>
    <w:rsid w:val="00855751"/>
    <w:rsid w:val="00856F13"/>
    <w:rsid w:val="00861AB6"/>
    <w:rsid w:val="00864B40"/>
    <w:rsid w:val="00867BFF"/>
    <w:rsid w:val="00867C7E"/>
    <w:rsid w:val="00874D9B"/>
    <w:rsid w:val="00876178"/>
    <w:rsid w:val="00880EB1"/>
    <w:rsid w:val="0088480A"/>
    <w:rsid w:val="00887400"/>
    <w:rsid w:val="0088757A"/>
    <w:rsid w:val="00887612"/>
    <w:rsid w:val="00887FB3"/>
    <w:rsid w:val="008957DD"/>
    <w:rsid w:val="008968F4"/>
    <w:rsid w:val="00897D98"/>
    <w:rsid w:val="008A16FB"/>
    <w:rsid w:val="008A26B4"/>
    <w:rsid w:val="008A6DF2"/>
    <w:rsid w:val="008A7807"/>
    <w:rsid w:val="008A7FC2"/>
    <w:rsid w:val="008B0D6B"/>
    <w:rsid w:val="008B3832"/>
    <w:rsid w:val="008B4CC9"/>
    <w:rsid w:val="008B642B"/>
    <w:rsid w:val="008C13F0"/>
    <w:rsid w:val="008C1B8B"/>
    <w:rsid w:val="008C2036"/>
    <w:rsid w:val="008C2608"/>
    <w:rsid w:val="008D3AE0"/>
    <w:rsid w:val="008D751E"/>
    <w:rsid w:val="008D7C99"/>
    <w:rsid w:val="008E0FCB"/>
    <w:rsid w:val="008E2676"/>
    <w:rsid w:val="008E361C"/>
    <w:rsid w:val="008F4E24"/>
    <w:rsid w:val="00904431"/>
    <w:rsid w:val="0090572A"/>
    <w:rsid w:val="00906E7C"/>
    <w:rsid w:val="009075D7"/>
    <w:rsid w:val="00907608"/>
    <w:rsid w:val="00907D78"/>
    <w:rsid w:val="00910E83"/>
    <w:rsid w:val="009115FA"/>
    <w:rsid w:val="00916E20"/>
    <w:rsid w:val="0092178C"/>
    <w:rsid w:val="00923E7C"/>
    <w:rsid w:val="0092493F"/>
    <w:rsid w:val="00925539"/>
    <w:rsid w:val="00930B88"/>
    <w:rsid w:val="0093463F"/>
    <w:rsid w:val="009378DC"/>
    <w:rsid w:val="00940DCC"/>
    <w:rsid w:val="0094179A"/>
    <w:rsid w:val="00941910"/>
    <w:rsid w:val="0094459E"/>
    <w:rsid w:val="00944DBC"/>
    <w:rsid w:val="009507EE"/>
    <w:rsid w:val="0095090F"/>
    <w:rsid w:val="00950977"/>
    <w:rsid w:val="009509FC"/>
    <w:rsid w:val="00951A7B"/>
    <w:rsid w:val="009564A6"/>
    <w:rsid w:val="00961A33"/>
    <w:rsid w:val="009628B9"/>
    <w:rsid w:val="00963BC8"/>
    <w:rsid w:val="0096613D"/>
    <w:rsid w:val="00967621"/>
    <w:rsid w:val="00967E6A"/>
    <w:rsid w:val="00974B3B"/>
    <w:rsid w:val="00975BB9"/>
    <w:rsid w:val="00980797"/>
    <w:rsid w:val="00981D32"/>
    <w:rsid w:val="00983928"/>
    <w:rsid w:val="00992D33"/>
    <w:rsid w:val="00992FC6"/>
    <w:rsid w:val="009935AC"/>
    <w:rsid w:val="00994F12"/>
    <w:rsid w:val="009A6054"/>
    <w:rsid w:val="009A7AE5"/>
    <w:rsid w:val="009B4A0F"/>
    <w:rsid w:val="009B7E1B"/>
    <w:rsid w:val="009C0EBC"/>
    <w:rsid w:val="009C0FEC"/>
    <w:rsid w:val="009C11D2"/>
    <w:rsid w:val="009C4BA4"/>
    <w:rsid w:val="009C6C70"/>
    <w:rsid w:val="009D0922"/>
    <w:rsid w:val="009D0B63"/>
    <w:rsid w:val="009D4276"/>
    <w:rsid w:val="009D5500"/>
    <w:rsid w:val="009D5EE0"/>
    <w:rsid w:val="009D632C"/>
    <w:rsid w:val="009E0F77"/>
    <w:rsid w:val="009E1A50"/>
    <w:rsid w:val="009E307E"/>
    <w:rsid w:val="009E47E3"/>
    <w:rsid w:val="009E7B55"/>
    <w:rsid w:val="009F1EB6"/>
    <w:rsid w:val="009F2F04"/>
    <w:rsid w:val="009F5352"/>
    <w:rsid w:val="00A00078"/>
    <w:rsid w:val="00A03133"/>
    <w:rsid w:val="00A03A4A"/>
    <w:rsid w:val="00A074C0"/>
    <w:rsid w:val="00A07870"/>
    <w:rsid w:val="00A0792B"/>
    <w:rsid w:val="00A07F19"/>
    <w:rsid w:val="00A11337"/>
    <w:rsid w:val="00A1348D"/>
    <w:rsid w:val="00A142D1"/>
    <w:rsid w:val="00A1489E"/>
    <w:rsid w:val="00A175C0"/>
    <w:rsid w:val="00A232EE"/>
    <w:rsid w:val="00A328A8"/>
    <w:rsid w:val="00A332EC"/>
    <w:rsid w:val="00A33F4B"/>
    <w:rsid w:val="00A37B52"/>
    <w:rsid w:val="00A4175F"/>
    <w:rsid w:val="00A41C3A"/>
    <w:rsid w:val="00A42F82"/>
    <w:rsid w:val="00A4377C"/>
    <w:rsid w:val="00A44411"/>
    <w:rsid w:val="00A45CFE"/>
    <w:rsid w:val="00A4685E"/>
    <w:rsid w:val="00A469FA"/>
    <w:rsid w:val="00A46DB2"/>
    <w:rsid w:val="00A47304"/>
    <w:rsid w:val="00A479F4"/>
    <w:rsid w:val="00A50E94"/>
    <w:rsid w:val="00A51A4F"/>
    <w:rsid w:val="00A55B01"/>
    <w:rsid w:val="00A56849"/>
    <w:rsid w:val="00A56ABF"/>
    <w:rsid w:val="00A56B5B"/>
    <w:rsid w:val="00A603FF"/>
    <w:rsid w:val="00A657DD"/>
    <w:rsid w:val="00A666A6"/>
    <w:rsid w:val="00A675FD"/>
    <w:rsid w:val="00A72437"/>
    <w:rsid w:val="00A73AB8"/>
    <w:rsid w:val="00A80611"/>
    <w:rsid w:val="00A81DE4"/>
    <w:rsid w:val="00A8392C"/>
    <w:rsid w:val="00A839A6"/>
    <w:rsid w:val="00A84B15"/>
    <w:rsid w:val="00A853E3"/>
    <w:rsid w:val="00A86144"/>
    <w:rsid w:val="00A87016"/>
    <w:rsid w:val="00AB0F51"/>
    <w:rsid w:val="00AB106B"/>
    <w:rsid w:val="00AB1F69"/>
    <w:rsid w:val="00AB4980"/>
    <w:rsid w:val="00AB5142"/>
    <w:rsid w:val="00AB5340"/>
    <w:rsid w:val="00AC010E"/>
    <w:rsid w:val="00AC01CC"/>
    <w:rsid w:val="00AC16B8"/>
    <w:rsid w:val="00AC7C96"/>
    <w:rsid w:val="00AD224C"/>
    <w:rsid w:val="00AD4018"/>
    <w:rsid w:val="00AD575D"/>
    <w:rsid w:val="00AE1D50"/>
    <w:rsid w:val="00AE237D"/>
    <w:rsid w:val="00AE2A3D"/>
    <w:rsid w:val="00AE4536"/>
    <w:rsid w:val="00AE502A"/>
    <w:rsid w:val="00AE542F"/>
    <w:rsid w:val="00AF0DF7"/>
    <w:rsid w:val="00AF1754"/>
    <w:rsid w:val="00AF18EF"/>
    <w:rsid w:val="00AF7C07"/>
    <w:rsid w:val="00B13726"/>
    <w:rsid w:val="00B16837"/>
    <w:rsid w:val="00B20AB2"/>
    <w:rsid w:val="00B22707"/>
    <w:rsid w:val="00B22C93"/>
    <w:rsid w:val="00B2300E"/>
    <w:rsid w:val="00B27589"/>
    <w:rsid w:val="00B34EF0"/>
    <w:rsid w:val="00B3513A"/>
    <w:rsid w:val="00B37EF9"/>
    <w:rsid w:val="00B405B7"/>
    <w:rsid w:val="00B45E6D"/>
    <w:rsid w:val="00B51C7C"/>
    <w:rsid w:val="00B52222"/>
    <w:rsid w:val="00B523A2"/>
    <w:rsid w:val="00B5343F"/>
    <w:rsid w:val="00B547D5"/>
    <w:rsid w:val="00B54FE7"/>
    <w:rsid w:val="00B575E7"/>
    <w:rsid w:val="00B57C47"/>
    <w:rsid w:val="00B63128"/>
    <w:rsid w:val="00B66901"/>
    <w:rsid w:val="00B70335"/>
    <w:rsid w:val="00B705CA"/>
    <w:rsid w:val="00B71E6D"/>
    <w:rsid w:val="00B72070"/>
    <w:rsid w:val="00B779E1"/>
    <w:rsid w:val="00B84CA0"/>
    <w:rsid w:val="00B857DD"/>
    <w:rsid w:val="00B859A3"/>
    <w:rsid w:val="00B86043"/>
    <w:rsid w:val="00B91546"/>
    <w:rsid w:val="00B91B7F"/>
    <w:rsid w:val="00B91EE1"/>
    <w:rsid w:val="00B92A4B"/>
    <w:rsid w:val="00B93B59"/>
    <w:rsid w:val="00B95DAC"/>
    <w:rsid w:val="00BA0090"/>
    <w:rsid w:val="00BA1A67"/>
    <w:rsid w:val="00BB335E"/>
    <w:rsid w:val="00BB49DE"/>
    <w:rsid w:val="00BC07FE"/>
    <w:rsid w:val="00BC1E38"/>
    <w:rsid w:val="00BC4447"/>
    <w:rsid w:val="00BD0163"/>
    <w:rsid w:val="00BD039F"/>
    <w:rsid w:val="00BD159E"/>
    <w:rsid w:val="00BD2277"/>
    <w:rsid w:val="00BD7F1C"/>
    <w:rsid w:val="00BE03F3"/>
    <w:rsid w:val="00BE0694"/>
    <w:rsid w:val="00BE5B5F"/>
    <w:rsid w:val="00BF2476"/>
    <w:rsid w:val="00BF4361"/>
    <w:rsid w:val="00BF5048"/>
    <w:rsid w:val="00BF572D"/>
    <w:rsid w:val="00C0170F"/>
    <w:rsid w:val="00C07AB7"/>
    <w:rsid w:val="00C26F55"/>
    <w:rsid w:val="00C30C63"/>
    <w:rsid w:val="00C30FDA"/>
    <w:rsid w:val="00C32B37"/>
    <w:rsid w:val="00C3539F"/>
    <w:rsid w:val="00C36B8B"/>
    <w:rsid w:val="00C45688"/>
    <w:rsid w:val="00C4613B"/>
    <w:rsid w:val="00C47581"/>
    <w:rsid w:val="00C47DBF"/>
    <w:rsid w:val="00C50006"/>
    <w:rsid w:val="00C53666"/>
    <w:rsid w:val="00C53801"/>
    <w:rsid w:val="00C54206"/>
    <w:rsid w:val="00C552FF"/>
    <w:rsid w:val="00C558DA"/>
    <w:rsid w:val="00C55AF3"/>
    <w:rsid w:val="00C60713"/>
    <w:rsid w:val="00C6122D"/>
    <w:rsid w:val="00C62884"/>
    <w:rsid w:val="00C62968"/>
    <w:rsid w:val="00C64410"/>
    <w:rsid w:val="00C6605C"/>
    <w:rsid w:val="00C6744F"/>
    <w:rsid w:val="00C70B49"/>
    <w:rsid w:val="00C70D41"/>
    <w:rsid w:val="00C758DB"/>
    <w:rsid w:val="00C75C7C"/>
    <w:rsid w:val="00C80974"/>
    <w:rsid w:val="00C80BC9"/>
    <w:rsid w:val="00C811D9"/>
    <w:rsid w:val="00C81597"/>
    <w:rsid w:val="00C81951"/>
    <w:rsid w:val="00C819CA"/>
    <w:rsid w:val="00C8320F"/>
    <w:rsid w:val="00C83A8F"/>
    <w:rsid w:val="00C84759"/>
    <w:rsid w:val="00C86D7A"/>
    <w:rsid w:val="00C903EB"/>
    <w:rsid w:val="00C909D3"/>
    <w:rsid w:val="00C90FCD"/>
    <w:rsid w:val="00C97578"/>
    <w:rsid w:val="00CA4B4D"/>
    <w:rsid w:val="00CA6C7F"/>
    <w:rsid w:val="00CA78AF"/>
    <w:rsid w:val="00CB054C"/>
    <w:rsid w:val="00CB6F8C"/>
    <w:rsid w:val="00CC0260"/>
    <w:rsid w:val="00CC10A6"/>
    <w:rsid w:val="00CD0443"/>
    <w:rsid w:val="00CD31CF"/>
    <w:rsid w:val="00CD5EB8"/>
    <w:rsid w:val="00CD6AC7"/>
    <w:rsid w:val="00CD7044"/>
    <w:rsid w:val="00CE08B9"/>
    <w:rsid w:val="00CE0AA7"/>
    <w:rsid w:val="00CE524C"/>
    <w:rsid w:val="00CF141F"/>
    <w:rsid w:val="00CF4777"/>
    <w:rsid w:val="00CF5AF8"/>
    <w:rsid w:val="00D01BBB"/>
    <w:rsid w:val="00D030A9"/>
    <w:rsid w:val="00D067BB"/>
    <w:rsid w:val="00D070CC"/>
    <w:rsid w:val="00D103AC"/>
    <w:rsid w:val="00D1121D"/>
    <w:rsid w:val="00D1352A"/>
    <w:rsid w:val="00D13EDE"/>
    <w:rsid w:val="00D15220"/>
    <w:rsid w:val="00D169AF"/>
    <w:rsid w:val="00D227E9"/>
    <w:rsid w:val="00D25249"/>
    <w:rsid w:val="00D255A7"/>
    <w:rsid w:val="00D26038"/>
    <w:rsid w:val="00D268C0"/>
    <w:rsid w:val="00D27F40"/>
    <w:rsid w:val="00D425FA"/>
    <w:rsid w:val="00D44172"/>
    <w:rsid w:val="00D466FC"/>
    <w:rsid w:val="00D50B8F"/>
    <w:rsid w:val="00D523F2"/>
    <w:rsid w:val="00D526D8"/>
    <w:rsid w:val="00D52E82"/>
    <w:rsid w:val="00D60669"/>
    <w:rsid w:val="00D63B8C"/>
    <w:rsid w:val="00D6426B"/>
    <w:rsid w:val="00D65B0B"/>
    <w:rsid w:val="00D712FD"/>
    <w:rsid w:val="00D72CB6"/>
    <w:rsid w:val="00D739CC"/>
    <w:rsid w:val="00D8093D"/>
    <w:rsid w:val="00D8108C"/>
    <w:rsid w:val="00D83AE8"/>
    <w:rsid w:val="00D83B7B"/>
    <w:rsid w:val="00D842AE"/>
    <w:rsid w:val="00D87313"/>
    <w:rsid w:val="00D9211C"/>
    <w:rsid w:val="00D92DE0"/>
    <w:rsid w:val="00D92FEF"/>
    <w:rsid w:val="00D93A0F"/>
    <w:rsid w:val="00D9450C"/>
    <w:rsid w:val="00D948D5"/>
    <w:rsid w:val="00D96B62"/>
    <w:rsid w:val="00DA1BCA"/>
    <w:rsid w:val="00DA3FFA"/>
    <w:rsid w:val="00DA65F0"/>
    <w:rsid w:val="00DA7299"/>
    <w:rsid w:val="00DB1516"/>
    <w:rsid w:val="00DB20CC"/>
    <w:rsid w:val="00DB36B7"/>
    <w:rsid w:val="00DB3E23"/>
    <w:rsid w:val="00DB47A7"/>
    <w:rsid w:val="00DB6CC6"/>
    <w:rsid w:val="00DB7744"/>
    <w:rsid w:val="00DB7CF7"/>
    <w:rsid w:val="00DC0C12"/>
    <w:rsid w:val="00DC2793"/>
    <w:rsid w:val="00DC46FF"/>
    <w:rsid w:val="00DC5254"/>
    <w:rsid w:val="00DC65FD"/>
    <w:rsid w:val="00DC7C4D"/>
    <w:rsid w:val="00DD1A4F"/>
    <w:rsid w:val="00DD3107"/>
    <w:rsid w:val="00DD5EFF"/>
    <w:rsid w:val="00DD7C2C"/>
    <w:rsid w:val="00DE02FE"/>
    <w:rsid w:val="00DE6E55"/>
    <w:rsid w:val="00DF36B5"/>
    <w:rsid w:val="00DF5660"/>
    <w:rsid w:val="00DF7F7E"/>
    <w:rsid w:val="00E02922"/>
    <w:rsid w:val="00E0574F"/>
    <w:rsid w:val="00E06797"/>
    <w:rsid w:val="00E0746B"/>
    <w:rsid w:val="00E122BC"/>
    <w:rsid w:val="00E1265B"/>
    <w:rsid w:val="00E13B48"/>
    <w:rsid w:val="00E1404F"/>
    <w:rsid w:val="00E142BB"/>
    <w:rsid w:val="00E163F8"/>
    <w:rsid w:val="00E179BB"/>
    <w:rsid w:val="00E17E04"/>
    <w:rsid w:val="00E212EF"/>
    <w:rsid w:val="00E21C83"/>
    <w:rsid w:val="00E23C9E"/>
    <w:rsid w:val="00E24354"/>
    <w:rsid w:val="00E24ADA"/>
    <w:rsid w:val="00E256F6"/>
    <w:rsid w:val="00E267AA"/>
    <w:rsid w:val="00E32F59"/>
    <w:rsid w:val="00E36E6E"/>
    <w:rsid w:val="00E37F15"/>
    <w:rsid w:val="00E409D0"/>
    <w:rsid w:val="00E440CD"/>
    <w:rsid w:val="00E46D9A"/>
    <w:rsid w:val="00E509D1"/>
    <w:rsid w:val="00E565FF"/>
    <w:rsid w:val="00E56B38"/>
    <w:rsid w:val="00E600D6"/>
    <w:rsid w:val="00E60F13"/>
    <w:rsid w:val="00E63C75"/>
    <w:rsid w:val="00E63EFC"/>
    <w:rsid w:val="00E65388"/>
    <w:rsid w:val="00E67833"/>
    <w:rsid w:val="00E74ACB"/>
    <w:rsid w:val="00E80ACB"/>
    <w:rsid w:val="00E85997"/>
    <w:rsid w:val="00E85B7D"/>
    <w:rsid w:val="00E85E36"/>
    <w:rsid w:val="00E90B90"/>
    <w:rsid w:val="00E9121B"/>
    <w:rsid w:val="00E91CE6"/>
    <w:rsid w:val="00E94B48"/>
    <w:rsid w:val="00E96614"/>
    <w:rsid w:val="00EA063E"/>
    <w:rsid w:val="00EA0AE2"/>
    <w:rsid w:val="00EA18A0"/>
    <w:rsid w:val="00EA292F"/>
    <w:rsid w:val="00EA2E66"/>
    <w:rsid w:val="00EA39E5"/>
    <w:rsid w:val="00EA759A"/>
    <w:rsid w:val="00EB3106"/>
    <w:rsid w:val="00EC5A46"/>
    <w:rsid w:val="00EC63E2"/>
    <w:rsid w:val="00ED0087"/>
    <w:rsid w:val="00ED1BFA"/>
    <w:rsid w:val="00ED1F3E"/>
    <w:rsid w:val="00ED3A5D"/>
    <w:rsid w:val="00ED798A"/>
    <w:rsid w:val="00EE085B"/>
    <w:rsid w:val="00EE1BA8"/>
    <w:rsid w:val="00EE1E98"/>
    <w:rsid w:val="00EE33DB"/>
    <w:rsid w:val="00EE397B"/>
    <w:rsid w:val="00EE4483"/>
    <w:rsid w:val="00EE48F5"/>
    <w:rsid w:val="00EE5261"/>
    <w:rsid w:val="00EF165E"/>
    <w:rsid w:val="00EF22B3"/>
    <w:rsid w:val="00EF3E79"/>
    <w:rsid w:val="00EF469A"/>
    <w:rsid w:val="00EF4F93"/>
    <w:rsid w:val="00EF7D62"/>
    <w:rsid w:val="00F00C18"/>
    <w:rsid w:val="00F00C30"/>
    <w:rsid w:val="00F03B69"/>
    <w:rsid w:val="00F07A50"/>
    <w:rsid w:val="00F113DA"/>
    <w:rsid w:val="00F1389E"/>
    <w:rsid w:val="00F1612A"/>
    <w:rsid w:val="00F173F0"/>
    <w:rsid w:val="00F223F4"/>
    <w:rsid w:val="00F23184"/>
    <w:rsid w:val="00F255F8"/>
    <w:rsid w:val="00F25F15"/>
    <w:rsid w:val="00F27F26"/>
    <w:rsid w:val="00F319FC"/>
    <w:rsid w:val="00F32464"/>
    <w:rsid w:val="00F32A1C"/>
    <w:rsid w:val="00F342E4"/>
    <w:rsid w:val="00F3476E"/>
    <w:rsid w:val="00F357F6"/>
    <w:rsid w:val="00F37DC8"/>
    <w:rsid w:val="00F42D97"/>
    <w:rsid w:val="00F439B3"/>
    <w:rsid w:val="00F44E2B"/>
    <w:rsid w:val="00F45AA8"/>
    <w:rsid w:val="00F46B0F"/>
    <w:rsid w:val="00F47359"/>
    <w:rsid w:val="00F502DD"/>
    <w:rsid w:val="00F511D5"/>
    <w:rsid w:val="00F52A1B"/>
    <w:rsid w:val="00F57B4E"/>
    <w:rsid w:val="00F638FC"/>
    <w:rsid w:val="00F650C3"/>
    <w:rsid w:val="00F6567C"/>
    <w:rsid w:val="00F65D85"/>
    <w:rsid w:val="00F7203C"/>
    <w:rsid w:val="00F75453"/>
    <w:rsid w:val="00F77724"/>
    <w:rsid w:val="00F77884"/>
    <w:rsid w:val="00F8091E"/>
    <w:rsid w:val="00F8615C"/>
    <w:rsid w:val="00F90B1F"/>
    <w:rsid w:val="00F935EF"/>
    <w:rsid w:val="00F969E5"/>
    <w:rsid w:val="00F97AEE"/>
    <w:rsid w:val="00F97E54"/>
    <w:rsid w:val="00FA1C95"/>
    <w:rsid w:val="00FA308B"/>
    <w:rsid w:val="00FA554D"/>
    <w:rsid w:val="00FA6BB0"/>
    <w:rsid w:val="00FA6C49"/>
    <w:rsid w:val="00FB1DFB"/>
    <w:rsid w:val="00FB70DB"/>
    <w:rsid w:val="00FC2B55"/>
    <w:rsid w:val="00FD18A9"/>
    <w:rsid w:val="00FD2D77"/>
    <w:rsid w:val="00FD4E71"/>
    <w:rsid w:val="00FD5860"/>
    <w:rsid w:val="00FE352D"/>
    <w:rsid w:val="00FE40EB"/>
    <w:rsid w:val="00FE4D02"/>
    <w:rsid w:val="00FE51C9"/>
    <w:rsid w:val="00FE5659"/>
    <w:rsid w:val="00FE7B2F"/>
    <w:rsid w:val="00FE7D62"/>
    <w:rsid w:val="00FF3819"/>
    <w:rsid w:val="00FF59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4211"/>
  <w15:chartTrackingRefBased/>
  <w15:docId w15:val="{520E54CC-99A5-435B-A557-A6E5601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7C2D"/>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156E2C"/>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156E2C"/>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156E2C"/>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156E2C"/>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156E2C"/>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56E2C"/>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56E2C"/>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56E2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56E2C"/>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6E2C"/>
    <w:rPr>
      <w:rFonts w:ascii="Times New Roman" w:hAnsi="Times New Roman"/>
      <w:b/>
      <w:sz w:val="18"/>
      <w:lang w:val="en-GB"/>
    </w:rPr>
  </w:style>
  <w:style w:type="table" w:customStyle="1" w:styleId="Tabledocright">
    <w:name w:val="Table_doc_right"/>
    <w:basedOn w:val="TableNormal"/>
    <w:rsid w:val="00156E2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6E2C"/>
    <w:pPr>
      <w:ind w:left="1000"/>
    </w:pPr>
    <w:rPr>
      <w:sz w:val="18"/>
      <w:szCs w:val="18"/>
    </w:rPr>
  </w:style>
  <w:style w:type="paragraph" w:styleId="TOC7">
    <w:name w:val="toc 7"/>
    <w:basedOn w:val="Normal"/>
    <w:next w:val="Normal"/>
    <w:autoRedefine/>
    <w:semiHidden/>
    <w:rsid w:val="00156E2C"/>
    <w:pPr>
      <w:ind w:left="1200"/>
    </w:pPr>
    <w:rPr>
      <w:sz w:val="18"/>
      <w:szCs w:val="18"/>
    </w:rPr>
  </w:style>
  <w:style w:type="paragraph" w:styleId="TOC8">
    <w:name w:val="toc 8"/>
    <w:basedOn w:val="Normal"/>
    <w:next w:val="Normal"/>
    <w:autoRedefine/>
    <w:semiHidden/>
    <w:rsid w:val="00156E2C"/>
    <w:pPr>
      <w:ind w:left="1400"/>
    </w:pPr>
    <w:rPr>
      <w:sz w:val="18"/>
      <w:szCs w:val="18"/>
    </w:rPr>
  </w:style>
  <w:style w:type="paragraph" w:styleId="TOC9">
    <w:name w:val="toc 9"/>
    <w:basedOn w:val="Normal"/>
    <w:next w:val="Normal"/>
    <w:autoRedefine/>
    <w:semiHidden/>
    <w:rsid w:val="00156E2C"/>
    <w:pPr>
      <w:ind w:left="1600"/>
    </w:pPr>
    <w:rPr>
      <w:sz w:val="18"/>
      <w:szCs w:val="18"/>
    </w:rPr>
  </w:style>
  <w:style w:type="paragraph" w:customStyle="1" w:styleId="Titlefigure">
    <w:name w:val="Title_figure"/>
    <w:basedOn w:val="Titletable"/>
    <w:next w:val="NormalNonumber"/>
    <w:rsid w:val="00156E2C"/>
    <w:pPr>
      <w:tabs>
        <w:tab w:val="clear" w:pos="4990"/>
      </w:tabs>
    </w:pPr>
    <w:rPr>
      <w:bCs w:val="0"/>
    </w:rPr>
  </w:style>
  <w:style w:type="paragraph" w:styleId="TableofFigures">
    <w:name w:val="table of figures"/>
    <w:basedOn w:val="Normal"/>
    <w:next w:val="Normal"/>
    <w:autoRedefine/>
    <w:semiHidden/>
    <w:rsid w:val="00156E2C"/>
    <w:pPr>
      <w:ind w:left="1814" w:hanging="567"/>
    </w:pPr>
  </w:style>
  <w:style w:type="paragraph" w:customStyle="1" w:styleId="CH1">
    <w:name w:val="CH1"/>
    <w:basedOn w:val="Normal-pool"/>
    <w:next w:val="CH2"/>
    <w:link w:val="CH1Char"/>
    <w:qFormat/>
    <w:rsid w:val="00156E2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6E2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56E2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56E2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56E2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56E2C"/>
    <w:pPr>
      <w:tabs>
        <w:tab w:val="left" w:pos="4321"/>
        <w:tab w:val="right" w:pos="8641"/>
      </w:tabs>
      <w:spacing w:before="60"/>
    </w:pPr>
    <w:rPr>
      <w:b/>
      <w:sz w:val="18"/>
    </w:rPr>
  </w:style>
  <w:style w:type="paragraph" w:customStyle="1" w:styleId="Footer-pool">
    <w:name w:val="Footer-pool"/>
    <w:basedOn w:val="Normal-pool"/>
    <w:next w:val="Normal-pool"/>
    <w:rsid w:val="00156E2C"/>
    <w:pPr>
      <w:tabs>
        <w:tab w:val="right" w:pos="8641"/>
      </w:tabs>
      <w:spacing w:after="120"/>
    </w:pPr>
    <w:rPr>
      <w:b/>
      <w:sz w:val="18"/>
    </w:rPr>
  </w:style>
  <w:style w:type="paragraph" w:customStyle="1" w:styleId="Header-pool">
    <w:name w:val="Header-pool"/>
    <w:basedOn w:val="Normal"/>
    <w:next w:val="Normal"/>
    <w:rsid w:val="00156E2C"/>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156E2C"/>
    <w:rPr>
      <w:rFonts w:ascii="Times New Roman" w:hAnsi="Times New Roman"/>
      <w:color w:val="auto"/>
      <w:sz w:val="20"/>
      <w:szCs w:val="18"/>
      <w:vertAlign w:val="superscript"/>
      <w:lang w:val="en-GB"/>
    </w:rPr>
  </w:style>
  <w:style w:type="table" w:customStyle="1" w:styleId="AATable">
    <w:name w:val="AA_Table"/>
    <w:basedOn w:val="TableNormal"/>
    <w:semiHidden/>
    <w:rsid w:val="00156E2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6E2C"/>
    <w:pPr>
      <w:keepNext/>
      <w:keepLines/>
      <w:suppressAutoHyphens/>
    </w:pPr>
    <w:rPr>
      <w:b/>
    </w:rPr>
  </w:style>
  <w:style w:type="paragraph" w:customStyle="1" w:styleId="AATitle2">
    <w:name w:val="AA_Title2"/>
    <w:basedOn w:val="AATitle"/>
    <w:qFormat/>
    <w:rsid w:val="00156E2C"/>
    <w:pPr>
      <w:keepNext w:val="0"/>
      <w:keepLines w:val="0"/>
      <w:tabs>
        <w:tab w:val="clear" w:pos="4990"/>
      </w:tabs>
      <w:spacing w:before="120" w:after="120"/>
    </w:pPr>
  </w:style>
  <w:style w:type="paragraph" w:customStyle="1" w:styleId="BBTitle">
    <w:name w:val="BB_Title"/>
    <w:basedOn w:val="Normal-pool"/>
    <w:link w:val="BBTitleChar"/>
    <w:qFormat/>
    <w:rsid w:val="00156E2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56E2C"/>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156E2C"/>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156E2C"/>
    <w:rPr>
      <w:color w:val="0000FF"/>
      <w:u w:val="none"/>
      <w:lang w:val="en-GB"/>
    </w:rPr>
  </w:style>
  <w:style w:type="numbering" w:customStyle="1" w:styleId="Normallist">
    <w:name w:val="Normal_list"/>
    <w:basedOn w:val="NoList"/>
    <w:rsid w:val="00156E2C"/>
    <w:pPr>
      <w:numPr>
        <w:numId w:val="1"/>
      </w:numPr>
    </w:pPr>
  </w:style>
  <w:style w:type="paragraph" w:customStyle="1" w:styleId="NormalNonumber">
    <w:name w:val="Normal_No_number"/>
    <w:basedOn w:val="Normal-pool"/>
    <w:qFormat/>
    <w:rsid w:val="00156E2C"/>
    <w:pPr>
      <w:spacing w:after="120"/>
      <w:ind w:left="1247"/>
    </w:pPr>
  </w:style>
  <w:style w:type="paragraph" w:customStyle="1" w:styleId="Normalnumber">
    <w:name w:val="Normal_number"/>
    <w:basedOn w:val="Normal"/>
    <w:link w:val="NormalnumberChar"/>
    <w:qFormat/>
    <w:rsid w:val="00156E2C"/>
    <w:pPr>
      <w:numPr>
        <w:numId w:val="1"/>
      </w:numPr>
      <w:spacing w:after="120"/>
    </w:pPr>
  </w:style>
  <w:style w:type="paragraph" w:customStyle="1" w:styleId="Titletable">
    <w:name w:val="Title_table"/>
    <w:basedOn w:val="Normal-pool"/>
    <w:next w:val="NormalNonumber"/>
    <w:rsid w:val="00156E2C"/>
    <w:pPr>
      <w:keepNext/>
      <w:keepLines/>
      <w:suppressAutoHyphens/>
      <w:spacing w:after="60"/>
      <w:ind w:left="1247"/>
    </w:pPr>
    <w:rPr>
      <w:b/>
      <w:bCs/>
    </w:rPr>
  </w:style>
  <w:style w:type="paragraph" w:styleId="TOC1">
    <w:name w:val="toc 1"/>
    <w:basedOn w:val="Normal"/>
    <w:next w:val="Normal"/>
    <w:autoRedefine/>
    <w:uiPriority w:val="39"/>
    <w:unhideWhenUsed/>
    <w:rsid w:val="00156E2C"/>
    <w:pPr>
      <w:tabs>
        <w:tab w:val="right" w:leader="dot" w:pos="9486"/>
      </w:tabs>
      <w:spacing w:before="240"/>
      <w:ind w:left="1984" w:hanging="737"/>
    </w:pPr>
    <w:rPr>
      <w:bCs/>
    </w:rPr>
  </w:style>
  <w:style w:type="paragraph" w:styleId="TOC2">
    <w:name w:val="toc 2"/>
    <w:basedOn w:val="Normal"/>
    <w:next w:val="Normal"/>
    <w:uiPriority w:val="39"/>
    <w:unhideWhenUsed/>
    <w:rsid w:val="00156E2C"/>
    <w:pPr>
      <w:tabs>
        <w:tab w:val="right" w:leader="dot" w:pos="9486"/>
      </w:tabs>
      <w:spacing w:before="60"/>
      <w:ind w:left="2608" w:hanging="737"/>
    </w:pPr>
  </w:style>
  <w:style w:type="paragraph" w:styleId="TOC3">
    <w:name w:val="toc 3"/>
    <w:basedOn w:val="Normal"/>
    <w:next w:val="Normal"/>
    <w:uiPriority w:val="39"/>
    <w:unhideWhenUsed/>
    <w:rsid w:val="00156E2C"/>
    <w:pPr>
      <w:tabs>
        <w:tab w:val="right" w:leader="dot" w:pos="9486"/>
      </w:tabs>
      <w:ind w:left="3232" w:hanging="737"/>
    </w:pPr>
    <w:rPr>
      <w:iCs/>
    </w:rPr>
  </w:style>
  <w:style w:type="paragraph" w:styleId="TOC4">
    <w:name w:val="toc 4"/>
    <w:basedOn w:val="Normal"/>
    <w:next w:val="Normal"/>
    <w:uiPriority w:val="39"/>
    <w:unhideWhenUsed/>
    <w:rsid w:val="00156E2C"/>
    <w:pPr>
      <w:tabs>
        <w:tab w:val="left" w:pos="1000"/>
        <w:tab w:val="right" w:leader="dot" w:pos="9486"/>
      </w:tabs>
      <w:ind w:left="3856" w:hanging="737"/>
    </w:pPr>
    <w:rPr>
      <w:szCs w:val="18"/>
    </w:rPr>
  </w:style>
  <w:style w:type="paragraph" w:styleId="TOC5">
    <w:name w:val="toc 5"/>
    <w:basedOn w:val="Normal"/>
    <w:next w:val="Normal"/>
    <w:uiPriority w:val="39"/>
    <w:rsid w:val="00156E2C"/>
    <w:pPr>
      <w:tabs>
        <w:tab w:val="right" w:leader="dot" w:pos="9486"/>
      </w:tabs>
      <w:ind w:left="4479" w:hanging="737"/>
    </w:pPr>
    <w:rPr>
      <w:sz w:val="18"/>
      <w:szCs w:val="18"/>
    </w:rPr>
  </w:style>
  <w:style w:type="paragraph" w:customStyle="1" w:styleId="ZZAnxheader">
    <w:name w:val="ZZ_Anx_header"/>
    <w:basedOn w:val="Normal-pool"/>
    <w:rsid w:val="00156E2C"/>
    <w:rPr>
      <w:b/>
      <w:bCs/>
      <w:sz w:val="28"/>
      <w:szCs w:val="22"/>
    </w:rPr>
  </w:style>
  <w:style w:type="paragraph" w:customStyle="1" w:styleId="ZZAnxtitle">
    <w:name w:val="ZZ_Anx_title"/>
    <w:basedOn w:val="Normal-pool"/>
    <w:rsid w:val="00156E2C"/>
    <w:pPr>
      <w:spacing w:before="360" w:after="120"/>
      <w:ind w:left="1247"/>
    </w:pPr>
    <w:rPr>
      <w:b/>
      <w:bCs/>
      <w:sz w:val="28"/>
      <w:szCs w:val="26"/>
    </w:rPr>
  </w:style>
  <w:style w:type="paragraph" w:styleId="NormalWeb">
    <w:name w:val="Normal (Web)"/>
    <w:basedOn w:val="Normal"/>
    <w:uiPriority w:val="99"/>
    <w:semiHidden/>
    <w:unhideWhenUsed/>
    <w:rsid w:val="00156E2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56E2C"/>
    <w:pPr>
      <w:spacing w:before="40" w:after="40"/>
    </w:pPr>
    <w:rPr>
      <w:sz w:val="18"/>
    </w:rPr>
  </w:style>
  <w:style w:type="paragraph" w:customStyle="1" w:styleId="Footnote-Text">
    <w:name w:val="Footnote-Text"/>
    <w:basedOn w:val="Normal-pool"/>
    <w:rsid w:val="00156E2C"/>
    <w:pPr>
      <w:spacing w:before="20" w:after="40"/>
      <w:ind w:left="1247"/>
    </w:pPr>
    <w:rPr>
      <w:sz w:val="18"/>
    </w:rPr>
  </w:style>
  <w:style w:type="paragraph" w:customStyle="1" w:styleId="AConvName">
    <w:name w:val="A_ConvName"/>
    <w:basedOn w:val="Normal-pool"/>
    <w:next w:val="Normal-pool"/>
    <w:rsid w:val="00156E2C"/>
    <w:pPr>
      <w:spacing w:before="120" w:after="240"/>
    </w:pPr>
    <w:rPr>
      <w:rFonts w:ascii="Arial" w:hAnsi="Arial"/>
      <w:b/>
      <w:sz w:val="28"/>
    </w:rPr>
  </w:style>
  <w:style w:type="paragraph" w:customStyle="1" w:styleId="ASymbol">
    <w:name w:val="A_Symbol"/>
    <w:basedOn w:val="Normal-pool"/>
    <w:rsid w:val="00156E2C"/>
    <w:pPr>
      <w:tabs>
        <w:tab w:val="clear" w:pos="624"/>
        <w:tab w:val="clear" w:pos="1247"/>
        <w:tab w:val="right" w:pos="2920"/>
      </w:tabs>
    </w:pPr>
    <w:rPr>
      <w:rFonts w:eastAsia="SimSun"/>
    </w:rPr>
  </w:style>
  <w:style w:type="paragraph" w:customStyle="1" w:styleId="AText">
    <w:name w:val="A_Text"/>
    <w:basedOn w:val="Normal-pool"/>
    <w:rsid w:val="00156E2C"/>
    <w:pPr>
      <w:spacing w:before="120"/>
    </w:pPr>
  </w:style>
  <w:style w:type="paragraph" w:customStyle="1" w:styleId="ATwoLetters">
    <w:name w:val="A_TwoLetters"/>
    <w:basedOn w:val="Normal-pool"/>
    <w:next w:val="Normal-pool"/>
    <w:rsid w:val="00156E2C"/>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56E2C"/>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56E2C"/>
    <w:rPr>
      <w:rFonts w:ascii="Tahoma" w:hAnsi="Tahoma" w:cs="Tahoma"/>
      <w:sz w:val="16"/>
      <w:szCs w:val="16"/>
    </w:rPr>
  </w:style>
  <w:style w:type="character" w:customStyle="1" w:styleId="BalloonTextChar">
    <w:name w:val="Balloon Text Char"/>
    <w:basedOn w:val="DefaultParagraphFont"/>
    <w:link w:val="BalloonText"/>
    <w:rsid w:val="00156E2C"/>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56E2C"/>
    <w:rPr>
      <w:sz w:val="16"/>
      <w:szCs w:val="16"/>
      <w:lang w:val="en-GB"/>
    </w:rPr>
  </w:style>
  <w:style w:type="paragraph" w:styleId="CommentText">
    <w:name w:val="annotation text"/>
    <w:basedOn w:val="Normal"/>
    <w:link w:val="CommentTextChar"/>
    <w:unhideWhenUsed/>
    <w:rsid w:val="00156E2C"/>
  </w:style>
  <w:style w:type="character" w:customStyle="1" w:styleId="CommentTextChar">
    <w:name w:val="Comment Text Char"/>
    <w:basedOn w:val="DefaultParagraphFont"/>
    <w:link w:val="CommentText"/>
    <w:rsid w:val="00156E2C"/>
    <w:rPr>
      <w:rFonts w:eastAsia="Times New Roman"/>
      <w:lang w:val="en-GB" w:eastAsia="en-US"/>
    </w:rPr>
  </w:style>
  <w:style w:type="paragraph" w:styleId="CommentSubject">
    <w:name w:val="annotation subject"/>
    <w:basedOn w:val="CommentText"/>
    <w:next w:val="CommentText"/>
    <w:link w:val="CommentSubjectChar"/>
    <w:semiHidden/>
    <w:unhideWhenUsed/>
    <w:rsid w:val="00156E2C"/>
    <w:rPr>
      <w:b/>
      <w:bCs/>
    </w:rPr>
  </w:style>
  <w:style w:type="character" w:customStyle="1" w:styleId="CommentSubjectChar">
    <w:name w:val="Comment Subject Char"/>
    <w:basedOn w:val="CommentTextChar"/>
    <w:link w:val="CommentSubject"/>
    <w:semiHidden/>
    <w:rsid w:val="00156E2C"/>
    <w:rPr>
      <w:rFonts w:eastAsia="Times New Roman"/>
      <w:b/>
      <w:bCs/>
      <w:lang w:val="en-GB" w:eastAsia="en-US"/>
    </w:rPr>
  </w:style>
  <w:style w:type="character" w:styleId="FollowedHyperlink">
    <w:name w:val="FollowedHyperlink"/>
    <w:uiPriority w:val="99"/>
    <w:semiHidden/>
    <w:rsid w:val="00156E2C"/>
    <w:rPr>
      <w:color w:val="0000FF"/>
      <w:u w:val="none"/>
      <w:lang w:val="en-GB"/>
    </w:rPr>
  </w:style>
  <w:style w:type="character" w:customStyle="1" w:styleId="FooterChar">
    <w:name w:val="Footer Char"/>
    <w:basedOn w:val="DefaultParagraphFont"/>
    <w:link w:val="CH4"/>
    <w:rsid w:val="00156E2C"/>
    <w:rPr>
      <w:rFonts w:eastAsia="Times New Roman"/>
      <w:b/>
      <w:lang w:val="en-GB" w:eastAsia="en-US"/>
    </w:rPr>
  </w:style>
  <w:style w:type="character" w:customStyle="1" w:styleId="HeaderChar">
    <w:name w:val="Header Char"/>
    <w:basedOn w:val="DefaultParagraphFont"/>
    <w:link w:val="Header"/>
    <w:semiHidden/>
    <w:rsid w:val="00156E2C"/>
    <w:rPr>
      <w:rFonts w:eastAsia="Times New Roman"/>
      <w:b/>
      <w:sz w:val="18"/>
      <w:lang w:val="en-GB" w:eastAsia="en-US"/>
    </w:rPr>
  </w:style>
  <w:style w:type="character" w:customStyle="1" w:styleId="Heading1Char">
    <w:name w:val="Heading 1 Char"/>
    <w:basedOn w:val="DefaultParagraphFont"/>
    <w:link w:val="Heading1"/>
    <w:rsid w:val="00156E2C"/>
    <w:rPr>
      <w:rFonts w:eastAsia="Times New Roman"/>
      <w:b/>
      <w:sz w:val="28"/>
      <w:szCs w:val="28"/>
      <w:lang w:val="en-GB" w:eastAsia="en-US"/>
    </w:rPr>
  </w:style>
  <w:style w:type="character" w:customStyle="1" w:styleId="Heading2Char">
    <w:name w:val="Heading 2 Char"/>
    <w:basedOn w:val="DefaultParagraphFont"/>
    <w:link w:val="Heading2"/>
    <w:rsid w:val="00156E2C"/>
    <w:rPr>
      <w:rFonts w:eastAsia="Times New Roman"/>
      <w:b/>
      <w:sz w:val="24"/>
      <w:szCs w:val="24"/>
      <w:lang w:val="en-GB" w:eastAsia="en-US"/>
    </w:rPr>
  </w:style>
  <w:style w:type="character" w:customStyle="1" w:styleId="Heading3Char">
    <w:name w:val="Heading 3 Char"/>
    <w:basedOn w:val="DefaultParagraphFont"/>
    <w:link w:val="Heading3"/>
    <w:rsid w:val="00156E2C"/>
    <w:rPr>
      <w:rFonts w:eastAsia="Times New Roman"/>
      <w:b/>
      <w:lang w:val="en-GB" w:eastAsia="en-US"/>
    </w:rPr>
  </w:style>
  <w:style w:type="character" w:customStyle="1" w:styleId="Heading4Char">
    <w:name w:val="Heading 4 Char"/>
    <w:basedOn w:val="DefaultParagraphFont"/>
    <w:link w:val="Heading4"/>
    <w:rsid w:val="00156E2C"/>
    <w:rPr>
      <w:rFonts w:eastAsia="Times New Roman"/>
      <w:b/>
      <w:lang w:val="en-GB" w:eastAsia="en-US"/>
    </w:rPr>
  </w:style>
  <w:style w:type="character" w:customStyle="1" w:styleId="Heading5Char">
    <w:name w:val="Heading 5 Char"/>
    <w:basedOn w:val="DefaultParagraphFont"/>
    <w:link w:val="Heading5"/>
    <w:rsid w:val="00156E2C"/>
    <w:rPr>
      <w:rFonts w:eastAsia="Times New Roman"/>
      <w:b/>
      <w:lang w:val="en-GB" w:eastAsia="en-US"/>
    </w:rPr>
  </w:style>
  <w:style w:type="character" w:customStyle="1" w:styleId="Heading6Char">
    <w:name w:val="Heading 6 Char"/>
    <w:basedOn w:val="DefaultParagraphFont"/>
    <w:link w:val="Heading6"/>
    <w:semiHidden/>
    <w:rsid w:val="00156E2C"/>
    <w:rPr>
      <w:rFonts w:eastAsia="Times New Roman"/>
      <w:bCs/>
      <w:sz w:val="24"/>
      <w:lang w:val="en-GB" w:eastAsia="en-US"/>
    </w:rPr>
  </w:style>
  <w:style w:type="character" w:customStyle="1" w:styleId="Heading7Char">
    <w:name w:val="Heading 7 Char"/>
    <w:basedOn w:val="DefaultParagraphFont"/>
    <w:link w:val="Heading7"/>
    <w:semiHidden/>
    <w:rsid w:val="00156E2C"/>
    <w:rPr>
      <w:rFonts w:eastAsia="Times New Roman"/>
      <w:b/>
      <w:snapToGrid w:val="0"/>
      <w:u w:val="single"/>
      <w:lang w:val="en-GB" w:eastAsia="en-US"/>
    </w:rPr>
  </w:style>
  <w:style w:type="character" w:customStyle="1" w:styleId="Heading8Char">
    <w:name w:val="Heading 8 Char"/>
    <w:basedOn w:val="DefaultParagraphFont"/>
    <w:link w:val="Heading8"/>
    <w:semiHidden/>
    <w:rsid w:val="00156E2C"/>
    <w:rPr>
      <w:rFonts w:eastAsia="Times New Roman"/>
      <w:b/>
      <w:snapToGrid w:val="0"/>
      <w:u w:val="single"/>
      <w:lang w:val="en-GB" w:eastAsia="en-US"/>
    </w:rPr>
  </w:style>
  <w:style w:type="character" w:customStyle="1" w:styleId="Heading9Char">
    <w:name w:val="Heading 9 Char"/>
    <w:basedOn w:val="DefaultParagraphFont"/>
    <w:link w:val="Heading9"/>
    <w:semiHidden/>
    <w:rsid w:val="00156E2C"/>
    <w:rPr>
      <w:rFonts w:eastAsia="Times New Roman"/>
      <w:snapToGrid w:val="0"/>
      <w:u w:val="single"/>
      <w:lang w:val="en-GB" w:eastAsia="en-US"/>
    </w:rPr>
  </w:style>
  <w:style w:type="paragraph" w:styleId="ListParagraph">
    <w:name w:val="List Paragraph"/>
    <w:basedOn w:val="Normal"/>
    <w:uiPriority w:val="34"/>
    <w:semiHidden/>
    <w:qFormat/>
    <w:rsid w:val="00156E2C"/>
    <w:pPr>
      <w:ind w:left="720"/>
      <w:contextualSpacing/>
    </w:pPr>
  </w:style>
  <w:style w:type="paragraph" w:styleId="NoSpacing">
    <w:name w:val="No Spacing"/>
    <w:uiPriority w:val="1"/>
    <w:semiHidden/>
    <w:qFormat/>
    <w:rsid w:val="00156E2C"/>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156E2C"/>
    <w:rPr>
      <w:rFonts w:eastAsia="Times New Roman"/>
      <w:lang w:val="en-GB" w:eastAsia="en-US"/>
    </w:rPr>
  </w:style>
  <w:style w:type="character" w:styleId="PlaceholderText">
    <w:name w:val="Placeholder Text"/>
    <w:basedOn w:val="DefaultParagraphFont"/>
    <w:uiPriority w:val="99"/>
    <w:semiHidden/>
    <w:rsid w:val="00156E2C"/>
    <w:rPr>
      <w:color w:val="808080"/>
      <w:lang w:val="en-GB"/>
    </w:rPr>
  </w:style>
  <w:style w:type="table" w:styleId="TableGrid">
    <w:name w:val="Table Grid"/>
    <w:basedOn w:val="TableNormal"/>
    <w:rsid w:val="0015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56E2C"/>
    <w:pPr>
      <w:spacing w:before="120" w:after="240"/>
    </w:pPr>
  </w:style>
  <w:style w:type="character" w:customStyle="1" w:styleId="ALogoChar">
    <w:name w:val="A_Logo Char"/>
    <w:basedOn w:val="DefaultParagraphFont"/>
    <w:link w:val="ALogo"/>
    <w:rsid w:val="00156E2C"/>
    <w:rPr>
      <w:rFonts w:eastAsia="Times New Roman"/>
      <w:lang w:val="en-GB" w:eastAsia="en-US"/>
    </w:rPr>
  </w:style>
  <w:style w:type="paragraph" w:customStyle="1" w:styleId="ASpacer">
    <w:name w:val="A_Spacer"/>
    <w:basedOn w:val="Normal-pool"/>
    <w:link w:val="ASpacerChar"/>
    <w:qFormat/>
    <w:rsid w:val="00156E2C"/>
    <w:rPr>
      <w:sz w:val="2"/>
    </w:rPr>
  </w:style>
  <w:style w:type="character" w:customStyle="1" w:styleId="ASpacerChar">
    <w:name w:val="A_Spacer Char"/>
    <w:basedOn w:val="DefaultParagraphFont"/>
    <w:link w:val="ASpacer"/>
    <w:rsid w:val="00156E2C"/>
    <w:rPr>
      <w:rFonts w:eastAsia="Times New Roman"/>
      <w:sz w:val="2"/>
      <w:lang w:val="en-GB" w:eastAsia="en-US"/>
    </w:rPr>
  </w:style>
  <w:style w:type="paragraph" w:customStyle="1" w:styleId="AATitle1">
    <w:name w:val="AA_Title1"/>
    <w:basedOn w:val="Normal-pool"/>
    <w:qFormat/>
    <w:rsid w:val="00156E2C"/>
  </w:style>
  <w:style w:type="character" w:styleId="UnresolvedMention">
    <w:name w:val="Unresolved Mention"/>
    <w:basedOn w:val="DefaultParagraphFont"/>
    <w:uiPriority w:val="99"/>
    <w:semiHidden/>
    <w:rsid w:val="00156E2C"/>
    <w:rPr>
      <w:color w:val="605E5C"/>
      <w:shd w:val="clear" w:color="auto" w:fill="E1DFDD"/>
      <w:lang w:val="en-GB"/>
    </w:rPr>
  </w:style>
  <w:style w:type="paragraph" w:customStyle="1" w:styleId="ANormal">
    <w:name w:val="A_Normal"/>
    <w:basedOn w:val="Normal-pool"/>
    <w:rsid w:val="00156E2C"/>
  </w:style>
  <w:style w:type="paragraph" w:customStyle="1" w:styleId="AText0">
    <w:name w:val="A_Text0"/>
    <w:basedOn w:val="AText"/>
    <w:next w:val="AText"/>
    <w:qFormat/>
    <w:rsid w:val="00156E2C"/>
    <w:pPr>
      <w:tabs>
        <w:tab w:val="clear" w:pos="4990"/>
      </w:tabs>
      <w:spacing w:before="0" w:after="120"/>
    </w:pPr>
  </w:style>
  <w:style w:type="paragraph" w:styleId="Footer">
    <w:name w:val="footer"/>
    <w:basedOn w:val="Normal"/>
    <w:link w:val="FooterChar1"/>
    <w:unhideWhenUsed/>
    <w:rsid w:val="00156E2C"/>
    <w:pPr>
      <w:tabs>
        <w:tab w:val="clear" w:pos="1247"/>
        <w:tab w:val="right" w:pos="8641"/>
      </w:tabs>
    </w:pPr>
    <w:rPr>
      <w:b/>
      <w:sz w:val="18"/>
    </w:rPr>
  </w:style>
  <w:style w:type="character" w:customStyle="1" w:styleId="FooterChar1">
    <w:name w:val="Footer Char1"/>
    <w:basedOn w:val="DefaultParagraphFont"/>
    <w:link w:val="Footer"/>
    <w:rsid w:val="00156E2C"/>
    <w:rPr>
      <w:rFonts w:eastAsia="Times New Roman"/>
      <w:b/>
      <w:sz w:val="18"/>
      <w:lang w:val="en-GB" w:eastAsia="en-US"/>
    </w:rPr>
  </w:style>
  <w:style w:type="paragraph" w:customStyle="1" w:styleId="Normal-pool">
    <w:name w:val="Normal-pool"/>
    <w:qFormat/>
    <w:rsid w:val="00156E2C"/>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56E2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56E2C"/>
    <w:pPr>
      <w:spacing w:before="60"/>
      <w:ind w:left="624"/>
    </w:pPr>
    <w:rPr>
      <w:rFonts w:eastAsiaTheme="minorEastAsia"/>
      <w:sz w:val="18"/>
    </w:rPr>
  </w:style>
  <w:style w:type="paragraph" w:styleId="Bibliography">
    <w:name w:val="Bibliography"/>
    <w:basedOn w:val="Normal"/>
    <w:next w:val="Normal"/>
    <w:uiPriority w:val="37"/>
    <w:semiHidden/>
    <w:rsid w:val="00156E2C"/>
  </w:style>
  <w:style w:type="paragraph" w:styleId="BlockText">
    <w:name w:val="Block Text"/>
    <w:basedOn w:val="Normal"/>
    <w:semiHidden/>
    <w:unhideWhenUsed/>
    <w:rsid w:val="00156E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56E2C"/>
    <w:pPr>
      <w:spacing w:after="120"/>
    </w:pPr>
  </w:style>
  <w:style w:type="character" w:customStyle="1" w:styleId="BodyTextChar">
    <w:name w:val="Body Text Char"/>
    <w:basedOn w:val="DefaultParagraphFont"/>
    <w:link w:val="BodyText"/>
    <w:semiHidden/>
    <w:rsid w:val="00156E2C"/>
    <w:rPr>
      <w:rFonts w:eastAsia="Times New Roman"/>
      <w:lang w:val="en-GB" w:eastAsia="en-US"/>
    </w:rPr>
  </w:style>
  <w:style w:type="paragraph" w:styleId="BodyText2">
    <w:name w:val="Body Text 2"/>
    <w:basedOn w:val="Normal"/>
    <w:link w:val="BodyText2Char"/>
    <w:semiHidden/>
    <w:unhideWhenUsed/>
    <w:rsid w:val="00156E2C"/>
    <w:pPr>
      <w:spacing w:after="120" w:line="480" w:lineRule="auto"/>
    </w:pPr>
  </w:style>
  <w:style w:type="character" w:customStyle="1" w:styleId="BodyText2Char">
    <w:name w:val="Body Text 2 Char"/>
    <w:basedOn w:val="DefaultParagraphFont"/>
    <w:link w:val="BodyText2"/>
    <w:semiHidden/>
    <w:rsid w:val="00156E2C"/>
    <w:rPr>
      <w:rFonts w:eastAsia="Times New Roman"/>
      <w:lang w:val="en-GB" w:eastAsia="en-US"/>
    </w:rPr>
  </w:style>
  <w:style w:type="paragraph" w:styleId="BodyText3">
    <w:name w:val="Body Text 3"/>
    <w:basedOn w:val="Normal"/>
    <w:link w:val="BodyText3Char"/>
    <w:semiHidden/>
    <w:unhideWhenUsed/>
    <w:rsid w:val="00156E2C"/>
    <w:pPr>
      <w:spacing w:after="120"/>
    </w:pPr>
    <w:rPr>
      <w:sz w:val="16"/>
      <w:szCs w:val="16"/>
    </w:rPr>
  </w:style>
  <w:style w:type="character" w:customStyle="1" w:styleId="BodyText3Char">
    <w:name w:val="Body Text 3 Char"/>
    <w:basedOn w:val="DefaultParagraphFont"/>
    <w:link w:val="BodyText3"/>
    <w:semiHidden/>
    <w:rsid w:val="00156E2C"/>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56E2C"/>
    <w:pPr>
      <w:spacing w:after="0"/>
      <w:ind w:firstLine="360"/>
    </w:pPr>
  </w:style>
  <w:style w:type="character" w:customStyle="1" w:styleId="BodyTextFirstIndentChar">
    <w:name w:val="Body Text First Indent Char"/>
    <w:basedOn w:val="BodyTextChar"/>
    <w:link w:val="BodyTextFirstIndent"/>
    <w:semiHidden/>
    <w:rsid w:val="00156E2C"/>
    <w:rPr>
      <w:rFonts w:eastAsia="Times New Roman"/>
      <w:lang w:val="en-GB" w:eastAsia="en-US"/>
    </w:rPr>
  </w:style>
  <w:style w:type="paragraph" w:styleId="BodyTextIndent">
    <w:name w:val="Body Text Indent"/>
    <w:basedOn w:val="Normal"/>
    <w:link w:val="BodyTextIndentChar"/>
    <w:semiHidden/>
    <w:unhideWhenUsed/>
    <w:rsid w:val="00156E2C"/>
    <w:pPr>
      <w:spacing w:after="120"/>
      <w:ind w:left="283"/>
    </w:pPr>
  </w:style>
  <w:style w:type="character" w:customStyle="1" w:styleId="BodyTextIndentChar">
    <w:name w:val="Body Text Indent Char"/>
    <w:basedOn w:val="DefaultParagraphFont"/>
    <w:link w:val="BodyTextIndent"/>
    <w:semiHidden/>
    <w:rsid w:val="00156E2C"/>
    <w:rPr>
      <w:rFonts w:eastAsia="Times New Roman"/>
      <w:lang w:val="en-GB" w:eastAsia="en-US"/>
    </w:rPr>
  </w:style>
  <w:style w:type="paragraph" w:styleId="BodyTextFirstIndent2">
    <w:name w:val="Body Text First Indent 2"/>
    <w:basedOn w:val="BodyTextIndent"/>
    <w:link w:val="BodyTextFirstIndent2Char"/>
    <w:semiHidden/>
    <w:unhideWhenUsed/>
    <w:rsid w:val="00156E2C"/>
    <w:pPr>
      <w:spacing w:after="0"/>
      <w:ind w:left="360" w:firstLine="360"/>
    </w:pPr>
  </w:style>
  <w:style w:type="character" w:customStyle="1" w:styleId="BodyTextFirstIndent2Char">
    <w:name w:val="Body Text First Indent 2 Char"/>
    <w:basedOn w:val="BodyTextIndentChar"/>
    <w:link w:val="BodyTextFirstIndent2"/>
    <w:semiHidden/>
    <w:rsid w:val="00156E2C"/>
    <w:rPr>
      <w:rFonts w:eastAsia="Times New Roman"/>
      <w:lang w:val="en-GB" w:eastAsia="en-US"/>
    </w:rPr>
  </w:style>
  <w:style w:type="paragraph" w:styleId="BodyTextIndent2">
    <w:name w:val="Body Text Indent 2"/>
    <w:basedOn w:val="Normal"/>
    <w:link w:val="BodyTextIndent2Char"/>
    <w:semiHidden/>
    <w:unhideWhenUsed/>
    <w:rsid w:val="00156E2C"/>
    <w:pPr>
      <w:spacing w:after="120" w:line="480" w:lineRule="auto"/>
      <w:ind w:left="283"/>
    </w:pPr>
  </w:style>
  <w:style w:type="character" w:customStyle="1" w:styleId="BodyTextIndent2Char">
    <w:name w:val="Body Text Indent 2 Char"/>
    <w:basedOn w:val="DefaultParagraphFont"/>
    <w:link w:val="BodyTextIndent2"/>
    <w:semiHidden/>
    <w:rsid w:val="00156E2C"/>
    <w:rPr>
      <w:rFonts w:eastAsia="Times New Roman"/>
      <w:lang w:val="en-GB" w:eastAsia="en-US"/>
    </w:rPr>
  </w:style>
  <w:style w:type="paragraph" w:styleId="BodyTextIndent3">
    <w:name w:val="Body Text Indent 3"/>
    <w:basedOn w:val="Normal"/>
    <w:link w:val="BodyTextIndent3Char"/>
    <w:semiHidden/>
    <w:unhideWhenUsed/>
    <w:rsid w:val="00156E2C"/>
    <w:pPr>
      <w:spacing w:after="120"/>
      <w:ind w:left="283"/>
    </w:pPr>
    <w:rPr>
      <w:sz w:val="16"/>
      <w:szCs w:val="16"/>
    </w:rPr>
  </w:style>
  <w:style w:type="character" w:customStyle="1" w:styleId="BodyTextIndent3Char">
    <w:name w:val="Body Text Indent 3 Char"/>
    <w:basedOn w:val="DefaultParagraphFont"/>
    <w:link w:val="BodyTextIndent3"/>
    <w:semiHidden/>
    <w:rsid w:val="00156E2C"/>
    <w:rPr>
      <w:rFonts w:eastAsia="Times New Roman"/>
      <w:sz w:val="16"/>
      <w:szCs w:val="16"/>
      <w:lang w:val="en-GB" w:eastAsia="en-US"/>
    </w:rPr>
  </w:style>
  <w:style w:type="character" w:styleId="BookTitle">
    <w:name w:val="Book Title"/>
    <w:basedOn w:val="DefaultParagraphFont"/>
    <w:uiPriority w:val="33"/>
    <w:semiHidden/>
    <w:qFormat/>
    <w:rsid w:val="00156E2C"/>
    <w:rPr>
      <w:b/>
      <w:bCs/>
      <w:i/>
      <w:iCs/>
      <w:spacing w:val="5"/>
      <w:lang w:val="en-GB"/>
    </w:rPr>
  </w:style>
  <w:style w:type="paragraph" w:styleId="Caption">
    <w:name w:val="caption"/>
    <w:basedOn w:val="Normal"/>
    <w:next w:val="Normal"/>
    <w:semiHidden/>
    <w:unhideWhenUsed/>
    <w:qFormat/>
    <w:rsid w:val="00156E2C"/>
    <w:pPr>
      <w:spacing w:after="200"/>
    </w:pPr>
    <w:rPr>
      <w:i/>
      <w:iCs/>
      <w:color w:val="1F497D" w:themeColor="text2"/>
      <w:sz w:val="18"/>
      <w:szCs w:val="18"/>
    </w:rPr>
  </w:style>
  <w:style w:type="paragraph" w:styleId="Closing">
    <w:name w:val="Closing"/>
    <w:basedOn w:val="Normal"/>
    <w:link w:val="ClosingChar"/>
    <w:semiHidden/>
    <w:unhideWhenUsed/>
    <w:rsid w:val="00156E2C"/>
    <w:pPr>
      <w:ind w:left="4252"/>
    </w:pPr>
  </w:style>
  <w:style w:type="character" w:customStyle="1" w:styleId="ClosingChar">
    <w:name w:val="Closing Char"/>
    <w:basedOn w:val="DefaultParagraphFont"/>
    <w:link w:val="Closing"/>
    <w:semiHidden/>
    <w:rsid w:val="00156E2C"/>
    <w:rPr>
      <w:rFonts w:eastAsia="Times New Roman"/>
      <w:lang w:val="en-GB" w:eastAsia="en-US"/>
    </w:rPr>
  </w:style>
  <w:style w:type="table" w:styleId="ColorfulGrid">
    <w:name w:val="Colorful Grid"/>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56E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6E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56E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56E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56E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56E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56E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6E2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56E2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6E2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6E2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56E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6E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56E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56E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56E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56E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56E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56E2C"/>
  </w:style>
  <w:style w:type="character" w:customStyle="1" w:styleId="DateChar">
    <w:name w:val="Date Char"/>
    <w:basedOn w:val="DefaultParagraphFont"/>
    <w:link w:val="Date"/>
    <w:semiHidden/>
    <w:rsid w:val="00156E2C"/>
    <w:rPr>
      <w:rFonts w:eastAsia="Times New Roman"/>
      <w:lang w:val="en-GB" w:eastAsia="en-US"/>
    </w:rPr>
  </w:style>
  <w:style w:type="paragraph" w:styleId="DocumentMap">
    <w:name w:val="Document Map"/>
    <w:basedOn w:val="Normal"/>
    <w:link w:val="DocumentMapChar"/>
    <w:semiHidden/>
    <w:unhideWhenUsed/>
    <w:rsid w:val="00156E2C"/>
    <w:rPr>
      <w:rFonts w:ascii="Segoe UI" w:hAnsi="Segoe UI" w:cs="Segoe UI"/>
      <w:sz w:val="16"/>
      <w:szCs w:val="16"/>
    </w:rPr>
  </w:style>
  <w:style w:type="character" w:customStyle="1" w:styleId="DocumentMapChar">
    <w:name w:val="Document Map Char"/>
    <w:basedOn w:val="DefaultParagraphFont"/>
    <w:link w:val="DocumentMap"/>
    <w:semiHidden/>
    <w:rsid w:val="00156E2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56E2C"/>
  </w:style>
  <w:style w:type="character" w:customStyle="1" w:styleId="E-mailSignatureChar">
    <w:name w:val="E-mail Signature Char"/>
    <w:basedOn w:val="DefaultParagraphFont"/>
    <w:link w:val="E-mailSignature"/>
    <w:semiHidden/>
    <w:rsid w:val="00156E2C"/>
    <w:rPr>
      <w:rFonts w:eastAsia="Times New Roman"/>
      <w:lang w:val="en-GB" w:eastAsia="en-US"/>
    </w:rPr>
  </w:style>
  <w:style w:type="character" w:styleId="Emphasis">
    <w:name w:val="Emphasis"/>
    <w:basedOn w:val="DefaultParagraphFont"/>
    <w:semiHidden/>
    <w:qFormat/>
    <w:rsid w:val="00156E2C"/>
    <w:rPr>
      <w:i/>
      <w:iCs/>
      <w:lang w:val="en-GB"/>
    </w:rPr>
  </w:style>
  <w:style w:type="character" w:styleId="EndnoteReference">
    <w:name w:val="endnote reference"/>
    <w:basedOn w:val="DefaultParagraphFont"/>
    <w:semiHidden/>
    <w:unhideWhenUsed/>
    <w:rsid w:val="00156E2C"/>
    <w:rPr>
      <w:vertAlign w:val="superscript"/>
      <w:lang w:val="en-GB"/>
    </w:rPr>
  </w:style>
  <w:style w:type="paragraph" w:styleId="EndnoteText">
    <w:name w:val="endnote text"/>
    <w:basedOn w:val="Normal"/>
    <w:link w:val="EndnoteTextChar"/>
    <w:semiHidden/>
    <w:unhideWhenUsed/>
    <w:rsid w:val="00156E2C"/>
  </w:style>
  <w:style w:type="character" w:customStyle="1" w:styleId="EndnoteTextChar">
    <w:name w:val="Endnote Text Char"/>
    <w:basedOn w:val="DefaultParagraphFont"/>
    <w:link w:val="EndnoteText"/>
    <w:semiHidden/>
    <w:rsid w:val="00156E2C"/>
    <w:rPr>
      <w:rFonts w:eastAsia="Times New Roman"/>
      <w:lang w:val="en-GB" w:eastAsia="en-US"/>
    </w:rPr>
  </w:style>
  <w:style w:type="paragraph" w:styleId="EnvelopeAddress">
    <w:name w:val="envelope address"/>
    <w:basedOn w:val="Normal"/>
    <w:semiHidden/>
    <w:unhideWhenUsed/>
    <w:rsid w:val="00156E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6E2C"/>
    <w:rPr>
      <w:rFonts w:asciiTheme="majorHAnsi" w:eastAsiaTheme="majorEastAsia" w:hAnsiTheme="majorHAnsi" w:cstheme="majorBidi"/>
    </w:rPr>
  </w:style>
  <w:style w:type="paragraph" w:styleId="FootnoteText">
    <w:name w:val="footnote text"/>
    <w:basedOn w:val="Normal"/>
    <w:link w:val="FootnoteTextChar"/>
    <w:semiHidden/>
    <w:unhideWhenUsed/>
    <w:rsid w:val="00156E2C"/>
  </w:style>
  <w:style w:type="character" w:customStyle="1" w:styleId="FootnoteTextChar">
    <w:name w:val="Footnote Text Char"/>
    <w:basedOn w:val="DefaultParagraphFont"/>
    <w:link w:val="FootnoteText"/>
    <w:semiHidden/>
    <w:rsid w:val="00156E2C"/>
    <w:rPr>
      <w:rFonts w:eastAsia="Times New Roman"/>
      <w:lang w:val="en-GB" w:eastAsia="en-US"/>
    </w:rPr>
  </w:style>
  <w:style w:type="table" w:styleId="GridTable1Light">
    <w:name w:val="Grid Table 1 Light"/>
    <w:basedOn w:val="TableNormal"/>
    <w:uiPriority w:val="46"/>
    <w:rsid w:val="00156E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6E2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6E2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6E2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6E2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6E2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6E2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6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6E2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56E2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56E2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56E2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56E2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56E2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56E2C"/>
    <w:rPr>
      <w:color w:val="2B579A"/>
      <w:shd w:val="clear" w:color="auto" w:fill="E1DFDD"/>
      <w:lang w:val="en-GB"/>
    </w:rPr>
  </w:style>
  <w:style w:type="character" w:styleId="HTMLAcronym">
    <w:name w:val="HTML Acronym"/>
    <w:basedOn w:val="DefaultParagraphFont"/>
    <w:semiHidden/>
    <w:unhideWhenUsed/>
    <w:rsid w:val="00156E2C"/>
    <w:rPr>
      <w:lang w:val="en-GB"/>
    </w:rPr>
  </w:style>
  <w:style w:type="paragraph" w:styleId="HTMLAddress">
    <w:name w:val="HTML Address"/>
    <w:basedOn w:val="Normal"/>
    <w:link w:val="HTMLAddressChar"/>
    <w:semiHidden/>
    <w:unhideWhenUsed/>
    <w:rsid w:val="00156E2C"/>
    <w:rPr>
      <w:i/>
      <w:iCs/>
    </w:rPr>
  </w:style>
  <w:style w:type="character" w:customStyle="1" w:styleId="HTMLAddressChar">
    <w:name w:val="HTML Address Char"/>
    <w:basedOn w:val="DefaultParagraphFont"/>
    <w:link w:val="HTMLAddress"/>
    <w:semiHidden/>
    <w:rsid w:val="00156E2C"/>
    <w:rPr>
      <w:rFonts w:eastAsia="Times New Roman"/>
      <w:i/>
      <w:iCs/>
      <w:lang w:val="en-GB" w:eastAsia="en-US"/>
    </w:rPr>
  </w:style>
  <w:style w:type="character" w:styleId="HTMLCite">
    <w:name w:val="HTML Cite"/>
    <w:basedOn w:val="DefaultParagraphFont"/>
    <w:semiHidden/>
    <w:unhideWhenUsed/>
    <w:rsid w:val="00156E2C"/>
    <w:rPr>
      <w:i/>
      <w:iCs/>
      <w:lang w:val="en-GB"/>
    </w:rPr>
  </w:style>
  <w:style w:type="character" w:styleId="HTMLCode">
    <w:name w:val="HTML Code"/>
    <w:basedOn w:val="DefaultParagraphFont"/>
    <w:semiHidden/>
    <w:unhideWhenUsed/>
    <w:rsid w:val="00156E2C"/>
    <w:rPr>
      <w:rFonts w:ascii="Consolas" w:hAnsi="Consolas"/>
      <w:sz w:val="20"/>
      <w:szCs w:val="20"/>
      <w:lang w:val="en-GB"/>
    </w:rPr>
  </w:style>
  <w:style w:type="character" w:styleId="HTMLDefinition">
    <w:name w:val="HTML Definition"/>
    <w:basedOn w:val="DefaultParagraphFont"/>
    <w:semiHidden/>
    <w:unhideWhenUsed/>
    <w:rsid w:val="00156E2C"/>
    <w:rPr>
      <w:i/>
      <w:iCs/>
      <w:lang w:val="en-GB"/>
    </w:rPr>
  </w:style>
  <w:style w:type="character" w:styleId="HTMLKeyboard">
    <w:name w:val="HTML Keyboard"/>
    <w:basedOn w:val="DefaultParagraphFont"/>
    <w:semiHidden/>
    <w:unhideWhenUsed/>
    <w:rsid w:val="00156E2C"/>
    <w:rPr>
      <w:rFonts w:ascii="Consolas" w:hAnsi="Consolas"/>
      <w:sz w:val="20"/>
      <w:szCs w:val="20"/>
      <w:lang w:val="en-GB"/>
    </w:rPr>
  </w:style>
  <w:style w:type="paragraph" w:styleId="HTMLPreformatted">
    <w:name w:val="HTML Preformatted"/>
    <w:basedOn w:val="Normal"/>
    <w:link w:val="HTMLPreformattedChar"/>
    <w:semiHidden/>
    <w:unhideWhenUsed/>
    <w:rsid w:val="00156E2C"/>
    <w:rPr>
      <w:rFonts w:ascii="Consolas" w:hAnsi="Consolas"/>
    </w:rPr>
  </w:style>
  <w:style w:type="character" w:customStyle="1" w:styleId="HTMLPreformattedChar">
    <w:name w:val="HTML Preformatted Char"/>
    <w:basedOn w:val="DefaultParagraphFont"/>
    <w:link w:val="HTMLPreformatted"/>
    <w:semiHidden/>
    <w:rsid w:val="00156E2C"/>
    <w:rPr>
      <w:rFonts w:ascii="Consolas" w:eastAsia="Times New Roman" w:hAnsi="Consolas"/>
      <w:lang w:val="en-GB" w:eastAsia="en-US"/>
    </w:rPr>
  </w:style>
  <w:style w:type="character" w:styleId="HTMLSample">
    <w:name w:val="HTML Sample"/>
    <w:basedOn w:val="DefaultParagraphFont"/>
    <w:semiHidden/>
    <w:unhideWhenUsed/>
    <w:rsid w:val="00156E2C"/>
    <w:rPr>
      <w:rFonts w:ascii="Consolas" w:hAnsi="Consolas"/>
      <w:sz w:val="24"/>
      <w:szCs w:val="24"/>
      <w:lang w:val="en-GB"/>
    </w:rPr>
  </w:style>
  <w:style w:type="character" w:styleId="HTMLTypewriter">
    <w:name w:val="HTML Typewriter"/>
    <w:basedOn w:val="DefaultParagraphFont"/>
    <w:semiHidden/>
    <w:unhideWhenUsed/>
    <w:rsid w:val="00156E2C"/>
    <w:rPr>
      <w:rFonts w:ascii="Consolas" w:hAnsi="Consolas"/>
      <w:sz w:val="20"/>
      <w:szCs w:val="20"/>
      <w:lang w:val="en-GB"/>
    </w:rPr>
  </w:style>
  <w:style w:type="character" w:styleId="HTMLVariable">
    <w:name w:val="HTML Variable"/>
    <w:basedOn w:val="DefaultParagraphFont"/>
    <w:semiHidden/>
    <w:unhideWhenUsed/>
    <w:rsid w:val="00156E2C"/>
    <w:rPr>
      <w:i/>
      <w:iCs/>
      <w:lang w:val="en-GB"/>
    </w:rPr>
  </w:style>
  <w:style w:type="paragraph" w:styleId="Index1">
    <w:name w:val="index 1"/>
    <w:basedOn w:val="Normal"/>
    <w:next w:val="Normal"/>
    <w:autoRedefine/>
    <w:semiHidden/>
    <w:unhideWhenUsed/>
    <w:rsid w:val="00156E2C"/>
    <w:pPr>
      <w:tabs>
        <w:tab w:val="clear" w:pos="1247"/>
      </w:tabs>
      <w:ind w:left="200" w:hanging="200"/>
    </w:pPr>
  </w:style>
  <w:style w:type="paragraph" w:styleId="Index2">
    <w:name w:val="index 2"/>
    <w:basedOn w:val="Normal"/>
    <w:next w:val="Normal"/>
    <w:autoRedefine/>
    <w:semiHidden/>
    <w:unhideWhenUsed/>
    <w:rsid w:val="00156E2C"/>
    <w:pPr>
      <w:tabs>
        <w:tab w:val="clear" w:pos="1247"/>
      </w:tabs>
      <w:ind w:left="400" w:hanging="200"/>
    </w:pPr>
  </w:style>
  <w:style w:type="paragraph" w:styleId="Index3">
    <w:name w:val="index 3"/>
    <w:basedOn w:val="Normal"/>
    <w:next w:val="Normal"/>
    <w:autoRedefine/>
    <w:semiHidden/>
    <w:unhideWhenUsed/>
    <w:rsid w:val="00156E2C"/>
    <w:pPr>
      <w:tabs>
        <w:tab w:val="clear" w:pos="1247"/>
      </w:tabs>
      <w:ind w:left="600" w:hanging="200"/>
    </w:pPr>
  </w:style>
  <w:style w:type="paragraph" w:styleId="Index4">
    <w:name w:val="index 4"/>
    <w:basedOn w:val="Normal"/>
    <w:next w:val="Normal"/>
    <w:autoRedefine/>
    <w:semiHidden/>
    <w:unhideWhenUsed/>
    <w:rsid w:val="00156E2C"/>
    <w:pPr>
      <w:tabs>
        <w:tab w:val="clear" w:pos="1247"/>
      </w:tabs>
      <w:ind w:left="800" w:hanging="200"/>
    </w:pPr>
  </w:style>
  <w:style w:type="paragraph" w:styleId="Index5">
    <w:name w:val="index 5"/>
    <w:basedOn w:val="Normal"/>
    <w:next w:val="Normal"/>
    <w:autoRedefine/>
    <w:semiHidden/>
    <w:unhideWhenUsed/>
    <w:rsid w:val="00156E2C"/>
    <w:pPr>
      <w:tabs>
        <w:tab w:val="clear" w:pos="1247"/>
      </w:tabs>
      <w:ind w:left="1000" w:hanging="200"/>
    </w:pPr>
  </w:style>
  <w:style w:type="paragraph" w:styleId="Index6">
    <w:name w:val="index 6"/>
    <w:basedOn w:val="Normal"/>
    <w:next w:val="Normal"/>
    <w:autoRedefine/>
    <w:semiHidden/>
    <w:unhideWhenUsed/>
    <w:rsid w:val="00156E2C"/>
    <w:pPr>
      <w:tabs>
        <w:tab w:val="clear" w:pos="1247"/>
      </w:tabs>
      <w:ind w:left="1200" w:hanging="200"/>
    </w:pPr>
  </w:style>
  <w:style w:type="paragraph" w:styleId="Index7">
    <w:name w:val="index 7"/>
    <w:basedOn w:val="Normal"/>
    <w:next w:val="Normal"/>
    <w:autoRedefine/>
    <w:semiHidden/>
    <w:unhideWhenUsed/>
    <w:rsid w:val="00156E2C"/>
    <w:pPr>
      <w:tabs>
        <w:tab w:val="clear" w:pos="1247"/>
      </w:tabs>
      <w:ind w:left="1400" w:hanging="200"/>
    </w:pPr>
  </w:style>
  <w:style w:type="paragraph" w:styleId="Index8">
    <w:name w:val="index 8"/>
    <w:basedOn w:val="Normal"/>
    <w:next w:val="Normal"/>
    <w:autoRedefine/>
    <w:semiHidden/>
    <w:unhideWhenUsed/>
    <w:rsid w:val="00156E2C"/>
    <w:pPr>
      <w:tabs>
        <w:tab w:val="clear" w:pos="1247"/>
      </w:tabs>
      <w:ind w:left="1600" w:hanging="200"/>
    </w:pPr>
  </w:style>
  <w:style w:type="paragraph" w:styleId="Index9">
    <w:name w:val="index 9"/>
    <w:basedOn w:val="Normal"/>
    <w:next w:val="Normal"/>
    <w:autoRedefine/>
    <w:semiHidden/>
    <w:unhideWhenUsed/>
    <w:rsid w:val="00156E2C"/>
    <w:pPr>
      <w:tabs>
        <w:tab w:val="clear" w:pos="1247"/>
      </w:tabs>
      <w:ind w:left="1800" w:hanging="200"/>
    </w:pPr>
  </w:style>
  <w:style w:type="paragraph" w:styleId="IndexHeading">
    <w:name w:val="index heading"/>
    <w:basedOn w:val="Normal"/>
    <w:next w:val="Index1"/>
    <w:semiHidden/>
    <w:unhideWhenUsed/>
    <w:rsid w:val="00156E2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56E2C"/>
    <w:rPr>
      <w:i/>
      <w:iCs/>
      <w:color w:val="4F81BD" w:themeColor="accent1"/>
      <w:lang w:val="en-GB"/>
    </w:rPr>
  </w:style>
  <w:style w:type="paragraph" w:styleId="IntenseQuote">
    <w:name w:val="Intense Quote"/>
    <w:basedOn w:val="Normal"/>
    <w:next w:val="Normal"/>
    <w:link w:val="IntenseQuoteChar"/>
    <w:uiPriority w:val="30"/>
    <w:semiHidden/>
    <w:qFormat/>
    <w:rsid w:val="00156E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56E2C"/>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56E2C"/>
    <w:rPr>
      <w:b/>
      <w:bCs/>
      <w:smallCaps/>
      <w:color w:val="4F81BD" w:themeColor="accent1"/>
      <w:spacing w:val="5"/>
      <w:lang w:val="en-GB"/>
    </w:rPr>
  </w:style>
  <w:style w:type="table" w:styleId="LightGrid">
    <w:name w:val="Light Grid"/>
    <w:basedOn w:val="TableNormal"/>
    <w:uiPriority w:val="62"/>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56E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6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56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56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56E2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56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56E2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56E2C"/>
    <w:rPr>
      <w:lang w:val="en-GB"/>
    </w:rPr>
  </w:style>
  <w:style w:type="paragraph" w:styleId="List">
    <w:name w:val="List"/>
    <w:basedOn w:val="Normal"/>
    <w:semiHidden/>
    <w:unhideWhenUsed/>
    <w:rsid w:val="00156E2C"/>
    <w:pPr>
      <w:ind w:left="283" w:hanging="283"/>
      <w:contextualSpacing/>
    </w:pPr>
  </w:style>
  <w:style w:type="paragraph" w:styleId="List2">
    <w:name w:val="List 2"/>
    <w:basedOn w:val="Normal"/>
    <w:semiHidden/>
    <w:unhideWhenUsed/>
    <w:rsid w:val="00156E2C"/>
    <w:pPr>
      <w:ind w:left="566" w:hanging="283"/>
      <w:contextualSpacing/>
    </w:pPr>
  </w:style>
  <w:style w:type="paragraph" w:styleId="List3">
    <w:name w:val="List 3"/>
    <w:basedOn w:val="Normal"/>
    <w:semiHidden/>
    <w:unhideWhenUsed/>
    <w:rsid w:val="00156E2C"/>
    <w:pPr>
      <w:ind w:left="849" w:hanging="283"/>
      <w:contextualSpacing/>
    </w:pPr>
  </w:style>
  <w:style w:type="paragraph" w:styleId="List4">
    <w:name w:val="List 4"/>
    <w:basedOn w:val="Normal"/>
    <w:semiHidden/>
    <w:unhideWhenUsed/>
    <w:rsid w:val="00156E2C"/>
    <w:pPr>
      <w:ind w:left="1132" w:hanging="283"/>
      <w:contextualSpacing/>
    </w:pPr>
  </w:style>
  <w:style w:type="paragraph" w:styleId="List5">
    <w:name w:val="List 5"/>
    <w:basedOn w:val="Normal"/>
    <w:semiHidden/>
    <w:unhideWhenUsed/>
    <w:rsid w:val="00156E2C"/>
    <w:pPr>
      <w:ind w:left="1415" w:hanging="283"/>
      <w:contextualSpacing/>
    </w:pPr>
  </w:style>
  <w:style w:type="paragraph" w:styleId="ListBullet">
    <w:name w:val="List Bullet"/>
    <w:basedOn w:val="Normal"/>
    <w:semiHidden/>
    <w:rsid w:val="00156E2C"/>
    <w:pPr>
      <w:numPr>
        <w:numId w:val="6"/>
      </w:numPr>
      <w:contextualSpacing/>
    </w:pPr>
  </w:style>
  <w:style w:type="paragraph" w:styleId="ListBullet2">
    <w:name w:val="List Bullet 2"/>
    <w:basedOn w:val="Normal"/>
    <w:semiHidden/>
    <w:unhideWhenUsed/>
    <w:rsid w:val="00156E2C"/>
    <w:pPr>
      <w:numPr>
        <w:numId w:val="7"/>
      </w:numPr>
      <w:contextualSpacing/>
    </w:pPr>
  </w:style>
  <w:style w:type="paragraph" w:styleId="ListBullet3">
    <w:name w:val="List Bullet 3"/>
    <w:basedOn w:val="Normal"/>
    <w:semiHidden/>
    <w:unhideWhenUsed/>
    <w:rsid w:val="00156E2C"/>
    <w:pPr>
      <w:numPr>
        <w:numId w:val="8"/>
      </w:numPr>
      <w:contextualSpacing/>
    </w:pPr>
  </w:style>
  <w:style w:type="paragraph" w:styleId="ListBullet4">
    <w:name w:val="List Bullet 4"/>
    <w:basedOn w:val="Normal"/>
    <w:semiHidden/>
    <w:unhideWhenUsed/>
    <w:rsid w:val="00156E2C"/>
    <w:pPr>
      <w:numPr>
        <w:numId w:val="9"/>
      </w:numPr>
      <w:contextualSpacing/>
    </w:pPr>
  </w:style>
  <w:style w:type="paragraph" w:styleId="ListBullet5">
    <w:name w:val="List Bullet 5"/>
    <w:basedOn w:val="Normal"/>
    <w:semiHidden/>
    <w:unhideWhenUsed/>
    <w:rsid w:val="00156E2C"/>
    <w:pPr>
      <w:numPr>
        <w:numId w:val="10"/>
      </w:numPr>
      <w:contextualSpacing/>
    </w:pPr>
  </w:style>
  <w:style w:type="paragraph" w:styleId="ListContinue">
    <w:name w:val="List Continue"/>
    <w:basedOn w:val="Normal"/>
    <w:semiHidden/>
    <w:unhideWhenUsed/>
    <w:rsid w:val="00156E2C"/>
    <w:pPr>
      <w:spacing w:after="120"/>
      <w:ind w:left="283"/>
      <w:contextualSpacing/>
    </w:pPr>
  </w:style>
  <w:style w:type="paragraph" w:styleId="ListContinue2">
    <w:name w:val="List Continue 2"/>
    <w:basedOn w:val="Normal"/>
    <w:semiHidden/>
    <w:unhideWhenUsed/>
    <w:rsid w:val="00156E2C"/>
    <w:pPr>
      <w:spacing w:after="120"/>
      <w:ind w:left="566"/>
      <w:contextualSpacing/>
    </w:pPr>
  </w:style>
  <w:style w:type="paragraph" w:styleId="ListContinue3">
    <w:name w:val="List Continue 3"/>
    <w:basedOn w:val="Normal"/>
    <w:semiHidden/>
    <w:rsid w:val="00156E2C"/>
    <w:pPr>
      <w:spacing w:after="120"/>
      <w:ind w:left="849"/>
      <w:contextualSpacing/>
    </w:pPr>
  </w:style>
  <w:style w:type="paragraph" w:styleId="ListContinue4">
    <w:name w:val="List Continue 4"/>
    <w:basedOn w:val="Normal"/>
    <w:semiHidden/>
    <w:rsid w:val="00156E2C"/>
    <w:pPr>
      <w:spacing w:after="120"/>
      <w:ind w:left="1132"/>
      <w:contextualSpacing/>
    </w:pPr>
  </w:style>
  <w:style w:type="paragraph" w:styleId="ListContinue5">
    <w:name w:val="List Continue 5"/>
    <w:basedOn w:val="Normal"/>
    <w:semiHidden/>
    <w:rsid w:val="00156E2C"/>
    <w:pPr>
      <w:spacing w:after="120"/>
      <w:ind w:left="1415"/>
      <w:contextualSpacing/>
    </w:pPr>
  </w:style>
  <w:style w:type="paragraph" w:styleId="ListNumber">
    <w:name w:val="List Number"/>
    <w:basedOn w:val="Normal"/>
    <w:semiHidden/>
    <w:rsid w:val="00156E2C"/>
    <w:pPr>
      <w:numPr>
        <w:numId w:val="11"/>
      </w:numPr>
      <w:contextualSpacing/>
    </w:pPr>
  </w:style>
  <w:style w:type="paragraph" w:styleId="ListNumber2">
    <w:name w:val="List Number 2"/>
    <w:basedOn w:val="Normal"/>
    <w:semiHidden/>
    <w:unhideWhenUsed/>
    <w:rsid w:val="00156E2C"/>
    <w:pPr>
      <w:numPr>
        <w:numId w:val="12"/>
      </w:numPr>
      <w:contextualSpacing/>
    </w:pPr>
  </w:style>
  <w:style w:type="paragraph" w:styleId="ListNumber3">
    <w:name w:val="List Number 3"/>
    <w:basedOn w:val="Normal"/>
    <w:semiHidden/>
    <w:unhideWhenUsed/>
    <w:rsid w:val="00156E2C"/>
    <w:pPr>
      <w:numPr>
        <w:numId w:val="13"/>
      </w:numPr>
      <w:contextualSpacing/>
    </w:pPr>
  </w:style>
  <w:style w:type="paragraph" w:styleId="ListNumber4">
    <w:name w:val="List Number 4"/>
    <w:basedOn w:val="Normal"/>
    <w:semiHidden/>
    <w:unhideWhenUsed/>
    <w:rsid w:val="00156E2C"/>
    <w:pPr>
      <w:numPr>
        <w:numId w:val="14"/>
      </w:numPr>
      <w:contextualSpacing/>
    </w:pPr>
  </w:style>
  <w:style w:type="paragraph" w:styleId="ListNumber5">
    <w:name w:val="List Number 5"/>
    <w:basedOn w:val="Normal"/>
    <w:semiHidden/>
    <w:unhideWhenUsed/>
    <w:rsid w:val="00156E2C"/>
    <w:pPr>
      <w:numPr>
        <w:numId w:val="15"/>
      </w:numPr>
      <w:contextualSpacing/>
    </w:pPr>
  </w:style>
  <w:style w:type="table" w:styleId="ListTable1Light">
    <w:name w:val="List Table 1 Light"/>
    <w:basedOn w:val="TableNormal"/>
    <w:uiPriority w:val="46"/>
    <w:rsid w:val="00156E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6E2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56E2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56E2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56E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56E2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56E2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56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6E2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56E2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56E2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56E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56E2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56E2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56E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6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56E2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56E2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56E2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56E2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56E2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56E2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6E2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6E2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6E2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6E2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6E2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6E2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6E2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6E2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56E2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56E2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56E2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56E2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56E2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56E2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6E2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6E2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6E2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6E2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6E2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6E2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56E2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56E2C"/>
    <w:rPr>
      <w:rFonts w:ascii="Consolas" w:eastAsia="Times New Roman" w:hAnsi="Consolas"/>
      <w:lang w:val="en-GB" w:eastAsia="en-US"/>
    </w:rPr>
  </w:style>
  <w:style w:type="table" w:styleId="MediumGrid1">
    <w:name w:val="Medium Grid 1"/>
    <w:basedOn w:val="TableNormal"/>
    <w:uiPriority w:val="67"/>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56E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6E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56E2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56E2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56E2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56E2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56E2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6E2C"/>
    <w:rPr>
      <w:color w:val="2B579A"/>
      <w:shd w:val="clear" w:color="auto" w:fill="E1DFDD"/>
      <w:lang w:val="en-GB"/>
    </w:rPr>
  </w:style>
  <w:style w:type="paragraph" w:styleId="MessageHeader">
    <w:name w:val="Message Header"/>
    <w:basedOn w:val="Normal"/>
    <w:link w:val="MessageHeaderChar"/>
    <w:semiHidden/>
    <w:rsid w:val="00156E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6E2C"/>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56E2C"/>
    <w:pPr>
      <w:ind w:left="720"/>
    </w:pPr>
  </w:style>
  <w:style w:type="paragraph" w:styleId="NoteHeading">
    <w:name w:val="Note Heading"/>
    <w:basedOn w:val="Normal"/>
    <w:next w:val="Normal"/>
    <w:link w:val="NoteHeadingChar"/>
    <w:semiHidden/>
    <w:unhideWhenUsed/>
    <w:rsid w:val="00156E2C"/>
  </w:style>
  <w:style w:type="character" w:customStyle="1" w:styleId="NoteHeadingChar">
    <w:name w:val="Note Heading Char"/>
    <w:basedOn w:val="DefaultParagraphFont"/>
    <w:link w:val="NoteHeading"/>
    <w:semiHidden/>
    <w:rsid w:val="00156E2C"/>
    <w:rPr>
      <w:rFonts w:eastAsia="Times New Roman"/>
      <w:lang w:val="en-GB" w:eastAsia="en-US"/>
    </w:rPr>
  </w:style>
  <w:style w:type="table" w:styleId="PlainTable1">
    <w:name w:val="Plain Table 1"/>
    <w:basedOn w:val="TableNormal"/>
    <w:uiPriority w:val="41"/>
    <w:rsid w:val="0015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6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6E2C"/>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E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6E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6E2C"/>
    <w:rPr>
      <w:rFonts w:ascii="Consolas" w:hAnsi="Consolas"/>
      <w:sz w:val="21"/>
      <w:szCs w:val="21"/>
    </w:rPr>
  </w:style>
  <w:style w:type="character" w:customStyle="1" w:styleId="PlainTextChar">
    <w:name w:val="Plain Text Char"/>
    <w:basedOn w:val="DefaultParagraphFont"/>
    <w:link w:val="PlainText"/>
    <w:semiHidden/>
    <w:rsid w:val="00156E2C"/>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56E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6E2C"/>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56E2C"/>
  </w:style>
  <w:style w:type="character" w:customStyle="1" w:styleId="SalutationChar">
    <w:name w:val="Salutation Char"/>
    <w:basedOn w:val="DefaultParagraphFont"/>
    <w:link w:val="Salutation"/>
    <w:semiHidden/>
    <w:rsid w:val="00156E2C"/>
    <w:rPr>
      <w:rFonts w:eastAsia="Times New Roman"/>
      <w:lang w:val="en-GB" w:eastAsia="en-US"/>
    </w:rPr>
  </w:style>
  <w:style w:type="paragraph" w:styleId="Signature">
    <w:name w:val="Signature"/>
    <w:basedOn w:val="Normal"/>
    <w:link w:val="SignatureChar"/>
    <w:semiHidden/>
    <w:unhideWhenUsed/>
    <w:rsid w:val="00156E2C"/>
    <w:pPr>
      <w:ind w:left="4252"/>
    </w:pPr>
  </w:style>
  <w:style w:type="character" w:customStyle="1" w:styleId="SignatureChar">
    <w:name w:val="Signature Char"/>
    <w:basedOn w:val="DefaultParagraphFont"/>
    <w:link w:val="Signature"/>
    <w:semiHidden/>
    <w:rsid w:val="00156E2C"/>
    <w:rPr>
      <w:rFonts w:eastAsia="Times New Roman"/>
      <w:lang w:val="en-GB" w:eastAsia="en-US"/>
    </w:rPr>
  </w:style>
  <w:style w:type="character" w:styleId="SmartHyperlink">
    <w:name w:val="Smart Hyperlink"/>
    <w:basedOn w:val="DefaultParagraphFont"/>
    <w:uiPriority w:val="99"/>
    <w:semiHidden/>
    <w:rsid w:val="00156E2C"/>
    <w:rPr>
      <w:u w:val="dotted"/>
      <w:lang w:val="en-GB"/>
    </w:rPr>
  </w:style>
  <w:style w:type="character" w:styleId="SmartLink">
    <w:name w:val="Smart Link"/>
    <w:basedOn w:val="DefaultParagraphFont"/>
    <w:uiPriority w:val="99"/>
    <w:semiHidden/>
    <w:unhideWhenUsed/>
    <w:rsid w:val="00156E2C"/>
    <w:rPr>
      <w:color w:val="0000FF"/>
      <w:u w:val="single"/>
      <w:shd w:val="clear" w:color="auto" w:fill="F3F2F1"/>
      <w:lang w:val="en-GB"/>
    </w:rPr>
  </w:style>
  <w:style w:type="character" w:styleId="Strong">
    <w:name w:val="Strong"/>
    <w:basedOn w:val="DefaultParagraphFont"/>
    <w:semiHidden/>
    <w:qFormat/>
    <w:rsid w:val="00156E2C"/>
    <w:rPr>
      <w:b/>
      <w:bCs/>
      <w:lang w:val="en-GB"/>
    </w:rPr>
  </w:style>
  <w:style w:type="paragraph" w:styleId="Subtitle">
    <w:name w:val="Subtitle"/>
    <w:basedOn w:val="Normal"/>
    <w:next w:val="Normal"/>
    <w:link w:val="SubtitleChar"/>
    <w:semiHidden/>
    <w:qFormat/>
    <w:rsid w:val="00156E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56E2C"/>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56E2C"/>
    <w:rPr>
      <w:i/>
      <w:iCs/>
      <w:color w:val="404040" w:themeColor="text1" w:themeTint="BF"/>
      <w:lang w:val="en-GB"/>
    </w:rPr>
  </w:style>
  <w:style w:type="character" w:styleId="SubtleReference">
    <w:name w:val="Subtle Reference"/>
    <w:basedOn w:val="DefaultParagraphFont"/>
    <w:uiPriority w:val="31"/>
    <w:semiHidden/>
    <w:qFormat/>
    <w:rsid w:val="00156E2C"/>
    <w:rPr>
      <w:smallCaps/>
      <w:color w:val="5A5A5A" w:themeColor="text1" w:themeTint="A5"/>
      <w:lang w:val="en-GB"/>
    </w:rPr>
  </w:style>
  <w:style w:type="table" w:styleId="Table3Deffects1">
    <w:name w:val="Table 3D effect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6E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6E2C"/>
    <w:pPr>
      <w:tabs>
        <w:tab w:val="clear" w:pos="1247"/>
      </w:tabs>
      <w:ind w:left="200" w:hanging="200"/>
    </w:pPr>
  </w:style>
  <w:style w:type="table" w:styleId="TableProfessional">
    <w:name w:val="Table Professional"/>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56E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56E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56E2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6E2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447020"/>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323A74"/>
    <w:rPr>
      <w:rFonts w:eastAsia="Times New Roman"/>
      <w:b/>
      <w:sz w:val="24"/>
      <w:szCs w:val="24"/>
      <w:lang w:val="en-GB" w:eastAsia="en-US"/>
    </w:rPr>
  </w:style>
  <w:style w:type="character" w:customStyle="1" w:styleId="BBTitleChar">
    <w:name w:val="BB_Title Char"/>
    <w:link w:val="BBTitle"/>
    <w:rsid w:val="00323A74"/>
    <w:rPr>
      <w:rFonts w:eastAsia="Times New Roman"/>
      <w:b/>
      <w:sz w:val="28"/>
      <w:szCs w:val="28"/>
      <w:lang w:val="en-GB" w:eastAsia="en-US"/>
    </w:rPr>
  </w:style>
  <w:style w:type="character" w:customStyle="1" w:styleId="CH1Char">
    <w:name w:val="CH1 Char"/>
    <w:link w:val="CH1"/>
    <w:locked/>
    <w:rsid w:val="00323A74"/>
    <w:rPr>
      <w:rFonts w:eastAsia="Times New Roman"/>
      <w:b/>
      <w:sz w:val="28"/>
      <w:szCs w:val="28"/>
      <w:lang w:val="en-GB" w:eastAsia="en-US"/>
    </w:rPr>
  </w:style>
  <w:style w:type="paragraph" w:styleId="Revision">
    <w:name w:val="Revision"/>
    <w:hidden/>
    <w:uiPriority w:val="99"/>
    <w:semiHidden/>
    <w:rsid w:val="00A45CF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D56AD065-8588-436F-963E-75CE31C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TotalTime>
  <Pages>9</Pages>
  <Words>5220</Words>
  <Characters>29755</Characters>
  <Application>Microsoft Office Word</Application>
  <DocSecurity>0</DocSecurity>
  <PresentationFormat/>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34906</CharactersWithSpaces>
  <SharedDoc>false</SharedDoc>
  <HyperlinkBase/>
  <HLinks>
    <vt:vector size="18" baseType="variant">
      <vt:variant>
        <vt:i4>5636132</vt:i4>
      </vt:variant>
      <vt:variant>
        <vt:i4>6</vt:i4>
      </vt:variant>
      <vt:variant>
        <vt:i4>0</vt:i4>
      </vt:variant>
      <vt:variant>
        <vt:i4>5</vt:i4>
      </vt:variant>
      <vt:variant>
        <vt:lpwstr>mailto:meg.seki@un.org</vt:lpwstr>
      </vt:variant>
      <vt:variant>
        <vt:lpwstr/>
      </vt:variant>
      <vt:variant>
        <vt:i4>7864322</vt:i4>
      </vt:variant>
      <vt:variant>
        <vt:i4>3</vt:i4>
      </vt:variant>
      <vt:variant>
        <vt:i4>0</vt:i4>
      </vt:variant>
      <vt:variant>
        <vt:i4>5</vt:i4>
      </vt:variant>
      <vt:variant>
        <vt:lpwstr>mailto:sophia.mylona@un.org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de Neeve</dc:creator>
  <cp:keywords/>
  <dc:description/>
  <cp:lastModifiedBy>Natalia Cherutich</cp:lastModifiedBy>
  <cp:revision>3</cp:revision>
  <cp:lastPrinted>2026-04-08T12:39:00Z</cp:lastPrinted>
  <dcterms:created xsi:type="dcterms:W3CDTF">2026-05-07T12:47:00Z</dcterms:created>
  <dcterms:modified xsi:type="dcterms:W3CDTF">2026-05-07T12:48:00Z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ffice_x0020_of_x0020_Origin">
    <vt:lpwstr/>
  </property>
  <property fmtid="{D5CDD505-2E9C-101B-9397-08002B2CF9AE}" pid="20" name="lcf76f155ced4ddcb4097134ff3c332f">
    <vt:lpwstr/>
  </property>
  <property fmtid="{D5CDD505-2E9C-101B-9397-08002B2CF9AE}" pid="21" name="Office of Origin">
    <vt:lpwstr/>
  </property>
  <property fmtid="{D5CDD505-2E9C-101B-9397-08002B2CF9AE}" pid="22" name="TranslatedWith">
    <vt:lpwstr>Mercury</vt:lpwstr>
  </property>
  <property fmtid="{D5CDD505-2E9C-101B-9397-08002B2CF9AE}" pid="23" name="GeneratedBy">
    <vt:lpwstr>yauheniya.yakouchyk@un.org</vt:lpwstr>
  </property>
  <property fmtid="{D5CDD505-2E9C-101B-9397-08002B2CF9AE}" pid="24" name="GeneratedDate">
    <vt:lpwstr>04/14/2026 09:26:59</vt:lpwstr>
  </property>
  <property fmtid="{D5CDD505-2E9C-101B-9397-08002B2CF9AE}" pid="25" name="OriginalDocID">
    <vt:lpwstr>43cba91e-ed83-4d30-b295-0ea80cd963e5</vt:lpwstr>
  </property>
</Properties>
</file>