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74187B" w:rsidRPr="0074187B" w14:paraId="68988CE0" w14:textId="77777777" w:rsidTr="0074187B">
        <w:trPr>
          <w:trHeight w:val="850"/>
        </w:trPr>
        <w:tc>
          <w:tcPr>
            <w:tcW w:w="1559" w:type="dxa"/>
          </w:tcPr>
          <w:p w14:paraId="43DA7823" w14:textId="4AFBA77F" w:rsidR="0074187B" w:rsidRPr="0074187B" w:rsidRDefault="0074187B" w:rsidP="0074187B">
            <w:pPr>
              <w:pStyle w:val="AUnitedNations"/>
              <w:rPr>
                <w:rFonts w:eastAsiaTheme="minorEastAsia"/>
              </w:rPr>
            </w:pPr>
            <w:r w:rsidRPr="0074187B">
              <w:rPr>
                <w:rFonts w:eastAsiaTheme="minorEastAsia"/>
              </w:rPr>
              <w:t xml:space="preserve">United </w:t>
            </w:r>
            <w:r w:rsidRPr="0074187B">
              <w:rPr>
                <w:rFonts w:eastAsiaTheme="minorEastAsia"/>
              </w:rPr>
              <w:br/>
              <w:t>Nations</w:t>
            </w:r>
          </w:p>
        </w:tc>
        <w:tc>
          <w:tcPr>
            <w:tcW w:w="6520" w:type="dxa"/>
          </w:tcPr>
          <w:p w14:paraId="2F3FA53E" w14:textId="235EF1C0" w:rsidR="0074187B" w:rsidRPr="0074187B" w:rsidRDefault="0074187B" w:rsidP="0074187B">
            <w:pPr>
              <w:pStyle w:val="Normal-pool"/>
              <w:rPr>
                <w:rFonts w:eastAsiaTheme="minorEastAsia"/>
              </w:rPr>
            </w:pPr>
            <w:r w:rsidRPr="0074187B">
              <w:rPr>
                <w:rFonts w:eastAsiaTheme="minorEastAsia"/>
                <w:noProof/>
              </w:rPr>
              <w:drawing>
                <wp:anchor distT="0" distB="0" distL="114300" distR="114300" simplePos="0" relativeHeight="251658240" behindDoc="0" locked="0" layoutInCell="1" allowOverlap="1" wp14:anchorId="0C6D222D" wp14:editId="144BBC54">
                  <wp:simplePos x="0" y="0"/>
                  <wp:positionH relativeFrom="column">
                    <wp:posOffset>1058</wp:posOffset>
                  </wp:positionH>
                  <wp:positionV relativeFrom="paragraph">
                    <wp:posOffset>-212</wp:posOffset>
                  </wp:positionV>
                  <wp:extent cx="1269153" cy="573559"/>
                  <wp:effectExtent l="0" t="0" r="7620" b="0"/>
                  <wp:wrapNone/>
                  <wp:docPr id="185553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3986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7B2FCC9" w14:textId="77777777" w:rsidR="0074187B" w:rsidRPr="0074187B" w:rsidRDefault="0074187B" w:rsidP="0074187B">
            <w:pPr>
              <w:pStyle w:val="Normal-pool"/>
              <w:rPr>
                <w:rFonts w:eastAsiaTheme="minorEastAsia"/>
              </w:rPr>
            </w:pPr>
          </w:p>
        </w:tc>
      </w:tr>
    </w:tbl>
    <w:p w14:paraId="71E40D97" w14:textId="77777777" w:rsidR="006533B3" w:rsidRPr="0074187B" w:rsidRDefault="006533B3" w:rsidP="0074187B">
      <w:pPr>
        <w:pStyle w:val="ASpacer"/>
        <w:rPr>
          <w:rFonts w:eastAsiaTheme="minorEastAsia"/>
        </w:rPr>
      </w:pPr>
    </w:p>
    <w:tbl>
      <w:tblPr>
        <w:tblW w:w="9496" w:type="dxa"/>
        <w:tblLook w:val="0000" w:firstRow="0" w:lastRow="0" w:firstColumn="0" w:lastColumn="0" w:noHBand="0" w:noVBand="0"/>
      </w:tblPr>
      <w:tblGrid>
        <w:gridCol w:w="6378"/>
        <w:gridCol w:w="3118"/>
      </w:tblGrid>
      <w:tr w:rsidR="0074187B" w:rsidRPr="0074187B" w14:paraId="09003E3A" w14:textId="77777777" w:rsidTr="0074187B">
        <w:trPr>
          <w:trHeight w:val="340"/>
        </w:trPr>
        <w:tc>
          <w:tcPr>
            <w:tcW w:w="3358" w:type="pct"/>
            <w:vAlign w:val="bottom"/>
          </w:tcPr>
          <w:p w14:paraId="20667BAB" w14:textId="77777777" w:rsidR="0074187B" w:rsidRPr="0074187B" w:rsidRDefault="0074187B" w:rsidP="0074187B">
            <w:pPr>
              <w:pStyle w:val="Normal-pool"/>
              <w:rPr>
                <w:rFonts w:eastAsiaTheme="minorEastAsia"/>
              </w:rPr>
            </w:pPr>
          </w:p>
        </w:tc>
        <w:tc>
          <w:tcPr>
            <w:tcW w:w="1642" w:type="pct"/>
            <w:noWrap/>
            <w:vAlign w:val="bottom"/>
          </w:tcPr>
          <w:p w14:paraId="16A31242" w14:textId="0B5B33FB" w:rsidR="0074187B" w:rsidRPr="0074187B" w:rsidRDefault="0074187B" w:rsidP="0074187B">
            <w:pPr>
              <w:pStyle w:val="ASymbol"/>
            </w:pPr>
            <w:r w:rsidRPr="0074187B">
              <w:rPr>
                <w:b/>
                <w:sz w:val="28"/>
              </w:rPr>
              <w:t>UNEP</w:t>
            </w:r>
            <w:r w:rsidRPr="0074187B">
              <w:t>/OzL.Pro.WG.</w:t>
            </w:r>
            <w:bookmarkStart w:id="0" w:name="Symbol1A"/>
            <w:r w:rsidRPr="0074187B">
              <w:t>1</w:t>
            </w:r>
            <w:bookmarkStart w:id="1" w:name="Symbol1B"/>
            <w:bookmarkEnd w:id="0"/>
            <w:r w:rsidRPr="0074187B">
              <w:t>/48</w:t>
            </w:r>
            <w:bookmarkStart w:id="2" w:name="Symbol1C"/>
            <w:bookmarkEnd w:id="1"/>
            <w:r w:rsidR="00E2771B">
              <w:t>/3</w:t>
            </w:r>
            <w:bookmarkEnd w:id="2"/>
          </w:p>
        </w:tc>
      </w:tr>
    </w:tbl>
    <w:p w14:paraId="152B96D5" w14:textId="77777777" w:rsidR="0074187B" w:rsidRPr="0074187B" w:rsidRDefault="0074187B" w:rsidP="0074187B">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74187B" w:rsidRPr="0074187B" w14:paraId="4BBA40E0" w14:textId="77777777" w:rsidTr="0074187B">
        <w:trPr>
          <w:trHeight w:val="2098"/>
        </w:trPr>
        <w:tc>
          <w:tcPr>
            <w:tcW w:w="5386" w:type="dxa"/>
          </w:tcPr>
          <w:p w14:paraId="1868C7E3" w14:textId="3E0A72D6" w:rsidR="0074187B" w:rsidRPr="0074187B" w:rsidRDefault="0074187B" w:rsidP="0074187B">
            <w:pPr>
              <w:pStyle w:val="AConvName"/>
              <w:rPr>
                <w:rFonts w:eastAsiaTheme="minorEastAsia"/>
              </w:rPr>
            </w:pPr>
            <w:r w:rsidRPr="0074187B">
              <w:rPr>
                <w:rFonts w:eastAsiaTheme="minorEastAsia"/>
              </w:rPr>
              <w:t xml:space="preserve">Montreal Protocol </w:t>
            </w:r>
            <w:r w:rsidRPr="0074187B">
              <w:rPr>
                <w:rFonts w:eastAsiaTheme="minorEastAsia"/>
              </w:rPr>
              <w:br/>
              <w:t xml:space="preserve">on Substances that </w:t>
            </w:r>
            <w:r w:rsidRPr="0074187B">
              <w:rPr>
                <w:rFonts w:eastAsiaTheme="minorEastAsia"/>
              </w:rPr>
              <w:br/>
              <w:t>Deplete the Ozone Layer</w:t>
            </w:r>
          </w:p>
        </w:tc>
        <w:tc>
          <w:tcPr>
            <w:tcW w:w="992" w:type="dxa"/>
          </w:tcPr>
          <w:p w14:paraId="06C91A66" w14:textId="77777777" w:rsidR="0074187B" w:rsidRPr="0074187B" w:rsidRDefault="0074187B" w:rsidP="0074187B">
            <w:pPr>
              <w:pStyle w:val="Normal-pool"/>
              <w:rPr>
                <w:rFonts w:eastAsiaTheme="minorEastAsia"/>
              </w:rPr>
            </w:pPr>
          </w:p>
        </w:tc>
        <w:tc>
          <w:tcPr>
            <w:tcW w:w="3118" w:type="dxa"/>
          </w:tcPr>
          <w:p w14:paraId="390EB582" w14:textId="4121D979" w:rsidR="0074187B" w:rsidRPr="0074187B" w:rsidRDefault="0074187B" w:rsidP="0074187B">
            <w:pPr>
              <w:pStyle w:val="AText"/>
              <w:rPr>
                <w:rFonts w:eastAsiaTheme="minorEastAsia"/>
              </w:rPr>
            </w:pPr>
            <w:r w:rsidRPr="0074187B">
              <w:rPr>
                <w:rFonts w:eastAsiaTheme="minorEastAsia"/>
              </w:rPr>
              <w:t xml:space="preserve">Distr.: </w:t>
            </w:r>
            <w:bookmarkStart w:id="3" w:name="Distribution"/>
            <w:r w:rsidR="00E2771B">
              <w:rPr>
                <w:rFonts w:eastAsiaTheme="minorEastAsia"/>
              </w:rPr>
              <w:t>General</w:t>
            </w:r>
            <w:bookmarkEnd w:id="3"/>
            <w:r w:rsidRPr="0074187B">
              <w:rPr>
                <w:rFonts w:eastAsiaTheme="minorEastAsia"/>
              </w:rPr>
              <w:t xml:space="preserve"> </w:t>
            </w:r>
          </w:p>
          <w:p w14:paraId="13596AE2" w14:textId="13A5743F" w:rsidR="0074187B" w:rsidRPr="0074187B" w:rsidRDefault="00E2771B" w:rsidP="0074187B">
            <w:pPr>
              <w:pStyle w:val="AText0"/>
              <w:rPr>
                <w:rFonts w:eastAsiaTheme="minorEastAsia"/>
              </w:rPr>
            </w:pPr>
            <w:bookmarkStart w:id="4" w:name="DistributionDate"/>
            <w:r>
              <w:rPr>
                <w:rFonts w:eastAsiaTheme="minorEastAsia"/>
              </w:rPr>
              <w:t>27 April 2026</w:t>
            </w:r>
            <w:bookmarkEnd w:id="4"/>
            <w:r w:rsidR="0074187B" w:rsidRPr="0074187B">
              <w:rPr>
                <w:rFonts w:eastAsiaTheme="minorEastAsia"/>
              </w:rPr>
              <w:t xml:space="preserve"> </w:t>
            </w:r>
          </w:p>
          <w:p w14:paraId="6C0660BE" w14:textId="7E0024E5" w:rsidR="0074187B" w:rsidRPr="0074187B" w:rsidRDefault="0074187B" w:rsidP="0074187B">
            <w:pPr>
              <w:pStyle w:val="AText"/>
              <w:rPr>
                <w:rFonts w:eastAsiaTheme="minorEastAsia"/>
              </w:rPr>
            </w:pPr>
            <w:bookmarkStart w:id="5" w:name="DistributionLang"/>
            <w:r w:rsidRPr="0074187B">
              <w:rPr>
                <w:rFonts w:eastAsiaTheme="minorEastAsia"/>
              </w:rPr>
              <w:t>Original: English</w:t>
            </w:r>
            <w:bookmarkEnd w:id="5"/>
          </w:p>
        </w:tc>
      </w:tr>
    </w:tbl>
    <w:p w14:paraId="7D5FF4AE" w14:textId="77777777" w:rsidR="0074187B" w:rsidRPr="0074187B" w:rsidRDefault="0074187B" w:rsidP="0074187B">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4187B" w:rsidRPr="0074187B" w14:paraId="24055D77" w14:textId="77777777" w:rsidTr="0074187B">
        <w:trPr>
          <w:trHeight w:val="57"/>
        </w:trPr>
        <w:tc>
          <w:tcPr>
            <w:tcW w:w="5301" w:type="dxa"/>
          </w:tcPr>
          <w:p w14:paraId="4B76F80C" w14:textId="77777777" w:rsidR="0074187B" w:rsidRPr="0074187B" w:rsidRDefault="0074187B" w:rsidP="0074187B">
            <w:pPr>
              <w:pStyle w:val="AATitle"/>
              <w:rPr>
                <w:rFonts w:eastAsiaTheme="minorEastAsia"/>
              </w:rPr>
            </w:pPr>
            <w:bookmarkStart w:id="6" w:name="CorNot1Text"/>
            <w:r w:rsidRPr="0074187B">
              <w:rPr>
                <w:rFonts w:eastAsiaTheme="minorEastAsia"/>
              </w:rPr>
              <w:t xml:space="preserve">Open-ended Working Group of the Parties </w:t>
            </w:r>
            <w:r w:rsidRPr="0074187B">
              <w:rPr>
                <w:rFonts w:eastAsiaTheme="minorEastAsia"/>
              </w:rPr>
              <w:br/>
              <w:t xml:space="preserve">to the Montreal Protocol on Substances </w:t>
            </w:r>
            <w:r w:rsidRPr="0074187B">
              <w:rPr>
                <w:rFonts w:eastAsiaTheme="minorEastAsia"/>
              </w:rPr>
              <w:br/>
              <w:t xml:space="preserve">that Deplete the Ozone Layer </w:t>
            </w:r>
          </w:p>
          <w:p w14:paraId="4AD390DE" w14:textId="056D579D" w:rsidR="0074187B" w:rsidRPr="0074187B" w:rsidRDefault="0074187B" w:rsidP="0074187B">
            <w:pPr>
              <w:pStyle w:val="AATitle"/>
              <w:rPr>
                <w:rFonts w:eastAsiaTheme="minorEastAsia"/>
              </w:rPr>
            </w:pPr>
            <w:r w:rsidRPr="0074187B">
              <w:rPr>
                <w:rFonts w:eastAsiaTheme="minorEastAsia"/>
              </w:rPr>
              <w:t>Forty-eighth meeting</w:t>
            </w:r>
            <w:bookmarkEnd w:id="6"/>
            <w:r w:rsidRPr="0074187B">
              <w:rPr>
                <w:rFonts w:eastAsiaTheme="minorEastAsia"/>
              </w:rPr>
              <w:t xml:space="preserve"> </w:t>
            </w:r>
          </w:p>
          <w:p w14:paraId="65142B78" w14:textId="625F402C" w:rsidR="0074187B" w:rsidRPr="0074187B" w:rsidRDefault="0074187B" w:rsidP="0074187B">
            <w:pPr>
              <w:pStyle w:val="AATitle1"/>
              <w:rPr>
                <w:rFonts w:eastAsiaTheme="minorEastAsia"/>
              </w:rPr>
            </w:pPr>
            <w:bookmarkStart w:id="7" w:name="CorNot1VenueDate"/>
            <w:r w:rsidRPr="0074187B">
              <w:rPr>
                <w:rFonts w:eastAsiaTheme="minorEastAsia"/>
              </w:rPr>
              <w:t>Bangkok, 13–17 July 2026</w:t>
            </w:r>
            <w:bookmarkEnd w:id="7"/>
            <w:r w:rsidRPr="0074187B">
              <w:rPr>
                <w:rFonts w:eastAsiaTheme="minorEastAsia"/>
              </w:rPr>
              <w:t xml:space="preserve"> </w:t>
            </w:r>
          </w:p>
          <w:p w14:paraId="35D5E64A" w14:textId="7250E803" w:rsidR="0074187B" w:rsidRPr="0074187B" w:rsidRDefault="001B7C4A" w:rsidP="0074187B">
            <w:pPr>
              <w:pStyle w:val="AATitle1"/>
              <w:rPr>
                <w:rFonts w:eastAsiaTheme="minorEastAsia"/>
              </w:rPr>
            </w:pPr>
            <w:bookmarkStart w:id="8" w:name="CorNot1AgItem"/>
            <w:r>
              <w:rPr>
                <w:rFonts w:eastAsiaTheme="minorEastAsia"/>
              </w:rPr>
              <w:t>Item 7 of the provisional agenda</w:t>
            </w:r>
            <w:bookmarkEnd w:id="8"/>
            <w:r w:rsidR="004A497A" w:rsidRPr="00AA51E1">
              <w:rPr>
                <w:bCs/>
              </w:rPr>
              <w:footnoteReference w:customMarkFollows="1" w:id="2"/>
              <w:t>*</w:t>
            </w:r>
            <w:r w:rsidR="0074187B" w:rsidRPr="0074187B">
              <w:rPr>
                <w:rFonts w:eastAsiaTheme="minorEastAsia"/>
              </w:rPr>
              <w:t xml:space="preserve"> </w:t>
            </w:r>
          </w:p>
          <w:p w14:paraId="5541E5D8" w14:textId="665AFD72" w:rsidR="0074187B" w:rsidRPr="0074187B" w:rsidRDefault="001B7C4A" w:rsidP="0074187B">
            <w:pPr>
              <w:pStyle w:val="AATitle2"/>
              <w:rPr>
                <w:rFonts w:eastAsiaTheme="minorEastAsia"/>
              </w:rPr>
            </w:pPr>
            <w:bookmarkStart w:id="9" w:name="CorNot1AgTitle"/>
            <w:r>
              <w:rPr>
                <w:rFonts w:eastAsiaTheme="minorEastAsia"/>
              </w:rPr>
              <w:t>Further strengthening Montreal Protocol institutions</w:t>
            </w:r>
            <w:bookmarkEnd w:id="9"/>
            <w:r w:rsidR="0074187B" w:rsidRPr="0074187B">
              <w:rPr>
                <w:rFonts w:eastAsiaTheme="minorEastAsia"/>
              </w:rPr>
              <w:t xml:space="preserve"> </w:t>
            </w:r>
          </w:p>
        </w:tc>
        <w:tc>
          <w:tcPr>
            <w:tcW w:w="4195" w:type="dxa"/>
          </w:tcPr>
          <w:p w14:paraId="5C1B7286" w14:textId="77777777" w:rsidR="0074187B" w:rsidRPr="0074187B" w:rsidRDefault="0074187B" w:rsidP="0074187B">
            <w:pPr>
              <w:pStyle w:val="Normal-pool"/>
              <w:rPr>
                <w:rFonts w:eastAsiaTheme="minorEastAsia"/>
              </w:rPr>
            </w:pPr>
          </w:p>
        </w:tc>
      </w:tr>
    </w:tbl>
    <w:p w14:paraId="7BE78822" w14:textId="77777777" w:rsidR="006A1F5E" w:rsidRPr="002E243E" w:rsidRDefault="006A1F5E" w:rsidP="006A1F5E">
      <w:pPr>
        <w:pStyle w:val="BBTitle"/>
      </w:pPr>
      <w:r w:rsidRPr="002E243E">
        <w:t xml:space="preserve">Compilation of information provided by parties on illegal trade </w:t>
      </w:r>
      <w:r>
        <w:t>in controlled substances and synthesis of best practices</w:t>
      </w:r>
    </w:p>
    <w:p w14:paraId="7C5E8BDD" w14:textId="77777777" w:rsidR="006A1F5E" w:rsidRPr="00694025" w:rsidRDefault="006A1F5E" w:rsidP="006A1F5E">
      <w:pPr>
        <w:pStyle w:val="CH2"/>
      </w:pPr>
      <w:r w:rsidRPr="00694025">
        <w:tab/>
      </w:r>
      <w:r w:rsidRPr="00694025">
        <w:tab/>
        <w:t>Note by the Secretariat</w:t>
      </w:r>
    </w:p>
    <w:p w14:paraId="5228A5E1" w14:textId="77777777" w:rsidR="006A1F5E" w:rsidRPr="00387C03" w:rsidRDefault="006A1F5E" w:rsidP="00387C03">
      <w:pPr>
        <w:pStyle w:val="CH1"/>
      </w:pPr>
      <w:r w:rsidRPr="00387C03">
        <w:tab/>
        <w:t>I.</w:t>
      </w:r>
      <w:r w:rsidRPr="00387C03">
        <w:tab/>
        <w:t>Introduction</w:t>
      </w:r>
    </w:p>
    <w:p w14:paraId="7C7087AB" w14:textId="48B65EFF" w:rsidR="006A1F5E" w:rsidRPr="009242A3" w:rsidRDefault="006A1F5E" w:rsidP="006A1F5E">
      <w:pPr>
        <w:pStyle w:val="Normalnumber"/>
        <w:tabs>
          <w:tab w:val="clear" w:pos="1247"/>
          <w:tab w:val="clear" w:pos="1814"/>
          <w:tab w:val="clear" w:pos="2381"/>
          <w:tab w:val="clear" w:pos="2948"/>
          <w:tab w:val="clear" w:pos="3515"/>
          <w:tab w:val="num" w:pos="624"/>
        </w:tabs>
      </w:pPr>
      <w:r>
        <w:t>The present note</w:t>
      </w:r>
      <w:r w:rsidR="001B4598">
        <w:t xml:space="preserve"> provides an</w:t>
      </w:r>
      <w:r>
        <w:t xml:space="preserve"> update </w:t>
      </w:r>
      <w:r w:rsidR="00804013">
        <w:t>to</w:t>
      </w:r>
      <w:r w:rsidR="001B4598">
        <w:t xml:space="preserve"> the </w:t>
      </w:r>
      <w:r>
        <w:t xml:space="preserve">document of the same title </w:t>
      </w:r>
      <w:r w:rsidR="007035C0" w:rsidRPr="007035C0">
        <w:t xml:space="preserve">(UNEP/OzL.Pro.WG.1/47/5) </w:t>
      </w:r>
      <w:r>
        <w:t>prepared in accordance with paragraph 3 of decision XXXVI/9</w:t>
      </w:r>
      <w:r w:rsidR="00983DC9">
        <w:t>.</w:t>
      </w:r>
      <w:r>
        <w:t xml:space="preserve"> </w:t>
      </w:r>
      <w:r w:rsidR="00983DC9">
        <w:t xml:space="preserve">In that decision, </w:t>
      </w:r>
      <w:r w:rsidRPr="002E5A46">
        <w:t xml:space="preserve">the Thirty-Sixth Meeting of the Parties </w:t>
      </w:r>
      <w:r>
        <w:t xml:space="preserve">to the Montreal Protocol on Substances that Deplete the Ozone Layer </w:t>
      </w:r>
      <w:r w:rsidRPr="002E5A46">
        <w:t xml:space="preserve">requested the </w:t>
      </w:r>
      <w:r>
        <w:t xml:space="preserve">Ozone </w:t>
      </w:r>
      <w:r w:rsidRPr="002E5A46">
        <w:t>Secretariat to compile information provided by parties pursuant to decision XXXV</w:t>
      </w:r>
      <w:r w:rsidRPr="005E2E66">
        <w:t>/12</w:t>
      </w:r>
      <w:r w:rsidR="007163F8" w:rsidRPr="005E2E66">
        <w:t>,</w:t>
      </w:r>
      <w:r w:rsidRPr="005E2E66">
        <w:t xml:space="preserve"> on</w:t>
      </w:r>
      <w:r>
        <w:t xml:space="preserve"> further strengthening Montreal Protocol institutions, including for combating illegal trade, </w:t>
      </w:r>
      <w:r w:rsidRPr="002E5A46">
        <w:t>and to synthesize best practices to prevent illegal trade in controlled substances</w:t>
      </w:r>
      <w:r w:rsidR="00610C80">
        <w:t>,</w:t>
      </w:r>
      <w:r>
        <w:t xml:space="preserve"> for consideration by the Thirty-S</w:t>
      </w:r>
      <w:r w:rsidR="00685716">
        <w:t>even</w:t>
      </w:r>
      <w:r w:rsidR="00FD0943">
        <w:t>th</w:t>
      </w:r>
      <w:r>
        <w:t xml:space="preserve"> Meeting of the Parties</w:t>
      </w:r>
      <w:r w:rsidRPr="002E5A46">
        <w:t>.</w:t>
      </w:r>
      <w:r>
        <w:t xml:space="preserve"> D</w:t>
      </w:r>
      <w:r w:rsidRPr="00805767">
        <w:t>ocument</w:t>
      </w:r>
      <w:r>
        <w:t xml:space="preserve"> UNEP/OzL.Pro.WG.1/47/5 </w:t>
      </w:r>
      <w:r w:rsidR="002F4038">
        <w:t>was</w:t>
      </w:r>
      <w:r>
        <w:t xml:space="preserve"> made available before the forty-seventh meeting of the Open-ended Working Group</w:t>
      </w:r>
      <w:r w:rsidR="000C0033">
        <w:t xml:space="preserve"> of the Parties to the Protocol</w:t>
      </w:r>
      <w:r>
        <w:t xml:space="preserve">. </w:t>
      </w:r>
      <w:r w:rsidRPr="009242A3">
        <w:t>The present note takes into account information received from parties since 22 April 2025</w:t>
      </w:r>
      <w:r>
        <w:t xml:space="preserve"> and responds to the request in paragraph 2 of decision XXXV/12 for the Secretariat to provide, before the forty-sixth meeting of the Open-ended Working Group, and on an annual basis thereafter, a compilation of the information provided by parties pursuant to paragraph 1 of decision XXXV/12, as well as decision XXXIV/8</w:t>
      </w:r>
      <w:r w:rsidRPr="009242A3">
        <w:t xml:space="preserve">. </w:t>
      </w:r>
    </w:p>
    <w:p w14:paraId="0411B0A6" w14:textId="47B52572" w:rsidR="006A1F5E" w:rsidRDefault="006A1F5E" w:rsidP="006A1F5E">
      <w:pPr>
        <w:pStyle w:val="Normalnumber"/>
        <w:tabs>
          <w:tab w:val="clear" w:pos="1247"/>
          <w:tab w:val="clear" w:pos="1814"/>
          <w:tab w:val="clear" w:pos="2381"/>
          <w:tab w:val="clear" w:pos="2948"/>
          <w:tab w:val="clear" w:pos="3515"/>
          <w:tab w:val="num" w:pos="624"/>
        </w:tabs>
      </w:pPr>
      <w:r>
        <w:t>In decision XXXV/12, the Thirty-Fifth Meeting of the Parties recalled decisions XIV/7, XXXI/3 and XXXIV/8 and, in paragraph 1, encouraged parties to facilitate the exchange of information on best practices to prevent illegal trade of controlled substances and to inform the Secretariat of practices used by entities attempting unauthorized imports of controlled substances that might include the mislabelling of containers of controlled substances or misreporting of controlled substances on customs declarations.</w:t>
      </w:r>
    </w:p>
    <w:p w14:paraId="35B277CB" w14:textId="1C08F65B" w:rsidR="006A1F5E" w:rsidRDefault="006A1F5E" w:rsidP="006A1F5E">
      <w:pPr>
        <w:pStyle w:val="Normalnumber"/>
        <w:tabs>
          <w:tab w:val="clear" w:pos="1247"/>
          <w:tab w:val="clear" w:pos="1814"/>
          <w:tab w:val="clear" w:pos="2381"/>
          <w:tab w:val="clear" w:pos="2948"/>
          <w:tab w:val="clear" w:pos="3515"/>
          <w:tab w:val="num" w:pos="624"/>
        </w:tabs>
      </w:pPr>
      <w:r>
        <w:t xml:space="preserve">In preparing the present note, the Secretariat considered all cases of illegal trade reported by parties on a voluntary basis over the years in response to previous decisions on the subject, namely decisions XIV/7, XXXI/3 and XXXIV/8. In those decisions, the Meetings of the Parties emphasized the importance of improving monitoring and prevention of illegal trade in controlled substances by reporting fully proved cases to the Secretariat, sharing information on enforcement actions and known causes of illegal production, and facilitating the exchange of information among parties. </w:t>
      </w:r>
      <w:r w:rsidRPr="00CF6D33">
        <w:t xml:space="preserve">In paragraph </w:t>
      </w:r>
      <w:r w:rsidR="008B14D6">
        <w:t>3</w:t>
      </w:r>
      <w:r w:rsidRPr="00CF6D33">
        <w:t xml:space="preserve"> of decision XXXIV/8</w:t>
      </w:r>
      <w:r w:rsidR="00065F92">
        <w:t xml:space="preserve">, </w:t>
      </w:r>
      <w:r w:rsidR="00847E0A">
        <w:t xml:space="preserve">the </w:t>
      </w:r>
      <w:r w:rsidR="00065F92">
        <w:t>Thirty-Fourth Meeting of the Parties</w:t>
      </w:r>
      <w:r w:rsidRPr="00CF6D33">
        <w:t xml:space="preserve"> also encourage</w:t>
      </w:r>
      <w:r w:rsidR="00847E0A">
        <w:t>d</w:t>
      </w:r>
      <w:r w:rsidRPr="00CF6D33">
        <w:t xml:space="preserve"> parties to </w:t>
      </w:r>
      <w:r w:rsidRPr="004E7605">
        <w:t xml:space="preserve">provide additional information about illegal trade situations, to the extent that they </w:t>
      </w:r>
      <w:r w:rsidR="00F513D6" w:rsidRPr="004E7605">
        <w:t xml:space="preserve">were </w:t>
      </w:r>
      <w:r w:rsidRPr="004E7605">
        <w:t xml:space="preserve">able to do so. The </w:t>
      </w:r>
      <w:r w:rsidRPr="004E7605">
        <w:lastRenderedPageBreak/>
        <w:t>Secretariat was requested to collect and disseminate such information to support compliance and the timely phase-out of controlled</w:t>
      </w:r>
      <w:r>
        <w:t xml:space="preserve"> substances.</w:t>
      </w:r>
    </w:p>
    <w:p w14:paraId="1AAA7606" w14:textId="5CF4B8D9" w:rsidR="006A1F5E" w:rsidRDefault="006A1F5E" w:rsidP="006A1F5E">
      <w:pPr>
        <w:pStyle w:val="Normalnumber"/>
        <w:tabs>
          <w:tab w:val="clear" w:pos="1247"/>
          <w:tab w:val="clear" w:pos="1814"/>
          <w:tab w:val="clear" w:pos="2381"/>
          <w:tab w:val="clear" w:pos="2948"/>
          <w:tab w:val="clear" w:pos="3515"/>
          <w:tab w:val="num" w:pos="624"/>
        </w:tabs>
      </w:pPr>
      <w:r w:rsidRPr="00B436D1">
        <w:t>All 1,10</w:t>
      </w:r>
      <w:r w:rsidR="00B918F2">
        <w:t>7</w:t>
      </w:r>
      <w:r w:rsidRPr="00B436D1">
        <w:rPr>
          <w:rStyle w:val="FootnoteReference"/>
        </w:rPr>
        <w:footnoteReference w:id="3"/>
      </w:r>
      <w:r w:rsidRPr="00B436D1">
        <w:t xml:space="preserve"> reports of illegal trade received by the Secretariat as at the date of th</w:t>
      </w:r>
      <w:r w:rsidR="00B436D1">
        <w:t>e present</w:t>
      </w:r>
      <w:r w:rsidRPr="00B436D1">
        <w:t xml:space="preserve"> note have been made available in the online database of illegal trade cases.</w:t>
      </w:r>
      <w:r w:rsidRPr="00B436D1">
        <w:rPr>
          <w:rStyle w:val="FootnoteReference"/>
        </w:rPr>
        <w:footnoteReference w:id="4"/>
      </w:r>
      <w:r w:rsidRPr="00B436D1">
        <w:t xml:space="preserve"> </w:t>
      </w:r>
      <w:r w:rsidR="004C32EF">
        <w:t>Of the</w:t>
      </w:r>
      <w:r w:rsidRPr="00B436D1">
        <w:t xml:space="preserve"> parties </w:t>
      </w:r>
      <w:r w:rsidR="0046268D">
        <w:t xml:space="preserve">that informed the Secretariat that they had </w:t>
      </w:r>
      <w:r w:rsidRPr="00B436D1">
        <w:t>no cases of illegal</w:t>
      </w:r>
      <w:r w:rsidRPr="00FD3299">
        <w:t xml:space="preserve"> trade</w:t>
      </w:r>
      <w:r w:rsidR="0046268D">
        <w:t xml:space="preserve"> to report</w:t>
      </w:r>
      <w:r w:rsidRPr="00FD3299">
        <w:t>, two provided supplementary information on measures to prevent and address such trade, which has been taken into account in the preparation of the present note.</w:t>
      </w:r>
    </w:p>
    <w:p w14:paraId="187E7E67" w14:textId="33645086" w:rsidR="006A1F5E" w:rsidRDefault="006A1F5E" w:rsidP="006A1F5E">
      <w:pPr>
        <w:pStyle w:val="Normalnumber"/>
        <w:tabs>
          <w:tab w:val="clear" w:pos="1247"/>
          <w:tab w:val="clear" w:pos="1814"/>
          <w:tab w:val="clear" w:pos="2381"/>
          <w:tab w:val="clear" w:pos="2948"/>
          <w:tab w:val="clear" w:pos="3515"/>
          <w:tab w:val="num" w:pos="624"/>
        </w:tabs>
      </w:pPr>
      <w:r>
        <w:t>Under decision XXXI/3, on unexpected emissions of CFC-11 and institutional processes to be enhanced to strengthen the effective implementation and enforcement of the Montreal Protocol, parties have been reporting cases of illegal production and consumption of controlled substances. All 31 cases submitted pursuant to that decision are available in a separate online database</w:t>
      </w:r>
      <w:r w:rsidRPr="004B6172">
        <w:rPr>
          <w:vertAlign w:val="superscript"/>
        </w:rPr>
        <w:footnoteReference w:id="5"/>
      </w:r>
      <w:r>
        <w:t xml:space="preserve"> and are also included in th</w:t>
      </w:r>
      <w:r w:rsidR="00210124">
        <w:t>e</w:t>
      </w:r>
      <w:r>
        <w:t xml:space="preserve"> compilation</w:t>
      </w:r>
      <w:r w:rsidR="009F490E">
        <w:t xml:space="preserve"> set out below</w:t>
      </w:r>
      <w:r>
        <w:t>.</w:t>
      </w:r>
    </w:p>
    <w:p w14:paraId="47C3EE10" w14:textId="2A71E98A" w:rsidR="006A1F5E" w:rsidRDefault="006A1F5E" w:rsidP="006A1F5E">
      <w:pPr>
        <w:pStyle w:val="Normalnumber"/>
        <w:tabs>
          <w:tab w:val="clear" w:pos="1247"/>
          <w:tab w:val="clear" w:pos="1814"/>
          <w:tab w:val="clear" w:pos="2381"/>
          <w:tab w:val="clear" w:pos="2948"/>
          <w:tab w:val="clear" w:pos="3515"/>
          <w:tab w:val="num" w:pos="624"/>
        </w:tabs>
      </w:pPr>
      <w:r>
        <w:t>With a view to avoiding repetition, th</w:t>
      </w:r>
      <w:r w:rsidR="00A4781A">
        <w:t>e present</w:t>
      </w:r>
      <w:r>
        <w:t xml:space="preserve"> note builds on previous notes prepared by the Secretariat relating to information provided by parties on illegal trade in controlled substances.</w:t>
      </w:r>
      <w:r w:rsidRPr="00984F92">
        <w:rPr>
          <w:vertAlign w:val="superscript"/>
        </w:rPr>
        <w:footnoteReference w:id="6"/>
      </w:r>
    </w:p>
    <w:p w14:paraId="4290C1F1" w14:textId="57A3A1D2" w:rsidR="006A1F5E" w:rsidRDefault="006A1F5E" w:rsidP="006A1F5E">
      <w:pPr>
        <w:pStyle w:val="Normalnumber"/>
        <w:tabs>
          <w:tab w:val="clear" w:pos="1247"/>
          <w:tab w:val="clear" w:pos="1814"/>
          <w:tab w:val="clear" w:pos="2381"/>
          <w:tab w:val="clear" w:pos="2948"/>
          <w:tab w:val="clear" w:pos="3515"/>
          <w:tab w:val="num" w:pos="624"/>
        </w:tabs>
      </w:pPr>
      <w:r>
        <w:t xml:space="preserve">Section II provides an overview of the reported cases of illegal trade of controlled substances, including the 31 cases of illegal production and consumption, and highlights recurrent patterns in such trade, including in the number of cases reported, the substances </w:t>
      </w:r>
      <w:proofErr w:type="gramStart"/>
      <w:r>
        <w:t>most commonly trafficked</w:t>
      </w:r>
      <w:proofErr w:type="gramEnd"/>
      <w:r>
        <w:t xml:space="preserve"> and the methods of illegal trade. A synthesis is also presented of practices used by national authorities for detecting illegal trade, </w:t>
      </w:r>
      <w:r w:rsidR="00D42143">
        <w:t xml:space="preserve">for </w:t>
      </w:r>
      <w:r>
        <w:t xml:space="preserve">enforcement, and </w:t>
      </w:r>
      <w:r w:rsidR="00D42143">
        <w:t xml:space="preserve">for the </w:t>
      </w:r>
      <w:r>
        <w:t>disposition of detained substances.</w:t>
      </w:r>
    </w:p>
    <w:p w14:paraId="466D0421" w14:textId="6F192A32" w:rsidR="006A1F5E" w:rsidRDefault="006A1F5E" w:rsidP="006A1F5E">
      <w:pPr>
        <w:pStyle w:val="Normalnumber"/>
        <w:tabs>
          <w:tab w:val="clear" w:pos="1247"/>
          <w:tab w:val="clear" w:pos="1814"/>
          <w:tab w:val="clear" w:pos="2381"/>
          <w:tab w:val="clear" w:pos="2948"/>
          <w:tab w:val="clear" w:pos="3515"/>
          <w:tab w:val="num" w:pos="624"/>
        </w:tabs>
      </w:pPr>
      <w:r>
        <w:t xml:space="preserve">Section III contains a summary of notable best practices for preventing and addressing illegal trade in controlled substances, as well as several </w:t>
      </w:r>
      <w:r w:rsidRPr="00811A6A">
        <w:t>relating to</w:t>
      </w:r>
      <w:r>
        <w:t xml:space="preserve"> illegal production and consumption, identified among the 32</w:t>
      </w:r>
      <w:r w:rsidR="00802FAB">
        <w:t>1</w:t>
      </w:r>
      <w:r>
        <w:t xml:space="preserve"> cases reported since 22 April 2025, adding to those already identified in previous notes on the matter.</w:t>
      </w:r>
    </w:p>
    <w:p w14:paraId="5F444E10" w14:textId="2F845825" w:rsidR="006A1F5E" w:rsidRPr="002E243E" w:rsidRDefault="006A1F5E" w:rsidP="006A1F5E">
      <w:pPr>
        <w:pStyle w:val="CH1"/>
      </w:pPr>
      <w:r>
        <w:tab/>
        <w:t>II.</w:t>
      </w:r>
      <w:r>
        <w:tab/>
      </w:r>
      <w:r w:rsidRPr="00694025">
        <w:t>Compilation</w:t>
      </w:r>
      <w:r>
        <w:t xml:space="preserve"> of </w:t>
      </w:r>
      <w:r w:rsidRPr="00131D43">
        <w:t>reported cases of illegal trade and</w:t>
      </w:r>
      <w:r>
        <w:t xml:space="preserve"> synthesis of best practices</w:t>
      </w:r>
    </w:p>
    <w:p w14:paraId="5A73A11D" w14:textId="77777777" w:rsidR="006A1F5E" w:rsidRPr="00694025" w:rsidRDefault="006A1F5E" w:rsidP="006A1F5E">
      <w:pPr>
        <w:pStyle w:val="CH2"/>
      </w:pPr>
      <w:r w:rsidRPr="002E243E">
        <w:tab/>
      </w:r>
      <w:r w:rsidRPr="00505C38">
        <w:rPr>
          <w:sz w:val="22"/>
          <w:szCs w:val="22"/>
        </w:rPr>
        <w:t>A.</w:t>
      </w:r>
      <w:r w:rsidRPr="00505C38">
        <w:rPr>
          <w:sz w:val="22"/>
          <w:szCs w:val="22"/>
        </w:rPr>
        <w:tab/>
      </w:r>
      <w:r w:rsidRPr="00694025">
        <w:t>Number of reported cases o</w:t>
      </w:r>
      <w:r>
        <w:t>f</w:t>
      </w:r>
      <w:r w:rsidRPr="00694025">
        <w:t xml:space="preserve"> illegal import and export of controlled substances</w:t>
      </w:r>
    </w:p>
    <w:p w14:paraId="20F8C58E" w14:textId="0AFD5E5A" w:rsidR="006A1F5E" w:rsidRDefault="006A1F5E" w:rsidP="006A1F5E">
      <w:pPr>
        <w:pStyle w:val="Normalnumber"/>
        <w:tabs>
          <w:tab w:val="clear" w:pos="1247"/>
          <w:tab w:val="clear" w:pos="1814"/>
          <w:tab w:val="clear" w:pos="2381"/>
          <w:tab w:val="clear" w:pos="2948"/>
          <w:tab w:val="clear" w:pos="3515"/>
          <w:tab w:val="num" w:pos="624"/>
        </w:tabs>
      </w:pPr>
      <w:r w:rsidRPr="00873A41">
        <w:t xml:space="preserve">As </w:t>
      </w:r>
      <w:proofErr w:type="gramStart"/>
      <w:r w:rsidRPr="00873A41">
        <w:t>at</w:t>
      </w:r>
      <w:proofErr w:type="gramEnd"/>
      <w:r w:rsidRPr="00873A41">
        <w:t xml:space="preserve"> 2</w:t>
      </w:r>
      <w:r w:rsidR="00F1419D">
        <w:t>7</w:t>
      </w:r>
      <w:r w:rsidRPr="00873A41">
        <w:t xml:space="preserve"> April 2026, the database of illegal trade (import and export) in substances controlled under the Montreal Protocol comprised 1,10</w:t>
      </w:r>
      <w:r w:rsidR="00B918F2">
        <w:t>7</w:t>
      </w:r>
      <w:r w:rsidRPr="00873A41">
        <w:t xml:space="preserve"> cases. The previous note on illegal trade (UNEP/OzL.Pro.WG.1/47/</w:t>
      </w:r>
      <w:r>
        <w:t>5)</w:t>
      </w:r>
      <w:r w:rsidRPr="002E243E">
        <w:t xml:space="preserve"> </w:t>
      </w:r>
      <w:r w:rsidRPr="001558BB">
        <w:t xml:space="preserve">covered </w:t>
      </w:r>
      <w:r w:rsidRPr="009D11AE">
        <w:t>786</w:t>
      </w:r>
      <w:r w:rsidRPr="002E243E">
        <w:t xml:space="preserve"> cases reported </w:t>
      </w:r>
      <w:r>
        <w:t xml:space="preserve">between </w:t>
      </w:r>
      <w:r w:rsidRPr="002E243E">
        <w:t>2002</w:t>
      </w:r>
      <w:r>
        <w:t xml:space="preserve"> and April </w:t>
      </w:r>
      <w:r w:rsidRPr="002E243E">
        <w:t>202</w:t>
      </w:r>
      <w:r>
        <w:t>5</w:t>
      </w:r>
      <w:r w:rsidRPr="002E243E">
        <w:t xml:space="preserve">. </w:t>
      </w:r>
      <w:r w:rsidRPr="009E1D73">
        <w:t xml:space="preserve">During the period from April 2025 to April 2026, </w:t>
      </w:r>
      <w:r w:rsidR="00C5607C">
        <w:t>18</w:t>
      </w:r>
      <w:r w:rsidR="00C5607C" w:rsidRPr="009E1D73">
        <w:t xml:space="preserve"> </w:t>
      </w:r>
      <w:r w:rsidRPr="009E1D73">
        <w:t xml:space="preserve">parties </w:t>
      </w:r>
      <w:r>
        <w:t>(</w:t>
      </w:r>
      <w:r w:rsidRPr="00832828">
        <w:t xml:space="preserve">including two </w:t>
      </w:r>
      <w:r w:rsidR="00137217">
        <w:t>that</w:t>
      </w:r>
      <w:r>
        <w:t xml:space="preserve"> were doing so for the first time) </w:t>
      </w:r>
      <w:r w:rsidRPr="009E1D73">
        <w:t>reported, on a voluntary basis, 32</w:t>
      </w:r>
      <w:r w:rsidR="00802FAB">
        <w:t>1</w:t>
      </w:r>
      <w:r w:rsidRPr="009E1D73">
        <w:t xml:space="preserve"> new cases of illegal trade in controlled substances. An additional </w:t>
      </w:r>
      <w:r w:rsidR="005F1B38">
        <w:t>10</w:t>
      </w:r>
      <w:r w:rsidR="005F1B38" w:rsidRPr="009E1D73">
        <w:t xml:space="preserve"> </w:t>
      </w:r>
      <w:r w:rsidRPr="009E1D73">
        <w:t xml:space="preserve">parties indicated that they </w:t>
      </w:r>
      <w:r w:rsidR="003A76C0">
        <w:t>had no</w:t>
      </w:r>
      <w:r w:rsidRPr="009E1D73">
        <w:t xml:space="preserve"> cases of illegal trade to report. Two of those parties, however, provided supplementary information on measures to prevent and address such trade. </w:t>
      </w:r>
      <w:r w:rsidRPr="00584A83">
        <w:t xml:space="preserve">The figure </w:t>
      </w:r>
      <w:r w:rsidR="007F0C50">
        <w:t>below</w:t>
      </w:r>
      <w:r w:rsidRPr="00584A83">
        <w:t xml:space="preserve"> shows</w:t>
      </w:r>
      <w:r w:rsidRPr="002E243E">
        <w:t xml:space="preserve"> the number of cases reported each year from 2002 to 202</w:t>
      </w:r>
      <w:r>
        <w:t>6</w:t>
      </w:r>
      <w:r w:rsidRPr="002E243E">
        <w:t>, with the data for 202</w:t>
      </w:r>
      <w:r>
        <w:t>6</w:t>
      </w:r>
      <w:r w:rsidRPr="002E243E">
        <w:t xml:space="preserve"> </w:t>
      </w:r>
      <w:r>
        <w:t xml:space="preserve">valid as </w:t>
      </w:r>
      <w:proofErr w:type="gramStart"/>
      <w:r>
        <w:t>at</w:t>
      </w:r>
      <w:proofErr w:type="gramEnd"/>
      <w:r>
        <w:t xml:space="preserve"> 2</w:t>
      </w:r>
      <w:r w:rsidR="008B14D6">
        <w:t>7</w:t>
      </w:r>
      <w:r w:rsidR="00387C03">
        <w:t> </w:t>
      </w:r>
      <w:r>
        <w:t>April 2026</w:t>
      </w:r>
      <w:r w:rsidRPr="002E243E">
        <w:t>.</w:t>
      </w:r>
    </w:p>
    <w:p w14:paraId="02BFA145" w14:textId="171DA012" w:rsidR="006A1F5E" w:rsidRDefault="006A1F5E" w:rsidP="006A1F5E">
      <w:pPr>
        <w:pStyle w:val="Normalnumber"/>
        <w:tabs>
          <w:tab w:val="clear" w:pos="1247"/>
          <w:tab w:val="clear" w:pos="1814"/>
          <w:tab w:val="clear" w:pos="2381"/>
          <w:tab w:val="clear" w:pos="2948"/>
          <w:tab w:val="clear" w:pos="3515"/>
          <w:tab w:val="num" w:pos="624"/>
        </w:tabs>
      </w:pPr>
      <w:r w:rsidRPr="00966356">
        <w:t xml:space="preserve">The </w:t>
      </w:r>
      <w:r w:rsidRPr="00AD3F01">
        <w:t xml:space="preserve">decisions cited in paragraphs 2 and 3 above </w:t>
      </w:r>
      <w:proofErr w:type="gramStart"/>
      <w:r w:rsidRPr="00AD3F01">
        <w:t>call</w:t>
      </w:r>
      <w:proofErr w:type="gramEnd"/>
      <w:r w:rsidRPr="00AD3F01">
        <w:t xml:space="preserve"> for reporting of fully prove</w:t>
      </w:r>
      <w:r w:rsidR="004D3626" w:rsidRPr="00AD3F01">
        <w:t>d</w:t>
      </w:r>
      <w:r w:rsidRPr="00AD3F01">
        <w:t xml:space="preserve"> cases, in which relevant legal or administrative proceedings have been completed and it has been established that illegal trade occurred. As noted in</w:t>
      </w:r>
      <w:r>
        <w:t xml:space="preserve"> para</w:t>
      </w:r>
      <w:r w:rsidR="008E0EC2">
        <w:t>graph</w:t>
      </w:r>
      <w:r>
        <w:t xml:space="preserve"> 3 above</w:t>
      </w:r>
      <w:r w:rsidDel="00CF6D33">
        <w:t xml:space="preserve">, </w:t>
      </w:r>
      <w:r w:rsidR="000723AE">
        <w:t xml:space="preserve">in </w:t>
      </w:r>
      <w:r w:rsidDel="00CF6D33">
        <w:t xml:space="preserve">paragraph </w:t>
      </w:r>
      <w:r w:rsidR="00996A19">
        <w:t>3</w:t>
      </w:r>
      <w:r w:rsidDel="00CF6D33">
        <w:t xml:space="preserve"> of decision XXXIV/8</w:t>
      </w:r>
      <w:r w:rsidR="00996A19">
        <w:t>,</w:t>
      </w:r>
      <w:r w:rsidDel="00CF6D33">
        <w:t xml:space="preserve"> parties</w:t>
      </w:r>
      <w:r w:rsidR="000723AE">
        <w:t xml:space="preserve"> </w:t>
      </w:r>
      <w:r w:rsidR="00492BEF">
        <w:t>we</w:t>
      </w:r>
      <w:r w:rsidR="000723AE">
        <w:t>re also encouraged</w:t>
      </w:r>
      <w:r w:rsidDel="00CF6D33">
        <w:t xml:space="preserve"> to provide additional information about illegal trade situations, to the extent that they </w:t>
      </w:r>
      <w:r w:rsidR="00261BB3">
        <w:t>we</w:t>
      </w:r>
      <w:r w:rsidDel="00CF6D33">
        <w:t xml:space="preserve">re able to do so. </w:t>
      </w:r>
      <w:r w:rsidRPr="007232FB">
        <w:t>Thus</w:t>
      </w:r>
      <w:r w:rsidRPr="007232FB" w:rsidDel="000B3A73">
        <w:t xml:space="preserve">, </w:t>
      </w:r>
      <w:r w:rsidRPr="007232FB">
        <w:t>parties also report cases that have not yet been fully prove</w:t>
      </w:r>
      <w:r w:rsidR="004D3626">
        <w:t>d</w:t>
      </w:r>
      <w:r w:rsidRPr="007232FB">
        <w:t xml:space="preserve"> or in which proceedings are still ongoing. </w:t>
      </w:r>
      <w:r w:rsidRPr="005F58AF">
        <w:t xml:space="preserve">One party has provided updates on </w:t>
      </w:r>
      <w:r w:rsidR="00996A19">
        <w:t xml:space="preserve">the </w:t>
      </w:r>
      <w:r w:rsidRPr="005F58AF">
        <w:t>legal outcomes of previously reported cases.</w:t>
      </w:r>
      <w:r w:rsidRPr="007232FB">
        <w:t xml:space="preserve"> In the</w:t>
      </w:r>
      <w:r>
        <w:t xml:space="preserve"> 2026 annual reminder letter sent to parties, </w:t>
      </w:r>
      <w:r w:rsidRPr="00A65883">
        <w:t xml:space="preserve">the Secretariat </w:t>
      </w:r>
      <w:r>
        <w:t>encouraged</w:t>
      </w:r>
      <w:r w:rsidRPr="00A65883">
        <w:t xml:space="preserve"> parties to provide updates, where available, on the legal outcomes of previously reported cases and will continue to do so in future reminders to facilitate information</w:t>
      </w:r>
      <w:r w:rsidR="00E608F7">
        <w:noBreakHyphen/>
      </w:r>
      <w:r w:rsidRPr="00A65883">
        <w:t xml:space="preserve">sharing and </w:t>
      </w:r>
      <w:r w:rsidR="00BD3668">
        <w:t xml:space="preserve">the </w:t>
      </w:r>
      <w:r w:rsidRPr="00A65883">
        <w:t>identification of effective enforcement practices.</w:t>
      </w:r>
    </w:p>
    <w:p w14:paraId="0C9A8EE3" w14:textId="77777777" w:rsidR="006A1F5E" w:rsidRPr="00694025" w:rsidRDefault="006A1F5E" w:rsidP="006A1F5E">
      <w:pPr>
        <w:pStyle w:val="CH2"/>
      </w:pPr>
      <w:r>
        <w:lastRenderedPageBreak/>
        <w:tab/>
      </w:r>
      <w:r w:rsidRPr="00694025">
        <w:t>B.</w:t>
      </w:r>
      <w:r w:rsidRPr="00694025">
        <w:tab/>
        <w:t>Parties that reported cases of illegal trade</w:t>
      </w:r>
    </w:p>
    <w:p w14:paraId="20686480" w14:textId="59ECFA9E" w:rsidR="006A1F5E" w:rsidRPr="002E243E" w:rsidRDefault="006A1F5E" w:rsidP="006A1F5E">
      <w:pPr>
        <w:pStyle w:val="Normalnumber"/>
        <w:tabs>
          <w:tab w:val="clear" w:pos="1247"/>
          <w:tab w:val="clear" w:pos="1814"/>
          <w:tab w:val="clear" w:pos="2381"/>
          <w:tab w:val="clear" w:pos="2948"/>
          <w:tab w:val="clear" w:pos="3515"/>
          <w:tab w:val="num" w:pos="624"/>
        </w:tabs>
      </w:pPr>
      <w:r w:rsidRPr="002E243E">
        <w:t>In total, since</w:t>
      </w:r>
      <w:r>
        <w:t xml:space="preserve"> 2002, when</w:t>
      </w:r>
      <w:r w:rsidRPr="002E243E">
        <w:t xml:space="preserve"> the first cases </w:t>
      </w:r>
      <w:r>
        <w:t xml:space="preserve">were </w:t>
      </w:r>
      <w:r w:rsidRPr="002E243E">
        <w:t xml:space="preserve">reported, the following </w:t>
      </w:r>
      <w:r>
        <w:t>51</w:t>
      </w:r>
      <w:r w:rsidRPr="002E243E">
        <w:t xml:space="preserve"> parties to the Montreal Protocol have reported cases of illegal trade: Angola, Argentina, Armenia, Australia, Belgium, Bulgaria, Burkina Faso, China, Colombia, Croatia, Cyprus, Czechia, Democratic Republic of the Congo, Denmark, Estonia, </w:t>
      </w:r>
      <w:r>
        <w:t xml:space="preserve">Finland, </w:t>
      </w:r>
      <w:r w:rsidRPr="002E243E">
        <w:t>France, Georgia, Germany, Greece,</w:t>
      </w:r>
      <w:r>
        <w:t xml:space="preserve"> Honduras, </w:t>
      </w:r>
      <w:r w:rsidRPr="002E243E">
        <w:t>Hungary, Ireland, Italy, Japan, Kenya, Kyrgyzstan, Libya, Lithuania, Mexico, Micronesia (Federated States of), Namibia, Netherlands (Kingdom of the), Nigeria, North Macedonia, Papua New Guinea, Paraguay, Peru, Philippines, Poland, Romania, Seychelles, Singapore, Spain, Sri Lanka, Thailand, Türkiye, Turkmenistan, United</w:t>
      </w:r>
      <w:r>
        <w:t xml:space="preserve"> </w:t>
      </w:r>
      <w:r w:rsidRPr="002E243E">
        <w:t xml:space="preserve">Kingdom of Great Britain and Northern Ireland, United States of America, </w:t>
      </w:r>
      <w:r>
        <w:t xml:space="preserve">and </w:t>
      </w:r>
      <w:r w:rsidRPr="002E243E">
        <w:t>Uzbekistan.</w:t>
      </w:r>
    </w:p>
    <w:p w14:paraId="5FE4384A" w14:textId="77777777" w:rsidR="006A1F5E" w:rsidRPr="002E243E" w:rsidRDefault="006A1F5E" w:rsidP="00387C03">
      <w:pPr>
        <w:pStyle w:val="Titlefigure"/>
        <w:keepLines w:val="0"/>
        <w:tabs>
          <w:tab w:val="clear" w:pos="1247"/>
          <w:tab w:val="left" w:pos="1134"/>
        </w:tabs>
        <w:suppressAutoHyphens w:val="0"/>
        <w:spacing w:before="120" w:after="120"/>
        <w:rPr>
          <w:bCs/>
        </w:rPr>
      </w:pPr>
      <w:r w:rsidRPr="00D16781">
        <w:rPr>
          <w:bCs/>
        </w:rPr>
        <w:t>Number of cases reported, by year of reporting</w:t>
      </w:r>
      <w:r>
        <w:rPr>
          <w:bCs/>
        </w:rPr>
        <w:t xml:space="preserve"> </w:t>
      </w:r>
    </w:p>
    <w:p w14:paraId="51504982" w14:textId="77777777" w:rsidR="006A1F5E" w:rsidRPr="002E243E" w:rsidRDefault="006A1F5E" w:rsidP="006A1F5E">
      <w:pPr>
        <w:pStyle w:val="NormalNonumber"/>
        <w:tabs>
          <w:tab w:val="clear" w:pos="1247"/>
          <w:tab w:val="left" w:pos="1134"/>
        </w:tabs>
        <w:spacing w:after="240"/>
        <w:ind w:left="1248"/>
      </w:pPr>
      <w:r>
        <w:rPr>
          <w:noProof/>
        </w:rPr>
        <w:drawing>
          <wp:inline distT="0" distB="0" distL="0" distR="0" wp14:anchorId="710F6505" wp14:editId="76A3658D">
            <wp:extent cx="4572000" cy="2743200"/>
            <wp:effectExtent l="0" t="0" r="0" b="0"/>
            <wp:docPr id="132011570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0E17D" w14:textId="4B6956DC" w:rsidR="006A1F5E" w:rsidRPr="002E243E" w:rsidRDefault="006A1F5E" w:rsidP="006A1F5E">
      <w:pPr>
        <w:pStyle w:val="Normalnumber"/>
        <w:tabs>
          <w:tab w:val="clear" w:pos="1247"/>
          <w:tab w:val="clear" w:pos="1814"/>
          <w:tab w:val="clear" w:pos="2381"/>
          <w:tab w:val="clear" w:pos="2948"/>
          <w:tab w:val="clear" w:pos="3515"/>
          <w:tab w:val="num" w:pos="624"/>
        </w:tabs>
      </w:pPr>
      <w:r w:rsidRPr="002E243E">
        <w:t xml:space="preserve">Of those </w:t>
      </w:r>
      <w:r>
        <w:t>51</w:t>
      </w:r>
      <w:r w:rsidRPr="002E243E">
        <w:t xml:space="preserve"> parties, 2</w:t>
      </w:r>
      <w:r>
        <w:t>7</w:t>
      </w:r>
      <w:r w:rsidRPr="002E243E">
        <w:t xml:space="preserve"> are parties operating under paragraph 1 of Article 5 of the </w:t>
      </w:r>
      <w:r>
        <w:t xml:space="preserve">Montreal </w:t>
      </w:r>
      <w:r w:rsidRPr="002E243E">
        <w:t>Protocol (Article 5 parties), while the remaining 2</w:t>
      </w:r>
      <w:r>
        <w:t>4</w:t>
      </w:r>
      <w:r w:rsidRPr="002E243E">
        <w:t xml:space="preserve"> are </w:t>
      </w:r>
      <w:r>
        <w:t>parties not so operating (</w:t>
      </w:r>
      <w:r w:rsidRPr="002E243E">
        <w:t>non-Article 5 parties</w:t>
      </w:r>
      <w:r>
        <w:t>)</w:t>
      </w:r>
      <w:r w:rsidRPr="002E243E">
        <w:t>.</w:t>
      </w:r>
      <w:r w:rsidRPr="00C23AE5">
        <w:t xml:space="preserve"> Two parties </w:t>
      </w:r>
      <w:r w:rsidR="00996A19">
        <w:t xml:space="preserve">– </w:t>
      </w:r>
      <w:r>
        <w:t>one Article 5 party and one non-Article 5 party</w:t>
      </w:r>
      <w:r w:rsidRPr="00C23AE5">
        <w:t xml:space="preserve"> </w:t>
      </w:r>
      <w:r w:rsidR="00996A19">
        <w:t xml:space="preserve">– </w:t>
      </w:r>
      <w:r w:rsidRPr="00C23AE5">
        <w:t>reported cases for the first tim</w:t>
      </w:r>
      <w:r>
        <w:t xml:space="preserve">e </w:t>
      </w:r>
      <w:r w:rsidRPr="006B3D9D">
        <w:t>during the reporting period</w:t>
      </w:r>
      <w:r>
        <w:t xml:space="preserve">. </w:t>
      </w:r>
      <w:r w:rsidRPr="002E243E">
        <w:t>The geographical distribution of all reported cases</w:t>
      </w:r>
      <w:r>
        <w:t xml:space="preserve"> submitted to date</w:t>
      </w:r>
      <w:r w:rsidRPr="002E243E">
        <w:t xml:space="preserve"> is shown in table</w:t>
      </w:r>
      <w:r>
        <w:t> </w:t>
      </w:r>
      <w:r w:rsidRPr="002E243E">
        <w:t>1.</w:t>
      </w:r>
    </w:p>
    <w:p w14:paraId="5877230B" w14:textId="77777777" w:rsidR="006A1F5E" w:rsidRPr="002E243E" w:rsidRDefault="006A1F5E" w:rsidP="006A1F5E">
      <w:pPr>
        <w:pStyle w:val="Titletable"/>
        <w:tabs>
          <w:tab w:val="clear" w:pos="1247"/>
          <w:tab w:val="left" w:pos="1134"/>
        </w:tabs>
        <w:spacing w:before="240"/>
      </w:pPr>
      <w:r w:rsidRPr="002E243E">
        <w:rPr>
          <w:b w:val="0"/>
          <w:bCs w:val="0"/>
        </w:rPr>
        <w:t xml:space="preserve">Table 1 </w:t>
      </w:r>
      <w:r w:rsidRPr="002E243E">
        <w:rPr>
          <w:b w:val="0"/>
          <w:bCs w:val="0"/>
        </w:rPr>
        <w:br/>
      </w:r>
      <w:r w:rsidRPr="002E243E">
        <w:t>Geographical distribution of reported cases</w:t>
      </w:r>
    </w:p>
    <w:tbl>
      <w:tblPr>
        <w:tblStyle w:val="GridTable1Light"/>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8"/>
        <w:gridCol w:w="2939"/>
      </w:tblGrid>
      <w:tr w:rsidR="006A1F5E" w:rsidRPr="00774823" w14:paraId="75B6772E" w14:textId="77777777" w:rsidTr="00B827CE">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vAlign w:val="bottom"/>
          </w:tcPr>
          <w:p w14:paraId="6D884465" w14:textId="77777777" w:rsidR="006A1F5E" w:rsidRPr="00774823" w:rsidRDefault="006A1F5E" w:rsidP="00B827CE">
            <w:pPr>
              <w:pStyle w:val="Normal-pool-Table"/>
              <w:tabs>
                <w:tab w:val="clear" w:pos="1247"/>
                <w:tab w:val="left" w:pos="1134"/>
              </w:tabs>
              <w:spacing w:before="20" w:after="20"/>
              <w:ind w:left="1134" w:hanging="1134"/>
              <w:rPr>
                <w:b w:val="0"/>
                <w:bCs w:val="0"/>
                <w:i/>
                <w:iCs/>
                <w:lang w:eastAsia="en-GB"/>
              </w:rPr>
            </w:pPr>
            <w:r w:rsidRPr="00774823">
              <w:rPr>
                <w:b w:val="0"/>
                <w:bCs w:val="0"/>
                <w:i/>
                <w:iCs/>
                <w:lang w:eastAsia="en-GB"/>
              </w:rPr>
              <w:t xml:space="preserve">United Nations geographical region </w:t>
            </w:r>
          </w:p>
        </w:tc>
        <w:tc>
          <w:tcPr>
            <w:tcW w:w="2939" w:type="dxa"/>
            <w:tcBorders>
              <w:top w:val="single" w:sz="4" w:space="0" w:color="auto"/>
              <w:bottom w:val="single" w:sz="12" w:space="0" w:color="auto"/>
            </w:tcBorders>
            <w:noWrap/>
            <w:vAlign w:val="bottom"/>
          </w:tcPr>
          <w:p w14:paraId="1FB4CA02" w14:textId="233602F3" w:rsidR="006A1F5E" w:rsidRPr="00662E0A" w:rsidRDefault="006A1F5E" w:rsidP="00B827CE">
            <w:pPr>
              <w:pStyle w:val="Normal-pool-Table"/>
              <w:jc w:val="right"/>
              <w:cnfStyle w:val="100000000000" w:firstRow="1" w:lastRow="0" w:firstColumn="0" w:lastColumn="0" w:oddVBand="0" w:evenVBand="0" w:oddHBand="0" w:evenHBand="0" w:firstRowFirstColumn="0" w:firstRowLastColumn="0" w:lastRowFirstColumn="0" w:lastRowLastColumn="0"/>
              <w:rPr>
                <w:b w:val="0"/>
                <w:bCs w:val="0"/>
              </w:rPr>
            </w:pPr>
            <w:r w:rsidRPr="00662E0A">
              <w:rPr>
                <w:b w:val="0"/>
                <w:bCs w:val="0"/>
              </w:rPr>
              <w:t>Number of cases reported up to </w:t>
            </w:r>
            <w:r>
              <w:rPr>
                <w:b w:val="0"/>
                <w:bCs w:val="0"/>
              </w:rPr>
              <w:t>2</w:t>
            </w:r>
            <w:r w:rsidR="00D70B0E">
              <w:rPr>
                <w:b w:val="0"/>
                <w:bCs w:val="0"/>
              </w:rPr>
              <w:t>7</w:t>
            </w:r>
            <w:r w:rsidRPr="00662E0A">
              <w:rPr>
                <w:b w:val="0"/>
                <w:bCs w:val="0"/>
              </w:rPr>
              <w:t> April 202</w:t>
            </w:r>
            <w:r>
              <w:rPr>
                <w:b w:val="0"/>
                <w:bCs w:val="0"/>
              </w:rPr>
              <w:t>6</w:t>
            </w:r>
          </w:p>
        </w:tc>
      </w:tr>
      <w:tr w:rsidR="006A1F5E" w:rsidRPr="00774823" w14:paraId="1BCF3F36"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tcBorders>
            <w:noWrap/>
            <w:hideMark/>
          </w:tcPr>
          <w:p w14:paraId="74071259" w14:textId="77777777" w:rsidR="006A1F5E" w:rsidRPr="00774823" w:rsidRDefault="006A1F5E" w:rsidP="00B827CE">
            <w:pPr>
              <w:pStyle w:val="Normal-pool-Table"/>
              <w:tabs>
                <w:tab w:val="clear" w:pos="1247"/>
                <w:tab w:val="left" w:pos="1134"/>
              </w:tabs>
              <w:spacing w:before="20" w:after="20"/>
              <w:ind w:left="1134" w:hanging="1134"/>
              <w:rPr>
                <w:b w:val="0"/>
                <w:bCs w:val="0"/>
                <w:lang w:eastAsia="en-GB"/>
              </w:rPr>
            </w:pPr>
            <w:r w:rsidRPr="00774823">
              <w:rPr>
                <w:b w:val="0"/>
                <w:bCs w:val="0"/>
                <w:lang w:eastAsia="en-GB"/>
              </w:rPr>
              <w:t>African States</w:t>
            </w:r>
          </w:p>
        </w:tc>
        <w:tc>
          <w:tcPr>
            <w:tcW w:w="2939" w:type="dxa"/>
            <w:tcBorders>
              <w:top w:val="single" w:sz="12" w:space="0" w:color="auto"/>
            </w:tcBorders>
            <w:noWrap/>
          </w:tcPr>
          <w:p w14:paraId="4E57DD3D" w14:textId="77777777"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eastAsia="en-GB"/>
              </w:rPr>
            </w:pPr>
            <w:r>
              <w:rPr>
                <w:lang w:eastAsia="en-GB"/>
              </w:rPr>
              <w:t>35</w:t>
            </w:r>
          </w:p>
        </w:tc>
      </w:tr>
      <w:tr w:rsidR="006A1F5E" w:rsidRPr="00774823" w14:paraId="7EB10995"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78B8AA1E" w14:textId="77777777" w:rsidR="006A1F5E" w:rsidRPr="00774823" w:rsidRDefault="006A1F5E" w:rsidP="00B827CE">
            <w:pPr>
              <w:pStyle w:val="Normal-pool-Table"/>
              <w:tabs>
                <w:tab w:val="clear" w:pos="1247"/>
                <w:tab w:val="left" w:pos="1134"/>
              </w:tabs>
              <w:spacing w:before="20" w:after="20"/>
              <w:ind w:left="1134" w:hanging="1134"/>
              <w:rPr>
                <w:b w:val="0"/>
                <w:bCs w:val="0"/>
                <w:lang w:eastAsia="en-GB"/>
              </w:rPr>
            </w:pPr>
            <w:r w:rsidRPr="00774823">
              <w:rPr>
                <w:b w:val="0"/>
                <w:bCs w:val="0"/>
                <w:lang w:eastAsia="en-GB"/>
              </w:rPr>
              <w:t>Asia-Pacific States</w:t>
            </w:r>
          </w:p>
        </w:tc>
        <w:tc>
          <w:tcPr>
            <w:tcW w:w="2939" w:type="dxa"/>
            <w:noWrap/>
          </w:tcPr>
          <w:p w14:paraId="5F63473E" w14:textId="77777777"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eastAsia="en-GB"/>
              </w:rPr>
            </w:pPr>
            <w:r>
              <w:rPr>
                <w:lang w:eastAsia="en-GB"/>
              </w:rPr>
              <w:t>78</w:t>
            </w:r>
          </w:p>
        </w:tc>
      </w:tr>
      <w:tr w:rsidR="006A1F5E" w:rsidRPr="00774823" w14:paraId="329F3763"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68C9A731" w14:textId="77777777" w:rsidR="006A1F5E" w:rsidRPr="00774823" w:rsidRDefault="006A1F5E" w:rsidP="00B827CE">
            <w:pPr>
              <w:pStyle w:val="Normal-pool-Table"/>
              <w:tabs>
                <w:tab w:val="clear" w:pos="1247"/>
                <w:tab w:val="left" w:pos="1134"/>
              </w:tabs>
              <w:spacing w:before="20" w:after="20"/>
              <w:ind w:left="1134" w:hanging="1134"/>
              <w:rPr>
                <w:b w:val="0"/>
                <w:bCs w:val="0"/>
                <w:lang w:eastAsia="en-GB"/>
              </w:rPr>
            </w:pPr>
            <w:r w:rsidRPr="00774823">
              <w:rPr>
                <w:b w:val="0"/>
                <w:bCs w:val="0"/>
                <w:lang w:eastAsia="en-GB"/>
              </w:rPr>
              <w:t>Eastern European States</w:t>
            </w:r>
          </w:p>
        </w:tc>
        <w:tc>
          <w:tcPr>
            <w:tcW w:w="2939" w:type="dxa"/>
            <w:noWrap/>
          </w:tcPr>
          <w:p w14:paraId="1B1FEBA1" w14:textId="77777777"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eastAsia="en-GB"/>
              </w:rPr>
            </w:pPr>
            <w:r>
              <w:rPr>
                <w:lang w:eastAsia="en-GB"/>
              </w:rPr>
              <w:t>589</w:t>
            </w:r>
          </w:p>
        </w:tc>
      </w:tr>
      <w:tr w:rsidR="006A1F5E" w:rsidRPr="00774823" w14:paraId="0B45AE64"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211C97C6" w14:textId="77777777" w:rsidR="006A1F5E" w:rsidRPr="00774823" w:rsidRDefault="006A1F5E" w:rsidP="00B827CE">
            <w:pPr>
              <w:pStyle w:val="Normal-pool-Table"/>
              <w:tabs>
                <w:tab w:val="clear" w:pos="1247"/>
                <w:tab w:val="left" w:pos="1134"/>
              </w:tabs>
              <w:spacing w:before="20" w:after="20"/>
              <w:ind w:left="1134" w:hanging="1134"/>
              <w:rPr>
                <w:b w:val="0"/>
                <w:bCs w:val="0"/>
                <w:lang w:eastAsia="en-GB"/>
              </w:rPr>
            </w:pPr>
            <w:r w:rsidRPr="00774823">
              <w:rPr>
                <w:b w:val="0"/>
                <w:bCs w:val="0"/>
                <w:lang w:eastAsia="en-GB"/>
              </w:rPr>
              <w:t>Latin American and Caribbean States</w:t>
            </w:r>
          </w:p>
        </w:tc>
        <w:tc>
          <w:tcPr>
            <w:tcW w:w="2939" w:type="dxa"/>
            <w:noWrap/>
          </w:tcPr>
          <w:p w14:paraId="60F7535B" w14:textId="77777777"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eastAsia="en-GB"/>
              </w:rPr>
            </w:pPr>
            <w:r>
              <w:rPr>
                <w:lang w:eastAsia="en-GB"/>
              </w:rPr>
              <w:t>26</w:t>
            </w:r>
          </w:p>
        </w:tc>
      </w:tr>
      <w:tr w:rsidR="006A1F5E" w:rsidRPr="00774823" w14:paraId="22E2FB7B"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bottom w:val="single" w:sz="4" w:space="0" w:color="auto"/>
            </w:tcBorders>
            <w:noWrap/>
            <w:hideMark/>
          </w:tcPr>
          <w:p w14:paraId="0B3FEE20" w14:textId="77777777" w:rsidR="006A1F5E" w:rsidRPr="00774823" w:rsidRDefault="006A1F5E" w:rsidP="00B827CE">
            <w:pPr>
              <w:pStyle w:val="Normal-pool-Table"/>
              <w:tabs>
                <w:tab w:val="clear" w:pos="1247"/>
                <w:tab w:val="left" w:pos="1134"/>
              </w:tabs>
              <w:spacing w:before="20" w:after="20"/>
              <w:ind w:left="1134" w:hanging="1134"/>
              <w:rPr>
                <w:b w:val="0"/>
                <w:bCs w:val="0"/>
                <w:lang w:eastAsia="en-GB"/>
              </w:rPr>
            </w:pPr>
            <w:r w:rsidRPr="00774823">
              <w:rPr>
                <w:b w:val="0"/>
                <w:bCs w:val="0"/>
                <w:lang w:eastAsia="en-GB"/>
              </w:rPr>
              <w:t>Western European and other States</w:t>
            </w:r>
          </w:p>
        </w:tc>
        <w:tc>
          <w:tcPr>
            <w:tcW w:w="2939" w:type="dxa"/>
            <w:tcBorders>
              <w:bottom w:val="single" w:sz="4" w:space="0" w:color="auto"/>
            </w:tcBorders>
            <w:noWrap/>
          </w:tcPr>
          <w:p w14:paraId="2E9EF327" w14:textId="6A1BF3A0"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lang w:eastAsia="en-GB"/>
              </w:rPr>
            </w:pPr>
            <w:r>
              <w:rPr>
                <w:lang w:eastAsia="en-GB"/>
              </w:rPr>
              <w:t>3</w:t>
            </w:r>
            <w:r w:rsidR="004D1319">
              <w:rPr>
                <w:lang w:eastAsia="en-GB"/>
              </w:rPr>
              <w:t>79</w:t>
            </w:r>
          </w:p>
        </w:tc>
      </w:tr>
      <w:tr w:rsidR="006A1F5E" w:rsidRPr="002E243E" w14:paraId="18A1FF7C"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tcPr>
          <w:p w14:paraId="78D66F21" w14:textId="77777777" w:rsidR="006A1F5E" w:rsidRPr="00774823" w:rsidRDefault="006A1F5E" w:rsidP="00B827CE">
            <w:pPr>
              <w:pStyle w:val="Normal-pool-Table"/>
              <w:tabs>
                <w:tab w:val="clear" w:pos="1247"/>
                <w:tab w:val="left" w:pos="1134"/>
              </w:tabs>
              <w:spacing w:before="20" w:after="20"/>
              <w:ind w:left="1134" w:hanging="1134"/>
              <w:rPr>
                <w:lang w:eastAsia="en-GB"/>
              </w:rPr>
            </w:pPr>
            <w:r w:rsidRPr="00774823">
              <w:rPr>
                <w:lang w:eastAsia="en-GB"/>
              </w:rPr>
              <w:t>Total</w:t>
            </w:r>
          </w:p>
        </w:tc>
        <w:tc>
          <w:tcPr>
            <w:tcW w:w="2939" w:type="dxa"/>
            <w:tcBorders>
              <w:top w:val="single" w:sz="4" w:space="0" w:color="auto"/>
              <w:bottom w:val="single" w:sz="12" w:space="0" w:color="auto"/>
            </w:tcBorders>
            <w:noWrap/>
          </w:tcPr>
          <w:p w14:paraId="55722FD6" w14:textId="4D5E28AD" w:rsidR="006A1F5E" w:rsidRPr="00774823"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1 10</w:t>
            </w:r>
            <w:r w:rsidR="004D1319">
              <w:rPr>
                <w:b/>
                <w:bCs/>
                <w:lang w:eastAsia="en-GB"/>
              </w:rPr>
              <w:t>7</w:t>
            </w:r>
          </w:p>
        </w:tc>
      </w:tr>
    </w:tbl>
    <w:p w14:paraId="4B71678D" w14:textId="304B4FBD" w:rsidR="006A1F5E" w:rsidRPr="002E243E" w:rsidRDefault="006A1F5E" w:rsidP="00387C03">
      <w:pPr>
        <w:pStyle w:val="Normalnumber"/>
        <w:tabs>
          <w:tab w:val="clear" w:pos="1247"/>
          <w:tab w:val="clear" w:pos="1814"/>
          <w:tab w:val="clear" w:pos="2381"/>
          <w:tab w:val="clear" w:pos="2948"/>
          <w:tab w:val="clear" w:pos="3515"/>
          <w:tab w:val="num" w:pos="624"/>
        </w:tabs>
        <w:spacing w:before="240"/>
      </w:pPr>
      <w:r>
        <w:t xml:space="preserve">Most of the information submitted by parties and referred to in the present note can be attributed to a small number of </w:t>
      </w:r>
      <w:r w:rsidRPr="00384F45">
        <w:t>countries: 11</w:t>
      </w:r>
      <w:r w:rsidRPr="002E243E">
        <w:t xml:space="preserve"> parties reported </w:t>
      </w:r>
      <w:r>
        <w:t xml:space="preserve">more than </w:t>
      </w:r>
      <w:r w:rsidRPr="002E243E">
        <w:t xml:space="preserve">80 per cent of the </w:t>
      </w:r>
      <w:r>
        <w:t>1,10</w:t>
      </w:r>
      <w:r w:rsidR="00B918F2">
        <w:t>7</w:t>
      </w:r>
      <w:r w:rsidRPr="002E243E">
        <w:t xml:space="preserve"> </w:t>
      </w:r>
      <w:r>
        <w:t xml:space="preserve">cases </w:t>
      </w:r>
      <w:r w:rsidRPr="002E243E">
        <w:t>reported to date, as table 2</w:t>
      </w:r>
      <w:r>
        <w:t xml:space="preserve"> shows.</w:t>
      </w:r>
    </w:p>
    <w:p w14:paraId="589E5EF1" w14:textId="77777777" w:rsidR="006A1F5E" w:rsidRPr="002E243E" w:rsidRDefault="006A1F5E" w:rsidP="006A1F5E">
      <w:pPr>
        <w:pStyle w:val="Titletable"/>
        <w:tabs>
          <w:tab w:val="clear" w:pos="1247"/>
          <w:tab w:val="left" w:pos="1134"/>
        </w:tabs>
        <w:suppressAutoHyphens w:val="0"/>
        <w:spacing w:before="120" w:after="120"/>
      </w:pPr>
      <w:r w:rsidRPr="002E243E">
        <w:rPr>
          <w:b w:val="0"/>
          <w:bCs w:val="0"/>
        </w:rPr>
        <w:lastRenderedPageBreak/>
        <w:t>Table 2</w:t>
      </w:r>
      <w:r w:rsidRPr="000A184E">
        <w:rPr>
          <w:b w:val="0"/>
          <w:bCs w:val="0"/>
        </w:rPr>
        <w:t xml:space="preserve"> </w:t>
      </w:r>
      <w:r w:rsidRPr="002E243E">
        <w:br/>
        <w:t xml:space="preserve">Parties </w:t>
      </w:r>
      <w:r>
        <w:t xml:space="preserve">reporting the </w:t>
      </w:r>
      <w:r w:rsidRPr="003A2AAF">
        <w:t>most cases</w:t>
      </w:r>
      <w:r>
        <w:rPr>
          <w:rStyle w:val="FootnoteReference"/>
        </w:rPr>
        <w:footnoteReference w:id="7"/>
      </w:r>
    </w:p>
    <w:tbl>
      <w:tblPr>
        <w:tblW w:w="8307" w:type="dxa"/>
        <w:jc w:val="right"/>
        <w:tblLook w:val="04A0" w:firstRow="1" w:lastRow="0" w:firstColumn="1" w:lastColumn="0" w:noHBand="0" w:noVBand="1"/>
      </w:tblPr>
      <w:tblGrid>
        <w:gridCol w:w="4153"/>
        <w:gridCol w:w="4154"/>
      </w:tblGrid>
      <w:tr w:rsidR="006A1F5E" w:rsidRPr="00B00EB0" w14:paraId="76DFF6A6" w14:textId="77777777" w:rsidTr="00B827CE">
        <w:trPr>
          <w:trHeight w:val="57"/>
          <w:jc w:val="right"/>
        </w:trPr>
        <w:tc>
          <w:tcPr>
            <w:tcW w:w="4153" w:type="dxa"/>
            <w:tcBorders>
              <w:top w:val="single" w:sz="4" w:space="0" w:color="auto"/>
              <w:bottom w:val="single" w:sz="12" w:space="0" w:color="auto"/>
            </w:tcBorders>
            <w:noWrap/>
            <w:vAlign w:val="bottom"/>
          </w:tcPr>
          <w:p w14:paraId="4EAD31C5" w14:textId="77777777" w:rsidR="006A1F5E" w:rsidRPr="00694025" w:rsidRDefault="006A1F5E" w:rsidP="00B827CE">
            <w:pPr>
              <w:pStyle w:val="Normal-pool-Table"/>
              <w:keepNext/>
              <w:keepLines/>
              <w:spacing w:before="20" w:after="20"/>
              <w:rPr>
                <w:i/>
                <w:iCs/>
                <w:lang w:eastAsia="en-GB"/>
              </w:rPr>
            </w:pPr>
            <w:r w:rsidRPr="00694025">
              <w:rPr>
                <w:i/>
                <w:iCs/>
                <w:lang w:eastAsia="en-GB"/>
              </w:rPr>
              <w:t>Party</w:t>
            </w:r>
          </w:p>
        </w:tc>
        <w:tc>
          <w:tcPr>
            <w:tcW w:w="4154" w:type="dxa"/>
            <w:tcBorders>
              <w:top w:val="single" w:sz="4" w:space="0" w:color="auto"/>
              <w:bottom w:val="single" w:sz="12" w:space="0" w:color="auto"/>
            </w:tcBorders>
            <w:noWrap/>
            <w:vAlign w:val="bottom"/>
          </w:tcPr>
          <w:p w14:paraId="655B33D2" w14:textId="77777777" w:rsidR="006A1F5E" w:rsidRPr="00694025" w:rsidRDefault="006A1F5E" w:rsidP="00B827CE">
            <w:pPr>
              <w:pStyle w:val="Normal-pool-Table"/>
              <w:keepNext/>
              <w:keepLines/>
              <w:spacing w:before="20" w:after="20"/>
              <w:jc w:val="right"/>
              <w:rPr>
                <w:i/>
                <w:iCs/>
                <w:lang w:eastAsia="en-GB"/>
              </w:rPr>
            </w:pPr>
            <w:r w:rsidRPr="00694025">
              <w:rPr>
                <w:i/>
                <w:iCs/>
                <w:lang w:eastAsia="en-GB"/>
              </w:rPr>
              <w:t>Number of cases</w:t>
            </w:r>
          </w:p>
        </w:tc>
      </w:tr>
      <w:tr w:rsidR="006A1F5E" w:rsidRPr="00B00EB0" w14:paraId="1FD4B123" w14:textId="77777777" w:rsidTr="00B827CE">
        <w:trPr>
          <w:trHeight w:val="57"/>
          <w:jc w:val="right"/>
        </w:trPr>
        <w:tc>
          <w:tcPr>
            <w:tcW w:w="4153" w:type="dxa"/>
            <w:tcBorders>
              <w:top w:val="single" w:sz="12" w:space="0" w:color="auto"/>
            </w:tcBorders>
            <w:noWrap/>
            <w:vAlign w:val="bottom"/>
            <w:hideMark/>
          </w:tcPr>
          <w:p w14:paraId="090625B6" w14:textId="77777777" w:rsidR="006A1F5E" w:rsidRPr="00B00EB0" w:rsidRDefault="006A1F5E" w:rsidP="00B827CE">
            <w:pPr>
              <w:pStyle w:val="Normal-pool-Table"/>
              <w:keepNext/>
              <w:keepLines/>
              <w:spacing w:before="20" w:after="20"/>
              <w:rPr>
                <w:lang w:eastAsia="en-GB"/>
              </w:rPr>
            </w:pPr>
            <w:r w:rsidRPr="00B00EB0">
              <w:rPr>
                <w:color w:val="000000"/>
              </w:rPr>
              <w:t>Bulgaria</w:t>
            </w:r>
          </w:p>
        </w:tc>
        <w:tc>
          <w:tcPr>
            <w:tcW w:w="4154" w:type="dxa"/>
            <w:tcBorders>
              <w:top w:val="single" w:sz="12" w:space="0" w:color="auto"/>
            </w:tcBorders>
            <w:noWrap/>
            <w:vAlign w:val="bottom"/>
            <w:hideMark/>
          </w:tcPr>
          <w:p w14:paraId="4BE15DB4" w14:textId="77777777" w:rsidR="006A1F5E" w:rsidRPr="00B00EB0" w:rsidRDefault="006A1F5E" w:rsidP="00B827CE">
            <w:pPr>
              <w:pStyle w:val="Normal-pool-Table"/>
              <w:keepNext/>
              <w:keepLines/>
              <w:spacing w:before="20" w:after="20"/>
              <w:jc w:val="right"/>
              <w:rPr>
                <w:lang w:eastAsia="en-GB"/>
              </w:rPr>
            </w:pPr>
            <w:r w:rsidRPr="00B00EB0">
              <w:rPr>
                <w:color w:val="000000"/>
              </w:rPr>
              <w:t>23</w:t>
            </w:r>
            <w:r>
              <w:rPr>
                <w:color w:val="000000"/>
              </w:rPr>
              <w:t>9</w:t>
            </w:r>
          </w:p>
        </w:tc>
      </w:tr>
      <w:tr w:rsidR="006A1F5E" w:rsidRPr="00B00EB0" w14:paraId="302EC953" w14:textId="77777777" w:rsidTr="00B827CE">
        <w:trPr>
          <w:trHeight w:val="57"/>
          <w:jc w:val="right"/>
        </w:trPr>
        <w:tc>
          <w:tcPr>
            <w:tcW w:w="4153" w:type="dxa"/>
            <w:noWrap/>
            <w:vAlign w:val="bottom"/>
            <w:hideMark/>
          </w:tcPr>
          <w:p w14:paraId="3D9C5106" w14:textId="77777777" w:rsidR="006A1F5E" w:rsidRPr="00B00EB0" w:rsidRDefault="006A1F5E" w:rsidP="00B827CE">
            <w:pPr>
              <w:pStyle w:val="Normal-pool-Table"/>
              <w:spacing w:before="20" w:after="20"/>
              <w:rPr>
                <w:lang w:eastAsia="en-GB"/>
              </w:rPr>
            </w:pPr>
            <w:r w:rsidRPr="00B00EB0">
              <w:rPr>
                <w:color w:val="000000"/>
              </w:rPr>
              <w:t>United States of America</w:t>
            </w:r>
          </w:p>
        </w:tc>
        <w:tc>
          <w:tcPr>
            <w:tcW w:w="4154" w:type="dxa"/>
            <w:noWrap/>
            <w:vAlign w:val="bottom"/>
            <w:hideMark/>
          </w:tcPr>
          <w:p w14:paraId="30DD2DB2" w14:textId="543EC5CC" w:rsidR="006A1F5E" w:rsidRPr="00B00EB0" w:rsidRDefault="006A1F5E" w:rsidP="00B827CE">
            <w:pPr>
              <w:pStyle w:val="Normal-pool-Table"/>
              <w:spacing w:before="20" w:after="20"/>
              <w:jc w:val="right"/>
              <w:rPr>
                <w:lang w:eastAsia="en-GB"/>
              </w:rPr>
            </w:pPr>
            <w:r w:rsidRPr="00B00EB0">
              <w:rPr>
                <w:color w:val="000000"/>
              </w:rPr>
              <w:t>1</w:t>
            </w:r>
            <w:r>
              <w:rPr>
                <w:color w:val="000000"/>
              </w:rPr>
              <w:t>6</w:t>
            </w:r>
            <w:r w:rsidR="006E44B8">
              <w:rPr>
                <w:color w:val="000000"/>
              </w:rPr>
              <w:t>6</w:t>
            </w:r>
          </w:p>
        </w:tc>
      </w:tr>
      <w:tr w:rsidR="006A1F5E" w:rsidRPr="00B00EB0" w14:paraId="58CAA51A" w14:textId="77777777" w:rsidTr="00B827CE">
        <w:trPr>
          <w:trHeight w:val="57"/>
          <w:jc w:val="right"/>
        </w:trPr>
        <w:tc>
          <w:tcPr>
            <w:tcW w:w="4153" w:type="dxa"/>
            <w:noWrap/>
            <w:vAlign w:val="bottom"/>
          </w:tcPr>
          <w:p w14:paraId="0DEE4FD2" w14:textId="77777777" w:rsidR="006A1F5E" w:rsidRPr="00B00EB0" w:rsidRDefault="006A1F5E" w:rsidP="00B827CE">
            <w:pPr>
              <w:pStyle w:val="Normal-pool-Table"/>
              <w:spacing w:before="20" w:after="20"/>
              <w:rPr>
                <w:color w:val="000000"/>
              </w:rPr>
            </w:pPr>
            <w:r>
              <w:rPr>
                <w:color w:val="000000"/>
              </w:rPr>
              <w:t>Poland</w:t>
            </w:r>
          </w:p>
        </w:tc>
        <w:tc>
          <w:tcPr>
            <w:tcW w:w="4154" w:type="dxa"/>
            <w:noWrap/>
            <w:vAlign w:val="bottom"/>
          </w:tcPr>
          <w:p w14:paraId="0A78D687" w14:textId="77777777" w:rsidR="006A1F5E" w:rsidRPr="00B00EB0" w:rsidRDefault="006A1F5E" w:rsidP="00B827CE">
            <w:pPr>
              <w:pStyle w:val="Normal-pool-Table"/>
              <w:spacing w:before="20" w:after="20"/>
              <w:jc w:val="right"/>
              <w:rPr>
                <w:color w:val="000000"/>
              </w:rPr>
            </w:pPr>
            <w:r>
              <w:rPr>
                <w:color w:val="000000"/>
              </w:rPr>
              <w:t>164</w:t>
            </w:r>
          </w:p>
        </w:tc>
      </w:tr>
      <w:tr w:rsidR="006A1F5E" w:rsidRPr="00B00EB0" w14:paraId="10067E47" w14:textId="77777777" w:rsidTr="00B827CE">
        <w:trPr>
          <w:trHeight w:val="57"/>
          <w:jc w:val="right"/>
        </w:trPr>
        <w:tc>
          <w:tcPr>
            <w:tcW w:w="4153" w:type="dxa"/>
            <w:noWrap/>
            <w:vAlign w:val="bottom"/>
            <w:hideMark/>
          </w:tcPr>
          <w:p w14:paraId="712CA8CA" w14:textId="77777777" w:rsidR="006A1F5E" w:rsidRPr="00B00EB0" w:rsidRDefault="006A1F5E" w:rsidP="00B827CE">
            <w:pPr>
              <w:pStyle w:val="Normal-pool-Table"/>
              <w:spacing w:before="20" w:after="20"/>
              <w:rPr>
                <w:lang w:eastAsia="en-GB"/>
              </w:rPr>
            </w:pPr>
            <w:r w:rsidRPr="00B00EB0">
              <w:rPr>
                <w:color w:val="000000"/>
              </w:rPr>
              <w:t>Lithuania</w:t>
            </w:r>
          </w:p>
        </w:tc>
        <w:tc>
          <w:tcPr>
            <w:tcW w:w="4154" w:type="dxa"/>
            <w:noWrap/>
            <w:vAlign w:val="bottom"/>
            <w:hideMark/>
          </w:tcPr>
          <w:p w14:paraId="59543F1F" w14:textId="77777777" w:rsidR="006A1F5E" w:rsidRPr="00B00EB0" w:rsidRDefault="006A1F5E" w:rsidP="00B827CE">
            <w:pPr>
              <w:pStyle w:val="Normal-pool-Table"/>
              <w:spacing w:before="20" w:after="20"/>
              <w:jc w:val="right"/>
              <w:rPr>
                <w:lang w:eastAsia="en-GB"/>
              </w:rPr>
            </w:pPr>
            <w:r w:rsidRPr="00B00EB0">
              <w:rPr>
                <w:color w:val="000000"/>
              </w:rPr>
              <w:t>1</w:t>
            </w:r>
            <w:r>
              <w:rPr>
                <w:color w:val="000000"/>
              </w:rPr>
              <w:t>37</w:t>
            </w:r>
          </w:p>
        </w:tc>
      </w:tr>
      <w:tr w:rsidR="006A1F5E" w:rsidRPr="00B00EB0" w14:paraId="0E75425A" w14:textId="77777777" w:rsidTr="00B827CE">
        <w:trPr>
          <w:trHeight w:val="57"/>
          <w:jc w:val="right"/>
        </w:trPr>
        <w:tc>
          <w:tcPr>
            <w:tcW w:w="4153" w:type="dxa"/>
            <w:noWrap/>
            <w:vAlign w:val="bottom"/>
          </w:tcPr>
          <w:p w14:paraId="6427207D" w14:textId="77777777" w:rsidR="006A1F5E" w:rsidRPr="00B00EB0" w:rsidRDefault="006A1F5E" w:rsidP="00B827CE">
            <w:pPr>
              <w:pStyle w:val="Normal-pool-Table"/>
              <w:spacing w:before="20" w:after="20"/>
              <w:rPr>
                <w:color w:val="000000"/>
              </w:rPr>
            </w:pPr>
            <w:r>
              <w:rPr>
                <w:color w:val="000000"/>
              </w:rPr>
              <w:t>France</w:t>
            </w:r>
          </w:p>
        </w:tc>
        <w:tc>
          <w:tcPr>
            <w:tcW w:w="4154" w:type="dxa"/>
            <w:noWrap/>
            <w:vAlign w:val="bottom"/>
          </w:tcPr>
          <w:p w14:paraId="4C164C2D" w14:textId="77777777" w:rsidR="006A1F5E" w:rsidRPr="00B00EB0" w:rsidRDefault="006A1F5E" w:rsidP="00B827CE">
            <w:pPr>
              <w:pStyle w:val="Normal-pool-Table"/>
              <w:spacing w:before="20" w:after="20"/>
              <w:jc w:val="right"/>
              <w:rPr>
                <w:color w:val="000000"/>
              </w:rPr>
            </w:pPr>
            <w:r>
              <w:rPr>
                <w:color w:val="000000"/>
              </w:rPr>
              <w:t>66</w:t>
            </w:r>
          </w:p>
        </w:tc>
      </w:tr>
      <w:tr w:rsidR="006A1F5E" w:rsidRPr="00B00EB0" w14:paraId="6223F6DC" w14:textId="77777777" w:rsidTr="00B827CE">
        <w:trPr>
          <w:trHeight w:val="57"/>
          <w:jc w:val="right"/>
        </w:trPr>
        <w:tc>
          <w:tcPr>
            <w:tcW w:w="4153" w:type="dxa"/>
            <w:noWrap/>
            <w:vAlign w:val="bottom"/>
            <w:hideMark/>
          </w:tcPr>
          <w:p w14:paraId="437F2EAB" w14:textId="77777777" w:rsidR="006A1F5E" w:rsidRPr="00B00EB0" w:rsidRDefault="006A1F5E" w:rsidP="00B827CE">
            <w:pPr>
              <w:pStyle w:val="Normal-pool-Table"/>
              <w:spacing w:before="20" w:after="20"/>
              <w:rPr>
                <w:lang w:eastAsia="en-GB"/>
              </w:rPr>
            </w:pPr>
            <w:r w:rsidRPr="00B00EB0">
              <w:rPr>
                <w:color w:val="000000"/>
              </w:rPr>
              <w:t>Italy</w:t>
            </w:r>
          </w:p>
        </w:tc>
        <w:tc>
          <w:tcPr>
            <w:tcW w:w="4154" w:type="dxa"/>
            <w:noWrap/>
            <w:vAlign w:val="bottom"/>
            <w:hideMark/>
          </w:tcPr>
          <w:p w14:paraId="012E23E7" w14:textId="77777777" w:rsidR="006A1F5E" w:rsidRPr="00B00EB0" w:rsidRDefault="006A1F5E" w:rsidP="00B827CE">
            <w:pPr>
              <w:pStyle w:val="Normal-pool-Table"/>
              <w:spacing w:before="20" w:after="20"/>
              <w:jc w:val="right"/>
              <w:rPr>
                <w:lang w:eastAsia="en-GB"/>
              </w:rPr>
            </w:pPr>
            <w:r>
              <w:t>62</w:t>
            </w:r>
          </w:p>
        </w:tc>
      </w:tr>
      <w:tr w:rsidR="006A1F5E" w:rsidRPr="00B00EB0" w14:paraId="0CA5CA58" w14:textId="77777777" w:rsidTr="00B827CE">
        <w:trPr>
          <w:trHeight w:val="57"/>
          <w:jc w:val="right"/>
        </w:trPr>
        <w:tc>
          <w:tcPr>
            <w:tcW w:w="4153" w:type="dxa"/>
            <w:noWrap/>
            <w:vAlign w:val="bottom"/>
            <w:hideMark/>
          </w:tcPr>
          <w:p w14:paraId="18C23AA1" w14:textId="77777777" w:rsidR="006A1F5E" w:rsidRPr="00B00EB0" w:rsidRDefault="006A1F5E" w:rsidP="00B827CE">
            <w:pPr>
              <w:pStyle w:val="Normal-pool-Table"/>
              <w:spacing w:before="20" w:after="20"/>
              <w:rPr>
                <w:lang w:eastAsia="en-GB"/>
              </w:rPr>
            </w:pPr>
            <w:r w:rsidRPr="00B00EB0">
              <w:rPr>
                <w:color w:val="000000"/>
              </w:rPr>
              <w:t>Spain</w:t>
            </w:r>
          </w:p>
        </w:tc>
        <w:tc>
          <w:tcPr>
            <w:tcW w:w="4154" w:type="dxa"/>
            <w:noWrap/>
            <w:vAlign w:val="bottom"/>
            <w:hideMark/>
          </w:tcPr>
          <w:p w14:paraId="6E4FF639" w14:textId="77777777" w:rsidR="006A1F5E" w:rsidRPr="00B00EB0" w:rsidRDefault="006A1F5E" w:rsidP="00B827CE">
            <w:pPr>
              <w:pStyle w:val="Normal-pool-Table"/>
              <w:spacing w:before="20" w:after="20"/>
              <w:jc w:val="right"/>
              <w:rPr>
                <w:lang w:eastAsia="en-GB"/>
              </w:rPr>
            </w:pPr>
            <w:r>
              <w:t>30</w:t>
            </w:r>
          </w:p>
        </w:tc>
      </w:tr>
      <w:tr w:rsidR="006A1F5E" w:rsidRPr="00B00EB0" w14:paraId="44126750" w14:textId="77777777" w:rsidTr="00B827CE">
        <w:trPr>
          <w:trHeight w:val="57"/>
          <w:jc w:val="right"/>
        </w:trPr>
        <w:tc>
          <w:tcPr>
            <w:tcW w:w="4153" w:type="dxa"/>
            <w:noWrap/>
            <w:vAlign w:val="bottom"/>
            <w:hideMark/>
          </w:tcPr>
          <w:p w14:paraId="4F503928" w14:textId="77777777" w:rsidR="006A1F5E" w:rsidRPr="00B00EB0" w:rsidRDefault="006A1F5E" w:rsidP="00B827CE">
            <w:pPr>
              <w:pStyle w:val="Normal-pool-Table"/>
              <w:spacing w:before="20" w:after="20"/>
              <w:rPr>
                <w:lang w:eastAsia="en-GB"/>
              </w:rPr>
            </w:pPr>
            <w:r w:rsidRPr="00B00EB0">
              <w:rPr>
                <w:color w:val="000000"/>
              </w:rPr>
              <w:t>China</w:t>
            </w:r>
          </w:p>
        </w:tc>
        <w:tc>
          <w:tcPr>
            <w:tcW w:w="4154" w:type="dxa"/>
            <w:noWrap/>
            <w:vAlign w:val="bottom"/>
            <w:hideMark/>
          </w:tcPr>
          <w:p w14:paraId="53AD8D4B" w14:textId="77777777" w:rsidR="006A1F5E" w:rsidRPr="00B00EB0" w:rsidRDefault="006A1F5E" w:rsidP="00B827CE">
            <w:pPr>
              <w:pStyle w:val="Normal-pool-Table"/>
              <w:spacing w:before="20" w:after="20"/>
              <w:jc w:val="right"/>
              <w:rPr>
                <w:lang w:eastAsia="en-GB"/>
              </w:rPr>
            </w:pPr>
            <w:r w:rsidRPr="00B00EB0">
              <w:rPr>
                <w:color w:val="000000"/>
              </w:rPr>
              <w:t>16</w:t>
            </w:r>
          </w:p>
        </w:tc>
      </w:tr>
      <w:tr w:rsidR="006A1F5E" w:rsidRPr="00B00EB0" w14:paraId="01A51AE4" w14:textId="77777777" w:rsidTr="00B827CE">
        <w:trPr>
          <w:trHeight w:val="57"/>
          <w:jc w:val="right"/>
        </w:trPr>
        <w:tc>
          <w:tcPr>
            <w:tcW w:w="4153" w:type="dxa"/>
            <w:noWrap/>
            <w:vAlign w:val="bottom"/>
          </w:tcPr>
          <w:p w14:paraId="11124594" w14:textId="77777777" w:rsidR="006A1F5E" w:rsidRPr="00B00EB0" w:rsidRDefault="006A1F5E" w:rsidP="00B827CE">
            <w:pPr>
              <w:pStyle w:val="Normal-pool-Table"/>
              <w:spacing w:before="20" w:after="20"/>
              <w:rPr>
                <w:color w:val="000000"/>
              </w:rPr>
            </w:pPr>
            <w:r>
              <w:rPr>
                <w:color w:val="000000"/>
              </w:rPr>
              <w:t>Germany</w:t>
            </w:r>
          </w:p>
        </w:tc>
        <w:tc>
          <w:tcPr>
            <w:tcW w:w="4154" w:type="dxa"/>
            <w:noWrap/>
            <w:vAlign w:val="bottom"/>
          </w:tcPr>
          <w:p w14:paraId="0503E642" w14:textId="77777777" w:rsidR="006A1F5E" w:rsidRPr="00B00EB0" w:rsidRDefault="006A1F5E" w:rsidP="00B827CE">
            <w:pPr>
              <w:pStyle w:val="Normal-pool-Table"/>
              <w:spacing w:before="20" w:after="20"/>
              <w:jc w:val="right"/>
              <w:rPr>
                <w:color w:val="000000"/>
              </w:rPr>
            </w:pPr>
            <w:r>
              <w:rPr>
                <w:color w:val="000000"/>
              </w:rPr>
              <w:t>16</w:t>
            </w:r>
          </w:p>
        </w:tc>
      </w:tr>
      <w:tr w:rsidR="006A1F5E" w:rsidRPr="00B00EB0" w14:paraId="613D75BD" w14:textId="77777777" w:rsidTr="00B827CE">
        <w:trPr>
          <w:trHeight w:val="57"/>
          <w:jc w:val="right"/>
        </w:trPr>
        <w:tc>
          <w:tcPr>
            <w:tcW w:w="4153" w:type="dxa"/>
            <w:noWrap/>
            <w:vAlign w:val="bottom"/>
            <w:hideMark/>
          </w:tcPr>
          <w:p w14:paraId="3605570C" w14:textId="77777777" w:rsidR="006A1F5E" w:rsidRPr="00B00EB0" w:rsidRDefault="006A1F5E" w:rsidP="00B827CE">
            <w:pPr>
              <w:pStyle w:val="Normal-pool-Table"/>
              <w:spacing w:before="20" w:after="20"/>
              <w:rPr>
                <w:lang w:eastAsia="en-GB"/>
              </w:rPr>
            </w:pPr>
            <w:r>
              <w:rPr>
                <w:color w:val="000000"/>
              </w:rPr>
              <w:t>Seychelles</w:t>
            </w:r>
          </w:p>
        </w:tc>
        <w:tc>
          <w:tcPr>
            <w:tcW w:w="4154" w:type="dxa"/>
            <w:noWrap/>
            <w:vAlign w:val="bottom"/>
            <w:hideMark/>
          </w:tcPr>
          <w:p w14:paraId="05E94660" w14:textId="77777777" w:rsidR="006A1F5E" w:rsidRPr="00B00EB0" w:rsidRDefault="006A1F5E" w:rsidP="00B827CE">
            <w:pPr>
              <w:pStyle w:val="Normal-pool-Table"/>
              <w:spacing w:before="20" w:after="20"/>
              <w:jc w:val="right"/>
              <w:rPr>
                <w:lang w:eastAsia="en-GB"/>
              </w:rPr>
            </w:pPr>
            <w:r w:rsidRPr="00B00EB0">
              <w:rPr>
                <w:color w:val="000000"/>
              </w:rPr>
              <w:t>1</w:t>
            </w:r>
            <w:r>
              <w:rPr>
                <w:color w:val="000000"/>
              </w:rPr>
              <w:t>5</w:t>
            </w:r>
          </w:p>
        </w:tc>
      </w:tr>
      <w:tr w:rsidR="006A1F5E" w:rsidRPr="00B00EB0" w14:paraId="16D409D2" w14:textId="77777777" w:rsidTr="00B827CE">
        <w:trPr>
          <w:trHeight w:val="57"/>
          <w:jc w:val="right"/>
        </w:trPr>
        <w:tc>
          <w:tcPr>
            <w:tcW w:w="4153" w:type="dxa"/>
            <w:tcBorders>
              <w:bottom w:val="single" w:sz="4" w:space="0" w:color="auto"/>
            </w:tcBorders>
            <w:noWrap/>
            <w:vAlign w:val="bottom"/>
            <w:hideMark/>
          </w:tcPr>
          <w:p w14:paraId="0DDABB97" w14:textId="77777777" w:rsidR="006A1F5E" w:rsidRPr="00B00EB0" w:rsidRDefault="006A1F5E" w:rsidP="00B827CE">
            <w:pPr>
              <w:pStyle w:val="Normal-pool-Table"/>
              <w:spacing w:before="20" w:after="20"/>
              <w:rPr>
                <w:lang w:eastAsia="en-GB"/>
              </w:rPr>
            </w:pPr>
            <w:r>
              <w:t>Australia</w:t>
            </w:r>
          </w:p>
        </w:tc>
        <w:tc>
          <w:tcPr>
            <w:tcW w:w="4154" w:type="dxa"/>
            <w:tcBorders>
              <w:bottom w:val="single" w:sz="4" w:space="0" w:color="auto"/>
            </w:tcBorders>
            <w:noWrap/>
            <w:vAlign w:val="bottom"/>
            <w:hideMark/>
          </w:tcPr>
          <w:p w14:paraId="1B5B40DC" w14:textId="77777777" w:rsidR="006A1F5E" w:rsidRPr="00B00EB0" w:rsidRDefault="006A1F5E" w:rsidP="00B827CE">
            <w:pPr>
              <w:pStyle w:val="Normal-pool-Table"/>
              <w:spacing w:before="20" w:after="20"/>
              <w:jc w:val="right"/>
              <w:rPr>
                <w:lang w:eastAsia="en-GB"/>
              </w:rPr>
            </w:pPr>
            <w:r w:rsidRPr="00B00EB0">
              <w:rPr>
                <w:color w:val="000000"/>
              </w:rPr>
              <w:t>1</w:t>
            </w:r>
            <w:r>
              <w:rPr>
                <w:color w:val="000000"/>
              </w:rPr>
              <w:t>5</w:t>
            </w:r>
          </w:p>
        </w:tc>
      </w:tr>
      <w:tr w:rsidR="006A1F5E" w:rsidRPr="00B00EB0" w14:paraId="6051B6EA" w14:textId="77777777" w:rsidTr="00B827CE">
        <w:trPr>
          <w:trHeight w:val="57"/>
          <w:jc w:val="right"/>
        </w:trPr>
        <w:tc>
          <w:tcPr>
            <w:tcW w:w="4153" w:type="dxa"/>
            <w:tcBorders>
              <w:top w:val="single" w:sz="4" w:space="0" w:color="auto"/>
              <w:bottom w:val="single" w:sz="12" w:space="0" w:color="auto"/>
            </w:tcBorders>
            <w:noWrap/>
          </w:tcPr>
          <w:p w14:paraId="5F898538" w14:textId="77777777" w:rsidR="006A1F5E" w:rsidRPr="00B00EB0" w:rsidRDefault="006A1F5E" w:rsidP="00B827CE">
            <w:pPr>
              <w:pStyle w:val="Normal-pool-Table"/>
              <w:rPr>
                <w:b/>
                <w:bCs/>
                <w:lang w:eastAsia="en-GB"/>
              </w:rPr>
            </w:pPr>
            <w:r w:rsidRPr="00B00EB0">
              <w:rPr>
                <w:b/>
                <w:bCs/>
                <w:lang w:eastAsia="en-GB"/>
              </w:rPr>
              <w:t xml:space="preserve">Total </w:t>
            </w:r>
          </w:p>
        </w:tc>
        <w:tc>
          <w:tcPr>
            <w:tcW w:w="4154" w:type="dxa"/>
            <w:tcBorders>
              <w:top w:val="single" w:sz="4" w:space="0" w:color="auto"/>
              <w:bottom w:val="single" w:sz="12" w:space="0" w:color="auto"/>
            </w:tcBorders>
            <w:noWrap/>
          </w:tcPr>
          <w:p w14:paraId="39C89D92" w14:textId="07370F89" w:rsidR="006A1F5E" w:rsidRPr="00B00EB0" w:rsidRDefault="006A1F5E" w:rsidP="00B827CE">
            <w:pPr>
              <w:pStyle w:val="Normal-pool-Table"/>
              <w:jc w:val="right"/>
              <w:rPr>
                <w:b/>
                <w:bCs/>
                <w:lang w:eastAsia="en-GB"/>
              </w:rPr>
            </w:pPr>
            <w:r>
              <w:rPr>
                <w:b/>
                <w:bCs/>
                <w:lang w:eastAsia="en-GB"/>
              </w:rPr>
              <w:t>92</w:t>
            </w:r>
            <w:r w:rsidR="006E44B8">
              <w:rPr>
                <w:b/>
                <w:bCs/>
                <w:lang w:eastAsia="en-GB"/>
              </w:rPr>
              <w:t>6</w:t>
            </w:r>
          </w:p>
        </w:tc>
      </w:tr>
    </w:tbl>
    <w:p w14:paraId="39E316C9" w14:textId="77777777" w:rsidR="006A1F5E" w:rsidRPr="00694025" w:rsidRDefault="006A1F5E" w:rsidP="006A1F5E">
      <w:pPr>
        <w:pStyle w:val="CH2"/>
      </w:pPr>
      <w:r w:rsidRPr="00694025">
        <w:tab/>
        <w:t>C.</w:t>
      </w:r>
      <w:r w:rsidRPr="00694025">
        <w:tab/>
        <w:t>Substances and volumes</w:t>
      </w:r>
      <w:r>
        <w:t xml:space="preserve"> traded</w:t>
      </w:r>
    </w:p>
    <w:p w14:paraId="57EDE673" w14:textId="0214B6A3" w:rsidR="006A1F5E" w:rsidRPr="00C762EF" w:rsidRDefault="006A1F5E" w:rsidP="006A1F5E">
      <w:pPr>
        <w:pStyle w:val="Normalnumber"/>
        <w:tabs>
          <w:tab w:val="clear" w:pos="1247"/>
          <w:tab w:val="clear" w:pos="1814"/>
          <w:tab w:val="clear" w:pos="2381"/>
          <w:tab w:val="clear" w:pos="2948"/>
          <w:tab w:val="clear" w:pos="3515"/>
          <w:tab w:val="num" w:pos="624"/>
        </w:tabs>
      </w:pPr>
      <w:r>
        <w:t>The cases of illegal trade reported me</w:t>
      </w:r>
      <w:r w:rsidRPr="003D5D4A">
        <w:t xml:space="preserve">ntion around </w:t>
      </w:r>
      <w:r w:rsidRPr="0035602E">
        <w:t>4</w:t>
      </w:r>
      <w:r w:rsidR="00D34B46">
        <w:t>2</w:t>
      </w:r>
      <w:r w:rsidRPr="0035602E">
        <w:t xml:space="preserve"> different substances with a total weight of approximately 3.7 million kg, corresponding to emissions of</w:t>
      </w:r>
      <w:r w:rsidRPr="00584A83">
        <w:t xml:space="preserve"> approximately</w:t>
      </w:r>
      <w:r>
        <w:t xml:space="preserve"> 4.5 </w:t>
      </w:r>
      <w:r w:rsidRPr="00A16077">
        <w:t>billion carbon</w:t>
      </w:r>
      <w:r w:rsidRPr="00A16077">
        <w:noBreakHyphen/>
        <w:t>dioxide-equivalent (CO</w:t>
      </w:r>
      <w:r w:rsidRPr="00A16077">
        <w:rPr>
          <w:vertAlign w:val="subscript"/>
        </w:rPr>
        <w:t>₂</w:t>
      </w:r>
      <w:r w:rsidRPr="00A16077">
        <w:t>-</w:t>
      </w:r>
      <w:r w:rsidRPr="008D6349">
        <w:t xml:space="preserve">equivalent) </w:t>
      </w:r>
      <w:r w:rsidRPr="00C762EF">
        <w:t>ton</w:t>
      </w:r>
      <w:r w:rsidR="008D6349" w:rsidRPr="009F2289">
        <w:t>ne</w:t>
      </w:r>
      <w:r w:rsidRPr="00C762EF">
        <w:t>s. In the 32</w:t>
      </w:r>
      <w:r w:rsidR="00802FAB">
        <w:t>1</w:t>
      </w:r>
      <w:r w:rsidRPr="00C762EF">
        <w:t xml:space="preserve"> newly reported cases, the total weight of the substances is more than 751,222 kg. </w:t>
      </w:r>
    </w:p>
    <w:p w14:paraId="5CAEA3EA" w14:textId="77777777" w:rsidR="006A1F5E" w:rsidRDefault="006A1F5E" w:rsidP="006A1F5E">
      <w:pPr>
        <w:pStyle w:val="Titletable"/>
        <w:tabs>
          <w:tab w:val="clear" w:pos="1247"/>
          <w:tab w:val="left" w:pos="1134"/>
        </w:tabs>
        <w:suppressAutoHyphens w:val="0"/>
        <w:spacing w:before="240" w:after="120"/>
        <w:rPr>
          <w:vertAlign w:val="superscript"/>
        </w:rPr>
      </w:pPr>
      <w:r w:rsidRPr="002E243E">
        <w:rPr>
          <w:b w:val="0"/>
          <w:bCs w:val="0"/>
        </w:rPr>
        <w:t xml:space="preserve">Table 3 </w:t>
      </w:r>
      <w:r w:rsidRPr="002E243E">
        <w:rPr>
          <w:b w:val="0"/>
          <w:bCs w:val="0"/>
        </w:rPr>
        <w:br/>
      </w:r>
      <w:r w:rsidRPr="00CA4E2D">
        <w:t xml:space="preserve">Most common </w:t>
      </w:r>
      <w:proofErr w:type="spellStart"/>
      <w:r w:rsidRPr="00CA4E2D">
        <w:t>substances</w:t>
      </w:r>
      <w:r w:rsidRPr="00387C03">
        <w:rPr>
          <w:i/>
          <w:iCs/>
          <w:vertAlign w:val="superscript"/>
        </w:rPr>
        <w:t>a</w:t>
      </w:r>
      <w:proofErr w:type="spellEnd"/>
      <w:r w:rsidRPr="00CA4E2D">
        <w:t xml:space="preserve"> traded illegally, by number of cases reported, weight and percentage of total </w:t>
      </w:r>
      <w:proofErr w:type="spellStart"/>
      <w:r w:rsidRPr="00CA4E2D">
        <w:t>weight</w:t>
      </w:r>
      <w:r w:rsidRPr="00387C03">
        <w:rPr>
          <w:i/>
          <w:iCs/>
          <w:vertAlign w:val="superscript"/>
        </w:rPr>
        <w:t>b</w:t>
      </w:r>
      <w:proofErr w:type="spellEnd"/>
    </w:p>
    <w:tbl>
      <w:tblPr>
        <w:tblW w:w="8307" w:type="dxa"/>
        <w:jc w:val="right"/>
        <w:tblLayout w:type="fixed"/>
        <w:tblLook w:val="04A0" w:firstRow="1" w:lastRow="0" w:firstColumn="1" w:lastColumn="0" w:noHBand="0" w:noVBand="1"/>
      </w:tblPr>
      <w:tblGrid>
        <w:gridCol w:w="2268"/>
        <w:gridCol w:w="2013"/>
        <w:gridCol w:w="2013"/>
        <w:gridCol w:w="2013"/>
      </w:tblGrid>
      <w:tr w:rsidR="006A1F5E" w:rsidRPr="00160DC4" w14:paraId="602E81E7"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32D3358E" w14:textId="77777777" w:rsidR="006A1F5E" w:rsidRPr="00160DC4" w:rsidRDefault="006A1F5E" w:rsidP="00B827CE">
            <w:pPr>
              <w:pStyle w:val="Normal-pool-Table"/>
              <w:rPr>
                <w:i/>
                <w:iCs/>
                <w:szCs w:val="18"/>
                <w:lang w:eastAsia="en-GB"/>
              </w:rPr>
            </w:pPr>
            <w:r w:rsidRPr="00160DC4">
              <w:rPr>
                <w:i/>
                <w:iCs/>
                <w:szCs w:val="18"/>
                <w:lang w:eastAsia="en-GB"/>
              </w:rPr>
              <w:t>Substance</w:t>
            </w:r>
          </w:p>
        </w:tc>
        <w:tc>
          <w:tcPr>
            <w:tcW w:w="2013" w:type="dxa"/>
            <w:tcBorders>
              <w:top w:val="single" w:sz="4" w:space="0" w:color="auto"/>
              <w:left w:val="nil"/>
              <w:bottom w:val="single" w:sz="12" w:space="0" w:color="auto"/>
              <w:right w:val="nil"/>
            </w:tcBorders>
            <w:vAlign w:val="bottom"/>
          </w:tcPr>
          <w:p w14:paraId="6BBA517D" w14:textId="77777777" w:rsidR="006A1F5E" w:rsidRPr="00160DC4" w:rsidRDefault="006A1F5E" w:rsidP="00B827CE">
            <w:pPr>
              <w:pStyle w:val="Normal-pool-Table"/>
              <w:jc w:val="right"/>
              <w:rPr>
                <w:i/>
                <w:iCs/>
                <w:szCs w:val="18"/>
                <w:lang w:eastAsia="en-GB"/>
              </w:rPr>
            </w:pPr>
            <w:r w:rsidRPr="00160DC4">
              <w:rPr>
                <w:i/>
                <w:iCs/>
                <w:szCs w:val="18"/>
                <w:lang w:eastAsia="en-GB"/>
              </w:rPr>
              <w:t>Number of reported cases</w:t>
            </w:r>
          </w:p>
        </w:tc>
        <w:tc>
          <w:tcPr>
            <w:tcW w:w="2013" w:type="dxa"/>
            <w:tcBorders>
              <w:top w:val="single" w:sz="4" w:space="0" w:color="auto"/>
              <w:left w:val="nil"/>
              <w:bottom w:val="single" w:sz="12" w:space="0" w:color="auto"/>
              <w:right w:val="nil"/>
            </w:tcBorders>
            <w:noWrap/>
            <w:vAlign w:val="bottom"/>
          </w:tcPr>
          <w:p w14:paraId="65D51E7F" w14:textId="77777777" w:rsidR="006A1F5E" w:rsidRPr="00160DC4" w:rsidRDefault="006A1F5E" w:rsidP="00B827CE">
            <w:pPr>
              <w:pStyle w:val="Normal-pool-Table"/>
              <w:jc w:val="right"/>
              <w:rPr>
                <w:i/>
                <w:iCs/>
                <w:szCs w:val="18"/>
                <w:lang w:eastAsia="en-GB"/>
              </w:rPr>
            </w:pPr>
            <w:r w:rsidRPr="00160DC4">
              <w:rPr>
                <w:i/>
                <w:iCs/>
                <w:szCs w:val="18"/>
                <w:lang w:eastAsia="en-GB"/>
              </w:rPr>
              <w:t>Total weight by substance</w:t>
            </w:r>
          </w:p>
        </w:tc>
        <w:tc>
          <w:tcPr>
            <w:tcW w:w="2013" w:type="dxa"/>
            <w:tcBorders>
              <w:top w:val="single" w:sz="4" w:space="0" w:color="auto"/>
              <w:left w:val="nil"/>
              <w:bottom w:val="single" w:sz="12" w:space="0" w:color="auto"/>
              <w:right w:val="nil"/>
            </w:tcBorders>
            <w:noWrap/>
            <w:vAlign w:val="bottom"/>
          </w:tcPr>
          <w:p w14:paraId="3BFFD22B" w14:textId="77777777" w:rsidR="006A1F5E" w:rsidRPr="00160DC4" w:rsidRDefault="006A1F5E" w:rsidP="00B827CE">
            <w:pPr>
              <w:pStyle w:val="Normal-pool-Table"/>
              <w:jc w:val="right"/>
              <w:rPr>
                <w:i/>
                <w:iCs/>
                <w:szCs w:val="18"/>
                <w:lang w:eastAsia="en-GB"/>
              </w:rPr>
            </w:pPr>
            <w:r w:rsidRPr="00160DC4">
              <w:rPr>
                <w:i/>
                <w:iCs/>
                <w:szCs w:val="18"/>
                <w:lang w:eastAsia="en-GB"/>
              </w:rPr>
              <w:t xml:space="preserve">Percentage of total substance weight </w:t>
            </w:r>
          </w:p>
        </w:tc>
      </w:tr>
      <w:tr w:rsidR="006A1F5E" w:rsidRPr="00160DC4" w14:paraId="5A30C4D0" w14:textId="77777777" w:rsidTr="00B827CE">
        <w:trPr>
          <w:trHeight w:val="236"/>
          <w:jc w:val="right"/>
        </w:trPr>
        <w:tc>
          <w:tcPr>
            <w:tcW w:w="2268" w:type="dxa"/>
            <w:tcBorders>
              <w:top w:val="single" w:sz="12" w:space="0" w:color="auto"/>
              <w:left w:val="nil"/>
              <w:bottom w:val="nil"/>
              <w:right w:val="nil"/>
            </w:tcBorders>
            <w:noWrap/>
            <w:vAlign w:val="bottom"/>
            <w:hideMark/>
          </w:tcPr>
          <w:p w14:paraId="733A634A" w14:textId="77777777" w:rsidR="006A1F5E" w:rsidRPr="00160DC4" w:rsidRDefault="006A1F5E" w:rsidP="00B827CE">
            <w:pPr>
              <w:pStyle w:val="Normal-pool-Table"/>
              <w:rPr>
                <w:szCs w:val="18"/>
                <w:lang w:eastAsia="en-GB"/>
              </w:rPr>
            </w:pPr>
            <w:r w:rsidRPr="00160DC4">
              <w:rPr>
                <w:szCs w:val="18"/>
                <w:lang w:eastAsia="en-GB"/>
              </w:rPr>
              <w:t>HFC-134a</w:t>
            </w:r>
          </w:p>
        </w:tc>
        <w:tc>
          <w:tcPr>
            <w:tcW w:w="2013" w:type="dxa"/>
            <w:tcBorders>
              <w:top w:val="single" w:sz="12" w:space="0" w:color="auto"/>
              <w:left w:val="nil"/>
              <w:bottom w:val="nil"/>
              <w:right w:val="nil"/>
            </w:tcBorders>
            <w:vAlign w:val="bottom"/>
          </w:tcPr>
          <w:p w14:paraId="22000F10" w14:textId="77777777" w:rsidR="006A1F5E" w:rsidRPr="00160DC4" w:rsidRDefault="006A1F5E" w:rsidP="00B827CE">
            <w:pPr>
              <w:pStyle w:val="Normal-pool-Table"/>
              <w:jc w:val="right"/>
              <w:rPr>
                <w:szCs w:val="18"/>
                <w:lang w:eastAsia="en-GB"/>
              </w:rPr>
            </w:pPr>
            <w:r>
              <w:rPr>
                <w:szCs w:val="18"/>
                <w:lang w:eastAsia="en-GB"/>
              </w:rPr>
              <w:t>380</w:t>
            </w:r>
          </w:p>
        </w:tc>
        <w:tc>
          <w:tcPr>
            <w:tcW w:w="2013" w:type="dxa"/>
            <w:tcBorders>
              <w:top w:val="single" w:sz="12" w:space="0" w:color="auto"/>
              <w:left w:val="nil"/>
              <w:bottom w:val="nil"/>
              <w:right w:val="nil"/>
            </w:tcBorders>
            <w:noWrap/>
            <w:vAlign w:val="bottom"/>
            <w:hideMark/>
          </w:tcPr>
          <w:p w14:paraId="774E91FB" w14:textId="77777777" w:rsidR="006A1F5E" w:rsidRPr="00160DC4" w:rsidRDefault="006A1F5E" w:rsidP="00B827CE">
            <w:pPr>
              <w:pStyle w:val="Normal-pool-Table"/>
              <w:jc w:val="right"/>
              <w:rPr>
                <w:szCs w:val="18"/>
                <w:lang w:eastAsia="en-GB"/>
              </w:rPr>
            </w:pPr>
            <w:r>
              <w:rPr>
                <w:szCs w:val="18"/>
                <w:lang w:eastAsia="en-GB"/>
              </w:rPr>
              <w:t>594 201</w:t>
            </w:r>
          </w:p>
        </w:tc>
        <w:tc>
          <w:tcPr>
            <w:tcW w:w="2013" w:type="dxa"/>
            <w:tcBorders>
              <w:top w:val="single" w:sz="12" w:space="0" w:color="auto"/>
              <w:left w:val="nil"/>
              <w:bottom w:val="nil"/>
              <w:right w:val="nil"/>
            </w:tcBorders>
            <w:noWrap/>
            <w:vAlign w:val="bottom"/>
            <w:hideMark/>
          </w:tcPr>
          <w:p w14:paraId="1C433ABA" w14:textId="77777777" w:rsidR="006A1F5E" w:rsidRPr="00160DC4" w:rsidRDefault="006A1F5E" w:rsidP="00B827CE">
            <w:pPr>
              <w:pStyle w:val="Normal-pool-Table"/>
              <w:jc w:val="right"/>
              <w:rPr>
                <w:szCs w:val="18"/>
                <w:lang w:eastAsia="en-GB"/>
              </w:rPr>
            </w:pPr>
            <w:r w:rsidRPr="00160DC4">
              <w:rPr>
                <w:szCs w:val="18"/>
                <w:lang w:eastAsia="en-GB"/>
              </w:rPr>
              <w:t>1</w:t>
            </w:r>
            <w:r>
              <w:rPr>
                <w:szCs w:val="18"/>
                <w:lang w:eastAsia="en-GB"/>
              </w:rPr>
              <w:t>5.6</w:t>
            </w:r>
          </w:p>
        </w:tc>
      </w:tr>
      <w:tr w:rsidR="006A1F5E" w:rsidRPr="00160DC4" w14:paraId="39206172" w14:textId="77777777" w:rsidTr="00B827CE">
        <w:trPr>
          <w:trHeight w:val="290"/>
          <w:jc w:val="right"/>
        </w:trPr>
        <w:tc>
          <w:tcPr>
            <w:tcW w:w="2268" w:type="dxa"/>
            <w:tcBorders>
              <w:top w:val="nil"/>
              <w:left w:val="nil"/>
              <w:bottom w:val="nil"/>
              <w:right w:val="nil"/>
            </w:tcBorders>
            <w:noWrap/>
            <w:vAlign w:val="bottom"/>
            <w:hideMark/>
          </w:tcPr>
          <w:p w14:paraId="1BFB5833" w14:textId="77777777" w:rsidR="006A1F5E" w:rsidRPr="00160DC4" w:rsidRDefault="006A1F5E" w:rsidP="00B827CE">
            <w:pPr>
              <w:pStyle w:val="Normal-pool-Table"/>
              <w:rPr>
                <w:szCs w:val="18"/>
                <w:lang w:eastAsia="en-GB"/>
              </w:rPr>
            </w:pPr>
            <w:r>
              <w:rPr>
                <w:szCs w:val="18"/>
                <w:lang w:eastAsia="en-GB"/>
              </w:rPr>
              <w:t>R-404A</w:t>
            </w:r>
          </w:p>
        </w:tc>
        <w:tc>
          <w:tcPr>
            <w:tcW w:w="2013" w:type="dxa"/>
            <w:tcBorders>
              <w:top w:val="nil"/>
              <w:left w:val="nil"/>
              <w:bottom w:val="nil"/>
              <w:right w:val="nil"/>
            </w:tcBorders>
            <w:vAlign w:val="bottom"/>
          </w:tcPr>
          <w:p w14:paraId="147360F1" w14:textId="77777777" w:rsidR="006A1F5E" w:rsidRPr="00160DC4" w:rsidRDefault="006A1F5E" w:rsidP="00B827CE">
            <w:pPr>
              <w:pStyle w:val="Normal-pool-Table"/>
              <w:jc w:val="right"/>
              <w:rPr>
                <w:szCs w:val="18"/>
                <w:lang w:eastAsia="en-GB"/>
              </w:rPr>
            </w:pPr>
            <w:r>
              <w:rPr>
                <w:szCs w:val="18"/>
                <w:lang w:eastAsia="en-GB"/>
              </w:rPr>
              <w:t>215</w:t>
            </w:r>
          </w:p>
        </w:tc>
        <w:tc>
          <w:tcPr>
            <w:tcW w:w="2013" w:type="dxa"/>
            <w:tcBorders>
              <w:top w:val="nil"/>
              <w:left w:val="nil"/>
              <w:bottom w:val="nil"/>
              <w:right w:val="nil"/>
            </w:tcBorders>
            <w:noWrap/>
            <w:vAlign w:val="bottom"/>
            <w:hideMark/>
          </w:tcPr>
          <w:p w14:paraId="295AAACF" w14:textId="77777777" w:rsidR="006A1F5E" w:rsidRPr="00160DC4" w:rsidRDefault="006A1F5E" w:rsidP="00B827CE">
            <w:pPr>
              <w:pStyle w:val="Normal-pool-Table"/>
              <w:jc w:val="right"/>
              <w:rPr>
                <w:szCs w:val="18"/>
                <w:lang w:eastAsia="en-GB"/>
              </w:rPr>
            </w:pPr>
            <w:r w:rsidRPr="00160DC4">
              <w:rPr>
                <w:szCs w:val="18"/>
                <w:lang w:eastAsia="en-GB"/>
              </w:rPr>
              <w:t>3</w:t>
            </w:r>
            <w:r>
              <w:rPr>
                <w:szCs w:val="18"/>
                <w:lang w:eastAsia="en-GB"/>
              </w:rPr>
              <w:t>58 803</w:t>
            </w:r>
          </w:p>
        </w:tc>
        <w:tc>
          <w:tcPr>
            <w:tcW w:w="2013" w:type="dxa"/>
            <w:tcBorders>
              <w:top w:val="nil"/>
              <w:left w:val="nil"/>
              <w:bottom w:val="nil"/>
              <w:right w:val="nil"/>
            </w:tcBorders>
            <w:noWrap/>
            <w:vAlign w:val="bottom"/>
            <w:hideMark/>
          </w:tcPr>
          <w:p w14:paraId="165795F4" w14:textId="6FAF3998" w:rsidR="006A1F5E" w:rsidRPr="00160DC4" w:rsidRDefault="006A1F5E" w:rsidP="00B827CE">
            <w:pPr>
              <w:pStyle w:val="Normal-pool-Table"/>
              <w:jc w:val="right"/>
              <w:rPr>
                <w:szCs w:val="18"/>
                <w:lang w:eastAsia="en-GB"/>
              </w:rPr>
            </w:pPr>
            <w:r>
              <w:rPr>
                <w:szCs w:val="18"/>
                <w:lang w:eastAsia="en-GB"/>
              </w:rPr>
              <w:t>9.</w:t>
            </w:r>
            <w:r w:rsidR="007963C5">
              <w:rPr>
                <w:szCs w:val="18"/>
                <w:lang w:eastAsia="en-GB"/>
              </w:rPr>
              <w:t>5</w:t>
            </w:r>
          </w:p>
        </w:tc>
      </w:tr>
      <w:tr w:rsidR="006A1F5E" w:rsidRPr="00160DC4" w14:paraId="076CCB5E" w14:textId="77777777" w:rsidTr="00B827CE">
        <w:trPr>
          <w:trHeight w:val="290"/>
          <w:jc w:val="right"/>
        </w:trPr>
        <w:tc>
          <w:tcPr>
            <w:tcW w:w="2268" w:type="dxa"/>
            <w:tcBorders>
              <w:top w:val="nil"/>
              <w:left w:val="nil"/>
              <w:bottom w:val="nil"/>
              <w:right w:val="nil"/>
            </w:tcBorders>
            <w:noWrap/>
            <w:vAlign w:val="bottom"/>
            <w:hideMark/>
          </w:tcPr>
          <w:p w14:paraId="2A4727E9" w14:textId="77777777" w:rsidR="006A1F5E" w:rsidRPr="00160DC4" w:rsidRDefault="006A1F5E" w:rsidP="00B827CE">
            <w:pPr>
              <w:pStyle w:val="Normal-pool-Table"/>
              <w:rPr>
                <w:szCs w:val="18"/>
                <w:lang w:eastAsia="en-GB"/>
              </w:rPr>
            </w:pPr>
            <w:r>
              <w:rPr>
                <w:szCs w:val="18"/>
                <w:lang w:eastAsia="en-GB"/>
              </w:rPr>
              <w:t>R-410A</w:t>
            </w:r>
          </w:p>
        </w:tc>
        <w:tc>
          <w:tcPr>
            <w:tcW w:w="2013" w:type="dxa"/>
            <w:tcBorders>
              <w:top w:val="nil"/>
              <w:left w:val="nil"/>
              <w:bottom w:val="nil"/>
              <w:right w:val="nil"/>
            </w:tcBorders>
            <w:vAlign w:val="bottom"/>
          </w:tcPr>
          <w:p w14:paraId="06D2D2CA" w14:textId="77777777" w:rsidR="006A1F5E" w:rsidRPr="00160DC4" w:rsidRDefault="006A1F5E" w:rsidP="00B827CE">
            <w:pPr>
              <w:pStyle w:val="Normal-pool-Table"/>
              <w:jc w:val="right"/>
              <w:rPr>
                <w:szCs w:val="18"/>
                <w:lang w:eastAsia="en-GB"/>
              </w:rPr>
            </w:pPr>
            <w:r>
              <w:rPr>
                <w:szCs w:val="18"/>
                <w:lang w:eastAsia="en-GB"/>
              </w:rPr>
              <w:t>121</w:t>
            </w:r>
          </w:p>
        </w:tc>
        <w:tc>
          <w:tcPr>
            <w:tcW w:w="2013" w:type="dxa"/>
            <w:tcBorders>
              <w:top w:val="nil"/>
              <w:left w:val="nil"/>
              <w:bottom w:val="nil"/>
              <w:right w:val="nil"/>
            </w:tcBorders>
            <w:noWrap/>
            <w:vAlign w:val="bottom"/>
            <w:hideMark/>
          </w:tcPr>
          <w:p w14:paraId="60ED4B40" w14:textId="77777777" w:rsidR="006A1F5E" w:rsidRPr="00160DC4" w:rsidRDefault="006A1F5E" w:rsidP="00B827CE">
            <w:pPr>
              <w:pStyle w:val="Normal-pool-Table"/>
              <w:jc w:val="right"/>
              <w:rPr>
                <w:szCs w:val="18"/>
                <w:lang w:eastAsia="en-GB"/>
              </w:rPr>
            </w:pPr>
            <w:r>
              <w:rPr>
                <w:szCs w:val="18"/>
                <w:lang w:eastAsia="en-GB"/>
              </w:rPr>
              <w:t>441 062</w:t>
            </w:r>
          </w:p>
        </w:tc>
        <w:tc>
          <w:tcPr>
            <w:tcW w:w="2013" w:type="dxa"/>
            <w:tcBorders>
              <w:top w:val="nil"/>
              <w:left w:val="nil"/>
              <w:bottom w:val="nil"/>
              <w:right w:val="nil"/>
            </w:tcBorders>
            <w:noWrap/>
            <w:vAlign w:val="bottom"/>
            <w:hideMark/>
          </w:tcPr>
          <w:p w14:paraId="0A6CB51D" w14:textId="304166C5" w:rsidR="006A1F5E" w:rsidRPr="00160DC4" w:rsidRDefault="006A1F5E" w:rsidP="00B827CE">
            <w:pPr>
              <w:pStyle w:val="Normal-pool-Table"/>
              <w:jc w:val="right"/>
              <w:rPr>
                <w:szCs w:val="18"/>
                <w:lang w:eastAsia="en-GB"/>
              </w:rPr>
            </w:pPr>
            <w:r w:rsidRPr="00160DC4">
              <w:rPr>
                <w:szCs w:val="18"/>
                <w:lang w:eastAsia="en-GB"/>
              </w:rPr>
              <w:t>1</w:t>
            </w:r>
            <w:r>
              <w:rPr>
                <w:szCs w:val="18"/>
                <w:lang w:eastAsia="en-GB"/>
              </w:rPr>
              <w:t>1.</w:t>
            </w:r>
            <w:r w:rsidR="007963C5">
              <w:rPr>
                <w:szCs w:val="18"/>
                <w:lang w:eastAsia="en-GB"/>
              </w:rPr>
              <w:t>6</w:t>
            </w:r>
          </w:p>
        </w:tc>
      </w:tr>
      <w:tr w:rsidR="006A1F5E" w:rsidRPr="00160DC4" w14:paraId="742A9EBA" w14:textId="77777777" w:rsidTr="00B827CE">
        <w:trPr>
          <w:trHeight w:val="290"/>
          <w:jc w:val="right"/>
        </w:trPr>
        <w:tc>
          <w:tcPr>
            <w:tcW w:w="2268" w:type="dxa"/>
            <w:tcBorders>
              <w:top w:val="nil"/>
              <w:left w:val="nil"/>
              <w:bottom w:val="nil"/>
              <w:right w:val="nil"/>
            </w:tcBorders>
            <w:noWrap/>
            <w:vAlign w:val="bottom"/>
            <w:hideMark/>
          </w:tcPr>
          <w:p w14:paraId="73C2809B" w14:textId="77777777" w:rsidR="006A1F5E" w:rsidRPr="00160DC4" w:rsidRDefault="006A1F5E" w:rsidP="00B827CE">
            <w:pPr>
              <w:pStyle w:val="Normal-pool-Table"/>
              <w:rPr>
                <w:szCs w:val="18"/>
                <w:lang w:eastAsia="en-GB"/>
              </w:rPr>
            </w:pPr>
            <w:r>
              <w:rPr>
                <w:szCs w:val="18"/>
                <w:lang w:eastAsia="en-GB"/>
              </w:rPr>
              <w:t>HCFC-22</w:t>
            </w:r>
          </w:p>
        </w:tc>
        <w:tc>
          <w:tcPr>
            <w:tcW w:w="2013" w:type="dxa"/>
            <w:tcBorders>
              <w:top w:val="nil"/>
              <w:left w:val="nil"/>
              <w:bottom w:val="nil"/>
              <w:right w:val="nil"/>
            </w:tcBorders>
            <w:vAlign w:val="bottom"/>
          </w:tcPr>
          <w:p w14:paraId="07CCA1A3" w14:textId="77777777" w:rsidR="006A1F5E" w:rsidRPr="00160DC4" w:rsidRDefault="006A1F5E" w:rsidP="00B827CE">
            <w:pPr>
              <w:pStyle w:val="Normal-pool-Table"/>
              <w:jc w:val="right"/>
              <w:rPr>
                <w:szCs w:val="18"/>
                <w:lang w:eastAsia="en-GB"/>
              </w:rPr>
            </w:pPr>
            <w:r>
              <w:rPr>
                <w:szCs w:val="18"/>
                <w:lang w:eastAsia="en-GB"/>
              </w:rPr>
              <w:t>101</w:t>
            </w:r>
          </w:p>
        </w:tc>
        <w:tc>
          <w:tcPr>
            <w:tcW w:w="2013" w:type="dxa"/>
            <w:tcBorders>
              <w:top w:val="nil"/>
              <w:left w:val="nil"/>
              <w:bottom w:val="nil"/>
              <w:right w:val="nil"/>
            </w:tcBorders>
            <w:noWrap/>
            <w:vAlign w:val="bottom"/>
            <w:hideMark/>
          </w:tcPr>
          <w:p w14:paraId="5061B046" w14:textId="77777777" w:rsidR="006A1F5E" w:rsidRPr="00160DC4" w:rsidRDefault="006A1F5E" w:rsidP="00B827CE">
            <w:pPr>
              <w:pStyle w:val="Normal-pool-Table"/>
              <w:jc w:val="right"/>
              <w:rPr>
                <w:szCs w:val="18"/>
                <w:lang w:eastAsia="en-GB"/>
              </w:rPr>
            </w:pPr>
            <w:r w:rsidRPr="00160DC4">
              <w:rPr>
                <w:szCs w:val="18"/>
                <w:lang w:eastAsia="en-GB"/>
              </w:rPr>
              <w:t>3</w:t>
            </w:r>
            <w:r>
              <w:rPr>
                <w:szCs w:val="18"/>
                <w:lang w:eastAsia="en-GB"/>
              </w:rPr>
              <w:t>92 795</w:t>
            </w:r>
          </w:p>
        </w:tc>
        <w:tc>
          <w:tcPr>
            <w:tcW w:w="2013" w:type="dxa"/>
            <w:tcBorders>
              <w:top w:val="nil"/>
              <w:left w:val="nil"/>
              <w:bottom w:val="nil"/>
              <w:right w:val="nil"/>
            </w:tcBorders>
            <w:noWrap/>
            <w:vAlign w:val="bottom"/>
            <w:hideMark/>
          </w:tcPr>
          <w:p w14:paraId="4EB440E6" w14:textId="77777777" w:rsidR="006A1F5E" w:rsidRPr="00160DC4" w:rsidRDefault="006A1F5E" w:rsidP="00B827CE">
            <w:pPr>
              <w:pStyle w:val="Normal-pool-Table"/>
              <w:jc w:val="right"/>
              <w:rPr>
                <w:szCs w:val="18"/>
                <w:lang w:eastAsia="en-GB"/>
              </w:rPr>
            </w:pPr>
            <w:r w:rsidRPr="00160DC4">
              <w:rPr>
                <w:szCs w:val="18"/>
                <w:lang w:eastAsia="en-GB"/>
              </w:rPr>
              <w:t>1</w:t>
            </w:r>
            <w:r>
              <w:rPr>
                <w:szCs w:val="18"/>
                <w:lang w:eastAsia="en-GB"/>
              </w:rPr>
              <w:t>0.3</w:t>
            </w:r>
          </w:p>
        </w:tc>
      </w:tr>
      <w:tr w:rsidR="006A1F5E" w:rsidRPr="00160DC4" w14:paraId="7A4B40DA" w14:textId="77777777" w:rsidTr="00B827CE">
        <w:trPr>
          <w:trHeight w:val="290"/>
          <w:jc w:val="right"/>
        </w:trPr>
        <w:tc>
          <w:tcPr>
            <w:tcW w:w="2268" w:type="dxa"/>
            <w:tcBorders>
              <w:top w:val="nil"/>
              <w:left w:val="nil"/>
              <w:bottom w:val="nil"/>
              <w:right w:val="nil"/>
            </w:tcBorders>
            <w:noWrap/>
            <w:vAlign w:val="bottom"/>
            <w:hideMark/>
          </w:tcPr>
          <w:p w14:paraId="22184A58" w14:textId="77777777" w:rsidR="006A1F5E" w:rsidRPr="00160DC4" w:rsidRDefault="006A1F5E" w:rsidP="00B827CE">
            <w:pPr>
              <w:pStyle w:val="Normal-pool-Table"/>
              <w:rPr>
                <w:szCs w:val="18"/>
                <w:lang w:eastAsia="en-GB"/>
              </w:rPr>
            </w:pPr>
            <w:r>
              <w:rPr>
                <w:szCs w:val="18"/>
                <w:lang w:eastAsia="en-GB"/>
              </w:rPr>
              <w:t>HFC-32</w:t>
            </w:r>
          </w:p>
        </w:tc>
        <w:tc>
          <w:tcPr>
            <w:tcW w:w="2013" w:type="dxa"/>
            <w:tcBorders>
              <w:top w:val="nil"/>
              <w:left w:val="nil"/>
              <w:bottom w:val="nil"/>
              <w:right w:val="nil"/>
            </w:tcBorders>
            <w:vAlign w:val="bottom"/>
          </w:tcPr>
          <w:p w14:paraId="18E8E6B7" w14:textId="77777777" w:rsidR="006A1F5E" w:rsidRPr="00160DC4" w:rsidRDefault="006A1F5E" w:rsidP="00B827CE">
            <w:pPr>
              <w:pStyle w:val="Normal-pool-Table"/>
              <w:jc w:val="right"/>
              <w:rPr>
                <w:szCs w:val="18"/>
                <w:lang w:eastAsia="en-GB"/>
              </w:rPr>
            </w:pPr>
            <w:r>
              <w:rPr>
                <w:szCs w:val="18"/>
                <w:lang w:eastAsia="en-GB"/>
              </w:rPr>
              <w:t>52</w:t>
            </w:r>
          </w:p>
        </w:tc>
        <w:tc>
          <w:tcPr>
            <w:tcW w:w="2013" w:type="dxa"/>
            <w:tcBorders>
              <w:top w:val="nil"/>
              <w:left w:val="nil"/>
              <w:bottom w:val="nil"/>
              <w:right w:val="nil"/>
            </w:tcBorders>
            <w:noWrap/>
            <w:vAlign w:val="bottom"/>
            <w:hideMark/>
          </w:tcPr>
          <w:p w14:paraId="39E7BEAA" w14:textId="77777777" w:rsidR="006A1F5E" w:rsidRPr="00160DC4" w:rsidRDefault="006A1F5E" w:rsidP="00B827CE">
            <w:pPr>
              <w:pStyle w:val="Normal-pool-Table"/>
              <w:jc w:val="right"/>
              <w:rPr>
                <w:szCs w:val="18"/>
                <w:lang w:eastAsia="en-GB"/>
              </w:rPr>
            </w:pPr>
            <w:r>
              <w:rPr>
                <w:szCs w:val="18"/>
                <w:lang w:eastAsia="en-GB"/>
              </w:rPr>
              <w:t>62 324</w:t>
            </w:r>
          </w:p>
        </w:tc>
        <w:tc>
          <w:tcPr>
            <w:tcW w:w="2013" w:type="dxa"/>
            <w:tcBorders>
              <w:top w:val="nil"/>
              <w:left w:val="nil"/>
              <w:bottom w:val="nil"/>
              <w:right w:val="nil"/>
            </w:tcBorders>
            <w:noWrap/>
            <w:vAlign w:val="bottom"/>
            <w:hideMark/>
          </w:tcPr>
          <w:p w14:paraId="0A8A64D7" w14:textId="77777777" w:rsidR="006A1F5E" w:rsidRPr="00160DC4" w:rsidRDefault="006A1F5E" w:rsidP="00B827CE">
            <w:pPr>
              <w:pStyle w:val="Normal-pool-Table"/>
              <w:jc w:val="right"/>
              <w:rPr>
                <w:szCs w:val="18"/>
                <w:lang w:eastAsia="en-GB"/>
              </w:rPr>
            </w:pPr>
            <w:r>
              <w:rPr>
                <w:szCs w:val="18"/>
                <w:lang w:eastAsia="en-GB"/>
              </w:rPr>
              <w:t>1.6</w:t>
            </w:r>
          </w:p>
        </w:tc>
      </w:tr>
      <w:tr w:rsidR="006A1F5E" w:rsidRPr="00160DC4" w14:paraId="3613FF8F" w14:textId="77777777" w:rsidTr="00B827CE">
        <w:trPr>
          <w:trHeight w:val="290"/>
          <w:jc w:val="right"/>
        </w:trPr>
        <w:tc>
          <w:tcPr>
            <w:tcW w:w="2268" w:type="dxa"/>
            <w:tcBorders>
              <w:top w:val="nil"/>
              <w:left w:val="nil"/>
              <w:bottom w:val="nil"/>
              <w:right w:val="nil"/>
            </w:tcBorders>
            <w:noWrap/>
            <w:vAlign w:val="bottom"/>
            <w:hideMark/>
          </w:tcPr>
          <w:p w14:paraId="3403E69A" w14:textId="77777777" w:rsidR="006A1F5E" w:rsidRPr="00160DC4" w:rsidRDefault="006A1F5E" w:rsidP="00B827CE">
            <w:pPr>
              <w:pStyle w:val="Normal-pool-Table"/>
              <w:rPr>
                <w:szCs w:val="18"/>
                <w:lang w:eastAsia="en-GB"/>
              </w:rPr>
            </w:pPr>
            <w:r>
              <w:rPr>
                <w:szCs w:val="18"/>
                <w:lang w:eastAsia="en-GB"/>
              </w:rPr>
              <w:t>CFC-12</w:t>
            </w:r>
          </w:p>
        </w:tc>
        <w:tc>
          <w:tcPr>
            <w:tcW w:w="2013" w:type="dxa"/>
            <w:tcBorders>
              <w:top w:val="nil"/>
              <w:left w:val="nil"/>
              <w:bottom w:val="nil"/>
              <w:right w:val="nil"/>
            </w:tcBorders>
            <w:vAlign w:val="bottom"/>
          </w:tcPr>
          <w:p w14:paraId="14B28215" w14:textId="77777777" w:rsidR="006A1F5E" w:rsidRPr="00160DC4" w:rsidRDefault="006A1F5E" w:rsidP="00B827CE">
            <w:pPr>
              <w:pStyle w:val="Normal-pool-Table"/>
              <w:jc w:val="right"/>
              <w:rPr>
                <w:szCs w:val="18"/>
                <w:lang w:eastAsia="en-GB"/>
              </w:rPr>
            </w:pPr>
            <w:r>
              <w:rPr>
                <w:szCs w:val="18"/>
                <w:lang w:eastAsia="en-GB"/>
              </w:rPr>
              <w:t>42</w:t>
            </w:r>
          </w:p>
        </w:tc>
        <w:tc>
          <w:tcPr>
            <w:tcW w:w="2013" w:type="dxa"/>
            <w:tcBorders>
              <w:top w:val="nil"/>
              <w:left w:val="nil"/>
              <w:bottom w:val="nil"/>
              <w:right w:val="nil"/>
            </w:tcBorders>
            <w:noWrap/>
            <w:vAlign w:val="bottom"/>
            <w:hideMark/>
          </w:tcPr>
          <w:p w14:paraId="1F3514D5" w14:textId="77777777" w:rsidR="006A1F5E" w:rsidRPr="00160DC4" w:rsidRDefault="006A1F5E" w:rsidP="00B827CE">
            <w:pPr>
              <w:pStyle w:val="Normal-pool-Table"/>
              <w:jc w:val="right"/>
              <w:rPr>
                <w:szCs w:val="18"/>
                <w:lang w:eastAsia="en-GB"/>
              </w:rPr>
            </w:pPr>
            <w:r>
              <w:rPr>
                <w:szCs w:val="18"/>
                <w:lang w:eastAsia="en-GB"/>
              </w:rPr>
              <w:t>340 815</w:t>
            </w:r>
          </w:p>
        </w:tc>
        <w:tc>
          <w:tcPr>
            <w:tcW w:w="2013" w:type="dxa"/>
            <w:tcBorders>
              <w:top w:val="nil"/>
              <w:left w:val="nil"/>
              <w:bottom w:val="nil"/>
              <w:right w:val="nil"/>
            </w:tcBorders>
            <w:noWrap/>
            <w:vAlign w:val="bottom"/>
            <w:hideMark/>
          </w:tcPr>
          <w:p w14:paraId="526CE181" w14:textId="77777777" w:rsidR="006A1F5E" w:rsidRPr="00160DC4" w:rsidRDefault="006A1F5E" w:rsidP="00B827CE">
            <w:pPr>
              <w:pStyle w:val="Normal-pool-Table"/>
              <w:jc w:val="right"/>
              <w:rPr>
                <w:szCs w:val="18"/>
                <w:lang w:eastAsia="en-GB"/>
              </w:rPr>
            </w:pPr>
            <w:r>
              <w:rPr>
                <w:szCs w:val="18"/>
                <w:lang w:eastAsia="en-GB"/>
              </w:rPr>
              <w:t>8.9</w:t>
            </w:r>
          </w:p>
        </w:tc>
      </w:tr>
      <w:tr w:rsidR="006A1F5E" w:rsidRPr="00160DC4" w14:paraId="69189CDA" w14:textId="77777777" w:rsidTr="00B827CE">
        <w:trPr>
          <w:trHeight w:val="290"/>
          <w:jc w:val="right"/>
        </w:trPr>
        <w:tc>
          <w:tcPr>
            <w:tcW w:w="2268" w:type="dxa"/>
            <w:tcBorders>
              <w:top w:val="nil"/>
              <w:left w:val="nil"/>
              <w:bottom w:val="nil"/>
              <w:right w:val="nil"/>
            </w:tcBorders>
            <w:noWrap/>
            <w:vAlign w:val="bottom"/>
            <w:hideMark/>
          </w:tcPr>
          <w:p w14:paraId="383FE7CB" w14:textId="77777777" w:rsidR="006A1F5E" w:rsidRPr="00160DC4" w:rsidRDefault="006A1F5E" w:rsidP="00B827CE">
            <w:pPr>
              <w:pStyle w:val="Normal-pool-Table"/>
              <w:rPr>
                <w:szCs w:val="18"/>
                <w:lang w:eastAsia="en-GB"/>
              </w:rPr>
            </w:pPr>
            <w:r>
              <w:rPr>
                <w:szCs w:val="18"/>
                <w:lang w:eastAsia="en-GB"/>
              </w:rPr>
              <w:t>R-407C</w:t>
            </w:r>
          </w:p>
        </w:tc>
        <w:tc>
          <w:tcPr>
            <w:tcW w:w="2013" w:type="dxa"/>
            <w:tcBorders>
              <w:top w:val="nil"/>
              <w:left w:val="nil"/>
              <w:bottom w:val="nil"/>
              <w:right w:val="nil"/>
            </w:tcBorders>
            <w:vAlign w:val="bottom"/>
          </w:tcPr>
          <w:p w14:paraId="06AC1E3B" w14:textId="77777777" w:rsidR="006A1F5E" w:rsidRPr="00160DC4" w:rsidRDefault="006A1F5E" w:rsidP="00B827CE">
            <w:pPr>
              <w:pStyle w:val="Normal-pool-Table"/>
              <w:jc w:val="right"/>
              <w:rPr>
                <w:szCs w:val="18"/>
                <w:lang w:eastAsia="en-GB"/>
              </w:rPr>
            </w:pPr>
            <w:r w:rsidRPr="00160DC4">
              <w:rPr>
                <w:szCs w:val="18"/>
                <w:lang w:eastAsia="en-GB"/>
              </w:rPr>
              <w:t>3</w:t>
            </w:r>
            <w:r>
              <w:rPr>
                <w:szCs w:val="18"/>
                <w:lang w:eastAsia="en-GB"/>
              </w:rPr>
              <w:t>2</w:t>
            </w:r>
          </w:p>
        </w:tc>
        <w:tc>
          <w:tcPr>
            <w:tcW w:w="2013" w:type="dxa"/>
            <w:tcBorders>
              <w:top w:val="nil"/>
              <w:left w:val="nil"/>
              <w:bottom w:val="nil"/>
              <w:right w:val="nil"/>
            </w:tcBorders>
            <w:noWrap/>
            <w:vAlign w:val="bottom"/>
            <w:hideMark/>
          </w:tcPr>
          <w:p w14:paraId="14107BDA" w14:textId="77777777" w:rsidR="006A1F5E" w:rsidRPr="00160DC4" w:rsidRDefault="006A1F5E" w:rsidP="00B827CE">
            <w:pPr>
              <w:pStyle w:val="Normal-pool-Table"/>
              <w:jc w:val="right"/>
              <w:rPr>
                <w:szCs w:val="18"/>
                <w:lang w:eastAsia="en-GB"/>
              </w:rPr>
            </w:pPr>
            <w:r>
              <w:rPr>
                <w:szCs w:val="18"/>
                <w:lang w:eastAsia="en-GB"/>
              </w:rPr>
              <w:t>66 372</w:t>
            </w:r>
          </w:p>
        </w:tc>
        <w:tc>
          <w:tcPr>
            <w:tcW w:w="2013" w:type="dxa"/>
            <w:tcBorders>
              <w:top w:val="nil"/>
              <w:left w:val="nil"/>
              <w:bottom w:val="nil"/>
              <w:right w:val="nil"/>
            </w:tcBorders>
            <w:noWrap/>
            <w:vAlign w:val="bottom"/>
            <w:hideMark/>
          </w:tcPr>
          <w:p w14:paraId="576C196F" w14:textId="77777777" w:rsidR="006A1F5E" w:rsidRPr="00160DC4" w:rsidRDefault="006A1F5E" w:rsidP="00B827CE">
            <w:pPr>
              <w:pStyle w:val="Normal-pool-Table"/>
              <w:jc w:val="right"/>
              <w:rPr>
                <w:szCs w:val="18"/>
                <w:lang w:eastAsia="en-GB"/>
              </w:rPr>
            </w:pPr>
            <w:r>
              <w:rPr>
                <w:szCs w:val="18"/>
                <w:lang w:eastAsia="en-GB"/>
              </w:rPr>
              <w:t>1.7</w:t>
            </w:r>
          </w:p>
        </w:tc>
      </w:tr>
      <w:tr w:rsidR="006A1F5E" w:rsidRPr="00160DC4" w14:paraId="14D86030" w14:textId="77777777" w:rsidTr="00B827CE">
        <w:trPr>
          <w:trHeight w:val="290"/>
          <w:jc w:val="right"/>
        </w:trPr>
        <w:tc>
          <w:tcPr>
            <w:tcW w:w="2268" w:type="dxa"/>
            <w:tcBorders>
              <w:top w:val="nil"/>
              <w:left w:val="nil"/>
              <w:bottom w:val="nil"/>
              <w:right w:val="nil"/>
            </w:tcBorders>
            <w:noWrap/>
            <w:vAlign w:val="bottom"/>
            <w:hideMark/>
          </w:tcPr>
          <w:p w14:paraId="704635C1" w14:textId="77777777" w:rsidR="006A1F5E" w:rsidRPr="00160DC4" w:rsidRDefault="006A1F5E" w:rsidP="00B827CE">
            <w:pPr>
              <w:pStyle w:val="Normal-pool-Table"/>
              <w:rPr>
                <w:szCs w:val="18"/>
                <w:lang w:eastAsia="en-GB"/>
              </w:rPr>
            </w:pPr>
            <w:r w:rsidRPr="00160DC4">
              <w:rPr>
                <w:szCs w:val="18"/>
                <w:lang w:eastAsia="en-GB"/>
              </w:rPr>
              <w:t>H</w:t>
            </w:r>
            <w:r>
              <w:rPr>
                <w:szCs w:val="18"/>
                <w:lang w:eastAsia="en-GB"/>
              </w:rPr>
              <w:t>FCs (unspecified)</w:t>
            </w:r>
          </w:p>
        </w:tc>
        <w:tc>
          <w:tcPr>
            <w:tcW w:w="2013" w:type="dxa"/>
            <w:tcBorders>
              <w:top w:val="nil"/>
              <w:left w:val="nil"/>
              <w:bottom w:val="nil"/>
              <w:right w:val="nil"/>
            </w:tcBorders>
            <w:vAlign w:val="bottom"/>
          </w:tcPr>
          <w:p w14:paraId="50890FCB" w14:textId="77777777" w:rsidR="006A1F5E" w:rsidRPr="00160DC4" w:rsidRDefault="006A1F5E" w:rsidP="00B827CE">
            <w:pPr>
              <w:pStyle w:val="Normal-pool-Table"/>
              <w:jc w:val="right"/>
              <w:rPr>
                <w:szCs w:val="18"/>
                <w:lang w:eastAsia="en-GB"/>
              </w:rPr>
            </w:pPr>
            <w:r>
              <w:rPr>
                <w:szCs w:val="18"/>
                <w:lang w:eastAsia="en-GB"/>
              </w:rPr>
              <w:t>22</w:t>
            </w:r>
          </w:p>
        </w:tc>
        <w:tc>
          <w:tcPr>
            <w:tcW w:w="2013" w:type="dxa"/>
            <w:tcBorders>
              <w:top w:val="nil"/>
              <w:left w:val="nil"/>
              <w:bottom w:val="nil"/>
              <w:right w:val="nil"/>
            </w:tcBorders>
            <w:noWrap/>
            <w:vAlign w:val="bottom"/>
            <w:hideMark/>
          </w:tcPr>
          <w:p w14:paraId="352FC121" w14:textId="77777777" w:rsidR="006A1F5E" w:rsidRPr="00160DC4" w:rsidRDefault="006A1F5E" w:rsidP="00B827CE">
            <w:pPr>
              <w:pStyle w:val="Normal-pool-Table"/>
              <w:jc w:val="right"/>
              <w:rPr>
                <w:szCs w:val="18"/>
                <w:lang w:eastAsia="en-GB"/>
              </w:rPr>
            </w:pPr>
            <w:r>
              <w:rPr>
                <w:szCs w:val="18"/>
                <w:lang w:eastAsia="en-GB"/>
              </w:rPr>
              <w:t>369 423</w:t>
            </w:r>
          </w:p>
        </w:tc>
        <w:tc>
          <w:tcPr>
            <w:tcW w:w="2013" w:type="dxa"/>
            <w:tcBorders>
              <w:top w:val="nil"/>
              <w:left w:val="nil"/>
              <w:bottom w:val="nil"/>
              <w:right w:val="nil"/>
            </w:tcBorders>
            <w:noWrap/>
            <w:vAlign w:val="bottom"/>
            <w:hideMark/>
          </w:tcPr>
          <w:p w14:paraId="0410D56D" w14:textId="77777777" w:rsidR="006A1F5E" w:rsidRPr="00160DC4" w:rsidRDefault="006A1F5E" w:rsidP="00B827CE">
            <w:pPr>
              <w:pStyle w:val="Normal-pool-Table"/>
              <w:jc w:val="right"/>
              <w:rPr>
                <w:szCs w:val="18"/>
                <w:lang w:eastAsia="en-GB"/>
              </w:rPr>
            </w:pPr>
            <w:r>
              <w:rPr>
                <w:szCs w:val="18"/>
                <w:lang w:eastAsia="en-GB"/>
              </w:rPr>
              <w:t>9.7</w:t>
            </w:r>
          </w:p>
        </w:tc>
      </w:tr>
      <w:tr w:rsidR="006A1F5E" w:rsidRPr="00160DC4" w14:paraId="2ECB9D05" w14:textId="77777777" w:rsidTr="00B827CE">
        <w:trPr>
          <w:trHeight w:val="290"/>
          <w:jc w:val="right"/>
        </w:trPr>
        <w:tc>
          <w:tcPr>
            <w:tcW w:w="2268" w:type="dxa"/>
            <w:tcBorders>
              <w:top w:val="nil"/>
              <w:left w:val="nil"/>
              <w:right w:val="nil"/>
            </w:tcBorders>
            <w:noWrap/>
            <w:vAlign w:val="bottom"/>
            <w:hideMark/>
          </w:tcPr>
          <w:p w14:paraId="4BEEBDA5" w14:textId="77777777" w:rsidR="006A1F5E" w:rsidRPr="00160DC4" w:rsidRDefault="006A1F5E" w:rsidP="00B827CE">
            <w:pPr>
              <w:pStyle w:val="Normal-pool-Table"/>
              <w:rPr>
                <w:szCs w:val="18"/>
                <w:lang w:eastAsia="en-GB"/>
              </w:rPr>
            </w:pPr>
            <w:r>
              <w:rPr>
                <w:szCs w:val="18"/>
                <w:lang w:eastAsia="en-GB"/>
              </w:rPr>
              <w:t>R-507A</w:t>
            </w:r>
          </w:p>
        </w:tc>
        <w:tc>
          <w:tcPr>
            <w:tcW w:w="2013" w:type="dxa"/>
            <w:tcBorders>
              <w:top w:val="nil"/>
              <w:left w:val="nil"/>
              <w:right w:val="nil"/>
            </w:tcBorders>
            <w:vAlign w:val="bottom"/>
          </w:tcPr>
          <w:p w14:paraId="20EE433A" w14:textId="77777777" w:rsidR="006A1F5E" w:rsidRPr="00160DC4" w:rsidRDefault="006A1F5E" w:rsidP="00B827CE">
            <w:pPr>
              <w:pStyle w:val="Normal-pool-Table"/>
              <w:jc w:val="right"/>
              <w:rPr>
                <w:szCs w:val="18"/>
                <w:lang w:eastAsia="en-GB"/>
              </w:rPr>
            </w:pPr>
            <w:r>
              <w:rPr>
                <w:szCs w:val="18"/>
                <w:lang w:eastAsia="en-GB"/>
              </w:rPr>
              <w:t>19</w:t>
            </w:r>
          </w:p>
        </w:tc>
        <w:tc>
          <w:tcPr>
            <w:tcW w:w="2013" w:type="dxa"/>
            <w:tcBorders>
              <w:top w:val="nil"/>
              <w:left w:val="nil"/>
              <w:right w:val="nil"/>
            </w:tcBorders>
            <w:noWrap/>
            <w:vAlign w:val="bottom"/>
            <w:hideMark/>
          </w:tcPr>
          <w:p w14:paraId="6F95CB34" w14:textId="77777777" w:rsidR="006A1F5E" w:rsidRPr="00160DC4" w:rsidRDefault="006A1F5E" w:rsidP="00B827CE">
            <w:pPr>
              <w:pStyle w:val="Normal-pool-Table"/>
              <w:jc w:val="right"/>
              <w:rPr>
                <w:szCs w:val="18"/>
                <w:lang w:eastAsia="en-GB"/>
              </w:rPr>
            </w:pPr>
            <w:r>
              <w:rPr>
                <w:szCs w:val="18"/>
                <w:lang w:eastAsia="en-GB"/>
              </w:rPr>
              <w:t>136 502</w:t>
            </w:r>
          </w:p>
        </w:tc>
        <w:tc>
          <w:tcPr>
            <w:tcW w:w="2013" w:type="dxa"/>
            <w:tcBorders>
              <w:top w:val="nil"/>
              <w:left w:val="nil"/>
              <w:right w:val="nil"/>
            </w:tcBorders>
            <w:noWrap/>
            <w:vAlign w:val="bottom"/>
            <w:hideMark/>
          </w:tcPr>
          <w:p w14:paraId="60A18080" w14:textId="77777777" w:rsidR="006A1F5E" w:rsidRPr="00160DC4" w:rsidRDefault="006A1F5E" w:rsidP="00B827CE">
            <w:pPr>
              <w:pStyle w:val="Normal-pool-Table"/>
              <w:jc w:val="right"/>
              <w:rPr>
                <w:szCs w:val="18"/>
                <w:lang w:eastAsia="en-GB"/>
              </w:rPr>
            </w:pPr>
            <w:r>
              <w:rPr>
                <w:szCs w:val="18"/>
                <w:lang w:eastAsia="en-GB"/>
              </w:rPr>
              <w:t>3.6</w:t>
            </w:r>
          </w:p>
        </w:tc>
      </w:tr>
      <w:tr w:rsidR="006A1F5E" w:rsidRPr="00160DC4" w14:paraId="784B33B9" w14:textId="77777777" w:rsidTr="00B827CE">
        <w:trPr>
          <w:trHeight w:val="290"/>
          <w:jc w:val="right"/>
        </w:trPr>
        <w:tc>
          <w:tcPr>
            <w:tcW w:w="2268" w:type="dxa"/>
            <w:tcBorders>
              <w:top w:val="nil"/>
              <w:left w:val="nil"/>
              <w:bottom w:val="single" w:sz="4" w:space="0" w:color="auto"/>
              <w:right w:val="nil"/>
            </w:tcBorders>
            <w:noWrap/>
            <w:vAlign w:val="bottom"/>
            <w:hideMark/>
          </w:tcPr>
          <w:p w14:paraId="54539F95" w14:textId="77777777" w:rsidR="006A1F5E" w:rsidRPr="00160DC4" w:rsidRDefault="006A1F5E" w:rsidP="00B827CE">
            <w:pPr>
              <w:pStyle w:val="Normal-pool-Table"/>
              <w:rPr>
                <w:szCs w:val="18"/>
                <w:lang w:eastAsia="en-GB"/>
              </w:rPr>
            </w:pPr>
            <w:r>
              <w:rPr>
                <w:szCs w:val="18"/>
                <w:lang w:eastAsia="en-GB"/>
              </w:rPr>
              <w:t>HFC-125</w:t>
            </w:r>
          </w:p>
        </w:tc>
        <w:tc>
          <w:tcPr>
            <w:tcW w:w="2013" w:type="dxa"/>
            <w:tcBorders>
              <w:top w:val="nil"/>
              <w:left w:val="nil"/>
              <w:bottom w:val="single" w:sz="4" w:space="0" w:color="auto"/>
              <w:right w:val="nil"/>
            </w:tcBorders>
            <w:vAlign w:val="bottom"/>
          </w:tcPr>
          <w:p w14:paraId="271DFE02" w14:textId="77777777" w:rsidR="006A1F5E" w:rsidRPr="00160DC4" w:rsidRDefault="006A1F5E" w:rsidP="00B827CE">
            <w:pPr>
              <w:pStyle w:val="Normal-pool-Table"/>
              <w:jc w:val="right"/>
              <w:rPr>
                <w:szCs w:val="18"/>
                <w:lang w:eastAsia="en-GB"/>
              </w:rPr>
            </w:pPr>
            <w:r w:rsidRPr="00160DC4">
              <w:rPr>
                <w:szCs w:val="18"/>
                <w:lang w:eastAsia="en-GB"/>
              </w:rPr>
              <w:t>1</w:t>
            </w:r>
            <w:r>
              <w:rPr>
                <w:szCs w:val="18"/>
                <w:lang w:eastAsia="en-GB"/>
              </w:rPr>
              <w:t>1</w:t>
            </w:r>
          </w:p>
        </w:tc>
        <w:tc>
          <w:tcPr>
            <w:tcW w:w="2013" w:type="dxa"/>
            <w:tcBorders>
              <w:top w:val="nil"/>
              <w:left w:val="nil"/>
              <w:bottom w:val="single" w:sz="4" w:space="0" w:color="auto"/>
              <w:right w:val="nil"/>
            </w:tcBorders>
            <w:noWrap/>
            <w:vAlign w:val="bottom"/>
            <w:hideMark/>
          </w:tcPr>
          <w:p w14:paraId="44A65543" w14:textId="77777777" w:rsidR="006A1F5E" w:rsidRPr="00160DC4" w:rsidRDefault="006A1F5E" w:rsidP="00B827CE">
            <w:pPr>
              <w:pStyle w:val="Normal-pool-Table"/>
              <w:jc w:val="right"/>
              <w:rPr>
                <w:szCs w:val="18"/>
                <w:lang w:eastAsia="en-GB"/>
              </w:rPr>
            </w:pPr>
            <w:r>
              <w:rPr>
                <w:szCs w:val="18"/>
                <w:lang w:eastAsia="en-GB"/>
              </w:rPr>
              <w:t>57 756</w:t>
            </w:r>
          </w:p>
        </w:tc>
        <w:tc>
          <w:tcPr>
            <w:tcW w:w="2013" w:type="dxa"/>
            <w:tcBorders>
              <w:top w:val="nil"/>
              <w:left w:val="nil"/>
              <w:bottom w:val="single" w:sz="4" w:space="0" w:color="auto"/>
              <w:right w:val="nil"/>
            </w:tcBorders>
            <w:noWrap/>
            <w:vAlign w:val="bottom"/>
            <w:hideMark/>
          </w:tcPr>
          <w:p w14:paraId="3C21D092" w14:textId="77777777" w:rsidR="006A1F5E" w:rsidRPr="00160DC4" w:rsidRDefault="006A1F5E" w:rsidP="00B827CE">
            <w:pPr>
              <w:pStyle w:val="Normal-pool-Table"/>
              <w:jc w:val="right"/>
              <w:rPr>
                <w:szCs w:val="18"/>
                <w:lang w:eastAsia="en-GB"/>
              </w:rPr>
            </w:pPr>
            <w:r>
              <w:rPr>
                <w:szCs w:val="18"/>
                <w:lang w:eastAsia="en-GB"/>
              </w:rPr>
              <w:t>1.5</w:t>
            </w:r>
          </w:p>
        </w:tc>
      </w:tr>
      <w:tr w:rsidR="006A1F5E" w:rsidRPr="00160DC4" w14:paraId="1A1F7B50"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780C335E" w14:textId="77777777" w:rsidR="006A1F5E" w:rsidRPr="0044728F" w:rsidRDefault="006A1F5E" w:rsidP="00B827CE">
            <w:pPr>
              <w:pStyle w:val="Normal-pool-Table"/>
              <w:rPr>
                <w:b/>
                <w:bCs/>
                <w:szCs w:val="18"/>
                <w:lang w:eastAsia="en-GB"/>
              </w:rPr>
            </w:pPr>
            <w:r w:rsidRPr="004F6467">
              <w:rPr>
                <w:b/>
                <w:bCs/>
                <w:lang w:eastAsia="en-GB"/>
              </w:rPr>
              <w:t>Total</w:t>
            </w:r>
          </w:p>
        </w:tc>
        <w:tc>
          <w:tcPr>
            <w:tcW w:w="2013" w:type="dxa"/>
            <w:tcBorders>
              <w:top w:val="single" w:sz="4" w:space="0" w:color="auto"/>
              <w:left w:val="nil"/>
              <w:bottom w:val="single" w:sz="12" w:space="0" w:color="auto"/>
              <w:right w:val="nil"/>
            </w:tcBorders>
          </w:tcPr>
          <w:p w14:paraId="071BA466" w14:textId="77777777" w:rsidR="006A1F5E" w:rsidRPr="0044728F" w:rsidRDefault="006A1F5E" w:rsidP="00B827CE">
            <w:pPr>
              <w:pStyle w:val="Normal-pool-Table"/>
              <w:jc w:val="right"/>
              <w:rPr>
                <w:b/>
                <w:bCs/>
                <w:szCs w:val="18"/>
                <w:lang w:eastAsia="en-GB"/>
              </w:rPr>
            </w:pPr>
            <w:r w:rsidRPr="0044728F">
              <w:rPr>
                <w:b/>
                <w:bCs/>
              </w:rPr>
              <w:t>995</w:t>
            </w:r>
          </w:p>
        </w:tc>
        <w:tc>
          <w:tcPr>
            <w:tcW w:w="2013" w:type="dxa"/>
            <w:tcBorders>
              <w:top w:val="single" w:sz="4" w:space="0" w:color="auto"/>
              <w:left w:val="nil"/>
              <w:bottom w:val="single" w:sz="12" w:space="0" w:color="auto"/>
              <w:right w:val="nil"/>
            </w:tcBorders>
            <w:noWrap/>
          </w:tcPr>
          <w:p w14:paraId="4A7E8B49" w14:textId="08A6C771" w:rsidR="006A1F5E" w:rsidRPr="0044728F" w:rsidRDefault="006A1F5E" w:rsidP="00B827CE">
            <w:pPr>
              <w:pStyle w:val="Normal-pool-Table"/>
              <w:jc w:val="right"/>
              <w:rPr>
                <w:b/>
                <w:bCs/>
                <w:szCs w:val="18"/>
                <w:lang w:eastAsia="en-GB"/>
              </w:rPr>
            </w:pPr>
            <w:r w:rsidRPr="0044728F">
              <w:rPr>
                <w:b/>
                <w:bCs/>
              </w:rPr>
              <w:t>2</w:t>
            </w:r>
            <w:r w:rsidR="00842776">
              <w:rPr>
                <w:b/>
                <w:bCs/>
              </w:rPr>
              <w:t xml:space="preserve"> </w:t>
            </w:r>
            <w:r w:rsidRPr="0044728F">
              <w:rPr>
                <w:b/>
                <w:bCs/>
              </w:rPr>
              <w:t>820</w:t>
            </w:r>
            <w:r w:rsidR="00842776">
              <w:rPr>
                <w:b/>
                <w:bCs/>
              </w:rPr>
              <w:t xml:space="preserve"> </w:t>
            </w:r>
            <w:r w:rsidRPr="0044728F">
              <w:rPr>
                <w:b/>
                <w:bCs/>
              </w:rPr>
              <w:t>053</w:t>
            </w:r>
          </w:p>
        </w:tc>
        <w:tc>
          <w:tcPr>
            <w:tcW w:w="2013" w:type="dxa"/>
            <w:tcBorders>
              <w:top w:val="single" w:sz="4" w:space="0" w:color="auto"/>
              <w:left w:val="nil"/>
              <w:bottom w:val="single" w:sz="12" w:space="0" w:color="auto"/>
              <w:right w:val="nil"/>
            </w:tcBorders>
            <w:noWrap/>
          </w:tcPr>
          <w:p w14:paraId="73B24C21" w14:textId="5CD50AAE" w:rsidR="006A1F5E" w:rsidRPr="0044728F" w:rsidRDefault="006A1F5E" w:rsidP="00B827CE">
            <w:pPr>
              <w:pStyle w:val="Normal-pool-Table"/>
              <w:jc w:val="right"/>
              <w:rPr>
                <w:b/>
                <w:bCs/>
                <w:szCs w:val="18"/>
                <w:lang w:eastAsia="en-GB"/>
              </w:rPr>
            </w:pPr>
            <w:r w:rsidRPr="0044728F">
              <w:rPr>
                <w:b/>
                <w:bCs/>
              </w:rPr>
              <w:t>7</w:t>
            </w:r>
            <w:r w:rsidR="00C70F49">
              <w:rPr>
                <w:b/>
                <w:bCs/>
              </w:rPr>
              <w:t>4</w:t>
            </w:r>
          </w:p>
        </w:tc>
      </w:tr>
    </w:tbl>
    <w:p w14:paraId="44CA6023" w14:textId="77777777" w:rsidR="006A1F5E" w:rsidRPr="00387C03" w:rsidRDefault="006A1F5E" w:rsidP="006A1F5E">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ind w:left="1247"/>
        <w:rPr>
          <w:sz w:val="17"/>
          <w:szCs w:val="17"/>
        </w:rPr>
      </w:pPr>
      <w:r w:rsidRPr="00387C03">
        <w:rPr>
          <w:sz w:val="17"/>
          <w:szCs w:val="17"/>
          <w:vertAlign w:val="superscript"/>
        </w:rPr>
        <w:tab/>
      </w:r>
      <w:proofErr w:type="spellStart"/>
      <w:r w:rsidRPr="00387C03">
        <w:rPr>
          <w:i/>
          <w:iCs/>
          <w:sz w:val="17"/>
          <w:szCs w:val="17"/>
          <w:vertAlign w:val="superscript"/>
        </w:rPr>
        <w:t>a</w:t>
      </w:r>
      <w:proofErr w:type="spellEnd"/>
      <w:r w:rsidRPr="00387C03">
        <w:rPr>
          <w:sz w:val="17"/>
          <w:szCs w:val="17"/>
        </w:rPr>
        <w:t xml:space="preserve"> </w:t>
      </w:r>
      <w:proofErr w:type="gramStart"/>
      <w:r w:rsidRPr="00387C03">
        <w:rPr>
          <w:sz w:val="17"/>
          <w:szCs w:val="17"/>
        </w:rPr>
        <w:t>All pure</w:t>
      </w:r>
      <w:proofErr w:type="gramEnd"/>
      <w:r w:rsidRPr="00387C03">
        <w:rPr>
          <w:sz w:val="17"/>
          <w:szCs w:val="17"/>
        </w:rPr>
        <w:t xml:space="preserve"> substances are indicated by their chemical type, such as HCFC (hydrochlorofluorocarbon) or HFC (hydrofluorocarbon), and blends/mixtures are identified by their designation using the “R” prefix.</w:t>
      </w:r>
    </w:p>
    <w:p w14:paraId="22D701C6" w14:textId="77777777" w:rsidR="006A1F5E" w:rsidRPr="00387C03" w:rsidRDefault="006A1F5E" w:rsidP="006A1F5E">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after="180"/>
        <w:ind w:left="1247"/>
        <w:rPr>
          <w:sz w:val="17"/>
          <w:szCs w:val="17"/>
        </w:rPr>
      </w:pPr>
      <w:r w:rsidRPr="00387C03">
        <w:rPr>
          <w:sz w:val="17"/>
          <w:szCs w:val="17"/>
          <w:vertAlign w:val="superscript"/>
        </w:rPr>
        <w:tab/>
      </w:r>
      <w:r w:rsidRPr="00387C03">
        <w:rPr>
          <w:i/>
          <w:iCs/>
          <w:sz w:val="17"/>
          <w:szCs w:val="17"/>
          <w:vertAlign w:val="superscript"/>
        </w:rPr>
        <w:t>b</w:t>
      </w:r>
      <w:r w:rsidRPr="00387C03">
        <w:rPr>
          <w:sz w:val="17"/>
          <w:szCs w:val="17"/>
        </w:rPr>
        <w:t xml:space="preserve"> Some reported cases did not include the weight of the relevant substance and could therefore not be included in the weight calculation. Consequently, the resulting totals are approximate.</w:t>
      </w:r>
    </w:p>
    <w:p w14:paraId="2D6BC15A" w14:textId="3E55163E" w:rsidR="006A1F5E" w:rsidRDefault="006A1F5E" w:rsidP="006A1F5E">
      <w:pPr>
        <w:pStyle w:val="Normalnumber"/>
        <w:tabs>
          <w:tab w:val="clear" w:pos="1247"/>
          <w:tab w:val="clear" w:pos="1814"/>
          <w:tab w:val="clear" w:pos="2381"/>
          <w:tab w:val="clear" w:pos="2948"/>
          <w:tab w:val="clear" w:pos="3515"/>
          <w:tab w:val="num" w:pos="624"/>
        </w:tabs>
      </w:pPr>
      <w:r w:rsidRPr="003F179F">
        <w:t>Across the 1,10</w:t>
      </w:r>
      <w:r w:rsidR="006E44B8">
        <w:t>7</w:t>
      </w:r>
      <w:r w:rsidRPr="003F179F">
        <w:t xml:space="preserve"> reported cases of illegal trade, 75</w:t>
      </w:r>
      <w:r w:rsidR="00C27485">
        <w:t>3</w:t>
      </w:r>
      <w:r w:rsidRPr="003F179F">
        <w:t xml:space="preserve"> involved illegal imports of controlled substances reported by the destination</w:t>
      </w:r>
      <w:r w:rsidRPr="0058388F">
        <w:t xml:space="preserve"> country. A total of 7</w:t>
      </w:r>
      <w:r>
        <w:t>3</w:t>
      </w:r>
      <w:r w:rsidRPr="0058388F">
        <w:t xml:space="preserve"> cases related to illegal exports reported by the exporting country. In 4</w:t>
      </w:r>
      <w:r>
        <w:t>1</w:t>
      </w:r>
      <w:r w:rsidRPr="0058388F">
        <w:t xml:space="preserve"> instances, the substances were in transit through the reporting country. In </w:t>
      </w:r>
      <w:r>
        <w:t>other</w:t>
      </w:r>
      <w:r w:rsidRPr="0058388F">
        <w:t xml:space="preserve"> cases, the importing and/or exporting </w:t>
      </w:r>
      <w:r w:rsidRPr="00A02362">
        <w:t>country was not</w:t>
      </w:r>
      <w:r w:rsidRPr="0058388F">
        <w:t xml:space="preserve"> specified or remained unknown</w:t>
      </w:r>
      <w:r>
        <w:t xml:space="preserve"> at the time of reporting. </w:t>
      </w:r>
    </w:p>
    <w:p w14:paraId="19E56AEC" w14:textId="614318D8" w:rsidR="006A1F5E" w:rsidRDefault="006A1F5E" w:rsidP="006A1F5E">
      <w:pPr>
        <w:pStyle w:val="Normalnumber"/>
        <w:tabs>
          <w:tab w:val="clear" w:pos="1247"/>
          <w:tab w:val="clear" w:pos="1814"/>
          <w:tab w:val="clear" w:pos="2381"/>
          <w:tab w:val="clear" w:pos="2948"/>
          <w:tab w:val="clear" w:pos="3515"/>
          <w:tab w:val="num" w:pos="624"/>
        </w:tabs>
      </w:pPr>
      <w:r w:rsidRPr="00A64F9D">
        <w:t xml:space="preserve">Thirty-five cases involved the illegal trade of equipment containing controlled substances, including air-conditioning units, heat pumps, chillers, refrigerators, ice-making machines, ice cream makers and fire extinguishers. The controlled substances most frequently associated with such </w:t>
      </w:r>
      <w:r w:rsidRPr="00A64F9D">
        <w:lastRenderedPageBreak/>
        <w:t>equipment were HCFC-22, HFC-32, R-410A and CFC-12. Among the 32</w:t>
      </w:r>
      <w:r w:rsidR="00802FAB">
        <w:t>1</w:t>
      </w:r>
      <w:r w:rsidRPr="00A64F9D">
        <w:t xml:space="preserve"> newly reported cases, 17</w:t>
      </w:r>
      <w:r w:rsidR="00095BE8">
        <w:t> </w:t>
      </w:r>
      <w:r w:rsidRPr="00A64F9D">
        <w:t>related to equipment containing controlled substances</w:t>
      </w:r>
      <w:r>
        <w:t>.</w:t>
      </w:r>
    </w:p>
    <w:p w14:paraId="11438F51" w14:textId="77777777" w:rsidR="006A1F5E" w:rsidRPr="00694025" w:rsidRDefault="006A1F5E" w:rsidP="006A1F5E">
      <w:pPr>
        <w:pStyle w:val="CH2"/>
      </w:pPr>
      <w:r w:rsidRPr="00694025">
        <w:tab/>
        <w:t>D.</w:t>
      </w:r>
      <w:r w:rsidRPr="00694025">
        <w:tab/>
        <w:t xml:space="preserve">Overview of all illegal trade </w:t>
      </w:r>
      <w:r>
        <w:t xml:space="preserve">and illegal production </w:t>
      </w:r>
      <w:r w:rsidRPr="00694025">
        <w:t xml:space="preserve">cases reported </w:t>
      </w:r>
    </w:p>
    <w:p w14:paraId="67DDD703" w14:textId="77777777" w:rsidR="006A1F5E" w:rsidRPr="008A0580" w:rsidRDefault="006A1F5E" w:rsidP="006A1F5E">
      <w:pPr>
        <w:pStyle w:val="CH3"/>
      </w:pPr>
      <w:r w:rsidRPr="008A0580">
        <w:tab/>
        <w:t>1.</w:t>
      </w:r>
      <w:r w:rsidRPr="008A0580">
        <w:tab/>
        <w:t xml:space="preserve">Cases of illegal import and export </w:t>
      </w:r>
    </w:p>
    <w:p w14:paraId="448E7DF5" w14:textId="77777777" w:rsidR="006A1F5E" w:rsidRPr="00A6455C" w:rsidRDefault="006A1F5E" w:rsidP="006A1F5E">
      <w:pPr>
        <w:pStyle w:val="CH4"/>
      </w:pPr>
      <w:r>
        <w:tab/>
        <w:t>(a)</w:t>
      </w:r>
      <w:r>
        <w:tab/>
        <w:t>I</w:t>
      </w:r>
      <w:r w:rsidRPr="00A6455C">
        <w:t xml:space="preserve">llegal trade </w:t>
      </w:r>
      <w:r>
        <w:t>m</w:t>
      </w:r>
      <w:r w:rsidRPr="00A6455C">
        <w:t xml:space="preserve">ethods </w:t>
      </w:r>
    </w:p>
    <w:p w14:paraId="2983011D" w14:textId="035DA8C8" w:rsidR="006A1F5E" w:rsidRPr="009F18B8" w:rsidRDefault="006A1F5E" w:rsidP="006A1F5E">
      <w:pPr>
        <w:pStyle w:val="Normalnumber"/>
        <w:tabs>
          <w:tab w:val="clear" w:pos="1247"/>
          <w:tab w:val="clear" w:pos="1814"/>
          <w:tab w:val="clear" w:pos="2381"/>
          <w:tab w:val="clear" w:pos="2948"/>
          <w:tab w:val="clear" w:pos="3515"/>
          <w:tab w:val="num" w:pos="624"/>
        </w:tabs>
      </w:pPr>
      <w:r w:rsidRPr="00165E1F">
        <w:t xml:space="preserve">The review </w:t>
      </w:r>
      <w:r w:rsidRPr="00EE73EF">
        <w:t>of the 1,10</w:t>
      </w:r>
      <w:r w:rsidR="009B0684">
        <w:t>7</w:t>
      </w:r>
      <w:r w:rsidRPr="00EE73EF">
        <w:t xml:space="preserve"> reported </w:t>
      </w:r>
      <w:r w:rsidRPr="00CE7C27">
        <w:t xml:space="preserve">cases of illegal import and export reveals that the most prevalent methods </w:t>
      </w:r>
      <w:r w:rsidR="00137217" w:rsidRPr="0038507C">
        <w:t xml:space="preserve">used in </w:t>
      </w:r>
      <w:r w:rsidR="00D90F57" w:rsidRPr="00CE7C27">
        <w:t xml:space="preserve">illegal trade </w:t>
      </w:r>
      <w:r w:rsidRPr="00CE7C27">
        <w:t>involve both documentary non-compliance and physical evasion. Smuggling is the most frequently reported method (192 cases), followed by trading without the required licences</w:t>
      </w:r>
      <w:r w:rsidRPr="00165E1F">
        <w:t xml:space="preserve"> and/or quota allocations (16</w:t>
      </w:r>
      <w:r w:rsidR="0032262C">
        <w:t>6</w:t>
      </w:r>
      <w:r w:rsidRPr="00165E1F">
        <w:t xml:space="preserve"> cases) and smuggling of non-refillable cylinders (139 cases), either alone or in combination with other violations.</w:t>
      </w:r>
    </w:p>
    <w:p w14:paraId="21CE7899" w14:textId="68A4D554" w:rsidR="006A1F5E" w:rsidRPr="000613A7" w:rsidRDefault="006A1F5E" w:rsidP="006A1F5E">
      <w:pPr>
        <w:pStyle w:val="Normalnumber"/>
        <w:tabs>
          <w:tab w:val="clear" w:pos="1247"/>
          <w:tab w:val="clear" w:pos="1814"/>
          <w:tab w:val="clear" w:pos="2381"/>
          <w:tab w:val="clear" w:pos="2948"/>
          <w:tab w:val="clear" w:pos="3515"/>
          <w:tab w:val="num" w:pos="624"/>
        </w:tabs>
      </w:pPr>
      <w:r w:rsidRPr="00EC6A2B">
        <w:t>Misdeclaration of substances (</w:t>
      </w:r>
      <w:r w:rsidR="00B32CB0">
        <w:t xml:space="preserve">cited </w:t>
      </w:r>
      <w:r w:rsidR="0038534A">
        <w:t xml:space="preserve">alone </w:t>
      </w:r>
      <w:r w:rsidR="00B32CB0">
        <w:t xml:space="preserve">in </w:t>
      </w:r>
      <w:r w:rsidRPr="00EC6A2B">
        <w:t>92 cases</w:t>
      </w:r>
      <w:r w:rsidR="000B1358">
        <w:t>, and</w:t>
      </w:r>
      <w:r w:rsidR="00B32CB0">
        <w:t xml:space="preserve"> in</w:t>
      </w:r>
      <w:r w:rsidRPr="00EC6A2B">
        <w:t xml:space="preserve"> 168 cases </w:t>
      </w:r>
      <w:r>
        <w:t>overall</w:t>
      </w:r>
      <w:r w:rsidRPr="00EC6A2B">
        <w:t xml:space="preserve">), </w:t>
      </w:r>
      <w:r w:rsidR="00095BE8">
        <w:t>non</w:t>
      </w:r>
      <w:r w:rsidR="00095BE8">
        <w:noBreakHyphen/>
      </w:r>
      <w:r w:rsidRPr="00EC6A2B">
        <w:t>declaration (121 cases) and mislabelling (</w:t>
      </w:r>
      <w:r w:rsidRPr="00B32CB0">
        <w:t xml:space="preserve">39 cases </w:t>
      </w:r>
      <w:r w:rsidR="00B32CB0" w:rsidRPr="009F2289">
        <w:t>alone</w:t>
      </w:r>
      <w:r w:rsidRPr="00B32CB0">
        <w:t xml:space="preserve">; 54 cases overall) </w:t>
      </w:r>
      <w:r w:rsidR="00996A19">
        <w:t>were</w:t>
      </w:r>
      <w:r w:rsidR="00996A19" w:rsidRPr="00EC6A2B">
        <w:t xml:space="preserve"> </w:t>
      </w:r>
      <w:r w:rsidRPr="00EC6A2B">
        <w:t xml:space="preserve">frequently reported in combination with smuggling. Concealment </w:t>
      </w:r>
      <w:r w:rsidR="00996A19">
        <w:t>wa</w:t>
      </w:r>
      <w:r w:rsidRPr="00996A19">
        <w:t>s</w:t>
      </w:r>
      <w:r w:rsidRPr="00EC6A2B">
        <w:t xml:space="preserve"> reported independently in 30</w:t>
      </w:r>
      <w:r w:rsidR="00995CA9">
        <w:t> </w:t>
      </w:r>
      <w:r w:rsidRPr="00EC6A2B">
        <w:t xml:space="preserve">cases and in a further 113 cases in combination with other methods, including within legitimate shipments. </w:t>
      </w:r>
      <w:r w:rsidR="00387C03">
        <w:t>Quota</w:t>
      </w:r>
      <w:r w:rsidR="00387C03">
        <w:noBreakHyphen/>
      </w:r>
      <w:r w:rsidRPr="00EC6A2B">
        <w:t>related violations, including absence of quota</w:t>
      </w:r>
      <w:r w:rsidR="001E1365">
        <w:t>s</w:t>
      </w:r>
      <w:r w:rsidRPr="00EC6A2B">
        <w:t xml:space="preserve">, exceeded quotas, misuse of exemptions and cases involving unregistered operators or missing documentation, are common and reflect gaps in licensing, registration and quota management. In 71 cases, the method of illegal trade </w:t>
      </w:r>
      <w:r w:rsidR="00996A19">
        <w:t>wa</w:t>
      </w:r>
      <w:r w:rsidRPr="00EC6A2B">
        <w:t>s recorded as “unknown”.</w:t>
      </w:r>
    </w:p>
    <w:p w14:paraId="08F54EDE" w14:textId="2D6C7159" w:rsidR="006A1F5E" w:rsidRDefault="006A1F5E" w:rsidP="006A1F5E">
      <w:pPr>
        <w:pStyle w:val="Normalnumber"/>
        <w:tabs>
          <w:tab w:val="clear" w:pos="1247"/>
          <w:tab w:val="clear" w:pos="1814"/>
          <w:tab w:val="clear" w:pos="2381"/>
          <w:tab w:val="clear" w:pos="2948"/>
          <w:tab w:val="clear" w:pos="3515"/>
          <w:tab w:val="num" w:pos="624"/>
        </w:tabs>
      </w:pPr>
      <w:r w:rsidRPr="00EF5E39">
        <w:t>Amon</w:t>
      </w:r>
      <w:r>
        <w:t>g</w:t>
      </w:r>
      <w:r w:rsidRPr="00E7212B">
        <w:t xml:space="preserve"> newly reported cases, the most common methods involve</w:t>
      </w:r>
      <w:r w:rsidR="00996A19">
        <w:t>d</w:t>
      </w:r>
      <w:r w:rsidRPr="00E7212B">
        <w:t xml:space="preserve"> a combination of </w:t>
      </w:r>
      <w:r w:rsidR="00995CA9">
        <w:t>non</w:t>
      </w:r>
      <w:r w:rsidR="00995CA9">
        <w:noBreakHyphen/>
      </w:r>
      <w:r w:rsidRPr="00E7212B">
        <w:t xml:space="preserve">declaration of substances and smuggling of non-refillable cylinders (61 cases). Lack of licences and quotas </w:t>
      </w:r>
      <w:r w:rsidR="00996A19">
        <w:t>wa</w:t>
      </w:r>
      <w:r w:rsidRPr="00E7212B">
        <w:t xml:space="preserve">s reported in </w:t>
      </w:r>
      <w:r w:rsidR="00E43E9C">
        <w:t>68</w:t>
      </w:r>
      <w:r w:rsidRPr="00E7212B">
        <w:t xml:space="preserve"> cases, while misdeclaration </w:t>
      </w:r>
      <w:r w:rsidR="00996A19">
        <w:t>wa</w:t>
      </w:r>
      <w:r w:rsidRPr="00E7212B">
        <w:t>s reported in 40 cases. Many cases involve</w:t>
      </w:r>
      <w:r w:rsidR="00996A19">
        <w:t>d</w:t>
      </w:r>
      <w:r w:rsidRPr="00E7212B">
        <w:t xml:space="preserve"> two or more methods, underscoring the layered nature of illegal trade practices.</w:t>
      </w:r>
    </w:p>
    <w:p w14:paraId="45DF407D" w14:textId="77777777" w:rsidR="006A1F5E" w:rsidRPr="00694025" w:rsidRDefault="006A1F5E" w:rsidP="006A1F5E">
      <w:pPr>
        <w:pStyle w:val="CH4"/>
      </w:pPr>
      <w:r>
        <w:tab/>
        <w:t>(b)</w:t>
      </w:r>
      <w:r>
        <w:tab/>
      </w:r>
      <w:r w:rsidRPr="00694025">
        <w:t xml:space="preserve">Detection methods </w:t>
      </w:r>
    </w:p>
    <w:p w14:paraId="20B9CAD6" w14:textId="58C57195" w:rsidR="006A1F5E" w:rsidRDefault="006A1F5E" w:rsidP="006A1F5E">
      <w:pPr>
        <w:pStyle w:val="Normalnumber"/>
        <w:tabs>
          <w:tab w:val="clear" w:pos="1247"/>
          <w:tab w:val="clear" w:pos="1814"/>
          <w:tab w:val="clear" w:pos="2381"/>
          <w:tab w:val="clear" w:pos="2948"/>
          <w:tab w:val="clear" w:pos="3515"/>
          <w:tab w:val="num" w:pos="624"/>
        </w:tabs>
      </w:pPr>
      <w:r w:rsidRPr="00D868A8">
        <w:t xml:space="preserve">The information reported indicates that </w:t>
      </w:r>
      <w:r w:rsidRPr="00B75AAF">
        <w:t>detection relies primarily on routine customs controls at points of entry.</w:t>
      </w:r>
      <w:r w:rsidRPr="00D868A8">
        <w:t xml:space="preserve"> The most frequently cited methods are random checks (25</w:t>
      </w:r>
      <w:r>
        <w:t>3</w:t>
      </w:r>
      <w:r w:rsidRPr="00D868A8">
        <w:t xml:space="preserve"> cases), documentation inspections (1</w:t>
      </w:r>
      <w:r w:rsidR="007237BD">
        <w:t>88</w:t>
      </w:r>
      <w:r w:rsidRPr="00D868A8">
        <w:t xml:space="preserve"> cases) and physical inspection of shipments (1</w:t>
      </w:r>
      <w:r>
        <w:t>57</w:t>
      </w:r>
      <w:r w:rsidRPr="00D868A8">
        <w:t xml:space="preserve"> cases)</w:t>
      </w:r>
      <w:r>
        <w:t xml:space="preserve">. </w:t>
      </w:r>
      <w:r w:rsidRPr="00D868A8">
        <w:t xml:space="preserve">More targeted approaches </w:t>
      </w:r>
      <w:r w:rsidR="00D72B7C">
        <w:t>we</w:t>
      </w:r>
      <w:r w:rsidRPr="00D72B7C">
        <w:t>re</w:t>
      </w:r>
      <w:r w:rsidRPr="00D868A8">
        <w:t xml:space="preserve"> reported less frequently, including intelligence or tip-off information (2</w:t>
      </w:r>
      <w:r>
        <w:t>5</w:t>
      </w:r>
      <w:r w:rsidRPr="00D868A8">
        <w:t xml:space="preserve"> cases) and risk profiling (2</w:t>
      </w:r>
      <w:r>
        <w:t>9</w:t>
      </w:r>
      <w:r w:rsidRPr="00D868A8">
        <w:t xml:space="preserve"> cases). Other methods </w:t>
      </w:r>
      <w:r w:rsidRPr="00D72B7C">
        <w:t>include</w:t>
      </w:r>
      <w:r w:rsidR="00D72B7C">
        <w:t>d</w:t>
      </w:r>
      <w:r w:rsidRPr="00D868A8">
        <w:t xml:space="preserve"> data monitoring and analysis for discrepancies (5 cases), </w:t>
      </w:r>
      <w:r w:rsidR="00995CA9">
        <w:t>post</w:t>
      </w:r>
      <w:r w:rsidR="00995CA9">
        <w:noBreakHyphen/>
      </w:r>
      <w:r w:rsidRPr="00D868A8">
        <w:t xml:space="preserve">clearance audit (4 cases), laboratory analysis of cylinder contents (2 cases), prevention of illegal trade with the help of the informal prior informed consent </w:t>
      </w:r>
      <w:r w:rsidR="00CC390A" w:rsidRPr="00D868A8">
        <w:t>(</w:t>
      </w:r>
      <w:proofErr w:type="spellStart"/>
      <w:r w:rsidR="00CC390A" w:rsidRPr="00D868A8">
        <w:t>iPIC</w:t>
      </w:r>
      <w:proofErr w:type="spellEnd"/>
      <w:r w:rsidR="00CC390A" w:rsidRPr="00D868A8">
        <w:t xml:space="preserve">) </w:t>
      </w:r>
      <w:r w:rsidRPr="00D868A8">
        <w:t>procedure (1 case), self-reporting (1</w:t>
      </w:r>
      <w:r w:rsidR="00995CA9">
        <w:t> </w:t>
      </w:r>
      <w:r w:rsidRPr="00D868A8">
        <w:t>case)</w:t>
      </w:r>
      <w:r>
        <w:t>,</w:t>
      </w:r>
      <w:r w:rsidRPr="00D868A8">
        <w:t xml:space="preserve"> and X-ray scanning of cargo (1 case). The use of refrigerant identifiers was mentioned in 13</w:t>
      </w:r>
      <w:r w:rsidR="00995CA9">
        <w:t> </w:t>
      </w:r>
      <w:r w:rsidRPr="00D868A8">
        <w:t>cases, including in combination with other methods.</w:t>
      </w:r>
    </w:p>
    <w:p w14:paraId="12A73BE7" w14:textId="7A0540A1" w:rsidR="006A1F5E" w:rsidRDefault="006A1F5E" w:rsidP="006A1F5E">
      <w:pPr>
        <w:pStyle w:val="Normalnumber"/>
        <w:tabs>
          <w:tab w:val="clear" w:pos="1247"/>
          <w:tab w:val="clear" w:pos="1814"/>
          <w:tab w:val="clear" w:pos="2381"/>
          <w:tab w:val="clear" w:pos="2948"/>
          <w:tab w:val="clear" w:pos="3515"/>
          <w:tab w:val="num" w:pos="624"/>
        </w:tabs>
      </w:pPr>
      <w:r w:rsidRPr="00FA2325">
        <w:t>In the newly reported cases, document</w:t>
      </w:r>
      <w:r>
        <w:t>-</w:t>
      </w:r>
      <w:r w:rsidRPr="00FA2325">
        <w:t xml:space="preserve"> and shipment-based inspections </w:t>
      </w:r>
      <w:r w:rsidRPr="00D72B7C">
        <w:t>remain</w:t>
      </w:r>
      <w:r w:rsidR="00D72B7C">
        <w:t>ed</w:t>
      </w:r>
      <w:r w:rsidRPr="00FA2325">
        <w:t xml:space="preserve"> the most prevalent methods, accounting for 8</w:t>
      </w:r>
      <w:r w:rsidR="004601A3">
        <w:t>2</w:t>
      </w:r>
      <w:r w:rsidRPr="00FA2325">
        <w:t xml:space="preserve"> cases, indicating continued reliance on these front</w:t>
      </w:r>
      <w:r w:rsidR="009627B8">
        <w:t>-</w:t>
      </w:r>
      <w:r w:rsidRPr="00FA2325">
        <w:t>line controls.</w:t>
      </w:r>
      <w:r>
        <w:t xml:space="preserve"> </w:t>
      </w:r>
      <w:r w:rsidRPr="003C6A72">
        <w:t xml:space="preserve">Two parties that </w:t>
      </w:r>
      <w:r>
        <w:t>indicated that they ha</w:t>
      </w:r>
      <w:r w:rsidR="004C3135">
        <w:t>d</w:t>
      </w:r>
      <w:r>
        <w:t xml:space="preserve"> </w:t>
      </w:r>
      <w:r w:rsidRPr="003C6A72">
        <w:t xml:space="preserve">no cases of illegal trade </w:t>
      </w:r>
      <w:r>
        <w:t xml:space="preserve">to report </w:t>
      </w:r>
      <w:r w:rsidRPr="003C6A72">
        <w:t xml:space="preserve">attributed this </w:t>
      </w:r>
      <w:r>
        <w:t xml:space="preserve">situation </w:t>
      </w:r>
      <w:r w:rsidRPr="003C6A72">
        <w:t>to inter-agency collaboration between customs and other enforcement authorities to implement risk management approaches aimed at preventing illegal trade.</w:t>
      </w:r>
    </w:p>
    <w:p w14:paraId="34B1BD53" w14:textId="6F9C96AF" w:rsidR="006A1F5E" w:rsidRPr="006262BA" w:rsidRDefault="006A1F5E" w:rsidP="006A1F5E">
      <w:pPr>
        <w:pStyle w:val="Normalnumber"/>
        <w:tabs>
          <w:tab w:val="clear" w:pos="1247"/>
          <w:tab w:val="clear" w:pos="1814"/>
          <w:tab w:val="clear" w:pos="2381"/>
          <w:tab w:val="clear" w:pos="2948"/>
          <w:tab w:val="clear" w:pos="3515"/>
          <w:tab w:val="num" w:pos="624"/>
        </w:tabs>
        <w:rPr>
          <w:rFonts w:eastAsia="Aptos"/>
          <w:kern w:val="2"/>
          <w14:ligatures w14:val="standardContextual"/>
        </w:rPr>
      </w:pPr>
      <w:r w:rsidRPr="00CB6BA5">
        <w:t>The data underscore the importance of maintaining strong front</w:t>
      </w:r>
      <w:r w:rsidR="00EF629A">
        <w:t>-</w:t>
      </w:r>
      <w:r w:rsidRPr="00CB6BA5">
        <w:t xml:space="preserve">line inspection capacity, as standard customs controls continue to play a central role in identifying non-compliant shipments. At the same time, the concentration of detection within customs-led processes may indicate limited involvement of other enforcement actors, with a risk that shipments not subject to inspection may evade detection. The relatively limited use of intelligence-led and risk-based approaches suggests scope </w:t>
      </w:r>
      <w:r w:rsidR="009627B8">
        <w:t>for</w:t>
      </w:r>
      <w:r w:rsidR="009627B8" w:rsidRPr="00CB6BA5">
        <w:t xml:space="preserve"> </w:t>
      </w:r>
      <w:r w:rsidRPr="00CB6BA5">
        <w:t>further strengthen</w:t>
      </w:r>
      <w:r w:rsidR="009627B8">
        <w:t>ing</w:t>
      </w:r>
      <w:r w:rsidRPr="00CB6BA5">
        <w:t xml:space="preserve"> complementary measures. Greater integration of intelligence, risk profiling and technical tools, together with enhanced inter-agency cooperation, could improve the ability of enforcement authorities to detect more </w:t>
      </w:r>
      <w:r>
        <w:t>cases</w:t>
      </w:r>
      <w:r w:rsidRPr="00CB6BA5">
        <w:t xml:space="preserve"> of illegal trade and support a more comprehensive enforcement response.</w:t>
      </w:r>
    </w:p>
    <w:p w14:paraId="21B8D9AB" w14:textId="654DB6BA" w:rsidR="006A1F5E" w:rsidRPr="00420D05" w:rsidRDefault="006A1F5E" w:rsidP="006A1F5E">
      <w:pPr>
        <w:pStyle w:val="Normalnumber"/>
        <w:tabs>
          <w:tab w:val="clear" w:pos="1247"/>
          <w:tab w:val="clear" w:pos="1814"/>
          <w:tab w:val="clear" w:pos="2381"/>
          <w:tab w:val="clear" w:pos="2948"/>
          <w:tab w:val="clear" w:pos="3515"/>
          <w:tab w:val="num" w:pos="624"/>
        </w:tabs>
        <w:rPr>
          <w:rFonts w:eastAsia="Aptos"/>
          <w:kern w:val="2"/>
          <w14:ligatures w14:val="standardContextual"/>
        </w:rPr>
      </w:pPr>
      <w:r w:rsidRPr="00420D05">
        <w:rPr>
          <w:rFonts w:eastAsia="Aptos"/>
          <w:kern w:val="2"/>
          <w14:ligatures w14:val="standardContextual"/>
        </w:rPr>
        <w:t xml:space="preserve">Another category of cases </w:t>
      </w:r>
      <w:r>
        <w:rPr>
          <w:rFonts w:eastAsia="Aptos"/>
          <w:kern w:val="2"/>
          <w14:ligatures w14:val="standardContextual"/>
        </w:rPr>
        <w:t xml:space="preserve">includes those </w:t>
      </w:r>
      <w:r w:rsidRPr="00420D05">
        <w:rPr>
          <w:rFonts w:eastAsia="Aptos"/>
          <w:kern w:val="2"/>
          <w14:ligatures w14:val="standardContextual"/>
        </w:rPr>
        <w:t>with no recorded detection method</w:t>
      </w:r>
      <w:r>
        <w:rPr>
          <w:rFonts w:eastAsia="Aptos"/>
          <w:kern w:val="2"/>
          <w14:ligatures w14:val="standardContextual"/>
        </w:rPr>
        <w:t xml:space="preserve"> or </w:t>
      </w:r>
      <w:r w:rsidR="002E39FF">
        <w:rPr>
          <w:rFonts w:eastAsia="Aptos"/>
          <w:kern w:val="2"/>
          <w14:ligatures w14:val="standardContextual"/>
        </w:rPr>
        <w:t xml:space="preserve">in which </w:t>
      </w:r>
      <w:r>
        <w:rPr>
          <w:rFonts w:eastAsia="Aptos"/>
          <w:kern w:val="2"/>
          <w14:ligatures w14:val="standardContextual"/>
        </w:rPr>
        <w:t xml:space="preserve">details are </w:t>
      </w:r>
      <w:r w:rsidRPr="00420D05">
        <w:t xml:space="preserve">vague and mixed with other information. </w:t>
      </w:r>
      <w:r>
        <w:rPr>
          <w:rFonts w:eastAsia="Aptos"/>
          <w:kern w:val="2"/>
          <w14:ligatures w14:val="standardContextual"/>
        </w:rPr>
        <w:t>I</w:t>
      </w:r>
      <w:r w:rsidRPr="00420D05">
        <w:rPr>
          <w:rFonts w:eastAsia="Aptos"/>
          <w:kern w:val="2"/>
          <w14:ligatures w14:val="standardContextual"/>
        </w:rPr>
        <w:t xml:space="preserve">n </w:t>
      </w:r>
      <w:r>
        <w:rPr>
          <w:rFonts w:eastAsia="Aptos"/>
          <w:kern w:val="2"/>
          <w14:ligatures w14:val="standardContextual"/>
        </w:rPr>
        <w:t>397</w:t>
      </w:r>
      <w:r w:rsidRPr="00420D05">
        <w:rPr>
          <w:rFonts w:eastAsia="Aptos"/>
          <w:kern w:val="2"/>
          <w14:ligatures w14:val="standardContextual"/>
        </w:rPr>
        <w:t xml:space="preserve"> cases</w:t>
      </w:r>
      <w:r>
        <w:rPr>
          <w:rFonts w:eastAsia="Aptos"/>
          <w:kern w:val="2"/>
          <w14:ligatures w14:val="standardContextual"/>
        </w:rPr>
        <w:t xml:space="preserve"> (including some of the newly reported </w:t>
      </w:r>
      <w:r w:rsidRPr="00D72B7C">
        <w:rPr>
          <w:rFonts w:eastAsia="Aptos"/>
          <w:kern w:val="2"/>
          <w14:ligatures w14:val="standardContextual"/>
        </w:rPr>
        <w:t>ones</w:t>
      </w:r>
      <w:r>
        <w:rPr>
          <w:rFonts w:eastAsia="Aptos"/>
          <w:kern w:val="2"/>
          <w14:ligatures w14:val="standardContextual"/>
        </w:rPr>
        <w:t xml:space="preserve">), </w:t>
      </w:r>
      <w:r w:rsidRPr="00420D05">
        <w:rPr>
          <w:rFonts w:eastAsia="Aptos"/>
          <w:kern w:val="2"/>
          <w14:ligatures w14:val="standardContextual"/>
        </w:rPr>
        <w:t xml:space="preserve">full understanding of </w:t>
      </w:r>
      <w:r>
        <w:rPr>
          <w:rFonts w:eastAsia="Aptos"/>
          <w:kern w:val="2"/>
          <w14:ligatures w14:val="standardContextual"/>
        </w:rPr>
        <w:t xml:space="preserve">the </w:t>
      </w:r>
      <w:r w:rsidRPr="00420D05">
        <w:rPr>
          <w:rFonts w:eastAsia="Aptos"/>
          <w:kern w:val="2"/>
          <w14:ligatures w14:val="standardContextual"/>
        </w:rPr>
        <w:t xml:space="preserve">enforcement practices </w:t>
      </w:r>
      <w:proofErr w:type="gramStart"/>
      <w:r>
        <w:rPr>
          <w:rFonts w:eastAsia="Aptos"/>
          <w:kern w:val="2"/>
          <w14:ligatures w14:val="standardContextual"/>
        </w:rPr>
        <w:t>applied</w:t>
      </w:r>
      <w:proofErr w:type="gramEnd"/>
      <w:r>
        <w:rPr>
          <w:rFonts w:eastAsia="Aptos"/>
          <w:kern w:val="2"/>
          <w14:ligatures w14:val="standardContextual"/>
        </w:rPr>
        <w:t xml:space="preserve"> </w:t>
      </w:r>
      <w:r w:rsidRPr="00420D05">
        <w:rPr>
          <w:rFonts w:eastAsia="Aptos"/>
          <w:kern w:val="2"/>
          <w14:ligatures w14:val="standardContextual"/>
        </w:rPr>
        <w:t>and their impact</w:t>
      </w:r>
      <w:r>
        <w:rPr>
          <w:rFonts w:eastAsia="Aptos"/>
          <w:kern w:val="2"/>
          <w14:ligatures w14:val="standardContextual"/>
        </w:rPr>
        <w:t xml:space="preserve"> is limited by the scarcity of details provided</w:t>
      </w:r>
      <w:r w:rsidRPr="00420D05">
        <w:rPr>
          <w:rFonts w:eastAsia="Aptos"/>
          <w:kern w:val="2"/>
          <w14:ligatures w14:val="standardContextual"/>
        </w:rPr>
        <w:t xml:space="preserve">. </w:t>
      </w:r>
      <w:r w:rsidRPr="00647F6B">
        <w:t>The Secretariat continues to engage with parties to seek clarification on reported information, with a view to enhancing completeness and consistency, while remaining mindful of the need not to increase the reporting burden on parties.</w:t>
      </w:r>
    </w:p>
    <w:p w14:paraId="4B8337A8" w14:textId="77777777" w:rsidR="006A1F5E" w:rsidRPr="00694025" w:rsidRDefault="006A1F5E" w:rsidP="006A1F5E">
      <w:pPr>
        <w:pStyle w:val="CH4"/>
      </w:pPr>
      <w:r w:rsidRPr="00694025">
        <w:lastRenderedPageBreak/>
        <w:tab/>
        <w:t>(</w:t>
      </w:r>
      <w:r>
        <w:t>c</w:t>
      </w:r>
      <w:r w:rsidRPr="00694025">
        <w:t>)</w:t>
      </w:r>
      <w:r w:rsidRPr="00694025">
        <w:tab/>
        <w:t xml:space="preserve">Enforcement actions </w:t>
      </w:r>
    </w:p>
    <w:p w14:paraId="03FB0D43" w14:textId="7167E0D9" w:rsidR="006A1F5E" w:rsidRDefault="006A1F5E" w:rsidP="006A1F5E">
      <w:pPr>
        <w:pStyle w:val="Normalnumber"/>
        <w:tabs>
          <w:tab w:val="clear" w:pos="1247"/>
          <w:tab w:val="clear" w:pos="1814"/>
          <w:tab w:val="clear" w:pos="2381"/>
          <w:tab w:val="clear" w:pos="2948"/>
          <w:tab w:val="clear" w:pos="3515"/>
          <w:tab w:val="num" w:pos="624"/>
        </w:tabs>
      </w:pPr>
      <w:r w:rsidRPr="00A4224C">
        <w:t xml:space="preserve">The </w:t>
      </w:r>
      <w:r w:rsidRPr="00B91BAD">
        <w:t>review of all 1,10</w:t>
      </w:r>
      <w:r w:rsidR="009B0684">
        <w:t>7</w:t>
      </w:r>
      <w:r w:rsidRPr="00B91BAD">
        <w:t xml:space="preserve"> reported cases reveals that enforcement actions</w:t>
      </w:r>
      <w:r w:rsidRPr="00B91BAD">
        <w:rPr>
          <w:vertAlign w:val="superscript"/>
        </w:rPr>
        <w:footnoteReference w:id="8"/>
      </w:r>
      <w:r w:rsidRPr="00B91BAD">
        <w:t xml:space="preserve"> vary in type and severity. The actions have been applied in graduated and combined ways in accordance with the enforcement cycle.</w:t>
      </w:r>
    </w:p>
    <w:p w14:paraId="51388606" w14:textId="47BFF4F6" w:rsidR="006A1F5E" w:rsidRDefault="006A1F5E" w:rsidP="006A1F5E">
      <w:pPr>
        <w:pStyle w:val="Normalnumber"/>
        <w:tabs>
          <w:tab w:val="clear" w:pos="1247"/>
          <w:tab w:val="clear" w:pos="1814"/>
          <w:tab w:val="clear" w:pos="2381"/>
          <w:tab w:val="clear" w:pos="2948"/>
          <w:tab w:val="clear" w:pos="3515"/>
          <w:tab w:val="num" w:pos="624"/>
        </w:tabs>
      </w:pPr>
      <w:r>
        <w:t>Once an illegal trade incident is detected, s</w:t>
      </w:r>
      <w:r w:rsidRPr="00EF2094">
        <w:t xml:space="preserve">eizure </w:t>
      </w:r>
      <w:r w:rsidR="00255D18">
        <w:t>(</w:t>
      </w:r>
      <w:r>
        <w:t xml:space="preserve">understood as </w:t>
      </w:r>
      <w:r w:rsidRPr="00EF2094">
        <w:t xml:space="preserve">temporary deprivation of </w:t>
      </w:r>
      <w:r w:rsidRPr="00020A6E">
        <w:t>goods</w:t>
      </w:r>
      <w:r w:rsidR="00255D18">
        <w:t>)</w:t>
      </w:r>
      <w:r w:rsidRPr="00020A6E">
        <w:rPr>
          <w:vertAlign w:val="superscript"/>
        </w:rPr>
        <w:footnoteReference w:id="9"/>
      </w:r>
      <w:r w:rsidRPr="00020A6E">
        <w:t xml:space="preserve"> of the controlled substances </w:t>
      </w:r>
      <w:r>
        <w:t xml:space="preserve">or equipment </w:t>
      </w:r>
      <w:r w:rsidRPr="00506429">
        <w:t>imported or attempted to be</w:t>
      </w:r>
      <w:r w:rsidRPr="00020A6E">
        <w:t xml:space="preserve"> exported illegally is often an initial measure to prevent goods from entering the market, pending clarification of the investigation. </w:t>
      </w:r>
      <w:r w:rsidR="00FD2438">
        <w:t>Seizure</w:t>
      </w:r>
      <w:r w:rsidR="00FD2438" w:rsidRPr="00020A6E">
        <w:t xml:space="preserve"> </w:t>
      </w:r>
      <w:r w:rsidRPr="00020A6E">
        <w:t xml:space="preserve">is followed by </w:t>
      </w:r>
      <w:r>
        <w:t xml:space="preserve">a </w:t>
      </w:r>
      <w:r w:rsidRPr="00020A6E">
        <w:t xml:space="preserve">complaint to administrative or judicial authorities and </w:t>
      </w:r>
      <w:r>
        <w:t xml:space="preserve">the </w:t>
      </w:r>
      <w:r w:rsidRPr="00020A6E">
        <w:t xml:space="preserve">initiation of administrative or criminal </w:t>
      </w:r>
      <w:r w:rsidRPr="00716BA2">
        <w:t>proceedings,</w:t>
      </w:r>
      <w:r>
        <w:t xml:space="preserve"> with anti-smuggling and/or environmental laws cited as the basis for the proceedings</w:t>
      </w:r>
      <w:r w:rsidRPr="00EF2094">
        <w:t>.</w:t>
      </w:r>
    </w:p>
    <w:p w14:paraId="007A8759" w14:textId="508D1ABF" w:rsidR="006A1F5E" w:rsidRDefault="006A1F5E" w:rsidP="006A1F5E">
      <w:pPr>
        <w:pStyle w:val="Normalnumber"/>
        <w:tabs>
          <w:tab w:val="clear" w:pos="1247"/>
          <w:tab w:val="clear" w:pos="1814"/>
          <w:tab w:val="clear" w:pos="2381"/>
          <w:tab w:val="clear" w:pos="2948"/>
          <w:tab w:val="clear" w:pos="3515"/>
          <w:tab w:val="num" w:pos="624"/>
        </w:tabs>
      </w:pPr>
      <w:r>
        <w:t xml:space="preserve">Legal </w:t>
      </w:r>
      <w:r w:rsidRPr="00255D18">
        <w:t>outcomes of the proceedings mentioned in the</w:t>
      </w:r>
      <w:r>
        <w:t xml:space="preserve"> reported case</w:t>
      </w:r>
      <w:r w:rsidR="00B02658">
        <w:t>s</w:t>
      </w:r>
      <w:r>
        <w:t xml:space="preserve"> include:</w:t>
      </w:r>
    </w:p>
    <w:p w14:paraId="77A71BC6" w14:textId="0D2A7EDA" w:rsidR="006A1F5E" w:rsidRPr="009114A2"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t>Seizure or c</w:t>
      </w:r>
      <w:r w:rsidRPr="009114A2">
        <w:t xml:space="preserve">onfiscation </w:t>
      </w:r>
      <w:r w:rsidR="00255D18">
        <w:t>(</w:t>
      </w:r>
      <w:r w:rsidRPr="009114A2">
        <w:t>permanent removal from possession</w:t>
      </w:r>
      <w:r w:rsidR="00255D18">
        <w:t>)</w:t>
      </w:r>
      <w:r w:rsidR="00DE2CFA">
        <w:t>,</w:t>
      </w:r>
      <w:r w:rsidRPr="009114A2">
        <w:rPr>
          <w:vertAlign w:val="superscript"/>
        </w:rPr>
        <w:footnoteReference w:id="10"/>
      </w:r>
      <w:r>
        <w:t xml:space="preserve"> recorded in approximately 636 cases;</w:t>
      </w:r>
    </w:p>
    <w:p w14:paraId="60E16ED8" w14:textId="72A52FDC" w:rsidR="006A1F5E"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304507">
        <w:t>Monetary fines and penalties, applied in approximately 2</w:t>
      </w:r>
      <w:r>
        <w:t>65</w:t>
      </w:r>
      <w:r w:rsidRPr="00304507">
        <w:t xml:space="preserve"> cases, with significant variation in severity depending on the nature and scale of the violation, </w:t>
      </w:r>
      <w:r w:rsidR="00E76338">
        <w:t>including</w:t>
      </w:r>
      <w:r w:rsidRPr="00304507">
        <w:t xml:space="preserve"> a $25 fine for </w:t>
      </w:r>
      <w:r w:rsidR="0092449E">
        <w:t xml:space="preserve">the </w:t>
      </w:r>
      <w:r w:rsidRPr="00304507">
        <w:t xml:space="preserve">illegal import of 36 kg of HFC-134a and CFC-12 into an Article 5 party through concealment, a $12,700 fine for </w:t>
      </w:r>
      <w:r w:rsidR="0092449E">
        <w:t xml:space="preserve">the </w:t>
      </w:r>
      <w:r w:rsidRPr="00304507">
        <w:t>illegal import of 544 kg of HCFC-22 into an Article 5 party without a licen</w:t>
      </w:r>
      <w:r w:rsidR="002A2BF7">
        <w:t>c</w:t>
      </w:r>
      <w:r w:rsidRPr="00304507">
        <w:t xml:space="preserve">e and through misdeclaration, and a $40,000 fine for </w:t>
      </w:r>
      <w:r w:rsidR="0092449E">
        <w:t xml:space="preserve">the </w:t>
      </w:r>
      <w:r w:rsidRPr="00304507">
        <w:t xml:space="preserve">illegal import of 22,900 kg of HCFC-22 into a </w:t>
      </w:r>
      <w:r w:rsidR="00387C03">
        <w:t>non</w:t>
      </w:r>
      <w:r w:rsidR="00387C03">
        <w:noBreakHyphen/>
      </w:r>
      <w:r w:rsidRPr="00304507">
        <w:t>Article 5 party through misdeclaration and mislabelling</w:t>
      </w:r>
      <w:r>
        <w:t>;</w:t>
      </w:r>
    </w:p>
    <w:p w14:paraId="436639D9" w14:textId="01F03CAC" w:rsidR="006A1F5E" w:rsidRPr="009114A2"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4038F3">
        <w:t>Re-export or denial of entry, including goods returned to the country of origin or denied entry at the border, recorded in approximately 2</w:t>
      </w:r>
      <w:r>
        <w:t>1</w:t>
      </w:r>
      <w:r w:rsidR="006B50BE">
        <w:t>5</w:t>
      </w:r>
      <w:r w:rsidRPr="004038F3">
        <w:t xml:space="preserve"> cases;</w:t>
      </w:r>
    </w:p>
    <w:p w14:paraId="43C60A74" w14:textId="70A2D0B1" w:rsidR="006A1F5E" w:rsidRPr="009114A2"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57395A">
        <w:t xml:space="preserve">Criminal charges, filed in approximately </w:t>
      </w:r>
      <w:r>
        <w:t>63</w:t>
      </w:r>
      <w:r w:rsidRPr="0057395A">
        <w:t xml:space="preserve"> cases, involving individuals and legal entities engaged in illegal trade, with outcomes including confiscation, fines, suspension or revocation of licences, arrests and</w:t>
      </w:r>
      <w:r w:rsidR="001F7AD9">
        <w:t>, in some cases,</w:t>
      </w:r>
      <w:r w:rsidRPr="0057395A">
        <w:t xml:space="preserve"> imprisonment</w:t>
      </w:r>
      <w:r>
        <w:t>;</w:t>
      </w:r>
    </w:p>
    <w:p w14:paraId="1F8BEF11" w14:textId="77777777" w:rsidR="006A1F5E"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306E9C">
        <w:t>Compliance orders, requiring offenders to regularize their activities under applicable licensing and quota systems prior to release or legal circulation of goods, recorded in approximately 2</w:t>
      </w:r>
      <w:r>
        <w:t>6</w:t>
      </w:r>
      <w:r w:rsidRPr="00306E9C">
        <w:t xml:space="preserve"> cases; </w:t>
      </w:r>
    </w:p>
    <w:p w14:paraId="565F1A5E" w14:textId="77777777" w:rsidR="006A1F5E"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718BE">
        <w:t xml:space="preserve">Case closure following regularization or administrative agreement between offenders and authorities, recorded in approximately 44 cases; </w:t>
      </w:r>
    </w:p>
    <w:p w14:paraId="19837506" w14:textId="234EDF58" w:rsidR="006A1F5E" w:rsidRDefault="006A1F5E" w:rsidP="006A1F5E">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D050E7">
        <w:t>Other enforcement measures, including destruction of goods at the offender’s cost (12</w:t>
      </w:r>
      <w:r w:rsidR="00F1479A">
        <w:t> </w:t>
      </w:r>
      <w:r w:rsidRPr="00D050E7">
        <w:t>cases), warnings or notifications (12 cases), and suspension, revocation or redistribution of licences and quotas, particularly in relation to</w:t>
      </w:r>
      <w:r w:rsidR="00BB2963">
        <w:t xml:space="preserve"> cases involving</w:t>
      </w:r>
      <w:r w:rsidRPr="00D050E7">
        <w:t xml:space="preserve"> quota exceedance and </w:t>
      </w:r>
      <w:r w:rsidR="00387C03">
        <w:t>documentation</w:t>
      </w:r>
      <w:r w:rsidR="00387C03">
        <w:noBreakHyphen/>
      </w:r>
      <w:r w:rsidRPr="00D050E7">
        <w:t>related violations.</w:t>
      </w:r>
    </w:p>
    <w:p w14:paraId="632D17BB" w14:textId="03A884CA" w:rsidR="006A1F5E" w:rsidRDefault="006A1F5E" w:rsidP="006A1F5E">
      <w:pPr>
        <w:pStyle w:val="Normalnumber"/>
        <w:tabs>
          <w:tab w:val="clear" w:pos="1247"/>
          <w:tab w:val="clear" w:pos="1814"/>
          <w:tab w:val="clear" w:pos="2381"/>
          <w:tab w:val="clear" w:pos="2948"/>
          <w:tab w:val="clear" w:pos="3515"/>
          <w:tab w:val="num" w:pos="624"/>
        </w:tabs>
      </w:pPr>
      <w:r w:rsidRPr="00580728">
        <w:t xml:space="preserve">In </w:t>
      </w:r>
      <w:r w:rsidRPr="00686F0A">
        <w:t>the newly reported cases, the most common enforcement actions were confiscation or seizure, denial of entry</w:t>
      </w:r>
      <w:r w:rsidRPr="00580728">
        <w:t xml:space="preserve"> or re-export, monetary fines or penalty notices, and case closure following regularization</w:t>
      </w:r>
      <w:r>
        <w:t xml:space="preserve"> (see </w:t>
      </w:r>
      <w:r w:rsidRPr="00A348AD">
        <w:t>para. 33 below for</w:t>
      </w:r>
      <w:r w:rsidRPr="005F5066">
        <w:t xml:space="preserve"> details</w:t>
      </w:r>
      <w:r>
        <w:t xml:space="preserve"> on methods of regularization)</w:t>
      </w:r>
      <w:r w:rsidRPr="00580728">
        <w:t>.</w:t>
      </w:r>
    </w:p>
    <w:p w14:paraId="53F455BF" w14:textId="7607A09C" w:rsidR="006A1F5E" w:rsidRDefault="00D60152" w:rsidP="006A1F5E">
      <w:pPr>
        <w:pStyle w:val="Normalnumber"/>
        <w:tabs>
          <w:tab w:val="clear" w:pos="1247"/>
          <w:tab w:val="clear" w:pos="1814"/>
          <w:tab w:val="clear" w:pos="2381"/>
          <w:tab w:val="clear" w:pos="2948"/>
          <w:tab w:val="clear" w:pos="3515"/>
          <w:tab w:val="num" w:pos="624"/>
        </w:tabs>
      </w:pPr>
      <w:proofErr w:type="gramStart"/>
      <w:r w:rsidRPr="009F2289">
        <w:t>O</w:t>
      </w:r>
      <w:r w:rsidR="006A1F5E" w:rsidRPr="00FF4B7A">
        <w:t xml:space="preserve">n </w:t>
      </w:r>
      <w:r w:rsidRPr="009F2289">
        <w:t>the basis of</w:t>
      </w:r>
      <w:proofErr w:type="gramEnd"/>
      <w:r w:rsidRPr="009F2289">
        <w:t xml:space="preserve"> </w:t>
      </w:r>
      <w:r w:rsidR="006A1F5E" w:rsidRPr="00FF4B7A">
        <w:t xml:space="preserve">the cases reviewed, applying a combination of enforcement actions and resulting penalties based on a </w:t>
      </w:r>
      <w:r w:rsidR="006A1F5E" w:rsidRPr="00EE1C1B">
        <w:t xml:space="preserve">comprehensive legal </w:t>
      </w:r>
      <w:r w:rsidR="006A1F5E" w:rsidRPr="00D72B7C">
        <w:t>framework represents a more robust enforcement response</w:t>
      </w:r>
      <w:r w:rsidR="00137217">
        <w:t>.</w:t>
      </w:r>
      <w:r w:rsidR="006A1F5E" w:rsidRPr="00D72B7C">
        <w:t xml:space="preserve"> </w:t>
      </w:r>
      <w:r w:rsidR="00EE1C1B" w:rsidRPr="00D72B7C">
        <w:t>F</w:t>
      </w:r>
      <w:r w:rsidR="006A1F5E" w:rsidRPr="00D72B7C">
        <w:t xml:space="preserve">or example, fines for violations </w:t>
      </w:r>
      <w:r w:rsidR="00EE1C1B" w:rsidRPr="00D72B7C">
        <w:t xml:space="preserve">can be </w:t>
      </w:r>
      <w:r w:rsidR="006A1F5E" w:rsidRPr="00D72B7C">
        <w:t>imposed in conjunction with other forms of penalty, such as confiscation, re</w:t>
      </w:r>
      <w:r w:rsidR="006A1F5E" w:rsidRPr="00D72B7C">
        <w:noBreakHyphen/>
        <w:t>export</w:t>
      </w:r>
      <w:r w:rsidR="006A1F5E" w:rsidRPr="00EE1C1B">
        <w:t xml:space="preserve"> or destruction at the violator’s cost. In </w:t>
      </w:r>
      <w:r w:rsidR="00655FD3" w:rsidRPr="00EE1C1B">
        <w:t xml:space="preserve">such </w:t>
      </w:r>
      <w:r w:rsidR="006A1F5E" w:rsidRPr="00EE1C1B">
        <w:t>instances, the total financial burden</w:t>
      </w:r>
      <w:r w:rsidR="006A1F5E" w:rsidRPr="006262BA">
        <w:t xml:space="preserve"> on the violator can be significant,</w:t>
      </w:r>
      <w:r w:rsidR="006A1F5E" w:rsidRPr="003024FD">
        <w:t xml:space="preserve"> </w:t>
      </w:r>
      <w:r w:rsidR="006A1F5E">
        <w:t xml:space="preserve">which serves as </w:t>
      </w:r>
      <w:r w:rsidR="006A1F5E" w:rsidRPr="00AB7C38">
        <w:t>a</w:t>
      </w:r>
      <w:r w:rsidR="006A1F5E">
        <w:t>n effective</w:t>
      </w:r>
      <w:r w:rsidR="006A1F5E" w:rsidRPr="00AB7C38">
        <w:t xml:space="preserve"> deterrent</w:t>
      </w:r>
      <w:r w:rsidR="006A1F5E" w:rsidRPr="006262BA">
        <w:t>.</w:t>
      </w:r>
    </w:p>
    <w:p w14:paraId="5F8A610B" w14:textId="17CE0140" w:rsidR="006A1F5E" w:rsidRDefault="00834507" w:rsidP="006A1F5E">
      <w:pPr>
        <w:pStyle w:val="Normalnumber"/>
        <w:tabs>
          <w:tab w:val="clear" w:pos="1247"/>
          <w:tab w:val="clear" w:pos="1814"/>
          <w:tab w:val="clear" w:pos="2381"/>
          <w:tab w:val="clear" w:pos="2948"/>
          <w:tab w:val="clear" w:pos="3515"/>
          <w:tab w:val="num" w:pos="624"/>
        </w:tabs>
      </w:pPr>
      <w:r>
        <w:t>“</w:t>
      </w:r>
      <w:r w:rsidR="006A1F5E" w:rsidRPr="009B336E">
        <w:t xml:space="preserve">Ongoing” investigations, prosecutions or legal proceedings were recorded in approximately </w:t>
      </w:r>
      <w:r w:rsidR="006A1F5E">
        <w:t>153</w:t>
      </w:r>
      <w:r w:rsidR="006A1F5E" w:rsidRPr="009B336E">
        <w:t xml:space="preserve"> cases. In </w:t>
      </w:r>
      <w:r w:rsidR="006A1F5E">
        <w:t>60</w:t>
      </w:r>
      <w:r w:rsidR="006A1F5E" w:rsidRPr="009B336E">
        <w:t xml:space="preserve"> cases, it was not possible to determine the final enforcement outcome due to limited information provided by reporting parties. This may reflect delays in administrative or judicial processes, particularly in cases requiring inter-agency coordination, or gaps in case tracking and reporting systems. </w:t>
      </w:r>
      <w:r w:rsidR="006A1F5E" w:rsidRPr="00B572FD">
        <w:t>In recent years, the Secretariat has encourag</w:t>
      </w:r>
      <w:r w:rsidR="00C85023">
        <w:t>ed</w:t>
      </w:r>
      <w:r w:rsidR="006A1F5E" w:rsidRPr="00B572FD">
        <w:t xml:space="preserve"> parties to provide updates on previously reported cases </w:t>
      </w:r>
      <w:proofErr w:type="gramStart"/>
      <w:r w:rsidR="006A1F5E" w:rsidRPr="00B572FD">
        <w:t>in order to</w:t>
      </w:r>
      <w:proofErr w:type="gramEnd"/>
      <w:r w:rsidR="006A1F5E" w:rsidRPr="00B572FD">
        <w:t xml:space="preserve"> improve the completeness of outcome data and support a more accurate assessment of enforcement effectiveness across both Article 5 and non-Article 5 parties.</w:t>
      </w:r>
    </w:p>
    <w:p w14:paraId="5AB9C8F9" w14:textId="77777777" w:rsidR="006A1F5E" w:rsidRPr="00694025" w:rsidRDefault="006A1F5E" w:rsidP="006A1F5E">
      <w:pPr>
        <w:pStyle w:val="CH4"/>
      </w:pPr>
      <w:r w:rsidRPr="00694025">
        <w:lastRenderedPageBreak/>
        <w:tab/>
      </w:r>
      <w:r>
        <w:t>(d)</w:t>
      </w:r>
      <w:r>
        <w:tab/>
      </w:r>
      <w:r w:rsidRPr="00694025">
        <w:t xml:space="preserve">Disposition of </w:t>
      </w:r>
      <w:r w:rsidRPr="008A0222">
        <w:t>detained</w:t>
      </w:r>
      <w:r w:rsidRPr="00694025">
        <w:t xml:space="preserve"> substances</w:t>
      </w:r>
    </w:p>
    <w:p w14:paraId="245FDA77" w14:textId="5512BEF4" w:rsidR="006A1F5E" w:rsidRDefault="006A1F5E" w:rsidP="006A1F5E">
      <w:pPr>
        <w:pStyle w:val="Normalnumber"/>
        <w:tabs>
          <w:tab w:val="clear" w:pos="1247"/>
          <w:tab w:val="clear" w:pos="1814"/>
          <w:tab w:val="clear" w:pos="2381"/>
          <w:tab w:val="clear" w:pos="2948"/>
          <w:tab w:val="clear" w:pos="3515"/>
          <w:tab w:val="num" w:pos="624"/>
        </w:tabs>
      </w:pPr>
      <w:r>
        <w:t xml:space="preserve">In </w:t>
      </w:r>
      <w:r w:rsidR="00564871">
        <w:t xml:space="preserve">paragraph 5 of </w:t>
      </w:r>
      <w:r>
        <w:t xml:space="preserve">decision XXXVI/9, parties were invited to provide information on how they address the disposition of detained </w:t>
      </w:r>
      <w:r w:rsidRPr="00B830FE">
        <w:t xml:space="preserve">substances </w:t>
      </w:r>
      <w:r w:rsidRPr="00235C44">
        <w:t xml:space="preserve">(understood as the final treatment of the detained substance, including, when applicable, </w:t>
      </w:r>
      <w:r>
        <w:t xml:space="preserve">its </w:t>
      </w:r>
      <w:r w:rsidRPr="00235C44">
        <w:t>destruction</w:t>
      </w:r>
      <w:r>
        <w:t xml:space="preserve"> or the </w:t>
      </w:r>
      <w:r w:rsidRPr="00235C44">
        <w:t xml:space="preserve">transfer of its ownership or control after </w:t>
      </w:r>
      <w:r>
        <w:t xml:space="preserve">the </w:t>
      </w:r>
      <w:r w:rsidRPr="00235C44">
        <w:t>completion of legal proceedings)</w:t>
      </w:r>
      <w:r w:rsidRPr="00B830FE">
        <w:t>.</w:t>
      </w:r>
      <w:r>
        <w:t xml:space="preserve"> </w:t>
      </w:r>
      <w:r w:rsidRPr="00B720B2">
        <w:t xml:space="preserve">Effective </w:t>
      </w:r>
      <w:r w:rsidRPr="00D23734">
        <w:rPr>
          <w:rFonts w:eastAsia="Aptos"/>
          <w:kern w:val="2"/>
          <w14:ligatures w14:val="standardContextual"/>
        </w:rPr>
        <w:t>disposition</w:t>
      </w:r>
      <w:r w:rsidRPr="00B720B2">
        <w:t xml:space="preserve"> ensures that </w:t>
      </w:r>
      <w:r>
        <w:t xml:space="preserve">restricted or prohibited </w:t>
      </w:r>
      <w:r w:rsidRPr="00B720B2">
        <w:t>goods are removed from circulation and prevents their re-entry into legal markets.</w:t>
      </w:r>
    </w:p>
    <w:p w14:paraId="0C4CD130" w14:textId="610FDFF0" w:rsidR="006A1F5E" w:rsidRDefault="006A1F5E" w:rsidP="006A1F5E">
      <w:pPr>
        <w:pStyle w:val="Normalnumber"/>
        <w:tabs>
          <w:tab w:val="clear" w:pos="1247"/>
          <w:tab w:val="clear" w:pos="1814"/>
          <w:tab w:val="clear" w:pos="2381"/>
          <w:tab w:val="clear" w:pos="2948"/>
          <w:tab w:val="clear" w:pos="3515"/>
          <w:tab w:val="num" w:pos="624"/>
        </w:tabs>
      </w:pPr>
      <w:r w:rsidRPr="00C34876">
        <w:t>The review of disposition methods reported by parties revealed that destruction</w:t>
      </w:r>
      <w:r w:rsidR="00C34876">
        <w:t xml:space="preserve">, </w:t>
      </w:r>
      <w:r w:rsidR="00C34876" w:rsidRPr="00C34876">
        <w:t>reported in 283 cases</w:t>
      </w:r>
      <w:r w:rsidR="00C34876">
        <w:t>,</w:t>
      </w:r>
      <w:r w:rsidRPr="00C34876">
        <w:t xml:space="preserve"> is the most frequently applied method of final disposition and was primarily used for substances with high</w:t>
      </w:r>
      <w:r w:rsidRPr="007E011F">
        <w:t xml:space="preserve"> ozone-depleting or </w:t>
      </w:r>
      <w:r>
        <w:t>global</w:t>
      </w:r>
      <w:r w:rsidRPr="007E011F">
        <w:t>-warming potential.</w:t>
      </w:r>
      <w:r>
        <w:t xml:space="preserve"> </w:t>
      </w:r>
      <w:r w:rsidRPr="00B720B2">
        <w:t>Th</w:t>
      </w:r>
      <w:r>
        <w:t xml:space="preserve">e use of this </w:t>
      </w:r>
      <w:r w:rsidRPr="00B720B2">
        <w:t xml:space="preserve">method </w:t>
      </w:r>
      <w:r>
        <w:t xml:space="preserve">in the reported cases </w:t>
      </w:r>
      <w:r w:rsidRPr="00B720B2">
        <w:t>reflects</w:t>
      </w:r>
      <w:r>
        <w:t xml:space="preserve"> the a</w:t>
      </w:r>
      <w:r w:rsidRPr="00B720B2">
        <w:t>vailability of appropriate destruction facilitie</w:t>
      </w:r>
      <w:r>
        <w:t>s.</w:t>
      </w:r>
    </w:p>
    <w:p w14:paraId="7A01DCA0" w14:textId="027375BB" w:rsidR="006A1F5E" w:rsidRDefault="006A1F5E" w:rsidP="006A1F5E">
      <w:pPr>
        <w:pStyle w:val="Normalnumber"/>
        <w:tabs>
          <w:tab w:val="clear" w:pos="1247"/>
          <w:tab w:val="clear" w:pos="1814"/>
          <w:tab w:val="clear" w:pos="2381"/>
          <w:tab w:val="clear" w:pos="2948"/>
          <w:tab w:val="clear" w:pos="3515"/>
          <w:tab w:val="num" w:pos="624"/>
        </w:tabs>
      </w:pPr>
      <w:r w:rsidRPr="00FE6420">
        <w:t>In</w:t>
      </w:r>
      <w:r>
        <w:t xml:space="preserve"> 137</w:t>
      </w:r>
      <w:r w:rsidRPr="00FE6420">
        <w:t xml:space="preserve"> cases, when the goods could not be legally imported</w:t>
      </w:r>
      <w:r>
        <w:t xml:space="preserve">, </w:t>
      </w:r>
      <w:r w:rsidR="00667F06">
        <w:t xml:space="preserve">they were </w:t>
      </w:r>
      <w:r>
        <w:t>re-export</w:t>
      </w:r>
      <w:r w:rsidR="00667F06">
        <w:t>ed</w:t>
      </w:r>
      <w:r>
        <w:t xml:space="preserve"> (i.e. </w:t>
      </w:r>
      <w:r w:rsidRPr="00B720B2">
        <w:t>return</w:t>
      </w:r>
      <w:r w:rsidR="00667F06">
        <w:t>ed</w:t>
      </w:r>
      <w:r w:rsidRPr="00B720B2">
        <w:t xml:space="preserve"> to the exporting country</w:t>
      </w:r>
      <w:r>
        <w:t>)</w:t>
      </w:r>
      <w:r w:rsidRPr="00B720B2">
        <w:t xml:space="preserve">. </w:t>
      </w:r>
      <w:r>
        <w:t>W</w:t>
      </w:r>
      <w:r w:rsidRPr="00683571">
        <w:t>hile re-export may address immediate import non-compliance, its effectiveness depends on subsequent controls in the exporting country and on the existence of adequate coordination to ensure that returned goods do not re-enter circulation.</w:t>
      </w:r>
    </w:p>
    <w:p w14:paraId="3479DD30" w14:textId="43287A9E" w:rsidR="006A1F5E" w:rsidRPr="00B720B2" w:rsidRDefault="006A1F5E" w:rsidP="006A1F5E">
      <w:pPr>
        <w:pStyle w:val="Normalnumber"/>
        <w:tabs>
          <w:tab w:val="clear" w:pos="1247"/>
          <w:tab w:val="clear" w:pos="1814"/>
          <w:tab w:val="clear" w:pos="2381"/>
          <w:tab w:val="clear" w:pos="2948"/>
          <w:tab w:val="clear" w:pos="3515"/>
          <w:tab w:val="num" w:pos="624"/>
        </w:tabs>
      </w:pPr>
      <w:r w:rsidRPr="00FB6203">
        <w:t>The release of goods back into circulation following resolution of the initial non-compliance was reported in 61 cases. In 44 of th</w:t>
      </w:r>
      <w:r w:rsidR="00336869">
        <w:t>o</w:t>
      </w:r>
      <w:r w:rsidRPr="00FB6203">
        <w:t>se cases, goods were released directly to their owner, either following regularization of import condition</w:t>
      </w:r>
      <w:r>
        <w:t>s</w:t>
      </w:r>
      <w:r w:rsidRPr="00FB6203">
        <w:t>, where import requirements were subsequently fulfilled through the presentation of valid licences, quota allocations or other required documentation, or after payment of a fine or issuance of a compliance orde</w:t>
      </w:r>
      <w:r>
        <w:t>r</w:t>
      </w:r>
      <w:r w:rsidRPr="00FB6203">
        <w:t xml:space="preserve">. In </w:t>
      </w:r>
      <w:r>
        <w:t>eight</w:t>
      </w:r>
      <w:r w:rsidRPr="00FB6203">
        <w:t xml:space="preserve"> </w:t>
      </w:r>
      <w:r w:rsidR="001B5627">
        <w:t xml:space="preserve">additional </w:t>
      </w:r>
      <w:r w:rsidRPr="00FB6203">
        <w:t xml:space="preserve">cases </w:t>
      </w:r>
      <w:r w:rsidR="0022151C">
        <w:t>in which</w:t>
      </w:r>
      <w:r w:rsidR="0022151C" w:rsidRPr="00FB6203">
        <w:t xml:space="preserve"> goods had initially been detained pending verification</w:t>
      </w:r>
      <w:r w:rsidR="0022151C">
        <w:t xml:space="preserve">, </w:t>
      </w:r>
      <w:r w:rsidR="0033212E">
        <w:t>these</w:t>
      </w:r>
      <w:r w:rsidRPr="00FB6203">
        <w:t xml:space="preserve"> were permitted to be exported or re-exported following presentation of a valid import licence or completion of the documentation requirements. The remaining </w:t>
      </w:r>
      <w:r>
        <w:t xml:space="preserve">nine </w:t>
      </w:r>
      <w:r w:rsidRPr="00FB6203">
        <w:t>cases involved release into the market or general circulation following compliance with applicable regulatory requirements or an administrative determination that no intentional violation had occurred.</w:t>
      </w:r>
    </w:p>
    <w:p w14:paraId="4227460A" w14:textId="043F21DB" w:rsidR="006A1F5E" w:rsidRDefault="006A1F5E" w:rsidP="006A1F5E">
      <w:pPr>
        <w:pStyle w:val="Normalnumber"/>
        <w:tabs>
          <w:tab w:val="clear" w:pos="1247"/>
          <w:tab w:val="clear" w:pos="1814"/>
          <w:tab w:val="clear" w:pos="2381"/>
          <w:tab w:val="clear" w:pos="2948"/>
          <w:tab w:val="clear" w:pos="3515"/>
          <w:tab w:val="num" w:pos="624"/>
        </w:tabs>
      </w:pPr>
      <w:r w:rsidRPr="003D599E">
        <w:t xml:space="preserve">Other options </w:t>
      </w:r>
      <w:r>
        <w:t xml:space="preserve">mentioned </w:t>
      </w:r>
      <w:r w:rsidR="008F4856" w:rsidRPr="00D23730">
        <w:t>in</w:t>
      </w:r>
      <w:r w:rsidR="008F4856">
        <w:t>cluded</w:t>
      </w:r>
      <w:r w:rsidR="008F4856" w:rsidRPr="00D23730">
        <w:t xml:space="preserve"> </w:t>
      </w:r>
      <w:r w:rsidRPr="00D23730">
        <w:t>auctioning</w:t>
      </w:r>
      <w:r w:rsidRPr="003D599E">
        <w:t xml:space="preserve"> the goods </w:t>
      </w:r>
      <w:r>
        <w:t>to eligible companies</w:t>
      </w:r>
      <w:r w:rsidRPr="003D599E">
        <w:t xml:space="preserve">. While </w:t>
      </w:r>
      <w:r>
        <w:t>this approach</w:t>
      </w:r>
      <w:r w:rsidRPr="003D599E">
        <w:t xml:space="preserve"> may </w:t>
      </w:r>
      <w:r>
        <w:t>enable administrations to recover resources</w:t>
      </w:r>
      <w:r w:rsidRPr="003D599E">
        <w:t xml:space="preserve">, </w:t>
      </w:r>
      <w:r>
        <w:t>available quotas should not be exceeded</w:t>
      </w:r>
      <w:r w:rsidRPr="003D599E">
        <w:t xml:space="preserve">. </w:t>
      </w:r>
      <w:r>
        <w:t>S</w:t>
      </w:r>
      <w:r w:rsidRPr="003D599E">
        <w:t xml:space="preserve">torage </w:t>
      </w:r>
      <w:r>
        <w:t xml:space="preserve">at </w:t>
      </w:r>
      <w:r w:rsidRPr="003D599E">
        <w:t>the customs premises</w:t>
      </w:r>
      <w:r>
        <w:t xml:space="preserve"> was also mentioned.</w:t>
      </w:r>
      <w:r w:rsidRPr="003D599E">
        <w:t xml:space="preserve"> </w:t>
      </w:r>
      <w:r>
        <w:t>I</w:t>
      </w:r>
      <w:r w:rsidRPr="003D599E">
        <w:t xml:space="preserve">n </w:t>
      </w:r>
      <w:r>
        <w:t xml:space="preserve">those </w:t>
      </w:r>
      <w:r w:rsidRPr="003D599E">
        <w:t>cases</w:t>
      </w:r>
      <w:r>
        <w:t>,</w:t>
      </w:r>
      <w:r w:rsidRPr="003D599E">
        <w:t xml:space="preserve"> </w:t>
      </w:r>
      <w:r>
        <w:t xml:space="preserve">the </w:t>
      </w:r>
      <w:r w:rsidRPr="003D599E">
        <w:t xml:space="preserve">final outcomes of the processes are not </w:t>
      </w:r>
      <w:proofErr w:type="gramStart"/>
      <w:r w:rsidRPr="003D599E">
        <w:t>known</w:t>
      </w:r>
      <w:proofErr w:type="gramEnd"/>
      <w:r w:rsidRPr="003D599E">
        <w:t xml:space="preserve"> and updates have not been provided to the </w:t>
      </w:r>
      <w:r>
        <w:t>S</w:t>
      </w:r>
      <w:r w:rsidRPr="003D599E">
        <w:t xml:space="preserve">ecretariat. In </w:t>
      </w:r>
      <w:r>
        <w:t>a</w:t>
      </w:r>
      <w:r w:rsidRPr="003D599E">
        <w:t xml:space="preserve"> </w:t>
      </w:r>
      <w:r>
        <w:t xml:space="preserve">small number of </w:t>
      </w:r>
      <w:r w:rsidRPr="003D599E">
        <w:t xml:space="preserve">cases, handling </w:t>
      </w:r>
      <w:r>
        <w:t xml:space="preserve">was reported to </w:t>
      </w:r>
      <w:r w:rsidRPr="003D599E">
        <w:t xml:space="preserve">include sending the substance to </w:t>
      </w:r>
      <w:proofErr w:type="gramStart"/>
      <w:r w:rsidRPr="003D599E">
        <w:t>recycling</w:t>
      </w:r>
      <w:proofErr w:type="gramEnd"/>
      <w:r>
        <w:t xml:space="preserve"> facilities or </w:t>
      </w:r>
      <w:r w:rsidRPr="003D599E">
        <w:t>donating it to naval services</w:t>
      </w:r>
      <w:r>
        <w:t xml:space="preserve">. </w:t>
      </w:r>
    </w:p>
    <w:p w14:paraId="77B6D209" w14:textId="45D9F4CA" w:rsidR="006A1F5E" w:rsidRPr="00B35C0D" w:rsidRDefault="006A1F5E" w:rsidP="006A1F5E">
      <w:pPr>
        <w:pStyle w:val="Normalnumber"/>
        <w:tabs>
          <w:tab w:val="clear" w:pos="1247"/>
          <w:tab w:val="clear" w:pos="1814"/>
          <w:tab w:val="clear" w:pos="2381"/>
          <w:tab w:val="clear" w:pos="2948"/>
          <w:tab w:val="clear" w:pos="3515"/>
          <w:tab w:val="num" w:pos="624"/>
        </w:tabs>
      </w:pPr>
      <w:r>
        <w:t xml:space="preserve">In </w:t>
      </w:r>
      <w:proofErr w:type="gramStart"/>
      <w:r w:rsidRPr="00D23730">
        <w:t>a large number of</w:t>
      </w:r>
      <w:proofErr w:type="gramEnd"/>
      <w:r w:rsidRPr="00D23730">
        <w:t xml:space="preserve"> cases (</w:t>
      </w:r>
      <w:r>
        <w:t>507</w:t>
      </w:r>
      <w:r w:rsidRPr="00D23730">
        <w:t>)</w:t>
      </w:r>
      <w:r>
        <w:t>,</w:t>
      </w:r>
      <w:r w:rsidRPr="00D23730">
        <w:t xml:space="preserve"> the final dispos</w:t>
      </w:r>
      <w:r w:rsidRPr="003753BA">
        <w:t>ition</w:t>
      </w:r>
      <w:r w:rsidRPr="00D23730">
        <w:t xml:space="preserve"> of the detained substances was </w:t>
      </w:r>
      <w:r>
        <w:t>un</w:t>
      </w:r>
      <w:r w:rsidRPr="00D23730">
        <w:t>specified. The</w:t>
      </w:r>
      <w:r w:rsidRPr="00B35C0D">
        <w:t xml:space="preserve"> cases </w:t>
      </w:r>
      <w:r>
        <w:t>may relate to ongoing investigation</w:t>
      </w:r>
      <w:r w:rsidR="000F0CEA">
        <w:t>s</w:t>
      </w:r>
      <w:r>
        <w:t xml:space="preserve">, </w:t>
      </w:r>
      <w:r w:rsidRPr="00B35C0D">
        <w:t>pending decisions or unresolved proceedings</w:t>
      </w:r>
      <w:r>
        <w:t xml:space="preserve">. In general, </w:t>
      </w:r>
      <w:r w:rsidRPr="00B35C0D">
        <w:t>national procedures for disposition</w:t>
      </w:r>
      <w:r>
        <w:t xml:space="preserve"> of controlled substances, including a </w:t>
      </w:r>
      <w:r w:rsidRPr="00B35C0D">
        <w:t xml:space="preserve">defined timeline for </w:t>
      </w:r>
      <w:r>
        <w:t xml:space="preserve">case resolution, can be considered a good practice that could prevent </w:t>
      </w:r>
      <w:r w:rsidRPr="00B35C0D">
        <w:t xml:space="preserve">accumulation </w:t>
      </w:r>
      <w:r>
        <w:t xml:space="preserve">and accidental leakage of detained </w:t>
      </w:r>
      <w:r w:rsidRPr="00B35C0D">
        <w:t xml:space="preserve">substances </w:t>
      </w:r>
      <w:r>
        <w:t>during</w:t>
      </w:r>
      <w:r w:rsidRPr="00B35C0D">
        <w:t xml:space="preserve"> storage.</w:t>
      </w:r>
      <w:r>
        <w:t xml:space="preserve"> </w:t>
      </w:r>
      <w:r w:rsidRPr="00B432C0">
        <w:t>Strengthening reporting on final outcomes could support improved monitoring and help identify additional effective approaches for the management of detained controlled substances.</w:t>
      </w:r>
    </w:p>
    <w:p w14:paraId="3BA48C65" w14:textId="77777777" w:rsidR="006A1F5E" w:rsidRPr="00694025" w:rsidRDefault="006A1F5E" w:rsidP="006A1F5E">
      <w:pPr>
        <w:pStyle w:val="CH3"/>
      </w:pPr>
      <w:r>
        <w:tab/>
      </w:r>
      <w:r w:rsidRPr="00694025">
        <w:t>2.</w:t>
      </w:r>
      <w:r w:rsidRPr="00694025">
        <w:tab/>
        <w:t xml:space="preserve">Cases reported under decision XXXI/3 </w:t>
      </w:r>
    </w:p>
    <w:p w14:paraId="32AAD28A" w14:textId="4CE474B1" w:rsidR="006A1F5E" w:rsidRDefault="006A1F5E" w:rsidP="009F2289">
      <w:pPr>
        <w:pStyle w:val="Normalnumber"/>
        <w:tabs>
          <w:tab w:val="clear" w:pos="1247"/>
          <w:tab w:val="clear" w:pos="1814"/>
          <w:tab w:val="clear" w:pos="2381"/>
          <w:tab w:val="clear" w:pos="2948"/>
          <w:tab w:val="clear" w:pos="3515"/>
          <w:tab w:val="num" w:pos="624"/>
        </w:tabs>
      </w:pPr>
      <w:r w:rsidRPr="00473658">
        <w:t>Over the period 2022</w:t>
      </w:r>
      <w:r w:rsidRPr="00473658">
        <w:rPr>
          <w:rFonts w:ascii="Symbol" w:eastAsia="Symbol" w:hAnsi="Symbol" w:cs="Symbol"/>
        </w:rPr>
        <w:t>-</w:t>
      </w:r>
      <w:r w:rsidRPr="00473658">
        <w:t xml:space="preserve">2026, four parties, specifically China, </w:t>
      </w:r>
      <w:r w:rsidRPr="00CD3B30">
        <w:t>Netherlands (Kingdom of the),</w:t>
      </w:r>
      <w:r w:rsidRPr="00473658">
        <w:t xml:space="preserve"> the United Kingdom and the United</w:t>
      </w:r>
      <w:r>
        <w:t xml:space="preserve"> States, </w:t>
      </w:r>
      <w:r w:rsidRPr="002E243E">
        <w:t>reported a total of</w:t>
      </w:r>
      <w:r>
        <w:t xml:space="preserve"> 31</w:t>
      </w:r>
      <w:r w:rsidRPr="002E243E">
        <w:t xml:space="preserve"> cases of illegal production and consumption pursuant to paragraph 5 (d) of decision XXXI/3. </w:t>
      </w:r>
      <w:r>
        <w:t xml:space="preserve">These cases include instances </w:t>
      </w:r>
      <w:r w:rsidR="00D31CDA">
        <w:t xml:space="preserve">in which </w:t>
      </w:r>
      <w:r w:rsidRPr="00E36F06">
        <w:t xml:space="preserve">illegal import </w:t>
      </w:r>
      <w:r>
        <w:t xml:space="preserve">had </w:t>
      </w:r>
      <w:r w:rsidRPr="00E36F06">
        <w:t>occurred.</w:t>
      </w:r>
    </w:p>
    <w:p w14:paraId="5E5BB56C" w14:textId="79864E6F" w:rsidR="006A1F5E" w:rsidRDefault="006A1F5E" w:rsidP="006A1F5E">
      <w:pPr>
        <w:pStyle w:val="Normalnumber"/>
        <w:tabs>
          <w:tab w:val="clear" w:pos="1247"/>
          <w:tab w:val="clear" w:pos="1814"/>
          <w:tab w:val="clear" w:pos="2381"/>
          <w:tab w:val="clear" w:pos="2948"/>
          <w:tab w:val="clear" w:pos="3515"/>
          <w:tab w:val="num" w:pos="624"/>
        </w:tabs>
      </w:pPr>
      <w:r w:rsidRPr="00596BAA">
        <w:t xml:space="preserve">These types of activities </w:t>
      </w:r>
      <w:r>
        <w:t xml:space="preserve">are </w:t>
      </w:r>
      <w:r w:rsidRPr="000138E6">
        <w:t xml:space="preserve">primarily characterized by quota-related violations, including imports of regulated HFCs </w:t>
      </w:r>
      <w:r w:rsidR="00FB1B51">
        <w:t>c</w:t>
      </w:r>
      <w:r w:rsidR="00921838">
        <w:t>onducted</w:t>
      </w:r>
      <w:r w:rsidR="00FB1B51" w:rsidRPr="000138E6">
        <w:t xml:space="preserve"> </w:t>
      </w:r>
      <w:r w:rsidRPr="000138E6">
        <w:t xml:space="preserve">without sufficient </w:t>
      </w:r>
      <w:r w:rsidR="00872330">
        <w:t xml:space="preserve">allocations </w:t>
      </w:r>
      <w:r w:rsidRPr="000138E6">
        <w:t>or authori</w:t>
      </w:r>
      <w:r w:rsidR="003B6CC5">
        <w:t>z</w:t>
      </w:r>
      <w:r w:rsidRPr="000138E6">
        <w:t xml:space="preserve">ations. Other reported cases involve illegal production of substances such as HCFC-141b, HCFC-22 and HFCs, as well as the sale or distribution of prohibited goods, including non-refillable cylinders containing HFC-134a, in contravention of domestic regulatory frameworks. </w:t>
      </w:r>
      <w:r>
        <w:t>Some</w:t>
      </w:r>
      <w:r w:rsidRPr="000138E6">
        <w:t xml:space="preserve"> cases also reflect failures to meet regulatory requirements, including the absence of required certification or labelling.</w:t>
      </w:r>
    </w:p>
    <w:p w14:paraId="7F4BE066" w14:textId="307BE5A5" w:rsidR="006A1F5E" w:rsidRDefault="006A1F5E" w:rsidP="006A1F5E">
      <w:pPr>
        <w:pStyle w:val="Normalnumber"/>
        <w:tabs>
          <w:tab w:val="clear" w:pos="1247"/>
          <w:tab w:val="clear" w:pos="1814"/>
          <w:tab w:val="clear" w:pos="2381"/>
          <w:tab w:val="clear" w:pos="2948"/>
          <w:tab w:val="clear" w:pos="3515"/>
          <w:tab w:val="num" w:pos="624"/>
        </w:tabs>
      </w:pPr>
      <w:r w:rsidRPr="00BF1842">
        <w:t>Detection methods reported in these cases include</w:t>
      </w:r>
      <w:r w:rsidR="0030279F">
        <w:t>d</w:t>
      </w:r>
      <w:r w:rsidRPr="00BF1842">
        <w:t xml:space="preserve"> physical inspections, whistle</w:t>
      </w:r>
      <w:r w:rsidR="000139A5">
        <w:t>-</w:t>
      </w:r>
      <w:r w:rsidRPr="00BF1842">
        <w:t xml:space="preserve">blower reports and data-based approaches, such as reporting and cross-verification systems and the analysis of customs data. Cross-border information-sharing arrangements, including between the United Kingdom and the European Union, were also </w:t>
      </w:r>
      <w:r>
        <w:t>reported</w:t>
      </w:r>
      <w:r w:rsidRPr="00BF1842">
        <w:t>.</w:t>
      </w:r>
    </w:p>
    <w:p w14:paraId="1CECA60A" w14:textId="4E579CB2" w:rsidR="006A1F5E" w:rsidRDefault="006A1F5E" w:rsidP="006A1F5E">
      <w:pPr>
        <w:pStyle w:val="Normalnumber"/>
        <w:tabs>
          <w:tab w:val="clear" w:pos="1247"/>
          <w:tab w:val="clear" w:pos="1814"/>
          <w:tab w:val="clear" w:pos="2381"/>
          <w:tab w:val="clear" w:pos="2948"/>
          <w:tab w:val="clear" w:pos="3515"/>
          <w:tab w:val="num" w:pos="624"/>
        </w:tabs>
      </w:pPr>
      <w:r w:rsidRPr="00AC0779">
        <w:t xml:space="preserve">The enforcement actions reported encompass a range of administrative, civil and </w:t>
      </w:r>
      <w:r w:rsidRPr="00635C7B">
        <w:t>criminal measures</w:t>
      </w:r>
      <w:r w:rsidR="004065EB">
        <w:t xml:space="preserve">, </w:t>
      </w:r>
      <w:r w:rsidRPr="00AC0779">
        <w:t>includ</w:t>
      </w:r>
      <w:r w:rsidR="004065EB">
        <w:t>ing</w:t>
      </w:r>
      <w:r w:rsidRPr="00AC0779">
        <w:t xml:space="preserve"> the revocation and redistribution of quota or consumption allowances, seizure and destruction of substances, and the imposition of monetary</w:t>
      </w:r>
      <w:r w:rsidR="0044040C">
        <w:t xml:space="preserve"> fines or</w:t>
      </w:r>
      <w:r w:rsidRPr="00AC0779">
        <w:t xml:space="preserve"> penalties. Administrative measures are prominently reflected, particularly in cases involving imports </w:t>
      </w:r>
      <w:r w:rsidR="000139A5">
        <w:t>carried out</w:t>
      </w:r>
      <w:r w:rsidR="00921838" w:rsidRPr="00AC0779">
        <w:t xml:space="preserve"> </w:t>
      </w:r>
      <w:r w:rsidRPr="00AC0779">
        <w:t xml:space="preserve">without the requisite </w:t>
      </w:r>
      <w:r w:rsidRPr="00AC0779">
        <w:lastRenderedPageBreak/>
        <w:t>authori</w:t>
      </w:r>
      <w:r w:rsidR="00E15FDA">
        <w:t>z</w:t>
      </w:r>
      <w:r w:rsidRPr="00AC0779">
        <w:t xml:space="preserve">ations, where quota or consumption allowances are adjusted within established regulatory frameworks. Civil penalties </w:t>
      </w:r>
      <w:r w:rsidR="00BD34D5">
        <w:t>we</w:t>
      </w:r>
      <w:r w:rsidR="00BD34D5" w:rsidRPr="00AC0779">
        <w:t xml:space="preserve">re </w:t>
      </w:r>
      <w:r w:rsidRPr="00AC0779">
        <w:t>applied in response to failures to obtain sufficient quota authori</w:t>
      </w:r>
      <w:r w:rsidR="00F63517">
        <w:t>z</w:t>
      </w:r>
      <w:r w:rsidRPr="00AC0779">
        <w:t xml:space="preserve">ations, while </w:t>
      </w:r>
      <w:r w:rsidRPr="000139A5">
        <w:t>criminal measures</w:t>
      </w:r>
      <w:r w:rsidRPr="00AC0779">
        <w:t xml:space="preserve">, including seizure and destruction, </w:t>
      </w:r>
      <w:r w:rsidR="00BD34D5">
        <w:t>we</w:t>
      </w:r>
      <w:r w:rsidR="00BD34D5" w:rsidRPr="00AC0779">
        <w:t xml:space="preserve">re </w:t>
      </w:r>
      <w:r w:rsidRPr="00AC0779">
        <w:t xml:space="preserve">used in relation to </w:t>
      </w:r>
      <w:proofErr w:type="gramStart"/>
      <w:r w:rsidRPr="00AC0779">
        <w:t>prohibited</w:t>
      </w:r>
      <w:proofErr w:type="gramEnd"/>
      <w:r w:rsidRPr="00AC0779">
        <w:t xml:space="preserve"> products such as non-refillable cylinders. </w:t>
      </w:r>
    </w:p>
    <w:p w14:paraId="3DAA8036" w14:textId="77777777" w:rsidR="006A1F5E" w:rsidRPr="00694025" w:rsidRDefault="006A1F5E" w:rsidP="006A1F5E">
      <w:pPr>
        <w:pStyle w:val="CH1"/>
      </w:pPr>
      <w:r w:rsidRPr="002E243E">
        <w:tab/>
      </w:r>
      <w:r w:rsidRPr="00694025">
        <w:t>III.</w:t>
      </w:r>
      <w:r w:rsidRPr="00694025">
        <w:tab/>
        <w:t>Summary of best practices</w:t>
      </w:r>
    </w:p>
    <w:p w14:paraId="51056265" w14:textId="72FADCBF" w:rsidR="006A1F5E" w:rsidRPr="00E7084C" w:rsidRDefault="006A1F5E" w:rsidP="006A1F5E">
      <w:pPr>
        <w:pStyle w:val="Normalnumber"/>
        <w:tabs>
          <w:tab w:val="clear" w:pos="1247"/>
          <w:tab w:val="clear" w:pos="1814"/>
          <w:tab w:val="clear" w:pos="2381"/>
          <w:tab w:val="clear" w:pos="2948"/>
          <w:tab w:val="clear" w:pos="3515"/>
          <w:tab w:val="num" w:pos="624"/>
        </w:tabs>
      </w:pPr>
      <w:r w:rsidRPr="00E7084C">
        <w:t xml:space="preserve">The </w:t>
      </w:r>
      <w:r w:rsidRPr="001F5752">
        <w:t>comprehensive review of illegal trade cases reported by parties reveal</w:t>
      </w:r>
      <w:r>
        <w:t>ed</w:t>
      </w:r>
      <w:r w:rsidRPr="001F5752">
        <w:t xml:space="preserve"> several best </w:t>
      </w:r>
      <w:r w:rsidRPr="004131C4">
        <w:t xml:space="preserve">practices, as synthesized </w:t>
      </w:r>
      <w:r w:rsidRPr="003753BA">
        <w:t>above</w:t>
      </w:r>
      <w:r w:rsidRPr="004131C4">
        <w:t>,</w:t>
      </w:r>
      <w:r>
        <w:t xml:space="preserve"> </w:t>
      </w:r>
      <w:r w:rsidRPr="004131C4">
        <w:t xml:space="preserve">that are understood </w:t>
      </w:r>
      <w:r w:rsidRPr="008120DF">
        <w:t xml:space="preserve">to effectively support enforcement across the full cycle of responses to illegal trade: </w:t>
      </w:r>
      <w:r>
        <w:t xml:space="preserve">prevention, </w:t>
      </w:r>
      <w:r w:rsidRPr="008120DF">
        <w:t xml:space="preserve">detection, addressing violations, </w:t>
      </w:r>
      <w:r>
        <w:t xml:space="preserve">and </w:t>
      </w:r>
      <w:r w:rsidRPr="008120DF">
        <w:t>disposition of detained substances. Some of the practices</w:t>
      </w:r>
      <w:r w:rsidRPr="00EA772E">
        <w:t>, along with</w:t>
      </w:r>
      <w:r w:rsidRPr="008120DF">
        <w:t xml:space="preserve"> others</w:t>
      </w:r>
      <w:r>
        <w:t>,</w:t>
      </w:r>
      <w:r w:rsidRPr="004131C4">
        <w:t xml:space="preserve"> ha</w:t>
      </w:r>
      <w:r>
        <w:t>ve</w:t>
      </w:r>
      <w:r w:rsidRPr="004131C4">
        <w:t xml:space="preserve"> already been highlighted in previous notes (see para</w:t>
      </w:r>
      <w:r>
        <w:t>.</w:t>
      </w:r>
      <w:r w:rsidRPr="004131C4">
        <w:t xml:space="preserve"> 6</w:t>
      </w:r>
      <w:r>
        <w:t xml:space="preserve"> above</w:t>
      </w:r>
      <w:r w:rsidRPr="004131C4">
        <w:t>). The</w:t>
      </w:r>
      <w:r>
        <w:t xml:space="preserve"> use of the</w:t>
      </w:r>
      <w:r w:rsidRPr="004131C4">
        <w:t>se practices demonstrate</w:t>
      </w:r>
      <w:r>
        <w:t>s</w:t>
      </w:r>
      <w:r w:rsidRPr="008E3D7E">
        <w:t xml:space="preserve"> a systematic approach to </w:t>
      </w:r>
      <w:r>
        <w:t xml:space="preserve">combating </w:t>
      </w:r>
      <w:r w:rsidRPr="008E3D7E">
        <w:t>illegal trade</w:t>
      </w:r>
      <w:r>
        <w:t>.</w:t>
      </w:r>
    </w:p>
    <w:p w14:paraId="569CA12B" w14:textId="64550D1C" w:rsidR="006A1F5E" w:rsidRPr="008E3D7E" w:rsidRDefault="006A1F5E" w:rsidP="006A1F5E">
      <w:pPr>
        <w:pStyle w:val="Normalnumber"/>
        <w:tabs>
          <w:tab w:val="clear" w:pos="1247"/>
          <w:tab w:val="clear" w:pos="1814"/>
          <w:tab w:val="clear" w:pos="2381"/>
          <w:tab w:val="clear" w:pos="2948"/>
          <w:tab w:val="clear" w:pos="3515"/>
          <w:tab w:val="num" w:pos="624"/>
        </w:tabs>
      </w:pPr>
      <w:r>
        <w:t xml:space="preserve">This </w:t>
      </w:r>
      <w:r w:rsidRPr="00E7084C">
        <w:t>section</w:t>
      </w:r>
      <w:r>
        <w:t xml:space="preserve"> highlights </w:t>
      </w:r>
      <w:r w:rsidR="00FA5468">
        <w:t xml:space="preserve">some of </w:t>
      </w:r>
      <w:r w:rsidRPr="00E7084C">
        <w:t xml:space="preserve">the practices identified among the </w:t>
      </w:r>
      <w:r>
        <w:t>32</w:t>
      </w:r>
      <w:r w:rsidR="00802FAB">
        <w:t>1</w:t>
      </w:r>
      <w:r>
        <w:t xml:space="preserve"> </w:t>
      </w:r>
      <w:r w:rsidRPr="00E7084C">
        <w:t>newly reported cases</w:t>
      </w:r>
      <w:r>
        <w:t xml:space="preserve"> of illegal trade and</w:t>
      </w:r>
      <w:r w:rsidRPr="00E7084C">
        <w:t xml:space="preserve"> </w:t>
      </w:r>
      <w:r>
        <w:t>six</w:t>
      </w:r>
      <w:r w:rsidRPr="00E7084C">
        <w:t xml:space="preserve"> </w:t>
      </w:r>
      <w:r w:rsidR="005C30D5" w:rsidRPr="00E7084C">
        <w:t xml:space="preserve">additional </w:t>
      </w:r>
      <w:r w:rsidRPr="00E7084C">
        <w:t>cases of illegal production and consumption</w:t>
      </w:r>
      <w:r>
        <w:t>, thus building on the previous notes:</w:t>
      </w:r>
    </w:p>
    <w:p w14:paraId="51DFDEB7" w14:textId="77777777" w:rsidR="006A1F5E" w:rsidRPr="00BC2322"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957C11">
        <w:t>Clearly defined legislative and regulatory frameworks, including licensing and quota systems supported by proportionate penalties, provide a strong basis for enforcement and contribute to consistent regulatory implementation while allowing flexibility in responding to different types of violations;</w:t>
      </w:r>
    </w:p>
    <w:p w14:paraId="146FE222" w14:textId="6AE3093A"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t xml:space="preserve">Coordination among relevant national authorities, including customs services, environmental agencies and other competent bodies, as well as cross-border cooperation </w:t>
      </w:r>
      <w:r w:rsidR="008000A2">
        <w:t xml:space="preserve">in </w:t>
      </w:r>
      <w:r>
        <w:t xml:space="preserve">information-sharing, strengthens enforcement and supports the prevention of illegal trade, including through structured information exchange and joint action at border entry points. Mechanisms such as the </w:t>
      </w:r>
      <w:proofErr w:type="spellStart"/>
      <w:r>
        <w:t>iPIC</w:t>
      </w:r>
      <w:proofErr w:type="spellEnd"/>
      <w:r>
        <w:t xml:space="preserve"> system illustrate this approach</w:t>
      </w:r>
      <w:r w:rsidRPr="00BC2322">
        <w:t>;</w:t>
      </w:r>
    </w:p>
    <w:p w14:paraId="2342E90D"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D11674">
        <w:t xml:space="preserve">Engagement with the private sector and industry stakeholders, including licensed importers, distributors and industry associations, supports early detection through tip-offs and voluntary reporting. Such cooperation has, in </w:t>
      </w:r>
      <w:proofErr w:type="gramStart"/>
      <w:r w:rsidRPr="00D11674">
        <w:t>a number of</w:t>
      </w:r>
      <w:proofErr w:type="gramEnd"/>
      <w:r w:rsidRPr="00D11674">
        <w:t xml:space="preserve"> cases, contributed to the initiation of enforcement action</w:t>
      </w:r>
      <w:r>
        <w:t>;</w:t>
      </w:r>
    </w:p>
    <w:p w14:paraId="58F36220" w14:textId="22E5F5AD"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C122AB">
        <w:t xml:space="preserve">The use of modern detection tools and risk-based inspection approaches at border </w:t>
      </w:r>
      <w:r w:rsidR="00BB43D8">
        <w:t>entry</w:t>
      </w:r>
      <w:r w:rsidR="00B209FE">
        <w:t xml:space="preserve"> </w:t>
      </w:r>
      <w:r w:rsidRPr="00C122AB">
        <w:t>points, including refrigerant identifiers, profiling techniques</w:t>
      </w:r>
      <w:r>
        <w:t>, laboratory testing</w:t>
      </w:r>
      <w:r w:rsidRPr="00C122AB">
        <w:t xml:space="preserve"> and other inspection technologies, supports the identification of controlled substances and helps address misdeclaration, concealment and other forms of non-compliance;</w:t>
      </w:r>
    </w:p>
    <w:p w14:paraId="0C084DA1"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36530A">
        <w:t>Complementing border controls with post-clearance document audits and in-market surveillance allows authorities to detect violations occurring after goods have entered circulation, including quota exceedances and unregistered operators, and supports broader oversight of the supply chain</w:t>
      </w:r>
      <w:r>
        <w:t>;</w:t>
      </w:r>
    </w:p>
    <w:p w14:paraId="3596D176"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EA3F96">
        <w:rPr>
          <w:lang w:eastAsia="en-GB"/>
        </w:rPr>
        <w:t>Continued monitoring of online platforms and e-commerce environments, supported by cooperation and information-sharing with relevant stakeholders, remains important given the increasing use of digital channels for illegal trade;</w:t>
      </w:r>
    </w:p>
    <w:p w14:paraId="75EE69A4" w14:textId="3819A13F" w:rsidR="006A1F5E" w:rsidRPr="00EA3F96"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AE224A">
        <w:rPr>
          <w:lang w:eastAsia="en-GB"/>
        </w:rPr>
        <w:t>Measuring violations in terms of CO</w:t>
      </w:r>
      <w:r w:rsidRPr="00AE224A">
        <w:rPr>
          <w:vertAlign w:val="subscript"/>
          <w:lang w:eastAsia="en-GB"/>
        </w:rPr>
        <w:t>2</w:t>
      </w:r>
      <w:r w:rsidRPr="00AE224A">
        <w:rPr>
          <w:lang w:eastAsia="en-GB"/>
        </w:rPr>
        <w:t xml:space="preserve">-equivalent emissions </w:t>
      </w:r>
      <w:r w:rsidRPr="00EA3F96">
        <w:rPr>
          <w:lang w:eastAsia="en-GB"/>
        </w:rPr>
        <w:t xml:space="preserve">provides </w:t>
      </w:r>
      <w:r>
        <w:rPr>
          <w:lang w:eastAsia="en-GB"/>
        </w:rPr>
        <w:t>a</w:t>
      </w:r>
      <w:r w:rsidRPr="00EA3F96">
        <w:rPr>
          <w:lang w:eastAsia="en-GB"/>
        </w:rPr>
        <w:t xml:space="preserve"> basis for assessing the scale of non-compliance and supporting proportionate enforcement responses based on</w:t>
      </w:r>
      <w:r w:rsidRPr="00FA5468">
        <w:rPr>
          <w:lang w:eastAsia="en-GB"/>
        </w:rPr>
        <w:t xml:space="preserve"> environmental impact</w:t>
      </w:r>
      <w:r>
        <w:rPr>
          <w:lang w:eastAsia="en-GB"/>
        </w:rPr>
        <w:t>;</w:t>
      </w:r>
    </w:p>
    <w:p w14:paraId="5657A73F"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t>The use of quota adjustments, including the redistribution of revoked allowances to compliant entities, supports market-based incentives for compliance and reinforces adherence to licensing and quota systems;</w:t>
      </w:r>
    </w:p>
    <w:p w14:paraId="7BB800A9"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294264">
        <w:t>Targeted enforcement actions focusing on high-global-warming-potential substances and ozone-depleting substances, including associated equipment and applications such as refrigerants used in automotive air-conditioning systems</w:t>
      </w:r>
      <w:r>
        <w:t>,</w:t>
      </w:r>
      <w:r w:rsidRPr="00294264">
        <w:t xml:space="preserve"> and non-refillable cylinders, improve the effectiveness of control measures</w:t>
      </w:r>
      <w:r>
        <w:t>;</w:t>
      </w:r>
      <w:r w:rsidRPr="00294264">
        <w:t xml:space="preserve"> </w:t>
      </w:r>
    </w:p>
    <w:p w14:paraId="5CFE5F5C" w14:textId="77777777" w:rsidR="006A1F5E"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t>Integrated compliance frameworks combining licensing systems, border inspections, inter-agency coordination and capacity-building of enforcement officers strengthen the overall effectiveness of national enforcement systems;</w:t>
      </w:r>
    </w:p>
    <w:p w14:paraId="259D31F4" w14:textId="77777777" w:rsidR="006A1F5E" w:rsidRPr="00F54938" w:rsidRDefault="006A1F5E" w:rsidP="00387C03">
      <w:pPr>
        <w:pStyle w:val="Normalnumber"/>
        <w:keepNext/>
        <w:keepLines/>
        <w:numPr>
          <w:ilvl w:val="0"/>
          <w:numId w:val="16"/>
        </w:numPr>
        <w:tabs>
          <w:tab w:val="clear" w:pos="1247"/>
          <w:tab w:val="clear" w:pos="1814"/>
          <w:tab w:val="clear" w:pos="2381"/>
          <w:tab w:val="clear" w:pos="2948"/>
          <w:tab w:val="clear" w:pos="3515"/>
          <w:tab w:val="left" w:pos="624"/>
        </w:tabs>
        <w:ind w:left="1247" w:firstLine="624"/>
      </w:pPr>
      <w:r w:rsidRPr="009F18D7">
        <w:lastRenderedPageBreak/>
        <w:t xml:space="preserve">The availability of appropriate destruction facilities is a key prerequisite for the use of destruction as a disposal method. Where such facilities are not available domestically, authorities have resorted to re-export, which may carry a risk of re-entry into circulation. Strengthening access to national </w:t>
      </w:r>
      <w:r w:rsidRPr="00F54938">
        <w:t>or regional destruction capacity enhances the integrity and effectiveness of enforcement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6A1F5E" w:rsidRPr="00F54938" w14:paraId="4CB64CE2" w14:textId="77777777" w:rsidTr="00B827CE">
        <w:tc>
          <w:tcPr>
            <w:tcW w:w="1897" w:type="dxa"/>
          </w:tcPr>
          <w:p w14:paraId="1A9215D7" w14:textId="77777777" w:rsidR="006A1F5E" w:rsidRPr="00F54938" w:rsidRDefault="006A1F5E" w:rsidP="00B827CE">
            <w:pPr>
              <w:pStyle w:val="Normal-pool"/>
              <w:spacing w:before="520"/>
            </w:pPr>
          </w:p>
        </w:tc>
        <w:tc>
          <w:tcPr>
            <w:tcW w:w="1897" w:type="dxa"/>
          </w:tcPr>
          <w:p w14:paraId="715C956C" w14:textId="77777777" w:rsidR="006A1F5E" w:rsidRPr="00F54938" w:rsidRDefault="006A1F5E" w:rsidP="00B827CE">
            <w:pPr>
              <w:pStyle w:val="Normal-pool"/>
              <w:spacing w:before="520"/>
            </w:pPr>
          </w:p>
        </w:tc>
        <w:tc>
          <w:tcPr>
            <w:tcW w:w="1897" w:type="dxa"/>
            <w:tcBorders>
              <w:bottom w:val="single" w:sz="4" w:space="0" w:color="auto"/>
            </w:tcBorders>
          </w:tcPr>
          <w:p w14:paraId="07DD328B" w14:textId="77777777" w:rsidR="006A1F5E" w:rsidRPr="00F54938" w:rsidRDefault="006A1F5E" w:rsidP="00B827CE">
            <w:pPr>
              <w:pStyle w:val="Normal-pool"/>
              <w:spacing w:before="520"/>
            </w:pPr>
          </w:p>
        </w:tc>
        <w:tc>
          <w:tcPr>
            <w:tcW w:w="1898" w:type="dxa"/>
          </w:tcPr>
          <w:p w14:paraId="4BE8BDF6" w14:textId="77777777" w:rsidR="006A1F5E" w:rsidRPr="00F54938" w:rsidRDefault="006A1F5E" w:rsidP="00B827CE">
            <w:pPr>
              <w:pStyle w:val="Normal-pool"/>
              <w:spacing w:before="520"/>
            </w:pPr>
          </w:p>
        </w:tc>
        <w:tc>
          <w:tcPr>
            <w:tcW w:w="1898" w:type="dxa"/>
          </w:tcPr>
          <w:p w14:paraId="3ACC5A70" w14:textId="77777777" w:rsidR="006A1F5E" w:rsidRPr="00F54938" w:rsidRDefault="006A1F5E" w:rsidP="00B827CE">
            <w:pPr>
              <w:pStyle w:val="Normal-pool"/>
              <w:spacing w:before="520"/>
            </w:pPr>
          </w:p>
        </w:tc>
      </w:tr>
    </w:tbl>
    <w:p w14:paraId="59182595" w14:textId="4357A1EC" w:rsidR="0074187B" w:rsidRPr="0074187B" w:rsidRDefault="0074187B" w:rsidP="0074187B">
      <w:pPr>
        <w:pStyle w:val="Normal-pool"/>
        <w:rPr>
          <w:rFonts w:eastAsiaTheme="minorEastAsia"/>
        </w:rPr>
      </w:pPr>
    </w:p>
    <w:sectPr w:rsidR="0074187B" w:rsidRPr="0074187B" w:rsidSect="0074187B">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32C9" w14:textId="77777777" w:rsidR="0072144E" w:rsidRPr="0074187B" w:rsidRDefault="0072144E">
      <w:r w:rsidRPr="0074187B">
        <w:separator/>
      </w:r>
    </w:p>
  </w:endnote>
  <w:endnote w:type="continuationSeparator" w:id="0">
    <w:p w14:paraId="7E9DF3F3" w14:textId="77777777" w:rsidR="0072144E" w:rsidRPr="0074187B" w:rsidRDefault="0072144E">
      <w:r w:rsidRPr="00741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22" w14:textId="1DE0B79D" w:rsidR="007A36F8" w:rsidRPr="00F1479A" w:rsidRDefault="0074187B" w:rsidP="00F1479A">
    <w:pPr>
      <w:pStyle w:val="Footer-pool"/>
    </w:pPr>
    <w:r w:rsidRPr="00F1479A">
      <w:rPr>
        <w:rStyle w:val="PageNumber"/>
        <w:b/>
      </w:rPr>
      <w:fldChar w:fldCharType="begin"/>
    </w:r>
    <w:r w:rsidRPr="00F1479A">
      <w:rPr>
        <w:rStyle w:val="PageNumber"/>
        <w:b/>
      </w:rPr>
      <w:instrText xml:space="preserve"> PAGE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E12" w14:textId="7CBFD551" w:rsidR="007A36F8" w:rsidRPr="00F1479A" w:rsidRDefault="0074187B" w:rsidP="00F1479A">
    <w:pPr>
      <w:pStyle w:val="Footer-pool"/>
      <w:jc w:val="right"/>
    </w:pPr>
    <w:r w:rsidRPr="00F1479A">
      <w:rPr>
        <w:rStyle w:val="PageNumber"/>
        <w:b/>
      </w:rPr>
      <w:fldChar w:fldCharType="begin"/>
    </w:r>
    <w:r w:rsidRPr="00F1479A">
      <w:rPr>
        <w:rStyle w:val="PageNumber"/>
        <w:b/>
      </w:rPr>
      <w:instrText xml:space="preserve"> PAGE \* MERGEFORMAT </w:instrText>
    </w:r>
    <w:r w:rsidRPr="00F1479A">
      <w:rPr>
        <w:rStyle w:val="PageNumber"/>
        <w:b/>
      </w:rPr>
      <w:fldChar w:fldCharType="separate"/>
    </w:r>
    <w:r w:rsidRPr="00F1479A">
      <w:rPr>
        <w:rStyle w:val="PageNumber"/>
        <w:b/>
      </w:rPr>
      <w:t>1</w:t>
    </w:r>
    <w:r w:rsidRPr="00F1479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1E" w14:textId="6D472ACC" w:rsidR="0074187B" w:rsidRPr="0074187B" w:rsidRDefault="001C6DE5" w:rsidP="0074187B">
    <w:pPr>
      <w:pStyle w:val="Footer-jobnumber"/>
    </w:pPr>
    <w:bookmarkStart w:id="10" w:name="FooterJobDate"/>
    <w:r>
      <w:t>K2606064[E]</w:t>
    </w:r>
    <w:r>
      <w:tab/>
      <w:t>290526</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AABF" w14:textId="77777777" w:rsidR="0072144E" w:rsidRPr="0074187B" w:rsidRDefault="0072144E" w:rsidP="00387C03">
      <w:pPr>
        <w:pStyle w:val="Footnote-Separator"/>
        <w:tabs>
          <w:tab w:val="clear" w:pos="1247"/>
          <w:tab w:val="clear" w:pos="1871"/>
          <w:tab w:val="clear" w:pos="2495"/>
          <w:tab w:val="clear" w:pos="3119"/>
          <w:tab w:val="clear" w:pos="3742"/>
          <w:tab w:val="clear" w:pos="4366"/>
          <w:tab w:val="clear" w:pos="4990"/>
        </w:tabs>
        <w:rPr>
          <w:szCs w:val="18"/>
        </w:rPr>
      </w:pPr>
      <w:r w:rsidRPr="0074187B">
        <w:separator/>
      </w:r>
    </w:p>
  </w:footnote>
  <w:footnote w:type="continuationSeparator" w:id="0">
    <w:p w14:paraId="7306D4B7" w14:textId="77777777" w:rsidR="0072144E" w:rsidRPr="0074187B" w:rsidRDefault="0072144E" w:rsidP="00C70B49">
      <w:pPr>
        <w:pStyle w:val="Footnote-Separator"/>
      </w:pPr>
      <w:r w:rsidRPr="0074187B">
        <w:continuationSeparator/>
      </w:r>
    </w:p>
  </w:footnote>
  <w:footnote w:type="continuationNotice" w:id="1">
    <w:p w14:paraId="7CA27F37" w14:textId="77777777" w:rsidR="0072144E" w:rsidRPr="0074187B" w:rsidRDefault="0072144E" w:rsidP="00C70B49">
      <w:pPr>
        <w:pStyle w:val="ASpacer"/>
      </w:pPr>
    </w:p>
  </w:footnote>
  <w:footnote w:id="2">
    <w:p w14:paraId="1218D784" w14:textId="7B2DBBDC" w:rsidR="004A497A" w:rsidRPr="00C72C9E" w:rsidRDefault="004A497A" w:rsidP="000333E8">
      <w:pPr>
        <w:pStyle w:val="Footnote-Text"/>
        <w:tabs>
          <w:tab w:val="clear" w:pos="1247"/>
          <w:tab w:val="clear" w:pos="1871"/>
          <w:tab w:val="clear" w:pos="2495"/>
          <w:tab w:val="clear" w:pos="3119"/>
          <w:tab w:val="clear" w:pos="3742"/>
          <w:tab w:val="clear" w:pos="4366"/>
          <w:tab w:val="clear" w:pos="4990"/>
        </w:tabs>
        <w:rPr>
          <w:szCs w:val="18"/>
        </w:rPr>
      </w:pPr>
      <w:r w:rsidRPr="00C72C9E">
        <w:rPr>
          <w:szCs w:val="18"/>
        </w:rPr>
        <w:t>* UNEP/OzL.Pro.WG.1/4</w:t>
      </w:r>
      <w:r>
        <w:rPr>
          <w:szCs w:val="18"/>
        </w:rPr>
        <w:t>8</w:t>
      </w:r>
      <w:r w:rsidRPr="00C72C9E">
        <w:rPr>
          <w:szCs w:val="18"/>
        </w:rPr>
        <w:t>/1.</w:t>
      </w:r>
    </w:p>
  </w:footnote>
  <w:footnote w:id="3">
    <w:p w14:paraId="757BD26C" w14:textId="6B0EAE35" w:rsidR="006A1F5E" w:rsidRPr="00F54938" w:rsidRDefault="006A1F5E" w:rsidP="000333E8">
      <w:pPr>
        <w:pStyle w:val="Footnote-Text"/>
        <w:tabs>
          <w:tab w:val="clear" w:pos="1247"/>
          <w:tab w:val="clear" w:pos="1871"/>
          <w:tab w:val="clear" w:pos="2495"/>
          <w:tab w:val="clear" w:pos="3119"/>
          <w:tab w:val="clear" w:pos="3742"/>
          <w:tab w:val="clear" w:pos="4366"/>
          <w:tab w:val="clear" w:pos="4990"/>
        </w:tabs>
        <w:rPr>
          <w:szCs w:val="18"/>
        </w:rPr>
      </w:pPr>
      <w:r w:rsidRPr="00F54938">
        <w:rPr>
          <w:rStyle w:val="FootnoteReference"/>
          <w:sz w:val="18"/>
        </w:rPr>
        <w:footnoteRef/>
      </w:r>
      <w:r w:rsidRPr="00F54938">
        <w:rPr>
          <w:szCs w:val="18"/>
        </w:rPr>
        <w:t xml:space="preserve"> For the purposes of th</w:t>
      </w:r>
      <w:r w:rsidR="00B436D1">
        <w:rPr>
          <w:szCs w:val="18"/>
        </w:rPr>
        <w:t>e present</w:t>
      </w:r>
      <w:r w:rsidRPr="00F54938">
        <w:rPr>
          <w:szCs w:val="18"/>
        </w:rPr>
        <w:t xml:space="preserve"> note, the number of cases corresponds to the number of entries in the reporting forms submitted by parties.</w:t>
      </w:r>
    </w:p>
  </w:footnote>
  <w:footnote w:id="4">
    <w:p w14:paraId="2A447159" w14:textId="77777777" w:rsidR="006A1F5E" w:rsidRPr="00F54938" w:rsidRDefault="006A1F5E" w:rsidP="000333E8">
      <w:pPr>
        <w:pStyle w:val="Footnote-Text"/>
        <w:tabs>
          <w:tab w:val="clear" w:pos="1247"/>
          <w:tab w:val="clear" w:pos="1871"/>
          <w:tab w:val="clear" w:pos="2495"/>
          <w:tab w:val="clear" w:pos="3119"/>
          <w:tab w:val="clear" w:pos="3742"/>
          <w:tab w:val="clear" w:pos="4366"/>
          <w:tab w:val="clear" w:pos="4990"/>
        </w:tabs>
        <w:rPr>
          <w:szCs w:val="18"/>
        </w:rPr>
      </w:pPr>
      <w:r w:rsidRPr="00F54938">
        <w:rPr>
          <w:rStyle w:val="FootnoteReference"/>
          <w:sz w:val="18"/>
        </w:rPr>
        <w:footnoteRef/>
      </w:r>
      <w:r w:rsidRPr="00F54938">
        <w:rPr>
          <w:szCs w:val="18"/>
        </w:rPr>
        <w:t xml:space="preserve"> </w:t>
      </w:r>
      <w:hyperlink r:id="rId1" w:history="1">
        <w:r w:rsidRPr="00F54938">
          <w:rPr>
            <w:rStyle w:val="Hyperlink"/>
            <w:szCs w:val="18"/>
          </w:rPr>
          <w:t>https://ozone.unep.org/countries/additional-reported-information/illegal-trade</w:t>
        </w:r>
      </w:hyperlink>
      <w:r w:rsidRPr="00F54938">
        <w:rPr>
          <w:szCs w:val="18"/>
        </w:rPr>
        <w:t>.</w:t>
      </w:r>
    </w:p>
  </w:footnote>
  <w:footnote w:id="5">
    <w:p w14:paraId="1EBD1D67" w14:textId="77777777" w:rsidR="006A1F5E" w:rsidRPr="00F54938" w:rsidRDefault="006A1F5E" w:rsidP="000333E8">
      <w:pPr>
        <w:pStyle w:val="Footnote-Text"/>
        <w:tabs>
          <w:tab w:val="clear" w:pos="1247"/>
          <w:tab w:val="clear" w:pos="1871"/>
          <w:tab w:val="clear" w:pos="2495"/>
          <w:tab w:val="clear" w:pos="3119"/>
          <w:tab w:val="clear" w:pos="3742"/>
          <w:tab w:val="clear" w:pos="4366"/>
          <w:tab w:val="clear" w:pos="4990"/>
        </w:tabs>
        <w:rPr>
          <w:szCs w:val="18"/>
        </w:rPr>
      </w:pPr>
      <w:r w:rsidRPr="00F54938">
        <w:rPr>
          <w:rStyle w:val="FootnoteReference"/>
          <w:sz w:val="18"/>
        </w:rPr>
        <w:footnoteRef/>
      </w:r>
      <w:r w:rsidRPr="00F54938">
        <w:rPr>
          <w:szCs w:val="18"/>
        </w:rPr>
        <w:t xml:space="preserve"> </w:t>
      </w:r>
      <w:hyperlink r:id="rId2" w:history="1">
        <w:r w:rsidRPr="00F54938">
          <w:rPr>
            <w:rStyle w:val="Hyperlink"/>
            <w:szCs w:val="18"/>
          </w:rPr>
          <w:t>https://ozone.unep.org/countries/additional-reported-information/illegal-trade-decisionxxxi3</w:t>
        </w:r>
      </w:hyperlink>
      <w:r w:rsidRPr="00F54938">
        <w:rPr>
          <w:szCs w:val="18"/>
        </w:rPr>
        <w:t>.</w:t>
      </w:r>
    </w:p>
  </w:footnote>
  <w:footnote w:id="6">
    <w:p w14:paraId="581DC97D" w14:textId="7CAAE666" w:rsidR="006A1F5E" w:rsidRPr="00F54938" w:rsidRDefault="006A1F5E" w:rsidP="000333E8">
      <w:pPr>
        <w:pStyle w:val="Footnote-Text"/>
        <w:tabs>
          <w:tab w:val="clear" w:pos="1247"/>
          <w:tab w:val="clear" w:pos="1871"/>
          <w:tab w:val="clear" w:pos="2495"/>
          <w:tab w:val="clear" w:pos="3119"/>
          <w:tab w:val="clear" w:pos="3742"/>
          <w:tab w:val="clear" w:pos="4366"/>
          <w:tab w:val="clear" w:pos="4990"/>
        </w:tabs>
        <w:rPr>
          <w:szCs w:val="18"/>
        </w:rPr>
      </w:pPr>
      <w:r w:rsidRPr="00F54938">
        <w:rPr>
          <w:rStyle w:val="FootnoteReference"/>
          <w:sz w:val="18"/>
        </w:rPr>
        <w:footnoteRef/>
      </w:r>
      <w:r w:rsidRPr="00F54938">
        <w:rPr>
          <w:szCs w:val="18"/>
        </w:rPr>
        <w:t xml:space="preserve"> </w:t>
      </w:r>
      <w:proofErr w:type="gramStart"/>
      <w:r w:rsidRPr="00F54938">
        <w:rPr>
          <w:szCs w:val="18"/>
        </w:rPr>
        <w:t>In particular</w:t>
      </w:r>
      <w:r w:rsidRPr="00CE0360">
        <w:rPr>
          <w:szCs w:val="18"/>
        </w:rPr>
        <w:t>,</w:t>
      </w:r>
      <w:r w:rsidR="00CE0360" w:rsidRPr="00CE0360">
        <w:rPr>
          <w:szCs w:val="18"/>
        </w:rPr>
        <w:t xml:space="preserve"> </w:t>
      </w:r>
      <w:r w:rsidR="00D52175">
        <w:rPr>
          <w:szCs w:val="18"/>
        </w:rPr>
        <w:t>documents</w:t>
      </w:r>
      <w:proofErr w:type="gramEnd"/>
      <w:r w:rsidR="00D52175">
        <w:rPr>
          <w:szCs w:val="18"/>
        </w:rPr>
        <w:t xml:space="preserve"> </w:t>
      </w:r>
      <w:hyperlink r:id="rId3" w:history="1">
        <w:r w:rsidRPr="00387C03">
          <w:rPr>
            <w:rStyle w:val="Hyperlink"/>
            <w:color w:val="auto"/>
            <w:szCs w:val="18"/>
          </w:rPr>
          <w:t>UNEP/OzL.Pro.WG.1/47/5</w:t>
        </w:r>
      </w:hyperlink>
      <w:r w:rsidR="00D52175">
        <w:t xml:space="preserve">, </w:t>
      </w:r>
      <w:hyperlink r:id="rId4" w:history="1">
        <w:r w:rsidRPr="00387C03">
          <w:rPr>
            <w:rStyle w:val="Hyperlink"/>
            <w:color w:val="auto"/>
            <w:szCs w:val="18"/>
          </w:rPr>
          <w:t>UNEP/OzL.Pro.WG.1/46/4</w:t>
        </w:r>
      </w:hyperlink>
      <w:r w:rsidR="00D52175">
        <w:t xml:space="preserve"> and </w:t>
      </w:r>
      <w:hyperlink r:id="rId5" w:history="1">
        <w:r w:rsidRPr="00387C03">
          <w:rPr>
            <w:rStyle w:val="Hyperlink"/>
            <w:color w:val="auto"/>
            <w:szCs w:val="18"/>
          </w:rPr>
          <w:t>UNEP/</w:t>
        </w:r>
        <w:proofErr w:type="spellStart"/>
        <w:r w:rsidRPr="00387C03">
          <w:rPr>
            <w:rStyle w:val="Hyperlink"/>
            <w:color w:val="auto"/>
            <w:szCs w:val="18"/>
          </w:rPr>
          <w:t>OzL.Pro</w:t>
        </w:r>
        <w:proofErr w:type="spellEnd"/>
        <w:r w:rsidRPr="00387C03">
          <w:rPr>
            <w:rStyle w:val="Hyperlink"/>
            <w:color w:val="auto"/>
            <w:szCs w:val="18"/>
          </w:rPr>
          <w:t>/Workshop.11/2/Add.1–UNEP/OzL.Pro.WG.1/45/5/Add.1</w:t>
        </w:r>
      </w:hyperlink>
      <w:r w:rsidRPr="00F54938">
        <w:rPr>
          <w:szCs w:val="18"/>
        </w:rPr>
        <w:t>.</w:t>
      </w:r>
    </w:p>
  </w:footnote>
  <w:footnote w:id="7">
    <w:p w14:paraId="09C7AEC8" w14:textId="4355DC0D" w:rsidR="006A1F5E" w:rsidRPr="00FC2E30" w:rsidRDefault="006A1F5E" w:rsidP="000333E8">
      <w:pPr>
        <w:pStyle w:val="Footnote-Text"/>
        <w:tabs>
          <w:tab w:val="clear" w:pos="1247"/>
          <w:tab w:val="clear" w:pos="1871"/>
          <w:tab w:val="clear" w:pos="2495"/>
          <w:tab w:val="clear" w:pos="3119"/>
          <w:tab w:val="clear" w:pos="3742"/>
          <w:tab w:val="clear" w:pos="4366"/>
          <w:tab w:val="clear" w:pos="4990"/>
        </w:tabs>
      </w:pPr>
      <w:r w:rsidRPr="00FC2E30">
        <w:rPr>
          <w:rStyle w:val="FootnoteReference"/>
          <w:sz w:val="18"/>
        </w:rPr>
        <w:footnoteRef/>
      </w:r>
      <w:r w:rsidRPr="00FC2E30">
        <w:t xml:space="preserve"> For the purposes of th</w:t>
      </w:r>
      <w:r w:rsidR="00C42643">
        <w:t>e present</w:t>
      </w:r>
      <w:r w:rsidRPr="00FC2E30">
        <w:t xml:space="preserve"> </w:t>
      </w:r>
      <w:r>
        <w:t>note</w:t>
      </w:r>
      <w:r w:rsidRPr="00FC2E30">
        <w:t xml:space="preserve">, the number of cases corresponds to the number of entries in the reporting forms submitted by </w:t>
      </w:r>
      <w:r>
        <w:t>p</w:t>
      </w:r>
      <w:r w:rsidRPr="00FC2E30">
        <w:t xml:space="preserve">arties (see footnote </w:t>
      </w:r>
      <w:r>
        <w:t>1 above</w:t>
      </w:r>
      <w:r w:rsidRPr="00FC2E30">
        <w:t>).</w:t>
      </w:r>
      <w:r>
        <w:t xml:space="preserve"> </w:t>
      </w:r>
    </w:p>
  </w:footnote>
  <w:footnote w:id="8">
    <w:p w14:paraId="4C88F77C" w14:textId="7BC676C1" w:rsidR="006A1F5E" w:rsidRPr="00AD463D" w:rsidRDefault="006A1F5E" w:rsidP="000333E8">
      <w:pPr>
        <w:pStyle w:val="Footnote-Text"/>
        <w:tabs>
          <w:tab w:val="clear" w:pos="1247"/>
          <w:tab w:val="clear" w:pos="1871"/>
          <w:tab w:val="clear" w:pos="2495"/>
          <w:tab w:val="clear" w:pos="3119"/>
          <w:tab w:val="clear" w:pos="3742"/>
          <w:tab w:val="clear" w:pos="4366"/>
          <w:tab w:val="clear" w:pos="4990"/>
        </w:tabs>
      </w:pPr>
      <w:r w:rsidRPr="00C41E73">
        <w:rPr>
          <w:vertAlign w:val="superscript"/>
        </w:rPr>
        <w:footnoteRef/>
      </w:r>
      <w:r w:rsidRPr="00AD463D">
        <w:t xml:space="preserve"> </w:t>
      </w:r>
      <w:r w:rsidRPr="00AD463D">
        <w:rPr>
          <w:rFonts w:eastAsia="Calibri"/>
        </w:rPr>
        <w:t>For the purpose</w:t>
      </w:r>
      <w:r>
        <w:rPr>
          <w:rFonts w:eastAsia="Calibri"/>
        </w:rPr>
        <w:t>s</w:t>
      </w:r>
      <w:r w:rsidRPr="00AD463D">
        <w:rPr>
          <w:rFonts w:eastAsia="Calibri"/>
        </w:rPr>
        <w:t xml:space="preserve"> of the present note, the terms used </w:t>
      </w:r>
      <w:r w:rsidR="004D067A" w:rsidRPr="004D067A">
        <w:rPr>
          <w:rFonts w:eastAsia="Calibri"/>
        </w:rPr>
        <w:t xml:space="preserve">to refer to the different enforcement actions were informed by </w:t>
      </w:r>
      <w:r w:rsidRPr="00AD463D">
        <w:rPr>
          <w:rFonts w:eastAsia="Calibri"/>
        </w:rPr>
        <w:t>the cases reported. It is recognized, however, that their legal definitions may vary from country to country.</w:t>
      </w:r>
      <w:r w:rsidRPr="00AD463D">
        <w:t xml:space="preserve"> </w:t>
      </w:r>
    </w:p>
  </w:footnote>
  <w:footnote w:id="9">
    <w:p w14:paraId="3D8B3F2A" w14:textId="6EF6467C" w:rsidR="006A1F5E" w:rsidRPr="00AD463D" w:rsidRDefault="006A1F5E" w:rsidP="000333E8">
      <w:pPr>
        <w:pStyle w:val="Footnote-Text"/>
        <w:tabs>
          <w:tab w:val="clear" w:pos="1247"/>
          <w:tab w:val="clear" w:pos="1871"/>
          <w:tab w:val="clear" w:pos="2495"/>
          <w:tab w:val="clear" w:pos="3119"/>
          <w:tab w:val="clear" w:pos="3742"/>
          <w:tab w:val="clear" w:pos="4366"/>
          <w:tab w:val="clear" w:pos="4990"/>
        </w:tabs>
      </w:pPr>
      <w:r w:rsidRPr="00C41E73">
        <w:rPr>
          <w:vertAlign w:val="superscript"/>
        </w:rPr>
        <w:footnoteRef/>
      </w:r>
      <w:r w:rsidRPr="0062437E">
        <w:t xml:space="preserve"> </w:t>
      </w:r>
      <w:r w:rsidR="00FE2885">
        <w:rPr>
          <w:rFonts w:eastAsia="Calibri"/>
        </w:rPr>
        <w:t>United Nations Office on Drugs and Crime</w:t>
      </w:r>
      <w:r w:rsidRPr="00AD463D">
        <w:rPr>
          <w:rFonts w:eastAsia="Calibri"/>
        </w:rPr>
        <w:t xml:space="preserve">, </w:t>
      </w:r>
      <w:r w:rsidRPr="00AD463D">
        <w:rPr>
          <w:rFonts w:eastAsia="Calibri"/>
          <w:i/>
        </w:rPr>
        <w:t>Manual on International Cooperation for the Purposes of Confiscation of Proceeds of Crime</w:t>
      </w:r>
      <w:r w:rsidRPr="00AD463D">
        <w:rPr>
          <w:rFonts w:eastAsia="Calibri"/>
        </w:rPr>
        <w:t xml:space="preserve"> (United</w:t>
      </w:r>
      <w:r>
        <w:rPr>
          <w:rFonts w:eastAsia="Calibri"/>
        </w:rPr>
        <w:t> </w:t>
      </w:r>
      <w:r w:rsidRPr="00AD463D">
        <w:rPr>
          <w:rFonts w:eastAsia="Calibri"/>
        </w:rPr>
        <w:t>Nations publication, 2020)</w:t>
      </w:r>
      <w:r>
        <w:rPr>
          <w:rFonts w:eastAsia="Calibri"/>
        </w:rPr>
        <w:t>, which</w:t>
      </w:r>
      <w:r w:rsidRPr="00AD463D">
        <w:rPr>
          <w:rFonts w:eastAsia="Calibri"/>
        </w:rPr>
        <w:t xml:space="preserve"> derived the definition from the United Nations Convention </w:t>
      </w:r>
      <w:r>
        <w:rPr>
          <w:rFonts w:eastAsia="Calibri"/>
        </w:rPr>
        <w:t>against Transnational</w:t>
      </w:r>
      <w:r w:rsidRPr="00AD463D">
        <w:rPr>
          <w:rFonts w:eastAsia="Calibri"/>
        </w:rPr>
        <w:t xml:space="preserve"> Organized Crime.</w:t>
      </w:r>
    </w:p>
  </w:footnote>
  <w:footnote w:id="10">
    <w:p w14:paraId="22031669" w14:textId="77777777" w:rsidR="006A1F5E" w:rsidRPr="00AD463D" w:rsidRDefault="006A1F5E" w:rsidP="000333E8">
      <w:pPr>
        <w:pStyle w:val="Footnote-Text"/>
        <w:tabs>
          <w:tab w:val="clear" w:pos="1247"/>
          <w:tab w:val="clear" w:pos="1871"/>
          <w:tab w:val="clear" w:pos="2495"/>
          <w:tab w:val="clear" w:pos="3119"/>
          <w:tab w:val="clear" w:pos="3742"/>
          <w:tab w:val="clear" w:pos="4366"/>
          <w:tab w:val="clear" w:pos="4990"/>
        </w:tabs>
      </w:pPr>
      <w:r w:rsidRPr="00C41E73">
        <w:rPr>
          <w:vertAlign w:val="superscript"/>
        </w:rPr>
        <w:footnoteRef/>
      </w:r>
      <w:r w:rsidRPr="0062437E">
        <w:t xml:space="preserve"> </w:t>
      </w:r>
      <w:r w:rsidRPr="00AD463D">
        <w:rPr>
          <w:rFonts w:eastAsia="Calibr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77F" w14:textId="3F968454" w:rsidR="007A36F8" w:rsidRPr="0074187B" w:rsidRDefault="000333E8" w:rsidP="0074187B">
    <w:pPr>
      <w:pStyle w:val="Header-pool"/>
    </w:pPr>
    <w:r>
      <w:rPr>
        <w:noProof/>
      </w:rPr>
      <w:pict w14:anchorId="3CD02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3735" o:spid="_x0000_s1026" type="#_x0000_t136" style="position:absolute;margin-left:0;margin-top:0;width:521.7pt;height:147.8pt;rotation:315;z-index:-251655168;mso-position-horizontal:center;mso-position-horizontal-relative:margin;mso-position-vertical:center;mso-position-vertical-relative:margin" o:allowincell="f" fillcolor="silver" stroked="f">
          <v:textpath style="font-family:&quot;Times New Roman&quot;;font-size:1pt" string="ADVANCE"/>
        </v:shape>
      </w:pict>
    </w:r>
    <w:r w:rsidR="0074187B" w:rsidRPr="0074187B">
      <w:fldChar w:fldCharType="begin"/>
    </w:r>
    <w:r w:rsidR="0074187B" w:rsidRPr="0074187B">
      <w:instrText xml:space="preserve"> StyleRef A_Symbol </w:instrText>
    </w:r>
    <w:r w:rsidR="0074187B" w:rsidRPr="0074187B">
      <w:fldChar w:fldCharType="separate"/>
    </w:r>
    <w:r w:rsidR="007E4C58">
      <w:rPr>
        <w:noProof/>
      </w:rPr>
      <w:t>UNEP/OzL.Pro.WG.1/48/3</w:t>
    </w:r>
    <w:r w:rsidR="0074187B" w:rsidRPr="0074187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E3B" w14:textId="43A23CD5" w:rsidR="007A36F8" w:rsidRPr="0074187B" w:rsidRDefault="000333E8" w:rsidP="0074187B">
    <w:pPr>
      <w:pStyle w:val="Header-pool"/>
      <w:jc w:val="right"/>
    </w:pPr>
    <w:r>
      <w:rPr>
        <w:noProof/>
      </w:rPr>
      <w:pict w14:anchorId="161A9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3736" o:spid="_x0000_s1027" type="#_x0000_t136" style="position:absolute;left:0;text-align:left;margin-left:0;margin-top:0;width:521.7pt;height:147.8pt;rotation:315;z-index:-251653120;mso-position-horizontal:center;mso-position-horizontal-relative:margin;mso-position-vertical:center;mso-position-vertical-relative:margin" o:allowincell="f" fillcolor="silver" stroked="f">
          <v:textpath style="font-family:&quot;Times New Roman&quot;;font-size:1pt" string="ADVANCE"/>
        </v:shape>
      </w:pict>
    </w:r>
    <w:r w:rsidR="0074187B" w:rsidRPr="0074187B">
      <w:fldChar w:fldCharType="begin"/>
    </w:r>
    <w:r w:rsidR="0074187B" w:rsidRPr="0074187B">
      <w:instrText xml:space="preserve"> StyleRef A_Symbol </w:instrText>
    </w:r>
    <w:r w:rsidR="0074187B" w:rsidRPr="0074187B">
      <w:fldChar w:fldCharType="separate"/>
    </w:r>
    <w:r w:rsidR="007E4C58">
      <w:rPr>
        <w:noProof/>
      </w:rPr>
      <w:t>UNEP/OzL.Pro.WG.1/48/3</w:t>
    </w:r>
    <w:r w:rsidR="0074187B" w:rsidRPr="0074187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36B7" w14:textId="00F6ACE7" w:rsidR="000333E8" w:rsidRDefault="000333E8" w:rsidP="000333E8">
    <w:pPr>
      <w:pStyle w:val="Normal-pool"/>
    </w:pPr>
    <w:r>
      <w:rPr>
        <w:noProof/>
      </w:rPr>
      <w:pict w14:anchorId="4581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3734" o:spid="_x0000_s1025" type="#_x0000_t136" style="position:absolute;margin-left:0;margin-top:0;width:521.7pt;height:147.8pt;rotation:315;z-index:-251657216;mso-position-horizontal:center;mso-position-horizontal-relative:margin;mso-position-vertical:center;mso-position-vertical-relative:margin" o:allowincell="f" fillcolor="silver" stroked="f">
          <v:textpath style="font-family:&quot;Times New Roman&quot;;font-size:1pt" string="ADVANC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87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DE755F5"/>
    <w:multiLevelType w:val="hybridMultilevel"/>
    <w:tmpl w:val="62386FF4"/>
    <w:lvl w:ilvl="0" w:tplc="2B269E46">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3"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4"/>
  </w:num>
  <w:num w:numId="4" w16cid:durableId="1991909117">
    <w:abstractNumId w:val="10"/>
  </w:num>
  <w:num w:numId="5" w16cid:durableId="1138956019">
    <w:abstractNumId w:val="11"/>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2"/>
  </w:num>
  <w:num w:numId="17" w16cid:durableId="127055090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3B0D"/>
    <w:rsid w:val="00004CEA"/>
    <w:rsid w:val="00010DE8"/>
    <w:rsid w:val="00011A59"/>
    <w:rsid w:val="000139A5"/>
    <w:rsid w:val="000149E6"/>
    <w:rsid w:val="00015903"/>
    <w:rsid w:val="00016AF3"/>
    <w:rsid w:val="00020327"/>
    <w:rsid w:val="000208C8"/>
    <w:rsid w:val="00023A86"/>
    <w:rsid w:val="000247B0"/>
    <w:rsid w:val="00026997"/>
    <w:rsid w:val="00031C4C"/>
    <w:rsid w:val="000333E8"/>
    <w:rsid w:val="00033E0B"/>
    <w:rsid w:val="00035EDE"/>
    <w:rsid w:val="00037286"/>
    <w:rsid w:val="00041E74"/>
    <w:rsid w:val="000509B4"/>
    <w:rsid w:val="000515C8"/>
    <w:rsid w:val="00056B2C"/>
    <w:rsid w:val="0006035B"/>
    <w:rsid w:val="00064B98"/>
    <w:rsid w:val="00065F92"/>
    <w:rsid w:val="00067FE6"/>
    <w:rsid w:val="0007166E"/>
    <w:rsid w:val="00071886"/>
    <w:rsid w:val="000723AE"/>
    <w:rsid w:val="000742BC"/>
    <w:rsid w:val="00080142"/>
    <w:rsid w:val="0008041D"/>
    <w:rsid w:val="00082A0C"/>
    <w:rsid w:val="00082DCD"/>
    <w:rsid w:val="00083504"/>
    <w:rsid w:val="00083913"/>
    <w:rsid w:val="0008710B"/>
    <w:rsid w:val="000872CE"/>
    <w:rsid w:val="00095BE8"/>
    <w:rsid w:val="0009640C"/>
    <w:rsid w:val="000B0BA7"/>
    <w:rsid w:val="000B1358"/>
    <w:rsid w:val="000B21D5"/>
    <w:rsid w:val="000B22A2"/>
    <w:rsid w:val="000B35C7"/>
    <w:rsid w:val="000B6FB2"/>
    <w:rsid w:val="000C0033"/>
    <w:rsid w:val="000C28EB"/>
    <w:rsid w:val="000C2A52"/>
    <w:rsid w:val="000C46A9"/>
    <w:rsid w:val="000C73BF"/>
    <w:rsid w:val="000D09E4"/>
    <w:rsid w:val="000D15B9"/>
    <w:rsid w:val="000D33C0"/>
    <w:rsid w:val="000D5884"/>
    <w:rsid w:val="000D6941"/>
    <w:rsid w:val="000D71B6"/>
    <w:rsid w:val="000E0405"/>
    <w:rsid w:val="000E7CF6"/>
    <w:rsid w:val="000F0CEA"/>
    <w:rsid w:val="000F2812"/>
    <w:rsid w:val="000F6CFF"/>
    <w:rsid w:val="00101177"/>
    <w:rsid w:val="001020D4"/>
    <w:rsid w:val="00105E94"/>
    <w:rsid w:val="0010647E"/>
    <w:rsid w:val="00107B03"/>
    <w:rsid w:val="00111316"/>
    <w:rsid w:val="00115F73"/>
    <w:rsid w:val="001202E3"/>
    <w:rsid w:val="00123699"/>
    <w:rsid w:val="00126098"/>
    <w:rsid w:val="0013059D"/>
    <w:rsid w:val="00137217"/>
    <w:rsid w:val="0014083A"/>
    <w:rsid w:val="00141A55"/>
    <w:rsid w:val="00141F2F"/>
    <w:rsid w:val="001446A3"/>
    <w:rsid w:val="0014626F"/>
    <w:rsid w:val="00155395"/>
    <w:rsid w:val="00166638"/>
    <w:rsid w:val="00172E6C"/>
    <w:rsid w:val="00173A4F"/>
    <w:rsid w:val="00173D27"/>
    <w:rsid w:val="00174739"/>
    <w:rsid w:val="00175BB6"/>
    <w:rsid w:val="0018127C"/>
    <w:rsid w:val="00181EC8"/>
    <w:rsid w:val="00181FC0"/>
    <w:rsid w:val="00184090"/>
    <w:rsid w:val="00184349"/>
    <w:rsid w:val="001915ED"/>
    <w:rsid w:val="0019161E"/>
    <w:rsid w:val="00195F33"/>
    <w:rsid w:val="00197C63"/>
    <w:rsid w:val="001A5EE1"/>
    <w:rsid w:val="001A6EA0"/>
    <w:rsid w:val="001A77C2"/>
    <w:rsid w:val="001A7FF9"/>
    <w:rsid w:val="001B0141"/>
    <w:rsid w:val="001B1617"/>
    <w:rsid w:val="001B1A17"/>
    <w:rsid w:val="001B4598"/>
    <w:rsid w:val="001B504B"/>
    <w:rsid w:val="001B5627"/>
    <w:rsid w:val="001B7C4A"/>
    <w:rsid w:val="001C29FC"/>
    <w:rsid w:val="001C6DE5"/>
    <w:rsid w:val="001D3874"/>
    <w:rsid w:val="001D40E9"/>
    <w:rsid w:val="001D5344"/>
    <w:rsid w:val="001D61D0"/>
    <w:rsid w:val="001D7E75"/>
    <w:rsid w:val="001E1365"/>
    <w:rsid w:val="001E22D1"/>
    <w:rsid w:val="001E4B9A"/>
    <w:rsid w:val="001E56D2"/>
    <w:rsid w:val="001E7D56"/>
    <w:rsid w:val="001F75DE"/>
    <w:rsid w:val="001F7AD9"/>
    <w:rsid w:val="00200D58"/>
    <w:rsid w:val="00200EFE"/>
    <w:rsid w:val="002013BE"/>
    <w:rsid w:val="002063A4"/>
    <w:rsid w:val="002065F3"/>
    <w:rsid w:val="00206F97"/>
    <w:rsid w:val="00210124"/>
    <w:rsid w:val="0021145B"/>
    <w:rsid w:val="00211B68"/>
    <w:rsid w:val="00214277"/>
    <w:rsid w:val="002160AB"/>
    <w:rsid w:val="00220F2F"/>
    <w:rsid w:val="0022151C"/>
    <w:rsid w:val="0022762D"/>
    <w:rsid w:val="00227861"/>
    <w:rsid w:val="002311D5"/>
    <w:rsid w:val="00232303"/>
    <w:rsid w:val="00234806"/>
    <w:rsid w:val="002378D6"/>
    <w:rsid w:val="00243D36"/>
    <w:rsid w:val="00246903"/>
    <w:rsid w:val="00247707"/>
    <w:rsid w:val="00255D18"/>
    <w:rsid w:val="00257022"/>
    <w:rsid w:val="00261BB3"/>
    <w:rsid w:val="00263171"/>
    <w:rsid w:val="002750C9"/>
    <w:rsid w:val="00277919"/>
    <w:rsid w:val="002858E8"/>
    <w:rsid w:val="00286740"/>
    <w:rsid w:val="00287B42"/>
    <w:rsid w:val="002929D8"/>
    <w:rsid w:val="002935C2"/>
    <w:rsid w:val="00297D93"/>
    <w:rsid w:val="002A0B07"/>
    <w:rsid w:val="002A237D"/>
    <w:rsid w:val="002A2BF7"/>
    <w:rsid w:val="002A4C53"/>
    <w:rsid w:val="002A59ED"/>
    <w:rsid w:val="002B0672"/>
    <w:rsid w:val="002B1B4C"/>
    <w:rsid w:val="002B247F"/>
    <w:rsid w:val="002C145D"/>
    <w:rsid w:val="002C2C3E"/>
    <w:rsid w:val="002C533E"/>
    <w:rsid w:val="002C5525"/>
    <w:rsid w:val="002D027F"/>
    <w:rsid w:val="002D7A85"/>
    <w:rsid w:val="002D7B60"/>
    <w:rsid w:val="002E19D4"/>
    <w:rsid w:val="002E39FF"/>
    <w:rsid w:val="002E4177"/>
    <w:rsid w:val="002F0362"/>
    <w:rsid w:val="002F2C60"/>
    <w:rsid w:val="002F4038"/>
    <w:rsid w:val="002F4761"/>
    <w:rsid w:val="002F5C79"/>
    <w:rsid w:val="002F7994"/>
    <w:rsid w:val="002F7CB9"/>
    <w:rsid w:val="003019E2"/>
    <w:rsid w:val="0030279F"/>
    <w:rsid w:val="0031413F"/>
    <w:rsid w:val="003148BB"/>
    <w:rsid w:val="00317976"/>
    <w:rsid w:val="0032262C"/>
    <w:rsid w:val="00323885"/>
    <w:rsid w:val="00331475"/>
    <w:rsid w:val="003318B7"/>
    <w:rsid w:val="0033212E"/>
    <w:rsid w:val="00336869"/>
    <w:rsid w:val="00337AC4"/>
    <w:rsid w:val="00351A93"/>
    <w:rsid w:val="00353AD4"/>
    <w:rsid w:val="00354F33"/>
    <w:rsid w:val="00355EA9"/>
    <w:rsid w:val="003578DE"/>
    <w:rsid w:val="00365F6B"/>
    <w:rsid w:val="00370BF9"/>
    <w:rsid w:val="00371340"/>
    <w:rsid w:val="003759E2"/>
    <w:rsid w:val="00375AC6"/>
    <w:rsid w:val="00377D38"/>
    <w:rsid w:val="0038534A"/>
    <w:rsid w:val="00386999"/>
    <w:rsid w:val="00387C03"/>
    <w:rsid w:val="00390145"/>
    <w:rsid w:val="0039028A"/>
    <w:rsid w:val="00394379"/>
    <w:rsid w:val="00396257"/>
    <w:rsid w:val="00397EB8"/>
    <w:rsid w:val="003A07AB"/>
    <w:rsid w:val="003A086E"/>
    <w:rsid w:val="003A300F"/>
    <w:rsid w:val="003A37B8"/>
    <w:rsid w:val="003A4FD0"/>
    <w:rsid w:val="003A52FC"/>
    <w:rsid w:val="003A69D1"/>
    <w:rsid w:val="003A6E7D"/>
    <w:rsid w:val="003A76C0"/>
    <w:rsid w:val="003A7705"/>
    <w:rsid w:val="003B1545"/>
    <w:rsid w:val="003B3828"/>
    <w:rsid w:val="003B6CC5"/>
    <w:rsid w:val="003C035E"/>
    <w:rsid w:val="003C3267"/>
    <w:rsid w:val="003C409D"/>
    <w:rsid w:val="003C5BA6"/>
    <w:rsid w:val="003C6F3F"/>
    <w:rsid w:val="003D27C3"/>
    <w:rsid w:val="003D5CF3"/>
    <w:rsid w:val="003E3BCD"/>
    <w:rsid w:val="003F0E85"/>
    <w:rsid w:val="003F179F"/>
    <w:rsid w:val="003F1C2B"/>
    <w:rsid w:val="003F6C9C"/>
    <w:rsid w:val="00404CB5"/>
    <w:rsid w:val="00405251"/>
    <w:rsid w:val="004065EB"/>
    <w:rsid w:val="00410C55"/>
    <w:rsid w:val="004123A9"/>
    <w:rsid w:val="0041604D"/>
    <w:rsid w:val="00416854"/>
    <w:rsid w:val="00417725"/>
    <w:rsid w:val="0041779A"/>
    <w:rsid w:val="00417B99"/>
    <w:rsid w:val="0042020C"/>
    <w:rsid w:val="004212E4"/>
    <w:rsid w:val="004233BC"/>
    <w:rsid w:val="004243EA"/>
    <w:rsid w:val="00427834"/>
    <w:rsid w:val="004369F1"/>
    <w:rsid w:val="00437926"/>
    <w:rsid w:val="00437F26"/>
    <w:rsid w:val="0044040C"/>
    <w:rsid w:val="00444097"/>
    <w:rsid w:val="00445487"/>
    <w:rsid w:val="00451E64"/>
    <w:rsid w:val="00454769"/>
    <w:rsid w:val="00455C96"/>
    <w:rsid w:val="00456D58"/>
    <w:rsid w:val="004601A3"/>
    <w:rsid w:val="0046268D"/>
    <w:rsid w:val="00466991"/>
    <w:rsid w:val="0047064C"/>
    <w:rsid w:val="00473212"/>
    <w:rsid w:val="00473658"/>
    <w:rsid w:val="00474D90"/>
    <w:rsid w:val="00477AFF"/>
    <w:rsid w:val="00481F0B"/>
    <w:rsid w:val="00492BEF"/>
    <w:rsid w:val="00495BFE"/>
    <w:rsid w:val="004A42E1"/>
    <w:rsid w:val="004A497A"/>
    <w:rsid w:val="004A6EF4"/>
    <w:rsid w:val="004B07DD"/>
    <w:rsid w:val="004B162C"/>
    <w:rsid w:val="004B2F71"/>
    <w:rsid w:val="004B420B"/>
    <w:rsid w:val="004B647A"/>
    <w:rsid w:val="004C2F00"/>
    <w:rsid w:val="004C3135"/>
    <w:rsid w:val="004C32EF"/>
    <w:rsid w:val="004C3DBE"/>
    <w:rsid w:val="004C51F4"/>
    <w:rsid w:val="004C5C96"/>
    <w:rsid w:val="004D067A"/>
    <w:rsid w:val="004D06A4"/>
    <w:rsid w:val="004D1319"/>
    <w:rsid w:val="004D3626"/>
    <w:rsid w:val="004D3F13"/>
    <w:rsid w:val="004D60EA"/>
    <w:rsid w:val="004E3C89"/>
    <w:rsid w:val="004E59D4"/>
    <w:rsid w:val="004E7605"/>
    <w:rsid w:val="004E7821"/>
    <w:rsid w:val="004E79AC"/>
    <w:rsid w:val="004F1A81"/>
    <w:rsid w:val="00506479"/>
    <w:rsid w:val="00512F70"/>
    <w:rsid w:val="005218D9"/>
    <w:rsid w:val="005248DF"/>
    <w:rsid w:val="005268B4"/>
    <w:rsid w:val="00532E47"/>
    <w:rsid w:val="00535274"/>
    <w:rsid w:val="00536186"/>
    <w:rsid w:val="00536826"/>
    <w:rsid w:val="00544CBB"/>
    <w:rsid w:val="00550518"/>
    <w:rsid w:val="00552CD6"/>
    <w:rsid w:val="00564871"/>
    <w:rsid w:val="0057315F"/>
    <w:rsid w:val="00575DF1"/>
    <w:rsid w:val="00576104"/>
    <w:rsid w:val="00582712"/>
    <w:rsid w:val="00582D26"/>
    <w:rsid w:val="00590700"/>
    <w:rsid w:val="00590AB7"/>
    <w:rsid w:val="0059379A"/>
    <w:rsid w:val="005940BC"/>
    <w:rsid w:val="00594396"/>
    <w:rsid w:val="00594BA0"/>
    <w:rsid w:val="005A35AD"/>
    <w:rsid w:val="005A6439"/>
    <w:rsid w:val="005C14E7"/>
    <w:rsid w:val="005C1861"/>
    <w:rsid w:val="005C30D5"/>
    <w:rsid w:val="005C67C8"/>
    <w:rsid w:val="005D0249"/>
    <w:rsid w:val="005D2784"/>
    <w:rsid w:val="005D5F2D"/>
    <w:rsid w:val="005D6E8C"/>
    <w:rsid w:val="005E2E66"/>
    <w:rsid w:val="005F100C"/>
    <w:rsid w:val="005F1B38"/>
    <w:rsid w:val="005F5066"/>
    <w:rsid w:val="005F5708"/>
    <w:rsid w:val="005F68DA"/>
    <w:rsid w:val="005F75E6"/>
    <w:rsid w:val="006014DD"/>
    <w:rsid w:val="0060773B"/>
    <w:rsid w:val="00607D94"/>
    <w:rsid w:val="00610C80"/>
    <w:rsid w:val="006157B5"/>
    <w:rsid w:val="00616A0D"/>
    <w:rsid w:val="00621537"/>
    <w:rsid w:val="00623D76"/>
    <w:rsid w:val="006249A4"/>
    <w:rsid w:val="006264A6"/>
    <w:rsid w:val="00626FC6"/>
    <w:rsid w:val="006303B4"/>
    <w:rsid w:val="00631F2D"/>
    <w:rsid w:val="00633CEB"/>
    <w:rsid w:val="00633D3D"/>
    <w:rsid w:val="00633F3A"/>
    <w:rsid w:val="00635C7B"/>
    <w:rsid w:val="00635DDE"/>
    <w:rsid w:val="00636025"/>
    <w:rsid w:val="00641703"/>
    <w:rsid w:val="006431A6"/>
    <w:rsid w:val="006459F6"/>
    <w:rsid w:val="006501AD"/>
    <w:rsid w:val="00651BFA"/>
    <w:rsid w:val="006533B3"/>
    <w:rsid w:val="00655FD3"/>
    <w:rsid w:val="00663A80"/>
    <w:rsid w:val="00665A4B"/>
    <w:rsid w:val="00667F06"/>
    <w:rsid w:val="006731FE"/>
    <w:rsid w:val="006762E6"/>
    <w:rsid w:val="0068416B"/>
    <w:rsid w:val="0068417F"/>
    <w:rsid w:val="00685716"/>
    <w:rsid w:val="00686F0A"/>
    <w:rsid w:val="00687AB5"/>
    <w:rsid w:val="00692E2A"/>
    <w:rsid w:val="006A1F5E"/>
    <w:rsid w:val="006A76F2"/>
    <w:rsid w:val="006B3B72"/>
    <w:rsid w:val="006B50BE"/>
    <w:rsid w:val="006C3DDA"/>
    <w:rsid w:val="006D3277"/>
    <w:rsid w:val="006D4C96"/>
    <w:rsid w:val="006D7EFB"/>
    <w:rsid w:val="006E44B8"/>
    <w:rsid w:val="006E6672"/>
    <w:rsid w:val="006E6722"/>
    <w:rsid w:val="006E75DA"/>
    <w:rsid w:val="006F10F1"/>
    <w:rsid w:val="006F1E23"/>
    <w:rsid w:val="006F749A"/>
    <w:rsid w:val="0070079C"/>
    <w:rsid w:val="007027B9"/>
    <w:rsid w:val="0070281C"/>
    <w:rsid w:val="007035C0"/>
    <w:rsid w:val="00703664"/>
    <w:rsid w:val="00711C2D"/>
    <w:rsid w:val="00713D8F"/>
    <w:rsid w:val="00715CFD"/>
    <w:rsid w:val="00715E88"/>
    <w:rsid w:val="007163F8"/>
    <w:rsid w:val="0072144E"/>
    <w:rsid w:val="007237BD"/>
    <w:rsid w:val="00723A0A"/>
    <w:rsid w:val="0072508B"/>
    <w:rsid w:val="00725D7A"/>
    <w:rsid w:val="00730C55"/>
    <w:rsid w:val="00732257"/>
    <w:rsid w:val="00734CAA"/>
    <w:rsid w:val="00736583"/>
    <w:rsid w:val="00741092"/>
    <w:rsid w:val="0074187B"/>
    <w:rsid w:val="00744DED"/>
    <w:rsid w:val="0075473A"/>
    <w:rsid w:val="00755106"/>
    <w:rsid w:val="0075533C"/>
    <w:rsid w:val="00757581"/>
    <w:rsid w:val="007611A0"/>
    <w:rsid w:val="007658A0"/>
    <w:rsid w:val="007661C5"/>
    <w:rsid w:val="00771992"/>
    <w:rsid w:val="00783907"/>
    <w:rsid w:val="00787A36"/>
    <w:rsid w:val="00794672"/>
    <w:rsid w:val="007963C5"/>
    <w:rsid w:val="0079650A"/>
    <w:rsid w:val="00796D3F"/>
    <w:rsid w:val="007A1683"/>
    <w:rsid w:val="007A36F8"/>
    <w:rsid w:val="007A5C12"/>
    <w:rsid w:val="007A7CB0"/>
    <w:rsid w:val="007B126D"/>
    <w:rsid w:val="007B1374"/>
    <w:rsid w:val="007B68A3"/>
    <w:rsid w:val="007C2418"/>
    <w:rsid w:val="007C2541"/>
    <w:rsid w:val="007C2E66"/>
    <w:rsid w:val="007D66A8"/>
    <w:rsid w:val="007D773D"/>
    <w:rsid w:val="007E003F"/>
    <w:rsid w:val="007E3F3A"/>
    <w:rsid w:val="007E4C58"/>
    <w:rsid w:val="007E4C83"/>
    <w:rsid w:val="007E5159"/>
    <w:rsid w:val="007F0C50"/>
    <w:rsid w:val="007F1AC9"/>
    <w:rsid w:val="008000A2"/>
    <w:rsid w:val="00802E72"/>
    <w:rsid w:val="00802FAB"/>
    <w:rsid w:val="00804013"/>
    <w:rsid w:val="00805F1D"/>
    <w:rsid w:val="008061A7"/>
    <w:rsid w:val="00811A6A"/>
    <w:rsid w:val="008164F2"/>
    <w:rsid w:val="00821395"/>
    <w:rsid w:val="00824E0D"/>
    <w:rsid w:val="00826843"/>
    <w:rsid w:val="00830E26"/>
    <w:rsid w:val="00832828"/>
    <w:rsid w:val="00834507"/>
    <w:rsid w:val="00842776"/>
    <w:rsid w:val="00843576"/>
    <w:rsid w:val="00843B64"/>
    <w:rsid w:val="008440E7"/>
    <w:rsid w:val="008470BD"/>
    <w:rsid w:val="008478FC"/>
    <w:rsid w:val="00847E0A"/>
    <w:rsid w:val="008508FB"/>
    <w:rsid w:val="00854647"/>
    <w:rsid w:val="0086263F"/>
    <w:rsid w:val="0086769E"/>
    <w:rsid w:val="00867BFF"/>
    <w:rsid w:val="00872330"/>
    <w:rsid w:val="00873A41"/>
    <w:rsid w:val="0088480A"/>
    <w:rsid w:val="0088687C"/>
    <w:rsid w:val="0088757A"/>
    <w:rsid w:val="008908DD"/>
    <w:rsid w:val="00890D64"/>
    <w:rsid w:val="00894540"/>
    <w:rsid w:val="008957DD"/>
    <w:rsid w:val="00897D98"/>
    <w:rsid w:val="008A0222"/>
    <w:rsid w:val="008A1635"/>
    <w:rsid w:val="008A26B4"/>
    <w:rsid w:val="008A5130"/>
    <w:rsid w:val="008A6DF2"/>
    <w:rsid w:val="008A7807"/>
    <w:rsid w:val="008B0D6B"/>
    <w:rsid w:val="008B14D6"/>
    <w:rsid w:val="008B3832"/>
    <w:rsid w:val="008B4CC9"/>
    <w:rsid w:val="008B6FFF"/>
    <w:rsid w:val="008C13F0"/>
    <w:rsid w:val="008C1B8B"/>
    <w:rsid w:val="008C660A"/>
    <w:rsid w:val="008C6E30"/>
    <w:rsid w:val="008D1F0B"/>
    <w:rsid w:val="008D3AE0"/>
    <w:rsid w:val="008D6349"/>
    <w:rsid w:val="008D7C99"/>
    <w:rsid w:val="008E0EC2"/>
    <w:rsid w:val="008E0FCB"/>
    <w:rsid w:val="008E182C"/>
    <w:rsid w:val="008E5764"/>
    <w:rsid w:val="008F10F1"/>
    <w:rsid w:val="008F29AA"/>
    <w:rsid w:val="008F4856"/>
    <w:rsid w:val="0090336D"/>
    <w:rsid w:val="00907A4F"/>
    <w:rsid w:val="00907D78"/>
    <w:rsid w:val="00917387"/>
    <w:rsid w:val="0092178C"/>
    <w:rsid w:val="00921838"/>
    <w:rsid w:val="00921948"/>
    <w:rsid w:val="0092449E"/>
    <w:rsid w:val="0092493F"/>
    <w:rsid w:val="00930B88"/>
    <w:rsid w:val="009328C9"/>
    <w:rsid w:val="009378DC"/>
    <w:rsid w:val="00940DCC"/>
    <w:rsid w:val="0094179A"/>
    <w:rsid w:val="0094459E"/>
    <w:rsid w:val="00944DBC"/>
    <w:rsid w:val="00950977"/>
    <w:rsid w:val="00951A7B"/>
    <w:rsid w:val="009564A6"/>
    <w:rsid w:val="009613DD"/>
    <w:rsid w:val="00961A33"/>
    <w:rsid w:val="00961FA9"/>
    <w:rsid w:val="009627B8"/>
    <w:rsid w:val="009628B9"/>
    <w:rsid w:val="009663E0"/>
    <w:rsid w:val="00967621"/>
    <w:rsid w:val="00967E6A"/>
    <w:rsid w:val="00973025"/>
    <w:rsid w:val="00980797"/>
    <w:rsid w:val="00983DC9"/>
    <w:rsid w:val="009866D3"/>
    <w:rsid w:val="0099138D"/>
    <w:rsid w:val="00992225"/>
    <w:rsid w:val="009935AC"/>
    <w:rsid w:val="00995CA9"/>
    <w:rsid w:val="00996A19"/>
    <w:rsid w:val="009A30E9"/>
    <w:rsid w:val="009A6054"/>
    <w:rsid w:val="009A6A77"/>
    <w:rsid w:val="009B0684"/>
    <w:rsid w:val="009B4A0F"/>
    <w:rsid w:val="009B7998"/>
    <w:rsid w:val="009C0FEC"/>
    <w:rsid w:val="009C11D2"/>
    <w:rsid w:val="009C2660"/>
    <w:rsid w:val="009C6C70"/>
    <w:rsid w:val="009D0922"/>
    <w:rsid w:val="009D0B63"/>
    <w:rsid w:val="009D3A75"/>
    <w:rsid w:val="009D5A36"/>
    <w:rsid w:val="009E1A50"/>
    <w:rsid w:val="009E307E"/>
    <w:rsid w:val="009E47E3"/>
    <w:rsid w:val="009F2289"/>
    <w:rsid w:val="009F341F"/>
    <w:rsid w:val="009F490E"/>
    <w:rsid w:val="00A02362"/>
    <w:rsid w:val="00A03A4A"/>
    <w:rsid w:val="00A07870"/>
    <w:rsid w:val="00A07F19"/>
    <w:rsid w:val="00A12C5D"/>
    <w:rsid w:val="00A1348D"/>
    <w:rsid w:val="00A142D1"/>
    <w:rsid w:val="00A1489E"/>
    <w:rsid w:val="00A17D43"/>
    <w:rsid w:val="00A2099E"/>
    <w:rsid w:val="00A232EE"/>
    <w:rsid w:val="00A30EA1"/>
    <w:rsid w:val="00A348AD"/>
    <w:rsid w:val="00A4175F"/>
    <w:rsid w:val="00A421CD"/>
    <w:rsid w:val="00A44411"/>
    <w:rsid w:val="00A469FA"/>
    <w:rsid w:val="00A47502"/>
    <w:rsid w:val="00A4781A"/>
    <w:rsid w:val="00A50E94"/>
    <w:rsid w:val="00A55B01"/>
    <w:rsid w:val="00A56546"/>
    <w:rsid w:val="00A56B5B"/>
    <w:rsid w:val="00A57D06"/>
    <w:rsid w:val="00A603FF"/>
    <w:rsid w:val="00A657DD"/>
    <w:rsid w:val="00A666A6"/>
    <w:rsid w:val="00A675FD"/>
    <w:rsid w:val="00A7034A"/>
    <w:rsid w:val="00A72437"/>
    <w:rsid w:val="00A800B7"/>
    <w:rsid w:val="00A80611"/>
    <w:rsid w:val="00A845BD"/>
    <w:rsid w:val="00A84B15"/>
    <w:rsid w:val="00A87016"/>
    <w:rsid w:val="00AA4524"/>
    <w:rsid w:val="00AA4C3D"/>
    <w:rsid w:val="00AB1F69"/>
    <w:rsid w:val="00AB5340"/>
    <w:rsid w:val="00AB6293"/>
    <w:rsid w:val="00AC010E"/>
    <w:rsid w:val="00AC01CC"/>
    <w:rsid w:val="00AC16B8"/>
    <w:rsid w:val="00AC4CD2"/>
    <w:rsid w:val="00AC7C96"/>
    <w:rsid w:val="00AD1274"/>
    <w:rsid w:val="00AD3F01"/>
    <w:rsid w:val="00AD481F"/>
    <w:rsid w:val="00AE2080"/>
    <w:rsid w:val="00AE237D"/>
    <w:rsid w:val="00AE2A3D"/>
    <w:rsid w:val="00AE502A"/>
    <w:rsid w:val="00AF0DF7"/>
    <w:rsid w:val="00AF2E97"/>
    <w:rsid w:val="00AF7C07"/>
    <w:rsid w:val="00B02658"/>
    <w:rsid w:val="00B1466C"/>
    <w:rsid w:val="00B14744"/>
    <w:rsid w:val="00B209FE"/>
    <w:rsid w:val="00B22C93"/>
    <w:rsid w:val="00B27589"/>
    <w:rsid w:val="00B32CB0"/>
    <w:rsid w:val="00B34886"/>
    <w:rsid w:val="00B371E0"/>
    <w:rsid w:val="00B37EF9"/>
    <w:rsid w:val="00B405B7"/>
    <w:rsid w:val="00B436D1"/>
    <w:rsid w:val="00B45E6D"/>
    <w:rsid w:val="00B52222"/>
    <w:rsid w:val="00B523A2"/>
    <w:rsid w:val="00B54FE7"/>
    <w:rsid w:val="00B57C47"/>
    <w:rsid w:val="00B6128F"/>
    <w:rsid w:val="00B66901"/>
    <w:rsid w:val="00B678B2"/>
    <w:rsid w:val="00B71E6D"/>
    <w:rsid w:val="00B72070"/>
    <w:rsid w:val="00B779E1"/>
    <w:rsid w:val="00B83906"/>
    <w:rsid w:val="00B859A3"/>
    <w:rsid w:val="00B918F2"/>
    <w:rsid w:val="00B91BAD"/>
    <w:rsid w:val="00B91EE1"/>
    <w:rsid w:val="00B93D08"/>
    <w:rsid w:val="00B94EC8"/>
    <w:rsid w:val="00BA0090"/>
    <w:rsid w:val="00BA1A67"/>
    <w:rsid w:val="00BA5F60"/>
    <w:rsid w:val="00BA684D"/>
    <w:rsid w:val="00BB1BD8"/>
    <w:rsid w:val="00BB2963"/>
    <w:rsid w:val="00BB43D8"/>
    <w:rsid w:val="00BB49DE"/>
    <w:rsid w:val="00BB5F8D"/>
    <w:rsid w:val="00BC07FE"/>
    <w:rsid w:val="00BC34E8"/>
    <w:rsid w:val="00BC4229"/>
    <w:rsid w:val="00BD0163"/>
    <w:rsid w:val="00BD159E"/>
    <w:rsid w:val="00BD1AE4"/>
    <w:rsid w:val="00BD34D5"/>
    <w:rsid w:val="00BD3668"/>
    <w:rsid w:val="00BD4973"/>
    <w:rsid w:val="00BE5B5F"/>
    <w:rsid w:val="00BF49F8"/>
    <w:rsid w:val="00BF5B50"/>
    <w:rsid w:val="00C074B3"/>
    <w:rsid w:val="00C12775"/>
    <w:rsid w:val="00C132B8"/>
    <w:rsid w:val="00C16B63"/>
    <w:rsid w:val="00C26F55"/>
    <w:rsid w:val="00C27485"/>
    <w:rsid w:val="00C30C63"/>
    <w:rsid w:val="00C32B37"/>
    <w:rsid w:val="00C34876"/>
    <w:rsid w:val="00C36B8B"/>
    <w:rsid w:val="00C40816"/>
    <w:rsid w:val="00C42643"/>
    <w:rsid w:val="00C47DBF"/>
    <w:rsid w:val="00C5012C"/>
    <w:rsid w:val="00C53666"/>
    <w:rsid w:val="00C552FF"/>
    <w:rsid w:val="00C558DA"/>
    <w:rsid w:val="00C55AF3"/>
    <w:rsid w:val="00C5607C"/>
    <w:rsid w:val="00C60713"/>
    <w:rsid w:val="00C67D0B"/>
    <w:rsid w:val="00C70B49"/>
    <w:rsid w:val="00C70F49"/>
    <w:rsid w:val="00C71D57"/>
    <w:rsid w:val="00C71F80"/>
    <w:rsid w:val="00C75C7C"/>
    <w:rsid w:val="00C762EF"/>
    <w:rsid w:val="00C81951"/>
    <w:rsid w:val="00C83A8F"/>
    <w:rsid w:val="00C843CD"/>
    <w:rsid w:val="00C84759"/>
    <w:rsid w:val="00C85023"/>
    <w:rsid w:val="00C8546D"/>
    <w:rsid w:val="00C97578"/>
    <w:rsid w:val="00CA3CFB"/>
    <w:rsid w:val="00CA44D0"/>
    <w:rsid w:val="00CA6C7F"/>
    <w:rsid w:val="00CA78AF"/>
    <w:rsid w:val="00CB27F3"/>
    <w:rsid w:val="00CB6CD4"/>
    <w:rsid w:val="00CB6F8C"/>
    <w:rsid w:val="00CC0260"/>
    <w:rsid w:val="00CC10A6"/>
    <w:rsid w:val="00CC192D"/>
    <w:rsid w:val="00CC38C3"/>
    <w:rsid w:val="00CC390A"/>
    <w:rsid w:val="00CC7DF9"/>
    <w:rsid w:val="00CD09D6"/>
    <w:rsid w:val="00CD3B30"/>
    <w:rsid w:val="00CD5EB8"/>
    <w:rsid w:val="00CD6AC7"/>
    <w:rsid w:val="00CD7044"/>
    <w:rsid w:val="00CE0360"/>
    <w:rsid w:val="00CE08B9"/>
    <w:rsid w:val="00CE23B6"/>
    <w:rsid w:val="00CE524C"/>
    <w:rsid w:val="00CE7C27"/>
    <w:rsid w:val="00CF141F"/>
    <w:rsid w:val="00CF4777"/>
    <w:rsid w:val="00CF5AF8"/>
    <w:rsid w:val="00D067BB"/>
    <w:rsid w:val="00D070CC"/>
    <w:rsid w:val="00D10E31"/>
    <w:rsid w:val="00D1352A"/>
    <w:rsid w:val="00D13EDE"/>
    <w:rsid w:val="00D169AF"/>
    <w:rsid w:val="00D2434A"/>
    <w:rsid w:val="00D25249"/>
    <w:rsid w:val="00D255A7"/>
    <w:rsid w:val="00D26D33"/>
    <w:rsid w:val="00D31CDA"/>
    <w:rsid w:val="00D34B46"/>
    <w:rsid w:val="00D42143"/>
    <w:rsid w:val="00D44172"/>
    <w:rsid w:val="00D52175"/>
    <w:rsid w:val="00D526D8"/>
    <w:rsid w:val="00D60152"/>
    <w:rsid w:val="00D62ABE"/>
    <w:rsid w:val="00D63B8C"/>
    <w:rsid w:val="00D648A4"/>
    <w:rsid w:val="00D70B0E"/>
    <w:rsid w:val="00D712FD"/>
    <w:rsid w:val="00D72B7C"/>
    <w:rsid w:val="00D72CB6"/>
    <w:rsid w:val="00D739CC"/>
    <w:rsid w:val="00D74317"/>
    <w:rsid w:val="00D8093D"/>
    <w:rsid w:val="00D8108C"/>
    <w:rsid w:val="00D83B14"/>
    <w:rsid w:val="00D842AE"/>
    <w:rsid w:val="00D90F57"/>
    <w:rsid w:val="00D9211C"/>
    <w:rsid w:val="00D92DE0"/>
    <w:rsid w:val="00D92FEF"/>
    <w:rsid w:val="00D93A0F"/>
    <w:rsid w:val="00D972E4"/>
    <w:rsid w:val="00DA1BCA"/>
    <w:rsid w:val="00DA3FFA"/>
    <w:rsid w:val="00DA7299"/>
    <w:rsid w:val="00DB36B7"/>
    <w:rsid w:val="00DB3E23"/>
    <w:rsid w:val="00DB70DF"/>
    <w:rsid w:val="00DC43F4"/>
    <w:rsid w:val="00DC46FF"/>
    <w:rsid w:val="00DC5254"/>
    <w:rsid w:val="00DC5BEF"/>
    <w:rsid w:val="00DD023B"/>
    <w:rsid w:val="00DD1552"/>
    <w:rsid w:val="00DD1A4F"/>
    <w:rsid w:val="00DD3107"/>
    <w:rsid w:val="00DD5820"/>
    <w:rsid w:val="00DD5EFF"/>
    <w:rsid w:val="00DD714F"/>
    <w:rsid w:val="00DD7C2C"/>
    <w:rsid w:val="00DE2CFA"/>
    <w:rsid w:val="00DE6E55"/>
    <w:rsid w:val="00DE7FD2"/>
    <w:rsid w:val="00DF032F"/>
    <w:rsid w:val="00DF5660"/>
    <w:rsid w:val="00DF5A82"/>
    <w:rsid w:val="00DF5ABB"/>
    <w:rsid w:val="00DF719E"/>
    <w:rsid w:val="00E0042E"/>
    <w:rsid w:val="00E028E5"/>
    <w:rsid w:val="00E0318B"/>
    <w:rsid w:val="00E0574F"/>
    <w:rsid w:val="00E06797"/>
    <w:rsid w:val="00E122BC"/>
    <w:rsid w:val="00E1265B"/>
    <w:rsid w:val="00E135E9"/>
    <w:rsid w:val="00E13B48"/>
    <w:rsid w:val="00E1404F"/>
    <w:rsid w:val="00E15FDA"/>
    <w:rsid w:val="00E212EF"/>
    <w:rsid w:val="00E214BC"/>
    <w:rsid w:val="00E21C83"/>
    <w:rsid w:val="00E24ADA"/>
    <w:rsid w:val="00E256F6"/>
    <w:rsid w:val="00E2771B"/>
    <w:rsid w:val="00E32F59"/>
    <w:rsid w:val="00E33495"/>
    <w:rsid w:val="00E37F15"/>
    <w:rsid w:val="00E43E9C"/>
    <w:rsid w:val="00E440CD"/>
    <w:rsid w:val="00E46D9A"/>
    <w:rsid w:val="00E509D1"/>
    <w:rsid w:val="00E55A0C"/>
    <w:rsid w:val="00E565FF"/>
    <w:rsid w:val="00E5697E"/>
    <w:rsid w:val="00E600D6"/>
    <w:rsid w:val="00E608F7"/>
    <w:rsid w:val="00E63C75"/>
    <w:rsid w:val="00E65388"/>
    <w:rsid w:val="00E67833"/>
    <w:rsid w:val="00E746BF"/>
    <w:rsid w:val="00E74ACB"/>
    <w:rsid w:val="00E74DFE"/>
    <w:rsid w:val="00E76338"/>
    <w:rsid w:val="00E85B7D"/>
    <w:rsid w:val="00E870A4"/>
    <w:rsid w:val="00E90CB9"/>
    <w:rsid w:val="00E9121B"/>
    <w:rsid w:val="00E94B48"/>
    <w:rsid w:val="00E96614"/>
    <w:rsid w:val="00EA0AE2"/>
    <w:rsid w:val="00EA292F"/>
    <w:rsid w:val="00EA39E5"/>
    <w:rsid w:val="00EA5C76"/>
    <w:rsid w:val="00EB3106"/>
    <w:rsid w:val="00EB6959"/>
    <w:rsid w:val="00EC5A46"/>
    <w:rsid w:val="00EC63E2"/>
    <w:rsid w:val="00ED0087"/>
    <w:rsid w:val="00ED1F3E"/>
    <w:rsid w:val="00ED2AEB"/>
    <w:rsid w:val="00EE14AA"/>
    <w:rsid w:val="00EE1BA8"/>
    <w:rsid w:val="00EE1C1B"/>
    <w:rsid w:val="00EE1E98"/>
    <w:rsid w:val="00EE397B"/>
    <w:rsid w:val="00EE4483"/>
    <w:rsid w:val="00EE4B9B"/>
    <w:rsid w:val="00EE5261"/>
    <w:rsid w:val="00EE66BB"/>
    <w:rsid w:val="00EE73EF"/>
    <w:rsid w:val="00EF22B3"/>
    <w:rsid w:val="00EF469A"/>
    <w:rsid w:val="00EF5963"/>
    <w:rsid w:val="00EF5B10"/>
    <w:rsid w:val="00EF629A"/>
    <w:rsid w:val="00F03B69"/>
    <w:rsid w:val="00F051FF"/>
    <w:rsid w:val="00F05B20"/>
    <w:rsid w:val="00F07A50"/>
    <w:rsid w:val="00F105D3"/>
    <w:rsid w:val="00F113DA"/>
    <w:rsid w:val="00F1419D"/>
    <w:rsid w:val="00F1479A"/>
    <w:rsid w:val="00F17A1E"/>
    <w:rsid w:val="00F23184"/>
    <w:rsid w:val="00F25F15"/>
    <w:rsid w:val="00F26EEA"/>
    <w:rsid w:val="00F31593"/>
    <w:rsid w:val="00F316F0"/>
    <w:rsid w:val="00F319FC"/>
    <w:rsid w:val="00F37DC8"/>
    <w:rsid w:val="00F439B3"/>
    <w:rsid w:val="00F45AA8"/>
    <w:rsid w:val="00F502DD"/>
    <w:rsid w:val="00F511D5"/>
    <w:rsid w:val="00F513D6"/>
    <w:rsid w:val="00F52A1B"/>
    <w:rsid w:val="00F55FC0"/>
    <w:rsid w:val="00F607B7"/>
    <w:rsid w:val="00F63517"/>
    <w:rsid w:val="00F638FC"/>
    <w:rsid w:val="00F64159"/>
    <w:rsid w:val="00F650C3"/>
    <w:rsid w:val="00F65D85"/>
    <w:rsid w:val="00F7203C"/>
    <w:rsid w:val="00F739A5"/>
    <w:rsid w:val="00F75453"/>
    <w:rsid w:val="00F75A27"/>
    <w:rsid w:val="00F8091E"/>
    <w:rsid w:val="00F82206"/>
    <w:rsid w:val="00F84A0C"/>
    <w:rsid w:val="00F84C62"/>
    <w:rsid w:val="00F8615C"/>
    <w:rsid w:val="00F963C3"/>
    <w:rsid w:val="00F9657B"/>
    <w:rsid w:val="00F969E5"/>
    <w:rsid w:val="00F97AEE"/>
    <w:rsid w:val="00F97E54"/>
    <w:rsid w:val="00FA04C1"/>
    <w:rsid w:val="00FA1C95"/>
    <w:rsid w:val="00FA5468"/>
    <w:rsid w:val="00FA598C"/>
    <w:rsid w:val="00FA6BB0"/>
    <w:rsid w:val="00FB0AC9"/>
    <w:rsid w:val="00FB1828"/>
    <w:rsid w:val="00FB1B51"/>
    <w:rsid w:val="00FB1DFB"/>
    <w:rsid w:val="00FB3574"/>
    <w:rsid w:val="00FB7583"/>
    <w:rsid w:val="00FC7A3D"/>
    <w:rsid w:val="00FD0943"/>
    <w:rsid w:val="00FD2438"/>
    <w:rsid w:val="00FD2ADF"/>
    <w:rsid w:val="00FD2D77"/>
    <w:rsid w:val="00FD5860"/>
    <w:rsid w:val="00FE2885"/>
    <w:rsid w:val="00FE352D"/>
    <w:rsid w:val="00FE40EB"/>
    <w:rsid w:val="00FE4D02"/>
    <w:rsid w:val="00FE51C9"/>
    <w:rsid w:val="00FE587C"/>
    <w:rsid w:val="00FE76CA"/>
    <w:rsid w:val="00FE7B2F"/>
    <w:rsid w:val="00FE7D62"/>
    <w:rsid w:val="00FF1109"/>
    <w:rsid w:val="00FF3819"/>
    <w:rsid w:val="00FF4B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93D7"/>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4187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C71D5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71D5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71D5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71D5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71D5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71D5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71D5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71D5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71D5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71D57"/>
    <w:rPr>
      <w:rFonts w:ascii="Times New Roman" w:hAnsi="Times New Roman"/>
      <w:b/>
      <w:sz w:val="18"/>
      <w:lang w:val="en-GB"/>
    </w:rPr>
  </w:style>
  <w:style w:type="table" w:customStyle="1" w:styleId="Tabledocright">
    <w:name w:val="Table_doc_right"/>
    <w:basedOn w:val="TableNormal"/>
    <w:rsid w:val="00C71D5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71D57"/>
    <w:pPr>
      <w:ind w:left="1000"/>
    </w:pPr>
    <w:rPr>
      <w:sz w:val="18"/>
      <w:szCs w:val="18"/>
    </w:rPr>
  </w:style>
  <w:style w:type="paragraph" w:styleId="TOC7">
    <w:name w:val="toc 7"/>
    <w:basedOn w:val="Normal"/>
    <w:next w:val="Normal"/>
    <w:autoRedefine/>
    <w:semiHidden/>
    <w:rsid w:val="00C71D57"/>
    <w:pPr>
      <w:ind w:left="1200"/>
    </w:pPr>
    <w:rPr>
      <w:sz w:val="18"/>
      <w:szCs w:val="18"/>
    </w:rPr>
  </w:style>
  <w:style w:type="paragraph" w:styleId="TOC8">
    <w:name w:val="toc 8"/>
    <w:basedOn w:val="Normal"/>
    <w:next w:val="Normal"/>
    <w:autoRedefine/>
    <w:semiHidden/>
    <w:rsid w:val="00C71D57"/>
    <w:pPr>
      <w:ind w:left="1400"/>
    </w:pPr>
    <w:rPr>
      <w:sz w:val="18"/>
      <w:szCs w:val="18"/>
    </w:rPr>
  </w:style>
  <w:style w:type="paragraph" w:styleId="TOC9">
    <w:name w:val="toc 9"/>
    <w:basedOn w:val="Normal"/>
    <w:next w:val="Normal"/>
    <w:autoRedefine/>
    <w:semiHidden/>
    <w:rsid w:val="00C71D57"/>
    <w:pPr>
      <w:ind w:left="1600"/>
    </w:pPr>
    <w:rPr>
      <w:sz w:val="18"/>
      <w:szCs w:val="18"/>
    </w:rPr>
  </w:style>
  <w:style w:type="paragraph" w:customStyle="1" w:styleId="Titlefigure">
    <w:name w:val="Title_figure"/>
    <w:basedOn w:val="Titletable"/>
    <w:next w:val="NormalNonumber"/>
    <w:rsid w:val="00C71D57"/>
    <w:pPr>
      <w:tabs>
        <w:tab w:val="clear" w:pos="4990"/>
      </w:tabs>
    </w:pPr>
    <w:rPr>
      <w:bCs w:val="0"/>
    </w:rPr>
  </w:style>
  <w:style w:type="paragraph" w:styleId="TableofFigures">
    <w:name w:val="table of figures"/>
    <w:basedOn w:val="Normal"/>
    <w:next w:val="Normal"/>
    <w:autoRedefine/>
    <w:semiHidden/>
    <w:rsid w:val="00C71D57"/>
    <w:pPr>
      <w:ind w:left="1814" w:hanging="567"/>
    </w:pPr>
  </w:style>
  <w:style w:type="paragraph" w:customStyle="1" w:styleId="CH1">
    <w:name w:val="CH1"/>
    <w:basedOn w:val="Normal-pool"/>
    <w:next w:val="CH2"/>
    <w:link w:val="CH1Char"/>
    <w:qFormat/>
    <w:rsid w:val="00C71D5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71D5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71D5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71D5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71D5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pool"/>
    <w:next w:val="Normal-pool"/>
    <w:rsid w:val="00C71D57"/>
    <w:pPr>
      <w:tabs>
        <w:tab w:val="right" w:pos="8641"/>
      </w:tabs>
      <w:spacing w:after="120"/>
    </w:pPr>
    <w:rPr>
      <w:b/>
      <w:sz w:val="18"/>
    </w:rPr>
  </w:style>
  <w:style w:type="paragraph" w:customStyle="1" w:styleId="Header-pool">
    <w:name w:val="Header-pool"/>
    <w:basedOn w:val="Normal"/>
    <w:next w:val="Normal"/>
    <w:rsid w:val="00C71D57"/>
    <w:pPr>
      <w:pBdr>
        <w:bottom w:val="single" w:sz="4" w:space="1" w:color="auto"/>
      </w:pBdr>
      <w:tabs>
        <w:tab w:val="right" w:pos="9072"/>
      </w:tabs>
    </w:pPr>
    <w:rPr>
      <w:b/>
      <w:sz w:val="18"/>
    </w:rPr>
  </w:style>
  <w:style w:type="character" w:styleId="FootnoteReference">
    <w:name w:val="footnote reference"/>
    <w:unhideWhenUsed/>
    <w:qFormat/>
    <w:rsid w:val="00C71D57"/>
    <w:rPr>
      <w:rFonts w:ascii="Times New Roman" w:hAnsi="Times New Roman"/>
      <w:color w:val="auto"/>
      <w:sz w:val="20"/>
      <w:szCs w:val="18"/>
      <w:vertAlign w:val="superscript"/>
      <w:lang w:val="en-GB"/>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71D57"/>
    <w:pPr>
      <w:keepNext/>
      <w:keepLines/>
      <w:suppressAutoHyphens/>
    </w:pPr>
    <w:rPr>
      <w:b/>
    </w:rPr>
  </w:style>
  <w:style w:type="paragraph" w:customStyle="1" w:styleId="AATitle2">
    <w:name w:val="AA_Title2"/>
    <w:basedOn w:val="AATitle"/>
    <w:rsid w:val="00C71D57"/>
    <w:pPr>
      <w:keepNext w:val="0"/>
      <w:keepLines w:val="0"/>
      <w:tabs>
        <w:tab w:val="clear" w:pos="4990"/>
      </w:tabs>
      <w:spacing w:before="120" w:after="120"/>
    </w:pPr>
  </w:style>
  <w:style w:type="paragraph" w:customStyle="1" w:styleId="BBTitle">
    <w:name w:val="BB_Title"/>
    <w:basedOn w:val="Normal-pool"/>
    <w:link w:val="BBTitleChar"/>
    <w:qFormat/>
    <w:rsid w:val="00C71D5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71D5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71D5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71D57"/>
    <w:rPr>
      <w:color w:val="0000FF"/>
      <w:u w:val="none"/>
      <w:lang w:val="en-GB"/>
    </w:rPr>
  </w:style>
  <w:style w:type="numbering" w:customStyle="1" w:styleId="Normallist">
    <w:name w:val="Normal_list"/>
    <w:basedOn w:val="NoList"/>
    <w:rsid w:val="00C71D57"/>
    <w:pPr>
      <w:numPr>
        <w:numId w:val="1"/>
      </w:numPr>
    </w:pPr>
  </w:style>
  <w:style w:type="paragraph" w:customStyle="1" w:styleId="NormalNonumber">
    <w:name w:val="Normal_No_number"/>
    <w:basedOn w:val="Normal-pool"/>
    <w:qFormat/>
    <w:rsid w:val="00C71D57"/>
    <w:pPr>
      <w:spacing w:after="120"/>
      <w:ind w:left="1247"/>
    </w:pPr>
  </w:style>
  <w:style w:type="paragraph" w:customStyle="1" w:styleId="Normalnumber">
    <w:name w:val="Normal_number"/>
    <w:basedOn w:val="Normal"/>
    <w:link w:val="NormalnumberChar"/>
    <w:qFormat/>
    <w:rsid w:val="00C71D57"/>
    <w:pPr>
      <w:numPr>
        <w:numId w:val="1"/>
      </w:numPr>
      <w:tabs>
        <w:tab w:val="clear" w:pos="624"/>
      </w:tabs>
      <w:spacing w:after="120"/>
      <w:ind w:left="1247"/>
    </w:pPr>
  </w:style>
  <w:style w:type="paragraph" w:customStyle="1" w:styleId="Titletable">
    <w:name w:val="Title_table"/>
    <w:basedOn w:val="Normal-pool"/>
    <w:next w:val="NormalNonumber"/>
    <w:rsid w:val="00C71D57"/>
    <w:pPr>
      <w:keepNext/>
      <w:keepLines/>
      <w:suppressAutoHyphens/>
      <w:spacing w:after="60"/>
      <w:ind w:left="1247"/>
    </w:pPr>
    <w:rPr>
      <w:b/>
      <w:bCs/>
    </w:rPr>
  </w:style>
  <w:style w:type="paragraph" w:styleId="TOC1">
    <w:name w:val="toc 1"/>
    <w:basedOn w:val="Normal"/>
    <w:next w:val="Normal"/>
    <w:autoRedefine/>
    <w:uiPriority w:val="39"/>
    <w:unhideWhenUsed/>
    <w:rsid w:val="00C71D57"/>
    <w:pPr>
      <w:tabs>
        <w:tab w:val="right" w:leader="dot" w:pos="9486"/>
      </w:tabs>
      <w:spacing w:before="240"/>
      <w:ind w:left="1984" w:hanging="737"/>
    </w:pPr>
    <w:rPr>
      <w:bCs/>
    </w:rPr>
  </w:style>
  <w:style w:type="paragraph" w:styleId="TOC2">
    <w:name w:val="toc 2"/>
    <w:basedOn w:val="Normal"/>
    <w:next w:val="Normal"/>
    <w:uiPriority w:val="39"/>
    <w:unhideWhenUsed/>
    <w:rsid w:val="00C71D57"/>
    <w:pPr>
      <w:tabs>
        <w:tab w:val="right" w:leader="dot" w:pos="9486"/>
      </w:tabs>
      <w:spacing w:before="60"/>
      <w:ind w:left="2608" w:hanging="737"/>
    </w:pPr>
  </w:style>
  <w:style w:type="paragraph" w:styleId="TOC3">
    <w:name w:val="toc 3"/>
    <w:basedOn w:val="Normal"/>
    <w:next w:val="Normal"/>
    <w:uiPriority w:val="39"/>
    <w:unhideWhenUsed/>
    <w:rsid w:val="00C71D57"/>
    <w:pPr>
      <w:tabs>
        <w:tab w:val="right" w:leader="dot" w:pos="9486"/>
      </w:tabs>
      <w:ind w:left="3232" w:hanging="737"/>
    </w:pPr>
    <w:rPr>
      <w:iCs/>
    </w:rPr>
  </w:style>
  <w:style w:type="paragraph" w:styleId="TOC4">
    <w:name w:val="toc 4"/>
    <w:basedOn w:val="Normal"/>
    <w:next w:val="Normal"/>
    <w:uiPriority w:val="39"/>
    <w:unhideWhenUsed/>
    <w:rsid w:val="00C71D57"/>
    <w:pPr>
      <w:tabs>
        <w:tab w:val="left" w:pos="1000"/>
        <w:tab w:val="right" w:leader="dot" w:pos="9486"/>
      </w:tabs>
      <w:ind w:left="3856" w:hanging="737"/>
    </w:pPr>
    <w:rPr>
      <w:szCs w:val="18"/>
    </w:rPr>
  </w:style>
  <w:style w:type="paragraph" w:styleId="TOC5">
    <w:name w:val="toc 5"/>
    <w:basedOn w:val="Normal"/>
    <w:next w:val="Normal"/>
    <w:uiPriority w:val="39"/>
    <w:rsid w:val="00C71D57"/>
    <w:pPr>
      <w:tabs>
        <w:tab w:val="right" w:leader="dot" w:pos="9486"/>
      </w:tabs>
      <w:ind w:left="4479" w:hanging="737"/>
    </w:pPr>
    <w:rPr>
      <w:sz w:val="18"/>
      <w:szCs w:val="18"/>
    </w:rPr>
  </w:style>
  <w:style w:type="paragraph" w:customStyle="1" w:styleId="ZZAnxheader">
    <w:name w:val="ZZ_Anx_header"/>
    <w:basedOn w:val="Normal-pool"/>
    <w:rsid w:val="00C71D57"/>
    <w:rPr>
      <w:b/>
      <w:bCs/>
      <w:sz w:val="28"/>
      <w:szCs w:val="22"/>
    </w:rPr>
  </w:style>
  <w:style w:type="paragraph" w:customStyle="1" w:styleId="ZZAnxtitle">
    <w:name w:val="ZZ_Anx_title"/>
    <w:basedOn w:val="Normal-pool"/>
    <w:rsid w:val="00C71D57"/>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71D57"/>
    <w:pPr>
      <w:spacing w:before="40" w:after="40"/>
    </w:pPr>
    <w:rPr>
      <w:sz w:val="18"/>
    </w:rPr>
  </w:style>
  <w:style w:type="paragraph" w:customStyle="1" w:styleId="Footnote-Text">
    <w:name w:val="Footnote-Text"/>
    <w:basedOn w:val="Normal-pool"/>
    <w:rsid w:val="00C71D57"/>
    <w:pPr>
      <w:spacing w:before="20" w:after="40"/>
      <w:ind w:left="1247"/>
    </w:pPr>
    <w:rPr>
      <w:sz w:val="18"/>
    </w:rPr>
  </w:style>
  <w:style w:type="paragraph" w:customStyle="1" w:styleId="AConvName">
    <w:name w:val="A_ConvName"/>
    <w:basedOn w:val="Normal-pool"/>
    <w:next w:val="Normal-pool"/>
    <w:rsid w:val="00C71D57"/>
    <w:pPr>
      <w:spacing w:before="120" w:after="240"/>
    </w:pPr>
    <w:rPr>
      <w:rFonts w:ascii="Arial" w:hAnsi="Arial"/>
      <w:b/>
      <w:sz w:val="28"/>
    </w:rPr>
  </w:style>
  <w:style w:type="paragraph" w:customStyle="1" w:styleId="ASymbol">
    <w:name w:val="A_Symbol"/>
    <w:basedOn w:val="Normal-pool"/>
    <w:rsid w:val="00C71D57"/>
    <w:pPr>
      <w:tabs>
        <w:tab w:val="clear" w:pos="624"/>
        <w:tab w:val="clear" w:pos="1247"/>
        <w:tab w:val="right" w:pos="2920"/>
      </w:tabs>
    </w:pPr>
    <w:rPr>
      <w:rFonts w:eastAsia="SimSun"/>
    </w:rPr>
  </w:style>
  <w:style w:type="paragraph" w:customStyle="1" w:styleId="AText">
    <w:name w:val="A_Text"/>
    <w:basedOn w:val="Normal-pool"/>
    <w:rsid w:val="00C71D57"/>
    <w:pPr>
      <w:spacing w:before="120"/>
    </w:pPr>
  </w:style>
  <w:style w:type="paragraph" w:customStyle="1" w:styleId="ATwoLetters">
    <w:name w:val="A_TwoLetters"/>
    <w:basedOn w:val="Normal-pool"/>
    <w:next w:val="Normal-pool"/>
    <w:rsid w:val="00C71D57"/>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71D57"/>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C71D57"/>
    <w:rPr>
      <w:sz w:val="16"/>
      <w:szCs w:val="16"/>
      <w:lang w:val="en-GB"/>
    </w:rPr>
  </w:style>
  <w:style w:type="paragraph" w:styleId="CommentText">
    <w:name w:val="annotation text"/>
    <w:basedOn w:val="Normal"/>
    <w:link w:val="CommentTextChar"/>
    <w:unhideWhenUsed/>
    <w:rsid w:val="00C71D57"/>
  </w:style>
  <w:style w:type="character" w:customStyle="1" w:styleId="CommentTextChar">
    <w:name w:val="Comment Text Char"/>
    <w:basedOn w:val="DefaultParagraphFont"/>
    <w:link w:val="CommentText"/>
    <w:rsid w:val="00C71D57"/>
    <w:rPr>
      <w:rFonts w:eastAsia="Times New Roman"/>
      <w:lang w:val="en-GB" w:eastAsia="en-US"/>
    </w:rPr>
  </w:style>
  <w:style w:type="paragraph" w:styleId="CommentSubject">
    <w:name w:val="annotation subject"/>
    <w:basedOn w:val="CommentText"/>
    <w:next w:val="CommentText"/>
    <w:link w:val="CommentSubjectChar"/>
    <w:semiHidden/>
    <w:unhideWhenUsed/>
    <w:rsid w:val="00C71D57"/>
    <w:rPr>
      <w:b/>
      <w:bCs/>
    </w:rPr>
  </w:style>
  <w:style w:type="character" w:customStyle="1" w:styleId="CommentSubjectChar">
    <w:name w:val="Comment Subject Char"/>
    <w:basedOn w:val="CommentTextChar"/>
    <w:link w:val="CommentSubject"/>
    <w:semiHidden/>
    <w:rsid w:val="00C71D57"/>
    <w:rPr>
      <w:rFonts w:eastAsia="Times New Roman"/>
      <w:b/>
      <w:bCs/>
      <w:lang w:val="en-GB" w:eastAsia="en-US"/>
    </w:rPr>
  </w:style>
  <w:style w:type="character" w:styleId="FollowedHyperlink">
    <w:name w:val="FollowedHyperlink"/>
    <w:uiPriority w:val="99"/>
    <w:semiHidden/>
    <w:rsid w:val="00C71D57"/>
    <w:rPr>
      <w:color w:val="0000FF"/>
      <w:u w:val="none"/>
      <w:lang w:val="en-GB"/>
    </w:rPr>
  </w:style>
  <w:style w:type="character" w:customStyle="1" w:styleId="FooterChar">
    <w:name w:val="Footer Char"/>
    <w:basedOn w:val="DefaultParagraphFont"/>
    <w:link w:val="CH4"/>
    <w:rsid w:val="00C71D57"/>
    <w:rPr>
      <w:rFonts w:eastAsia="Times New Roman"/>
      <w:b/>
      <w:lang w:val="en-GB" w:eastAsia="en-US"/>
    </w:rPr>
  </w:style>
  <w:style w:type="character" w:customStyle="1" w:styleId="HeaderChar">
    <w:name w:val="Header Char"/>
    <w:basedOn w:val="DefaultParagraphFont"/>
    <w:link w:val="Header"/>
    <w:semiHidden/>
    <w:rsid w:val="00C71D57"/>
    <w:rPr>
      <w:rFonts w:eastAsia="Times New Roman"/>
      <w:b/>
      <w:sz w:val="18"/>
      <w:lang w:val="en-GB" w:eastAsia="en-US"/>
    </w:rPr>
  </w:style>
  <w:style w:type="character" w:customStyle="1" w:styleId="Heading1Char">
    <w:name w:val="Heading 1 Char"/>
    <w:basedOn w:val="DefaultParagraphFont"/>
    <w:link w:val="Heading1"/>
    <w:rsid w:val="00C71D57"/>
    <w:rPr>
      <w:rFonts w:eastAsia="Times New Roman"/>
      <w:b/>
      <w:sz w:val="28"/>
      <w:szCs w:val="28"/>
      <w:lang w:val="en-GB" w:eastAsia="en-US"/>
    </w:rPr>
  </w:style>
  <w:style w:type="character" w:customStyle="1" w:styleId="Heading2Char">
    <w:name w:val="Heading 2 Char"/>
    <w:basedOn w:val="DefaultParagraphFont"/>
    <w:link w:val="Heading2"/>
    <w:rsid w:val="00C71D57"/>
    <w:rPr>
      <w:rFonts w:eastAsia="Times New Roman"/>
      <w:b/>
      <w:sz w:val="24"/>
      <w:szCs w:val="24"/>
      <w:lang w:val="en-GB" w:eastAsia="en-US"/>
    </w:rPr>
  </w:style>
  <w:style w:type="character" w:customStyle="1" w:styleId="Heading3Char">
    <w:name w:val="Heading 3 Char"/>
    <w:basedOn w:val="DefaultParagraphFont"/>
    <w:link w:val="Heading3"/>
    <w:rsid w:val="00C71D57"/>
    <w:rPr>
      <w:rFonts w:eastAsia="Times New Roman"/>
      <w:b/>
      <w:lang w:val="en-GB" w:eastAsia="en-US"/>
    </w:rPr>
  </w:style>
  <w:style w:type="character" w:customStyle="1" w:styleId="Heading4Char">
    <w:name w:val="Heading 4 Char"/>
    <w:basedOn w:val="DefaultParagraphFont"/>
    <w:link w:val="Heading4"/>
    <w:rsid w:val="00C71D57"/>
    <w:rPr>
      <w:rFonts w:eastAsia="Times New Roman"/>
      <w:b/>
      <w:lang w:val="en-GB" w:eastAsia="en-US"/>
    </w:rPr>
  </w:style>
  <w:style w:type="character" w:customStyle="1" w:styleId="Heading5Char">
    <w:name w:val="Heading 5 Char"/>
    <w:basedOn w:val="DefaultParagraphFont"/>
    <w:link w:val="Heading5"/>
    <w:rsid w:val="00C71D57"/>
    <w:rPr>
      <w:rFonts w:eastAsia="Times New Roman"/>
      <w:b/>
      <w:lang w:val="en-GB" w:eastAsia="en-US"/>
    </w:rPr>
  </w:style>
  <w:style w:type="character" w:customStyle="1" w:styleId="Heading6Char">
    <w:name w:val="Heading 6 Char"/>
    <w:basedOn w:val="DefaultParagraphFont"/>
    <w:link w:val="Heading6"/>
    <w:semiHidden/>
    <w:rsid w:val="00C71D57"/>
    <w:rPr>
      <w:rFonts w:eastAsia="Times New Roman"/>
      <w:bCs/>
      <w:sz w:val="24"/>
      <w:lang w:val="en-GB" w:eastAsia="en-US"/>
    </w:rPr>
  </w:style>
  <w:style w:type="character" w:customStyle="1" w:styleId="Heading7Char">
    <w:name w:val="Heading 7 Char"/>
    <w:basedOn w:val="DefaultParagraphFont"/>
    <w:link w:val="Heading7"/>
    <w:semiHidden/>
    <w:rsid w:val="00C71D57"/>
    <w:rPr>
      <w:rFonts w:eastAsia="Times New Roman"/>
      <w:b/>
      <w:snapToGrid w:val="0"/>
      <w:u w:val="single"/>
      <w:lang w:val="en-GB" w:eastAsia="en-US"/>
    </w:rPr>
  </w:style>
  <w:style w:type="character" w:customStyle="1" w:styleId="Heading8Char">
    <w:name w:val="Heading 8 Char"/>
    <w:basedOn w:val="DefaultParagraphFont"/>
    <w:link w:val="Heading8"/>
    <w:semiHidden/>
    <w:rsid w:val="00C71D57"/>
    <w:rPr>
      <w:rFonts w:eastAsia="Times New Roman"/>
      <w:b/>
      <w:snapToGrid w:val="0"/>
      <w:u w:val="single"/>
      <w:lang w:val="en-GB" w:eastAsia="en-US"/>
    </w:rPr>
  </w:style>
  <w:style w:type="character" w:customStyle="1" w:styleId="Heading9Char">
    <w:name w:val="Heading 9 Char"/>
    <w:basedOn w:val="DefaultParagraphFont"/>
    <w:link w:val="Heading9"/>
    <w:semiHidden/>
    <w:rsid w:val="00C71D57"/>
    <w:rPr>
      <w:rFonts w:eastAsia="Times New Roman"/>
      <w:snapToGrid w:val="0"/>
      <w:u w:val="single"/>
      <w:lang w:val="en-GB" w:eastAsia="en-US"/>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71D57"/>
    <w:rPr>
      <w:rFonts w:eastAsia="Times New Roman"/>
      <w:lang w:val="en-GB" w:eastAsia="en-US"/>
    </w:rPr>
  </w:style>
  <w:style w:type="character" w:styleId="PlaceholderText">
    <w:name w:val="Placeholder Text"/>
    <w:basedOn w:val="DefaultParagraphFont"/>
    <w:uiPriority w:val="99"/>
    <w:semiHidden/>
    <w:rsid w:val="00C71D57"/>
    <w:rPr>
      <w:color w:val="808080"/>
      <w:lang w:val="en-GB"/>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71D57"/>
    <w:pPr>
      <w:spacing w:before="120" w:after="240"/>
    </w:pPr>
  </w:style>
  <w:style w:type="character" w:customStyle="1" w:styleId="ALogoChar">
    <w:name w:val="A_Logo Char"/>
    <w:basedOn w:val="DefaultParagraphFont"/>
    <w:link w:val="ALogo"/>
    <w:rsid w:val="00C71D57"/>
    <w:rPr>
      <w:rFonts w:eastAsia="Times New Roman"/>
      <w:lang w:val="en-GB" w:eastAsia="en-US"/>
    </w:rPr>
  </w:style>
  <w:style w:type="paragraph" w:customStyle="1" w:styleId="ASpacer">
    <w:name w:val="A_Spacer"/>
    <w:basedOn w:val="Normal-pool"/>
    <w:link w:val="ASpacerChar"/>
    <w:rsid w:val="00C71D57"/>
    <w:rPr>
      <w:sz w:val="2"/>
    </w:rPr>
  </w:style>
  <w:style w:type="character" w:customStyle="1" w:styleId="ASpacerChar">
    <w:name w:val="A_Spacer Char"/>
    <w:basedOn w:val="DefaultParagraphFont"/>
    <w:link w:val="ASpacer"/>
    <w:rsid w:val="00C71D57"/>
    <w:rPr>
      <w:rFonts w:eastAsia="Times New Roman"/>
      <w:sz w:val="2"/>
      <w:lang w:val="en-GB" w:eastAsia="en-US"/>
    </w:rPr>
  </w:style>
  <w:style w:type="paragraph" w:customStyle="1" w:styleId="AATitle1">
    <w:name w:val="AA_Title1"/>
    <w:basedOn w:val="Normal-pool"/>
    <w:rsid w:val="00C71D57"/>
  </w:style>
  <w:style w:type="character" w:styleId="UnresolvedMention">
    <w:name w:val="Unresolved Mention"/>
    <w:basedOn w:val="DefaultParagraphFont"/>
    <w:uiPriority w:val="99"/>
    <w:semiHidden/>
    <w:rsid w:val="00C71D57"/>
    <w:rPr>
      <w:color w:val="605E5C"/>
      <w:shd w:val="clear" w:color="auto" w:fill="E1DFDD"/>
      <w:lang w:val="en-GB"/>
    </w:rPr>
  </w:style>
  <w:style w:type="paragraph" w:customStyle="1" w:styleId="ANormal">
    <w:name w:val="A_Normal"/>
    <w:basedOn w:val="Normal-pool"/>
    <w:rsid w:val="00C71D57"/>
  </w:style>
  <w:style w:type="paragraph" w:customStyle="1" w:styleId="AText0">
    <w:name w:val="A_Text0"/>
    <w:basedOn w:val="AText"/>
    <w:next w:val="AText"/>
    <w:rsid w:val="00C71D57"/>
    <w:pPr>
      <w:tabs>
        <w:tab w:val="clear" w:pos="4990"/>
      </w:tabs>
      <w:spacing w:before="0" w:after="120"/>
    </w:pPr>
  </w:style>
  <w:style w:type="paragraph" w:styleId="Footer">
    <w:name w:val="footer"/>
    <w:basedOn w:val="Normal"/>
    <w:link w:val="FooterChar1"/>
    <w:unhideWhenUsed/>
    <w:rsid w:val="00C71D57"/>
    <w:pPr>
      <w:tabs>
        <w:tab w:val="clear" w:pos="1247"/>
        <w:tab w:val="right" w:pos="8641"/>
      </w:tabs>
    </w:pPr>
    <w:rPr>
      <w:b/>
      <w:sz w:val="18"/>
    </w:rPr>
  </w:style>
  <w:style w:type="character" w:customStyle="1" w:styleId="FooterChar1">
    <w:name w:val="Footer Char1"/>
    <w:basedOn w:val="DefaultParagraphFont"/>
    <w:link w:val="Footer"/>
    <w:rsid w:val="00C71D57"/>
    <w:rPr>
      <w:rFonts w:eastAsia="Times New Roman"/>
      <w:b/>
      <w:sz w:val="18"/>
      <w:lang w:val="en-GB" w:eastAsia="en-US"/>
    </w:rPr>
  </w:style>
  <w:style w:type="paragraph" w:customStyle="1" w:styleId="Normal-pool">
    <w:name w:val="Normal-pool"/>
    <w:link w:val="Normal-poolChar"/>
    <w:qFormat/>
    <w:rsid w:val="00C71D57"/>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71D5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71D57"/>
    <w:pPr>
      <w:spacing w:before="60"/>
      <w:ind w:left="624"/>
    </w:pPr>
    <w:rPr>
      <w:rFonts w:eastAsiaTheme="minorEastAsia"/>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pPr>
      <w:spacing w:after="120"/>
    </w:pPr>
  </w:style>
  <w:style w:type="character" w:customStyle="1" w:styleId="BodyTextChar">
    <w:name w:val="Body Text Char"/>
    <w:basedOn w:val="DefaultParagraphFont"/>
    <w:link w:val="BodyText"/>
    <w:semiHidden/>
    <w:rsid w:val="00C71D57"/>
    <w:rPr>
      <w:rFonts w:eastAsia="Times New Roman"/>
      <w:lang w:val="en-GB" w:eastAsia="en-US"/>
    </w:rPr>
  </w:style>
  <w:style w:type="paragraph" w:styleId="BodyText2">
    <w:name w:val="Body Text 2"/>
    <w:basedOn w:val="Normal"/>
    <w:link w:val="BodyText2Char"/>
    <w:semiHidden/>
    <w:unhideWhenUsed/>
    <w:rsid w:val="00C71D57"/>
    <w:pPr>
      <w:spacing w:after="120" w:line="480" w:lineRule="auto"/>
    </w:pPr>
  </w:style>
  <w:style w:type="character" w:customStyle="1" w:styleId="BodyText2Char">
    <w:name w:val="Body Text 2 Char"/>
    <w:basedOn w:val="DefaultParagraphFont"/>
    <w:link w:val="BodyText2"/>
    <w:semiHidden/>
    <w:rsid w:val="00C71D57"/>
    <w:rPr>
      <w:rFonts w:eastAsia="Times New Roman"/>
      <w:lang w:val="en-GB" w:eastAsia="en-US"/>
    </w:rPr>
  </w:style>
  <w:style w:type="paragraph" w:styleId="BodyText3">
    <w:name w:val="Body Text 3"/>
    <w:basedOn w:val="Normal"/>
    <w:link w:val="BodyText3Char"/>
    <w:semiHidden/>
    <w:unhideWhenUsed/>
    <w:rsid w:val="00C71D57"/>
    <w:pPr>
      <w:spacing w:after="120"/>
    </w:pPr>
    <w:rPr>
      <w:sz w:val="16"/>
      <w:szCs w:val="16"/>
    </w:rPr>
  </w:style>
  <w:style w:type="character" w:customStyle="1" w:styleId="BodyText3Char">
    <w:name w:val="Body Text 3 Char"/>
    <w:basedOn w:val="DefaultParagraphFont"/>
    <w:link w:val="BodyText3"/>
    <w:semiHidden/>
    <w:rsid w:val="00C71D5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lang w:val="en-GB" w:eastAsia="en-US"/>
    </w:rPr>
  </w:style>
  <w:style w:type="paragraph" w:styleId="BodyTextIndent">
    <w:name w:val="Body Text Indent"/>
    <w:basedOn w:val="Normal"/>
    <w:link w:val="BodyTextIndentChar"/>
    <w:semiHidden/>
    <w:unhideWhenUsed/>
    <w:rsid w:val="00C71D57"/>
    <w:pPr>
      <w:spacing w:after="120"/>
      <w:ind w:left="283"/>
    </w:pPr>
  </w:style>
  <w:style w:type="character" w:customStyle="1" w:styleId="BodyTextIndentChar">
    <w:name w:val="Body Text Indent Char"/>
    <w:basedOn w:val="DefaultParagraphFont"/>
    <w:link w:val="BodyTextIndent"/>
    <w:semiHidden/>
    <w:rsid w:val="00C71D57"/>
    <w:rPr>
      <w:rFonts w:eastAsia="Times New Roman"/>
      <w:lang w:val="en-GB" w:eastAsia="en-US"/>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lang w:val="en-GB" w:eastAsia="en-US"/>
    </w:rPr>
  </w:style>
  <w:style w:type="paragraph" w:styleId="BodyTextIndent2">
    <w:name w:val="Body Text Indent 2"/>
    <w:basedOn w:val="Normal"/>
    <w:link w:val="BodyTextIndent2Char"/>
    <w:semiHidden/>
    <w:unhideWhenUsed/>
    <w:rsid w:val="00C71D57"/>
    <w:pPr>
      <w:spacing w:after="120" w:line="480" w:lineRule="auto"/>
      <w:ind w:left="283"/>
    </w:pPr>
  </w:style>
  <w:style w:type="character" w:customStyle="1" w:styleId="BodyTextIndent2Char">
    <w:name w:val="Body Text Indent 2 Char"/>
    <w:basedOn w:val="DefaultParagraphFont"/>
    <w:link w:val="BodyTextIndent2"/>
    <w:semiHidden/>
    <w:rsid w:val="00C71D57"/>
    <w:rPr>
      <w:rFonts w:eastAsia="Times New Roman"/>
      <w:lang w:val="en-GB" w:eastAsia="en-US"/>
    </w:rPr>
  </w:style>
  <w:style w:type="paragraph" w:styleId="BodyTextIndent3">
    <w:name w:val="Body Text Indent 3"/>
    <w:basedOn w:val="Normal"/>
    <w:link w:val="BodyTextIndent3Char"/>
    <w:semiHidden/>
    <w:unhideWhenUsed/>
    <w:rsid w:val="00C71D57"/>
    <w:pPr>
      <w:spacing w:after="120"/>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lang w:val="en-GB" w:eastAsia="en-US"/>
    </w:rPr>
  </w:style>
  <w:style w:type="character" w:styleId="BookTitle">
    <w:name w:val="Book Title"/>
    <w:basedOn w:val="DefaultParagraphFont"/>
    <w:uiPriority w:val="33"/>
    <w:semiHidden/>
    <w:qFormat/>
    <w:rsid w:val="00C71D57"/>
    <w:rPr>
      <w:b/>
      <w:bCs/>
      <w:i/>
      <w:iCs/>
      <w:spacing w:val="5"/>
      <w:lang w:val="en-GB"/>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lang w:val="en-GB" w:eastAsia="en-US"/>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lang w:val="en-GB" w:eastAsia="en-US"/>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lang w:val="en-GB" w:eastAsia="en-US"/>
    </w:rPr>
  </w:style>
  <w:style w:type="character" w:styleId="Emphasis">
    <w:name w:val="Emphasis"/>
    <w:basedOn w:val="DefaultParagraphFont"/>
    <w:semiHidden/>
    <w:qFormat/>
    <w:rsid w:val="00C71D57"/>
    <w:rPr>
      <w:i/>
      <w:iCs/>
      <w:lang w:val="en-GB"/>
    </w:rPr>
  </w:style>
  <w:style w:type="character" w:styleId="EndnoteReference">
    <w:name w:val="endnote reference"/>
    <w:basedOn w:val="DefaultParagraphFont"/>
    <w:semiHidden/>
    <w:unhideWhenUsed/>
    <w:rsid w:val="00C71D57"/>
    <w:rPr>
      <w:vertAlign w:val="superscript"/>
      <w:lang w:val="en-GB"/>
    </w:rPr>
  </w:style>
  <w:style w:type="paragraph" w:styleId="EndnoteText">
    <w:name w:val="endnote text"/>
    <w:basedOn w:val="Normal"/>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lang w:val="en-GB" w:eastAsia="en-US"/>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basedOn w:val="Normal"/>
    <w:link w:val="FootnoteTextChar"/>
    <w:semiHidden/>
    <w:unhideWhenUsed/>
    <w:rsid w:val="00C71D57"/>
  </w:style>
  <w:style w:type="character" w:customStyle="1" w:styleId="FootnoteTextChar">
    <w:name w:val="Footnote Text Char"/>
    <w:basedOn w:val="DefaultParagraphFont"/>
    <w:link w:val="FootnoteText"/>
    <w:semiHidden/>
    <w:rsid w:val="00C71D57"/>
    <w:rPr>
      <w:rFonts w:eastAsia="Times New Roman"/>
      <w:lang w:val="en-GB" w:eastAsia="en-US"/>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lang w:val="en-GB"/>
    </w:rPr>
  </w:style>
  <w:style w:type="character" w:styleId="HTMLAcronym">
    <w:name w:val="HTML Acronym"/>
    <w:basedOn w:val="DefaultParagraphFont"/>
    <w:semiHidden/>
    <w:unhideWhenUsed/>
    <w:rsid w:val="00C71D57"/>
    <w:rPr>
      <w:lang w:val="en-GB"/>
    </w:rPr>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lang w:val="en-GB" w:eastAsia="en-US"/>
    </w:rPr>
  </w:style>
  <w:style w:type="character" w:styleId="HTMLCite">
    <w:name w:val="HTML Cite"/>
    <w:basedOn w:val="DefaultParagraphFont"/>
    <w:semiHidden/>
    <w:unhideWhenUsed/>
    <w:rsid w:val="00C71D57"/>
    <w:rPr>
      <w:i/>
      <w:iCs/>
      <w:lang w:val="en-GB"/>
    </w:rPr>
  </w:style>
  <w:style w:type="character" w:styleId="HTMLCode">
    <w:name w:val="HTML Code"/>
    <w:basedOn w:val="DefaultParagraphFont"/>
    <w:semiHidden/>
    <w:unhideWhenUsed/>
    <w:rsid w:val="00C71D57"/>
    <w:rPr>
      <w:rFonts w:ascii="Consolas" w:hAnsi="Consolas"/>
      <w:sz w:val="20"/>
      <w:szCs w:val="20"/>
      <w:lang w:val="en-GB"/>
    </w:rPr>
  </w:style>
  <w:style w:type="character" w:styleId="HTMLDefinition">
    <w:name w:val="HTML Definition"/>
    <w:basedOn w:val="DefaultParagraphFont"/>
    <w:semiHidden/>
    <w:unhideWhenUsed/>
    <w:rsid w:val="00C71D57"/>
    <w:rPr>
      <w:i/>
      <w:iCs/>
      <w:lang w:val="en-GB"/>
    </w:rPr>
  </w:style>
  <w:style w:type="character" w:styleId="HTMLKeyboard">
    <w:name w:val="HTML Keyboard"/>
    <w:basedOn w:val="DefaultParagraphFont"/>
    <w:semiHidden/>
    <w:unhideWhenUsed/>
    <w:rsid w:val="00C71D57"/>
    <w:rPr>
      <w:rFonts w:ascii="Consolas" w:hAnsi="Consolas"/>
      <w:sz w:val="20"/>
      <w:szCs w:val="20"/>
      <w:lang w:val="en-GB"/>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lang w:val="en-GB" w:eastAsia="en-US"/>
    </w:rPr>
  </w:style>
  <w:style w:type="character" w:styleId="HTMLSample">
    <w:name w:val="HTML Sample"/>
    <w:basedOn w:val="DefaultParagraphFont"/>
    <w:semiHidden/>
    <w:unhideWhenUsed/>
    <w:rsid w:val="00C71D57"/>
    <w:rPr>
      <w:rFonts w:ascii="Consolas" w:hAnsi="Consolas"/>
      <w:sz w:val="24"/>
      <w:szCs w:val="24"/>
      <w:lang w:val="en-GB"/>
    </w:rPr>
  </w:style>
  <w:style w:type="character" w:styleId="HTMLTypewriter">
    <w:name w:val="HTML Typewriter"/>
    <w:basedOn w:val="DefaultParagraphFont"/>
    <w:semiHidden/>
    <w:unhideWhenUsed/>
    <w:rsid w:val="00C71D57"/>
    <w:rPr>
      <w:rFonts w:ascii="Consolas" w:hAnsi="Consolas"/>
      <w:sz w:val="20"/>
      <w:szCs w:val="20"/>
      <w:lang w:val="en-GB"/>
    </w:rPr>
  </w:style>
  <w:style w:type="character" w:styleId="HTMLVariable">
    <w:name w:val="HTML Variable"/>
    <w:basedOn w:val="DefaultParagraphFont"/>
    <w:semiHidden/>
    <w:unhideWhenUsed/>
    <w:rsid w:val="00C71D57"/>
    <w:rPr>
      <w:i/>
      <w:iCs/>
      <w:lang w:val="en-GB"/>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lang w:val="en-GB"/>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71D57"/>
    <w:rPr>
      <w:b/>
      <w:bCs/>
      <w:smallCaps/>
      <w:color w:val="4F81BD" w:themeColor="accent1"/>
      <w:spacing w:val="5"/>
      <w:lang w:val="en-GB"/>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rPr>
      <w:lang w:val="en-GB"/>
    </w:rPr>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spacing w:after="120"/>
      <w:ind w:left="283"/>
      <w:contextualSpacing/>
    </w:pPr>
  </w:style>
  <w:style w:type="paragraph" w:styleId="ListContinue2">
    <w:name w:val="List Continue 2"/>
    <w:basedOn w:val="Normal"/>
    <w:semiHidden/>
    <w:unhideWhenUsed/>
    <w:rsid w:val="00C71D57"/>
    <w:pPr>
      <w:spacing w:after="120"/>
      <w:ind w:left="566"/>
      <w:contextualSpacing/>
    </w:pPr>
  </w:style>
  <w:style w:type="paragraph" w:styleId="ListContinue3">
    <w:name w:val="List Continue 3"/>
    <w:basedOn w:val="Normal"/>
    <w:semiHidden/>
    <w:rsid w:val="00C71D57"/>
    <w:pPr>
      <w:spacing w:after="120"/>
      <w:ind w:left="849"/>
      <w:contextualSpacing/>
    </w:pPr>
  </w:style>
  <w:style w:type="paragraph" w:styleId="ListContinue4">
    <w:name w:val="List Continue 4"/>
    <w:basedOn w:val="Normal"/>
    <w:semiHidden/>
    <w:rsid w:val="00C71D57"/>
    <w:pPr>
      <w:spacing w:after="120"/>
      <w:ind w:left="1132"/>
      <w:contextualSpacing/>
    </w:pPr>
  </w:style>
  <w:style w:type="paragraph" w:styleId="ListContinue5">
    <w:name w:val="List Continue 5"/>
    <w:basedOn w:val="Normal"/>
    <w:semiHidden/>
    <w:rsid w:val="00C71D57"/>
    <w:pPr>
      <w:spacing w:after="120"/>
      <w:ind w:left="1415"/>
      <w:contextualSpacing/>
    </w:pPr>
  </w:style>
  <w:style w:type="paragraph" w:styleId="ListNumber">
    <w:name w:val="List Number"/>
    <w:basedOn w:val="Normal"/>
    <w:semiHidden/>
    <w:rsid w:val="00C71D57"/>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71D57"/>
    <w:rPr>
      <w:rFonts w:ascii="Consolas" w:eastAsia="Times New Roman" w:hAnsi="Consolas"/>
      <w:lang w:val="en-GB" w:eastAsia="en-U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lang w:val="en-GB"/>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lang w:val="en-GB" w:eastAsia="en-US"/>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 w:val="21"/>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lang w:val="en-GB" w:eastAsia="en-US"/>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lang w:val="en-GB" w:eastAsia="en-US"/>
    </w:rPr>
  </w:style>
  <w:style w:type="character" w:styleId="SmartHyperlink">
    <w:name w:val="Smart Hyperlink"/>
    <w:basedOn w:val="DefaultParagraphFont"/>
    <w:uiPriority w:val="99"/>
    <w:semiHidden/>
    <w:rsid w:val="00C71D57"/>
    <w:rPr>
      <w:u w:val="dotted"/>
      <w:lang w:val="en-GB"/>
    </w:rPr>
  </w:style>
  <w:style w:type="character" w:styleId="SmartLink">
    <w:name w:val="Smart Link"/>
    <w:basedOn w:val="DefaultParagraphFont"/>
    <w:uiPriority w:val="99"/>
    <w:semiHidden/>
    <w:unhideWhenUsed/>
    <w:rsid w:val="00C71D57"/>
    <w:rPr>
      <w:color w:val="0000FF"/>
      <w:u w:val="single"/>
      <w:shd w:val="clear" w:color="auto" w:fill="F3F2F1"/>
      <w:lang w:val="en-GB"/>
    </w:rPr>
  </w:style>
  <w:style w:type="character" w:styleId="Strong">
    <w:name w:val="Strong"/>
    <w:basedOn w:val="DefaultParagraphFont"/>
    <w:semiHidden/>
    <w:qFormat/>
    <w:rsid w:val="00C71D57"/>
    <w:rPr>
      <w:b/>
      <w:bCs/>
      <w:lang w:val="en-GB"/>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71D57"/>
    <w:rPr>
      <w:i/>
      <w:iCs/>
      <w:color w:val="404040" w:themeColor="text1" w:themeTint="BF"/>
      <w:lang w:val="en-GB"/>
    </w:rPr>
  </w:style>
  <w:style w:type="character" w:styleId="SubtleReference">
    <w:name w:val="Subtle Reference"/>
    <w:basedOn w:val="DefaultParagraphFont"/>
    <w:uiPriority w:val="31"/>
    <w:semiHidden/>
    <w:qFormat/>
    <w:rsid w:val="00C71D57"/>
    <w:rPr>
      <w:smallCaps/>
      <w:color w:val="5A5A5A" w:themeColor="text1" w:themeTint="A5"/>
      <w:lang w:val="en-GB"/>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rPr>
      <w:rFonts w:eastAsia="Times New Roman"/>
      <w:lang w:val="en-GB" w:eastAsia="en-US"/>
    </w:rPr>
  </w:style>
  <w:style w:type="character" w:customStyle="1" w:styleId="CH1Char">
    <w:name w:val="CH1 Char"/>
    <w:link w:val="CH1"/>
    <w:rsid w:val="006A1F5E"/>
    <w:rPr>
      <w:rFonts w:eastAsia="Times New Roman"/>
      <w:b/>
      <w:sz w:val="28"/>
      <w:szCs w:val="28"/>
      <w:lang w:val="en-GB" w:eastAsia="en-US"/>
    </w:rPr>
  </w:style>
  <w:style w:type="character" w:customStyle="1" w:styleId="CH2Char">
    <w:name w:val="CH2 Char"/>
    <w:link w:val="CH2"/>
    <w:rsid w:val="006A1F5E"/>
    <w:rPr>
      <w:rFonts w:eastAsia="Times New Roman"/>
      <w:b/>
      <w:sz w:val="24"/>
      <w:szCs w:val="24"/>
      <w:lang w:val="en-GB" w:eastAsia="en-US"/>
    </w:rPr>
  </w:style>
  <w:style w:type="character" w:customStyle="1" w:styleId="BBTitleChar">
    <w:name w:val="BB_Title Char"/>
    <w:link w:val="BBTitle"/>
    <w:rsid w:val="006A1F5E"/>
    <w:rPr>
      <w:rFonts w:eastAsia="Times New Roman"/>
      <w:b/>
      <w:sz w:val="28"/>
      <w:szCs w:val="28"/>
      <w:lang w:val="en-GB" w:eastAsia="en-US"/>
    </w:rPr>
  </w:style>
  <w:style w:type="paragraph" w:styleId="Revision">
    <w:name w:val="Revision"/>
    <w:hidden/>
    <w:uiPriority w:val="99"/>
    <w:semiHidden/>
    <w:rsid w:val="00616A0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system/files/documents/OEWG-47-5E.pdf" TargetMode="External"/><Relationship Id="rId2" Type="http://schemas.openxmlformats.org/officeDocument/2006/relationships/hyperlink" Target="https://ozone.unep.org/countries/additional-reported-information/illegal-trade-decisionxxxi3" TargetMode="External"/><Relationship Id="rId1" Type="http://schemas.openxmlformats.org/officeDocument/2006/relationships/hyperlink" Target="https://ozone.unep.org/countries/additional-reported-information/illegal-trade" TargetMode="External"/><Relationship Id="rId5" Type="http://schemas.openxmlformats.org/officeDocument/2006/relationships/hyperlink" Target="https://ozone.unep.org/system/files/documents/OEWG-45-5-Add-1E.pdf" TargetMode="External"/><Relationship Id="rId4" Type="http://schemas.openxmlformats.org/officeDocument/2006/relationships/hyperlink" Target="https://ozone.unep.org/system/files/documents/OEWG-46-4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7A79-41B9-8BC6-9DC31AB3B77B}"/>
            </c:ext>
          </c:extLst>
        </c:ser>
        <c:dLbls>
          <c:showLegendKey val="0"/>
          <c:showVal val="0"/>
          <c:showCatName val="0"/>
          <c:showSerName val="0"/>
          <c:showPercent val="0"/>
          <c:showBubbleSize val="0"/>
        </c:dLbls>
        <c:gapWidth val="219"/>
        <c:overlap val="-27"/>
        <c:axId val="1137632639"/>
        <c:axId val="1137631199"/>
      </c:barChart>
      <c:catAx>
        <c:axId val="113763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1199"/>
        <c:crosses val="autoZero"/>
        <c:auto val="1"/>
        <c:lblAlgn val="ctr"/>
        <c:lblOffset val="100"/>
        <c:noMultiLvlLbl val="0"/>
      </c:catAx>
      <c:valAx>
        <c:axId val="11376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82C99892-A7EA-4EEE-9E58-14501F8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TotalTime>
  <Pages>1</Pages>
  <Words>4136</Words>
  <Characters>24533</Characters>
  <Application>Microsoft Office Word</Application>
  <DocSecurity>0</DocSecurity>
  <PresentationFormat/>
  <Lines>454</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Cynthia Mwanza</cp:lastModifiedBy>
  <cp:revision>5</cp:revision>
  <cp:lastPrinted>2026-05-29T07:03:00Z</cp:lastPrinted>
  <dcterms:created xsi:type="dcterms:W3CDTF">2026-05-29T07:01:00Z</dcterms:created>
  <dcterms:modified xsi:type="dcterms:W3CDTF">2026-05-29T07:04:00Z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