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2A457B" w:rsidRPr="00197941" w14:paraId="7BC0DEC5" w14:textId="77777777" w:rsidTr="002A457B">
        <w:trPr>
          <w:trHeight w:val="850"/>
        </w:trPr>
        <w:tc>
          <w:tcPr>
            <w:tcW w:w="1559" w:type="dxa"/>
          </w:tcPr>
          <w:p w14:paraId="3D356862" w14:textId="7FAFED78" w:rsidR="002A457B" w:rsidRPr="00197941" w:rsidRDefault="002A457B" w:rsidP="002A457B">
            <w:pPr>
              <w:pStyle w:val="AUnitedNations"/>
            </w:pPr>
            <w:r w:rsidRPr="00197941">
              <w:t xml:space="preserve">Nations </w:t>
            </w:r>
            <w:r w:rsidRPr="00197941">
              <w:br/>
              <w:t>Unies</w:t>
            </w:r>
          </w:p>
        </w:tc>
        <w:tc>
          <w:tcPr>
            <w:tcW w:w="4819" w:type="dxa"/>
          </w:tcPr>
          <w:p w14:paraId="44F258DC" w14:textId="6D127901" w:rsidR="002A457B" w:rsidRPr="00197941" w:rsidRDefault="002A457B" w:rsidP="002A457B">
            <w:pPr>
              <w:pStyle w:val="Normal-pool"/>
            </w:pPr>
            <w:r w:rsidRPr="00197941">
              <w:drawing>
                <wp:anchor distT="0" distB="0" distL="114300" distR="114300" simplePos="0" relativeHeight="251658240" behindDoc="0" locked="0" layoutInCell="1" allowOverlap="1" wp14:anchorId="78B90E86" wp14:editId="30428AD6">
                  <wp:simplePos x="0" y="0"/>
                  <wp:positionH relativeFrom="column">
                    <wp:posOffset>3175</wp:posOffset>
                  </wp:positionH>
                  <wp:positionV relativeFrom="paragraph">
                    <wp:posOffset>-4445</wp:posOffset>
                  </wp:positionV>
                  <wp:extent cx="1269153" cy="573559"/>
                  <wp:effectExtent l="0" t="0" r="7620" b="0"/>
                  <wp:wrapNone/>
                  <wp:docPr id="1336277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7785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3118" w:type="dxa"/>
          </w:tcPr>
          <w:p w14:paraId="2047C0EC" w14:textId="77777777" w:rsidR="002A457B" w:rsidRPr="00197941" w:rsidRDefault="002A457B" w:rsidP="002A457B">
            <w:pPr>
              <w:pStyle w:val="Normal-pool"/>
            </w:pPr>
          </w:p>
        </w:tc>
      </w:tr>
    </w:tbl>
    <w:p w14:paraId="1BE160F6" w14:textId="77777777" w:rsidR="002A457B" w:rsidRPr="00197941" w:rsidRDefault="002A457B" w:rsidP="002A457B">
      <w:pPr>
        <w:pStyle w:val="ASpacer"/>
      </w:pPr>
    </w:p>
    <w:tbl>
      <w:tblPr>
        <w:tblW w:w="9496" w:type="dxa"/>
        <w:tblLook w:val="0000" w:firstRow="0" w:lastRow="0" w:firstColumn="0" w:lastColumn="0" w:noHBand="0" w:noVBand="0"/>
      </w:tblPr>
      <w:tblGrid>
        <w:gridCol w:w="6378"/>
        <w:gridCol w:w="3118"/>
      </w:tblGrid>
      <w:tr w:rsidR="002A457B" w:rsidRPr="00197941" w14:paraId="2365273B" w14:textId="77777777" w:rsidTr="002A457B">
        <w:trPr>
          <w:trHeight w:val="340"/>
        </w:trPr>
        <w:tc>
          <w:tcPr>
            <w:tcW w:w="3358" w:type="pct"/>
            <w:vAlign w:val="bottom"/>
          </w:tcPr>
          <w:p w14:paraId="24D4AA02" w14:textId="77777777" w:rsidR="002A457B" w:rsidRPr="00197941" w:rsidRDefault="002A457B" w:rsidP="002A457B">
            <w:pPr>
              <w:pStyle w:val="Normal-pool"/>
            </w:pPr>
          </w:p>
        </w:tc>
        <w:tc>
          <w:tcPr>
            <w:tcW w:w="1642" w:type="pct"/>
            <w:noWrap/>
            <w:vAlign w:val="bottom"/>
          </w:tcPr>
          <w:p w14:paraId="0D8ADDA1" w14:textId="65D4E7C1" w:rsidR="002A457B" w:rsidRPr="00197941" w:rsidRDefault="002A457B" w:rsidP="002A457B">
            <w:pPr>
              <w:pStyle w:val="ASymbol"/>
            </w:pPr>
            <w:r w:rsidRPr="00197941">
              <w:rPr>
                <w:b/>
                <w:sz w:val="28"/>
              </w:rPr>
              <w:t>UNEP</w:t>
            </w:r>
            <w:r w:rsidRPr="00197941">
              <w:t>/OzL.Pro.WG.</w:t>
            </w:r>
            <w:bookmarkStart w:id="0" w:name="Symbol1A"/>
            <w:r w:rsidRPr="00197941">
              <w:t>1</w:t>
            </w:r>
            <w:bookmarkStart w:id="1" w:name="Symbol1B"/>
            <w:bookmarkEnd w:id="0"/>
            <w:r w:rsidRPr="00197941">
              <w:t>/48</w:t>
            </w:r>
            <w:bookmarkStart w:id="2" w:name="Symbol1C"/>
            <w:bookmarkEnd w:id="1"/>
            <w:r w:rsidRPr="00197941">
              <w:t>/</w:t>
            </w:r>
            <w:bookmarkEnd w:id="2"/>
            <w:r w:rsidRPr="00197941">
              <w:t>3</w:t>
            </w:r>
          </w:p>
        </w:tc>
      </w:tr>
    </w:tbl>
    <w:p w14:paraId="1AD32089" w14:textId="77777777" w:rsidR="002A457B" w:rsidRPr="00197941" w:rsidRDefault="002A457B" w:rsidP="002A457B">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2A457B" w:rsidRPr="00197941" w14:paraId="5BC80B27" w14:textId="77777777" w:rsidTr="002A457B">
        <w:trPr>
          <w:trHeight w:val="2098"/>
        </w:trPr>
        <w:tc>
          <w:tcPr>
            <w:tcW w:w="5386" w:type="dxa"/>
          </w:tcPr>
          <w:p w14:paraId="0D4201F0" w14:textId="21763CAE" w:rsidR="002A457B" w:rsidRPr="00197941" w:rsidRDefault="002A457B" w:rsidP="002A457B">
            <w:pPr>
              <w:pStyle w:val="AConvName"/>
            </w:pPr>
            <w:r w:rsidRPr="00197941">
              <w:t xml:space="preserve">Protocole de Montréal </w:t>
            </w:r>
            <w:r w:rsidRPr="00197941">
              <w:br/>
              <w:t xml:space="preserve">relatif à des substances </w:t>
            </w:r>
            <w:r w:rsidRPr="00197941">
              <w:br/>
              <w:t xml:space="preserve">qui appauvrissent </w:t>
            </w:r>
            <w:r w:rsidRPr="00197941">
              <w:br/>
              <w:t>la couche d’ozone</w:t>
            </w:r>
          </w:p>
        </w:tc>
        <w:tc>
          <w:tcPr>
            <w:tcW w:w="992" w:type="dxa"/>
          </w:tcPr>
          <w:p w14:paraId="385116E0" w14:textId="77777777" w:rsidR="002A457B" w:rsidRPr="00197941" w:rsidRDefault="002A457B" w:rsidP="002A457B">
            <w:pPr>
              <w:pStyle w:val="Normal-pool"/>
            </w:pPr>
          </w:p>
        </w:tc>
        <w:tc>
          <w:tcPr>
            <w:tcW w:w="3118" w:type="dxa"/>
          </w:tcPr>
          <w:p w14:paraId="5F7112D7" w14:textId="68F47B89" w:rsidR="002A457B" w:rsidRPr="00197941" w:rsidRDefault="002A457B" w:rsidP="002A457B">
            <w:pPr>
              <w:pStyle w:val="AText"/>
            </w:pPr>
            <w:r w:rsidRPr="00197941">
              <w:t xml:space="preserve">Distr. </w:t>
            </w:r>
            <w:bookmarkStart w:id="3" w:name="Distribution"/>
            <w:r w:rsidRPr="00197941">
              <w:rPr>
                <w:color w:val="000000"/>
              </w:rPr>
              <w:t>générale</w:t>
            </w:r>
            <w:bookmarkEnd w:id="3"/>
            <w:r w:rsidRPr="00197941">
              <w:t xml:space="preserve"> </w:t>
            </w:r>
          </w:p>
          <w:p w14:paraId="4459645B" w14:textId="3DF6E431" w:rsidR="002A457B" w:rsidRPr="00197941" w:rsidRDefault="002A457B" w:rsidP="002A457B">
            <w:pPr>
              <w:pStyle w:val="AText0"/>
            </w:pPr>
            <w:bookmarkStart w:id="4" w:name="DistributionDate"/>
            <w:r w:rsidRPr="00197941">
              <w:rPr>
                <w:color w:val="000000"/>
              </w:rPr>
              <w:t>27 avril 2026</w:t>
            </w:r>
            <w:bookmarkEnd w:id="4"/>
            <w:r w:rsidRPr="00197941">
              <w:t xml:space="preserve"> </w:t>
            </w:r>
          </w:p>
          <w:p w14:paraId="19E75C2E" w14:textId="0A8C69C5" w:rsidR="002A457B" w:rsidRPr="00197941" w:rsidRDefault="002A457B" w:rsidP="002A457B">
            <w:pPr>
              <w:pStyle w:val="AText"/>
            </w:pPr>
            <w:bookmarkStart w:id="5" w:name="DistributionLang"/>
            <w:r w:rsidRPr="00197941">
              <w:t xml:space="preserve">Français </w:t>
            </w:r>
            <w:r w:rsidRPr="00197941">
              <w:br/>
              <w:t>Original</w:t>
            </w:r>
            <w:r w:rsidR="00EA3D2E" w:rsidRPr="00197941">
              <w:t> </w:t>
            </w:r>
            <w:r w:rsidRPr="00197941">
              <w:t>: anglais</w:t>
            </w:r>
            <w:bookmarkEnd w:id="5"/>
          </w:p>
        </w:tc>
      </w:tr>
    </w:tbl>
    <w:p w14:paraId="092CEC25" w14:textId="77777777" w:rsidR="002A457B" w:rsidRPr="00197941" w:rsidRDefault="002A457B" w:rsidP="002A457B">
      <w:pPr>
        <w:pStyle w:val="ASpacer"/>
      </w:pPr>
    </w:p>
    <w:tbl>
      <w:tblPr>
        <w:tblW w:w="9496" w:type="dxa"/>
        <w:tblLayout w:type="fixed"/>
        <w:tblCellMar>
          <w:left w:w="0" w:type="dxa"/>
          <w:right w:w="0" w:type="dxa"/>
        </w:tblCellMar>
        <w:tblLook w:val="0000" w:firstRow="0" w:lastRow="0" w:firstColumn="0" w:lastColumn="0" w:noHBand="0" w:noVBand="0"/>
      </w:tblPr>
      <w:tblGrid>
        <w:gridCol w:w="5244"/>
        <w:gridCol w:w="4252"/>
      </w:tblGrid>
      <w:tr w:rsidR="002A457B" w:rsidRPr="00197941" w14:paraId="27552732" w14:textId="77777777" w:rsidTr="002A457B">
        <w:trPr>
          <w:trHeight w:val="57"/>
        </w:trPr>
        <w:tc>
          <w:tcPr>
            <w:tcW w:w="5244" w:type="dxa"/>
          </w:tcPr>
          <w:p w14:paraId="621EBCC5" w14:textId="77777777" w:rsidR="002A457B" w:rsidRPr="00197941" w:rsidRDefault="002A457B" w:rsidP="002A457B">
            <w:pPr>
              <w:pStyle w:val="AATitle"/>
            </w:pPr>
            <w:bookmarkStart w:id="6" w:name="CorNot1Text"/>
            <w:r w:rsidRPr="00197941">
              <w:t xml:space="preserve">Groupe de travail à composition non limitée des Parties </w:t>
            </w:r>
            <w:r w:rsidRPr="00197941">
              <w:br/>
              <w:t xml:space="preserve">au Protocole de Montréal relatif à des substances </w:t>
            </w:r>
            <w:r w:rsidRPr="00197941">
              <w:br/>
              <w:t xml:space="preserve">qui appauvrissent la couche d’ozone </w:t>
            </w:r>
          </w:p>
          <w:p w14:paraId="5BE467B2" w14:textId="47D2698A" w:rsidR="002A457B" w:rsidRPr="00197941" w:rsidRDefault="002A457B" w:rsidP="002A457B">
            <w:pPr>
              <w:pStyle w:val="AATitle"/>
            </w:pPr>
            <w:r w:rsidRPr="00197941">
              <w:t>Quarante-huitième réunion</w:t>
            </w:r>
            <w:bookmarkEnd w:id="6"/>
            <w:r w:rsidRPr="00197941">
              <w:t xml:space="preserve"> </w:t>
            </w:r>
          </w:p>
          <w:p w14:paraId="577D28F7" w14:textId="05656423" w:rsidR="002A457B" w:rsidRPr="00197941" w:rsidRDefault="002A457B" w:rsidP="002A457B">
            <w:pPr>
              <w:pStyle w:val="AATitle1"/>
            </w:pPr>
            <w:bookmarkStart w:id="7" w:name="CorNot1VenueDate"/>
            <w:r w:rsidRPr="00197941">
              <w:t>Bangkok, 13-17 juillet 2026</w:t>
            </w:r>
            <w:bookmarkEnd w:id="7"/>
            <w:r w:rsidRPr="00197941">
              <w:t xml:space="preserve"> </w:t>
            </w:r>
          </w:p>
          <w:p w14:paraId="45F4966D" w14:textId="72443172" w:rsidR="002A457B" w:rsidRPr="00197941" w:rsidRDefault="002A457B" w:rsidP="002A457B">
            <w:pPr>
              <w:pStyle w:val="AATitle1"/>
            </w:pPr>
            <w:bookmarkStart w:id="8" w:name="CorNot1AgItem"/>
            <w:r w:rsidRPr="00197941">
              <w:t>Point 7 de l’ordre du jour provisoire</w:t>
            </w:r>
            <w:bookmarkEnd w:id="8"/>
            <w:r w:rsidRPr="00197941">
              <w:rPr>
                <w:bCs/>
              </w:rPr>
              <w:footnoteReference w:customMarkFollows="1" w:id="2"/>
              <w:t>*</w:t>
            </w:r>
            <w:r w:rsidRPr="00197941">
              <w:t xml:space="preserve"> </w:t>
            </w:r>
          </w:p>
          <w:p w14:paraId="0E6163BF" w14:textId="49A57200" w:rsidR="002A457B" w:rsidRPr="00197941" w:rsidRDefault="002A457B" w:rsidP="002A457B">
            <w:pPr>
              <w:pStyle w:val="AATitle2"/>
            </w:pPr>
            <w:bookmarkStart w:id="9" w:name="CorNot1AgTitle"/>
            <w:r w:rsidRPr="00197941">
              <w:rPr>
                <w:rFonts w:eastAsiaTheme="minorEastAsia"/>
              </w:rPr>
              <w:t>Poursuite du renforcement des institutions relevant du</w:t>
            </w:r>
            <w:r w:rsidR="00EA3D2E" w:rsidRPr="00197941">
              <w:rPr>
                <w:rFonts w:eastAsiaTheme="minorEastAsia"/>
              </w:rPr>
              <w:t> </w:t>
            </w:r>
            <w:r w:rsidRPr="00197941">
              <w:rPr>
                <w:rFonts w:eastAsiaTheme="minorEastAsia"/>
              </w:rPr>
              <w:t>Protocole de Montréal</w:t>
            </w:r>
            <w:bookmarkEnd w:id="9"/>
          </w:p>
        </w:tc>
        <w:tc>
          <w:tcPr>
            <w:tcW w:w="4252" w:type="dxa"/>
          </w:tcPr>
          <w:p w14:paraId="493C3F4C" w14:textId="77777777" w:rsidR="002A457B" w:rsidRPr="00197941" w:rsidRDefault="002A457B" w:rsidP="002A457B">
            <w:pPr>
              <w:pStyle w:val="Normal-pool"/>
            </w:pPr>
          </w:p>
        </w:tc>
      </w:tr>
    </w:tbl>
    <w:p w14:paraId="2DED86B8" w14:textId="24FAE2DE" w:rsidR="006A1F5E" w:rsidRPr="00197941" w:rsidRDefault="006A1F5E" w:rsidP="006A1F5E">
      <w:pPr>
        <w:pStyle w:val="BBTitle"/>
      </w:pPr>
      <w:r w:rsidRPr="00197941">
        <w:rPr>
          <w:bCs/>
        </w:rPr>
        <w:t>Compilation des informations communiquées par les Parties sur</w:t>
      </w:r>
      <w:r w:rsidR="00422ABB" w:rsidRPr="00197941">
        <w:rPr>
          <w:bCs/>
        </w:rPr>
        <w:t> </w:t>
      </w:r>
      <w:r w:rsidRPr="00197941">
        <w:rPr>
          <w:bCs/>
        </w:rPr>
        <w:t>le commerce illicite de substances réglementées et synthèse des meilleures pratiques</w:t>
      </w:r>
    </w:p>
    <w:p w14:paraId="0C55FC1E" w14:textId="086F12DE" w:rsidR="006A1F5E" w:rsidRPr="00197941" w:rsidRDefault="006A1F5E" w:rsidP="006A1F5E">
      <w:pPr>
        <w:pStyle w:val="CH2"/>
      </w:pPr>
      <w:r w:rsidRPr="00197941">
        <w:tab/>
      </w:r>
      <w:r w:rsidRPr="00197941">
        <w:tab/>
      </w:r>
      <w:r w:rsidRPr="00197941">
        <w:rPr>
          <w:bCs/>
        </w:rPr>
        <w:t>Note du Secrétariat</w:t>
      </w:r>
      <w:r w:rsidR="00356960" w:rsidRPr="00197941">
        <w:rPr>
          <w:bCs/>
          <w:color w:val="000000"/>
        </w:rPr>
        <w:t xml:space="preserve"> </w:t>
      </w:r>
    </w:p>
    <w:p w14:paraId="59B5B203" w14:textId="1B47F2D4" w:rsidR="006A1F5E" w:rsidRPr="00197941" w:rsidRDefault="00356960" w:rsidP="00356960">
      <w:pPr>
        <w:pStyle w:val="CH1"/>
      </w:pPr>
      <w:r w:rsidRPr="00197941">
        <w:tab/>
      </w:r>
      <w:r w:rsidR="00712FA9" w:rsidRPr="00197941">
        <w:t>I.</w:t>
      </w:r>
      <w:r w:rsidRPr="00197941">
        <w:tab/>
      </w:r>
      <w:r w:rsidR="006A1F5E" w:rsidRPr="00197941">
        <w:t>Introduction</w:t>
      </w:r>
    </w:p>
    <w:p w14:paraId="2A7AEFE3" w14:textId="216364F7"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On trouvera dans la présente</w:t>
      </w:r>
      <w:r w:rsidR="00F704F7" w:rsidRPr="00197941">
        <w:t> </w:t>
      </w:r>
      <w:r w:rsidRPr="00197941">
        <w:t>note une mise à jour des informations contenues dans le document du même titre (UNEP/OzL.Pro.WG.1/47/5) élaboré en application du paragraphe</w:t>
      </w:r>
      <w:r w:rsidR="00F704F7" w:rsidRPr="00197941">
        <w:t> </w:t>
      </w:r>
      <w:r w:rsidRPr="00197941">
        <w:t>3 de la décision</w:t>
      </w:r>
      <w:r w:rsidR="00F704F7" w:rsidRPr="00197941">
        <w:t> </w:t>
      </w:r>
      <w:r w:rsidRPr="00197941">
        <w:t>XXXVI/9. Dans cette décision, la trente-sixième</w:t>
      </w:r>
      <w:r w:rsidR="00F704F7" w:rsidRPr="00197941">
        <w:t> </w:t>
      </w:r>
      <w:r w:rsidRPr="00197941">
        <w:t>Réunion des Parties au Protocole de</w:t>
      </w:r>
      <w:r w:rsidR="00F704F7" w:rsidRPr="00197941">
        <w:t> </w:t>
      </w:r>
      <w:r w:rsidRPr="00197941">
        <w:t>Montréal relatif à des substances qui appauvrissent la couche d</w:t>
      </w:r>
      <w:r w:rsidR="009F2F08" w:rsidRPr="00197941">
        <w:t>’</w:t>
      </w:r>
      <w:r w:rsidRPr="00197941">
        <w:t>ozone a demandé au Secrétariat de l</w:t>
      </w:r>
      <w:r w:rsidR="009F2F08" w:rsidRPr="00197941">
        <w:t>’</w:t>
      </w:r>
      <w:r w:rsidRPr="00197941">
        <w:t>ozone de compiler les informations fournies par les Parties conformément à la décision</w:t>
      </w:r>
      <w:r w:rsidR="00477761" w:rsidRPr="00197941">
        <w:t> </w:t>
      </w:r>
      <w:r w:rsidRPr="00197941">
        <w:t>XXXV/12, relative au renforcement des institutions du Protocole de</w:t>
      </w:r>
      <w:r w:rsidR="00477761" w:rsidRPr="00197941">
        <w:t> </w:t>
      </w:r>
      <w:r w:rsidRPr="00197941">
        <w:t>Montréal, y</w:t>
      </w:r>
      <w:r w:rsidR="00477761" w:rsidRPr="00197941">
        <w:t> </w:t>
      </w:r>
      <w:r w:rsidRPr="00197941">
        <w:t>compris en matière de lutte contre le commerce illicite, et de faire la synthèse des meilleures pratiques pour prévenir le commerce illicite de substances réglementées, pour examen par la trente-septième</w:t>
      </w:r>
      <w:r w:rsidR="00477761" w:rsidRPr="00197941">
        <w:t> </w:t>
      </w:r>
      <w:r w:rsidRPr="00197941">
        <w:t>Réunion. Le document</w:t>
      </w:r>
      <w:r w:rsidR="00477761" w:rsidRPr="00197941">
        <w:t> </w:t>
      </w:r>
      <w:r w:rsidRPr="00197941">
        <w:t>UNEP/OzL.Pro.WG.1/47/5 a été mis à disposition avant la quarante-septième</w:t>
      </w:r>
      <w:r w:rsidR="00720A88" w:rsidRPr="00197941">
        <w:t> </w:t>
      </w:r>
      <w:r w:rsidRPr="00197941">
        <w:t>réunion du Groupe de travail à composition non limitée des Parties au Protocole de</w:t>
      </w:r>
      <w:r w:rsidR="00720A88" w:rsidRPr="00197941">
        <w:t> </w:t>
      </w:r>
      <w:r w:rsidRPr="00197941">
        <w:t>Montréal. La présente</w:t>
      </w:r>
      <w:r w:rsidR="00720A88" w:rsidRPr="00197941">
        <w:t> </w:t>
      </w:r>
      <w:r w:rsidRPr="00197941">
        <w:t>note tient compte des informations communiquées par les Parties depuis le 22 avril 2025 et donne suite à la demande formulée au paragraphe</w:t>
      </w:r>
      <w:r w:rsidR="0046325C" w:rsidRPr="00197941">
        <w:t> </w:t>
      </w:r>
      <w:r w:rsidRPr="00197941">
        <w:t>2 de la décision</w:t>
      </w:r>
      <w:r w:rsidR="0046325C" w:rsidRPr="00197941">
        <w:t> </w:t>
      </w:r>
      <w:r w:rsidRPr="00197941">
        <w:t>XXXV/12, par laquelle le Secrétariat a été prié de fournir, avant la quarante-sixième</w:t>
      </w:r>
      <w:r w:rsidR="0046325C" w:rsidRPr="00197941">
        <w:t> </w:t>
      </w:r>
      <w:r w:rsidRPr="00197941">
        <w:t>réunion du Groupe de travail à composition non limitée et chaque année par la suite, une compilation des informations communiquées par les Parties, conformément au paragraphe</w:t>
      </w:r>
      <w:r w:rsidR="00E83FAC" w:rsidRPr="00197941">
        <w:t> </w:t>
      </w:r>
      <w:r w:rsidRPr="00197941">
        <w:t>1 de la décision</w:t>
      </w:r>
      <w:r w:rsidR="00E83FAC" w:rsidRPr="00197941">
        <w:t> </w:t>
      </w:r>
      <w:r w:rsidRPr="00197941">
        <w:t>XXXV/12 et à la décision</w:t>
      </w:r>
      <w:r w:rsidR="005413E7" w:rsidRPr="00197941">
        <w:t> </w:t>
      </w:r>
      <w:r w:rsidRPr="00197941">
        <w:t xml:space="preserve">XXXIV/8. </w:t>
      </w:r>
    </w:p>
    <w:p w14:paraId="4951A64A" w14:textId="3BD32F36"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Au paragraphe 1 de la décision</w:t>
      </w:r>
      <w:r w:rsidR="005413E7" w:rsidRPr="00197941">
        <w:t> </w:t>
      </w:r>
      <w:r w:rsidRPr="00197941">
        <w:t>XXXV/12, la trente-cinquième Réunion des Parties, rappelant les décisions</w:t>
      </w:r>
      <w:r w:rsidR="005413E7" w:rsidRPr="00197941">
        <w:t> </w:t>
      </w:r>
      <w:r w:rsidRPr="00197941">
        <w:t>XIV/7, XXXI/3 et XXXIV/8, a engagé les Parties à faciliter l</w:t>
      </w:r>
      <w:r w:rsidR="009F2F08" w:rsidRPr="00197941">
        <w:t>’</w:t>
      </w:r>
      <w:r w:rsidRPr="00197941">
        <w:t>échange d</w:t>
      </w:r>
      <w:r w:rsidR="009F2F08" w:rsidRPr="00197941">
        <w:t>’</w:t>
      </w:r>
      <w:r w:rsidRPr="00197941">
        <w:t>informations sur les meilleures pratiques afin de prévenir le commerce illicite de substances réglementées en informant le Secrétariat des pratiques observées chez les entités s</w:t>
      </w:r>
      <w:r w:rsidR="009F2F08" w:rsidRPr="00197941">
        <w:t>’</w:t>
      </w:r>
      <w:r w:rsidRPr="00197941">
        <w:t>employant à importer illicitement des substances réglementées, telles que l</w:t>
      </w:r>
      <w:r w:rsidR="009F2F08" w:rsidRPr="00197941">
        <w:t>’</w:t>
      </w:r>
      <w:r w:rsidRPr="00197941">
        <w:t>étiquetage erroné des contenants de substances réglementées ou la communication d</w:t>
      </w:r>
      <w:r w:rsidR="009F2F08" w:rsidRPr="00197941">
        <w:t>’</w:t>
      </w:r>
      <w:r w:rsidRPr="00197941">
        <w:t>informations inexactes dans les déclarations en douane.</w:t>
      </w:r>
    </w:p>
    <w:p w14:paraId="5C654204" w14:textId="3CE04030"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Lors de l</w:t>
      </w:r>
      <w:r w:rsidR="009F2F08" w:rsidRPr="00197941">
        <w:t>’</w:t>
      </w:r>
      <w:r w:rsidRPr="00197941">
        <w:t>établissement de la présente note, le Secrétariat s</w:t>
      </w:r>
      <w:r w:rsidR="009F2F08" w:rsidRPr="00197941">
        <w:t>’</w:t>
      </w:r>
      <w:r w:rsidRPr="00197941">
        <w:t>est penché sur tous les cas de commerce illicite signalés volontairement au fil des ans par les Parties, comme suite aux décisions antérieures sur le sujet, à savoir les décisions</w:t>
      </w:r>
      <w:r w:rsidR="007A72DA" w:rsidRPr="00197941">
        <w:t> </w:t>
      </w:r>
      <w:r w:rsidRPr="00197941">
        <w:t xml:space="preserve">XIV/7, XXXI/3 et XXXIV/8. Dans ces décisions, </w:t>
      </w:r>
      <w:r w:rsidRPr="00197941">
        <w:lastRenderedPageBreak/>
        <w:t>les Réunions des Parties ont souligné l</w:t>
      </w:r>
      <w:r w:rsidR="009F2F08" w:rsidRPr="00197941">
        <w:t>’</w:t>
      </w:r>
      <w:r w:rsidRPr="00197941">
        <w:t>importance d</w:t>
      </w:r>
      <w:r w:rsidR="009F2F08" w:rsidRPr="00197941">
        <w:t>’</w:t>
      </w:r>
      <w:r w:rsidRPr="00197941">
        <w:t>améliorer la surveillance et la prévention du commerce illicite de substances réglementées en signalant au Secrétariat les cas dûment avérés, en partageant des informations sur les mesures de répression et les causes connues de la production illicite, et en facilitant l</w:t>
      </w:r>
      <w:r w:rsidR="009F2F08" w:rsidRPr="00197941">
        <w:t>’</w:t>
      </w:r>
      <w:r w:rsidRPr="00197941">
        <w:t>échange d</w:t>
      </w:r>
      <w:r w:rsidR="009F2F08" w:rsidRPr="00197941">
        <w:t>’</w:t>
      </w:r>
      <w:r w:rsidRPr="00197941">
        <w:t>informations entre les Parties. Au paragraphe</w:t>
      </w:r>
      <w:r w:rsidR="00157B15" w:rsidRPr="00197941">
        <w:t> </w:t>
      </w:r>
      <w:r w:rsidRPr="00197941">
        <w:t>3 de la décision</w:t>
      </w:r>
      <w:r w:rsidR="00B7650B" w:rsidRPr="00197941">
        <w:t> </w:t>
      </w:r>
      <w:r w:rsidRPr="00197941">
        <w:t>XXXIV/8, la trente-quatrième</w:t>
      </w:r>
      <w:r w:rsidR="005B2F3E" w:rsidRPr="00197941">
        <w:t> </w:t>
      </w:r>
      <w:r w:rsidRPr="00197941">
        <w:t>Réunion des Parties a également engagé les Parties, dans la mesure où elles sont en mesure de le faire, à fournir des informations supplémentaires sur les cas de commerce illicite. Le Secrétariat a été prié de recueillir et diffuser ces informations afin de favoriser le respect des dispositions et l</w:t>
      </w:r>
      <w:r w:rsidR="009F2F08" w:rsidRPr="00197941">
        <w:t>’</w:t>
      </w:r>
      <w:r w:rsidRPr="00197941">
        <w:t>élimination des substances réglementées dans les délais impartis.</w:t>
      </w:r>
    </w:p>
    <w:p w14:paraId="33A28B31" w14:textId="48756E1A"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Les 1 107</w:t>
      </w:r>
      <w:r w:rsidRPr="00197941">
        <w:rPr>
          <w:rStyle w:val="FootnoteReference"/>
        </w:rPr>
        <w:footnoteReference w:id="3"/>
      </w:r>
      <w:r w:rsidRPr="00197941">
        <w:t xml:space="preserve"> cas de commerce illicite signalés au Secrétariat à la date de rédaction de la présente</w:t>
      </w:r>
      <w:r w:rsidR="00332199" w:rsidRPr="00197941">
        <w:t> </w:t>
      </w:r>
      <w:r w:rsidRPr="00197941">
        <w:t>note ont été publiés dans la base de données en ligne dédiée</w:t>
      </w:r>
      <w:r w:rsidRPr="00197941">
        <w:rPr>
          <w:rStyle w:val="FootnoteReference"/>
        </w:rPr>
        <w:footnoteReference w:id="4"/>
      </w:r>
      <w:r w:rsidRPr="00197941">
        <w:t>. Parmi les Parties qui ont indiqué au Secrétariat n</w:t>
      </w:r>
      <w:r w:rsidR="009F2F08" w:rsidRPr="00197941">
        <w:t>’</w:t>
      </w:r>
      <w:r w:rsidRPr="00197941">
        <w:t>avoir aucun cas de commerce illicite à signaler, deux ont fourni des informations complémentaires sur les mesures prises pour prévenir et lutter contre ce type de commerce, lesquelles ont été prises en compte lors de la rédaction de la présente</w:t>
      </w:r>
      <w:r w:rsidR="00DD0A21" w:rsidRPr="00197941">
        <w:t> </w:t>
      </w:r>
      <w:r w:rsidRPr="00197941">
        <w:t>note.</w:t>
      </w:r>
    </w:p>
    <w:p w14:paraId="7DC29450" w14:textId="6F786F93"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Depuis l</w:t>
      </w:r>
      <w:r w:rsidR="009F2F08" w:rsidRPr="00197941">
        <w:t>’</w:t>
      </w:r>
      <w:r w:rsidRPr="00197941">
        <w:t>adoption de la décision</w:t>
      </w:r>
      <w:r w:rsidR="008106FF" w:rsidRPr="00197941">
        <w:t> </w:t>
      </w:r>
      <w:r w:rsidRPr="00197941">
        <w:t>XXXI/3 sur les émissions inattendues de CFC-11 et les processus institutionnels devant être améliorés pour renforcer la mise en œuvre et l</w:t>
      </w:r>
      <w:r w:rsidR="009F2F08" w:rsidRPr="00197941">
        <w:t>’</w:t>
      </w:r>
      <w:r w:rsidRPr="00197941">
        <w:t>application effectives du Protocole de</w:t>
      </w:r>
      <w:r w:rsidR="00527249" w:rsidRPr="00197941">
        <w:t> </w:t>
      </w:r>
      <w:r w:rsidRPr="00197941">
        <w:t>Montréal, les Parties se sont employées à signaler les cas de production et de consommation illicites de substances réglementées. Les 31</w:t>
      </w:r>
      <w:r w:rsidR="00313BBE" w:rsidRPr="00197941">
        <w:t> </w:t>
      </w:r>
      <w:r w:rsidRPr="00197941">
        <w:t>cas signalés en application de cette décision sont consultables dans une base de données en ligne séparée</w:t>
      </w:r>
      <w:r w:rsidRPr="00197941">
        <w:rPr>
          <w:vertAlign w:val="superscript"/>
        </w:rPr>
        <w:footnoteReference w:id="5"/>
      </w:r>
      <w:r w:rsidRPr="00197941">
        <w:t xml:space="preserve"> et figurent également dans la compilation ci-après.</w:t>
      </w:r>
    </w:p>
    <w:p w14:paraId="2CC0C623" w14:textId="3C87765D"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Afin d</w:t>
      </w:r>
      <w:r w:rsidR="009F2F08" w:rsidRPr="00197941">
        <w:t>’</w:t>
      </w:r>
      <w:r w:rsidRPr="00197941">
        <w:t>éviter toute redondance, la présente note s</w:t>
      </w:r>
      <w:r w:rsidR="009F2F08" w:rsidRPr="00197941">
        <w:t>’</w:t>
      </w:r>
      <w:r w:rsidRPr="00197941">
        <w:t>appuie sur les notes précédentes établies par le Secrétariat sur les informations communiquées par les Parties sur le commerce illicite de substances réglementées</w:t>
      </w:r>
      <w:r w:rsidRPr="00197941">
        <w:rPr>
          <w:vertAlign w:val="superscript"/>
        </w:rPr>
        <w:footnoteReference w:id="6"/>
      </w:r>
      <w:r w:rsidRPr="00197941">
        <w:t>.</w:t>
      </w:r>
    </w:p>
    <w:p w14:paraId="7A7DF6F7" w14:textId="2E3943E8"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La section</w:t>
      </w:r>
      <w:r w:rsidR="003B6C80" w:rsidRPr="00197941">
        <w:t> </w:t>
      </w:r>
      <w:r w:rsidRPr="00197941">
        <w:t>II donne un aperçu des cas signalés de commerce illicite de substances réglementées, y</w:t>
      </w:r>
      <w:r w:rsidR="00B460ED" w:rsidRPr="00197941">
        <w:t> </w:t>
      </w:r>
      <w:r w:rsidRPr="00197941">
        <w:t>compris les 31</w:t>
      </w:r>
      <w:r w:rsidR="00FD350F" w:rsidRPr="00197941">
        <w:t> </w:t>
      </w:r>
      <w:r w:rsidRPr="00197941">
        <w:t>cas de production et de consommation illicites mentionnés plus haut, et</w:t>
      </w:r>
      <w:r w:rsidR="00EF75AD" w:rsidRPr="00197941">
        <w:t> </w:t>
      </w:r>
      <w:r w:rsidRPr="00197941">
        <w:t>met en évidence les schémas récurrents de ce commerce, notamment des points de vue du nombre de cas signalés, des substances qui en font le plus souvent l</w:t>
      </w:r>
      <w:r w:rsidR="009F2F08" w:rsidRPr="00197941">
        <w:t>’</w:t>
      </w:r>
      <w:r w:rsidRPr="00197941">
        <w:t>objet et des méthodes utilisées. Une</w:t>
      </w:r>
      <w:r w:rsidR="00505EBF" w:rsidRPr="00197941">
        <w:t> </w:t>
      </w:r>
      <w:r w:rsidRPr="00197941">
        <w:t>synthèse des pratiques appliquées par les autorités nationales pour détecter ce commerce, le réprimer et liquider les substances saisies est également présentée.</w:t>
      </w:r>
    </w:p>
    <w:p w14:paraId="4D786228" w14:textId="79A3EBD0"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La section</w:t>
      </w:r>
      <w:r w:rsidR="00F9328D" w:rsidRPr="00197941">
        <w:t> </w:t>
      </w:r>
      <w:r w:rsidRPr="00197941">
        <w:t>III contient un résumé des meilleures pratiques notables de prévention et de répression du commerce illicite de substances réglementées et de plusieurs pratiques se rapportant à la production et à la consommation illicites, tirées des 321 cas signalés depuis le 22 avril 2025, qui s</w:t>
      </w:r>
      <w:r w:rsidR="009F2F08" w:rsidRPr="00197941">
        <w:t>’</w:t>
      </w:r>
      <w:r w:rsidRPr="00197941">
        <w:t>ajoutent à celles recensées dans les notes antérieures sur la question.</w:t>
      </w:r>
    </w:p>
    <w:p w14:paraId="1E5A7F43" w14:textId="4BF8CCEF" w:rsidR="006A1F5E" w:rsidRPr="00197941" w:rsidRDefault="00356960" w:rsidP="006A1F5E">
      <w:pPr>
        <w:pStyle w:val="CH1"/>
      </w:pPr>
      <w:r w:rsidRPr="00197941">
        <w:rPr>
          <w:bCs/>
        </w:rPr>
        <w:tab/>
      </w:r>
      <w:r w:rsidR="00C85FD2" w:rsidRPr="00197941">
        <w:rPr>
          <w:bCs/>
        </w:rPr>
        <w:t>II.</w:t>
      </w:r>
      <w:r w:rsidR="006A1F5E" w:rsidRPr="00197941">
        <w:tab/>
      </w:r>
      <w:r w:rsidR="006A1F5E" w:rsidRPr="00197941">
        <w:rPr>
          <w:bCs/>
        </w:rPr>
        <w:t>Compilation des cas signalés de commerce illicite et synthèse des</w:t>
      </w:r>
      <w:r w:rsidR="006C12D7" w:rsidRPr="00197941">
        <w:rPr>
          <w:bCs/>
        </w:rPr>
        <w:t> </w:t>
      </w:r>
      <w:r w:rsidR="006A1F5E" w:rsidRPr="00197941">
        <w:rPr>
          <w:bCs/>
        </w:rPr>
        <w:t>meilleures pratiques</w:t>
      </w:r>
    </w:p>
    <w:p w14:paraId="10D0E1F1" w14:textId="61AA900E" w:rsidR="006A1F5E" w:rsidRPr="00197941" w:rsidRDefault="00356960" w:rsidP="00356960">
      <w:pPr>
        <w:pStyle w:val="CH2"/>
      </w:pPr>
      <w:r w:rsidRPr="00197941">
        <w:tab/>
      </w:r>
      <w:r w:rsidR="006C086A" w:rsidRPr="00197941">
        <w:t>A.</w:t>
      </w:r>
      <w:r w:rsidR="006A1F5E" w:rsidRPr="00197941">
        <w:tab/>
        <w:t>Nombre de cas signalés d</w:t>
      </w:r>
      <w:r w:rsidR="009F2F08" w:rsidRPr="00197941">
        <w:t>’</w:t>
      </w:r>
      <w:r w:rsidR="006A1F5E" w:rsidRPr="00197941">
        <w:t>importation et d</w:t>
      </w:r>
      <w:r w:rsidR="009F2F08" w:rsidRPr="00197941">
        <w:t>’</w:t>
      </w:r>
      <w:r w:rsidR="006A1F5E" w:rsidRPr="00197941">
        <w:t>exportation illicites de</w:t>
      </w:r>
      <w:r w:rsidR="006A1F5E" w:rsidRPr="00197941">
        <w:rPr>
          <w:bCs/>
        </w:rPr>
        <w:t xml:space="preserve"> substances réglementées</w:t>
      </w:r>
    </w:p>
    <w:p w14:paraId="3878A1A9" w14:textId="7D7E7628"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Au 27 avril 2026, la base de données des cas</w:t>
      </w:r>
      <w:r w:rsidR="00A45F46" w:rsidRPr="00197941">
        <w:t xml:space="preserve"> de</w:t>
      </w:r>
      <w:r w:rsidRPr="00197941">
        <w:t xml:space="preserve"> commerce illicite (importations et exportations) de substances réglementées par le Protocole de</w:t>
      </w:r>
      <w:r w:rsidR="006248B9" w:rsidRPr="00197941">
        <w:t> </w:t>
      </w:r>
      <w:r w:rsidRPr="00197941">
        <w:t>Montréal comptait 1 107 entrées. La note précédente sur le sujet (UNEP/OzL.Pro.WG.1/47/5) couvrait 786</w:t>
      </w:r>
      <w:r w:rsidR="00A52E39" w:rsidRPr="00197941">
        <w:t> </w:t>
      </w:r>
      <w:r w:rsidRPr="00197941">
        <w:t>cas signalés entre 2002 et avril 2025. Au cours de la période allant d</w:t>
      </w:r>
      <w:r w:rsidR="009F2F08" w:rsidRPr="00197941">
        <w:t>’</w:t>
      </w:r>
      <w:r w:rsidRPr="00197941">
        <w:t>avril 2025 à avril 2026, 18</w:t>
      </w:r>
      <w:r w:rsidR="00291543" w:rsidRPr="00197941">
        <w:t> </w:t>
      </w:r>
      <w:r w:rsidRPr="00197941">
        <w:t>Parties (dont 2 pour la première fois) ont volontairement signalé 321</w:t>
      </w:r>
      <w:r w:rsidR="002F5C99" w:rsidRPr="00197941">
        <w:t> </w:t>
      </w:r>
      <w:r w:rsidRPr="00197941">
        <w:t>nouveaux cas, tandis que 10</w:t>
      </w:r>
      <w:r w:rsidR="007A6EC5" w:rsidRPr="00197941">
        <w:t> </w:t>
      </w:r>
      <w:r w:rsidRPr="00197941">
        <w:t>autres Parties ont indiqué n</w:t>
      </w:r>
      <w:r w:rsidR="009F2F08" w:rsidRPr="00197941">
        <w:t>’</w:t>
      </w:r>
      <w:r w:rsidRPr="00197941">
        <w:t>en avoir aucun à</w:t>
      </w:r>
      <w:r w:rsidR="00DC479F" w:rsidRPr="00197941">
        <w:t> </w:t>
      </w:r>
      <w:r w:rsidRPr="00197941">
        <w:t>signaler. Deux de ces Parties ont néanmoins fourni des informations complémentaires sur les mesures prises pour prévenir et lutter contre ce type de commerce. La figure ci-après montre le nombre de cas signalés chaque année de 2002 à 2026, les données pour 2026 couvrant la période allant jusqu</w:t>
      </w:r>
      <w:r w:rsidR="009F2F08" w:rsidRPr="00197941">
        <w:t>’</w:t>
      </w:r>
      <w:r w:rsidRPr="00197941">
        <w:t>au 27 avril 2026.</w:t>
      </w:r>
    </w:p>
    <w:p w14:paraId="06DE9256" w14:textId="005DBDEC"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Dans les décisions citées aux paragraphes</w:t>
      </w:r>
      <w:r w:rsidR="0002553B" w:rsidRPr="00197941">
        <w:t> </w:t>
      </w:r>
      <w:r w:rsidRPr="00197941">
        <w:t>2 et 3 ci-dessus, il était demandé de signaler les cas dûment avérés, dans lesquels il avait été établi, à la conclusion des procédures judiciaires ou administratives pertinentes, qu</w:t>
      </w:r>
      <w:r w:rsidR="009F2F08" w:rsidRPr="00197941">
        <w:t>’</w:t>
      </w:r>
      <w:r w:rsidRPr="00197941">
        <w:t xml:space="preserve">un commerce illicite avait bien eu lieu. Comme indiqué au </w:t>
      </w:r>
      <w:r w:rsidRPr="00197941">
        <w:lastRenderedPageBreak/>
        <w:t>paragraphe</w:t>
      </w:r>
      <w:r w:rsidR="009032D8" w:rsidRPr="00197941">
        <w:t> </w:t>
      </w:r>
      <w:r w:rsidRPr="00197941">
        <w:t>3 ci-dessus, au paragraphe</w:t>
      </w:r>
      <w:r w:rsidR="00626283" w:rsidRPr="00197941">
        <w:t> </w:t>
      </w:r>
      <w:r w:rsidRPr="00197941">
        <w:t>3 de la décision</w:t>
      </w:r>
      <w:r w:rsidR="00315A71" w:rsidRPr="00197941">
        <w:t> </w:t>
      </w:r>
      <w:r w:rsidRPr="00197941">
        <w:t>XXXIV/8</w:t>
      </w:r>
      <w:r w:rsidR="00A45F46" w:rsidRPr="00197941">
        <w:t>,</w:t>
      </w:r>
      <w:r w:rsidRPr="00197941">
        <w:t xml:space="preserve"> les Parties avaient également été engagées, dans la mesure où elles étaient en mesure de le faire, à fournir des informations supplémentaires sur les cas de commerce illicite. Ainsi, les Parties signalent également les cas dans lesquels le commerce illicite n</w:t>
      </w:r>
      <w:r w:rsidR="009F2F08" w:rsidRPr="00197941">
        <w:t>’</w:t>
      </w:r>
      <w:r w:rsidRPr="00197941">
        <w:t>a pas encore été pleinement établi ou pour lesquels une procédure judiciaire ou administrative est toujours en cours. Une Partie a fourni des mises à jour sur l</w:t>
      </w:r>
      <w:r w:rsidR="009F2F08" w:rsidRPr="00197941">
        <w:t>’</w:t>
      </w:r>
      <w:r w:rsidRPr="00197941">
        <w:t>issue judiciaire de cas signalés antérieurement. Dans la lettre de rappel annuelle de 2026 adressée aux Parties, le Secrétariat a engagé celles-ci à fournir, s</w:t>
      </w:r>
      <w:r w:rsidR="009F2F08" w:rsidRPr="00197941">
        <w:t>’</w:t>
      </w:r>
      <w:r w:rsidRPr="00197941">
        <w:t>il y avait lieu, des informations actualisées sur l</w:t>
      </w:r>
      <w:r w:rsidR="009F2F08" w:rsidRPr="00197941">
        <w:t>’</w:t>
      </w:r>
      <w:r w:rsidRPr="00197941">
        <w:t>issue des procédures judiciaires engagées dans les cas précédemment signalés et continuera de le faire dans ses prochains rappels, afin de faciliter l</w:t>
      </w:r>
      <w:r w:rsidR="009F2F08" w:rsidRPr="00197941">
        <w:t>’</w:t>
      </w:r>
      <w:r w:rsidRPr="00197941">
        <w:t>échange d</w:t>
      </w:r>
      <w:r w:rsidR="009F2F08" w:rsidRPr="00197941">
        <w:t>’</w:t>
      </w:r>
      <w:r w:rsidRPr="00197941">
        <w:t>informations et le recensement des pratiques efficaces de répression des infractions.</w:t>
      </w:r>
    </w:p>
    <w:p w14:paraId="23A09ABA" w14:textId="1F82E742" w:rsidR="006A1F5E" w:rsidRPr="00197941" w:rsidRDefault="006A1F5E" w:rsidP="006A1F5E">
      <w:pPr>
        <w:pStyle w:val="CH2"/>
      </w:pPr>
      <w:r w:rsidRPr="00197941">
        <w:tab/>
      </w:r>
      <w:r w:rsidR="00F4455C" w:rsidRPr="00197941">
        <w:rPr>
          <w:bCs/>
        </w:rPr>
        <w:t>B.</w:t>
      </w:r>
      <w:r w:rsidR="00356960" w:rsidRPr="00197941">
        <w:tab/>
      </w:r>
      <w:r w:rsidRPr="00197941">
        <w:rPr>
          <w:bCs/>
        </w:rPr>
        <w:t>Parties ayant signalé des cas de commerce illicite</w:t>
      </w:r>
    </w:p>
    <w:p w14:paraId="51EA7F79" w14:textId="63A68074" w:rsidR="005D6369" w:rsidRPr="00197941" w:rsidRDefault="006A1F5E" w:rsidP="00F87A0C">
      <w:pPr>
        <w:pStyle w:val="Normalnumber"/>
        <w:tabs>
          <w:tab w:val="clear" w:pos="1247"/>
          <w:tab w:val="clear" w:pos="1814"/>
          <w:tab w:val="clear" w:pos="2381"/>
          <w:tab w:val="clear" w:pos="2948"/>
          <w:tab w:val="clear" w:pos="3515"/>
          <w:tab w:val="num" w:pos="624"/>
        </w:tabs>
      </w:pPr>
      <w:r w:rsidRPr="00197941">
        <w:t>Depuis 2002, date à laquelle le signalement des cas de commerce illicite a commencé, les 51</w:t>
      </w:r>
      <w:r w:rsidR="00A3002A" w:rsidRPr="00197941">
        <w:t> </w:t>
      </w:r>
      <w:r w:rsidRPr="00197941">
        <w:t>Parties au Protocole de</w:t>
      </w:r>
      <w:r w:rsidR="0010652C" w:rsidRPr="00197941">
        <w:t> </w:t>
      </w:r>
      <w:r w:rsidRPr="00197941">
        <w:t>Montréal suivantes se sont pliées à l</w:t>
      </w:r>
      <w:r w:rsidR="009F2F08" w:rsidRPr="00197941">
        <w:t>’</w:t>
      </w:r>
      <w:r w:rsidRPr="00197941">
        <w:t>exercice</w:t>
      </w:r>
      <w:r w:rsidR="009F2F08" w:rsidRPr="00197941">
        <w:t> :</w:t>
      </w:r>
      <w:r w:rsidRPr="00197941">
        <w:t xml:space="preserve"> </w:t>
      </w:r>
      <w:r w:rsidR="005D6369" w:rsidRPr="00197941">
        <w:t>Allemagne, Angola, Argentine, Arménie, Australie, Belgique, Bulgarie, Burkina Faso, Chine, Chypre, Colombie, Croatie, Danemark, Espagne, Estonie, États-Unis d’Amérique, Finlande, France, Géorgie, Grèce, Honduras, Hongrie, Irlande, Italie, Japon, Kenya, Kirghizistan, Libye, Lituanie, Macédoine du Nord, Mexique, Micronésie (États fédérés de), Namibie, Nigéria, Ouzbékistan, Papouasie-Nouvelle-Guinée, Paraguay, Pays-Bas (Royaume des), Pérou, Philippines, Pologne, République démocratique du Congo, Roumanie, Royaume-Uni de Grande-Bretagne et d’Irlande du Nord, Seychelles, Singapour, Sri Lanka, Tchéquie, Thaïlande, Türkiye et Turkménistan.</w:t>
      </w:r>
    </w:p>
    <w:p w14:paraId="70E17E16" w14:textId="77777777" w:rsidR="006A1F5E" w:rsidRPr="00197941" w:rsidRDefault="006A1F5E" w:rsidP="00387C03">
      <w:pPr>
        <w:pStyle w:val="Titlefigure"/>
        <w:keepLines w:val="0"/>
        <w:tabs>
          <w:tab w:val="clear" w:pos="1247"/>
          <w:tab w:val="left" w:pos="1134"/>
        </w:tabs>
        <w:suppressAutoHyphens w:val="0"/>
        <w:spacing w:before="120" w:after="120"/>
        <w:rPr>
          <w:bCs/>
        </w:rPr>
      </w:pPr>
      <w:r w:rsidRPr="00197941">
        <w:rPr>
          <w:bCs/>
        </w:rPr>
        <w:t>Nombre de cas signalés, par année</w:t>
      </w:r>
      <w:r w:rsidRPr="00197941">
        <w:t xml:space="preserve"> </w:t>
      </w:r>
    </w:p>
    <w:p w14:paraId="15AF0EFA" w14:textId="77777777" w:rsidR="006A1F5E" w:rsidRPr="00197941" w:rsidRDefault="006A1F5E" w:rsidP="006A1F5E">
      <w:pPr>
        <w:pStyle w:val="NormalNonumber"/>
        <w:tabs>
          <w:tab w:val="clear" w:pos="1247"/>
          <w:tab w:val="left" w:pos="1134"/>
        </w:tabs>
        <w:spacing w:after="240"/>
        <w:ind w:left="1248"/>
      </w:pPr>
      <w:r w:rsidRPr="00197941">
        <w:drawing>
          <wp:inline distT="0" distB="0" distL="0" distR="0" wp14:anchorId="710F6505" wp14:editId="76A3658D">
            <wp:extent cx="4572000" cy="2743200"/>
            <wp:effectExtent l="0" t="0" r="0" b="0"/>
            <wp:docPr id="1320115703" name="Chart 1">
              <a:extLst xmlns:a="http://schemas.openxmlformats.org/drawingml/2006/main">
                <a:ext uri="{FF2B5EF4-FFF2-40B4-BE49-F238E27FC236}">
                  <a16:creationId xmlns:a16="http://schemas.microsoft.com/office/drawing/2014/main" id="{1B7A4FDE-7458-BDD5-A3C2-9B9D5E50B3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DE3F65" w14:textId="73B8C75C"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Sur les 51</w:t>
      </w:r>
      <w:r w:rsidR="005724B5" w:rsidRPr="00197941">
        <w:t> </w:t>
      </w:r>
      <w:r w:rsidRPr="00197941">
        <w:t>Parties énumérées plus haut, 27 sont des Parties visées au paragraphe</w:t>
      </w:r>
      <w:r w:rsidR="0099679E" w:rsidRPr="00197941">
        <w:t> </w:t>
      </w:r>
      <w:r w:rsidRPr="00197941">
        <w:t>1 de l</w:t>
      </w:r>
      <w:r w:rsidR="009F2F08" w:rsidRPr="00197941">
        <w:t>’</w:t>
      </w:r>
      <w:r w:rsidRPr="00197941">
        <w:t>article</w:t>
      </w:r>
      <w:r w:rsidR="00AB3320" w:rsidRPr="00197941">
        <w:t> </w:t>
      </w:r>
      <w:r w:rsidRPr="00197941">
        <w:t>5 du Protocole de</w:t>
      </w:r>
      <w:r w:rsidR="006F19D4" w:rsidRPr="00197941">
        <w:t> </w:t>
      </w:r>
      <w:r w:rsidRPr="00197941">
        <w:t>Montréal (Parties visées à l</w:t>
      </w:r>
      <w:r w:rsidR="009F2F08" w:rsidRPr="00197941">
        <w:t>’</w:t>
      </w:r>
      <w:r w:rsidRPr="00197941">
        <w:t>article</w:t>
      </w:r>
      <w:r w:rsidR="00BA3A1A" w:rsidRPr="00197941">
        <w:t> </w:t>
      </w:r>
      <w:r w:rsidRPr="00197941">
        <w:t>5) et les 24 autres des Parties non visées à cet article. Deux</w:t>
      </w:r>
      <w:r w:rsidR="00D103A7" w:rsidRPr="00197941">
        <w:t> </w:t>
      </w:r>
      <w:r w:rsidRPr="00197941">
        <w:t>parties, l</w:t>
      </w:r>
      <w:r w:rsidR="009F2F08" w:rsidRPr="00197941">
        <w:t>’</w:t>
      </w:r>
      <w:r w:rsidRPr="00197941">
        <w:t>une visée à l</w:t>
      </w:r>
      <w:r w:rsidR="009F2F08" w:rsidRPr="00197941">
        <w:t>’</w:t>
      </w:r>
      <w:r w:rsidRPr="00197941">
        <w:t>article</w:t>
      </w:r>
      <w:r w:rsidR="00FB0E23" w:rsidRPr="00197941">
        <w:t> </w:t>
      </w:r>
      <w:r w:rsidRPr="00197941">
        <w:t>5 et l</w:t>
      </w:r>
      <w:r w:rsidR="009F2F08" w:rsidRPr="00197941">
        <w:t>’</w:t>
      </w:r>
      <w:r w:rsidRPr="00197941">
        <w:t>autre non, ont signalé des cas pour la première fois au cours de la période considérée. La répartition géographique de tous les cas signalés à ce jour est présentée dans le tableau 1.</w:t>
      </w:r>
    </w:p>
    <w:p w14:paraId="2432F6D6" w14:textId="2F0BA3EF" w:rsidR="006A1F5E" w:rsidRPr="00197941" w:rsidRDefault="006A1F5E" w:rsidP="006A1F5E">
      <w:pPr>
        <w:pStyle w:val="Titletable"/>
        <w:tabs>
          <w:tab w:val="clear" w:pos="1247"/>
          <w:tab w:val="left" w:pos="1134"/>
        </w:tabs>
        <w:spacing w:before="240"/>
      </w:pPr>
      <w:r w:rsidRPr="00197941">
        <w:rPr>
          <w:b w:val="0"/>
          <w:bCs w:val="0"/>
        </w:rPr>
        <w:t>Tableau</w:t>
      </w:r>
      <w:r w:rsidR="00DE3FF7" w:rsidRPr="00197941">
        <w:rPr>
          <w:b w:val="0"/>
          <w:bCs w:val="0"/>
        </w:rPr>
        <w:t> </w:t>
      </w:r>
      <w:r w:rsidRPr="00197941">
        <w:rPr>
          <w:b w:val="0"/>
          <w:bCs w:val="0"/>
        </w:rPr>
        <w:t>1</w:t>
      </w:r>
      <w:r w:rsidR="00C57106" w:rsidRPr="00197941">
        <w:br/>
      </w:r>
      <w:r w:rsidRPr="00197941">
        <w:t>Répartition géographique des cas signalés</w:t>
      </w:r>
    </w:p>
    <w:tbl>
      <w:tblPr>
        <w:tblStyle w:val="GridTable1Light"/>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8"/>
        <w:gridCol w:w="2939"/>
      </w:tblGrid>
      <w:tr w:rsidR="006A1F5E" w:rsidRPr="00197941" w14:paraId="45281C19" w14:textId="77777777" w:rsidTr="00B827CE">
        <w:trPr>
          <w:cnfStyle w:val="100000000000" w:firstRow="1" w:lastRow="0" w:firstColumn="0" w:lastColumn="0" w:oddVBand="0" w:evenVBand="0" w:oddHBand="0"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5368" w:type="dxa"/>
            <w:tcBorders>
              <w:top w:val="single" w:sz="4" w:space="0" w:color="auto"/>
              <w:bottom w:val="single" w:sz="12" w:space="0" w:color="auto"/>
            </w:tcBorders>
            <w:noWrap/>
            <w:vAlign w:val="bottom"/>
          </w:tcPr>
          <w:p w14:paraId="52342E02" w14:textId="3B158AD6" w:rsidR="006A1F5E" w:rsidRPr="00197941" w:rsidRDefault="006A1F5E" w:rsidP="00B827CE">
            <w:pPr>
              <w:pStyle w:val="Normal-pool-Table"/>
              <w:tabs>
                <w:tab w:val="clear" w:pos="1247"/>
                <w:tab w:val="left" w:pos="1134"/>
              </w:tabs>
              <w:spacing w:before="20" w:after="20"/>
              <w:ind w:left="1134" w:hanging="1134"/>
              <w:rPr>
                <w:b w:val="0"/>
                <w:bCs w:val="0"/>
                <w:i/>
                <w:iCs/>
              </w:rPr>
            </w:pPr>
            <w:r w:rsidRPr="00197941">
              <w:rPr>
                <w:b w:val="0"/>
                <w:bCs w:val="0"/>
                <w:i/>
                <w:iCs/>
                <w:color w:val="000000"/>
              </w:rPr>
              <w:t>Région géographique de l</w:t>
            </w:r>
            <w:r w:rsidR="009F2F08" w:rsidRPr="00197941">
              <w:rPr>
                <w:b w:val="0"/>
                <w:bCs w:val="0"/>
                <w:i/>
                <w:iCs/>
                <w:color w:val="000000"/>
              </w:rPr>
              <w:t>’</w:t>
            </w:r>
            <w:r w:rsidRPr="00197941">
              <w:rPr>
                <w:b w:val="0"/>
                <w:bCs w:val="0"/>
                <w:i/>
                <w:iCs/>
                <w:color w:val="000000"/>
              </w:rPr>
              <w:t>Organisation des Nations</w:t>
            </w:r>
            <w:r w:rsidR="003F731A" w:rsidRPr="00197941">
              <w:rPr>
                <w:b w:val="0"/>
                <w:bCs w:val="0"/>
                <w:i/>
                <w:iCs/>
                <w:color w:val="000000"/>
              </w:rPr>
              <w:t> </w:t>
            </w:r>
            <w:r w:rsidRPr="00197941">
              <w:rPr>
                <w:b w:val="0"/>
                <w:bCs w:val="0"/>
                <w:i/>
                <w:iCs/>
                <w:color w:val="000000"/>
              </w:rPr>
              <w:t>Unies</w:t>
            </w:r>
            <w:r w:rsidRPr="00197941">
              <w:rPr>
                <w:b w:val="0"/>
                <w:bCs w:val="0"/>
                <w:color w:val="000000"/>
              </w:rPr>
              <w:t xml:space="preserve"> </w:t>
            </w:r>
          </w:p>
        </w:tc>
        <w:tc>
          <w:tcPr>
            <w:tcW w:w="2939" w:type="dxa"/>
            <w:tcBorders>
              <w:top w:val="single" w:sz="4" w:space="0" w:color="auto"/>
              <w:bottom w:val="single" w:sz="12" w:space="0" w:color="auto"/>
            </w:tcBorders>
            <w:noWrap/>
            <w:vAlign w:val="bottom"/>
          </w:tcPr>
          <w:p w14:paraId="36D5DA65" w14:textId="7C2D0F66" w:rsidR="006A1F5E" w:rsidRPr="00197941" w:rsidRDefault="006A1F5E" w:rsidP="00B827CE">
            <w:pPr>
              <w:pStyle w:val="Normal-pool-Table"/>
              <w:jc w:val="right"/>
              <w:cnfStyle w:val="100000000000" w:firstRow="1" w:lastRow="0" w:firstColumn="0" w:lastColumn="0" w:oddVBand="0" w:evenVBand="0" w:oddHBand="0" w:evenHBand="0" w:firstRowFirstColumn="0" w:firstRowLastColumn="0" w:lastRowFirstColumn="0" w:lastRowLastColumn="0"/>
              <w:rPr>
                <w:b w:val="0"/>
                <w:bCs w:val="0"/>
              </w:rPr>
            </w:pPr>
            <w:r w:rsidRPr="00197941">
              <w:rPr>
                <w:b w:val="0"/>
                <w:bCs w:val="0"/>
                <w:color w:val="000000"/>
              </w:rPr>
              <w:t xml:space="preserve">Nombre de cas signalés, </w:t>
            </w:r>
            <w:r w:rsidR="00765425" w:rsidRPr="00197941">
              <w:rPr>
                <w:b w:val="0"/>
                <w:bCs w:val="0"/>
                <w:color w:val="000000"/>
              </w:rPr>
              <w:br/>
            </w:r>
            <w:r w:rsidRPr="00197941">
              <w:rPr>
                <w:b w:val="0"/>
                <w:bCs w:val="0"/>
                <w:color w:val="000000"/>
              </w:rPr>
              <w:t>au 27 avril 2026</w:t>
            </w:r>
          </w:p>
        </w:tc>
      </w:tr>
      <w:tr w:rsidR="006A1F5E" w:rsidRPr="00197941" w14:paraId="23135261" w14:textId="77777777" w:rsidTr="00B827CE">
        <w:trPr>
          <w:trHeight w:val="57"/>
          <w:jc w:val="right"/>
        </w:trPr>
        <w:tc>
          <w:tcPr>
            <w:cnfStyle w:val="001000000000" w:firstRow="0" w:lastRow="0" w:firstColumn="1" w:lastColumn="0" w:oddVBand="0" w:evenVBand="0" w:oddHBand="0" w:evenHBand="0" w:firstRowFirstColumn="0" w:firstRowLastColumn="0" w:lastRowFirstColumn="0" w:lastRowLastColumn="0"/>
            <w:tcW w:w="5368" w:type="dxa"/>
            <w:tcBorders>
              <w:top w:val="single" w:sz="12" w:space="0" w:color="auto"/>
            </w:tcBorders>
            <w:noWrap/>
            <w:hideMark/>
          </w:tcPr>
          <w:p w14:paraId="2ECAC8E5" w14:textId="484FE2FB" w:rsidR="006A1F5E" w:rsidRPr="00197941" w:rsidRDefault="006A1F5E" w:rsidP="00B827CE">
            <w:pPr>
              <w:pStyle w:val="Normal-pool-Table"/>
              <w:tabs>
                <w:tab w:val="clear" w:pos="1247"/>
                <w:tab w:val="left" w:pos="1134"/>
              </w:tabs>
              <w:spacing w:before="20" w:after="20"/>
              <w:ind w:left="1134" w:hanging="1134"/>
              <w:rPr>
                <w:b w:val="0"/>
                <w:bCs w:val="0"/>
              </w:rPr>
            </w:pPr>
            <w:r w:rsidRPr="00197941">
              <w:rPr>
                <w:b w:val="0"/>
                <w:bCs w:val="0"/>
                <w:color w:val="000000"/>
              </w:rPr>
              <w:t>États d</w:t>
            </w:r>
            <w:r w:rsidR="009F2F08" w:rsidRPr="00197941">
              <w:rPr>
                <w:b w:val="0"/>
                <w:bCs w:val="0"/>
                <w:color w:val="000000"/>
              </w:rPr>
              <w:t>’</w:t>
            </w:r>
            <w:r w:rsidRPr="00197941">
              <w:rPr>
                <w:b w:val="0"/>
                <w:bCs w:val="0"/>
                <w:color w:val="000000"/>
              </w:rPr>
              <w:t>Afrique</w:t>
            </w:r>
          </w:p>
        </w:tc>
        <w:tc>
          <w:tcPr>
            <w:tcW w:w="2939" w:type="dxa"/>
            <w:tcBorders>
              <w:top w:val="single" w:sz="12" w:space="0" w:color="auto"/>
            </w:tcBorders>
            <w:noWrap/>
          </w:tcPr>
          <w:p w14:paraId="3489BC8E" w14:textId="77777777" w:rsidR="006A1F5E" w:rsidRPr="00197941" w:rsidRDefault="006A1F5E" w:rsidP="00B827CE">
            <w:pPr>
              <w:pStyle w:val="Normal-pool-Table"/>
              <w:tabs>
                <w:tab w:val="clear" w:pos="1247"/>
                <w:tab w:val="left" w:pos="1134"/>
              </w:tabs>
              <w:spacing w:before="20" w:after="20"/>
              <w:ind w:left="1134"/>
              <w:jc w:val="right"/>
              <w:cnfStyle w:val="000000000000" w:firstRow="0" w:lastRow="0" w:firstColumn="0" w:lastColumn="0" w:oddVBand="0" w:evenVBand="0" w:oddHBand="0" w:evenHBand="0" w:firstRowFirstColumn="0" w:firstRowLastColumn="0" w:lastRowFirstColumn="0" w:lastRowLastColumn="0"/>
            </w:pPr>
            <w:r w:rsidRPr="00197941">
              <w:rPr>
                <w:color w:val="000000"/>
              </w:rPr>
              <w:t>35</w:t>
            </w:r>
          </w:p>
        </w:tc>
      </w:tr>
      <w:tr w:rsidR="00F24AFA" w:rsidRPr="00197941" w14:paraId="3CFE6944" w14:textId="77777777" w:rsidTr="00B827CE">
        <w:trPr>
          <w:trHeight w:val="57"/>
          <w:jc w:val="right"/>
        </w:trPr>
        <w:tc>
          <w:tcPr>
            <w:cnfStyle w:val="001000000000" w:firstRow="0" w:lastRow="0" w:firstColumn="1" w:lastColumn="0" w:oddVBand="0" w:evenVBand="0" w:oddHBand="0" w:evenHBand="0" w:firstRowFirstColumn="0" w:firstRowLastColumn="0" w:lastRowFirstColumn="0" w:lastRowLastColumn="0"/>
            <w:tcW w:w="5368" w:type="dxa"/>
            <w:noWrap/>
          </w:tcPr>
          <w:p w14:paraId="1D72679B" w14:textId="55794D8B" w:rsidR="00F24AFA" w:rsidRPr="00197941" w:rsidRDefault="00F24AFA" w:rsidP="00F24AFA">
            <w:pPr>
              <w:pStyle w:val="Normal-pool-Table"/>
              <w:tabs>
                <w:tab w:val="clear" w:pos="1247"/>
                <w:tab w:val="left" w:pos="1134"/>
              </w:tabs>
              <w:spacing w:before="20" w:after="20"/>
              <w:ind w:left="1134" w:hanging="1134"/>
              <w:rPr>
                <w:color w:val="000000"/>
              </w:rPr>
            </w:pPr>
            <w:r w:rsidRPr="00197941">
              <w:rPr>
                <w:b w:val="0"/>
                <w:bCs w:val="0"/>
                <w:color w:val="000000"/>
              </w:rPr>
              <w:t>États d’Amérique latine et des Caraïbes</w:t>
            </w:r>
          </w:p>
        </w:tc>
        <w:tc>
          <w:tcPr>
            <w:tcW w:w="2939" w:type="dxa"/>
            <w:noWrap/>
          </w:tcPr>
          <w:p w14:paraId="48FD6AFE" w14:textId="29A0C0D0" w:rsidR="00F24AFA" w:rsidRPr="00197941" w:rsidRDefault="00F24AFA" w:rsidP="00F24AFA">
            <w:pPr>
              <w:pStyle w:val="Normal-pool-Table"/>
              <w:tabs>
                <w:tab w:val="clear" w:pos="1247"/>
                <w:tab w:val="left" w:pos="1134"/>
              </w:tabs>
              <w:spacing w:before="20" w:after="20"/>
              <w:ind w:left="1134"/>
              <w:jc w:val="right"/>
              <w:cnfStyle w:val="000000000000" w:firstRow="0" w:lastRow="0" w:firstColumn="0" w:lastColumn="0" w:oddVBand="0" w:evenVBand="0" w:oddHBand="0" w:evenHBand="0" w:firstRowFirstColumn="0" w:firstRowLastColumn="0" w:lastRowFirstColumn="0" w:lastRowLastColumn="0"/>
              <w:rPr>
                <w:color w:val="000000"/>
              </w:rPr>
            </w:pPr>
            <w:r w:rsidRPr="00197941">
              <w:rPr>
                <w:color w:val="000000"/>
              </w:rPr>
              <w:t>26</w:t>
            </w:r>
          </w:p>
        </w:tc>
      </w:tr>
      <w:tr w:rsidR="00F24AFA" w:rsidRPr="00197941" w14:paraId="59456D87" w14:textId="77777777" w:rsidTr="00B827CE">
        <w:trPr>
          <w:trHeight w:val="57"/>
          <w:jc w:val="right"/>
        </w:trPr>
        <w:tc>
          <w:tcPr>
            <w:cnfStyle w:val="001000000000" w:firstRow="0" w:lastRow="0" w:firstColumn="1" w:lastColumn="0" w:oddVBand="0" w:evenVBand="0" w:oddHBand="0" w:evenHBand="0" w:firstRowFirstColumn="0" w:firstRowLastColumn="0" w:lastRowFirstColumn="0" w:lastRowLastColumn="0"/>
            <w:tcW w:w="5368" w:type="dxa"/>
            <w:noWrap/>
            <w:hideMark/>
          </w:tcPr>
          <w:p w14:paraId="374C0EF5" w14:textId="59997999" w:rsidR="00F24AFA" w:rsidRPr="00197941" w:rsidRDefault="00F24AFA" w:rsidP="00F24AFA">
            <w:pPr>
              <w:pStyle w:val="Normal-pool-Table"/>
              <w:tabs>
                <w:tab w:val="clear" w:pos="1247"/>
                <w:tab w:val="left" w:pos="1134"/>
              </w:tabs>
              <w:spacing w:before="20" w:after="20"/>
              <w:ind w:left="1134" w:hanging="1134"/>
              <w:rPr>
                <w:b w:val="0"/>
                <w:bCs w:val="0"/>
              </w:rPr>
            </w:pPr>
            <w:r w:rsidRPr="00197941">
              <w:rPr>
                <w:b w:val="0"/>
                <w:bCs w:val="0"/>
                <w:color w:val="000000"/>
              </w:rPr>
              <w:t>États d’Asie et du Pacifique</w:t>
            </w:r>
          </w:p>
        </w:tc>
        <w:tc>
          <w:tcPr>
            <w:tcW w:w="2939" w:type="dxa"/>
            <w:noWrap/>
          </w:tcPr>
          <w:p w14:paraId="7BE69DEC" w14:textId="77777777" w:rsidR="00F24AFA" w:rsidRPr="00197941" w:rsidRDefault="00F24AFA" w:rsidP="00F24AFA">
            <w:pPr>
              <w:pStyle w:val="Normal-pool-Table"/>
              <w:tabs>
                <w:tab w:val="clear" w:pos="1247"/>
                <w:tab w:val="left" w:pos="1134"/>
              </w:tabs>
              <w:spacing w:before="20" w:after="20"/>
              <w:ind w:left="1134"/>
              <w:jc w:val="right"/>
              <w:cnfStyle w:val="000000000000" w:firstRow="0" w:lastRow="0" w:firstColumn="0" w:lastColumn="0" w:oddVBand="0" w:evenVBand="0" w:oddHBand="0" w:evenHBand="0" w:firstRowFirstColumn="0" w:firstRowLastColumn="0" w:lastRowFirstColumn="0" w:lastRowLastColumn="0"/>
            </w:pPr>
            <w:r w:rsidRPr="00197941">
              <w:rPr>
                <w:color w:val="000000"/>
              </w:rPr>
              <w:t>78</w:t>
            </w:r>
          </w:p>
        </w:tc>
      </w:tr>
      <w:tr w:rsidR="00F24AFA" w:rsidRPr="00197941" w14:paraId="4E7A5760" w14:textId="77777777" w:rsidTr="00B827CE">
        <w:trPr>
          <w:trHeight w:val="57"/>
          <w:jc w:val="right"/>
        </w:trPr>
        <w:tc>
          <w:tcPr>
            <w:cnfStyle w:val="001000000000" w:firstRow="0" w:lastRow="0" w:firstColumn="1" w:lastColumn="0" w:oddVBand="0" w:evenVBand="0" w:oddHBand="0" w:evenHBand="0" w:firstRowFirstColumn="0" w:firstRowLastColumn="0" w:lastRowFirstColumn="0" w:lastRowLastColumn="0"/>
            <w:tcW w:w="5368" w:type="dxa"/>
            <w:noWrap/>
          </w:tcPr>
          <w:p w14:paraId="7A272FE1" w14:textId="144C4C71" w:rsidR="00F24AFA" w:rsidRPr="00197941" w:rsidRDefault="00F24AFA" w:rsidP="00F24AFA">
            <w:pPr>
              <w:pStyle w:val="Normal-pool-Table"/>
              <w:tabs>
                <w:tab w:val="clear" w:pos="1247"/>
                <w:tab w:val="left" w:pos="1134"/>
              </w:tabs>
              <w:spacing w:before="20" w:after="20"/>
              <w:ind w:left="1134" w:hanging="1134"/>
              <w:rPr>
                <w:color w:val="000000"/>
              </w:rPr>
            </w:pPr>
            <w:r w:rsidRPr="00197941">
              <w:rPr>
                <w:b w:val="0"/>
                <w:bCs w:val="0"/>
                <w:color w:val="000000"/>
              </w:rPr>
              <w:t>États d’Europe occidentale et autres États</w:t>
            </w:r>
          </w:p>
        </w:tc>
        <w:tc>
          <w:tcPr>
            <w:tcW w:w="2939" w:type="dxa"/>
            <w:noWrap/>
          </w:tcPr>
          <w:p w14:paraId="4C64B4D6" w14:textId="4E1D51A2" w:rsidR="00F24AFA" w:rsidRPr="00197941" w:rsidRDefault="00F24AFA" w:rsidP="00F24AFA">
            <w:pPr>
              <w:pStyle w:val="Normal-pool-Table"/>
              <w:tabs>
                <w:tab w:val="clear" w:pos="1247"/>
                <w:tab w:val="left" w:pos="1134"/>
              </w:tabs>
              <w:spacing w:before="20" w:after="20"/>
              <w:ind w:left="1134"/>
              <w:jc w:val="right"/>
              <w:cnfStyle w:val="000000000000" w:firstRow="0" w:lastRow="0" w:firstColumn="0" w:lastColumn="0" w:oddVBand="0" w:evenVBand="0" w:oddHBand="0" w:evenHBand="0" w:firstRowFirstColumn="0" w:firstRowLastColumn="0" w:lastRowFirstColumn="0" w:lastRowLastColumn="0"/>
              <w:rPr>
                <w:color w:val="000000"/>
              </w:rPr>
            </w:pPr>
            <w:r w:rsidRPr="00197941">
              <w:rPr>
                <w:color w:val="000000"/>
              </w:rPr>
              <w:t>379</w:t>
            </w:r>
          </w:p>
        </w:tc>
      </w:tr>
      <w:tr w:rsidR="00F24AFA" w:rsidRPr="00197941" w14:paraId="7545BA05" w14:textId="77777777" w:rsidTr="00B827CE">
        <w:trPr>
          <w:trHeight w:val="57"/>
          <w:jc w:val="right"/>
        </w:trPr>
        <w:tc>
          <w:tcPr>
            <w:cnfStyle w:val="001000000000" w:firstRow="0" w:lastRow="0" w:firstColumn="1" w:lastColumn="0" w:oddVBand="0" w:evenVBand="0" w:oddHBand="0" w:evenHBand="0" w:firstRowFirstColumn="0" w:firstRowLastColumn="0" w:lastRowFirstColumn="0" w:lastRowLastColumn="0"/>
            <w:tcW w:w="5368" w:type="dxa"/>
            <w:noWrap/>
            <w:hideMark/>
          </w:tcPr>
          <w:p w14:paraId="5787CB8D" w14:textId="392D025C" w:rsidR="00F24AFA" w:rsidRPr="00197941" w:rsidRDefault="00F24AFA" w:rsidP="00F24AFA">
            <w:pPr>
              <w:pStyle w:val="Normal-pool-Table"/>
              <w:tabs>
                <w:tab w:val="clear" w:pos="1247"/>
                <w:tab w:val="left" w:pos="1134"/>
              </w:tabs>
              <w:spacing w:before="20" w:after="20"/>
              <w:ind w:left="1134" w:hanging="1134"/>
              <w:rPr>
                <w:b w:val="0"/>
                <w:bCs w:val="0"/>
              </w:rPr>
            </w:pPr>
            <w:r w:rsidRPr="00197941">
              <w:rPr>
                <w:b w:val="0"/>
                <w:bCs w:val="0"/>
                <w:color w:val="000000"/>
              </w:rPr>
              <w:t>États d’Europe orientale</w:t>
            </w:r>
          </w:p>
        </w:tc>
        <w:tc>
          <w:tcPr>
            <w:tcW w:w="2939" w:type="dxa"/>
            <w:noWrap/>
          </w:tcPr>
          <w:p w14:paraId="0F98D590" w14:textId="77777777" w:rsidR="00F24AFA" w:rsidRPr="00197941" w:rsidRDefault="00F24AFA" w:rsidP="00F24AFA">
            <w:pPr>
              <w:pStyle w:val="Normal-pool-Table"/>
              <w:tabs>
                <w:tab w:val="clear" w:pos="1247"/>
                <w:tab w:val="left" w:pos="1134"/>
              </w:tabs>
              <w:spacing w:before="20" w:after="20"/>
              <w:ind w:left="1134"/>
              <w:jc w:val="right"/>
              <w:cnfStyle w:val="000000000000" w:firstRow="0" w:lastRow="0" w:firstColumn="0" w:lastColumn="0" w:oddVBand="0" w:evenVBand="0" w:oddHBand="0" w:evenHBand="0" w:firstRowFirstColumn="0" w:firstRowLastColumn="0" w:lastRowFirstColumn="0" w:lastRowLastColumn="0"/>
            </w:pPr>
            <w:r w:rsidRPr="00197941">
              <w:rPr>
                <w:color w:val="000000"/>
              </w:rPr>
              <w:t>589</w:t>
            </w:r>
          </w:p>
        </w:tc>
      </w:tr>
      <w:tr w:rsidR="00F24AFA" w:rsidRPr="00197941" w14:paraId="57072465" w14:textId="77777777" w:rsidTr="00B827CE">
        <w:trPr>
          <w:trHeight w:val="57"/>
          <w:jc w:val="right"/>
        </w:trPr>
        <w:tc>
          <w:tcPr>
            <w:cnfStyle w:val="001000000000" w:firstRow="0" w:lastRow="0" w:firstColumn="1" w:lastColumn="0" w:oddVBand="0" w:evenVBand="0" w:oddHBand="0" w:evenHBand="0" w:firstRowFirstColumn="0" w:firstRowLastColumn="0" w:lastRowFirstColumn="0" w:lastRowLastColumn="0"/>
            <w:tcW w:w="5368" w:type="dxa"/>
            <w:tcBorders>
              <w:top w:val="single" w:sz="4" w:space="0" w:color="auto"/>
              <w:bottom w:val="single" w:sz="12" w:space="0" w:color="auto"/>
            </w:tcBorders>
            <w:noWrap/>
          </w:tcPr>
          <w:p w14:paraId="26D2B84B" w14:textId="77777777" w:rsidR="00F24AFA" w:rsidRPr="00197941" w:rsidRDefault="00F24AFA" w:rsidP="00F24AFA">
            <w:pPr>
              <w:pStyle w:val="Normal-pool-Table"/>
              <w:tabs>
                <w:tab w:val="clear" w:pos="1247"/>
                <w:tab w:val="left" w:pos="1134"/>
              </w:tabs>
              <w:spacing w:before="20" w:after="20"/>
              <w:ind w:left="1134" w:hanging="1134"/>
            </w:pPr>
            <w:r w:rsidRPr="00197941">
              <w:rPr>
                <w:color w:val="000000"/>
              </w:rPr>
              <w:t>Total</w:t>
            </w:r>
          </w:p>
        </w:tc>
        <w:tc>
          <w:tcPr>
            <w:tcW w:w="2939" w:type="dxa"/>
            <w:tcBorders>
              <w:top w:val="single" w:sz="4" w:space="0" w:color="auto"/>
              <w:bottom w:val="single" w:sz="12" w:space="0" w:color="auto"/>
            </w:tcBorders>
            <w:noWrap/>
          </w:tcPr>
          <w:p w14:paraId="7CF4D11C" w14:textId="77777777" w:rsidR="00F24AFA" w:rsidRPr="00197941" w:rsidRDefault="00F24AFA" w:rsidP="00F24AFA">
            <w:pPr>
              <w:pStyle w:val="Normal-pool-Table"/>
              <w:tabs>
                <w:tab w:val="clear" w:pos="1247"/>
                <w:tab w:val="left" w:pos="1134"/>
              </w:tabs>
              <w:spacing w:before="20" w:after="20"/>
              <w:ind w:left="1134"/>
              <w:jc w:val="right"/>
              <w:cnfStyle w:val="000000000000" w:firstRow="0" w:lastRow="0" w:firstColumn="0" w:lastColumn="0" w:oddVBand="0" w:evenVBand="0" w:oddHBand="0" w:evenHBand="0" w:firstRowFirstColumn="0" w:firstRowLastColumn="0" w:lastRowFirstColumn="0" w:lastRowLastColumn="0"/>
              <w:rPr>
                <w:b/>
                <w:bCs/>
              </w:rPr>
            </w:pPr>
            <w:r w:rsidRPr="00197941">
              <w:rPr>
                <w:b/>
                <w:bCs/>
                <w:color w:val="000000"/>
              </w:rPr>
              <w:t>1 107</w:t>
            </w:r>
          </w:p>
        </w:tc>
      </w:tr>
    </w:tbl>
    <w:p w14:paraId="480C0F08" w14:textId="00688CCC" w:rsidR="006A1F5E" w:rsidRPr="00197941" w:rsidRDefault="006A1F5E" w:rsidP="00387C03">
      <w:pPr>
        <w:pStyle w:val="Normalnumber"/>
        <w:tabs>
          <w:tab w:val="clear" w:pos="1247"/>
          <w:tab w:val="clear" w:pos="1814"/>
          <w:tab w:val="clear" w:pos="2381"/>
          <w:tab w:val="clear" w:pos="2948"/>
          <w:tab w:val="clear" w:pos="3515"/>
          <w:tab w:val="num" w:pos="624"/>
        </w:tabs>
        <w:spacing w:before="240"/>
      </w:pPr>
      <w:r w:rsidRPr="00197941">
        <w:lastRenderedPageBreak/>
        <w:t>Les informations communiquées par les Parties dont se sert la présente</w:t>
      </w:r>
      <w:r w:rsidR="0030291F" w:rsidRPr="00197941">
        <w:t> </w:t>
      </w:r>
      <w:r w:rsidRPr="00197941">
        <w:t>note proviennent en majorité d</w:t>
      </w:r>
      <w:r w:rsidR="009F2F08" w:rsidRPr="00197941">
        <w:t>’</w:t>
      </w:r>
      <w:r w:rsidRPr="00197941">
        <w:t>un petit nombre de pays</w:t>
      </w:r>
      <w:r w:rsidR="009F2F08" w:rsidRPr="00197941">
        <w:t> :</w:t>
      </w:r>
      <w:r w:rsidRPr="00197941">
        <w:t xml:space="preserve"> en effet, plus de 80 % des 1 107 cas signalés à ce jour l</w:t>
      </w:r>
      <w:r w:rsidR="009F2F08" w:rsidRPr="00197941">
        <w:t>’</w:t>
      </w:r>
      <w:r w:rsidRPr="00197941">
        <w:t>ont été par 11 Parties, comme le montre le tableau 2.</w:t>
      </w:r>
    </w:p>
    <w:p w14:paraId="11A985AB" w14:textId="67945BA5" w:rsidR="006A1F5E" w:rsidRPr="00197941" w:rsidRDefault="006A1F5E" w:rsidP="006A1F5E">
      <w:pPr>
        <w:pStyle w:val="Titletable"/>
        <w:tabs>
          <w:tab w:val="clear" w:pos="1247"/>
          <w:tab w:val="left" w:pos="1134"/>
        </w:tabs>
        <w:suppressAutoHyphens w:val="0"/>
        <w:spacing w:before="120" w:after="120"/>
      </w:pPr>
      <w:r w:rsidRPr="00197941">
        <w:rPr>
          <w:b w:val="0"/>
          <w:bCs w:val="0"/>
        </w:rPr>
        <w:t>Tableau</w:t>
      </w:r>
      <w:r w:rsidR="0020570D" w:rsidRPr="00197941">
        <w:rPr>
          <w:b w:val="0"/>
          <w:bCs w:val="0"/>
        </w:rPr>
        <w:t> </w:t>
      </w:r>
      <w:r w:rsidRPr="00197941">
        <w:rPr>
          <w:b w:val="0"/>
          <w:bCs w:val="0"/>
        </w:rPr>
        <w:t>2</w:t>
      </w:r>
      <w:r w:rsidR="002D6365" w:rsidRPr="00197941">
        <w:br/>
      </w:r>
      <w:r w:rsidRPr="00197941">
        <w:t>Parties ayant signalé le plus grand nombre de cas</w:t>
      </w:r>
      <w:r w:rsidRPr="00197941">
        <w:rPr>
          <w:rStyle w:val="FootnoteReference"/>
        </w:rPr>
        <w:footnoteReference w:id="7"/>
      </w:r>
    </w:p>
    <w:tbl>
      <w:tblPr>
        <w:tblW w:w="8307" w:type="dxa"/>
        <w:jc w:val="right"/>
        <w:tblLayout w:type="fixed"/>
        <w:tblLook w:val="04A0" w:firstRow="1" w:lastRow="0" w:firstColumn="1" w:lastColumn="0" w:noHBand="0" w:noVBand="1"/>
      </w:tblPr>
      <w:tblGrid>
        <w:gridCol w:w="4153"/>
        <w:gridCol w:w="4154"/>
      </w:tblGrid>
      <w:tr w:rsidR="006A1F5E" w:rsidRPr="00197941" w14:paraId="5D43B259" w14:textId="77777777" w:rsidTr="00B827CE">
        <w:trPr>
          <w:trHeight w:val="57"/>
          <w:jc w:val="right"/>
        </w:trPr>
        <w:tc>
          <w:tcPr>
            <w:tcW w:w="4153" w:type="dxa"/>
            <w:tcBorders>
              <w:top w:val="single" w:sz="4" w:space="0" w:color="auto"/>
              <w:bottom w:val="single" w:sz="12" w:space="0" w:color="auto"/>
            </w:tcBorders>
            <w:noWrap/>
            <w:vAlign w:val="bottom"/>
          </w:tcPr>
          <w:p w14:paraId="2F79A9D8" w14:textId="77777777" w:rsidR="006A1F5E" w:rsidRPr="00197941" w:rsidRDefault="006A1F5E" w:rsidP="00B827CE">
            <w:pPr>
              <w:pStyle w:val="Normal-pool-Table"/>
              <w:keepNext/>
              <w:keepLines/>
              <w:spacing w:before="20" w:after="20"/>
              <w:rPr>
                <w:i/>
                <w:iCs/>
              </w:rPr>
            </w:pPr>
            <w:r w:rsidRPr="00197941">
              <w:rPr>
                <w:i/>
                <w:iCs/>
                <w:color w:val="000000"/>
              </w:rPr>
              <w:t>Partie</w:t>
            </w:r>
          </w:p>
        </w:tc>
        <w:tc>
          <w:tcPr>
            <w:tcW w:w="4154" w:type="dxa"/>
            <w:tcBorders>
              <w:top w:val="single" w:sz="4" w:space="0" w:color="auto"/>
              <w:bottom w:val="single" w:sz="12" w:space="0" w:color="auto"/>
            </w:tcBorders>
            <w:noWrap/>
            <w:vAlign w:val="bottom"/>
          </w:tcPr>
          <w:p w14:paraId="69758A33" w14:textId="77777777" w:rsidR="006A1F5E" w:rsidRPr="00197941" w:rsidRDefault="006A1F5E" w:rsidP="00B827CE">
            <w:pPr>
              <w:pStyle w:val="Normal-pool-Table"/>
              <w:keepNext/>
              <w:keepLines/>
              <w:spacing w:before="20" w:after="20"/>
              <w:jc w:val="right"/>
              <w:rPr>
                <w:i/>
                <w:iCs/>
              </w:rPr>
            </w:pPr>
            <w:r w:rsidRPr="00197941">
              <w:rPr>
                <w:i/>
                <w:iCs/>
                <w:color w:val="000000"/>
              </w:rPr>
              <w:t>Nombre de cas</w:t>
            </w:r>
          </w:p>
        </w:tc>
      </w:tr>
      <w:tr w:rsidR="006A1F5E" w:rsidRPr="00197941" w14:paraId="2ACDFE1A" w14:textId="77777777" w:rsidTr="00B827CE">
        <w:trPr>
          <w:trHeight w:val="57"/>
          <w:jc w:val="right"/>
        </w:trPr>
        <w:tc>
          <w:tcPr>
            <w:tcW w:w="4153" w:type="dxa"/>
            <w:tcBorders>
              <w:top w:val="single" w:sz="12" w:space="0" w:color="auto"/>
            </w:tcBorders>
            <w:noWrap/>
            <w:vAlign w:val="bottom"/>
            <w:hideMark/>
          </w:tcPr>
          <w:p w14:paraId="091DE8C9" w14:textId="77777777" w:rsidR="006A1F5E" w:rsidRPr="00197941" w:rsidRDefault="006A1F5E" w:rsidP="00B827CE">
            <w:pPr>
              <w:pStyle w:val="Normal-pool-Table"/>
              <w:keepNext/>
              <w:keepLines/>
              <w:spacing w:before="20" w:after="20"/>
            </w:pPr>
            <w:r w:rsidRPr="00197941">
              <w:rPr>
                <w:color w:val="000000"/>
              </w:rPr>
              <w:t>Bulgarie</w:t>
            </w:r>
          </w:p>
        </w:tc>
        <w:tc>
          <w:tcPr>
            <w:tcW w:w="4154" w:type="dxa"/>
            <w:tcBorders>
              <w:top w:val="single" w:sz="12" w:space="0" w:color="auto"/>
            </w:tcBorders>
            <w:noWrap/>
            <w:vAlign w:val="bottom"/>
            <w:hideMark/>
          </w:tcPr>
          <w:p w14:paraId="5B782270" w14:textId="77777777" w:rsidR="006A1F5E" w:rsidRPr="00197941" w:rsidRDefault="006A1F5E" w:rsidP="00B827CE">
            <w:pPr>
              <w:pStyle w:val="Normal-pool-Table"/>
              <w:keepNext/>
              <w:keepLines/>
              <w:spacing w:before="20" w:after="20"/>
              <w:jc w:val="right"/>
            </w:pPr>
            <w:r w:rsidRPr="00197941">
              <w:rPr>
                <w:color w:val="000000"/>
              </w:rPr>
              <w:t>239</w:t>
            </w:r>
          </w:p>
        </w:tc>
      </w:tr>
      <w:tr w:rsidR="006A1F5E" w:rsidRPr="00197941" w14:paraId="5604367E" w14:textId="77777777" w:rsidTr="00B827CE">
        <w:trPr>
          <w:trHeight w:val="57"/>
          <w:jc w:val="right"/>
        </w:trPr>
        <w:tc>
          <w:tcPr>
            <w:tcW w:w="4153" w:type="dxa"/>
            <w:noWrap/>
            <w:vAlign w:val="bottom"/>
            <w:hideMark/>
          </w:tcPr>
          <w:p w14:paraId="3B99F600" w14:textId="17EF6D60" w:rsidR="006A1F5E" w:rsidRPr="00197941" w:rsidRDefault="006A1F5E" w:rsidP="00B827CE">
            <w:pPr>
              <w:pStyle w:val="Normal-pool-Table"/>
              <w:spacing w:before="20" w:after="20"/>
            </w:pPr>
            <w:r w:rsidRPr="00197941">
              <w:rPr>
                <w:color w:val="000000"/>
              </w:rPr>
              <w:t>États-Unis d</w:t>
            </w:r>
            <w:r w:rsidR="009F2F08" w:rsidRPr="00197941">
              <w:rPr>
                <w:color w:val="000000"/>
              </w:rPr>
              <w:t>’</w:t>
            </w:r>
            <w:r w:rsidRPr="00197941">
              <w:rPr>
                <w:color w:val="000000"/>
              </w:rPr>
              <w:t>Amérique</w:t>
            </w:r>
          </w:p>
        </w:tc>
        <w:tc>
          <w:tcPr>
            <w:tcW w:w="4154" w:type="dxa"/>
            <w:noWrap/>
            <w:vAlign w:val="bottom"/>
            <w:hideMark/>
          </w:tcPr>
          <w:p w14:paraId="1C7F2D94" w14:textId="77777777" w:rsidR="006A1F5E" w:rsidRPr="00197941" w:rsidRDefault="006A1F5E" w:rsidP="00B827CE">
            <w:pPr>
              <w:pStyle w:val="Normal-pool-Table"/>
              <w:spacing w:before="20" w:after="20"/>
              <w:jc w:val="right"/>
            </w:pPr>
            <w:r w:rsidRPr="00197941">
              <w:rPr>
                <w:color w:val="000000"/>
              </w:rPr>
              <w:t>166</w:t>
            </w:r>
          </w:p>
        </w:tc>
      </w:tr>
      <w:tr w:rsidR="006A1F5E" w:rsidRPr="00197941" w14:paraId="15F524C0" w14:textId="77777777" w:rsidTr="00B827CE">
        <w:trPr>
          <w:trHeight w:val="57"/>
          <w:jc w:val="right"/>
        </w:trPr>
        <w:tc>
          <w:tcPr>
            <w:tcW w:w="4153" w:type="dxa"/>
            <w:noWrap/>
            <w:vAlign w:val="bottom"/>
          </w:tcPr>
          <w:p w14:paraId="7AAB74A9" w14:textId="77777777" w:rsidR="006A1F5E" w:rsidRPr="00197941" w:rsidRDefault="006A1F5E" w:rsidP="00B827CE">
            <w:pPr>
              <w:pStyle w:val="Normal-pool-Table"/>
              <w:spacing w:before="20" w:after="20"/>
              <w:rPr>
                <w:color w:val="000000"/>
              </w:rPr>
            </w:pPr>
            <w:r w:rsidRPr="00197941">
              <w:rPr>
                <w:color w:val="000000"/>
              </w:rPr>
              <w:t>Pologne</w:t>
            </w:r>
          </w:p>
        </w:tc>
        <w:tc>
          <w:tcPr>
            <w:tcW w:w="4154" w:type="dxa"/>
            <w:noWrap/>
            <w:vAlign w:val="bottom"/>
          </w:tcPr>
          <w:p w14:paraId="1EA75F06" w14:textId="77777777" w:rsidR="006A1F5E" w:rsidRPr="00197941" w:rsidRDefault="006A1F5E" w:rsidP="00B827CE">
            <w:pPr>
              <w:pStyle w:val="Normal-pool-Table"/>
              <w:spacing w:before="20" w:after="20"/>
              <w:jc w:val="right"/>
              <w:rPr>
                <w:color w:val="000000"/>
              </w:rPr>
            </w:pPr>
            <w:r w:rsidRPr="00197941">
              <w:rPr>
                <w:color w:val="000000"/>
              </w:rPr>
              <w:t>164</w:t>
            </w:r>
          </w:p>
        </w:tc>
      </w:tr>
      <w:tr w:rsidR="006A1F5E" w:rsidRPr="00197941" w14:paraId="2503E0DB" w14:textId="77777777" w:rsidTr="00B827CE">
        <w:trPr>
          <w:trHeight w:val="57"/>
          <w:jc w:val="right"/>
        </w:trPr>
        <w:tc>
          <w:tcPr>
            <w:tcW w:w="4153" w:type="dxa"/>
            <w:noWrap/>
            <w:vAlign w:val="bottom"/>
            <w:hideMark/>
          </w:tcPr>
          <w:p w14:paraId="788F9CBC" w14:textId="77777777" w:rsidR="006A1F5E" w:rsidRPr="00197941" w:rsidRDefault="006A1F5E" w:rsidP="00B827CE">
            <w:pPr>
              <w:pStyle w:val="Normal-pool-Table"/>
              <w:spacing w:before="20" w:after="20"/>
            </w:pPr>
            <w:r w:rsidRPr="00197941">
              <w:rPr>
                <w:color w:val="000000"/>
              </w:rPr>
              <w:t>Lituanie</w:t>
            </w:r>
          </w:p>
        </w:tc>
        <w:tc>
          <w:tcPr>
            <w:tcW w:w="4154" w:type="dxa"/>
            <w:noWrap/>
            <w:vAlign w:val="bottom"/>
            <w:hideMark/>
          </w:tcPr>
          <w:p w14:paraId="387CC0F9" w14:textId="77777777" w:rsidR="006A1F5E" w:rsidRPr="00197941" w:rsidRDefault="006A1F5E" w:rsidP="00B827CE">
            <w:pPr>
              <w:pStyle w:val="Normal-pool-Table"/>
              <w:spacing w:before="20" w:after="20"/>
              <w:jc w:val="right"/>
            </w:pPr>
            <w:r w:rsidRPr="00197941">
              <w:rPr>
                <w:color w:val="000000"/>
              </w:rPr>
              <w:t>137</w:t>
            </w:r>
          </w:p>
        </w:tc>
      </w:tr>
      <w:tr w:rsidR="006A1F5E" w:rsidRPr="00197941" w14:paraId="2B60B58A" w14:textId="77777777" w:rsidTr="00B827CE">
        <w:trPr>
          <w:trHeight w:val="57"/>
          <w:jc w:val="right"/>
        </w:trPr>
        <w:tc>
          <w:tcPr>
            <w:tcW w:w="4153" w:type="dxa"/>
            <w:noWrap/>
            <w:vAlign w:val="bottom"/>
          </w:tcPr>
          <w:p w14:paraId="20D60794" w14:textId="77777777" w:rsidR="006A1F5E" w:rsidRPr="00197941" w:rsidRDefault="006A1F5E" w:rsidP="00B827CE">
            <w:pPr>
              <w:pStyle w:val="Normal-pool-Table"/>
              <w:spacing w:before="20" w:after="20"/>
              <w:rPr>
                <w:color w:val="000000"/>
              </w:rPr>
            </w:pPr>
            <w:r w:rsidRPr="00197941">
              <w:rPr>
                <w:color w:val="000000"/>
              </w:rPr>
              <w:t>France</w:t>
            </w:r>
          </w:p>
        </w:tc>
        <w:tc>
          <w:tcPr>
            <w:tcW w:w="4154" w:type="dxa"/>
            <w:noWrap/>
            <w:vAlign w:val="bottom"/>
          </w:tcPr>
          <w:p w14:paraId="4DED8052" w14:textId="77777777" w:rsidR="006A1F5E" w:rsidRPr="00197941" w:rsidRDefault="006A1F5E" w:rsidP="00B827CE">
            <w:pPr>
              <w:pStyle w:val="Normal-pool-Table"/>
              <w:spacing w:before="20" w:after="20"/>
              <w:jc w:val="right"/>
              <w:rPr>
                <w:color w:val="000000"/>
              </w:rPr>
            </w:pPr>
            <w:r w:rsidRPr="00197941">
              <w:rPr>
                <w:color w:val="000000"/>
              </w:rPr>
              <w:t>66</w:t>
            </w:r>
          </w:p>
        </w:tc>
      </w:tr>
      <w:tr w:rsidR="006A1F5E" w:rsidRPr="00197941" w14:paraId="2CD81635" w14:textId="77777777" w:rsidTr="00B827CE">
        <w:trPr>
          <w:trHeight w:val="57"/>
          <w:jc w:val="right"/>
        </w:trPr>
        <w:tc>
          <w:tcPr>
            <w:tcW w:w="4153" w:type="dxa"/>
            <w:noWrap/>
            <w:vAlign w:val="bottom"/>
            <w:hideMark/>
          </w:tcPr>
          <w:p w14:paraId="38212A41" w14:textId="77777777" w:rsidR="006A1F5E" w:rsidRPr="00197941" w:rsidRDefault="006A1F5E" w:rsidP="00B827CE">
            <w:pPr>
              <w:pStyle w:val="Normal-pool-Table"/>
              <w:spacing w:before="20" w:after="20"/>
            </w:pPr>
            <w:r w:rsidRPr="00197941">
              <w:rPr>
                <w:color w:val="000000"/>
              </w:rPr>
              <w:t>Italie</w:t>
            </w:r>
          </w:p>
        </w:tc>
        <w:tc>
          <w:tcPr>
            <w:tcW w:w="4154" w:type="dxa"/>
            <w:noWrap/>
            <w:vAlign w:val="bottom"/>
            <w:hideMark/>
          </w:tcPr>
          <w:p w14:paraId="6B5EBF26" w14:textId="77777777" w:rsidR="006A1F5E" w:rsidRPr="00197941" w:rsidRDefault="006A1F5E" w:rsidP="00B827CE">
            <w:pPr>
              <w:pStyle w:val="Normal-pool-Table"/>
              <w:spacing w:before="20" w:after="20"/>
              <w:jc w:val="right"/>
            </w:pPr>
            <w:r w:rsidRPr="00197941">
              <w:rPr>
                <w:color w:val="000000"/>
              </w:rPr>
              <w:t>62</w:t>
            </w:r>
          </w:p>
        </w:tc>
      </w:tr>
      <w:tr w:rsidR="006A1F5E" w:rsidRPr="00197941" w14:paraId="1280A1ED" w14:textId="77777777" w:rsidTr="00B827CE">
        <w:trPr>
          <w:trHeight w:val="57"/>
          <w:jc w:val="right"/>
        </w:trPr>
        <w:tc>
          <w:tcPr>
            <w:tcW w:w="4153" w:type="dxa"/>
            <w:noWrap/>
            <w:vAlign w:val="bottom"/>
            <w:hideMark/>
          </w:tcPr>
          <w:p w14:paraId="78D8BD67" w14:textId="77777777" w:rsidR="006A1F5E" w:rsidRPr="00197941" w:rsidRDefault="006A1F5E" w:rsidP="00B827CE">
            <w:pPr>
              <w:pStyle w:val="Normal-pool-Table"/>
              <w:spacing w:before="20" w:after="20"/>
            </w:pPr>
            <w:r w:rsidRPr="00197941">
              <w:rPr>
                <w:color w:val="000000"/>
              </w:rPr>
              <w:t>Espagne</w:t>
            </w:r>
          </w:p>
        </w:tc>
        <w:tc>
          <w:tcPr>
            <w:tcW w:w="4154" w:type="dxa"/>
            <w:noWrap/>
            <w:vAlign w:val="bottom"/>
            <w:hideMark/>
          </w:tcPr>
          <w:p w14:paraId="2DE70391" w14:textId="77777777" w:rsidR="006A1F5E" w:rsidRPr="00197941" w:rsidRDefault="006A1F5E" w:rsidP="00B827CE">
            <w:pPr>
              <w:pStyle w:val="Normal-pool-Table"/>
              <w:spacing w:before="20" w:after="20"/>
              <w:jc w:val="right"/>
            </w:pPr>
            <w:r w:rsidRPr="00197941">
              <w:rPr>
                <w:color w:val="000000"/>
              </w:rPr>
              <w:t>30</w:t>
            </w:r>
          </w:p>
        </w:tc>
      </w:tr>
      <w:tr w:rsidR="006A1F5E" w:rsidRPr="00197941" w14:paraId="20539B4D" w14:textId="77777777" w:rsidTr="00B827CE">
        <w:trPr>
          <w:trHeight w:val="57"/>
          <w:jc w:val="right"/>
        </w:trPr>
        <w:tc>
          <w:tcPr>
            <w:tcW w:w="4153" w:type="dxa"/>
            <w:noWrap/>
            <w:vAlign w:val="bottom"/>
            <w:hideMark/>
          </w:tcPr>
          <w:p w14:paraId="6BD0C92D" w14:textId="77777777" w:rsidR="006A1F5E" w:rsidRPr="00197941" w:rsidRDefault="006A1F5E" w:rsidP="00B827CE">
            <w:pPr>
              <w:pStyle w:val="Normal-pool-Table"/>
              <w:spacing w:before="20" w:after="20"/>
            </w:pPr>
            <w:r w:rsidRPr="00197941">
              <w:rPr>
                <w:color w:val="000000"/>
              </w:rPr>
              <w:t>Chine</w:t>
            </w:r>
          </w:p>
        </w:tc>
        <w:tc>
          <w:tcPr>
            <w:tcW w:w="4154" w:type="dxa"/>
            <w:noWrap/>
            <w:vAlign w:val="bottom"/>
            <w:hideMark/>
          </w:tcPr>
          <w:p w14:paraId="43C2B982" w14:textId="77777777" w:rsidR="006A1F5E" w:rsidRPr="00197941" w:rsidRDefault="006A1F5E" w:rsidP="00B827CE">
            <w:pPr>
              <w:pStyle w:val="Normal-pool-Table"/>
              <w:spacing w:before="20" w:after="20"/>
              <w:jc w:val="right"/>
            </w:pPr>
            <w:r w:rsidRPr="00197941">
              <w:rPr>
                <w:color w:val="000000"/>
              </w:rPr>
              <w:t>16</w:t>
            </w:r>
          </w:p>
        </w:tc>
      </w:tr>
      <w:tr w:rsidR="006A1F5E" w:rsidRPr="00197941" w14:paraId="4A3F4491" w14:textId="77777777" w:rsidTr="00B827CE">
        <w:trPr>
          <w:trHeight w:val="57"/>
          <w:jc w:val="right"/>
        </w:trPr>
        <w:tc>
          <w:tcPr>
            <w:tcW w:w="4153" w:type="dxa"/>
            <w:noWrap/>
            <w:vAlign w:val="bottom"/>
          </w:tcPr>
          <w:p w14:paraId="4279A21A" w14:textId="77777777" w:rsidR="006A1F5E" w:rsidRPr="00197941" w:rsidRDefault="006A1F5E" w:rsidP="00B827CE">
            <w:pPr>
              <w:pStyle w:val="Normal-pool-Table"/>
              <w:spacing w:before="20" w:after="20"/>
              <w:rPr>
                <w:color w:val="000000"/>
              </w:rPr>
            </w:pPr>
            <w:r w:rsidRPr="00197941">
              <w:rPr>
                <w:color w:val="000000"/>
              </w:rPr>
              <w:t>Allemagne</w:t>
            </w:r>
          </w:p>
        </w:tc>
        <w:tc>
          <w:tcPr>
            <w:tcW w:w="4154" w:type="dxa"/>
            <w:noWrap/>
            <w:vAlign w:val="bottom"/>
          </w:tcPr>
          <w:p w14:paraId="4F4CA413" w14:textId="77777777" w:rsidR="006A1F5E" w:rsidRPr="00197941" w:rsidRDefault="006A1F5E" w:rsidP="00B827CE">
            <w:pPr>
              <w:pStyle w:val="Normal-pool-Table"/>
              <w:spacing w:before="20" w:after="20"/>
              <w:jc w:val="right"/>
              <w:rPr>
                <w:color w:val="000000"/>
              </w:rPr>
            </w:pPr>
            <w:r w:rsidRPr="00197941">
              <w:rPr>
                <w:color w:val="000000"/>
              </w:rPr>
              <w:t>16</w:t>
            </w:r>
          </w:p>
        </w:tc>
      </w:tr>
      <w:tr w:rsidR="006A1F5E" w:rsidRPr="00197941" w14:paraId="0FA2F76F" w14:textId="77777777" w:rsidTr="00B827CE">
        <w:trPr>
          <w:trHeight w:val="57"/>
          <w:jc w:val="right"/>
        </w:trPr>
        <w:tc>
          <w:tcPr>
            <w:tcW w:w="4153" w:type="dxa"/>
            <w:noWrap/>
            <w:vAlign w:val="bottom"/>
            <w:hideMark/>
          </w:tcPr>
          <w:p w14:paraId="78365C71" w14:textId="77777777" w:rsidR="006A1F5E" w:rsidRPr="00197941" w:rsidRDefault="006A1F5E" w:rsidP="00B827CE">
            <w:pPr>
              <w:pStyle w:val="Normal-pool-Table"/>
              <w:spacing w:before="20" w:after="20"/>
            </w:pPr>
            <w:r w:rsidRPr="00197941">
              <w:rPr>
                <w:color w:val="000000"/>
              </w:rPr>
              <w:t>Seychelles</w:t>
            </w:r>
          </w:p>
        </w:tc>
        <w:tc>
          <w:tcPr>
            <w:tcW w:w="4154" w:type="dxa"/>
            <w:noWrap/>
            <w:vAlign w:val="bottom"/>
            <w:hideMark/>
          </w:tcPr>
          <w:p w14:paraId="58855F39" w14:textId="77777777" w:rsidR="006A1F5E" w:rsidRPr="00197941" w:rsidRDefault="006A1F5E" w:rsidP="00B827CE">
            <w:pPr>
              <w:pStyle w:val="Normal-pool-Table"/>
              <w:spacing w:before="20" w:after="20"/>
              <w:jc w:val="right"/>
            </w:pPr>
            <w:r w:rsidRPr="00197941">
              <w:rPr>
                <w:color w:val="000000"/>
              </w:rPr>
              <w:t>15</w:t>
            </w:r>
          </w:p>
        </w:tc>
      </w:tr>
      <w:tr w:rsidR="006A1F5E" w:rsidRPr="00197941" w14:paraId="0CD78C66" w14:textId="77777777" w:rsidTr="00B827CE">
        <w:trPr>
          <w:trHeight w:val="57"/>
          <w:jc w:val="right"/>
        </w:trPr>
        <w:tc>
          <w:tcPr>
            <w:tcW w:w="4153" w:type="dxa"/>
            <w:tcBorders>
              <w:bottom w:val="single" w:sz="4" w:space="0" w:color="auto"/>
            </w:tcBorders>
            <w:noWrap/>
            <w:vAlign w:val="bottom"/>
            <w:hideMark/>
          </w:tcPr>
          <w:p w14:paraId="79FB1C1C" w14:textId="77777777" w:rsidR="006A1F5E" w:rsidRPr="00197941" w:rsidRDefault="006A1F5E" w:rsidP="00B827CE">
            <w:pPr>
              <w:pStyle w:val="Normal-pool-Table"/>
              <w:spacing w:before="20" w:after="20"/>
            </w:pPr>
            <w:r w:rsidRPr="00197941">
              <w:rPr>
                <w:color w:val="000000"/>
              </w:rPr>
              <w:t>Australie</w:t>
            </w:r>
          </w:p>
        </w:tc>
        <w:tc>
          <w:tcPr>
            <w:tcW w:w="4154" w:type="dxa"/>
            <w:tcBorders>
              <w:bottom w:val="single" w:sz="4" w:space="0" w:color="auto"/>
            </w:tcBorders>
            <w:noWrap/>
            <w:vAlign w:val="bottom"/>
            <w:hideMark/>
          </w:tcPr>
          <w:p w14:paraId="3172669E" w14:textId="77777777" w:rsidR="006A1F5E" w:rsidRPr="00197941" w:rsidRDefault="006A1F5E" w:rsidP="00B827CE">
            <w:pPr>
              <w:pStyle w:val="Normal-pool-Table"/>
              <w:spacing w:before="20" w:after="20"/>
              <w:jc w:val="right"/>
            </w:pPr>
            <w:r w:rsidRPr="00197941">
              <w:rPr>
                <w:color w:val="000000"/>
              </w:rPr>
              <w:t>15</w:t>
            </w:r>
          </w:p>
        </w:tc>
      </w:tr>
      <w:tr w:rsidR="006A1F5E" w:rsidRPr="00197941" w14:paraId="5B14D5DD" w14:textId="77777777" w:rsidTr="00B827CE">
        <w:trPr>
          <w:trHeight w:val="57"/>
          <w:jc w:val="right"/>
        </w:trPr>
        <w:tc>
          <w:tcPr>
            <w:tcW w:w="4153" w:type="dxa"/>
            <w:tcBorders>
              <w:top w:val="single" w:sz="4" w:space="0" w:color="auto"/>
              <w:bottom w:val="single" w:sz="12" w:space="0" w:color="auto"/>
            </w:tcBorders>
            <w:noWrap/>
          </w:tcPr>
          <w:p w14:paraId="4431E618" w14:textId="77777777" w:rsidR="006A1F5E" w:rsidRPr="00197941" w:rsidRDefault="006A1F5E" w:rsidP="00B827CE">
            <w:pPr>
              <w:pStyle w:val="Normal-pool-Table"/>
              <w:rPr>
                <w:b/>
                <w:bCs/>
              </w:rPr>
            </w:pPr>
            <w:r w:rsidRPr="00197941">
              <w:rPr>
                <w:b/>
                <w:bCs/>
                <w:color w:val="000000"/>
              </w:rPr>
              <w:t>Total</w:t>
            </w:r>
            <w:r w:rsidRPr="00197941">
              <w:rPr>
                <w:color w:val="000000"/>
              </w:rPr>
              <w:t xml:space="preserve"> </w:t>
            </w:r>
          </w:p>
        </w:tc>
        <w:tc>
          <w:tcPr>
            <w:tcW w:w="4154" w:type="dxa"/>
            <w:tcBorders>
              <w:top w:val="single" w:sz="4" w:space="0" w:color="auto"/>
              <w:bottom w:val="single" w:sz="12" w:space="0" w:color="auto"/>
            </w:tcBorders>
            <w:noWrap/>
          </w:tcPr>
          <w:p w14:paraId="4954F3AB" w14:textId="77777777" w:rsidR="006A1F5E" w:rsidRPr="00197941" w:rsidRDefault="006A1F5E" w:rsidP="00B827CE">
            <w:pPr>
              <w:pStyle w:val="Normal-pool-Table"/>
              <w:jc w:val="right"/>
              <w:rPr>
                <w:b/>
                <w:bCs/>
              </w:rPr>
            </w:pPr>
            <w:r w:rsidRPr="00197941">
              <w:rPr>
                <w:b/>
                <w:bCs/>
                <w:color w:val="000000"/>
              </w:rPr>
              <w:t>926</w:t>
            </w:r>
          </w:p>
        </w:tc>
      </w:tr>
    </w:tbl>
    <w:p w14:paraId="495D6AF5" w14:textId="7963F59B" w:rsidR="006A1F5E" w:rsidRPr="00197941" w:rsidRDefault="006A1F5E" w:rsidP="006A1F5E">
      <w:pPr>
        <w:pStyle w:val="CH2"/>
      </w:pPr>
      <w:r w:rsidRPr="00197941">
        <w:tab/>
      </w:r>
      <w:r w:rsidR="00E02D18" w:rsidRPr="00197941">
        <w:rPr>
          <w:bCs/>
        </w:rPr>
        <w:t>C.</w:t>
      </w:r>
      <w:r w:rsidR="00356960" w:rsidRPr="00197941">
        <w:tab/>
      </w:r>
      <w:r w:rsidRPr="00197941">
        <w:rPr>
          <w:bCs/>
        </w:rPr>
        <w:t>Substances et quantités ayant fait l</w:t>
      </w:r>
      <w:r w:rsidR="009F2F08" w:rsidRPr="00197941">
        <w:rPr>
          <w:bCs/>
        </w:rPr>
        <w:t>’</w:t>
      </w:r>
      <w:r w:rsidRPr="00197941">
        <w:rPr>
          <w:bCs/>
        </w:rPr>
        <w:t>objet d</w:t>
      </w:r>
      <w:r w:rsidR="009F2F08" w:rsidRPr="00197941">
        <w:rPr>
          <w:bCs/>
        </w:rPr>
        <w:t>’</w:t>
      </w:r>
      <w:r w:rsidRPr="00197941">
        <w:rPr>
          <w:bCs/>
        </w:rPr>
        <w:t>un commerce illicite</w:t>
      </w:r>
    </w:p>
    <w:p w14:paraId="1FDD1385" w14:textId="68C09338"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Les cas de commerce illicite signalés concernent environ 42 substances différentes pour un poids total d</w:t>
      </w:r>
      <w:r w:rsidR="009F2F08" w:rsidRPr="00197941">
        <w:t>’</w:t>
      </w:r>
      <w:r w:rsidRPr="00197941">
        <w:t>environ 3,7 millions de kg, ce qui correspond à des émissions d</w:t>
      </w:r>
      <w:r w:rsidR="009F2F08" w:rsidRPr="00197941">
        <w:t>’</w:t>
      </w:r>
      <w:r w:rsidRPr="00197941">
        <w:t>environ 4,5 milliards de tonnes d</w:t>
      </w:r>
      <w:r w:rsidR="009F2F08" w:rsidRPr="00197941">
        <w:t>’</w:t>
      </w:r>
      <w:r w:rsidRPr="00197941">
        <w:t>équivalent dioxyde de carbone (équivalent CO</w:t>
      </w:r>
      <w:r w:rsidRPr="00197941">
        <w:rPr>
          <w:vertAlign w:val="subscript"/>
        </w:rPr>
        <w:t>2</w:t>
      </w:r>
      <w:r w:rsidRPr="00197941">
        <w:t>). Les 321</w:t>
      </w:r>
      <w:r w:rsidR="00F0560D" w:rsidRPr="00197941">
        <w:t> </w:t>
      </w:r>
      <w:r w:rsidRPr="00197941">
        <w:t xml:space="preserve">derniers cas signalés portent sur des substances dont le poids total est supérieur à 751 222 kg. </w:t>
      </w:r>
    </w:p>
    <w:p w14:paraId="7F4298F9" w14:textId="7FBAFBBF" w:rsidR="006A1F5E" w:rsidRPr="00197941" w:rsidRDefault="006A1F5E" w:rsidP="006A1F5E">
      <w:pPr>
        <w:pStyle w:val="Titletable"/>
        <w:tabs>
          <w:tab w:val="clear" w:pos="1247"/>
          <w:tab w:val="left" w:pos="1134"/>
        </w:tabs>
        <w:suppressAutoHyphens w:val="0"/>
        <w:spacing w:before="240" w:after="120"/>
        <w:rPr>
          <w:vertAlign w:val="superscript"/>
        </w:rPr>
      </w:pPr>
      <w:r w:rsidRPr="00197941">
        <w:rPr>
          <w:b w:val="0"/>
          <w:bCs w:val="0"/>
        </w:rPr>
        <w:t>Tableau</w:t>
      </w:r>
      <w:r w:rsidR="00661E19" w:rsidRPr="00197941">
        <w:rPr>
          <w:b w:val="0"/>
          <w:bCs w:val="0"/>
        </w:rPr>
        <w:t> </w:t>
      </w:r>
      <w:r w:rsidRPr="00197941">
        <w:rPr>
          <w:b w:val="0"/>
          <w:bCs w:val="0"/>
        </w:rPr>
        <w:t>3</w:t>
      </w:r>
      <w:r w:rsidR="00EF3710" w:rsidRPr="00197941">
        <w:br/>
      </w:r>
      <w:r w:rsidRPr="00197941">
        <w:t>Substances</w:t>
      </w:r>
      <w:r w:rsidRPr="00197941">
        <w:rPr>
          <w:i/>
          <w:iCs/>
          <w:vertAlign w:val="superscript"/>
        </w:rPr>
        <w:t>a</w:t>
      </w:r>
      <w:r w:rsidRPr="00197941">
        <w:t xml:space="preserve"> faisant le plus souvent l</w:t>
      </w:r>
      <w:r w:rsidR="009F2F08" w:rsidRPr="00197941">
        <w:t>’</w:t>
      </w:r>
      <w:r w:rsidRPr="00197941">
        <w:t>objet d</w:t>
      </w:r>
      <w:r w:rsidR="009F2F08" w:rsidRPr="00197941">
        <w:t>’</w:t>
      </w:r>
      <w:r w:rsidRPr="00197941">
        <w:t>un commerce illicite, ventilées par nombre de cas signalés, par poids et par pourcentage du poids total</w:t>
      </w:r>
      <w:r w:rsidRPr="00197941">
        <w:rPr>
          <w:i/>
          <w:iCs/>
          <w:vertAlign w:val="superscript"/>
        </w:rPr>
        <w:t>b</w:t>
      </w:r>
    </w:p>
    <w:tbl>
      <w:tblPr>
        <w:tblW w:w="8307" w:type="dxa"/>
        <w:jc w:val="right"/>
        <w:tblLayout w:type="fixed"/>
        <w:tblLook w:val="04A0" w:firstRow="1" w:lastRow="0" w:firstColumn="1" w:lastColumn="0" w:noHBand="0" w:noVBand="1"/>
      </w:tblPr>
      <w:tblGrid>
        <w:gridCol w:w="2268"/>
        <w:gridCol w:w="2013"/>
        <w:gridCol w:w="2013"/>
        <w:gridCol w:w="2013"/>
      </w:tblGrid>
      <w:tr w:rsidR="006A1F5E" w:rsidRPr="00197941" w14:paraId="2C4A80E1" w14:textId="77777777" w:rsidTr="00B827CE">
        <w:trPr>
          <w:trHeight w:val="290"/>
          <w:jc w:val="right"/>
        </w:trPr>
        <w:tc>
          <w:tcPr>
            <w:tcW w:w="2268" w:type="dxa"/>
            <w:tcBorders>
              <w:top w:val="single" w:sz="4" w:space="0" w:color="auto"/>
              <w:left w:val="nil"/>
              <w:bottom w:val="single" w:sz="12" w:space="0" w:color="auto"/>
              <w:right w:val="nil"/>
            </w:tcBorders>
            <w:noWrap/>
            <w:vAlign w:val="bottom"/>
          </w:tcPr>
          <w:p w14:paraId="38F3897C" w14:textId="77777777" w:rsidR="006A1F5E" w:rsidRPr="00197941" w:rsidRDefault="006A1F5E" w:rsidP="00B827CE">
            <w:pPr>
              <w:pStyle w:val="Normal-pool-Table"/>
              <w:rPr>
                <w:i/>
                <w:iCs/>
                <w:szCs w:val="18"/>
              </w:rPr>
            </w:pPr>
            <w:r w:rsidRPr="00197941">
              <w:rPr>
                <w:i/>
                <w:iCs/>
                <w:color w:val="000000"/>
              </w:rPr>
              <w:t>Substance</w:t>
            </w:r>
          </w:p>
        </w:tc>
        <w:tc>
          <w:tcPr>
            <w:tcW w:w="2013" w:type="dxa"/>
            <w:tcBorders>
              <w:top w:val="single" w:sz="4" w:space="0" w:color="auto"/>
              <w:left w:val="nil"/>
              <w:bottom w:val="single" w:sz="12" w:space="0" w:color="auto"/>
              <w:right w:val="nil"/>
            </w:tcBorders>
            <w:vAlign w:val="bottom"/>
          </w:tcPr>
          <w:p w14:paraId="71EE2BCA" w14:textId="77777777" w:rsidR="006A1F5E" w:rsidRPr="00197941" w:rsidRDefault="006A1F5E" w:rsidP="00B827CE">
            <w:pPr>
              <w:pStyle w:val="Normal-pool-Table"/>
              <w:jc w:val="right"/>
              <w:rPr>
                <w:i/>
                <w:iCs/>
                <w:szCs w:val="18"/>
              </w:rPr>
            </w:pPr>
            <w:r w:rsidRPr="00197941">
              <w:rPr>
                <w:i/>
                <w:iCs/>
                <w:color w:val="000000"/>
              </w:rPr>
              <w:t>Nombre de cas signalés</w:t>
            </w:r>
          </w:p>
        </w:tc>
        <w:tc>
          <w:tcPr>
            <w:tcW w:w="2013" w:type="dxa"/>
            <w:tcBorders>
              <w:top w:val="single" w:sz="4" w:space="0" w:color="auto"/>
              <w:left w:val="nil"/>
              <w:bottom w:val="single" w:sz="12" w:space="0" w:color="auto"/>
              <w:right w:val="nil"/>
            </w:tcBorders>
            <w:noWrap/>
            <w:vAlign w:val="bottom"/>
          </w:tcPr>
          <w:p w14:paraId="5912EB1A" w14:textId="77777777" w:rsidR="006A1F5E" w:rsidRPr="00197941" w:rsidRDefault="006A1F5E" w:rsidP="00B827CE">
            <w:pPr>
              <w:pStyle w:val="Normal-pool-Table"/>
              <w:jc w:val="right"/>
              <w:rPr>
                <w:i/>
                <w:iCs/>
                <w:szCs w:val="18"/>
              </w:rPr>
            </w:pPr>
            <w:r w:rsidRPr="00197941">
              <w:rPr>
                <w:i/>
                <w:iCs/>
                <w:color w:val="000000"/>
              </w:rPr>
              <w:t>Poids total par substance</w:t>
            </w:r>
          </w:p>
        </w:tc>
        <w:tc>
          <w:tcPr>
            <w:tcW w:w="2013" w:type="dxa"/>
            <w:tcBorders>
              <w:top w:val="single" w:sz="4" w:space="0" w:color="auto"/>
              <w:left w:val="nil"/>
              <w:bottom w:val="single" w:sz="12" w:space="0" w:color="auto"/>
              <w:right w:val="nil"/>
            </w:tcBorders>
            <w:noWrap/>
            <w:vAlign w:val="bottom"/>
          </w:tcPr>
          <w:p w14:paraId="45D23510" w14:textId="77777777" w:rsidR="006A1F5E" w:rsidRPr="00197941" w:rsidRDefault="006A1F5E" w:rsidP="00B827CE">
            <w:pPr>
              <w:pStyle w:val="Normal-pool-Table"/>
              <w:jc w:val="right"/>
              <w:rPr>
                <w:i/>
                <w:iCs/>
                <w:szCs w:val="18"/>
              </w:rPr>
            </w:pPr>
            <w:r w:rsidRPr="00197941">
              <w:rPr>
                <w:i/>
                <w:iCs/>
                <w:color w:val="000000"/>
              </w:rPr>
              <w:t>Pourcentage du poids total de toutes les substances</w:t>
            </w:r>
            <w:r w:rsidRPr="00197941">
              <w:rPr>
                <w:color w:val="000000"/>
              </w:rPr>
              <w:t xml:space="preserve"> </w:t>
            </w:r>
          </w:p>
        </w:tc>
      </w:tr>
      <w:tr w:rsidR="006A1F5E" w:rsidRPr="00197941" w14:paraId="46847C54" w14:textId="77777777" w:rsidTr="00B827CE">
        <w:trPr>
          <w:trHeight w:val="236"/>
          <w:jc w:val="right"/>
        </w:trPr>
        <w:tc>
          <w:tcPr>
            <w:tcW w:w="2268" w:type="dxa"/>
            <w:tcBorders>
              <w:top w:val="single" w:sz="12" w:space="0" w:color="auto"/>
              <w:left w:val="nil"/>
              <w:bottom w:val="nil"/>
              <w:right w:val="nil"/>
            </w:tcBorders>
            <w:noWrap/>
            <w:vAlign w:val="bottom"/>
            <w:hideMark/>
          </w:tcPr>
          <w:p w14:paraId="413EF7F4" w14:textId="77777777" w:rsidR="006A1F5E" w:rsidRPr="00197941" w:rsidRDefault="006A1F5E" w:rsidP="00B827CE">
            <w:pPr>
              <w:pStyle w:val="Normal-pool-Table"/>
              <w:rPr>
                <w:szCs w:val="18"/>
              </w:rPr>
            </w:pPr>
            <w:r w:rsidRPr="00197941">
              <w:rPr>
                <w:color w:val="000000"/>
              </w:rPr>
              <w:t>HFC-134a</w:t>
            </w:r>
          </w:p>
        </w:tc>
        <w:tc>
          <w:tcPr>
            <w:tcW w:w="2013" w:type="dxa"/>
            <w:tcBorders>
              <w:top w:val="single" w:sz="12" w:space="0" w:color="auto"/>
              <w:left w:val="nil"/>
              <w:bottom w:val="nil"/>
              <w:right w:val="nil"/>
            </w:tcBorders>
            <w:vAlign w:val="bottom"/>
          </w:tcPr>
          <w:p w14:paraId="27BB18AB" w14:textId="77777777" w:rsidR="006A1F5E" w:rsidRPr="00197941" w:rsidRDefault="006A1F5E" w:rsidP="00B827CE">
            <w:pPr>
              <w:pStyle w:val="Normal-pool-Table"/>
              <w:jc w:val="right"/>
              <w:rPr>
                <w:szCs w:val="18"/>
              </w:rPr>
            </w:pPr>
            <w:r w:rsidRPr="00197941">
              <w:rPr>
                <w:color w:val="000000"/>
              </w:rPr>
              <w:t>380</w:t>
            </w:r>
          </w:p>
        </w:tc>
        <w:tc>
          <w:tcPr>
            <w:tcW w:w="2013" w:type="dxa"/>
            <w:tcBorders>
              <w:top w:val="single" w:sz="12" w:space="0" w:color="auto"/>
              <w:left w:val="nil"/>
              <w:bottom w:val="nil"/>
              <w:right w:val="nil"/>
            </w:tcBorders>
            <w:noWrap/>
            <w:vAlign w:val="bottom"/>
            <w:hideMark/>
          </w:tcPr>
          <w:p w14:paraId="4FAE2778" w14:textId="77777777" w:rsidR="006A1F5E" w:rsidRPr="00197941" w:rsidRDefault="006A1F5E" w:rsidP="00B827CE">
            <w:pPr>
              <w:pStyle w:val="Normal-pool-Table"/>
              <w:jc w:val="right"/>
              <w:rPr>
                <w:szCs w:val="18"/>
              </w:rPr>
            </w:pPr>
            <w:r w:rsidRPr="00197941">
              <w:rPr>
                <w:color w:val="000000"/>
              </w:rPr>
              <w:t>594 201</w:t>
            </w:r>
          </w:p>
        </w:tc>
        <w:tc>
          <w:tcPr>
            <w:tcW w:w="2013" w:type="dxa"/>
            <w:tcBorders>
              <w:top w:val="single" w:sz="12" w:space="0" w:color="auto"/>
              <w:left w:val="nil"/>
              <w:bottom w:val="nil"/>
              <w:right w:val="nil"/>
            </w:tcBorders>
            <w:noWrap/>
            <w:vAlign w:val="bottom"/>
            <w:hideMark/>
          </w:tcPr>
          <w:p w14:paraId="672D0E25" w14:textId="77777777" w:rsidR="006A1F5E" w:rsidRPr="00197941" w:rsidRDefault="006A1F5E" w:rsidP="00B827CE">
            <w:pPr>
              <w:pStyle w:val="Normal-pool-Table"/>
              <w:jc w:val="right"/>
              <w:rPr>
                <w:szCs w:val="18"/>
              </w:rPr>
            </w:pPr>
            <w:r w:rsidRPr="00197941">
              <w:rPr>
                <w:color w:val="000000"/>
              </w:rPr>
              <w:t>15,6</w:t>
            </w:r>
          </w:p>
        </w:tc>
      </w:tr>
      <w:tr w:rsidR="006A1F5E" w:rsidRPr="00197941" w14:paraId="79185F17" w14:textId="77777777" w:rsidTr="00B827CE">
        <w:trPr>
          <w:trHeight w:val="290"/>
          <w:jc w:val="right"/>
        </w:trPr>
        <w:tc>
          <w:tcPr>
            <w:tcW w:w="2268" w:type="dxa"/>
            <w:tcBorders>
              <w:top w:val="nil"/>
              <w:left w:val="nil"/>
              <w:bottom w:val="nil"/>
              <w:right w:val="nil"/>
            </w:tcBorders>
            <w:noWrap/>
            <w:vAlign w:val="bottom"/>
            <w:hideMark/>
          </w:tcPr>
          <w:p w14:paraId="63A28904" w14:textId="77777777" w:rsidR="006A1F5E" w:rsidRPr="00197941" w:rsidRDefault="006A1F5E" w:rsidP="00B827CE">
            <w:pPr>
              <w:pStyle w:val="Normal-pool-Table"/>
              <w:rPr>
                <w:szCs w:val="18"/>
              </w:rPr>
            </w:pPr>
            <w:r w:rsidRPr="00197941">
              <w:rPr>
                <w:color w:val="000000"/>
              </w:rPr>
              <w:t>R-404A</w:t>
            </w:r>
          </w:p>
        </w:tc>
        <w:tc>
          <w:tcPr>
            <w:tcW w:w="2013" w:type="dxa"/>
            <w:tcBorders>
              <w:top w:val="nil"/>
              <w:left w:val="nil"/>
              <w:bottom w:val="nil"/>
              <w:right w:val="nil"/>
            </w:tcBorders>
            <w:vAlign w:val="bottom"/>
          </w:tcPr>
          <w:p w14:paraId="6D6F4ADF" w14:textId="77777777" w:rsidR="006A1F5E" w:rsidRPr="00197941" w:rsidRDefault="006A1F5E" w:rsidP="00B827CE">
            <w:pPr>
              <w:pStyle w:val="Normal-pool-Table"/>
              <w:jc w:val="right"/>
              <w:rPr>
                <w:szCs w:val="18"/>
              </w:rPr>
            </w:pPr>
            <w:r w:rsidRPr="00197941">
              <w:rPr>
                <w:color w:val="000000"/>
              </w:rPr>
              <w:t>215</w:t>
            </w:r>
          </w:p>
        </w:tc>
        <w:tc>
          <w:tcPr>
            <w:tcW w:w="2013" w:type="dxa"/>
            <w:tcBorders>
              <w:top w:val="nil"/>
              <w:left w:val="nil"/>
              <w:bottom w:val="nil"/>
              <w:right w:val="nil"/>
            </w:tcBorders>
            <w:noWrap/>
            <w:vAlign w:val="bottom"/>
            <w:hideMark/>
          </w:tcPr>
          <w:p w14:paraId="619846D8" w14:textId="77777777" w:rsidR="006A1F5E" w:rsidRPr="00197941" w:rsidRDefault="006A1F5E" w:rsidP="00B827CE">
            <w:pPr>
              <w:pStyle w:val="Normal-pool-Table"/>
              <w:jc w:val="right"/>
              <w:rPr>
                <w:szCs w:val="18"/>
              </w:rPr>
            </w:pPr>
            <w:r w:rsidRPr="00197941">
              <w:rPr>
                <w:color w:val="000000"/>
              </w:rPr>
              <w:t>358 803</w:t>
            </w:r>
          </w:p>
        </w:tc>
        <w:tc>
          <w:tcPr>
            <w:tcW w:w="2013" w:type="dxa"/>
            <w:tcBorders>
              <w:top w:val="nil"/>
              <w:left w:val="nil"/>
              <w:bottom w:val="nil"/>
              <w:right w:val="nil"/>
            </w:tcBorders>
            <w:noWrap/>
            <w:vAlign w:val="bottom"/>
            <w:hideMark/>
          </w:tcPr>
          <w:p w14:paraId="29E2B3CC" w14:textId="77777777" w:rsidR="006A1F5E" w:rsidRPr="00197941" w:rsidRDefault="006A1F5E" w:rsidP="00B827CE">
            <w:pPr>
              <w:pStyle w:val="Normal-pool-Table"/>
              <w:jc w:val="right"/>
              <w:rPr>
                <w:szCs w:val="18"/>
              </w:rPr>
            </w:pPr>
            <w:r w:rsidRPr="00197941">
              <w:rPr>
                <w:color w:val="000000"/>
              </w:rPr>
              <w:t>9,5</w:t>
            </w:r>
          </w:p>
        </w:tc>
      </w:tr>
      <w:tr w:rsidR="006A1F5E" w:rsidRPr="00197941" w14:paraId="5303E1F7" w14:textId="77777777" w:rsidTr="00B827CE">
        <w:trPr>
          <w:trHeight w:val="290"/>
          <w:jc w:val="right"/>
        </w:trPr>
        <w:tc>
          <w:tcPr>
            <w:tcW w:w="2268" w:type="dxa"/>
            <w:tcBorders>
              <w:top w:val="nil"/>
              <w:left w:val="nil"/>
              <w:bottom w:val="nil"/>
              <w:right w:val="nil"/>
            </w:tcBorders>
            <w:noWrap/>
            <w:vAlign w:val="bottom"/>
            <w:hideMark/>
          </w:tcPr>
          <w:p w14:paraId="3704E839" w14:textId="77777777" w:rsidR="006A1F5E" w:rsidRPr="00197941" w:rsidRDefault="006A1F5E" w:rsidP="00B827CE">
            <w:pPr>
              <w:pStyle w:val="Normal-pool-Table"/>
              <w:rPr>
                <w:szCs w:val="18"/>
              </w:rPr>
            </w:pPr>
            <w:r w:rsidRPr="00197941">
              <w:rPr>
                <w:color w:val="000000"/>
              </w:rPr>
              <w:t>R-410A</w:t>
            </w:r>
          </w:p>
        </w:tc>
        <w:tc>
          <w:tcPr>
            <w:tcW w:w="2013" w:type="dxa"/>
            <w:tcBorders>
              <w:top w:val="nil"/>
              <w:left w:val="nil"/>
              <w:bottom w:val="nil"/>
              <w:right w:val="nil"/>
            </w:tcBorders>
            <w:vAlign w:val="bottom"/>
          </w:tcPr>
          <w:p w14:paraId="524D97B7" w14:textId="77777777" w:rsidR="006A1F5E" w:rsidRPr="00197941" w:rsidRDefault="006A1F5E" w:rsidP="00B827CE">
            <w:pPr>
              <w:pStyle w:val="Normal-pool-Table"/>
              <w:jc w:val="right"/>
              <w:rPr>
                <w:szCs w:val="18"/>
              </w:rPr>
            </w:pPr>
            <w:r w:rsidRPr="00197941">
              <w:rPr>
                <w:color w:val="000000"/>
              </w:rPr>
              <w:t>121</w:t>
            </w:r>
          </w:p>
        </w:tc>
        <w:tc>
          <w:tcPr>
            <w:tcW w:w="2013" w:type="dxa"/>
            <w:tcBorders>
              <w:top w:val="nil"/>
              <w:left w:val="nil"/>
              <w:bottom w:val="nil"/>
              <w:right w:val="nil"/>
            </w:tcBorders>
            <w:noWrap/>
            <w:vAlign w:val="bottom"/>
            <w:hideMark/>
          </w:tcPr>
          <w:p w14:paraId="05C22C7D" w14:textId="77777777" w:rsidR="006A1F5E" w:rsidRPr="00197941" w:rsidRDefault="006A1F5E" w:rsidP="00B827CE">
            <w:pPr>
              <w:pStyle w:val="Normal-pool-Table"/>
              <w:jc w:val="right"/>
              <w:rPr>
                <w:szCs w:val="18"/>
              </w:rPr>
            </w:pPr>
            <w:r w:rsidRPr="00197941">
              <w:rPr>
                <w:color w:val="000000"/>
              </w:rPr>
              <w:t>441 062</w:t>
            </w:r>
          </w:p>
        </w:tc>
        <w:tc>
          <w:tcPr>
            <w:tcW w:w="2013" w:type="dxa"/>
            <w:tcBorders>
              <w:top w:val="nil"/>
              <w:left w:val="nil"/>
              <w:bottom w:val="nil"/>
              <w:right w:val="nil"/>
            </w:tcBorders>
            <w:noWrap/>
            <w:vAlign w:val="bottom"/>
            <w:hideMark/>
          </w:tcPr>
          <w:p w14:paraId="05316532" w14:textId="77777777" w:rsidR="006A1F5E" w:rsidRPr="00197941" w:rsidRDefault="006A1F5E" w:rsidP="00B827CE">
            <w:pPr>
              <w:pStyle w:val="Normal-pool-Table"/>
              <w:jc w:val="right"/>
              <w:rPr>
                <w:szCs w:val="18"/>
              </w:rPr>
            </w:pPr>
            <w:r w:rsidRPr="00197941">
              <w:rPr>
                <w:color w:val="000000"/>
              </w:rPr>
              <w:t>11,6</w:t>
            </w:r>
          </w:p>
        </w:tc>
      </w:tr>
      <w:tr w:rsidR="006A1F5E" w:rsidRPr="00197941" w14:paraId="3644DCAD" w14:textId="77777777" w:rsidTr="00B827CE">
        <w:trPr>
          <w:trHeight w:val="290"/>
          <w:jc w:val="right"/>
        </w:trPr>
        <w:tc>
          <w:tcPr>
            <w:tcW w:w="2268" w:type="dxa"/>
            <w:tcBorders>
              <w:top w:val="nil"/>
              <w:left w:val="nil"/>
              <w:bottom w:val="nil"/>
              <w:right w:val="nil"/>
            </w:tcBorders>
            <w:noWrap/>
            <w:vAlign w:val="bottom"/>
            <w:hideMark/>
          </w:tcPr>
          <w:p w14:paraId="5700A06A" w14:textId="77777777" w:rsidR="006A1F5E" w:rsidRPr="00197941" w:rsidRDefault="006A1F5E" w:rsidP="00B827CE">
            <w:pPr>
              <w:pStyle w:val="Normal-pool-Table"/>
              <w:rPr>
                <w:szCs w:val="18"/>
              </w:rPr>
            </w:pPr>
            <w:r w:rsidRPr="00197941">
              <w:rPr>
                <w:color w:val="000000"/>
              </w:rPr>
              <w:t>HCFC-22</w:t>
            </w:r>
          </w:p>
        </w:tc>
        <w:tc>
          <w:tcPr>
            <w:tcW w:w="2013" w:type="dxa"/>
            <w:tcBorders>
              <w:top w:val="nil"/>
              <w:left w:val="nil"/>
              <w:bottom w:val="nil"/>
              <w:right w:val="nil"/>
            </w:tcBorders>
            <w:vAlign w:val="bottom"/>
          </w:tcPr>
          <w:p w14:paraId="4E16DA9F" w14:textId="77777777" w:rsidR="006A1F5E" w:rsidRPr="00197941" w:rsidRDefault="006A1F5E" w:rsidP="00B827CE">
            <w:pPr>
              <w:pStyle w:val="Normal-pool-Table"/>
              <w:jc w:val="right"/>
              <w:rPr>
                <w:szCs w:val="18"/>
              </w:rPr>
            </w:pPr>
            <w:r w:rsidRPr="00197941">
              <w:rPr>
                <w:color w:val="000000"/>
              </w:rPr>
              <w:t>101</w:t>
            </w:r>
          </w:p>
        </w:tc>
        <w:tc>
          <w:tcPr>
            <w:tcW w:w="2013" w:type="dxa"/>
            <w:tcBorders>
              <w:top w:val="nil"/>
              <w:left w:val="nil"/>
              <w:bottom w:val="nil"/>
              <w:right w:val="nil"/>
            </w:tcBorders>
            <w:noWrap/>
            <w:vAlign w:val="bottom"/>
            <w:hideMark/>
          </w:tcPr>
          <w:p w14:paraId="5DCDF6FA" w14:textId="77777777" w:rsidR="006A1F5E" w:rsidRPr="00197941" w:rsidRDefault="006A1F5E" w:rsidP="00B827CE">
            <w:pPr>
              <w:pStyle w:val="Normal-pool-Table"/>
              <w:jc w:val="right"/>
              <w:rPr>
                <w:szCs w:val="18"/>
              </w:rPr>
            </w:pPr>
            <w:r w:rsidRPr="00197941">
              <w:rPr>
                <w:color w:val="000000"/>
              </w:rPr>
              <w:t>392 795</w:t>
            </w:r>
          </w:p>
        </w:tc>
        <w:tc>
          <w:tcPr>
            <w:tcW w:w="2013" w:type="dxa"/>
            <w:tcBorders>
              <w:top w:val="nil"/>
              <w:left w:val="nil"/>
              <w:bottom w:val="nil"/>
              <w:right w:val="nil"/>
            </w:tcBorders>
            <w:noWrap/>
            <w:vAlign w:val="bottom"/>
            <w:hideMark/>
          </w:tcPr>
          <w:p w14:paraId="4188C045" w14:textId="77777777" w:rsidR="006A1F5E" w:rsidRPr="00197941" w:rsidRDefault="006A1F5E" w:rsidP="00B827CE">
            <w:pPr>
              <w:pStyle w:val="Normal-pool-Table"/>
              <w:jc w:val="right"/>
              <w:rPr>
                <w:szCs w:val="18"/>
              </w:rPr>
            </w:pPr>
            <w:r w:rsidRPr="00197941">
              <w:rPr>
                <w:color w:val="000000"/>
              </w:rPr>
              <w:t>10,3</w:t>
            </w:r>
          </w:p>
        </w:tc>
      </w:tr>
      <w:tr w:rsidR="006A1F5E" w:rsidRPr="00197941" w14:paraId="05EECB0D" w14:textId="77777777" w:rsidTr="00B827CE">
        <w:trPr>
          <w:trHeight w:val="290"/>
          <w:jc w:val="right"/>
        </w:trPr>
        <w:tc>
          <w:tcPr>
            <w:tcW w:w="2268" w:type="dxa"/>
            <w:tcBorders>
              <w:top w:val="nil"/>
              <w:left w:val="nil"/>
              <w:bottom w:val="nil"/>
              <w:right w:val="nil"/>
            </w:tcBorders>
            <w:noWrap/>
            <w:vAlign w:val="bottom"/>
            <w:hideMark/>
          </w:tcPr>
          <w:p w14:paraId="0AD2A8E0" w14:textId="77777777" w:rsidR="006A1F5E" w:rsidRPr="00197941" w:rsidRDefault="006A1F5E" w:rsidP="00B827CE">
            <w:pPr>
              <w:pStyle w:val="Normal-pool-Table"/>
              <w:rPr>
                <w:szCs w:val="18"/>
              </w:rPr>
            </w:pPr>
            <w:r w:rsidRPr="00197941">
              <w:rPr>
                <w:color w:val="000000"/>
              </w:rPr>
              <w:t>HFC-32</w:t>
            </w:r>
          </w:p>
        </w:tc>
        <w:tc>
          <w:tcPr>
            <w:tcW w:w="2013" w:type="dxa"/>
            <w:tcBorders>
              <w:top w:val="nil"/>
              <w:left w:val="nil"/>
              <w:bottom w:val="nil"/>
              <w:right w:val="nil"/>
            </w:tcBorders>
            <w:vAlign w:val="bottom"/>
          </w:tcPr>
          <w:p w14:paraId="4EA54C8D" w14:textId="77777777" w:rsidR="006A1F5E" w:rsidRPr="00197941" w:rsidRDefault="006A1F5E" w:rsidP="00B827CE">
            <w:pPr>
              <w:pStyle w:val="Normal-pool-Table"/>
              <w:jc w:val="right"/>
              <w:rPr>
                <w:szCs w:val="18"/>
              </w:rPr>
            </w:pPr>
            <w:r w:rsidRPr="00197941">
              <w:rPr>
                <w:color w:val="000000"/>
              </w:rPr>
              <w:t>52</w:t>
            </w:r>
          </w:p>
        </w:tc>
        <w:tc>
          <w:tcPr>
            <w:tcW w:w="2013" w:type="dxa"/>
            <w:tcBorders>
              <w:top w:val="nil"/>
              <w:left w:val="nil"/>
              <w:bottom w:val="nil"/>
              <w:right w:val="nil"/>
            </w:tcBorders>
            <w:noWrap/>
            <w:vAlign w:val="bottom"/>
            <w:hideMark/>
          </w:tcPr>
          <w:p w14:paraId="36769963" w14:textId="77777777" w:rsidR="006A1F5E" w:rsidRPr="00197941" w:rsidRDefault="006A1F5E" w:rsidP="00B827CE">
            <w:pPr>
              <w:pStyle w:val="Normal-pool-Table"/>
              <w:jc w:val="right"/>
              <w:rPr>
                <w:szCs w:val="18"/>
              </w:rPr>
            </w:pPr>
            <w:r w:rsidRPr="00197941">
              <w:rPr>
                <w:color w:val="000000"/>
              </w:rPr>
              <w:t>62 324</w:t>
            </w:r>
          </w:p>
        </w:tc>
        <w:tc>
          <w:tcPr>
            <w:tcW w:w="2013" w:type="dxa"/>
            <w:tcBorders>
              <w:top w:val="nil"/>
              <w:left w:val="nil"/>
              <w:bottom w:val="nil"/>
              <w:right w:val="nil"/>
            </w:tcBorders>
            <w:noWrap/>
            <w:vAlign w:val="bottom"/>
            <w:hideMark/>
          </w:tcPr>
          <w:p w14:paraId="7EE72E79" w14:textId="77777777" w:rsidR="006A1F5E" w:rsidRPr="00197941" w:rsidRDefault="006A1F5E" w:rsidP="00B827CE">
            <w:pPr>
              <w:pStyle w:val="Normal-pool-Table"/>
              <w:jc w:val="right"/>
              <w:rPr>
                <w:szCs w:val="18"/>
              </w:rPr>
            </w:pPr>
            <w:r w:rsidRPr="00197941">
              <w:rPr>
                <w:color w:val="000000"/>
              </w:rPr>
              <w:t>1,6</w:t>
            </w:r>
          </w:p>
        </w:tc>
      </w:tr>
      <w:tr w:rsidR="006A1F5E" w:rsidRPr="00197941" w14:paraId="192E7256" w14:textId="77777777" w:rsidTr="00B827CE">
        <w:trPr>
          <w:trHeight w:val="290"/>
          <w:jc w:val="right"/>
        </w:trPr>
        <w:tc>
          <w:tcPr>
            <w:tcW w:w="2268" w:type="dxa"/>
            <w:tcBorders>
              <w:top w:val="nil"/>
              <w:left w:val="nil"/>
              <w:bottom w:val="nil"/>
              <w:right w:val="nil"/>
            </w:tcBorders>
            <w:noWrap/>
            <w:vAlign w:val="bottom"/>
            <w:hideMark/>
          </w:tcPr>
          <w:p w14:paraId="34F06533" w14:textId="77777777" w:rsidR="006A1F5E" w:rsidRPr="00197941" w:rsidRDefault="006A1F5E" w:rsidP="00B827CE">
            <w:pPr>
              <w:pStyle w:val="Normal-pool-Table"/>
              <w:rPr>
                <w:szCs w:val="18"/>
              </w:rPr>
            </w:pPr>
            <w:r w:rsidRPr="00197941">
              <w:rPr>
                <w:color w:val="000000"/>
              </w:rPr>
              <w:t>CFC-12</w:t>
            </w:r>
          </w:p>
        </w:tc>
        <w:tc>
          <w:tcPr>
            <w:tcW w:w="2013" w:type="dxa"/>
            <w:tcBorders>
              <w:top w:val="nil"/>
              <w:left w:val="nil"/>
              <w:bottom w:val="nil"/>
              <w:right w:val="nil"/>
            </w:tcBorders>
            <w:vAlign w:val="bottom"/>
          </w:tcPr>
          <w:p w14:paraId="05672734" w14:textId="77777777" w:rsidR="006A1F5E" w:rsidRPr="00197941" w:rsidRDefault="006A1F5E" w:rsidP="00B827CE">
            <w:pPr>
              <w:pStyle w:val="Normal-pool-Table"/>
              <w:jc w:val="right"/>
              <w:rPr>
                <w:szCs w:val="18"/>
              </w:rPr>
            </w:pPr>
            <w:r w:rsidRPr="00197941">
              <w:rPr>
                <w:color w:val="000000"/>
              </w:rPr>
              <w:t>42</w:t>
            </w:r>
          </w:p>
        </w:tc>
        <w:tc>
          <w:tcPr>
            <w:tcW w:w="2013" w:type="dxa"/>
            <w:tcBorders>
              <w:top w:val="nil"/>
              <w:left w:val="nil"/>
              <w:bottom w:val="nil"/>
              <w:right w:val="nil"/>
            </w:tcBorders>
            <w:noWrap/>
            <w:vAlign w:val="bottom"/>
            <w:hideMark/>
          </w:tcPr>
          <w:p w14:paraId="6157A8EA" w14:textId="77777777" w:rsidR="006A1F5E" w:rsidRPr="00197941" w:rsidRDefault="006A1F5E" w:rsidP="00B827CE">
            <w:pPr>
              <w:pStyle w:val="Normal-pool-Table"/>
              <w:jc w:val="right"/>
              <w:rPr>
                <w:szCs w:val="18"/>
              </w:rPr>
            </w:pPr>
            <w:r w:rsidRPr="00197941">
              <w:rPr>
                <w:color w:val="000000"/>
              </w:rPr>
              <w:t>340 815</w:t>
            </w:r>
          </w:p>
        </w:tc>
        <w:tc>
          <w:tcPr>
            <w:tcW w:w="2013" w:type="dxa"/>
            <w:tcBorders>
              <w:top w:val="nil"/>
              <w:left w:val="nil"/>
              <w:bottom w:val="nil"/>
              <w:right w:val="nil"/>
            </w:tcBorders>
            <w:noWrap/>
            <w:vAlign w:val="bottom"/>
            <w:hideMark/>
          </w:tcPr>
          <w:p w14:paraId="7AF80D98" w14:textId="77777777" w:rsidR="006A1F5E" w:rsidRPr="00197941" w:rsidRDefault="006A1F5E" w:rsidP="00B827CE">
            <w:pPr>
              <w:pStyle w:val="Normal-pool-Table"/>
              <w:jc w:val="right"/>
              <w:rPr>
                <w:szCs w:val="18"/>
              </w:rPr>
            </w:pPr>
            <w:r w:rsidRPr="00197941">
              <w:rPr>
                <w:color w:val="000000"/>
              </w:rPr>
              <w:t>8,9</w:t>
            </w:r>
          </w:p>
        </w:tc>
      </w:tr>
      <w:tr w:rsidR="006A1F5E" w:rsidRPr="00197941" w14:paraId="64A7DDF2" w14:textId="77777777" w:rsidTr="00B827CE">
        <w:trPr>
          <w:trHeight w:val="290"/>
          <w:jc w:val="right"/>
        </w:trPr>
        <w:tc>
          <w:tcPr>
            <w:tcW w:w="2268" w:type="dxa"/>
            <w:tcBorders>
              <w:top w:val="nil"/>
              <w:left w:val="nil"/>
              <w:bottom w:val="nil"/>
              <w:right w:val="nil"/>
            </w:tcBorders>
            <w:noWrap/>
            <w:vAlign w:val="bottom"/>
            <w:hideMark/>
          </w:tcPr>
          <w:p w14:paraId="25E5194C" w14:textId="77777777" w:rsidR="006A1F5E" w:rsidRPr="00197941" w:rsidRDefault="006A1F5E" w:rsidP="00B827CE">
            <w:pPr>
              <w:pStyle w:val="Normal-pool-Table"/>
              <w:rPr>
                <w:szCs w:val="18"/>
              </w:rPr>
            </w:pPr>
            <w:r w:rsidRPr="00197941">
              <w:rPr>
                <w:color w:val="000000"/>
              </w:rPr>
              <w:t>R-407C</w:t>
            </w:r>
          </w:p>
        </w:tc>
        <w:tc>
          <w:tcPr>
            <w:tcW w:w="2013" w:type="dxa"/>
            <w:tcBorders>
              <w:top w:val="nil"/>
              <w:left w:val="nil"/>
              <w:bottom w:val="nil"/>
              <w:right w:val="nil"/>
            </w:tcBorders>
            <w:vAlign w:val="bottom"/>
          </w:tcPr>
          <w:p w14:paraId="61083A18" w14:textId="77777777" w:rsidR="006A1F5E" w:rsidRPr="00197941" w:rsidRDefault="006A1F5E" w:rsidP="00B827CE">
            <w:pPr>
              <w:pStyle w:val="Normal-pool-Table"/>
              <w:jc w:val="right"/>
              <w:rPr>
                <w:szCs w:val="18"/>
              </w:rPr>
            </w:pPr>
            <w:r w:rsidRPr="00197941">
              <w:rPr>
                <w:color w:val="000000"/>
              </w:rPr>
              <w:t>32</w:t>
            </w:r>
          </w:p>
        </w:tc>
        <w:tc>
          <w:tcPr>
            <w:tcW w:w="2013" w:type="dxa"/>
            <w:tcBorders>
              <w:top w:val="nil"/>
              <w:left w:val="nil"/>
              <w:bottom w:val="nil"/>
              <w:right w:val="nil"/>
            </w:tcBorders>
            <w:noWrap/>
            <w:vAlign w:val="bottom"/>
            <w:hideMark/>
          </w:tcPr>
          <w:p w14:paraId="13A9A17C" w14:textId="77777777" w:rsidR="006A1F5E" w:rsidRPr="00197941" w:rsidRDefault="006A1F5E" w:rsidP="00B827CE">
            <w:pPr>
              <w:pStyle w:val="Normal-pool-Table"/>
              <w:jc w:val="right"/>
              <w:rPr>
                <w:szCs w:val="18"/>
              </w:rPr>
            </w:pPr>
            <w:r w:rsidRPr="00197941">
              <w:rPr>
                <w:color w:val="000000"/>
              </w:rPr>
              <w:t>66 372</w:t>
            </w:r>
          </w:p>
        </w:tc>
        <w:tc>
          <w:tcPr>
            <w:tcW w:w="2013" w:type="dxa"/>
            <w:tcBorders>
              <w:top w:val="nil"/>
              <w:left w:val="nil"/>
              <w:bottom w:val="nil"/>
              <w:right w:val="nil"/>
            </w:tcBorders>
            <w:noWrap/>
            <w:vAlign w:val="bottom"/>
            <w:hideMark/>
          </w:tcPr>
          <w:p w14:paraId="6DA4C1B3" w14:textId="77777777" w:rsidR="006A1F5E" w:rsidRPr="00197941" w:rsidRDefault="006A1F5E" w:rsidP="00B827CE">
            <w:pPr>
              <w:pStyle w:val="Normal-pool-Table"/>
              <w:jc w:val="right"/>
              <w:rPr>
                <w:szCs w:val="18"/>
              </w:rPr>
            </w:pPr>
            <w:r w:rsidRPr="00197941">
              <w:rPr>
                <w:color w:val="000000"/>
              </w:rPr>
              <w:t>1,7</w:t>
            </w:r>
          </w:p>
        </w:tc>
      </w:tr>
      <w:tr w:rsidR="006A1F5E" w:rsidRPr="00197941" w14:paraId="2983C1D3" w14:textId="77777777" w:rsidTr="00B827CE">
        <w:trPr>
          <w:trHeight w:val="290"/>
          <w:jc w:val="right"/>
        </w:trPr>
        <w:tc>
          <w:tcPr>
            <w:tcW w:w="2268" w:type="dxa"/>
            <w:tcBorders>
              <w:top w:val="nil"/>
              <w:left w:val="nil"/>
              <w:bottom w:val="nil"/>
              <w:right w:val="nil"/>
            </w:tcBorders>
            <w:noWrap/>
            <w:vAlign w:val="bottom"/>
            <w:hideMark/>
          </w:tcPr>
          <w:p w14:paraId="16FA78BD" w14:textId="77777777" w:rsidR="006A1F5E" w:rsidRPr="00197941" w:rsidRDefault="006A1F5E" w:rsidP="00B827CE">
            <w:pPr>
              <w:pStyle w:val="Normal-pool-Table"/>
              <w:rPr>
                <w:szCs w:val="18"/>
              </w:rPr>
            </w:pPr>
            <w:r w:rsidRPr="00197941">
              <w:rPr>
                <w:color w:val="000000"/>
              </w:rPr>
              <w:t>HFC (sans autre précision)</w:t>
            </w:r>
          </w:p>
        </w:tc>
        <w:tc>
          <w:tcPr>
            <w:tcW w:w="2013" w:type="dxa"/>
            <w:tcBorders>
              <w:top w:val="nil"/>
              <w:left w:val="nil"/>
              <w:bottom w:val="nil"/>
              <w:right w:val="nil"/>
            </w:tcBorders>
            <w:vAlign w:val="bottom"/>
          </w:tcPr>
          <w:p w14:paraId="21F6ACC0" w14:textId="77777777" w:rsidR="006A1F5E" w:rsidRPr="00197941" w:rsidRDefault="006A1F5E" w:rsidP="00B827CE">
            <w:pPr>
              <w:pStyle w:val="Normal-pool-Table"/>
              <w:jc w:val="right"/>
              <w:rPr>
                <w:szCs w:val="18"/>
              </w:rPr>
            </w:pPr>
            <w:r w:rsidRPr="00197941">
              <w:rPr>
                <w:color w:val="000000"/>
              </w:rPr>
              <w:t>22</w:t>
            </w:r>
          </w:p>
        </w:tc>
        <w:tc>
          <w:tcPr>
            <w:tcW w:w="2013" w:type="dxa"/>
            <w:tcBorders>
              <w:top w:val="nil"/>
              <w:left w:val="nil"/>
              <w:bottom w:val="nil"/>
              <w:right w:val="nil"/>
            </w:tcBorders>
            <w:noWrap/>
            <w:vAlign w:val="bottom"/>
            <w:hideMark/>
          </w:tcPr>
          <w:p w14:paraId="0F4DFD2C" w14:textId="77777777" w:rsidR="006A1F5E" w:rsidRPr="00197941" w:rsidRDefault="006A1F5E" w:rsidP="00B827CE">
            <w:pPr>
              <w:pStyle w:val="Normal-pool-Table"/>
              <w:jc w:val="right"/>
              <w:rPr>
                <w:szCs w:val="18"/>
              </w:rPr>
            </w:pPr>
            <w:r w:rsidRPr="00197941">
              <w:rPr>
                <w:color w:val="000000"/>
              </w:rPr>
              <w:t>369 423</w:t>
            </w:r>
          </w:p>
        </w:tc>
        <w:tc>
          <w:tcPr>
            <w:tcW w:w="2013" w:type="dxa"/>
            <w:tcBorders>
              <w:top w:val="nil"/>
              <w:left w:val="nil"/>
              <w:bottom w:val="nil"/>
              <w:right w:val="nil"/>
            </w:tcBorders>
            <w:noWrap/>
            <w:vAlign w:val="bottom"/>
            <w:hideMark/>
          </w:tcPr>
          <w:p w14:paraId="3DF63609" w14:textId="77777777" w:rsidR="006A1F5E" w:rsidRPr="00197941" w:rsidRDefault="006A1F5E" w:rsidP="00B827CE">
            <w:pPr>
              <w:pStyle w:val="Normal-pool-Table"/>
              <w:jc w:val="right"/>
              <w:rPr>
                <w:szCs w:val="18"/>
              </w:rPr>
            </w:pPr>
            <w:r w:rsidRPr="00197941">
              <w:rPr>
                <w:color w:val="000000"/>
              </w:rPr>
              <w:t>9,7</w:t>
            </w:r>
          </w:p>
        </w:tc>
      </w:tr>
      <w:tr w:rsidR="006A1F5E" w:rsidRPr="00197941" w14:paraId="257FCB04" w14:textId="77777777" w:rsidTr="00B827CE">
        <w:trPr>
          <w:trHeight w:val="290"/>
          <w:jc w:val="right"/>
        </w:trPr>
        <w:tc>
          <w:tcPr>
            <w:tcW w:w="2268" w:type="dxa"/>
            <w:tcBorders>
              <w:top w:val="nil"/>
              <w:left w:val="nil"/>
              <w:right w:val="nil"/>
            </w:tcBorders>
            <w:noWrap/>
            <w:vAlign w:val="bottom"/>
            <w:hideMark/>
          </w:tcPr>
          <w:p w14:paraId="3EAF8B3A" w14:textId="77777777" w:rsidR="006A1F5E" w:rsidRPr="00197941" w:rsidRDefault="006A1F5E" w:rsidP="00B827CE">
            <w:pPr>
              <w:pStyle w:val="Normal-pool-Table"/>
              <w:rPr>
                <w:szCs w:val="18"/>
              </w:rPr>
            </w:pPr>
            <w:r w:rsidRPr="00197941">
              <w:rPr>
                <w:color w:val="000000"/>
              </w:rPr>
              <w:t>R-507A</w:t>
            </w:r>
          </w:p>
        </w:tc>
        <w:tc>
          <w:tcPr>
            <w:tcW w:w="2013" w:type="dxa"/>
            <w:tcBorders>
              <w:top w:val="nil"/>
              <w:left w:val="nil"/>
              <w:right w:val="nil"/>
            </w:tcBorders>
            <w:vAlign w:val="bottom"/>
          </w:tcPr>
          <w:p w14:paraId="6F7D0629" w14:textId="77777777" w:rsidR="006A1F5E" w:rsidRPr="00197941" w:rsidRDefault="006A1F5E" w:rsidP="00B827CE">
            <w:pPr>
              <w:pStyle w:val="Normal-pool-Table"/>
              <w:jc w:val="right"/>
              <w:rPr>
                <w:szCs w:val="18"/>
              </w:rPr>
            </w:pPr>
            <w:r w:rsidRPr="00197941">
              <w:rPr>
                <w:color w:val="000000"/>
              </w:rPr>
              <w:t>19</w:t>
            </w:r>
          </w:p>
        </w:tc>
        <w:tc>
          <w:tcPr>
            <w:tcW w:w="2013" w:type="dxa"/>
            <w:tcBorders>
              <w:top w:val="nil"/>
              <w:left w:val="nil"/>
              <w:right w:val="nil"/>
            </w:tcBorders>
            <w:noWrap/>
            <w:vAlign w:val="bottom"/>
            <w:hideMark/>
          </w:tcPr>
          <w:p w14:paraId="2A6247C9" w14:textId="77777777" w:rsidR="006A1F5E" w:rsidRPr="00197941" w:rsidRDefault="006A1F5E" w:rsidP="00B827CE">
            <w:pPr>
              <w:pStyle w:val="Normal-pool-Table"/>
              <w:jc w:val="right"/>
              <w:rPr>
                <w:szCs w:val="18"/>
              </w:rPr>
            </w:pPr>
            <w:r w:rsidRPr="00197941">
              <w:rPr>
                <w:color w:val="000000"/>
              </w:rPr>
              <w:t>136 502</w:t>
            </w:r>
          </w:p>
        </w:tc>
        <w:tc>
          <w:tcPr>
            <w:tcW w:w="2013" w:type="dxa"/>
            <w:tcBorders>
              <w:top w:val="nil"/>
              <w:left w:val="nil"/>
              <w:right w:val="nil"/>
            </w:tcBorders>
            <w:noWrap/>
            <w:vAlign w:val="bottom"/>
            <w:hideMark/>
          </w:tcPr>
          <w:p w14:paraId="1768AB49" w14:textId="77777777" w:rsidR="006A1F5E" w:rsidRPr="00197941" w:rsidRDefault="006A1F5E" w:rsidP="00B827CE">
            <w:pPr>
              <w:pStyle w:val="Normal-pool-Table"/>
              <w:jc w:val="right"/>
              <w:rPr>
                <w:szCs w:val="18"/>
              </w:rPr>
            </w:pPr>
            <w:r w:rsidRPr="00197941">
              <w:rPr>
                <w:color w:val="000000"/>
              </w:rPr>
              <w:t>3,6</w:t>
            </w:r>
          </w:p>
        </w:tc>
      </w:tr>
      <w:tr w:rsidR="006A1F5E" w:rsidRPr="00197941" w14:paraId="72E6B637" w14:textId="77777777" w:rsidTr="00B827CE">
        <w:trPr>
          <w:trHeight w:val="290"/>
          <w:jc w:val="right"/>
        </w:trPr>
        <w:tc>
          <w:tcPr>
            <w:tcW w:w="2268" w:type="dxa"/>
            <w:tcBorders>
              <w:top w:val="nil"/>
              <w:left w:val="nil"/>
              <w:bottom w:val="single" w:sz="4" w:space="0" w:color="auto"/>
              <w:right w:val="nil"/>
            </w:tcBorders>
            <w:noWrap/>
            <w:vAlign w:val="bottom"/>
            <w:hideMark/>
          </w:tcPr>
          <w:p w14:paraId="329C1479" w14:textId="77777777" w:rsidR="006A1F5E" w:rsidRPr="00197941" w:rsidRDefault="006A1F5E" w:rsidP="00B827CE">
            <w:pPr>
              <w:pStyle w:val="Normal-pool-Table"/>
              <w:rPr>
                <w:szCs w:val="18"/>
              </w:rPr>
            </w:pPr>
            <w:r w:rsidRPr="00197941">
              <w:rPr>
                <w:color w:val="000000"/>
              </w:rPr>
              <w:t>HFC-125</w:t>
            </w:r>
          </w:p>
        </w:tc>
        <w:tc>
          <w:tcPr>
            <w:tcW w:w="2013" w:type="dxa"/>
            <w:tcBorders>
              <w:top w:val="nil"/>
              <w:left w:val="nil"/>
              <w:bottom w:val="single" w:sz="4" w:space="0" w:color="auto"/>
              <w:right w:val="nil"/>
            </w:tcBorders>
            <w:vAlign w:val="bottom"/>
          </w:tcPr>
          <w:p w14:paraId="28CA2C64" w14:textId="77777777" w:rsidR="006A1F5E" w:rsidRPr="00197941" w:rsidRDefault="006A1F5E" w:rsidP="00B827CE">
            <w:pPr>
              <w:pStyle w:val="Normal-pool-Table"/>
              <w:jc w:val="right"/>
              <w:rPr>
                <w:szCs w:val="18"/>
              </w:rPr>
            </w:pPr>
            <w:r w:rsidRPr="00197941">
              <w:rPr>
                <w:color w:val="000000"/>
              </w:rPr>
              <w:t>11</w:t>
            </w:r>
          </w:p>
        </w:tc>
        <w:tc>
          <w:tcPr>
            <w:tcW w:w="2013" w:type="dxa"/>
            <w:tcBorders>
              <w:top w:val="nil"/>
              <w:left w:val="nil"/>
              <w:bottom w:val="single" w:sz="4" w:space="0" w:color="auto"/>
              <w:right w:val="nil"/>
            </w:tcBorders>
            <w:noWrap/>
            <w:vAlign w:val="bottom"/>
            <w:hideMark/>
          </w:tcPr>
          <w:p w14:paraId="6F15C846" w14:textId="77777777" w:rsidR="006A1F5E" w:rsidRPr="00197941" w:rsidRDefault="006A1F5E" w:rsidP="00B827CE">
            <w:pPr>
              <w:pStyle w:val="Normal-pool-Table"/>
              <w:jc w:val="right"/>
              <w:rPr>
                <w:szCs w:val="18"/>
              </w:rPr>
            </w:pPr>
            <w:r w:rsidRPr="00197941">
              <w:rPr>
                <w:color w:val="000000"/>
              </w:rPr>
              <w:t>57 756</w:t>
            </w:r>
          </w:p>
        </w:tc>
        <w:tc>
          <w:tcPr>
            <w:tcW w:w="2013" w:type="dxa"/>
            <w:tcBorders>
              <w:top w:val="nil"/>
              <w:left w:val="nil"/>
              <w:bottom w:val="single" w:sz="4" w:space="0" w:color="auto"/>
              <w:right w:val="nil"/>
            </w:tcBorders>
            <w:noWrap/>
            <w:vAlign w:val="bottom"/>
            <w:hideMark/>
          </w:tcPr>
          <w:p w14:paraId="31B11E5D" w14:textId="77777777" w:rsidR="006A1F5E" w:rsidRPr="00197941" w:rsidRDefault="006A1F5E" w:rsidP="00B827CE">
            <w:pPr>
              <w:pStyle w:val="Normal-pool-Table"/>
              <w:jc w:val="right"/>
              <w:rPr>
                <w:szCs w:val="18"/>
              </w:rPr>
            </w:pPr>
            <w:r w:rsidRPr="00197941">
              <w:rPr>
                <w:color w:val="000000"/>
              </w:rPr>
              <w:t>1,5</w:t>
            </w:r>
          </w:p>
        </w:tc>
      </w:tr>
      <w:tr w:rsidR="006A1F5E" w:rsidRPr="00197941" w14:paraId="0E6B6C0C" w14:textId="77777777" w:rsidTr="00B827CE">
        <w:trPr>
          <w:trHeight w:val="290"/>
          <w:jc w:val="right"/>
        </w:trPr>
        <w:tc>
          <w:tcPr>
            <w:tcW w:w="2268" w:type="dxa"/>
            <w:tcBorders>
              <w:top w:val="single" w:sz="4" w:space="0" w:color="auto"/>
              <w:left w:val="nil"/>
              <w:bottom w:val="single" w:sz="12" w:space="0" w:color="auto"/>
              <w:right w:val="nil"/>
            </w:tcBorders>
            <w:noWrap/>
            <w:vAlign w:val="bottom"/>
          </w:tcPr>
          <w:p w14:paraId="17E9536B" w14:textId="77777777" w:rsidR="006A1F5E" w:rsidRPr="00197941" w:rsidRDefault="006A1F5E" w:rsidP="00B827CE">
            <w:pPr>
              <w:pStyle w:val="Normal-pool-Table"/>
              <w:rPr>
                <w:b/>
                <w:bCs/>
                <w:szCs w:val="18"/>
              </w:rPr>
            </w:pPr>
            <w:r w:rsidRPr="00197941">
              <w:rPr>
                <w:b/>
                <w:bCs/>
                <w:color w:val="000000"/>
              </w:rPr>
              <w:t>Total</w:t>
            </w:r>
          </w:p>
        </w:tc>
        <w:tc>
          <w:tcPr>
            <w:tcW w:w="2013" w:type="dxa"/>
            <w:tcBorders>
              <w:top w:val="single" w:sz="4" w:space="0" w:color="auto"/>
              <w:left w:val="nil"/>
              <w:bottom w:val="single" w:sz="12" w:space="0" w:color="auto"/>
              <w:right w:val="nil"/>
            </w:tcBorders>
          </w:tcPr>
          <w:p w14:paraId="6D31F806" w14:textId="77777777" w:rsidR="006A1F5E" w:rsidRPr="00197941" w:rsidRDefault="006A1F5E" w:rsidP="00B827CE">
            <w:pPr>
              <w:pStyle w:val="Normal-pool-Table"/>
              <w:jc w:val="right"/>
              <w:rPr>
                <w:b/>
                <w:bCs/>
                <w:szCs w:val="18"/>
              </w:rPr>
            </w:pPr>
            <w:r w:rsidRPr="00197941">
              <w:rPr>
                <w:b/>
                <w:bCs/>
                <w:color w:val="000000"/>
              </w:rPr>
              <w:t>995</w:t>
            </w:r>
          </w:p>
        </w:tc>
        <w:tc>
          <w:tcPr>
            <w:tcW w:w="2013" w:type="dxa"/>
            <w:tcBorders>
              <w:top w:val="single" w:sz="4" w:space="0" w:color="auto"/>
              <w:left w:val="nil"/>
              <w:bottom w:val="single" w:sz="12" w:space="0" w:color="auto"/>
              <w:right w:val="nil"/>
            </w:tcBorders>
            <w:noWrap/>
          </w:tcPr>
          <w:p w14:paraId="3104FB50" w14:textId="77777777" w:rsidR="006A1F5E" w:rsidRPr="00197941" w:rsidRDefault="006A1F5E" w:rsidP="00B827CE">
            <w:pPr>
              <w:pStyle w:val="Normal-pool-Table"/>
              <w:jc w:val="right"/>
              <w:rPr>
                <w:b/>
                <w:bCs/>
                <w:szCs w:val="18"/>
              </w:rPr>
            </w:pPr>
            <w:r w:rsidRPr="00197941">
              <w:rPr>
                <w:b/>
                <w:bCs/>
                <w:color w:val="000000"/>
              </w:rPr>
              <w:t>2 820 053</w:t>
            </w:r>
          </w:p>
        </w:tc>
        <w:tc>
          <w:tcPr>
            <w:tcW w:w="2013" w:type="dxa"/>
            <w:tcBorders>
              <w:top w:val="single" w:sz="4" w:space="0" w:color="auto"/>
              <w:left w:val="nil"/>
              <w:bottom w:val="single" w:sz="12" w:space="0" w:color="auto"/>
              <w:right w:val="nil"/>
            </w:tcBorders>
            <w:noWrap/>
          </w:tcPr>
          <w:p w14:paraId="2729ECBA" w14:textId="77777777" w:rsidR="006A1F5E" w:rsidRPr="00197941" w:rsidRDefault="006A1F5E" w:rsidP="00B827CE">
            <w:pPr>
              <w:pStyle w:val="Normal-pool-Table"/>
              <w:jc w:val="right"/>
              <w:rPr>
                <w:b/>
                <w:bCs/>
                <w:szCs w:val="18"/>
              </w:rPr>
            </w:pPr>
            <w:r w:rsidRPr="00197941">
              <w:rPr>
                <w:b/>
                <w:bCs/>
                <w:color w:val="000000"/>
              </w:rPr>
              <w:t>74</w:t>
            </w:r>
          </w:p>
        </w:tc>
      </w:tr>
    </w:tbl>
    <w:p w14:paraId="4A1CBEFB" w14:textId="0F905617" w:rsidR="006A1F5E" w:rsidRPr="00197941" w:rsidRDefault="006A1F5E" w:rsidP="006A1F5E">
      <w:pPr>
        <w:pStyle w:val="Normal-pool"/>
        <w:tabs>
          <w:tab w:val="clear" w:pos="624"/>
          <w:tab w:val="clear" w:pos="1247"/>
          <w:tab w:val="clear" w:pos="1871"/>
          <w:tab w:val="clear" w:pos="2495"/>
          <w:tab w:val="clear" w:pos="3119"/>
          <w:tab w:val="clear" w:pos="3742"/>
          <w:tab w:val="clear" w:pos="4366"/>
          <w:tab w:val="left" w:pos="1134"/>
          <w:tab w:val="left" w:pos="1814"/>
          <w:tab w:val="left" w:pos="2381"/>
          <w:tab w:val="left" w:pos="2948"/>
          <w:tab w:val="left" w:pos="3515"/>
          <w:tab w:val="left" w:pos="4082"/>
        </w:tabs>
        <w:spacing w:before="60"/>
        <w:ind w:left="1247"/>
        <w:rPr>
          <w:sz w:val="17"/>
          <w:szCs w:val="17"/>
        </w:rPr>
      </w:pPr>
      <w:r w:rsidRPr="00197941">
        <w:tab/>
      </w:r>
      <w:r w:rsidRPr="00197941">
        <w:rPr>
          <w:i/>
          <w:iCs/>
          <w:sz w:val="17"/>
          <w:szCs w:val="17"/>
          <w:vertAlign w:val="superscript"/>
        </w:rPr>
        <w:t>a</w:t>
      </w:r>
      <w:r w:rsidRPr="00197941">
        <w:rPr>
          <w:sz w:val="17"/>
          <w:szCs w:val="17"/>
        </w:rPr>
        <w:t> Toutes les substances pures sont désignées par leur type chimique, par exemple « HCFC » (hydrochlorofluorocarbone) ou « HFC » (hydrofluorocarbone), et les mélanges par leur code d</w:t>
      </w:r>
      <w:r w:rsidR="009F2F08" w:rsidRPr="00197941">
        <w:rPr>
          <w:sz w:val="17"/>
          <w:szCs w:val="17"/>
        </w:rPr>
        <w:t>’</w:t>
      </w:r>
      <w:r w:rsidRPr="00197941">
        <w:rPr>
          <w:sz w:val="17"/>
          <w:szCs w:val="17"/>
        </w:rPr>
        <w:t>identification constitué d</w:t>
      </w:r>
      <w:r w:rsidR="009F2F08" w:rsidRPr="00197941">
        <w:rPr>
          <w:sz w:val="17"/>
          <w:szCs w:val="17"/>
        </w:rPr>
        <w:t>’</w:t>
      </w:r>
      <w:r w:rsidRPr="00197941">
        <w:rPr>
          <w:sz w:val="17"/>
          <w:szCs w:val="17"/>
        </w:rPr>
        <w:t>un numéro précédé du préfixe « R ».</w:t>
      </w:r>
    </w:p>
    <w:p w14:paraId="4BD78CFB" w14:textId="67F806AD" w:rsidR="006A1F5E" w:rsidRPr="00197941" w:rsidRDefault="006A1F5E" w:rsidP="006A1F5E">
      <w:pPr>
        <w:pStyle w:val="Normal-pool"/>
        <w:tabs>
          <w:tab w:val="clear" w:pos="624"/>
          <w:tab w:val="clear" w:pos="1247"/>
          <w:tab w:val="clear" w:pos="1871"/>
          <w:tab w:val="clear" w:pos="2495"/>
          <w:tab w:val="clear" w:pos="3119"/>
          <w:tab w:val="clear" w:pos="3742"/>
          <w:tab w:val="clear" w:pos="4366"/>
          <w:tab w:val="left" w:pos="1134"/>
          <w:tab w:val="left" w:pos="1814"/>
          <w:tab w:val="left" w:pos="2381"/>
          <w:tab w:val="left" w:pos="2948"/>
          <w:tab w:val="left" w:pos="3515"/>
          <w:tab w:val="left" w:pos="4082"/>
        </w:tabs>
        <w:spacing w:before="60" w:after="180"/>
        <w:ind w:left="1247"/>
        <w:rPr>
          <w:sz w:val="17"/>
          <w:szCs w:val="17"/>
        </w:rPr>
      </w:pPr>
      <w:r w:rsidRPr="00197941">
        <w:rPr>
          <w:sz w:val="17"/>
          <w:szCs w:val="17"/>
        </w:rPr>
        <w:tab/>
      </w:r>
      <w:r w:rsidRPr="00197941">
        <w:rPr>
          <w:i/>
          <w:iCs/>
          <w:sz w:val="17"/>
          <w:szCs w:val="17"/>
          <w:vertAlign w:val="superscript"/>
        </w:rPr>
        <w:t>b</w:t>
      </w:r>
      <w:r w:rsidRPr="00197941">
        <w:rPr>
          <w:sz w:val="17"/>
          <w:szCs w:val="17"/>
        </w:rPr>
        <w:t> Certains cas signalés ne mentionnent pas le poids de la substance en question et n</w:t>
      </w:r>
      <w:r w:rsidR="009F2F08" w:rsidRPr="00197941">
        <w:rPr>
          <w:sz w:val="17"/>
          <w:szCs w:val="17"/>
        </w:rPr>
        <w:t>’</w:t>
      </w:r>
      <w:r w:rsidRPr="00197941">
        <w:rPr>
          <w:sz w:val="17"/>
          <w:szCs w:val="17"/>
        </w:rPr>
        <w:t>ont donc pas pu être pris en</w:t>
      </w:r>
      <w:r w:rsidR="00FB10D0" w:rsidRPr="00197941">
        <w:rPr>
          <w:sz w:val="17"/>
          <w:szCs w:val="17"/>
        </w:rPr>
        <w:t> </w:t>
      </w:r>
      <w:r w:rsidRPr="00197941">
        <w:rPr>
          <w:sz w:val="17"/>
          <w:szCs w:val="17"/>
        </w:rPr>
        <w:t>compte dans le calcul du poids. Par conséquent, les totaux obtenus sont approximatifs.</w:t>
      </w:r>
    </w:p>
    <w:p w14:paraId="2748654F" w14:textId="1558F1A2"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Sur les 1</w:t>
      </w:r>
      <w:r w:rsidR="00634985" w:rsidRPr="00197941">
        <w:t xml:space="preserve"> </w:t>
      </w:r>
      <w:r w:rsidRPr="00197941">
        <w:t>107</w:t>
      </w:r>
      <w:r w:rsidR="009A6A93" w:rsidRPr="00197941">
        <w:t> </w:t>
      </w:r>
      <w:r w:rsidRPr="00197941">
        <w:t>cas de commerce illicite signalés, 753 concernaient des importations illégales de substances réglementées signalées par le pays de destination. Au total, 73</w:t>
      </w:r>
      <w:r w:rsidR="00D24A0E" w:rsidRPr="00197941">
        <w:t> </w:t>
      </w:r>
      <w:r w:rsidRPr="00197941">
        <w:t>cas d</w:t>
      </w:r>
      <w:r w:rsidR="009F2F08" w:rsidRPr="00197941">
        <w:t>’</w:t>
      </w:r>
      <w:r w:rsidRPr="00197941">
        <w:t>exportations illégales ont été signalés par le pays exportateur. Dans 41</w:t>
      </w:r>
      <w:r w:rsidR="00D24A0E" w:rsidRPr="00197941">
        <w:t> </w:t>
      </w:r>
      <w:r w:rsidRPr="00197941">
        <w:t xml:space="preserve">cas, les substances étaient en transit sur le territoire </w:t>
      </w:r>
      <w:r w:rsidRPr="00197941">
        <w:lastRenderedPageBreak/>
        <w:t>du pays ayant fait le signalement. Dans d</w:t>
      </w:r>
      <w:r w:rsidR="009F2F08" w:rsidRPr="00197941">
        <w:t>’</w:t>
      </w:r>
      <w:r w:rsidRPr="00197941">
        <w:t>autres, le pays importateur et/ou exportateur n</w:t>
      </w:r>
      <w:r w:rsidR="009F2F08" w:rsidRPr="00197941">
        <w:t>’</w:t>
      </w:r>
      <w:r w:rsidRPr="00197941">
        <w:t xml:space="preserve">était pas précisé ou était inconnu au moment du signalement. </w:t>
      </w:r>
    </w:p>
    <w:p w14:paraId="1F633F4C" w14:textId="5F8FE0A6"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Trente-cinq</w:t>
      </w:r>
      <w:r w:rsidR="001319F0" w:rsidRPr="00197941">
        <w:t> </w:t>
      </w:r>
      <w:r w:rsidRPr="00197941">
        <w:t>affaires concernaient le commerce illicite d</w:t>
      </w:r>
      <w:r w:rsidR="009F2F08" w:rsidRPr="00197941">
        <w:t>’</w:t>
      </w:r>
      <w:r w:rsidRPr="00197941">
        <w:t>équipements contenant des substances réglementées, y</w:t>
      </w:r>
      <w:r w:rsidR="00C7461F" w:rsidRPr="00197941">
        <w:t> </w:t>
      </w:r>
      <w:r w:rsidRPr="00197941">
        <w:t>compris des climatiseurs, des pompes à chaleur, des systèmes de refroidisseurs, des réfrigérateurs, des appareils de fabrication de glace, des appareils de fabrication de crèmes glacées et des extincteurs. Les substances réglementées les plus fréquemment trouvées dans ces équipements étaient le HCFC-22, le HFC-32, le R-410A et le CFC-12. Parmi les 321</w:t>
      </w:r>
      <w:r w:rsidR="00397A74" w:rsidRPr="00197941">
        <w:t> </w:t>
      </w:r>
      <w:r w:rsidRPr="00197941">
        <w:t>nouveaux cas signalés, 17</w:t>
      </w:r>
      <w:r w:rsidR="00B90615" w:rsidRPr="00197941">
        <w:t> </w:t>
      </w:r>
      <w:r w:rsidRPr="00197941">
        <w:t>concernaient des équipements contenant des substances réglementées.</w:t>
      </w:r>
    </w:p>
    <w:p w14:paraId="3D8017E8" w14:textId="5FCC7FC7" w:rsidR="006A1F5E" w:rsidRPr="00197941" w:rsidRDefault="006A1F5E" w:rsidP="006A1F5E">
      <w:pPr>
        <w:pStyle w:val="CH2"/>
      </w:pPr>
      <w:r w:rsidRPr="00197941">
        <w:tab/>
      </w:r>
      <w:r w:rsidR="00EE6344" w:rsidRPr="00197941">
        <w:rPr>
          <w:bCs/>
        </w:rPr>
        <w:t>D.</w:t>
      </w:r>
      <w:r w:rsidR="00356960" w:rsidRPr="00197941">
        <w:tab/>
      </w:r>
      <w:r w:rsidRPr="00197941">
        <w:rPr>
          <w:bCs/>
        </w:rPr>
        <w:t>Aperçu de tous les cas de commerce illicite et de production illégale signalés</w:t>
      </w:r>
      <w:r w:rsidRPr="00197941">
        <w:t xml:space="preserve"> </w:t>
      </w:r>
    </w:p>
    <w:p w14:paraId="7621FC30" w14:textId="2C7C86C4" w:rsidR="006A1F5E" w:rsidRPr="00197941" w:rsidRDefault="006A1F5E" w:rsidP="006A1F5E">
      <w:pPr>
        <w:pStyle w:val="CH3"/>
      </w:pPr>
      <w:r w:rsidRPr="00197941">
        <w:tab/>
      </w:r>
      <w:r w:rsidR="000F359F" w:rsidRPr="00197941">
        <w:rPr>
          <w:bCs/>
        </w:rPr>
        <w:t>1.</w:t>
      </w:r>
      <w:r w:rsidR="00356960" w:rsidRPr="00197941">
        <w:tab/>
      </w:r>
      <w:r w:rsidRPr="00197941">
        <w:rPr>
          <w:bCs/>
        </w:rPr>
        <w:t>Importations et exportations illicites</w:t>
      </w:r>
      <w:r w:rsidRPr="00197941">
        <w:t xml:space="preserve"> </w:t>
      </w:r>
    </w:p>
    <w:p w14:paraId="10D4C6A2" w14:textId="2BB1D1EE" w:rsidR="006A1F5E" w:rsidRPr="00197941" w:rsidRDefault="00356960" w:rsidP="006A1F5E">
      <w:pPr>
        <w:pStyle w:val="CH4"/>
      </w:pPr>
      <w:r w:rsidRPr="00197941">
        <w:rPr>
          <w:bCs/>
        </w:rPr>
        <w:tab/>
      </w:r>
      <w:r w:rsidR="000F359F" w:rsidRPr="00197941">
        <w:rPr>
          <w:bCs/>
        </w:rPr>
        <w:t>a)</w:t>
      </w:r>
      <w:r w:rsidR="006A1F5E" w:rsidRPr="00197941">
        <w:tab/>
      </w:r>
      <w:r w:rsidR="006A1F5E" w:rsidRPr="00197941">
        <w:rPr>
          <w:bCs/>
        </w:rPr>
        <w:t>Méthodes de commerce illicite employées</w:t>
      </w:r>
      <w:r w:rsidR="006A1F5E" w:rsidRPr="00197941">
        <w:t xml:space="preserve"> </w:t>
      </w:r>
    </w:p>
    <w:p w14:paraId="4DD4FECE" w14:textId="4CF48CEF"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L</w:t>
      </w:r>
      <w:r w:rsidR="009F2F08" w:rsidRPr="00197941">
        <w:t>’</w:t>
      </w:r>
      <w:r w:rsidRPr="00197941">
        <w:t>analyse des 1</w:t>
      </w:r>
      <w:r w:rsidR="00A40F60" w:rsidRPr="00197941">
        <w:t> </w:t>
      </w:r>
      <w:r w:rsidRPr="00197941">
        <w:t>107 cas signalés d</w:t>
      </w:r>
      <w:r w:rsidR="009F2F08" w:rsidRPr="00197941">
        <w:t>’</w:t>
      </w:r>
      <w:r w:rsidRPr="00197941">
        <w:t>importation et d</w:t>
      </w:r>
      <w:r w:rsidR="009F2F08" w:rsidRPr="00197941">
        <w:t>’</w:t>
      </w:r>
      <w:r w:rsidRPr="00197941">
        <w:t>exportation illicites révèle que les méthodes de commerce illicite les plus couramment utilisées combinent à la fois des irrégularités documentaires et des actes de fraude physique. La contrebande est la méthode la plus fréquemment signalée (192</w:t>
      </w:r>
      <w:r w:rsidR="00F35F61" w:rsidRPr="00197941">
        <w:t> </w:t>
      </w:r>
      <w:r w:rsidRPr="00197941">
        <w:t>cas), suivie par le non-respect des licences obligatoires et/ou des quotas imposés (166</w:t>
      </w:r>
      <w:r w:rsidR="00B3665C" w:rsidRPr="00197941">
        <w:t> </w:t>
      </w:r>
      <w:r w:rsidRPr="00197941">
        <w:t>cas) et la contrebande de bonbonnes non rechargeables (139</w:t>
      </w:r>
      <w:r w:rsidR="00B3665C" w:rsidRPr="00197941">
        <w:t> </w:t>
      </w:r>
      <w:r w:rsidRPr="00197941">
        <w:t>cas), mentionnées seules ou associées à d</w:t>
      </w:r>
      <w:r w:rsidR="009F2F08" w:rsidRPr="00197941">
        <w:t>’</w:t>
      </w:r>
      <w:r w:rsidRPr="00197941">
        <w:t>autres infractions.</w:t>
      </w:r>
    </w:p>
    <w:p w14:paraId="7F400963" w14:textId="4B6D7C07"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La fausse déclaration de substances (mentionnée seule dans 92</w:t>
      </w:r>
      <w:r w:rsidR="00E67DAB" w:rsidRPr="00197941">
        <w:t> </w:t>
      </w:r>
      <w:r w:rsidRPr="00197941">
        <w:t>cas sur un total de 168), la non</w:t>
      </w:r>
      <w:r w:rsidR="00BB40A1" w:rsidRPr="00197941">
        <w:noBreakHyphen/>
      </w:r>
      <w:r w:rsidRPr="00197941">
        <w:t>déclaration (121</w:t>
      </w:r>
      <w:r w:rsidR="00C64DE4" w:rsidRPr="00197941">
        <w:t> </w:t>
      </w:r>
      <w:r w:rsidRPr="00197941">
        <w:t>cas) et l</w:t>
      </w:r>
      <w:r w:rsidR="009F2F08" w:rsidRPr="00197941">
        <w:t>’</w:t>
      </w:r>
      <w:r w:rsidRPr="00197941">
        <w:t>étiquetage erroné (mentionné seul dans 39</w:t>
      </w:r>
      <w:r w:rsidR="00384DDB" w:rsidRPr="00197941">
        <w:t> </w:t>
      </w:r>
      <w:r w:rsidRPr="00197941">
        <w:t>cas sur un total de 54) étaient souvent signalés en combinaison avec la contrebande. La dissimulation était mentionnée seule dans 30</w:t>
      </w:r>
      <w:r w:rsidR="006C4CCF" w:rsidRPr="00197941">
        <w:t> </w:t>
      </w:r>
      <w:r w:rsidRPr="00197941">
        <w:t>cas et associée à d</w:t>
      </w:r>
      <w:r w:rsidR="009F2F08" w:rsidRPr="00197941">
        <w:t>’</w:t>
      </w:r>
      <w:r w:rsidRPr="00197941">
        <w:t>autres méthodes dans 113</w:t>
      </w:r>
      <w:r w:rsidR="00F50EC1" w:rsidRPr="00197941">
        <w:t> </w:t>
      </w:r>
      <w:r w:rsidRPr="00197941">
        <w:t>autres cas, y</w:t>
      </w:r>
      <w:r w:rsidR="0061662E" w:rsidRPr="00197941">
        <w:t> </w:t>
      </w:r>
      <w:r w:rsidRPr="00197941">
        <w:t>compris dans le cadre d</w:t>
      </w:r>
      <w:r w:rsidR="009F2F08" w:rsidRPr="00197941">
        <w:t>’</w:t>
      </w:r>
      <w:r w:rsidRPr="00197941">
        <w:t>expéditions légitimes. Les infractions liées aux quotas, notamment l</w:t>
      </w:r>
      <w:r w:rsidR="009F2F08" w:rsidRPr="00197941">
        <w:t>’</w:t>
      </w:r>
      <w:r w:rsidRPr="00197941">
        <w:t>absence de quotas et leur dépassement, le détournement des dérogations et les cas comportant des opérateurs non enregistrés ou des documents manquants, sont fréquentes et révèlent des lacunes dans les systèmes d</w:t>
      </w:r>
      <w:r w:rsidR="009F2F08" w:rsidRPr="00197941">
        <w:t>’</w:t>
      </w:r>
      <w:r w:rsidRPr="00197941">
        <w:t>octroi de licences, d</w:t>
      </w:r>
      <w:r w:rsidR="009F2F08" w:rsidRPr="00197941">
        <w:t>’</w:t>
      </w:r>
      <w:r w:rsidRPr="00197941">
        <w:t>enregistrement et de gestion des quotas. Dans 71</w:t>
      </w:r>
      <w:r w:rsidR="005B0425" w:rsidRPr="00197941">
        <w:t> </w:t>
      </w:r>
      <w:r w:rsidRPr="00197941">
        <w:t>cas, la méthode de commerce illicite avait été indiquée comme étant inconnue.</w:t>
      </w:r>
    </w:p>
    <w:p w14:paraId="56B51206" w14:textId="659C39E7"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Parmi les nouveaux cas signalés, les méthodes les plus courantes consistaient en une combinaison de non-déclaration des substances et de contrebande de bonbonnes non rechargeables (61</w:t>
      </w:r>
      <w:r w:rsidR="0006304E" w:rsidRPr="00197941">
        <w:t> </w:t>
      </w:r>
      <w:r w:rsidRPr="00197941">
        <w:t>cas). L</w:t>
      </w:r>
      <w:r w:rsidR="009F2F08" w:rsidRPr="00197941">
        <w:t>’</w:t>
      </w:r>
      <w:r w:rsidRPr="00197941">
        <w:t>absence de licences et de quotas avait été signalée dans 68</w:t>
      </w:r>
      <w:r w:rsidR="0006304E" w:rsidRPr="00197941">
        <w:t> </w:t>
      </w:r>
      <w:r w:rsidRPr="00197941">
        <w:t>cas, tandis que des fausses déclarations avaient été signalées dans 40</w:t>
      </w:r>
      <w:r w:rsidR="00F148ED" w:rsidRPr="00197941">
        <w:t> </w:t>
      </w:r>
      <w:r w:rsidRPr="00197941">
        <w:t>cas. De nombreux cas comportaient deux méthodes ou plus, ce qui souligne la nature complexe des pratiques de commerce illicite.</w:t>
      </w:r>
    </w:p>
    <w:p w14:paraId="7B816224" w14:textId="3F2608C1" w:rsidR="006A1F5E" w:rsidRPr="00197941" w:rsidRDefault="006A1F5E" w:rsidP="006A1F5E">
      <w:pPr>
        <w:pStyle w:val="CH4"/>
      </w:pPr>
      <w:r w:rsidRPr="00197941">
        <w:tab/>
      </w:r>
      <w:r w:rsidR="00895440" w:rsidRPr="00197941">
        <w:rPr>
          <w:bCs/>
        </w:rPr>
        <w:t>b)</w:t>
      </w:r>
      <w:r w:rsidR="00356960" w:rsidRPr="00197941">
        <w:tab/>
      </w:r>
      <w:r w:rsidRPr="00197941">
        <w:rPr>
          <w:bCs/>
        </w:rPr>
        <w:t>Méthodes de détection</w:t>
      </w:r>
      <w:r w:rsidRPr="00197941">
        <w:t xml:space="preserve"> </w:t>
      </w:r>
    </w:p>
    <w:p w14:paraId="2D9F09D9" w14:textId="22A8FA17"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Les informations communiquées indiquent que la détection repose principalement sur les contrôles douaniers de routine effectués aux points d</w:t>
      </w:r>
      <w:r w:rsidR="009F2F08" w:rsidRPr="00197941">
        <w:t>’</w:t>
      </w:r>
      <w:r w:rsidRPr="00197941">
        <w:t>entrée. Les méthodes les plus fréquemment citées sont les contrôles inopinés (253</w:t>
      </w:r>
      <w:r w:rsidR="008114D5" w:rsidRPr="00197941">
        <w:t> </w:t>
      </w:r>
      <w:r w:rsidRPr="00197941">
        <w:t>cas), l</w:t>
      </w:r>
      <w:r w:rsidR="009F2F08" w:rsidRPr="00197941">
        <w:t>’</w:t>
      </w:r>
      <w:r w:rsidRPr="00197941">
        <w:t>inspection des documents (188</w:t>
      </w:r>
      <w:r w:rsidR="006E14D7" w:rsidRPr="00197941">
        <w:t> </w:t>
      </w:r>
      <w:r w:rsidRPr="00197941">
        <w:t>cas) et l</w:t>
      </w:r>
      <w:r w:rsidR="009F2F08" w:rsidRPr="00197941">
        <w:t>’</w:t>
      </w:r>
      <w:r w:rsidRPr="00197941">
        <w:t>inspection physique des expéditions (157</w:t>
      </w:r>
      <w:r w:rsidR="007057DC" w:rsidRPr="00197941">
        <w:t> </w:t>
      </w:r>
      <w:r w:rsidRPr="00197941">
        <w:t>cas). Des approches plus ciblées ont été signalées moins fréquemment, y</w:t>
      </w:r>
      <w:r w:rsidR="00B90B5D" w:rsidRPr="00197941">
        <w:t> </w:t>
      </w:r>
      <w:r w:rsidRPr="00197941">
        <w:t>compris les renseignements ou les informations provenant de sources anonymes (25</w:t>
      </w:r>
      <w:r w:rsidR="00A91742" w:rsidRPr="00197941">
        <w:t> </w:t>
      </w:r>
      <w:r w:rsidRPr="00197941">
        <w:t>cas) et l</w:t>
      </w:r>
      <w:r w:rsidR="009F2F08" w:rsidRPr="00197941">
        <w:t>’</w:t>
      </w:r>
      <w:r w:rsidRPr="00197941">
        <w:t>établissement de profils de risque (29</w:t>
      </w:r>
      <w:r w:rsidR="00A91742" w:rsidRPr="00197941">
        <w:t> </w:t>
      </w:r>
      <w:r w:rsidRPr="00197941">
        <w:t>cas). Au nombre des autres méthodes citées figurent le contrôle et l</w:t>
      </w:r>
      <w:r w:rsidR="009F2F08" w:rsidRPr="00197941">
        <w:t>’</w:t>
      </w:r>
      <w:r w:rsidRPr="00197941">
        <w:t>analyse des données pour détecter les divergences (5</w:t>
      </w:r>
      <w:r w:rsidR="007D21AA" w:rsidRPr="00197941">
        <w:t> </w:t>
      </w:r>
      <w:r w:rsidRPr="00197941">
        <w:t>cas), l</w:t>
      </w:r>
      <w:r w:rsidR="009F2F08" w:rsidRPr="00197941">
        <w:t>’</w:t>
      </w:r>
      <w:r w:rsidRPr="00197941">
        <w:t>audit après dédouanement (4</w:t>
      </w:r>
      <w:r w:rsidR="002B1A48" w:rsidRPr="00197941">
        <w:t> </w:t>
      </w:r>
      <w:r w:rsidRPr="00197941">
        <w:t>cas), l</w:t>
      </w:r>
      <w:r w:rsidR="009F2F08" w:rsidRPr="00197941">
        <w:t>’</w:t>
      </w:r>
      <w:r w:rsidRPr="00197941">
        <w:t>analyse en laboratoire du contenu des bonbonnes (2</w:t>
      </w:r>
      <w:r w:rsidR="00A16F3A" w:rsidRPr="00197941">
        <w:t> </w:t>
      </w:r>
      <w:r w:rsidRPr="00197941">
        <w:t>cas), la prévention du commerce illicite au moyen de la procédure de consentement informel préalable en connaissance de cause (1</w:t>
      </w:r>
      <w:r w:rsidR="00EF64AD" w:rsidRPr="00197941">
        <w:t> </w:t>
      </w:r>
      <w:r w:rsidRPr="00197941">
        <w:t>cas), l</w:t>
      </w:r>
      <w:r w:rsidR="009F2F08" w:rsidRPr="00197941">
        <w:t>’</w:t>
      </w:r>
      <w:r w:rsidRPr="00197941">
        <w:t>autodéclaration (1</w:t>
      </w:r>
      <w:r w:rsidR="00B66FC4" w:rsidRPr="00197941">
        <w:t> </w:t>
      </w:r>
      <w:r w:rsidRPr="00197941">
        <w:t>cas) et le contrôle par rayons</w:t>
      </w:r>
      <w:r w:rsidR="00B62A46" w:rsidRPr="00197941">
        <w:t> </w:t>
      </w:r>
      <w:r w:rsidRPr="00197941">
        <w:t>X des cargaisons (1</w:t>
      </w:r>
      <w:r w:rsidR="00B62A46" w:rsidRPr="00197941">
        <w:t> </w:t>
      </w:r>
      <w:r w:rsidRPr="00197941">
        <w:t>cas). L</w:t>
      </w:r>
      <w:r w:rsidR="009F2F08" w:rsidRPr="00197941">
        <w:t>’</w:t>
      </w:r>
      <w:r w:rsidRPr="00197941">
        <w:t>utilisation d</w:t>
      </w:r>
      <w:r w:rsidR="009F2F08" w:rsidRPr="00197941">
        <w:t>’</w:t>
      </w:r>
      <w:r w:rsidRPr="00197941">
        <w:t>identificateurs de réfrigérants a été mentionnée dans 13</w:t>
      </w:r>
      <w:r w:rsidR="006D0A0C" w:rsidRPr="00197941">
        <w:t> </w:t>
      </w:r>
      <w:r w:rsidRPr="00197941">
        <w:t>cas, y</w:t>
      </w:r>
      <w:r w:rsidR="00EC6DA1" w:rsidRPr="00197941">
        <w:t> </w:t>
      </w:r>
      <w:r w:rsidRPr="00197941">
        <w:t>compris associée à d</w:t>
      </w:r>
      <w:r w:rsidR="009F2F08" w:rsidRPr="00197941">
        <w:t>’</w:t>
      </w:r>
      <w:r w:rsidRPr="00197941">
        <w:t>autres méthodes.</w:t>
      </w:r>
    </w:p>
    <w:p w14:paraId="49498C98" w14:textId="021A141C"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Parmi les nouveaux cas signalés, l</w:t>
      </w:r>
      <w:r w:rsidR="009F2F08" w:rsidRPr="00197941">
        <w:t>’</w:t>
      </w:r>
      <w:r w:rsidRPr="00197941">
        <w:t>inspection des documents et de</w:t>
      </w:r>
      <w:r w:rsidR="00A45F46" w:rsidRPr="00197941">
        <w:t>s</w:t>
      </w:r>
      <w:r w:rsidRPr="00197941">
        <w:t xml:space="preserve"> expéditions, utilisées dans 82</w:t>
      </w:r>
      <w:r w:rsidR="001B5CE9" w:rsidRPr="00197941">
        <w:t> </w:t>
      </w:r>
      <w:r w:rsidRPr="00197941">
        <w:t>cas, demeuraient les méthodes les plus courantes, ce qui témoignait de la constance du recours à ces contrôles de première ligne. Deux</w:t>
      </w:r>
      <w:r w:rsidR="00EC6DA1" w:rsidRPr="00197941">
        <w:t> </w:t>
      </w:r>
      <w:r w:rsidRPr="00197941">
        <w:t>Parties ayant indiqué n</w:t>
      </w:r>
      <w:r w:rsidR="009F2F08" w:rsidRPr="00197941">
        <w:t>’</w:t>
      </w:r>
      <w:r w:rsidRPr="00197941">
        <w:t>avoir aucun cas de commerce illicite à signaler ont attribué cette situation à la collaboration interinstitutionnelle entre les autorités douanières et les autres services chargés de l</w:t>
      </w:r>
      <w:r w:rsidR="009F2F08" w:rsidRPr="00197941">
        <w:t>’</w:t>
      </w:r>
      <w:r w:rsidRPr="00197941">
        <w:t>application de la loi en vue de l</w:t>
      </w:r>
      <w:r w:rsidR="009F2F08" w:rsidRPr="00197941">
        <w:t>’</w:t>
      </w:r>
      <w:r w:rsidRPr="00197941">
        <w:t>application d</w:t>
      </w:r>
      <w:r w:rsidR="009F2F08" w:rsidRPr="00197941">
        <w:t>’</w:t>
      </w:r>
      <w:r w:rsidRPr="00197941">
        <w:t>approches de gestion des risques destinées à prévenir un tel commerce.</w:t>
      </w:r>
    </w:p>
    <w:p w14:paraId="25A376FE" w14:textId="6FD66562" w:rsidR="006A1F5E" w:rsidRPr="00197941" w:rsidRDefault="006A1F5E" w:rsidP="006A1F5E">
      <w:pPr>
        <w:pStyle w:val="Normalnumber"/>
        <w:tabs>
          <w:tab w:val="clear" w:pos="1247"/>
          <w:tab w:val="clear" w:pos="1814"/>
          <w:tab w:val="clear" w:pos="2381"/>
          <w:tab w:val="clear" w:pos="2948"/>
          <w:tab w:val="clear" w:pos="3515"/>
          <w:tab w:val="num" w:pos="624"/>
        </w:tabs>
        <w:rPr>
          <w:rFonts w:eastAsia="Aptos"/>
          <w:kern w:val="2"/>
          <w14:ligatures w14:val="standardContextual"/>
        </w:rPr>
      </w:pPr>
      <w:r w:rsidRPr="00197941">
        <w:t>Ces données montrent qu</w:t>
      </w:r>
      <w:r w:rsidR="009F2F08" w:rsidRPr="00197941">
        <w:t>’</w:t>
      </w:r>
      <w:r w:rsidRPr="00197941">
        <w:t>il importe de maintenir de solides capacités d</w:t>
      </w:r>
      <w:r w:rsidR="009F2F08" w:rsidRPr="00197941">
        <w:t>’</w:t>
      </w:r>
      <w:r w:rsidRPr="00197941">
        <w:t>inspection en première</w:t>
      </w:r>
      <w:r w:rsidR="00370904" w:rsidRPr="00197941">
        <w:t> </w:t>
      </w:r>
      <w:r w:rsidRPr="00197941">
        <w:t>ligne, les contrôles douaniers classiques continuant de jouer un rôle central dans la détection des expéditions non conformes. Cependant, le fait que la détection survienne principalement dans le cadre de procédures douanières pourrait indiquer une mobilisation limitée des autres acteurs chargés de l</w:t>
      </w:r>
      <w:r w:rsidR="009F2F08" w:rsidRPr="00197941">
        <w:t>’</w:t>
      </w:r>
      <w:r w:rsidRPr="00197941">
        <w:t>application de la loi, ce qui entraîne un risque de non-détection des expéditions ne faisant pas l</w:t>
      </w:r>
      <w:r w:rsidR="009F2F08" w:rsidRPr="00197941">
        <w:t>’</w:t>
      </w:r>
      <w:r w:rsidRPr="00197941">
        <w:t>objet d</w:t>
      </w:r>
      <w:r w:rsidR="009F2F08" w:rsidRPr="00197941">
        <w:t>’</w:t>
      </w:r>
      <w:r w:rsidRPr="00197941">
        <w:t>inspections. Le recours relativement limité aux approches fondées sur le renseignement et axées sur les risques laisse entrevoir la possibilité d</w:t>
      </w:r>
      <w:r w:rsidR="009F2F08" w:rsidRPr="00197941">
        <w:t>’</w:t>
      </w:r>
      <w:r w:rsidRPr="00197941">
        <w:t xml:space="preserve">un renforcement des mesures complémentaires. </w:t>
      </w:r>
      <w:r w:rsidRPr="00197941">
        <w:lastRenderedPageBreak/>
        <w:t>Une meilleure intégration des renseignements, des profils de risque et des outils techniques, associée à</w:t>
      </w:r>
      <w:r w:rsidR="002110F9" w:rsidRPr="00197941">
        <w:t> </w:t>
      </w:r>
      <w:r w:rsidRPr="00197941">
        <w:t>une coopération interinstitutionnelle accrue, pourrait renforcer les capacités des autorités chargées de l</w:t>
      </w:r>
      <w:r w:rsidR="009F2F08" w:rsidRPr="00197941">
        <w:t>’</w:t>
      </w:r>
      <w:r w:rsidRPr="00197941">
        <w:t>application de la loi à détecter davantage de cas de commerce illicite et favoriser une réponse plus globale en matière de répression.</w:t>
      </w:r>
    </w:p>
    <w:p w14:paraId="0B18A49A" w14:textId="22511D3F" w:rsidR="006A1F5E" w:rsidRPr="00197941" w:rsidRDefault="006A1F5E" w:rsidP="006A1F5E">
      <w:pPr>
        <w:pStyle w:val="Normalnumber"/>
        <w:tabs>
          <w:tab w:val="clear" w:pos="1247"/>
          <w:tab w:val="clear" w:pos="1814"/>
          <w:tab w:val="clear" w:pos="2381"/>
          <w:tab w:val="clear" w:pos="2948"/>
          <w:tab w:val="clear" w:pos="3515"/>
          <w:tab w:val="num" w:pos="624"/>
        </w:tabs>
        <w:rPr>
          <w:rFonts w:eastAsia="Aptos"/>
          <w:kern w:val="2"/>
          <w14:ligatures w14:val="standardContextual"/>
        </w:rPr>
      </w:pPr>
      <w:r w:rsidRPr="00197941">
        <w:t>Une autre catégorie de cas comprend ceux pour lesquels aucune méthode de détection n</w:t>
      </w:r>
      <w:r w:rsidR="009F2F08" w:rsidRPr="00197941">
        <w:t>’</w:t>
      </w:r>
      <w:r w:rsidRPr="00197941">
        <w:t>a été déclarée ou dont les détails sont vagues et mélangés à d</w:t>
      </w:r>
      <w:r w:rsidR="009F2F08" w:rsidRPr="00197941">
        <w:t>’</w:t>
      </w:r>
      <w:r w:rsidRPr="00197941">
        <w:t>autres informations. Dans 397</w:t>
      </w:r>
      <w:r w:rsidR="00484BB0" w:rsidRPr="00197941">
        <w:t> </w:t>
      </w:r>
      <w:r w:rsidRPr="00197941">
        <w:t>cas (y</w:t>
      </w:r>
      <w:r w:rsidR="00484BB0" w:rsidRPr="00197941">
        <w:t> </w:t>
      </w:r>
      <w:r w:rsidRPr="00197941">
        <w:t>compris certains parmi ceux nouvellement signalés), le manque de détails communiqués empêche de comprendre pleinement les pratiques de répression mises en œuvre et leur impact. Le Secrétariat continue d</w:t>
      </w:r>
      <w:r w:rsidR="009F2F08" w:rsidRPr="00197941">
        <w:t>’</w:t>
      </w:r>
      <w:r w:rsidRPr="00197941">
        <w:t>échanger avec les Parties afin d</w:t>
      </w:r>
      <w:r w:rsidR="009F2F08" w:rsidRPr="00197941">
        <w:t>’</w:t>
      </w:r>
      <w:r w:rsidRPr="00197941">
        <w:t>obtenir des précisions sur les informations communiquées, dans le but d</w:t>
      </w:r>
      <w:r w:rsidR="009F2F08" w:rsidRPr="00197941">
        <w:t>’</w:t>
      </w:r>
      <w:r w:rsidRPr="00197941">
        <w:t>en améliorer l</w:t>
      </w:r>
      <w:r w:rsidR="009F2F08" w:rsidRPr="00197941">
        <w:t>’</w:t>
      </w:r>
      <w:r w:rsidRPr="00197941">
        <w:t>exhaustivité et la cohérence, tout en veillant à ne pas alourdir la charge administrative qui pèse sur les Parties.</w:t>
      </w:r>
    </w:p>
    <w:p w14:paraId="4B6F4F82" w14:textId="50012D19" w:rsidR="006A1F5E" w:rsidRPr="00197941" w:rsidRDefault="006A1F5E" w:rsidP="006A1F5E">
      <w:pPr>
        <w:pStyle w:val="CH4"/>
      </w:pPr>
      <w:r w:rsidRPr="00197941">
        <w:tab/>
      </w:r>
      <w:r w:rsidR="00E15D1A" w:rsidRPr="00197941">
        <w:rPr>
          <w:bCs/>
        </w:rPr>
        <w:t>c)</w:t>
      </w:r>
      <w:r w:rsidR="00356960" w:rsidRPr="00197941">
        <w:tab/>
      </w:r>
      <w:r w:rsidRPr="00197941">
        <w:rPr>
          <w:bCs/>
        </w:rPr>
        <w:t>Mesures de répression</w:t>
      </w:r>
      <w:r w:rsidRPr="00197941">
        <w:t xml:space="preserve"> </w:t>
      </w:r>
    </w:p>
    <w:p w14:paraId="084A0479" w14:textId="28A321E9"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L</w:t>
      </w:r>
      <w:r w:rsidR="009F2F08" w:rsidRPr="00197941">
        <w:t>’</w:t>
      </w:r>
      <w:r w:rsidRPr="00197941">
        <w:t>examen des 1 107 cas signalés montre que le type et la sévérité des mesures de répression varient</w:t>
      </w:r>
      <w:r w:rsidRPr="00197941">
        <w:rPr>
          <w:vertAlign w:val="superscript"/>
        </w:rPr>
        <w:footnoteReference w:id="8"/>
      </w:r>
      <w:r w:rsidRPr="00197941">
        <w:t>. Elles sont appliquées de manière graduée et combinatoire en fonction du cycle de répression.</w:t>
      </w:r>
    </w:p>
    <w:p w14:paraId="1A9A4C0F" w14:textId="23080999"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Lorsqu</w:t>
      </w:r>
      <w:r w:rsidR="009F2F08" w:rsidRPr="00197941">
        <w:t>’</w:t>
      </w:r>
      <w:r w:rsidRPr="00197941">
        <w:t>un cas possible de commerce illicite est détecté, la saisie (définie comme la dépossession temporaire de marchandises)</w:t>
      </w:r>
      <w:r w:rsidRPr="00197941">
        <w:rPr>
          <w:vertAlign w:val="superscript"/>
        </w:rPr>
        <w:footnoteReference w:id="9"/>
      </w:r>
      <w:r w:rsidRPr="00197941">
        <w:t xml:space="preserve"> des substances réglementées ou équipements importés illicitement ou ayant fait l</w:t>
      </w:r>
      <w:r w:rsidR="009F2F08" w:rsidRPr="00197941">
        <w:t>’</w:t>
      </w:r>
      <w:r w:rsidRPr="00197941">
        <w:t>objet d</w:t>
      </w:r>
      <w:r w:rsidR="009F2F08" w:rsidRPr="00197941">
        <w:t>’</w:t>
      </w:r>
      <w:r w:rsidRPr="00197941">
        <w:t>une tentative d</w:t>
      </w:r>
      <w:r w:rsidR="009F2F08" w:rsidRPr="00197941">
        <w:t>’</w:t>
      </w:r>
      <w:r w:rsidRPr="00197941">
        <w:t>exportation illicite constitue souvent une première</w:t>
      </w:r>
      <w:r w:rsidR="002A24D4" w:rsidRPr="00197941">
        <w:t> </w:t>
      </w:r>
      <w:r w:rsidRPr="00197941">
        <w:t>mesure qui permet d</w:t>
      </w:r>
      <w:r w:rsidR="009F2F08" w:rsidRPr="00197941">
        <w:t>’</w:t>
      </w:r>
      <w:r w:rsidRPr="00197941">
        <w:t>empêcher les marchandises d</w:t>
      </w:r>
      <w:r w:rsidR="009F2F08" w:rsidRPr="00197941">
        <w:t>’</w:t>
      </w:r>
      <w:r w:rsidRPr="00197941">
        <w:t>entrer sur le marché, dans l</w:t>
      </w:r>
      <w:r w:rsidR="009F2F08" w:rsidRPr="00197941">
        <w:t>’</w:t>
      </w:r>
      <w:r w:rsidRPr="00197941">
        <w:t>attente des résultats de l</w:t>
      </w:r>
      <w:r w:rsidR="009F2F08" w:rsidRPr="00197941">
        <w:t>’</w:t>
      </w:r>
      <w:r w:rsidRPr="00197941">
        <w:t>enquête. La saisie est suivie d</w:t>
      </w:r>
      <w:r w:rsidR="009F2F08" w:rsidRPr="00197941">
        <w:t>’</w:t>
      </w:r>
      <w:r w:rsidRPr="00197941">
        <w:t>une plainte auprès des autorités administratives ou judiciaires et de l</w:t>
      </w:r>
      <w:r w:rsidR="009F2F08" w:rsidRPr="00197941">
        <w:t>’</w:t>
      </w:r>
      <w:r w:rsidRPr="00197941">
        <w:t>ouverture d</w:t>
      </w:r>
      <w:r w:rsidR="009F2F08" w:rsidRPr="00197941">
        <w:t>’</w:t>
      </w:r>
      <w:r w:rsidRPr="00197941">
        <w:t>une procédure administrative ou pénale, les lois anti-contrebande et/ou environnementales étant citées comme fondement de ces procédures.</w:t>
      </w:r>
    </w:p>
    <w:p w14:paraId="2C649479" w14:textId="45EEE9DB"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Les résultats des procédures judiciaires engagées au sujet des cas signalés ont été les suivants</w:t>
      </w:r>
      <w:r w:rsidR="009F2F08" w:rsidRPr="00197941">
        <w:t> :</w:t>
      </w:r>
    </w:p>
    <w:p w14:paraId="29A0A233" w14:textId="376F6629" w:rsidR="006A1F5E" w:rsidRPr="00197941" w:rsidRDefault="006A1F5E" w:rsidP="00E15D1A">
      <w:pPr>
        <w:pStyle w:val="Normalnumber"/>
        <w:numPr>
          <w:ilvl w:val="1"/>
          <w:numId w:val="1"/>
        </w:numPr>
        <w:tabs>
          <w:tab w:val="clear" w:pos="1247"/>
          <w:tab w:val="clear" w:pos="1814"/>
          <w:tab w:val="clear" w:pos="2381"/>
          <w:tab w:val="clear" w:pos="2495"/>
          <w:tab w:val="clear" w:pos="2948"/>
          <w:tab w:val="clear" w:pos="3119"/>
          <w:tab w:val="clear" w:pos="3515"/>
          <w:tab w:val="left" w:pos="624"/>
          <w:tab w:val="left" w:pos="2552"/>
        </w:tabs>
      </w:pPr>
      <w:r w:rsidRPr="00197941">
        <w:t>Saisie ou confiscation (dépossession permanente)</w:t>
      </w:r>
      <w:r w:rsidRPr="00197941">
        <w:rPr>
          <w:vertAlign w:val="superscript"/>
        </w:rPr>
        <w:footnoteReference w:id="10"/>
      </w:r>
      <w:r w:rsidRPr="00197941">
        <w:t xml:space="preserve"> dans environ 636 cas</w:t>
      </w:r>
      <w:r w:rsidR="009F2F08" w:rsidRPr="00197941">
        <w:t> ;</w:t>
      </w:r>
    </w:p>
    <w:p w14:paraId="127B59DE" w14:textId="11C34820" w:rsidR="006A1F5E" w:rsidRPr="00197941" w:rsidRDefault="006A1F5E" w:rsidP="00E15D1A">
      <w:pPr>
        <w:pStyle w:val="Normalnumber"/>
        <w:numPr>
          <w:ilvl w:val="1"/>
          <w:numId w:val="1"/>
        </w:numPr>
        <w:tabs>
          <w:tab w:val="clear" w:pos="1247"/>
          <w:tab w:val="clear" w:pos="1814"/>
          <w:tab w:val="clear" w:pos="2381"/>
          <w:tab w:val="clear" w:pos="2495"/>
          <w:tab w:val="clear" w:pos="2948"/>
          <w:tab w:val="clear" w:pos="3119"/>
          <w:tab w:val="clear" w:pos="3515"/>
          <w:tab w:val="left" w:pos="624"/>
          <w:tab w:val="left" w:pos="2552"/>
        </w:tabs>
      </w:pPr>
      <w:r w:rsidRPr="00197941">
        <w:t>Amendes et sanctions dans environ 265</w:t>
      </w:r>
      <w:r w:rsidR="00F32423" w:rsidRPr="00197941">
        <w:t> </w:t>
      </w:r>
      <w:r w:rsidRPr="00197941">
        <w:t>cas, dont la sévérité varie grandement en fonction de la nature et de l</w:t>
      </w:r>
      <w:r w:rsidR="009F2F08" w:rsidRPr="00197941">
        <w:t>’</w:t>
      </w:r>
      <w:r w:rsidRPr="00197941">
        <w:t>ampleur de l</w:t>
      </w:r>
      <w:r w:rsidR="009F2F08" w:rsidRPr="00197941">
        <w:t>’</w:t>
      </w:r>
      <w:r w:rsidRPr="00197941">
        <w:t>infraction, y compris une amende de 25 dollars pour l</w:t>
      </w:r>
      <w:r w:rsidR="009F2F08" w:rsidRPr="00197941">
        <w:t>’</w:t>
      </w:r>
      <w:r w:rsidRPr="00197941">
        <w:t>importation illicite de 36 kg de HFC-134a et de CFC-12, par dissimulation, sur le territoire d</w:t>
      </w:r>
      <w:r w:rsidR="009F2F08" w:rsidRPr="00197941">
        <w:t>’</w:t>
      </w:r>
      <w:r w:rsidRPr="00197941">
        <w:t>une Partie visée à l</w:t>
      </w:r>
      <w:r w:rsidR="009F2F08" w:rsidRPr="00197941">
        <w:t>’</w:t>
      </w:r>
      <w:r w:rsidRPr="00197941">
        <w:t>article</w:t>
      </w:r>
      <w:r w:rsidR="001F4681" w:rsidRPr="00197941">
        <w:t> </w:t>
      </w:r>
      <w:r w:rsidRPr="00197941">
        <w:t>5, une amende de 12 700 dollars pour l</w:t>
      </w:r>
      <w:r w:rsidR="009F2F08" w:rsidRPr="00197941">
        <w:t>’</w:t>
      </w:r>
      <w:r w:rsidRPr="00197941">
        <w:t>importation illicite de 544 kg de HCFC</w:t>
      </w:r>
      <w:r w:rsidR="00712050" w:rsidRPr="00197941">
        <w:noBreakHyphen/>
      </w:r>
      <w:r w:rsidRPr="00197941">
        <w:t>22, sans licence et par fausse déclaration, sur le territoire d</w:t>
      </w:r>
      <w:r w:rsidR="009F2F08" w:rsidRPr="00197941">
        <w:t>’</w:t>
      </w:r>
      <w:r w:rsidRPr="00197941">
        <w:t>une Partie visée à l</w:t>
      </w:r>
      <w:r w:rsidR="009F2F08" w:rsidRPr="00197941">
        <w:t>’</w:t>
      </w:r>
      <w:r w:rsidRPr="00197941">
        <w:t>article</w:t>
      </w:r>
      <w:r w:rsidR="00A72D07" w:rsidRPr="00197941">
        <w:t> </w:t>
      </w:r>
      <w:r w:rsidRPr="00197941">
        <w:t>5 et une amende de 40 000 dollars pour l</w:t>
      </w:r>
      <w:r w:rsidR="009F2F08" w:rsidRPr="00197941">
        <w:t>’</w:t>
      </w:r>
      <w:r w:rsidRPr="00197941">
        <w:t>importation illicite de 22 900 kg de HCFC-22, par fausse déclaration et étiquetage incorrect, sur le territoire d</w:t>
      </w:r>
      <w:r w:rsidR="009F2F08" w:rsidRPr="00197941">
        <w:t>’</w:t>
      </w:r>
      <w:r w:rsidRPr="00197941">
        <w:t>une Partie non visée à l</w:t>
      </w:r>
      <w:r w:rsidR="009F2F08" w:rsidRPr="00197941">
        <w:t>’</w:t>
      </w:r>
      <w:r w:rsidRPr="00197941">
        <w:t>article 5</w:t>
      </w:r>
      <w:r w:rsidR="009F2F08" w:rsidRPr="00197941">
        <w:t> ;</w:t>
      </w:r>
    </w:p>
    <w:p w14:paraId="21335D3C" w14:textId="207F6443" w:rsidR="006A1F5E" w:rsidRPr="00197941" w:rsidRDefault="006A1F5E" w:rsidP="00E6387E">
      <w:pPr>
        <w:pStyle w:val="Normalnumber"/>
        <w:numPr>
          <w:ilvl w:val="1"/>
          <w:numId w:val="1"/>
        </w:numPr>
        <w:tabs>
          <w:tab w:val="clear" w:pos="1247"/>
          <w:tab w:val="clear" w:pos="1814"/>
          <w:tab w:val="clear" w:pos="2381"/>
          <w:tab w:val="clear" w:pos="2495"/>
          <w:tab w:val="clear" w:pos="2948"/>
          <w:tab w:val="clear" w:pos="3119"/>
          <w:tab w:val="clear" w:pos="3515"/>
          <w:tab w:val="left" w:pos="624"/>
          <w:tab w:val="left" w:pos="2552"/>
        </w:tabs>
      </w:pPr>
      <w:r w:rsidRPr="00197941">
        <w:t>Réexportation ou refus d</w:t>
      </w:r>
      <w:r w:rsidR="009F2F08" w:rsidRPr="00197941">
        <w:t>’</w:t>
      </w:r>
      <w:r w:rsidRPr="00197941">
        <w:t>entrée dans environ 215</w:t>
      </w:r>
      <w:r w:rsidR="00C05820" w:rsidRPr="00197941">
        <w:t> </w:t>
      </w:r>
      <w:r w:rsidRPr="00197941">
        <w:t>cas, y</w:t>
      </w:r>
      <w:r w:rsidR="0011235A" w:rsidRPr="00197941">
        <w:t> </w:t>
      </w:r>
      <w:r w:rsidRPr="00197941">
        <w:t>compris le renvoi des marchandises vers leur pays d</w:t>
      </w:r>
      <w:r w:rsidR="009F2F08" w:rsidRPr="00197941">
        <w:t>’</w:t>
      </w:r>
      <w:r w:rsidRPr="00197941">
        <w:t>origine ou le refus de leur entrée à la frontière</w:t>
      </w:r>
      <w:r w:rsidR="009F2F08" w:rsidRPr="00197941">
        <w:t> ;</w:t>
      </w:r>
    </w:p>
    <w:p w14:paraId="4A8C9A7E" w14:textId="7E4E25F5" w:rsidR="006A1F5E" w:rsidRPr="00197941" w:rsidRDefault="006A1F5E" w:rsidP="00E6387E">
      <w:pPr>
        <w:pStyle w:val="Normalnumber"/>
        <w:numPr>
          <w:ilvl w:val="1"/>
          <w:numId w:val="1"/>
        </w:numPr>
        <w:tabs>
          <w:tab w:val="clear" w:pos="1247"/>
          <w:tab w:val="clear" w:pos="1814"/>
          <w:tab w:val="clear" w:pos="2381"/>
          <w:tab w:val="clear" w:pos="2495"/>
          <w:tab w:val="clear" w:pos="2948"/>
          <w:tab w:val="clear" w:pos="3119"/>
          <w:tab w:val="clear" w:pos="3515"/>
          <w:tab w:val="left" w:pos="624"/>
          <w:tab w:val="left" w:pos="2552"/>
        </w:tabs>
      </w:pPr>
      <w:r w:rsidRPr="00197941">
        <w:t>Poursuites pénales dans environ 63</w:t>
      </w:r>
      <w:r w:rsidR="005E752B" w:rsidRPr="00197941">
        <w:t> </w:t>
      </w:r>
      <w:r w:rsidRPr="00197941">
        <w:t>cas à l</w:t>
      </w:r>
      <w:r w:rsidR="009F2F08" w:rsidRPr="00197941">
        <w:t>’</w:t>
      </w:r>
      <w:r w:rsidRPr="00197941">
        <w:t>encontre de personnes physiques et morales ayant participé à des activités de commerce illicite, ce qui a donné lieu à des mesures telles que la confiscation, des amendes, la suspension ou le retrait de licences, des arrestations et, dans certains cas, des peines d</w:t>
      </w:r>
      <w:r w:rsidR="009F2F08" w:rsidRPr="00197941">
        <w:t>’</w:t>
      </w:r>
      <w:r w:rsidRPr="00197941">
        <w:t>emprisonnement</w:t>
      </w:r>
      <w:r w:rsidR="009F2F08" w:rsidRPr="00197941">
        <w:t> ;</w:t>
      </w:r>
    </w:p>
    <w:p w14:paraId="0F0FA97F" w14:textId="311EF19D" w:rsidR="006A1F5E" w:rsidRPr="00197941" w:rsidRDefault="006A1F5E" w:rsidP="00E54E63">
      <w:pPr>
        <w:pStyle w:val="Normalnumber"/>
        <w:numPr>
          <w:ilvl w:val="1"/>
          <w:numId w:val="1"/>
        </w:numPr>
        <w:tabs>
          <w:tab w:val="clear" w:pos="1247"/>
          <w:tab w:val="clear" w:pos="1814"/>
          <w:tab w:val="clear" w:pos="2381"/>
          <w:tab w:val="clear" w:pos="2495"/>
          <w:tab w:val="clear" w:pos="2948"/>
          <w:tab w:val="clear" w:pos="3119"/>
          <w:tab w:val="clear" w:pos="3515"/>
          <w:tab w:val="left" w:pos="624"/>
          <w:tab w:val="left" w:pos="2552"/>
        </w:tabs>
      </w:pPr>
      <w:r w:rsidRPr="00197941">
        <w:t>Injonctions de mise en conformité dans environ 26</w:t>
      </w:r>
      <w:r w:rsidR="00742E24" w:rsidRPr="00197941">
        <w:t> </w:t>
      </w:r>
      <w:r w:rsidRPr="00197941">
        <w:t>cas, les contrevenant(e)s étant contraint(e)s de régulariser leurs activités conformément aux systèmes d</w:t>
      </w:r>
      <w:r w:rsidR="009F2F08" w:rsidRPr="00197941">
        <w:t>’</w:t>
      </w:r>
      <w:r w:rsidRPr="00197941">
        <w:t>octroi de licence</w:t>
      </w:r>
      <w:r w:rsidR="00F424A2" w:rsidRPr="00197941">
        <w:t>s</w:t>
      </w:r>
      <w:r w:rsidRPr="00197941">
        <w:t xml:space="preserve"> et de quotas applicables avant la mainlevée ou la mise en circulation légale des marchandises</w:t>
      </w:r>
      <w:r w:rsidR="009F2F08" w:rsidRPr="00197941">
        <w:t> ;</w:t>
      </w:r>
      <w:r w:rsidRPr="00197941">
        <w:t xml:space="preserve"> </w:t>
      </w:r>
    </w:p>
    <w:p w14:paraId="66E618D1" w14:textId="6E717039" w:rsidR="006A1F5E" w:rsidRPr="00197941" w:rsidRDefault="006A1F5E" w:rsidP="00E54E63">
      <w:pPr>
        <w:pStyle w:val="Normalnumber"/>
        <w:numPr>
          <w:ilvl w:val="1"/>
          <w:numId w:val="1"/>
        </w:numPr>
        <w:tabs>
          <w:tab w:val="clear" w:pos="1247"/>
          <w:tab w:val="clear" w:pos="1814"/>
          <w:tab w:val="clear" w:pos="2381"/>
          <w:tab w:val="clear" w:pos="2495"/>
          <w:tab w:val="clear" w:pos="2948"/>
          <w:tab w:val="clear" w:pos="3119"/>
          <w:tab w:val="clear" w:pos="3515"/>
          <w:tab w:val="left" w:pos="624"/>
          <w:tab w:val="left" w:pos="2552"/>
        </w:tabs>
      </w:pPr>
      <w:r w:rsidRPr="00197941">
        <w:t>Clôture du dossier après régularisation ou accord administratif entre les contrevenant(e)s et les autorités dans environ 44 cas</w:t>
      </w:r>
      <w:r w:rsidR="009F2F08" w:rsidRPr="00197941">
        <w:t> ;</w:t>
      </w:r>
      <w:r w:rsidRPr="00197941">
        <w:t xml:space="preserve"> </w:t>
      </w:r>
    </w:p>
    <w:p w14:paraId="24530629" w14:textId="3215765A" w:rsidR="006A1F5E" w:rsidRPr="00197941" w:rsidRDefault="006A1F5E" w:rsidP="00E54E63">
      <w:pPr>
        <w:pStyle w:val="Normalnumber"/>
        <w:numPr>
          <w:ilvl w:val="1"/>
          <w:numId w:val="1"/>
        </w:numPr>
        <w:tabs>
          <w:tab w:val="clear" w:pos="1247"/>
          <w:tab w:val="clear" w:pos="1814"/>
          <w:tab w:val="clear" w:pos="2381"/>
          <w:tab w:val="clear" w:pos="2495"/>
          <w:tab w:val="clear" w:pos="2948"/>
          <w:tab w:val="clear" w:pos="3119"/>
          <w:tab w:val="clear" w:pos="3515"/>
          <w:tab w:val="left" w:pos="624"/>
          <w:tab w:val="left" w:pos="2552"/>
        </w:tabs>
      </w:pPr>
      <w:r w:rsidRPr="00197941">
        <w:t>Autres mesures de répression, y</w:t>
      </w:r>
      <w:r w:rsidR="00612097" w:rsidRPr="00197941">
        <w:t> </w:t>
      </w:r>
      <w:r w:rsidRPr="00197941">
        <w:t>compris la destruction des marchandises aux frais du (de la) contrevenant(e) (12</w:t>
      </w:r>
      <w:r w:rsidR="00EB5D61" w:rsidRPr="00197941">
        <w:t> </w:t>
      </w:r>
      <w:r w:rsidRPr="00197941">
        <w:t>cas), des avertissements ou des notifications (12</w:t>
      </w:r>
      <w:r w:rsidR="00B66074" w:rsidRPr="00197941">
        <w:t> </w:t>
      </w:r>
      <w:r w:rsidRPr="00197941">
        <w:t>cas), ainsi que la suspension, la révocation ou la réattribution de licences et de quotas, en particulier dans les cas de dépassement de quotas et d</w:t>
      </w:r>
      <w:r w:rsidR="009F2F08" w:rsidRPr="00197941">
        <w:t>’</w:t>
      </w:r>
      <w:r w:rsidRPr="00197941">
        <w:t>infractions liées à la documentation.</w:t>
      </w:r>
    </w:p>
    <w:p w14:paraId="20200C84" w14:textId="075ECE76" w:rsidR="006A1F5E" w:rsidRPr="00197941" w:rsidRDefault="006A1F5E" w:rsidP="004F7A7B">
      <w:pPr>
        <w:pStyle w:val="Normalnumber"/>
        <w:keepNext/>
        <w:keepLines/>
        <w:tabs>
          <w:tab w:val="clear" w:pos="1247"/>
          <w:tab w:val="clear" w:pos="1814"/>
          <w:tab w:val="clear" w:pos="2381"/>
          <w:tab w:val="clear" w:pos="2948"/>
          <w:tab w:val="clear" w:pos="3515"/>
          <w:tab w:val="num" w:pos="624"/>
        </w:tabs>
      </w:pPr>
      <w:r w:rsidRPr="00197941">
        <w:lastRenderedPageBreak/>
        <w:t>Parmi les nouveaux cas signalés, les mesures de répression les plus courantes étaient la confiscation ou la saisie, le refus d</w:t>
      </w:r>
      <w:r w:rsidR="009F2F08" w:rsidRPr="00197941">
        <w:t>’</w:t>
      </w:r>
      <w:r w:rsidRPr="00197941">
        <w:t>entrée ou la réexportation, les amendes ou avis de sanction, ainsi</w:t>
      </w:r>
      <w:r w:rsidR="00CA5540" w:rsidRPr="00197941">
        <w:t> </w:t>
      </w:r>
      <w:r w:rsidRPr="00197941">
        <w:t>que la clôture du dossier après régularisation (on trouvera plus de détails sur les méthodes de régularisation au par</w:t>
      </w:r>
      <w:r w:rsidR="00CA5540" w:rsidRPr="00197941">
        <w:t>agraphe</w:t>
      </w:r>
      <w:r w:rsidR="00131B71" w:rsidRPr="00197941">
        <w:t> </w:t>
      </w:r>
      <w:r w:rsidRPr="00197941">
        <w:t>33 ci-dessous).</w:t>
      </w:r>
    </w:p>
    <w:p w14:paraId="088CF195" w14:textId="45C67882" w:rsidR="006A1F5E" w:rsidRPr="00197941" w:rsidRDefault="00D60152" w:rsidP="006A1F5E">
      <w:pPr>
        <w:pStyle w:val="Normalnumber"/>
        <w:tabs>
          <w:tab w:val="clear" w:pos="1247"/>
          <w:tab w:val="clear" w:pos="1814"/>
          <w:tab w:val="clear" w:pos="2381"/>
          <w:tab w:val="clear" w:pos="2948"/>
          <w:tab w:val="clear" w:pos="3515"/>
          <w:tab w:val="num" w:pos="624"/>
        </w:tabs>
      </w:pPr>
      <w:r w:rsidRPr="00197941">
        <w:t>D</w:t>
      </w:r>
      <w:r w:rsidR="009F2F08" w:rsidRPr="00197941">
        <w:t>’</w:t>
      </w:r>
      <w:r w:rsidRPr="00197941">
        <w:t>après les cas examinés, l</w:t>
      </w:r>
      <w:r w:rsidR="009F2F08" w:rsidRPr="00197941">
        <w:t>’</w:t>
      </w:r>
      <w:r w:rsidRPr="00197941">
        <w:t>application d</w:t>
      </w:r>
      <w:r w:rsidR="009F2F08" w:rsidRPr="00197941">
        <w:t>’</w:t>
      </w:r>
      <w:r w:rsidRPr="00197941">
        <w:t>une combinaison de mesures de répression et de sanctions consécutives, fondées sur un cadre juridique complet, constitue une réponse plus robuste en matière de répression. Ainsi, l</w:t>
      </w:r>
      <w:r w:rsidR="009F2F08" w:rsidRPr="00197941">
        <w:t>’</w:t>
      </w:r>
      <w:r w:rsidRPr="00197941">
        <w:t>imposition d</w:t>
      </w:r>
      <w:r w:rsidR="009F2F08" w:rsidRPr="00197941">
        <w:t>’</w:t>
      </w:r>
      <w:r w:rsidRPr="00197941">
        <w:t>amendes peut s</w:t>
      </w:r>
      <w:r w:rsidR="009F2F08" w:rsidRPr="00197941">
        <w:t>’</w:t>
      </w:r>
      <w:r w:rsidRPr="00197941">
        <w:t>accompagner d</w:t>
      </w:r>
      <w:r w:rsidR="009F2F08" w:rsidRPr="00197941">
        <w:t>’</w:t>
      </w:r>
      <w:r w:rsidRPr="00197941">
        <w:t>autres formes de sanctions, telles que la confiscation, la réexportation ou la destruction aux frais du (de la) contrevenant(e). Dans ces cas, la charge financière totale pesant sur le (la) contrevenant(e) peut être importante, ce qui constitue un moyen de dissuasion efficace.</w:t>
      </w:r>
    </w:p>
    <w:p w14:paraId="221C9B80" w14:textId="144A0A53" w:rsidR="006A1F5E" w:rsidRPr="00197941" w:rsidRDefault="00834507" w:rsidP="006A1F5E">
      <w:pPr>
        <w:pStyle w:val="Normalnumber"/>
        <w:tabs>
          <w:tab w:val="clear" w:pos="1247"/>
          <w:tab w:val="clear" w:pos="1814"/>
          <w:tab w:val="clear" w:pos="2381"/>
          <w:tab w:val="clear" w:pos="2948"/>
          <w:tab w:val="clear" w:pos="3515"/>
          <w:tab w:val="num" w:pos="624"/>
        </w:tabs>
      </w:pPr>
      <w:r w:rsidRPr="00197941">
        <w:t>Des enquêtes, des poursuites et des procédures judiciaires ont été mentionnées comme étant en</w:t>
      </w:r>
      <w:r w:rsidR="00B41C37" w:rsidRPr="00197941">
        <w:t> </w:t>
      </w:r>
      <w:r w:rsidRPr="00197941">
        <w:t>cours dans environ 153</w:t>
      </w:r>
      <w:r w:rsidR="005B67BB" w:rsidRPr="00197941">
        <w:t> </w:t>
      </w:r>
      <w:r w:rsidRPr="00197941">
        <w:t>cas. Dans 60</w:t>
      </w:r>
      <w:r w:rsidR="00383190" w:rsidRPr="00197941">
        <w:t> </w:t>
      </w:r>
      <w:r w:rsidRPr="00197941">
        <w:t>cas, il n</w:t>
      </w:r>
      <w:r w:rsidR="009F2F08" w:rsidRPr="00197941">
        <w:t>’</w:t>
      </w:r>
      <w:r w:rsidRPr="00197941">
        <w:t>a pas été possible de déterminer l</w:t>
      </w:r>
      <w:r w:rsidR="009F2F08" w:rsidRPr="00197941">
        <w:t>’</w:t>
      </w:r>
      <w:r w:rsidRPr="00197941">
        <w:t>issue de la procédure de répression, en raison du peu d</w:t>
      </w:r>
      <w:r w:rsidR="009F2F08" w:rsidRPr="00197941">
        <w:t>’</w:t>
      </w:r>
      <w:r w:rsidRPr="00197941">
        <w:t>informations fournies par les Parties ayant signalé les faits. Cela peut s</w:t>
      </w:r>
      <w:r w:rsidR="009F2F08" w:rsidRPr="00197941">
        <w:t>’</w:t>
      </w:r>
      <w:r w:rsidRPr="00197941">
        <w:t>expliquer par des retards dans les procédures administratives ou judiciaires, notamment s</w:t>
      </w:r>
      <w:r w:rsidR="009F2F08" w:rsidRPr="00197941">
        <w:t>’</w:t>
      </w:r>
      <w:r w:rsidRPr="00197941">
        <w:t>agissant des cas pour lesquels différentes administrations doivent se coordonner, ou par des lacunes dans les systèmes de suivi et de signalement. Ces dernières années, le Secrétariat a engagé les Parties à fournir des mises à jour sur les cas déjà signalés, afin d</w:t>
      </w:r>
      <w:r w:rsidR="009F2F08" w:rsidRPr="00197941">
        <w:t>’</w:t>
      </w:r>
      <w:r w:rsidRPr="00197941">
        <w:t>améliorer l</w:t>
      </w:r>
      <w:r w:rsidR="009F2F08" w:rsidRPr="00197941">
        <w:t>’</w:t>
      </w:r>
      <w:r w:rsidRPr="00197941">
        <w:t>exhaustivité des données sur l</w:t>
      </w:r>
      <w:r w:rsidR="009F2F08" w:rsidRPr="00197941">
        <w:t>’</w:t>
      </w:r>
      <w:r w:rsidRPr="00197941">
        <w:t>issue des procédures et de permettre une évaluation plus précise de l</w:t>
      </w:r>
      <w:r w:rsidR="009F2F08" w:rsidRPr="00197941">
        <w:t>’</w:t>
      </w:r>
      <w:r w:rsidRPr="00197941">
        <w:t>efficacité des mesures de répression, tant dans les Parties visées à l</w:t>
      </w:r>
      <w:r w:rsidR="009F2F08" w:rsidRPr="00197941">
        <w:t>’</w:t>
      </w:r>
      <w:r w:rsidRPr="00197941">
        <w:t>article</w:t>
      </w:r>
      <w:r w:rsidR="00383190" w:rsidRPr="00197941">
        <w:t> </w:t>
      </w:r>
      <w:r w:rsidRPr="00197941">
        <w:t>5 que dans les autres.</w:t>
      </w:r>
    </w:p>
    <w:p w14:paraId="3E864415" w14:textId="4F746739" w:rsidR="006A1F5E" w:rsidRPr="00197941" w:rsidRDefault="006A1F5E" w:rsidP="006A1F5E">
      <w:pPr>
        <w:pStyle w:val="CH4"/>
      </w:pPr>
      <w:r w:rsidRPr="00197941">
        <w:tab/>
      </w:r>
      <w:r w:rsidR="007B4539" w:rsidRPr="00197941">
        <w:rPr>
          <w:bCs/>
        </w:rPr>
        <w:t>d)</w:t>
      </w:r>
      <w:r w:rsidR="00356960" w:rsidRPr="00197941">
        <w:tab/>
      </w:r>
      <w:r w:rsidRPr="00197941">
        <w:rPr>
          <w:bCs/>
        </w:rPr>
        <w:t>Élimination des substances saisies</w:t>
      </w:r>
    </w:p>
    <w:p w14:paraId="3FEEB784" w14:textId="4C8C5AC3"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Au paragraphe 5 de la décision XXXVI/9, les Parties ont été invitées à fournir des informations sur la manière dont elles traitent l</w:t>
      </w:r>
      <w:r w:rsidR="009F2F08" w:rsidRPr="00197941">
        <w:t>’</w:t>
      </w:r>
      <w:r w:rsidRPr="00197941">
        <w:t>élimination des substances saisies (à savoir le traitement final de ces substances, y</w:t>
      </w:r>
      <w:r w:rsidR="004B1974" w:rsidRPr="00197941">
        <w:t> </w:t>
      </w:r>
      <w:r w:rsidRPr="00197941">
        <w:t>compris, s</w:t>
      </w:r>
      <w:r w:rsidR="009F2F08" w:rsidRPr="00197941">
        <w:t>’</w:t>
      </w:r>
      <w:r w:rsidRPr="00197941">
        <w:t>il y a lieu, leur destruction ou le transfert de leur propriété ou contrôle à l</w:t>
      </w:r>
      <w:r w:rsidR="009F2F08" w:rsidRPr="00197941">
        <w:t>’</w:t>
      </w:r>
      <w:r w:rsidRPr="00197941">
        <w:t>issue des procédures judiciaires). Une élimination efficace garantit le retrait des marchandises réglementées ou interdites de la circulation et empêche leur réintroduction sur les marchés légaux.</w:t>
      </w:r>
    </w:p>
    <w:p w14:paraId="44030D48" w14:textId="32B34E46"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L</w:t>
      </w:r>
      <w:r w:rsidR="009F2F08" w:rsidRPr="00197941">
        <w:t>’</w:t>
      </w:r>
      <w:r w:rsidRPr="00197941">
        <w:t>examen des méthodes d</w:t>
      </w:r>
      <w:r w:rsidR="009F2F08" w:rsidRPr="00197941">
        <w:t>’</w:t>
      </w:r>
      <w:r w:rsidRPr="00197941">
        <w:t>élimination déclarées par les Parties a révélé que la destruction, mentionnée dans 283</w:t>
      </w:r>
      <w:r w:rsidR="005334E5" w:rsidRPr="00197941">
        <w:t> </w:t>
      </w:r>
      <w:r w:rsidRPr="00197941">
        <w:t>cas, est la méthode d</w:t>
      </w:r>
      <w:r w:rsidR="009F2F08" w:rsidRPr="00197941">
        <w:t>’</w:t>
      </w:r>
      <w:r w:rsidRPr="00197941">
        <w:t>élimination finale la plus couramment utilisée</w:t>
      </w:r>
      <w:r w:rsidR="009F2F08" w:rsidRPr="00197941">
        <w:t> ;</w:t>
      </w:r>
      <w:r w:rsidRPr="00197941">
        <w:t xml:space="preserve"> elle concernait principalement les substances qui présentent un fort potentiel d</w:t>
      </w:r>
      <w:r w:rsidR="009F2F08" w:rsidRPr="00197941">
        <w:t>’</w:t>
      </w:r>
      <w:r w:rsidRPr="00197941">
        <w:t>appauvrissement de la couche d</w:t>
      </w:r>
      <w:r w:rsidR="009F2F08" w:rsidRPr="00197941">
        <w:t>’</w:t>
      </w:r>
      <w:r w:rsidRPr="00197941">
        <w:t>ozone ou de réchauffement global. Son utilisation dans les cas signalés laisse entendre que des installations de destruction adaptées sont disponibles.</w:t>
      </w:r>
    </w:p>
    <w:p w14:paraId="44216430" w14:textId="42C85E99"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Dans 137</w:t>
      </w:r>
      <w:r w:rsidR="00D158A7" w:rsidRPr="00197941">
        <w:t> </w:t>
      </w:r>
      <w:r w:rsidRPr="00197941">
        <w:t>cas, les marchandises ne pouvant pas être légalement importées, elles ont été réexportées (c</w:t>
      </w:r>
      <w:r w:rsidR="009F2F08" w:rsidRPr="00197941">
        <w:t>’</w:t>
      </w:r>
      <w:r w:rsidRPr="00197941">
        <w:t>est-à-dire renvoyées au pays exportateur). Bien que la réexportation offre une solution immédiate à un manquement aux règles d</w:t>
      </w:r>
      <w:r w:rsidR="009F2F08" w:rsidRPr="00197941">
        <w:t>’</w:t>
      </w:r>
      <w:r w:rsidRPr="00197941">
        <w:t>importation, son efficacité dépend des contrôles effectués par la suite dans le pays exportateur et de l</w:t>
      </w:r>
      <w:r w:rsidR="009F2F08" w:rsidRPr="00197941">
        <w:t>’</w:t>
      </w:r>
      <w:r w:rsidRPr="00197941">
        <w:t>existence d</w:t>
      </w:r>
      <w:r w:rsidR="009F2F08" w:rsidRPr="00197941">
        <w:t>’</w:t>
      </w:r>
      <w:r w:rsidRPr="00197941">
        <w:t>une coordination adaptée pour garantir que les marchandises renvoyées ne soient pas remises en circulation.</w:t>
      </w:r>
    </w:p>
    <w:p w14:paraId="500D67E5" w14:textId="1AF78541"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Dans 61</w:t>
      </w:r>
      <w:r w:rsidR="0011334A" w:rsidRPr="00197941">
        <w:t> </w:t>
      </w:r>
      <w:r w:rsidRPr="00197941">
        <w:t>cas a été signalée la remise en circulation des marchandises après résolution du manquement initial. Dans 44 de ces cas, les marchandises ont été directement rendues à leur propriétaire, soit après régularisation des conditions d</w:t>
      </w:r>
      <w:r w:rsidR="009F2F08" w:rsidRPr="00197941">
        <w:t>’</w:t>
      </w:r>
      <w:r w:rsidRPr="00197941">
        <w:t>importation, les exigences en matière d</w:t>
      </w:r>
      <w:r w:rsidR="009F2F08" w:rsidRPr="00197941">
        <w:t>’</w:t>
      </w:r>
      <w:r w:rsidRPr="00197941">
        <w:t>importation ayant été satisfaites par la présentation de licences valides, de quotas ou d</w:t>
      </w:r>
      <w:r w:rsidR="009F2F08" w:rsidRPr="00197941">
        <w:t>’</w:t>
      </w:r>
      <w:r w:rsidRPr="00197941">
        <w:t>autres documents obligatoires, soit après le paiement d</w:t>
      </w:r>
      <w:r w:rsidR="009F2F08" w:rsidRPr="00197941">
        <w:t>’</w:t>
      </w:r>
      <w:r w:rsidRPr="00197941">
        <w:t>une amende ou la délivrance d</w:t>
      </w:r>
      <w:r w:rsidR="009F2F08" w:rsidRPr="00197941">
        <w:t>’</w:t>
      </w:r>
      <w:r w:rsidRPr="00197941">
        <w:t>une injonction de mise en conformité. Dans huit autres cas dans lesquels les marchandises avaient initialement été retenues dans l</w:t>
      </w:r>
      <w:r w:rsidR="009F2F08" w:rsidRPr="00197941">
        <w:t>’</w:t>
      </w:r>
      <w:r w:rsidRPr="00197941">
        <w:t>attente de vérification, leur exportation ou réexportation a été autorisée après présentation d</w:t>
      </w:r>
      <w:r w:rsidR="009F2F08" w:rsidRPr="00197941">
        <w:t>’</w:t>
      </w:r>
      <w:r w:rsidRPr="00197941">
        <w:t>une licence d</w:t>
      </w:r>
      <w:r w:rsidR="009F2F08" w:rsidRPr="00197941">
        <w:t>’</w:t>
      </w:r>
      <w:r w:rsidRPr="00197941">
        <w:t>importation valide ou une fois les formalités administratives accomplies. Dans les neuf cas restants, un retour sur le marché ou dans la circulation générale a été effectué après la mise en conformité avec les exigences réglementaires applicables ou la détermination par voie administrative qu</w:t>
      </w:r>
      <w:r w:rsidR="009F2F08" w:rsidRPr="00197941">
        <w:t>’</w:t>
      </w:r>
      <w:r w:rsidRPr="00197941">
        <w:t>aucune infraction intentionnelle n</w:t>
      </w:r>
      <w:r w:rsidR="009F2F08" w:rsidRPr="00197941">
        <w:t>’</w:t>
      </w:r>
      <w:r w:rsidRPr="00197941">
        <w:t>avait été commise.</w:t>
      </w:r>
    </w:p>
    <w:p w14:paraId="2D578998" w14:textId="09C562EB"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Parmi les autres solutions évoquées figure la vente aux enchères des marchandises à des entreprises possédant les autorisations voulues. Cette approche permet aux autorités de récupérer des ressources, mais il convient de ne pas dépasser les quotas disponibles. Le stockage dans des locaux douaniers a également été mentionné. Dans ces cas, l</w:t>
      </w:r>
      <w:r w:rsidR="009F2F08" w:rsidRPr="00197941">
        <w:t>’</w:t>
      </w:r>
      <w:r w:rsidRPr="00197941">
        <w:t>issue finale des procédures n</w:t>
      </w:r>
      <w:r w:rsidR="009F2F08" w:rsidRPr="00197941">
        <w:t>’</w:t>
      </w:r>
      <w:r w:rsidRPr="00197941">
        <w:t>est pas connue et aucune information complémentaire n</w:t>
      </w:r>
      <w:r w:rsidR="009F2F08" w:rsidRPr="00197941">
        <w:t>’</w:t>
      </w:r>
      <w:r w:rsidRPr="00197941">
        <w:t xml:space="preserve">a été fournie au Secrétariat. Dans un petit nombre de cas, il a été signalé que le traitement consistait à envoyer les substances concernées à des installations de recyclage ou à en faire don à des services navals. </w:t>
      </w:r>
    </w:p>
    <w:p w14:paraId="1246580D" w14:textId="51B416D9"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Dans un grand nombre de cas (507), le sort final des substances saisies n</w:t>
      </w:r>
      <w:r w:rsidR="009F2F08" w:rsidRPr="00197941">
        <w:t>’</w:t>
      </w:r>
      <w:r w:rsidRPr="00197941">
        <w:t>était pas précisé. Il</w:t>
      </w:r>
      <w:r w:rsidR="008C4609" w:rsidRPr="00197941">
        <w:t> </w:t>
      </w:r>
      <w:r w:rsidRPr="00197941">
        <w:t>pouvait s</w:t>
      </w:r>
      <w:r w:rsidR="009F2F08" w:rsidRPr="00197941">
        <w:t>’</w:t>
      </w:r>
      <w:r w:rsidRPr="00197941">
        <w:t>agir d</w:t>
      </w:r>
      <w:r w:rsidR="009F2F08" w:rsidRPr="00197941">
        <w:t>’</w:t>
      </w:r>
      <w:r w:rsidRPr="00197941">
        <w:t>enquêtes en cours, de décisions en attente ou de procédures non encore abouties. De</w:t>
      </w:r>
      <w:r w:rsidR="008C4609" w:rsidRPr="00197941">
        <w:t> </w:t>
      </w:r>
      <w:r w:rsidRPr="00197941">
        <w:t>manière générale, les procédures nationales d</w:t>
      </w:r>
      <w:r w:rsidR="009F2F08" w:rsidRPr="00197941">
        <w:t>’</w:t>
      </w:r>
      <w:r w:rsidRPr="00197941">
        <w:t>élimination des substances réglementées, y</w:t>
      </w:r>
      <w:r w:rsidR="007D7F40" w:rsidRPr="00197941">
        <w:t> </w:t>
      </w:r>
      <w:r w:rsidRPr="00197941">
        <w:t>compris la définition d</w:t>
      </w:r>
      <w:r w:rsidR="009F2F08" w:rsidRPr="00197941">
        <w:t>’</w:t>
      </w:r>
      <w:r w:rsidRPr="00197941">
        <w:t xml:space="preserve">un calendrier pour le règlement des cas, peuvent être considérées comme une bonne </w:t>
      </w:r>
      <w:r w:rsidRPr="00197941">
        <w:lastRenderedPageBreak/>
        <w:t>pratique susceptible d</w:t>
      </w:r>
      <w:r w:rsidR="009F2F08" w:rsidRPr="00197941">
        <w:t>’</w:t>
      </w:r>
      <w:r w:rsidRPr="00197941">
        <w:t>empêcher l</w:t>
      </w:r>
      <w:r w:rsidR="009F2F08" w:rsidRPr="00197941">
        <w:t>’</w:t>
      </w:r>
      <w:r w:rsidRPr="00197941">
        <w:t>accumulation des substances saisies et les fuites accidentelles pendant leur stockage. Le renforcement de la communication d</w:t>
      </w:r>
      <w:r w:rsidR="009F2F08" w:rsidRPr="00197941">
        <w:t>’</w:t>
      </w:r>
      <w:r w:rsidRPr="00197941">
        <w:t>informations sur l</w:t>
      </w:r>
      <w:r w:rsidR="009F2F08" w:rsidRPr="00197941">
        <w:t>’</w:t>
      </w:r>
      <w:r w:rsidRPr="00197941">
        <w:t>issue des cas pourrait contribuer à améliorer le suivi et à déterminer d</w:t>
      </w:r>
      <w:r w:rsidR="009F2F08" w:rsidRPr="00197941">
        <w:t>’</w:t>
      </w:r>
      <w:r w:rsidRPr="00197941">
        <w:t>autres approches efficaces pour la gestion des substances réglementées saisies.</w:t>
      </w:r>
    </w:p>
    <w:p w14:paraId="2FAC974E" w14:textId="2C795426" w:rsidR="006A1F5E" w:rsidRPr="00197941" w:rsidRDefault="006A1F5E" w:rsidP="006A1F5E">
      <w:pPr>
        <w:pStyle w:val="CH3"/>
      </w:pPr>
      <w:r w:rsidRPr="00197941">
        <w:tab/>
      </w:r>
      <w:r w:rsidR="00617CEB" w:rsidRPr="00197941">
        <w:rPr>
          <w:bCs/>
        </w:rPr>
        <w:t>2.</w:t>
      </w:r>
      <w:r w:rsidR="00356960" w:rsidRPr="00197941">
        <w:tab/>
      </w:r>
      <w:r w:rsidRPr="00197941">
        <w:rPr>
          <w:bCs/>
        </w:rPr>
        <w:t>Cas signalés au titre de la décision</w:t>
      </w:r>
      <w:r w:rsidR="00A966C4" w:rsidRPr="00197941">
        <w:rPr>
          <w:bCs/>
        </w:rPr>
        <w:t> </w:t>
      </w:r>
      <w:r w:rsidRPr="00197941">
        <w:rPr>
          <w:bCs/>
        </w:rPr>
        <w:t>XXXI/3</w:t>
      </w:r>
      <w:r w:rsidRPr="00197941">
        <w:t xml:space="preserve"> </w:t>
      </w:r>
    </w:p>
    <w:p w14:paraId="0B35681A" w14:textId="1FCA8FAA" w:rsidR="006A1F5E" w:rsidRPr="00197941" w:rsidRDefault="006A1F5E" w:rsidP="009F2289">
      <w:pPr>
        <w:pStyle w:val="Normalnumber"/>
        <w:tabs>
          <w:tab w:val="clear" w:pos="1247"/>
          <w:tab w:val="clear" w:pos="1814"/>
          <w:tab w:val="clear" w:pos="2381"/>
          <w:tab w:val="clear" w:pos="2948"/>
          <w:tab w:val="clear" w:pos="3515"/>
          <w:tab w:val="num" w:pos="624"/>
        </w:tabs>
      </w:pPr>
      <w:r w:rsidRPr="00197941">
        <w:t>Au cours de la période 2022-2026, quatre</w:t>
      </w:r>
      <w:r w:rsidR="0090236B" w:rsidRPr="00197941">
        <w:t> </w:t>
      </w:r>
      <w:r w:rsidRPr="00197941">
        <w:t>Parties, à savoir la Chine, les États-Unis d</w:t>
      </w:r>
      <w:r w:rsidR="009F2F08" w:rsidRPr="00197941">
        <w:t>’</w:t>
      </w:r>
      <w:r w:rsidRPr="00197941">
        <w:t>Amérique, les Pays-Bas (Royaume des) et le Royaume-Uni, ont signalé un total de 31</w:t>
      </w:r>
      <w:r w:rsidR="004A662E" w:rsidRPr="00197941">
        <w:t> </w:t>
      </w:r>
      <w:r w:rsidRPr="00197941">
        <w:t>cas de production et de consommation illicites, conformément à l</w:t>
      </w:r>
      <w:r w:rsidR="009F2F08" w:rsidRPr="00197941">
        <w:t>’</w:t>
      </w:r>
      <w:r w:rsidRPr="00197941">
        <w:t>alinéa</w:t>
      </w:r>
      <w:r w:rsidR="008C33E1" w:rsidRPr="00197941">
        <w:t> </w:t>
      </w:r>
      <w:r w:rsidRPr="00197941">
        <w:t>d) du paragraphe</w:t>
      </w:r>
      <w:r w:rsidR="008C33E1" w:rsidRPr="00197941">
        <w:t> </w:t>
      </w:r>
      <w:r w:rsidRPr="00197941">
        <w:t>5 de la décision</w:t>
      </w:r>
      <w:r w:rsidR="008C33E1" w:rsidRPr="00197941">
        <w:t> </w:t>
      </w:r>
      <w:r w:rsidRPr="00197941">
        <w:t>XXXI/3. Ces cas comprenaient des situations d</w:t>
      </w:r>
      <w:r w:rsidR="009F2F08" w:rsidRPr="00197941">
        <w:t>’</w:t>
      </w:r>
      <w:r w:rsidRPr="00197941">
        <w:t>importations illicites.</w:t>
      </w:r>
    </w:p>
    <w:p w14:paraId="1AE75BFA" w14:textId="45993C17"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Ces types d</w:t>
      </w:r>
      <w:r w:rsidR="009F2F08" w:rsidRPr="00197941">
        <w:t>’</w:t>
      </w:r>
      <w:r w:rsidRPr="00197941">
        <w:t>activités se caractérisent principalement par des infractions liées aux quotas, y</w:t>
      </w:r>
      <w:r w:rsidR="008C33E1" w:rsidRPr="00197941">
        <w:t> </w:t>
      </w:r>
      <w:r w:rsidRPr="00197941">
        <w:t>compris l</w:t>
      </w:r>
      <w:r w:rsidR="009F2F08" w:rsidRPr="00197941">
        <w:t>’</w:t>
      </w:r>
      <w:r w:rsidRPr="00197941">
        <w:t>importation de HFC réglementés en l</w:t>
      </w:r>
      <w:r w:rsidR="009F2F08" w:rsidRPr="00197941">
        <w:t>’</w:t>
      </w:r>
      <w:r w:rsidRPr="00197941">
        <w:t>absence d</w:t>
      </w:r>
      <w:r w:rsidR="009F2F08" w:rsidRPr="00197941">
        <w:t>’</w:t>
      </w:r>
      <w:r w:rsidRPr="00197941">
        <w:t>allocations ou d</w:t>
      </w:r>
      <w:r w:rsidR="009F2F08" w:rsidRPr="00197941">
        <w:t>’</w:t>
      </w:r>
      <w:r w:rsidRPr="00197941">
        <w:t>autorisations suffisantes. D</w:t>
      </w:r>
      <w:r w:rsidR="009F2F08" w:rsidRPr="00197941">
        <w:t>’</w:t>
      </w:r>
      <w:r w:rsidRPr="00197941">
        <w:t>autres cas signalés concernaient la production illicite de substances telles que le HCFC-141b, le HCFC-22 et les HFC, ainsi que la vente ou la distribution de produits interdits, y</w:t>
      </w:r>
      <w:r w:rsidR="0090236B" w:rsidRPr="00197941">
        <w:t> </w:t>
      </w:r>
      <w:r w:rsidRPr="00197941">
        <w:t>compris des bonbonnes non rechargeables contenant du HFC-134a, en violation des cadres réglementaires nationaux. Certains cas révèlent également des manquements aux exigences réglementaires, notamment l</w:t>
      </w:r>
      <w:r w:rsidR="009F2F08" w:rsidRPr="00197941">
        <w:t>’</w:t>
      </w:r>
      <w:r w:rsidRPr="00197941">
        <w:t>absence des certificats ou étiquetages obligatoires.</w:t>
      </w:r>
    </w:p>
    <w:p w14:paraId="38C057F1" w14:textId="5097F1C9"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Parmi les méthodes de détection communiquées pour ces cas figuraient des inspections physiques, des signalements émanant de lanceur(se)s d</w:t>
      </w:r>
      <w:r w:rsidR="009F2F08" w:rsidRPr="00197941">
        <w:t>’</w:t>
      </w:r>
      <w:r w:rsidRPr="00197941">
        <w:t>alerte et des approches fondées sur les données, telles que les systèmes de signalement et de recoupement, ainsi que l</w:t>
      </w:r>
      <w:r w:rsidR="009F2F08" w:rsidRPr="00197941">
        <w:t>’</w:t>
      </w:r>
      <w:r w:rsidRPr="00197941">
        <w:t>analyse des données douanières. Des accords transfrontières d</w:t>
      </w:r>
      <w:r w:rsidR="009F2F08" w:rsidRPr="00197941">
        <w:t>’</w:t>
      </w:r>
      <w:r w:rsidRPr="00197941">
        <w:t>échange d</w:t>
      </w:r>
      <w:r w:rsidR="009F2F08" w:rsidRPr="00197941">
        <w:t>’</w:t>
      </w:r>
      <w:r w:rsidRPr="00197941">
        <w:t>informations, notamment entre le Royaume-Uni et l</w:t>
      </w:r>
      <w:r w:rsidR="009F2F08" w:rsidRPr="00197941">
        <w:t>’</w:t>
      </w:r>
      <w:r w:rsidRPr="00197941">
        <w:t>Union européenne, ont également été signalés.</w:t>
      </w:r>
    </w:p>
    <w:p w14:paraId="45FA9563" w14:textId="7288DF6E"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Les mesures de répression signalées englobent toute une série de mesures administratives, civiles et pénales, y</w:t>
      </w:r>
      <w:r w:rsidR="008C33E1" w:rsidRPr="00197941">
        <w:t> </w:t>
      </w:r>
      <w:r w:rsidRPr="00197941">
        <w:t>compris la révocation et la redistribution des quotas ou des autorisations de consommation, la saisie et la destruction des substances, ainsi que l</w:t>
      </w:r>
      <w:r w:rsidR="009F2F08" w:rsidRPr="00197941">
        <w:t>’</w:t>
      </w:r>
      <w:r w:rsidRPr="00197941">
        <w:t>imposition d</w:t>
      </w:r>
      <w:r w:rsidR="009F2F08" w:rsidRPr="00197941">
        <w:t>’</w:t>
      </w:r>
      <w:r w:rsidRPr="00197941">
        <w:t>amendes ou de sanctions. Les mesures administratives occupent une place prépondérante, notamment dans les cas d</w:t>
      </w:r>
      <w:r w:rsidR="009F2F08" w:rsidRPr="00197941">
        <w:t>’</w:t>
      </w:r>
      <w:r w:rsidRPr="00197941">
        <w:t>importations effectuées sans les autorisations voulues, les quotas ou les limites de consommation étant alors ajustés dans le respect des cadres réglementaires en vigueur. Des sanctions civiles ont été infligées en cas de non-obtention d</w:t>
      </w:r>
      <w:r w:rsidR="009F2F08" w:rsidRPr="00197941">
        <w:t>’</w:t>
      </w:r>
      <w:r w:rsidRPr="00197941">
        <w:t>autorisations de quota suffisantes, tandis que des mesures pénales, y</w:t>
      </w:r>
      <w:r w:rsidR="008F6FAC" w:rsidRPr="00197941">
        <w:t> </w:t>
      </w:r>
      <w:r w:rsidRPr="00197941">
        <w:t xml:space="preserve">compris la saisie et la destruction, ont été appliquées dans le cas de produits interdits tels que des bonbonnes non rechargeables. </w:t>
      </w:r>
    </w:p>
    <w:p w14:paraId="3941D2D4" w14:textId="4C2BCFC3" w:rsidR="006A1F5E" w:rsidRPr="00197941" w:rsidRDefault="006A1F5E" w:rsidP="006A1F5E">
      <w:pPr>
        <w:pStyle w:val="CH1"/>
      </w:pPr>
      <w:r w:rsidRPr="00197941">
        <w:tab/>
      </w:r>
      <w:r w:rsidR="00C25B38" w:rsidRPr="00197941">
        <w:rPr>
          <w:bCs/>
        </w:rPr>
        <w:t>III.</w:t>
      </w:r>
      <w:r w:rsidR="00356960" w:rsidRPr="00197941">
        <w:tab/>
      </w:r>
      <w:r w:rsidRPr="00197941">
        <w:rPr>
          <w:bCs/>
        </w:rPr>
        <w:t>Résumé des meilleures pratiques</w:t>
      </w:r>
    </w:p>
    <w:p w14:paraId="2D41DD04" w14:textId="62FB552F"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L</w:t>
      </w:r>
      <w:r w:rsidR="009F2F08" w:rsidRPr="00197941">
        <w:t>’</w:t>
      </w:r>
      <w:r w:rsidRPr="00197941">
        <w:t>examen complet des cas de commerce illicite signalés par les Parties a révélé plusieurs pratiques optimales, synthétisées plus haut, qui sont considérées comme un soutien efficace à l</w:t>
      </w:r>
      <w:r w:rsidR="009F2F08" w:rsidRPr="00197941">
        <w:t>’</w:t>
      </w:r>
      <w:r w:rsidRPr="00197941">
        <w:t>application de la législation sur l</w:t>
      </w:r>
      <w:r w:rsidR="009F2F08" w:rsidRPr="00197941">
        <w:t>’</w:t>
      </w:r>
      <w:r w:rsidRPr="00197941">
        <w:t>ensemble du cycle des réponses au commerce illicite</w:t>
      </w:r>
      <w:r w:rsidR="009F2F08" w:rsidRPr="00197941">
        <w:t> :</w:t>
      </w:r>
      <w:r w:rsidRPr="00197941">
        <w:t xml:space="preserve"> prévention, détection, traitement des infractions et élimination des substances saisies. Certaines de ces pratiques, ainsi que d</w:t>
      </w:r>
      <w:r w:rsidR="009F2F08" w:rsidRPr="00197941">
        <w:t>’</w:t>
      </w:r>
      <w:r w:rsidRPr="00197941">
        <w:t>autres, ont déjà été mises en évidence dans des notes antérieures (voir par.</w:t>
      </w:r>
      <w:r w:rsidR="00375DFC" w:rsidRPr="00197941">
        <w:t> </w:t>
      </w:r>
      <w:r w:rsidRPr="00197941">
        <w:t>6 plus haut). Le</w:t>
      </w:r>
      <w:r w:rsidR="005D7638" w:rsidRPr="00197941">
        <w:t> </w:t>
      </w:r>
      <w:r w:rsidRPr="00197941">
        <w:t>recours à ces pratiques témoigne d</w:t>
      </w:r>
      <w:r w:rsidR="009F2F08" w:rsidRPr="00197941">
        <w:t>’</w:t>
      </w:r>
      <w:r w:rsidRPr="00197941">
        <w:t>une approche systématique de la lutte contre le commerce illicite.</w:t>
      </w:r>
    </w:p>
    <w:p w14:paraId="52C8BFAA" w14:textId="42F7DDEB" w:rsidR="006A1F5E" w:rsidRPr="00197941" w:rsidRDefault="006A1F5E" w:rsidP="006A1F5E">
      <w:pPr>
        <w:pStyle w:val="Normalnumber"/>
        <w:tabs>
          <w:tab w:val="clear" w:pos="1247"/>
          <w:tab w:val="clear" w:pos="1814"/>
          <w:tab w:val="clear" w:pos="2381"/>
          <w:tab w:val="clear" w:pos="2948"/>
          <w:tab w:val="clear" w:pos="3515"/>
          <w:tab w:val="num" w:pos="624"/>
        </w:tabs>
      </w:pPr>
      <w:r w:rsidRPr="00197941">
        <w:t>La présente</w:t>
      </w:r>
      <w:r w:rsidR="00375DFC" w:rsidRPr="00197941">
        <w:t> </w:t>
      </w:r>
      <w:r w:rsidRPr="00197941">
        <w:t>section met en évidence certaines pratiques recensées dans le cadre des 321</w:t>
      </w:r>
      <w:r w:rsidR="00375DFC" w:rsidRPr="00197941">
        <w:t> </w:t>
      </w:r>
      <w:r w:rsidRPr="00197941">
        <w:t>cas nouvellement signalés de commerce illicite et des 6 cas supplémentaires de production et de consommation illicites, qui viennent ainsi compléter celles figurant dans les notes antérieures susvisées</w:t>
      </w:r>
      <w:r w:rsidR="009F2F08" w:rsidRPr="00197941">
        <w:t> :</w:t>
      </w:r>
    </w:p>
    <w:p w14:paraId="7A6DB518" w14:textId="526752CD" w:rsidR="006A1F5E" w:rsidRPr="00197941" w:rsidRDefault="006A1F5E" w:rsidP="006A1F5E">
      <w:pPr>
        <w:pStyle w:val="Normalnumber"/>
        <w:numPr>
          <w:ilvl w:val="0"/>
          <w:numId w:val="16"/>
        </w:numPr>
        <w:tabs>
          <w:tab w:val="clear" w:pos="1247"/>
          <w:tab w:val="clear" w:pos="1814"/>
          <w:tab w:val="clear" w:pos="2381"/>
          <w:tab w:val="clear" w:pos="2948"/>
          <w:tab w:val="clear" w:pos="3515"/>
          <w:tab w:val="left" w:pos="624"/>
        </w:tabs>
        <w:ind w:left="1247" w:firstLine="624"/>
      </w:pPr>
      <w:r w:rsidRPr="00197941">
        <w:t>Des cadres législatifs et réglementaires clairement définis, comprenant notamment des systèmes d</w:t>
      </w:r>
      <w:r w:rsidR="009F2F08" w:rsidRPr="00197941">
        <w:t>’</w:t>
      </w:r>
      <w:r w:rsidRPr="00197941">
        <w:t>octroi de licences et de quotas assortis de sanctions proportionnées, constituent une base solide pour l</w:t>
      </w:r>
      <w:r w:rsidR="009F2F08" w:rsidRPr="00197941">
        <w:t>’</w:t>
      </w:r>
      <w:r w:rsidRPr="00197941">
        <w:t>application de la loi et contribuent à une mise en œuvre cohérente de celle-ci, tout en offrant une certaine souplesse dans le traitement de différents types d</w:t>
      </w:r>
      <w:r w:rsidR="009F2F08" w:rsidRPr="00197941">
        <w:t>’</w:t>
      </w:r>
      <w:r w:rsidRPr="00197941">
        <w:t>infractions</w:t>
      </w:r>
      <w:r w:rsidR="009F2F08" w:rsidRPr="00197941">
        <w:t> ;</w:t>
      </w:r>
    </w:p>
    <w:p w14:paraId="5DC95FD7" w14:textId="3EF7C950" w:rsidR="006A1F5E" w:rsidRPr="00197941" w:rsidRDefault="006A1F5E" w:rsidP="006A1F5E">
      <w:pPr>
        <w:pStyle w:val="Normalnumber"/>
        <w:numPr>
          <w:ilvl w:val="0"/>
          <w:numId w:val="16"/>
        </w:numPr>
        <w:tabs>
          <w:tab w:val="clear" w:pos="1247"/>
          <w:tab w:val="clear" w:pos="1814"/>
          <w:tab w:val="clear" w:pos="2381"/>
          <w:tab w:val="clear" w:pos="2948"/>
          <w:tab w:val="clear" w:pos="3515"/>
          <w:tab w:val="left" w:pos="624"/>
        </w:tabs>
        <w:ind w:left="1247" w:firstLine="624"/>
      </w:pPr>
      <w:r w:rsidRPr="00197941">
        <w:t>La coordination entre les autorités nationales concernées, notamment les services douaniers, les organismes environnementaux et les autres organismes compétents, ainsi que la coopération transfrontière en matière d</w:t>
      </w:r>
      <w:r w:rsidR="009F2F08" w:rsidRPr="00197941">
        <w:t>’</w:t>
      </w:r>
      <w:r w:rsidRPr="00197941">
        <w:t>échange d</w:t>
      </w:r>
      <w:r w:rsidR="009F2F08" w:rsidRPr="00197941">
        <w:t>’</w:t>
      </w:r>
      <w:r w:rsidRPr="00197941">
        <w:t>informations, renforcent l</w:t>
      </w:r>
      <w:r w:rsidR="009F2F08" w:rsidRPr="00197941">
        <w:t>’</w:t>
      </w:r>
      <w:r w:rsidRPr="00197941">
        <w:t>application de la loi et contribuent à prévenir le commerce illicite, notamment par des échanges d</w:t>
      </w:r>
      <w:r w:rsidR="009F2F08" w:rsidRPr="00197941">
        <w:t>’</w:t>
      </w:r>
      <w:r w:rsidRPr="00197941">
        <w:t>informations structurés et des mesures conjointes aux points d</w:t>
      </w:r>
      <w:r w:rsidR="009F2F08" w:rsidRPr="00197941">
        <w:t>’</w:t>
      </w:r>
      <w:r w:rsidRPr="00197941">
        <w:t>entrée aux frontières. Des mécanismes tels que la procédure de consentement informel préalable en connaissance de cause illustrent cette approche</w:t>
      </w:r>
      <w:r w:rsidR="009F2F08" w:rsidRPr="00197941">
        <w:t> ;</w:t>
      </w:r>
    </w:p>
    <w:p w14:paraId="116E9A58" w14:textId="13D2B15D" w:rsidR="006A1F5E" w:rsidRPr="00197941" w:rsidRDefault="006A1F5E" w:rsidP="00606466">
      <w:pPr>
        <w:pStyle w:val="Normalnumber"/>
        <w:keepNext/>
        <w:keepLines/>
        <w:numPr>
          <w:ilvl w:val="0"/>
          <w:numId w:val="16"/>
        </w:numPr>
        <w:tabs>
          <w:tab w:val="clear" w:pos="1247"/>
          <w:tab w:val="clear" w:pos="1814"/>
          <w:tab w:val="clear" w:pos="2381"/>
          <w:tab w:val="clear" w:pos="2948"/>
          <w:tab w:val="clear" w:pos="3515"/>
          <w:tab w:val="left" w:pos="624"/>
        </w:tabs>
        <w:ind w:left="1247" w:firstLine="624"/>
      </w:pPr>
      <w:r w:rsidRPr="00197941">
        <w:lastRenderedPageBreak/>
        <w:t>La mobilisation du secteur privé et des acteurs de l</w:t>
      </w:r>
      <w:r w:rsidR="009F2F08" w:rsidRPr="00197941">
        <w:t>’</w:t>
      </w:r>
      <w:r w:rsidRPr="00197941">
        <w:t>industrie, y</w:t>
      </w:r>
      <w:r w:rsidR="00375DFC" w:rsidRPr="00197941">
        <w:t> </w:t>
      </w:r>
      <w:r w:rsidRPr="00197941">
        <w:t>compris les importateurs dotés d</w:t>
      </w:r>
      <w:r w:rsidR="009F2F08" w:rsidRPr="00197941">
        <w:t>’</w:t>
      </w:r>
      <w:r w:rsidRPr="00197941">
        <w:t>une licence, les distributeurs et les associations professionnelles, favorise la détection précoce par des signalements et des déclarations volontaires. Dans plusieurs cas, une telle coopération a contribué à la prise de mesures de répression</w:t>
      </w:r>
      <w:r w:rsidR="009F2F08" w:rsidRPr="00197941">
        <w:t> ;</w:t>
      </w:r>
    </w:p>
    <w:p w14:paraId="5B23D046" w14:textId="4BD024DD" w:rsidR="006A1F5E" w:rsidRPr="00197941" w:rsidRDefault="006A1F5E" w:rsidP="006A1F5E">
      <w:pPr>
        <w:pStyle w:val="Normalnumber"/>
        <w:numPr>
          <w:ilvl w:val="0"/>
          <w:numId w:val="16"/>
        </w:numPr>
        <w:tabs>
          <w:tab w:val="clear" w:pos="1247"/>
          <w:tab w:val="clear" w:pos="1814"/>
          <w:tab w:val="clear" w:pos="2381"/>
          <w:tab w:val="clear" w:pos="2948"/>
          <w:tab w:val="clear" w:pos="3515"/>
          <w:tab w:val="left" w:pos="624"/>
        </w:tabs>
        <w:ind w:left="1247" w:firstLine="624"/>
      </w:pPr>
      <w:r w:rsidRPr="00197941">
        <w:t>Le recours à des outils de détection modernes et à des approches d</w:t>
      </w:r>
      <w:r w:rsidR="009F2F08" w:rsidRPr="00197941">
        <w:t>’</w:t>
      </w:r>
      <w:r w:rsidRPr="00197941">
        <w:t>inspection fondées sur les risques aux points d</w:t>
      </w:r>
      <w:r w:rsidR="009F2F08" w:rsidRPr="00197941">
        <w:t>’</w:t>
      </w:r>
      <w:r w:rsidRPr="00197941">
        <w:t>entrée aux frontières, notamment les identificateurs de réfrigérants, les techniques d</w:t>
      </w:r>
      <w:r w:rsidR="009F2F08" w:rsidRPr="00197941">
        <w:t>’</w:t>
      </w:r>
      <w:r w:rsidRPr="00197941">
        <w:t>établissement de profil, les analyses en laboratoire et d</w:t>
      </w:r>
      <w:r w:rsidR="009F2F08" w:rsidRPr="00197941">
        <w:t>’</w:t>
      </w:r>
      <w:r w:rsidRPr="00197941">
        <w:t>autres techniques d</w:t>
      </w:r>
      <w:r w:rsidR="009F2F08" w:rsidRPr="00197941">
        <w:t>’</w:t>
      </w:r>
      <w:r w:rsidRPr="00197941">
        <w:t>inspection, facilite l</w:t>
      </w:r>
      <w:r w:rsidR="009F2F08" w:rsidRPr="00197941">
        <w:t>’</w:t>
      </w:r>
      <w:r w:rsidRPr="00197941">
        <w:t>identification des substances réglementées et contribue à lutter contre les fausses déclarations, les dissimulations et d</w:t>
      </w:r>
      <w:r w:rsidR="009F2F08" w:rsidRPr="00197941">
        <w:t>’</w:t>
      </w:r>
      <w:r w:rsidRPr="00197941">
        <w:t>autres formes d</w:t>
      </w:r>
      <w:r w:rsidR="009F2F08" w:rsidRPr="00197941">
        <w:t>’</w:t>
      </w:r>
      <w:r w:rsidRPr="00197941">
        <w:t>infraction</w:t>
      </w:r>
      <w:r w:rsidR="009F2F08" w:rsidRPr="00197941">
        <w:t> ;</w:t>
      </w:r>
    </w:p>
    <w:p w14:paraId="07F9F103" w14:textId="629413E2" w:rsidR="006A1F5E" w:rsidRPr="00197941" w:rsidRDefault="006A1F5E" w:rsidP="006A1F5E">
      <w:pPr>
        <w:pStyle w:val="Normalnumber"/>
        <w:numPr>
          <w:ilvl w:val="0"/>
          <w:numId w:val="16"/>
        </w:numPr>
        <w:tabs>
          <w:tab w:val="clear" w:pos="1247"/>
          <w:tab w:val="clear" w:pos="1814"/>
          <w:tab w:val="clear" w:pos="2381"/>
          <w:tab w:val="clear" w:pos="2948"/>
          <w:tab w:val="clear" w:pos="3515"/>
          <w:tab w:val="left" w:pos="624"/>
        </w:tabs>
        <w:ind w:left="1247" w:firstLine="624"/>
      </w:pPr>
      <w:r w:rsidRPr="00197941">
        <w:t>Compléter les contrôles aux frontières par des vérifications documentaires a posteriori et une surveillance sur le marché permet aux autorités de détecter les infractions commises après la mise en circulation des marchandises, y</w:t>
      </w:r>
      <w:r w:rsidR="00375DFC" w:rsidRPr="00197941">
        <w:t> </w:t>
      </w:r>
      <w:r w:rsidRPr="00197941">
        <w:t>compris les dépassements de quotas et les opérateurs non</w:t>
      </w:r>
      <w:r w:rsidR="00BF6830" w:rsidRPr="00197941">
        <w:t> </w:t>
      </w:r>
      <w:r w:rsidRPr="00197941">
        <w:t>enregistrés, et contribue à une surveillance plus étendue de la chaîne d</w:t>
      </w:r>
      <w:r w:rsidR="009F2F08" w:rsidRPr="00197941">
        <w:t>’</w:t>
      </w:r>
      <w:r w:rsidRPr="00197941">
        <w:t>approvisionnement</w:t>
      </w:r>
      <w:r w:rsidR="009F2F08" w:rsidRPr="00197941">
        <w:t> ;</w:t>
      </w:r>
    </w:p>
    <w:p w14:paraId="1A9FC2EE" w14:textId="58F7136C" w:rsidR="006A1F5E" w:rsidRPr="00197941" w:rsidRDefault="006A1F5E" w:rsidP="006A1F5E">
      <w:pPr>
        <w:pStyle w:val="Normalnumber"/>
        <w:numPr>
          <w:ilvl w:val="0"/>
          <w:numId w:val="16"/>
        </w:numPr>
        <w:tabs>
          <w:tab w:val="clear" w:pos="1247"/>
          <w:tab w:val="clear" w:pos="1814"/>
          <w:tab w:val="clear" w:pos="2381"/>
          <w:tab w:val="clear" w:pos="2948"/>
          <w:tab w:val="clear" w:pos="3515"/>
          <w:tab w:val="left" w:pos="624"/>
        </w:tabs>
        <w:ind w:left="1247" w:firstLine="624"/>
      </w:pPr>
      <w:r w:rsidRPr="00197941">
        <w:t>La surveillance continue des plateformes en ligne et des espaces de commerce électronique, soutenue par la coopération et l</w:t>
      </w:r>
      <w:r w:rsidR="009F2F08" w:rsidRPr="00197941">
        <w:t>’</w:t>
      </w:r>
      <w:r w:rsidRPr="00197941">
        <w:t>échange d</w:t>
      </w:r>
      <w:r w:rsidR="009F2F08" w:rsidRPr="00197941">
        <w:t>’</w:t>
      </w:r>
      <w:r w:rsidRPr="00197941">
        <w:t>informations avec les parties prenantes concernées, reste importante compte tenu de l</w:t>
      </w:r>
      <w:r w:rsidR="009F2F08" w:rsidRPr="00197941">
        <w:t>’</w:t>
      </w:r>
      <w:r w:rsidRPr="00197941">
        <w:t>utilisation croissante de canaux numériques en matière de commerce illicite</w:t>
      </w:r>
      <w:r w:rsidR="009F2F08" w:rsidRPr="00197941">
        <w:t> ;</w:t>
      </w:r>
    </w:p>
    <w:p w14:paraId="7E05D8D5" w14:textId="3374E366" w:rsidR="006A1F5E" w:rsidRPr="00197941" w:rsidRDefault="006A1F5E" w:rsidP="006A1F5E">
      <w:pPr>
        <w:pStyle w:val="Normalnumber"/>
        <w:numPr>
          <w:ilvl w:val="0"/>
          <w:numId w:val="16"/>
        </w:numPr>
        <w:tabs>
          <w:tab w:val="clear" w:pos="1247"/>
          <w:tab w:val="clear" w:pos="1814"/>
          <w:tab w:val="clear" w:pos="2381"/>
          <w:tab w:val="clear" w:pos="2948"/>
          <w:tab w:val="clear" w:pos="3515"/>
          <w:tab w:val="left" w:pos="624"/>
        </w:tabs>
        <w:ind w:left="1247" w:firstLine="624"/>
      </w:pPr>
      <w:r w:rsidRPr="00197941">
        <w:t>La mesure des infractions au regard des émissions exprimées en équivalent CO</w:t>
      </w:r>
      <w:r w:rsidRPr="00197941">
        <w:rPr>
          <w:vertAlign w:val="subscript"/>
        </w:rPr>
        <w:t>2</w:t>
      </w:r>
      <w:r w:rsidRPr="00197941">
        <w:t xml:space="preserve"> permet d</w:t>
      </w:r>
      <w:r w:rsidR="009F2F08" w:rsidRPr="00197941">
        <w:t>’</w:t>
      </w:r>
      <w:r w:rsidRPr="00197941">
        <w:t>évaluer l</w:t>
      </w:r>
      <w:r w:rsidR="009F2F08" w:rsidRPr="00197941">
        <w:t>’</w:t>
      </w:r>
      <w:r w:rsidRPr="00197941">
        <w:t>ampleur des infractions et de justifier la prise de mesures de répression proportionnées en fonction de l</w:t>
      </w:r>
      <w:r w:rsidR="009F2F08" w:rsidRPr="00197941">
        <w:t>’</w:t>
      </w:r>
      <w:r w:rsidRPr="00197941">
        <w:t>impact sur l</w:t>
      </w:r>
      <w:r w:rsidR="009F2F08" w:rsidRPr="00197941">
        <w:t>’</w:t>
      </w:r>
      <w:r w:rsidRPr="00197941">
        <w:t>environnement</w:t>
      </w:r>
      <w:r w:rsidR="009F2F08" w:rsidRPr="00197941">
        <w:t> ;</w:t>
      </w:r>
    </w:p>
    <w:p w14:paraId="415C624F" w14:textId="5F0BC16E" w:rsidR="006A1F5E" w:rsidRPr="00197941" w:rsidRDefault="006A1F5E" w:rsidP="006A1F5E">
      <w:pPr>
        <w:pStyle w:val="Normalnumber"/>
        <w:numPr>
          <w:ilvl w:val="0"/>
          <w:numId w:val="16"/>
        </w:numPr>
        <w:tabs>
          <w:tab w:val="clear" w:pos="1247"/>
          <w:tab w:val="clear" w:pos="1814"/>
          <w:tab w:val="clear" w:pos="2381"/>
          <w:tab w:val="clear" w:pos="2948"/>
          <w:tab w:val="clear" w:pos="3515"/>
          <w:tab w:val="left" w:pos="624"/>
        </w:tabs>
        <w:ind w:left="1247" w:firstLine="624"/>
      </w:pPr>
      <w:r w:rsidRPr="00197941">
        <w:t>Le recours à des ajustements de quotas, y</w:t>
      </w:r>
      <w:r w:rsidR="00375DFC" w:rsidRPr="00197941">
        <w:t> </w:t>
      </w:r>
      <w:r w:rsidRPr="00197941">
        <w:t>compris la redistribution des quotas révoqués au bénéfice des entités respectueuses de leurs obligations, favorise la mise en place d</w:t>
      </w:r>
      <w:r w:rsidR="009F2F08" w:rsidRPr="00197941">
        <w:t>’</w:t>
      </w:r>
      <w:r w:rsidRPr="00197941">
        <w:t>incitations fondées sur le marché en faveur de la conformité et renforce le respect des systèmes d</w:t>
      </w:r>
      <w:r w:rsidR="009F2F08" w:rsidRPr="00197941">
        <w:t>’</w:t>
      </w:r>
      <w:r w:rsidRPr="00197941">
        <w:t>octroi de licences et de quotas</w:t>
      </w:r>
      <w:r w:rsidR="009F2F08" w:rsidRPr="00197941">
        <w:t> ;</w:t>
      </w:r>
    </w:p>
    <w:p w14:paraId="10343F27" w14:textId="78756E7F" w:rsidR="006A1F5E" w:rsidRPr="00197941" w:rsidRDefault="006A1F5E" w:rsidP="006A1F5E">
      <w:pPr>
        <w:pStyle w:val="Normalnumber"/>
        <w:numPr>
          <w:ilvl w:val="0"/>
          <w:numId w:val="16"/>
        </w:numPr>
        <w:tabs>
          <w:tab w:val="clear" w:pos="1247"/>
          <w:tab w:val="clear" w:pos="1814"/>
          <w:tab w:val="clear" w:pos="2381"/>
          <w:tab w:val="clear" w:pos="2948"/>
          <w:tab w:val="clear" w:pos="3515"/>
          <w:tab w:val="left" w:pos="624"/>
        </w:tabs>
        <w:ind w:left="1247" w:firstLine="624"/>
      </w:pPr>
      <w:r w:rsidRPr="00197941">
        <w:t>Les mesures de répression qui ciblent les substances à fort potentiel de réchauffement global et les substances appauvrissant la couche d</w:t>
      </w:r>
      <w:r w:rsidR="009F2F08" w:rsidRPr="00197941">
        <w:t>’</w:t>
      </w:r>
      <w:r w:rsidRPr="00197941">
        <w:t>ozone, y</w:t>
      </w:r>
      <w:r w:rsidR="00375DFC" w:rsidRPr="00197941">
        <w:t> </w:t>
      </w:r>
      <w:r w:rsidRPr="00197941">
        <w:t>compris les équipements et applications connexes, tels que les réfrigérants utilisés dans les systèmes de climatisation automobile et les bonbonnes non rechargeables, renforcent l</w:t>
      </w:r>
      <w:r w:rsidR="009F2F08" w:rsidRPr="00197941">
        <w:t>’</w:t>
      </w:r>
      <w:r w:rsidRPr="00197941">
        <w:t>efficacité des mesures de réglementation</w:t>
      </w:r>
      <w:r w:rsidR="009F2F08" w:rsidRPr="00197941">
        <w:t> ;</w:t>
      </w:r>
      <w:r w:rsidRPr="00197941">
        <w:t xml:space="preserve"> </w:t>
      </w:r>
    </w:p>
    <w:p w14:paraId="3F677576" w14:textId="7437169F" w:rsidR="006A1F5E" w:rsidRPr="00197941" w:rsidRDefault="006A1F5E" w:rsidP="006A1F5E">
      <w:pPr>
        <w:pStyle w:val="Normalnumber"/>
        <w:numPr>
          <w:ilvl w:val="0"/>
          <w:numId w:val="16"/>
        </w:numPr>
        <w:tabs>
          <w:tab w:val="clear" w:pos="1247"/>
          <w:tab w:val="clear" w:pos="1814"/>
          <w:tab w:val="clear" w:pos="2381"/>
          <w:tab w:val="clear" w:pos="2948"/>
          <w:tab w:val="clear" w:pos="3515"/>
          <w:tab w:val="left" w:pos="624"/>
        </w:tabs>
        <w:ind w:left="1247" w:firstLine="624"/>
      </w:pPr>
      <w:r w:rsidRPr="00197941">
        <w:t>Les cadres de conformité intégrés qui associent des systèmes d</w:t>
      </w:r>
      <w:r w:rsidR="009F2F08" w:rsidRPr="00197941">
        <w:t>’</w:t>
      </w:r>
      <w:r w:rsidRPr="00197941">
        <w:t>octroi de licences, des contrôles aux frontières, une coordination interinstitutionnelle et un renforcement des capacités des agent(e)s chargé(e)s de l</w:t>
      </w:r>
      <w:r w:rsidR="009F2F08" w:rsidRPr="00197941">
        <w:t>’</w:t>
      </w:r>
      <w:r w:rsidRPr="00197941">
        <w:t>application de la loi renforcent l</w:t>
      </w:r>
      <w:r w:rsidR="009F2F08" w:rsidRPr="00197941">
        <w:t>’</w:t>
      </w:r>
      <w:r w:rsidRPr="00197941">
        <w:t>efficacité globale des systèmes nationaux d</w:t>
      </w:r>
      <w:r w:rsidR="009F2F08" w:rsidRPr="00197941">
        <w:t>’</w:t>
      </w:r>
      <w:r w:rsidRPr="00197941">
        <w:t>application de la loi</w:t>
      </w:r>
      <w:r w:rsidR="009F2F08" w:rsidRPr="00197941">
        <w:t> ;</w:t>
      </w:r>
    </w:p>
    <w:p w14:paraId="7F1215D7" w14:textId="0F607EBB" w:rsidR="006A1F5E" w:rsidRPr="00197941" w:rsidRDefault="006A1F5E" w:rsidP="00387C03">
      <w:pPr>
        <w:pStyle w:val="Normalnumber"/>
        <w:keepNext/>
        <w:keepLines/>
        <w:numPr>
          <w:ilvl w:val="0"/>
          <w:numId w:val="16"/>
        </w:numPr>
        <w:tabs>
          <w:tab w:val="clear" w:pos="1247"/>
          <w:tab w:val="clear" w:pos="1814"/>
          <w:tab w:val="clear" w:pos="2381"/>
          <w:tab w:val="clear" w:pos="2948"/>
          <w:tab w:val="clear" w:pos="3515"/>
          <w:tab w:val="left" w:pos="624"/>
        </w:tabs>
        <w:ind w:left="1247" w:firstLine="624"/>
      </w:pPr>
      <w:r w:rsidRPr="00197941">
        <w:t>La disponibilité d</w:t>
      </w:r>
      <w:r w:rsidR="009F2F08" w:rsidRPr="00197941">
        <w:t>’</w:t>
      </w:r>
      <w:r w:rsidRPr="00197941">
        <w:t>installations de destruction adaptées est une condition préalable essentielle pour que la destruction puisse être utilisée comme méthode d</w:t>
      </w:r>
      <w:r w:rsidR="009F2F08" w:rsidRPr="00197941">
        <w:t>’</w:t>
      </w:r>
      <w:r w:rsidRPr="00197941">
        <w:t>élimination. Lorsque de telles installations ne sont pas disponibles au niveau national, les autorités ont eu recours à la réexportation, laquelle peut comporter un risque de remise en circulation. Le renforcement de l</w:t>
      </w:r>
      <w:r w:rsidR="009F2F08" w:rsidRPr="00197941">
        <w:t>’</w:t>
      </w:r>
      <w:r w:rsidRPr="00197941">
        <w:t>accès à des capacités nationales ou régionales de destruction contribue à améliorer l</w:t>
      </w:r>
      <w:r w:rsidR="009F2F08" w:rsidRPr="00197941">
        <w:t>’</w:t>
      </w:r>
      <w:r w:rsidRPr="00197941">
        <w:t>intégrité et l</w:t>
      </w:r>
      <w:r w:rsidR="009F2F08" w:rsidRPr="00197941">
        <w:t>’</w:t>
      </w:r>
      <w:r w:rsidRPr="00197941">
        <w:t>efficacité des mesures de répression.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6A1F5E" w:rsidRPr="00197941" w14:paraId="58393DE8" w14:textId="77777777" w:rsidTr="00B827CE">
        <w:tc>
          <w:tcPr>
            <w:tcW w:w="1897" w:type="dxa"/>
          </w:tcPr>
          <w:p w14:paraId="73DCE179" w14:textId="77777777" w:rsidR="006A1F5E" w:rsidRPr="00197941" w:rsidRDefault="006A1F5E" w:rsidP="00B827CE">
            <w:pPr>
              <w:pStyle w:val="Normal-pool"/>
              <w:spacing w:before="520"/>
            </w:pPr>
          </w:p>
        </w:tc>
        <w:tc>
          <w:tcPr>
            <w:tcW w:w="1897" w:type="dxa"/>
          </w:tcPr>
          <w:p w14:paraId="7BC2CF45" w14:textId="77777777" w:rsidR="006A1F5E" w:rsidRPr="00197941" w:rsidRDefault="006A1F5E" w:rsidP="00B827CE">
            <w:pPr>
              <w:pStyle w:val="Normal-pool"/>
              <w:spacing w:before="520"/>
            </w:pPr>
          </w:p>
        </w:tc>
        <w:tc>
          <w:tcPr>
            <w:tcW w:w="1897" w:type="dxa"/>
            <w:tcBorders>
              <w:bottom w:val="single" w:sz="4" w:space="0" w:color="auto"/>
            </w:tcBorders>
          </w:tcPr>
          <w:p w14:paraId="7B96950E" w14:textId="77777777" w:rsidR="006A1F5E" w:rsidRPr="00197941" w:rsidRDefault="006A1F5E" w:rsidP="00B827CE">
            <w:pPr>
              <w:pStyle w:val="Normal-pool"/>
              <w:spacing w:before="520"/>
            </w:pPr>
          </w:p>
        </w:tc>
        <w:tc>
          <w:tcPr>
            <w:tcW w:w="1898" w:type="dxa"/>
          </w:tcPr>
          <w:p w14:paraId="5AE13830" w14:textId="77777777" w:rsidR="006A1F5E" w:rsidRPr="00197941" w:rsidRDefault="006A1F5E" w:rsidP="00B827CE">
            <w:pPr>
              <w:pStyle w:val="Normal-pool"/>
              <w:spacing w:before="520"/>
            </w:pPr>
          </w:p>
        </w:tc>
        <w:tc>
          <w:tcPr>
            <w:tcW w:w="1898" w:type="dxa"/>
          </w:tcPr>
          <w:p w14:paraId="0D357E41" w14:textId="77777777" w:rsidR="006A1F5E" w:rsidRPr="00197941" w:rsidRDefault="006A1F5E" w:rsidP="00B827CE">
            <w:pPr>
              <w:pStyle w:val="Normal-pool"/>
              <w:spacing w:before="520"/>
            </w:pPr>
          </w:p>
        </w:tc>
      </w:tr>
    </w:tbl>
    <w:p w14:paraId="2708D343" w14:textId="2460CB16" w:rsidR="0074187B" w:rsidRPr="00197941" w:rsidRDefault="0074187B" w:rsidP="0021512B">
      <w:pPr>
        <w:pStyle w:val="Normal-pool"/>
        <w:rPr>
          <w:rFonts w:eastAsiaTheme="minorEastAsia"/>
        </w:rPr>
      </w:pPr>
    </w:p>
    <w:sectPr w:rsidR="0074187B" w:rsidRPr="00197941" w:rsidSect="002A457B">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E2EA" w14:textId="77777777" w:rsidR="00B96369" w:rsidRPr="002A457B" w:rsidRDefault="00B96369">
      <w:r w:rsidRPr="002A457B">
        <w:separator/>
      </w:r>
    </w:p>
  </w:endnote>
  <w:endnote w:type="continuationSeparator" w:id="0">
    <w:p w14:paraId="00B67DC7" w14:textId="77777777" w:rsidR="00B96369" w:rsidRPr="002A457B" w:rsidRDefault="00B96369">
      <w:r w:rsidRPr="002A45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555B" w14:textId="052AF0D0" w:rsidR="007A36F8" w:rsidRPr="002A457B" w:rsidRDefault="002A457B" w:rsidP="002A457B">
    <w:pPr>
      <w:pStyle w:val="Footer-pool"/>
    </w:pPr>
    <w:r w:rsidRPr="002A457B">
      <w:rPr>
        <w:rStyle w:val="PageNumber"/>
        <w:b/>
      </w:rPr>
      <w:fldChar w:fldCharType="begin"/>
    </w:r>
    <w:r w:rsidRPr="002A457B">
      <w:rPr>
        <w:rStyle w:val="PageNumber"/>
        <w:b/>
      </w:rPr>
      <w:instrText xml:space="preserve"> PAGE </w:instrText>
    </w:r>
    <w:r w:rsidRPr="002A457B">
      <w:rPr>
        <w:rStyle w:val="PageNumber"/>
        <w:b/>
      </w:rPr>
      <w:fldChar w:fldCharType="separate"/>
    </w:r>
    <w:r w:rsidRPr="002A457B">
      <w:rPr>
        <w:rStyle w:val="PageNumber"/>
        <w:b/>
        <w:noProof/>
      </w:rPr>
      <w:t>2</w:t>
    </w:r>
    <w:r w:rsidRPr="002A457B">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8E8D" w14:textId="4A0AE6C5" w:rsidR="007A36F8" w:rsidRPr="002A457B" w:rsidRDefault="002A457B" w:rsidP="002A457B">
    <w:pPr>
      <w:pStyle w:val="Footer-pool"/>
      <w:jc w:val="right"/>
    </w:pPr>
    <w:r w:rsidRPr="002A457B">
      <w:rPr>
        <w:rStyle w:val="PageNumber"/>
        <w:b/>
      </w:rPr>
      <w:fldChar w:fldCharType="begin"/>
    </w:r>
    <w:r w:rsidRPr="002A457B">
      <w:rPr>
        <w:rStyle w:val="PageNumber"/>
        <w:b/>
      </w:rPr>
      <w:instrText xml:space="preserve"> PAGE \* MERGEFORMAT </w:instrText>
    </w:r>
    <w:r w:rsidRPr="002A457B">
      <w:rPr>
        <w:rStyle w:val="PageNumber"/>
        <w:b/>
      </w:rPr>
      <w:fldChar w:fldCharType="separate"/>
    </w:r>
    <w:r w:rsidRPr="002A457B">
      <w:rPr>
        <w:rStyle w:val="PageNumber"/>
        <w:b/>
        <w:noProof/>
      </w:rPr>
      <w:t>2</w:t>
    </w:r>
    <w:r w:rsidRPr="002A457B">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048F" w14:textId="169AC106" w:rsidR="0074187B" w:rsidRPr="002A457B" w:rsidRDefault="002A457B" w:rsidP="002A457B">
    <w:pPr>
      <w:pStyle w:val="Footer-jobnumber"/>
    </w:pPr>
    <w:bookmarkStart w:id="10" w:name="FooterJobDate"/>
    <w:r w:rsidRPr="002A457B">
      <w:t>K</w:t>
    </w:r>
    <w:r w:rsidR="003D4885">
      <w:t>2606064</w:t>
    </w:r>
    <w:r w:rsidRPr="002A457B">
      <w:t>[F]</w:t>
    </w:r>
    <w:r w:rsidRPr="002A457B">
      <w:tab/>
      <w:t>1</w:t>
    </w:r>
    <w:r w:rsidR="00D96120">
      <w:t>1</w:t>
    </w:r>
    <w:r w:rsidRPr="002A457B">
      <w:t>0</w:t>
    </w:r>
    <w:r w:rsidR="00D96120">
      <w:t>6</w:t>
    </w:r>
    <w:r w:rsidRPr="002A457B">
      <w:t>26</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73809" w14:textId="77777777" w:rsidR="00B96369" w:rsidRPr="002A457B" w:rsidRDefault="00B96369" w:rsidP="002A457B">
      <w:pPr>
        <w:pStyle w:val="Footnote-Separator"/>
        <w:ind w:left="624"/>
        <w:rPr>
          <w:szCs w:val="18"/>
        </w:rPr>
      </w:pPr>
      <w:r w:rsidRPr="002A457B">
        <w:separator/>
      </w:r>
    </w:p>
  </w:footnote>
  <w:footnote w:type="continuationSeparator" w:id="0">
    <w:p w14:paraId="421B013C" w14:textId="77777777" w:rsidR="00B96369" w:rsidRPr="002A457B" w:rsidRDefault="00B96369" w:rsidP="002A457B">
      <w:pPr>
        <w:pStyle w:val="Footnote-Separator"/>
      </w:pPr>
      <w:r w:rsidRPr="002A457B">
        <w:continuationSeparator/>
      </w:r>
    </w:p>
  </w:footnote>
  <w:footnote w:type="continuationNotice" w:id="1">
    <w:p w14:paraId="4745337F" w14:textId="77777777" w:rsidR="00B96369" w:rsidRPr="002A457B" w:rsidRDefault="00B96369" w:rsidP="002A457B">
      <w:pPr>
        <w:pStyle w:val="ASpacer"/>
      </w:pPr>
    </w:p>
  </w:footnote>
  <w:footnote w:id="2">
    <w:p w14:paraId="3D29D428" w14:textId="77777777" w:rsidR="002A457B" w:rsidRPr="002A457B" w:rsidRDefault="002A457B" w:rsidP="002A457B">
      <w:pPr>
        <w:pStyle w:val="Footnote-Text"/>
      </w:pPr>
      <w:r w:rsidRPr="002A457B">
        <w:t>* UNEP/OzL.Pro.WG.1/48/1.</w:t>
      </w:r>
    </w:p>
  </w:footnote>
  <w:footnote w:id="3">
    <w:p w14:paraId="130E3006" w14:textId="18703CAA" w:rsidR="006A1F5E" w:rsidRPr="002A457B" w:rsidRDefault="002A457B" w:rsidP="002A457B">
      <w:pPr>
        <w:pStyle w:val="Footnote-Text"/>
        <w:rPr>
          <w:szCs w:val="18"/>
        </w:rPr>
      </w:pPr>
      <w:r w:rsidRPr="002A457B">
        <w:rPr>
          <w:rStyle w:val="FootnoteReference"/>
        </w:rPr>
        <w:footnoteRef/>
      </w:r>
      <w:r w:rsidR="006A1F5E" w:rsidRPr="002A457B">
        <w:t xml:space="preserve"> Aux fins de la présente</w:t>
      </w:r>
      <w:r w:rsidR="00394C63">
        <w:t> </w:t>
      </w:r>
      <w:r w:rsidR="006A1F5E" w:rsidRPr="002A457B">
        <w:t>note, le nombre de cas correspond au nombre d</w:t>
      </w:r>
      <w:r w:rsidR="009F2F08" w:rsidRPr="002A457B">
        <w:t>’</w:t>
      </w:r>
      <w:r w:rsidR="006A1F5E" w:rsidRPr="002A457B">
        <w:t>entrées figurant dans les formulaires de déclaration soumis par les Parties.</w:t>
      </w:r>
    </w:p>
  </w:footnote>
  <w:footnote w:id="4">
    <w:p w14:paraId="22550C81" w14:textId="31A34000" w:rsidR="006A1F5E" w:rsidRPr="002A457B" w:rsidRDefault="002A457B" w:rsidP="002A457B">
      <w:pPr>
        <w:pStyle w:val="Footnote-Text"/>
        <w:rPr>
          <w:szCs w:val="18"/>
        </w:rPr>
      </w:pPr>
      <w:r w:rsidRPr="002A457B">
        <w:rPr>
          <w:rStyle w:val="FootnoteReference"/>
        </w:rPr>
        <w:footnoteRef/>
      </w:r>
      <w:r w:rsidR="006A1F5E" w:rsidRPr="002A457B">
        <w:t xml:space="preserve"> </w:t>
      </w:r>
      <w:hyperlink r:id="rId1" w:history="1">
        <w:r w:rsidR="006A1F5E" w:rsidRPr="00652E22">
          <w:rPr>
            <w:rStyle w:val="Hyperlink"/>
          </w:rPr>
          <w:t>https://ozone.unep.org/countries/additional-reported-information/illegal-trade</w:t>
        </w:r>
      </w:hyperlink>
      <w:r w:rsidR="006A1F5E" w:rsidRPr="002A457B">
        <w:t>.</w:t>
      </w:r>
      <w:hyperlink r:id="rId2" w:history="1"/>
    </w:p>
  </w:footnote>
  <w:footnote w:id="5">
    <w:p w14:paraId="33CD7ECA" w14:textId="1704626F" w:rsidR="006A1F5E" w:rsidRPr="002A457B" w:rsidRDefault="002A457B" w:rsidP="002A457B">
      <w:pPr>
        <w:pStyle w:val="Footnote-Text"/>
        <w:rPr>
          <w:szCs w:val="18"/>
        </w:rPr>
      </w:pPr>
      <w:r w:rsidRPr="002A457B">
        <w:rPr>
          <w:rStyle w:val="FootnoteReference"/>
        </w:rPr>
        <w:footnoteRef/>
      </w:r>
      <w:r w:rsidR="006A1F5E" w:rsidRPr="002A457B">
        <w:t xml:space="preserve"> </w:t>
      </w:r>
      <w:hyperlink r:id="rId3" w:history="1">
        <w:r w:rsidR="006A1F5E" w:rsidRPr="00A02DB4">
          <w:rPr>
            <w:rStyle w:val="Hyperlink"/>
          </w:rPr>
          <w:t>https://ozone.unep.org/countries/additional-reported-information/illegal-trade-decisionxxxi3</w:t>
        </w:r>
      </w:hyperlink>
      <w:r w:rsidR="006A1F5E" w:rsidRPr="002A457B">
        <w:t>.</w:t>
      </w:r>
      <w:hyperlink r:id="rId4" w:history="1"/>
    </w:p>
  </w:footnote>
  <w:footnote w:id="6">
    <w:p w14:paraId="6D85E19F" w14:textId="279E830D" w:rsidR="006A1F5E" w:rsidRPr="002A457B" w:rsidRDefault="002A457B" w:rsidP="002A457B">
      <w:pPr>
        <w:pStyle w:val="Footnote-Text"/>
        <w:rPr>
          <w:szCs w:val="18"/>
        </w:rPr>
      </w:pPr>
      <w:r w:rsidRPr="002A457B">
        <w:rPr>
          <w:rStyle w:val="FootnoteReference"/>
        </w:rPr>
        <w:footnoteRef/>
      </w:r>
      <w:r w:rsidR="006A1F5E" w:rsidRPr="002A457B">
        <w:t xml:space="preserve"> Il s</w:t>
      </w:r>
      <w:r w:rsidR="009F2F08" w:rsidRPr="002A457B">
        <w:t>’</w:t>
      </w:r>
      <w:r w:rsidR="006A1F5E" w:rsidRPr="002A457B">
        <w:t>agit notamment des documents UNEP/OzL.Pro.WG.1/47/5, UNEP/OzL.Pro.WG.1/46/4 et UNEP/OzL.Pro/Workshop.11/2/Add.1–UNEP/OzL.Pro.WG.1/45/5/Add.1.</w:t>
      </w:r>
      <w:hyperlink r:id="rId5" w:history="1"/>
      <w:hyperlink r:id="rId6" w:history="1"/>
      <w:hyperlink r:id="rId7" w:history="1"/>
    </w:p>
  </w:footnote>
  <w:footnote w:id="7">
    <w:p w14:paraId="442D9396" w14:textId="60BF3772" w:rsidR="006A1F5E" w:rsidRPr="002A457B" w:rsidRDefault="002A457B" w:rsidP="002A457B">
      <w:pPr>
        <w:pStyle w:val="Footnote-Text"/>
      </w:pPr>
      <w:r w:rsidRPr="002A457B">
        <w:rPr>
          <w:rStyle w:val="FootnoteReference"/>
        </w:rPr>
        <w:footnoteRef/>
      </w:r>
      <w:r w:rsidR="006A1F5E" w:rsidRPr="002A457B">
        <w:t xml:space="preserve"> Aux fins de la présente</w:t>
      </w:r>
      <w:r w:rsidR="000A7509">
        <w:t> </w:t>
      </w:r>
      <w:r w:rsidR="006A1F5E" w:rsidRPr="002A457B">
        <w:t>note, le nombre de cas correspond au nombre d</w:t>
      </w:r>
      <w:r w:rsidR="009F2F08" w:rsidRPr="002A457B">
        <w:t>’</w:t>
      </w:r>
      <w:r w:rsidR="006A1F5E" w:rsidRPr="002A457B">
        <w:t xml:space="preserve">entrées figurant dans les formulaires de déclaration soumis par les Parties (voir la note de bas de page n° 1 ci-dessus). </w:t>
      </w:r>
    </w:p>
  </w:footnote>
  <w:footnote w:id="8">
    <w:p w14:paraId="2383C107" w14:textId="35033AEB" w:rsidR="006A1F5E" w:rsidRPr="002A457B" w:rsidRDefault="002A457B" w:rsidP="002A457B">
      <w:pPr>
        <w:pStyle w:val="Footnote-Text"/>
      </w:pPr>
      <w:r w:rsidRPr="002A457B">
        <w:rPr>
          <w:sz w:val="20"/>
          <w:vertAlign w:val="superscript"/>
        </w:rPr>
        <w:footnoteRef/>
      </w:r>
      <w:r w:rsidR="006A1F5E" w:rsidRPr="002A457B">
        <w:t xml:space="preserve"> Dans la présente</w:t>
      </w:r>
      <w:r w:rsidR="00C47399">
        <w:t> </w:t>
      </w:r>
      <w:r w:rsidR="006A1F5E" w:rsidRPr="002A457B">
        <w:t>note, les termes utilisés pour désigner les différentes mesures de répression sont repris des cas signalés. Il est toutefois entendu que leur définition d</w:t>
      </w:r>
      <w:r w:rsidR="009F2F08" w:rsidRPr="002A457B">
        <w:t>’</w:t>
      </w:r>
      <w:r w:rsidR="006A1F5E" w:rsidRPr="002A457B">
        <w:t>un point de vue juridique peut varier d</w:t>
      </w:r>
      <w:r w:rsidR="009F2F08" w:rsidRPr="002A457B">
        <w:t>’</w:t>
      </w:r>
      <w:r w:rsidR="006A1F5E" w:rsidRPr="002A457B">
        <w:t>un pays à l</w:t>
      </w:r>
      <w:r w:rsidR="009F2F08" w:rsidRPr="002A457B">
        <w:t>’</w:t>
      </w:r>
      <w:r w:rsidR="006A1F5E" w:rsidRPr="002A457B">
        <w:t xml:space="preserve">autre. </w:t>
      </w:r>
    </w:p>
  </w:footnote>
  <w:footnote w:id="9">
    <w:p w14:paraId="1090F3BA" w14:textId="6A8A5CD9" w:rsidR="006A1F5E" w:rsidRPr="002A457B" w:rsidRDefault="002A457B" w:rsidP="002A457B">
      <w:pPr>
        <w:pStyle w:val="Footnote-Text"/>
      </w:pPr>
      <w:r w:rsidRPr="002A457B">
        <w:rPr>
          <w:sz w:val="20"/>
          <w:vertAlign w:val="superscript"/>
        </w:rPr>
        <w:footnoteRef/>
      </w:r>
      <w:r w:rsidR="006A1F5E" w:rsidRPr="002A457B">
        <w:t xml:space="preserve"> Office des Nations</w:t>
      </w:r>
      <w:r w:rsidR="00E448CC">
        <w:t> </w:t>
      </w:r>
      <w:r w:rsidR="006A1F5E" w:rsidRPr="002A457B">
        <w:t xml:space="preserve">Unies contre la drogue et le crime, </w:t>
      </w:r>
      <w:r w:rsidR="006A1F5E" w:rsidRPr="002A457B">
        <w:rPr>
          <w:i/>
          <w:iCs/>
        </w:rPr>
        <w:t xml:space="preserve">Manuel sur la coopération internationale aux fins de confiscation </w:t>
      </w:r>
      <w:r w:rsidR="009F2F08" w:rsidRPr="002A457B">
        <w:rPr>
          <w:i/>
          <w:iCs/>
        </w:rPr>
        <w:t>du produit</w:t>
      </w:r>
      <w:r w:rsidR="006A1F5E" w:rsidRPr="002A457B">
        <w:rPr>
          <w:i/>
          <w:iCs/>
        </w:rPr>
        <w:t xml:space="preserve"> du crime</w:t>
      </w:r>
      <w:r w:rsidR="006A1F5E" w:rsidRPr="002A457B">
        <w:t xml:space="preserve"> (publication des Nations</w:t>
      </w:r>
      <w:r w:rsidR="009539B3">
        <w:t> </w:t>
      </w:r>
      <w:r w:rsidR="006A1F5E" w:rsidRPr="002A457B">
        <w:t>Unies, 2020), qui tire ses définitions de la Convention des Nations</w:t>
      </w:r>
      <w:r w:rsidR="005218A2">
        <w:t> </w:t>
      </w:r>
      <w:r w:rsidR="006A1F5E" w:rsidRPr="002A457B">
        <w:t>Unies contre la criminalité transnationale organisée.</w:t>
      </w:r>
    </w:p>
  </w:footnote>
  <w:footnote w:id="10">
    <w:p w14:paraId="23E2D34E" w14:textId="61B3C29D" w:rsidR="006A1F5E" w:rsidRPr="002A457B" w:rsidRDefault="002A457B" w:rsidP="002A457B">
      <w:pPr>
        <w:pStyle w:val="Footnote-Text"/>
      </w:pPr>
      <w:r w:rsidRPr="002A457B">
        <w:rPr>
          <w:sz w:val="20"/>
          <w:vertAlign w:val="superscript"/>
        </w:rPr>
        <w:footnoteRef/>
      </w:r>
      <w:r w:rsidR="006A1F5E" w:rsidRPr="002A457B">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B976" w14:textId="2CD7E95B" w:rsidR="007A36F8" w:rsidRPr="002A457B" w:rsidRDefault="002A457B" w:rsidP="002A457B">
    <w:pPr>
      <w:pStyle w:val="Header-pool"/>
    </w:pPr>
    <w:r w:rsidRPr="002A457B">
      <w:rPr>
        <w:noProof/>
      </w:rPr>
      <w:fldChar w:fldCharType="begin"/>
    </w:r>
    <w:r w:rsidRPr="002A457B">
      <w:rPr>
        <w:noProof/>
      </w:rPr>
      <w:instrText xml:space="preserve"> StyleRef A_Symbol </w:instrText>
    </w:r>
    <w:r w:rsidRPr="002A457B">
      <w:rPr>
        <w:noProof/>
      </w:rPr>
      <w:fldChar w:fldCharType="separate"/>
    </w:r>
    <w:r w:rsidR="00CC4ACB">
      <w:rPr>
        <w:noProof/>
      </w:rPr>
      <w:t>UNEP/OzL.Pro.WG.1/48/3</w:t>
    </w:r>
    <w:r w:rsidRPr="002A457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D7A4" w14:textId="2A006990" w:rsidR="007A36F8" w:rsidRPr="002A457B" w:rsidRDefault="002A457B" w:rsidP="002A457B">
    <w:pPr>
      <w:pStyle w:val="Header-pool"/>
      <w:jc w:val="right"/>
    </w:pPr>
    <w:r w:rsidRPr="002A457B">
      <w:rPr>
        <w:noProof/>
      </w:rPr>
      <w:fldChar w:fldCharType="begin"/>
    </w:r>
    <w:r w:rsidRPr="002A457B">
      <w:rPr>
        <w:noProof/>
      </w:rPr>
      <w:instrText xml:space="preserve"> StyleRef A_Symbol </w:instrText>
    </w:r>
    <w:r w:rsidRPr="002A457B">
      <w:rPr>
        <w:noProof/>
      </w:rPr>
      <w:fldChar w:fldCharType="separate"/>
    </w:r>
    <w:r w:rsidR="00CC4ACB">
      <w:rPr>
        <w:noProof/>
      </w:rPr>
      <w:t>UNEP/OzL.Pro.WG.1/48/3</w:t>
    </w:r>
    <w:r w:rsidRPr="002A457B">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AE3C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DC91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ABA24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A3AFC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80FD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A834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0268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2AA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7887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5"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6" w15:restartNumberingAfterBreak="0">
    <w:nsid w:val="1D131288"/>
    <w:multiLevelType w:val="hybridMultilevel"/>
    <w:tmpl w:val="1BAA9652"/>
    <w:lvl w:ilvl="0" w:tplc="397A814E">
      <w:start w:val="1"/>
      <w:numFmt w:val="upperRoman"/>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DE755F5"/>
    <w:multiLevelType w:val="hybridMultilevel"/>
    <w:tmpl w:val="62386FF4"/>
    <w:lvl w:ilvl="0" w:tplc="2B269E46">
      <w:start w:val="1"/>
      <w:numFmt w:val="lowerLetter"/>
      <w:lvlText w:val="%1)"/>
      <w:lvlJc w:val="left"/>
      <w:pPr>
        <w:ind w:left="2231" w:hanging="360"/>
      </w:pPr>
      <w:rPr>
        <w:rFonts w:hint="default"/>
      </w:rPr>
    </w:lvl>
    <w:lvl w:ilvl="1" w:tplc="20000019" w:tentative="1">
      <w:start w:val="1"/>
      <w:numFmt w:val="lowerLetter"/>
      <w:lvlText w:val="%2."/>
      <w:lvlJc w:val="left"/>
      <w:pPr>
        <w:ind w:left="2951" w:hanging="360"/>
      </w:pPr>
    </w:lvl>
    <w:lvl w:ilvl="2" w:tplc="2000001B" w:tentative="1">
      <w:start w:val="1"/>
      <w:numFmt w:val="lowerRoman"/>
      <w:lvlText w:val="%3."/>
      <w:lvlJc w:val="right"/>
      <w:pPr>
        <w:ind w:left="3671" w:hanging="180"/>
      </w:pPr>
    </w:lvl>
    <w:lvl w:ilvl="3" w:tplc="2000000F" w:tentative="1">
      <w:start w:val="1"/>
      <w:numFmt w:val="decimal"/>
      <w:lvlText w:val="%4."/>
      <w:lvlJc w:val="left"/>
      <w:pPr>
        <w:ind w:left="4391" w:hanging="360"/>
      </w:pPr>
    </w:lvl>
    <w:lvl w:ilvl="4" w:tplc="20000019" w:tentative="1">
      <w:start w:val="1"/>
      <w:numFmt w:val="lowerLetter"/>
      <w:lvlText w:val="%5."/>
      <w:lvlJc w:val="left"/>
      <w:pPr>
        <w:ind w:left="5111" w:hanging="360"/>
      </w:pPr>
    </w:lvl>
    <w:lvl w:ilvl="5" w:tplc="2000001B" w:tentative="1">
      <w:start w:val="1"/>
      <w:numFmt w:val="lowerRoman"/>
      <w:lvlText w:val="%6."/>
      <w:lvlJc w:val="right"/>
      <w:pPr>
        <w:ind w:left="5831" w:hanging="180"/>
      </w:pPr>
    </w:lvl>
    <w:lvl w:ilvl="6" w:tplc="2000000F" w:tentative="1">
      <w:start w:val="1"/>
      <w:numFmt w:val="decimal"/>
      <w:lvlText w:val="%7."/>
      <w:lvlJc w:val="left"/>
      <w:pPr>
        <w:ind w:left="6551" w:hanging="360"/>
      </w:pPr>
    </w:lvl>
    <w:lvl w:ilvl="7" w:tplc="20000019" w:tentative="1">
      <w:start w:val="1"/>
      <w:numFmt w:val="lowerLetter"/>
      <w:lvlText w:val="%8."/>
      <w:lvlJc w:val="left"/>
      <w:pPr>
        <w:ind w:left="7271" w:hanging="360"/>
      </w:pPr>
    </w:lvl>
    <w:lvl w:ilvl="8" w:tplc="2000001B" w:tentative="1">
      <w:start w:val="1"/>
      <w:numFmt w:val="lowerRoman"/>
      <w:lvlText w:val="%9."/>
      <w:lvlJc w:val="right"/>
      <w:pPr>
        <w:ind w:left="7991" w:hanging="180"/>
      </w:pPr>
    </w:lvl>
  </w:abstractNum>
  <w:abstractNum w:abstractNumId="18" w15:restartNumberingAfterBreak="0">
    <w:nsid w:val="213513D4"/>
    <w:multiLevelType w:val="hybridMultilevel"/>
    <w:tmpl w:val="A8BCDABA"/>
    <w:lvl w:ilvl="0" w:tplc="C0400D0E">
      <w:start w:val="1"/>
      <w:numFmt w:val="upperLetter"/>
      <w:lvlText w:val="%1."/>
      <w:lvlJc w:val="left"/>
      <w:pPr>
        <w:ind w:left="1020" w:hanging="360"/>
      </w:pPr>
    </w:lvl>
    <w:lvl w:ilvl="1" w:tplc="5344B856">
      <w:start w:val="1"/>
      <w:numFmt w:val="upperLetter"/>
      <w:lvlText w:val="%2."/>
      <w:lvlJc w:val="left"/>
      <w:pPr>
        <w:ind w:left="1020" w:hanging="360"/>
      </w:pPr>
    </w:lvl>
    <w:lvl w:ilvl="2" w:tplc="4EA20854">
      <w:start w:val="1"/>
      <w:numFmt w:val="upperLetter"/>
      <w:lvlText w:val="%3."/>
      <w:lvlJc w:val="left"/>
      <w:pPr>
        <w:ind w:left="1020" w:hanging="360"/>
      </w:pPr>
    </w:lvl>
    <w:lvl w:ilvl="3" w:tplc="D560505A">
      <w:start w:val="1"/>
      <w:numFmt w:val="upperLetter"/>
      <w:lvlText w:val="%4."/>
      <w:lvlJc w:val="left"/>
      <w:pPr>
        <w:ind w:left="1020" w:hanging="360"/>
      </w:pPr>
    </w:lvl>
    <w:lvl w:ilvl="4" w:tplc="E50A45BA">
      <w:start w:val="1"/>
      <w:numFmt w:val="upperLetter"/>
      <w:lvlText w:val="%5."/>
      <w:lvlJc w:val="left"/>
      <w:pPr>
        <w:ind w:left="1020" w:hanging="360"/>
      </w:pPr>
    </w:lvl>
    <w:lvl w:ilvl="5" w:tplc="7840BDA4">
      <w:start w:val="1"/>
      <w:numFmt w:val="upperLetter"/>
      <w:lvlText w:val="%6."/>
      <w:lvlJc w:val="left"/>
      <w:pPr>
        <w:ind w:left="1020" w:hanging="360"/>
      </w:pPr>
    </w:lvl>
    <w:lvl w:ilvl="6" w:tplc="C1F8DBA2">
      <w:start w:val="1"/>
      <w:numFmt w:val="upperLetter"/>
      <w:lvlText w:val="%7."/>
      <w:lvlJc w:val="left"/>
      <w:pPr>
        <w:ind w:left="1020" w:hanging="360"/>
      </w:pPr>
    </w:lvl>
    <w:lvl w:ilvl="7" w:tplc="746E2716">
      <w:start w:val="1"/>
      <w:numFmt w:val="upperLetter"/>
      <w:lvlText w:val="%8."/>
      <w:lvlJc w:val="left"/>
      <w:pPr>
        <w:ind w:left="1020" w:hanging="360"/>
      </w:pPr>
    </w:lvl>
    <w:lvl w:ilvl="8" w:tplc="EADA3D86">
      <w:start w:val="1"/>
      <w:numFmt w:val="upperLetter"/>
      <w:lvlText w:val="%9."/>
      <w:lvlJc w:val="left"/>
      <w:pPr>
        <w:ind w:left="1020" w:hanging="360"/>
      </w:pPr>
    </w:lvl>
  </w:abstractNum>
  <w:abstractNum w:abstractNumId="19"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21" w15:restartNumberingAfterBreak="0">
    <w:nsid w:val="3EED5358"/>
    <w:multiLevelType w:val="hybridMultilevel"/>
    <w:tmpl w:val="D7EAE8B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3"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4"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5" w15:restartNumberingAfterBreak="0">
    <w:nsid w:val="62291BF8"/>
    <w:multiLevelType w:val="multilevel"/>
    <w:tmpl w:val="1CA2EF82"/>
    <w:numStyleLink w:val="Normallist"/>
  </w:abstractNum>
  <w:abstractNum w:abstractNumId="26"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7"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22"/>
  </w:num>
  <w:num w:numId="2" w16cid:durableId="1242644713">
    <w:abstractNumId w:val="26"/>
  </w:num>
  <w:num w:numId="3" w16cid:durableId="1933662228">
    <w:abstractNumId w:val="19"/>
  </w:num>
  <w:num w:numId="4" w16cid:durableId="1991909117">
    <w:abstractNumId w:val="11"/>
  </w:num>
  <w:num w:numId="5" w16cid:durableId="1138956019">
    <w:abstractNumId w:val="13"/>
  </w:num>
  <w:num w:numId="6" w16cid:durableId="442113659">
    <w:abstractNumId w:val="9"/>
  </w:num>
  <w:num w:numId="7" w16cid:durableId="224728022">
    <w:abstractNumId w:val="7"/>
  </w:num>
  <w:num w:numId="8" w16cid:durableId="241841544">
    <w:abstractNumId w:val="6"/>
  </w:num>
  <w:num w:numId="9" w16cid:durableId="375861515">
    <w:abstractNumId w:val="5"/>
  </w:num>
  <w:num w:numId="10" w16cid:durableId="915164644">
    <w:abstractNumId w:val="4"/>
  </w:num>
  <w:num w:numId="11" w16cid:durableId="1039668294">
    <w:abstractNumId w:val="8"/>
  </w:num>
  <w:num w:numId="12" w16cid:durableId="1447046328">
    <w:abstractNumId w:val="3"/>
  </w:num>
  <w:num w:numId="13" w16cid:durableId="1349872902">
    <w:abstractNumId w:val="2"/>
  </w:num>
  <w:num w:numId="14" w16cid:durableId="1489857600">
    <w:abstractNumId w:val="1"/>
  </w:num>
  <w:num w:numId="15" w16cid:durableId="157425290">
    <w:abstractNumId w:val="0"/>
  </w:num>
  <w:num w:numId="16" w16cid:durableId="1318999252">
    <w:abstractNumId w:val="17"/>
  </w:num>
  <w:num w:numId="17" w16cid:durableId="1270550909">
    <w:abstractNumId w:val="18"/>
  </w:num>
  <w:num w:numId="18" w16cid:durableId="1415207311">
    <w:abstractNumId w:val="16"/>
  </w:num>
  <w:num w:numId="19" w16cid:durableId="994838483">
    <w:abstractNumId w:val="21"/>
  </w:num>
  <w:num w:numId="20" w16cid:durableId="1626504287">
    <w:abstractNumId w:val="14"/>
  </w:num>
  <w:num w:numId="21" w16cid:durableId="499194188">
    <w:abstractNumId w:val="20"/>
  </w:num>
  <w:num w:numId="22" w16cid:durableId="1702246126">
    <w:abstractNumId w:val="25"/>
  </w:num>
  <w:num w:numId="23" w16cid:durableId="2587608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1054750">
    <w:abstractNumId w:val="23"/>
  </w:num>
  <w:num w:numId="25" w16cid:durableId="2008628561">
    <w:abstractNumId w:val="24"/>
  </w:num>
  <w:num w:numId="26" w16cid:durableId="1445953522">
    <w:abstractNumId w:val="10"/>
  </w:num>
  <w:num w:numId="27" w16cid:durableId="20368823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0081516">
    <w:abstractNumId w:val="15"/>
  </w:num>
  <w:num w:numId="29" w16cid:durableId="737441382">
    <w:abstractNumId w:val="12"/>
  </w:num>
  <w:num w:numId="30" w16cid:durableId="97261235">
    <w:abstractNumId w:val="27"/>
  </w:num>
  <w:num w:numId="31" w16cid:durableId="21405652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77563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09978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56584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insDel="0" w:formatting="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4F"/>
    <w:rsid w:val="00003B0D"/>
    <w:rsid w:val="00004CEA"/>
    <w:rsid w:val="00010DE8"/>
    <w:rsid w:val="00011A59"/>
    <w:rsid w:val="000139A5"/>
    <w:rsid w:val="000149E6"/>
    <w:rsid w:val="00015903"/>
    <w:rsid w:val="00016AF3"/>
    <w:rsid w:val="00020327"/>
    <w:rsid w:val="000208C8"/>
    <w:rsid w:val="00023A86"/>
    <w:rsid w:val="000247B0"/>
    <w:rsid w:val="0002553B"/>
    <w:rsid w:val="00026997"/>
    <w:rsid w:val="00031C4C"/>
    <w:rsid w:val="00033E0B"/>
    <w:rsid w:val="00035EDE"/>
    <w:rsid w:val="00037286"/>
    <w:rsid w:val="00041E74"/>
    <w:rsid w:val="000509B4"/>
    <w:rsid w:val="000515C8"/>
    <w:rsid w:val="00056B2C"/>
    <w:rsid w:val="0006035B"/>
    <w:rsid w:val="0006304E"/>
    <w:rsid w:val="00064B98"/>
    <w:rsid w:val="00065F92"/>
    <w:rsid w:val="00067FE6"/>
    <w:rsid w:val="0007166E"/>
    <w:rsid w:val="00071886"/>
    <w:rsid w:val="000723AE"/>
    <w:rsid w:val="00073B8F"/>
    <w:rsid w:val="000742BC"/>
    <w:rsid w:val="0008041D"/>
    <w:rsid w:val="00082A0C"/>
    <w:rsid w:val="00082DCD"/>
    <w:rsid w:val="00083504"/>
    <w:rsid w:val="00083913"/>
    <w:rsid w:val="0008710B"/>
    <w:rsid w:val="000872CE"/>
    <w:rsid w:val="00095BE8"/>
    <w:rsid w:val="0009640C"/>
    <w:rsid w:val="000A7509"/>
    <w:rsid w:val="000B0BA7"/>
    <w:rsid w:val="000B1358"/>
    <w:rsid w:val="000B21D5"/>
    <w:rsid w:val="000B22A2"/>
    <w:rsid w:val="000B35C7"/>
    <w:rsid w:val="000B6FB2"/>
    <w:rsid w:val="000C0033"/>
    <w:rsid w:val="000C28EB"/>
    <w:rsid w:val="000C2A52"/>
    <w:rsid w:val="000C46A9"/>
    <w:rsid w:val="000C73BF"/>
    <w:rsid w:val="000D09E4"/>
    <w:rsid w:val="000D15B9"/>
    <w:rsid w:val="000D33C0"/>
    <w:rsid w:val="000D5884"/>
    <w:rsid w:val="000D6941"/>
    <w:rsid w:val="000D71B6"/>
    <w:rsid w:val="000E0405"/>
    <w:rsid w:val="000E7CF6"/>
    <w:rsid w:val="000F0CEA"/>
    <w:rsid w:val="000F359F"/>
    <w:rsid w:val="000F473D"/>
    <w:rsid w:val="000F4F90"/>
    <w:rsid w:val="000F6CFF"/>
    <w:rsid w:val="00101177"/>
    <w:rsid w:val="001020D4"/>
    <w:rsid w:val="00105E94"/>
    <w:rsid w:val="0010652C"/>
    <w:rsid w:val="00107B03"/>
    <w:rsid w:val="00111316"/>
    <w:rsid w:val="0011235A"/>
    <w:rsid w:val="0011334A"/>
    <w:rsid w:val="00115F73"/>
    <w:rsid w:val="001202E3"/>
    <w:rsid w:val="00122EEA"/>
    <w:rsid w:val="00123699"/>
    <w:rsid w:val="00124E4B"/>
    <w:rsid w:val="00126098"/>
    <w:rsid w:val="0013059D"/>
    <w:rsid w:val="001319F0"/>
    <w:rsid w:val="00131B71"/>
    <w:rsid w:val="00137217"/>
    <w:rsid w:val="0014083A"/>
    <w:rsid w:val="00141A55"/>
    <w:rsid w:val="00141F2F"/>
    <w:rsid w:val="001446A3"/>
    <w:rsid w:val="0014626F"/>
    <w:rsid w:val="00155395"/>
    <w:rsid w:val="00157B15"/>
    <w:rsid w:val="00157C8E"/>
    <w:rsid w:val="00166638"/>
    <w:rsid w:val="00172E6C"/>
    <w:rsid w:val="00173A4F"/>
    <w:rsid w:val="00173D27"/>
    <w:rsid w:val="00174739"/>
    <w:rsid w:val="00175BB6"/>
    <w:rsid w:val="0018127C"/>
    <w:rsid w:val="00181EC8"/>
    <w:rsid w:val="00181FC0"/>
    <w:rsid w:val="00184090"/>
    <w:rsid w:val="00184349"/>
    <w:rsid w:val="001915ED"/>
    <w:rsid w:val="0019161E"/>
    <w:rsid w:val="00195F33"/>
    <w:rsid w:val="00197941"/>
    <w:rsid w:val="00197C63"/>
    <w:rsid w:val="00197D7C"/>
    <w:rsid w:val="001A5EE1"/>
    <w:rsid w:val="001A6EA0"/>
    <w:rsid w:val="001A77C2"/>
    <w:rsid w:val="001A7FF9"/>
    <w:rsid w:val="001B0141"/>
    <w:rsid w:val="001B1617"/>
    <w:rsid w:val="001B1A17"/>
    <w:rsid w:val="001B4598"/>
    <w:rsid w:val="001B504B"/>
    <w:rsid w:val="001B5627"/>
    <w:rsid w:val="001B5CE9"/>
    <w:rsid w:val="001B7C4A"/>
    <w:rsid w:val="001C29FC"/>
    <w:rsid w:val="001C4956"/>
    <w:rsid w:val="001C54B1"/>
    <w:rsid w:val="001D3874"/>
    <w:rsid w:val="001D40E9"/>
    <w:rsid w:val="001D5344"/>
    <w:rsid w:val="001D61D0"/>
    <w:rsid w:val="001D7E75"/>
    <w:rsid w:val="001E1365"/>
    <w:rsid w:val="001E22D1"/>
    <w:rsid w:val="001E4B9A"/>
    <w:rsid w:val="001E56D2"/>
    <w:rsid w:val="001E7D56"/>
    <w:rsid w:val="001F4681"/>
    <w:rsid w:val="001F75DE"/>
    <w:rsid w:val="001F7AD9"/>
    <w:rsid w:val="002000DB"/>
    <w:rsid w:val="00200D58"/>
    <w:rsid w:val="00200EFE"/>
    <w:rsid w:val="002013BE"/>
    <w:rsid w:val="0020570D"/>
    <w:rsid w:val="002063A4"/>
    <w:rsid w:val="002065F3"/>
    <w:rsid w:val="00206F97"/>
    <w:rsid w:val="00210124"/>
    <w:rsid w:val="002110F9"/>
    <w:rsid w:val="0021145B"/>
    <w:rsid w:val="00211B68"/>
    <w:rsid w:val="00214277"/>
    <w:rsid w:val="0021512B"/>
    <w:rsid w:val="002160AB"/>
    <w:rsid w:val="00220F2F"/>
    <w:rsid w:val="0022151C"/>
    <w:rsid w:val="00224430"/>
    <w:rsid w:val="0022762D"/>
    <w:rsid w:val="00227861"/>
    <w:rsid w:val="002311D5"/>
    <w:rsid w:val="00232303"/>
    <w:rsid w:val="00234806"/>
    <w:rsid w:val="002378D6"/>
    <w:rsid w:val="002437CC"/>
    <w:rsid w:val="00243D36"/>
    <w:rsid w:val="00246903"/>
    <w:rsid w:val="00247707"/>
    <w:rsid w:val="00255D18"/>
    <w:rsid w:val="00257022"/>
    <w:rsid w:val="00261BB3"/>
    <w:rsid w:val="00263171"/>
    <w:rsid w:val="00271957"/>
    <w:rsid w:val="002750C9"/>
    <w:rsid w:val="00277919"/>
    <w:rsid w:val="00285560"/>
    <w:rsid w:val="002858E8"/>
    <w:rsid w:val="00286740"/>
    <w:rsid w:val="00287B42"/>
    <w:rsid w:val="00291543"/>
    <w:rsid w:val="00291EFE"/>
    <w:rsid w:val="002929D8"/>
    <w:rsid w:val="002935C2"/>
    <w:rsid w:val="00297D93"/>
    <w:rsid w:val="002A0B07"/>
    <w:rsid w:val="002A237D"/>
    <w:rsid w:val="002A24D4"/>
    <w:rsid w:val="002A2BF7"/>
    <w:rsid w:val="002A457B"/>
    <w:rsid w:val="002A4C53"/>
    <w:rsid w:val="002A59ED"/>
    <w:rsid w:val="002B0672"/>
    <w:rsid w:val="002B1A48"/>
    <w:rsid w:val="002B1B4C"/>
    <w:rsid w:val="002B247F"/>
    <w:rsid w:val="002C145D"/>
    <w:rsid w:val="002C2C3E"/>
    <w:rsid w:val="002C533E"/>
    <w:rsid w:val="002C5525"/>
    <w:rsid w:val="002D027F"/>
    <w:rsid w:val="002D6365"/>
    <w:rsid w:val="002D7A85"/>
    <w:rsid w:val="002D7B60"/>
    <w:rsid w:val="002E19D4"/>
    <w:rsid w:val="002E39FF"/>
    <w:rsid w:val="002E4177"/>
    <w:rsid w:val="002F0362"/>
    <w:rsid w:val="002F299B"/>
    <w:rsid w:val="002F2C60"/>
    <w:rsid w:val="002F4038"/>
    <w:rsid w:val="002F4761"/>
    <w:rsid w:val="002F5C79"/>
    <w:rsid w:val="002F5C99"/>
    <w:rsid w:val="002F7994"/>
    <w:rsid w:val="002F7CB9"/>
    <w:rsid w:val="003019E2"/>
    <w:rsid w:val="0030279F"/>
    <w:rsid w:val="0030291F"/>
    <w:rsid w:val="00313806"/>
    <w:rsid w:val="00313BBE"/>
    <w:rsid w:val="0031413F"/>
    <w:rsid w:val="003148BB"/>
    <w:rsid w:val="00315A71"/>
    <w:rsid w:val="00317976"/>
    <w:rsid w:val="0032262C"/>
    <w:rsid w:val="00323885"/>
    <w:rsid w:val="00331475"/>
    <w:rsid w:val="003318B7"/>
    <w:rsid w:val="0033212E"/>
    <w:rsid w:val="00332199"/>
    <w:rsid w:val="00336869"/>
    <w:rsid w:val="00337AC4"/>
    <w:rsid w:val="00351A93"/>
    <w:rsid w:val="00353AD4"/>
    <w:rsid w:val="00354F33"/>
    <w:rsid w:val="00355EA9"/>
    <w:rsid w:val="00356960"/>
    <w:rsid w:val="003578DE"/>
    <w:rsid w:val="0036529C"/>
    <w:rsid w:val="00365F6B"/>
    <w:rsid w:val="00370904"/>
    <w:rsid w:val="00370BF9"/>
    <w:rsid w:val="00371340"/>
    <w:rsid w:val="00373501"/>
    <w:rsid w:val="003759E2"/>
    <w:rsid w:val="00375AC6"/>
    <w:rsid w:val="00375DFC"/>
    <w:rsid w:val="00377D38"/>
    <w:rsid w:val="00382026"/>
    <w:rsid w:val="00383190"/>
    <w:rsid w:val="00384DDB"/>
    <w:rsid w:val="0038534A"/>
    <w:rsid w:val="00386999"/>
    <w:rsid w:val="00387C03"/>
    <w:rsid w:val="00390145"/>
    <w:rsid w:val="0039028A"/>
    <w:rsid w:val="003927C0"/>
    <w:rsid w:val="00394379"/>
    <w:rsid w:val="00394C63"/>
    <w:rsid w:val="00396257"/>
    <w:rsid w:val="00397A74"/>
    <w:rsid w:val="00397EB8"/>
    <w:rsid w:val="003A07AB"/>
    <w:rsid w:val="003A086E"/>
    <w:rsid w:val="003A300F"/>
    <w:rsid w:val="003A37B8"/>
    <w:rsid w:val="003A4FD0"/>
    <w:rsid w:val="003A52FC"/>
    <w:rsid w:val="003A56AE"/>
    <w:rsid w:val="003A69D1"/>
    <w:rsid w:val="003A6E7D"/>
    <w:rsid w:val="003A76C0"/>
    <w:rsid w:val="003A7705"/>
    <w:rsid w:val="003B1545"/>
    <w:rsid w:val="003B3828"/>
    <w:rsid w:val="003B6C80"/>
    <w:rsid w:val="003B6CC5"/>
    <w:rsid w:val="003C035E"/>
    <w:rsid w:val="003C3267"/>
    <w:rsid w:val="003C409D"/>
    <w:rsid w:val="003C5BA6"/>
    <w:rsid w:val="003D27C3"/>
    <w:rsid w:val="003D4885"/>
    <w:rsid w:val="003D5CF3"/>
    <w:rsid w:val="003E1173"/>
    <w:rsid w:val="003E3BCD"/>
    <w:rsid w:val="003F0436"/>
    <w:rsid w:val="003F0E85"/>
    <w:rsid w:val="003F179F"/>
    <w:rsid w:val="003F1C2B"/>
    <w:rsid w:val="003F6C9C"/>
    <w:rsid w:val="003F731A"/>
    <w:rsid w:val="00404CB5"/>
    <w:rsid w:val="00405251"/>
    <w:rsid w:val="004065EB"/>
    <w:rsid w:val="00410C55"/>
    <w:rsid w:val="00411BD6"/>
    <w:rsid w:val="004123A9"/>
    <w:rsid w:val="0041604D"/>
    <w:rsid w:val="00416854"/>
    <w:rsid w:val="00417725"/>
    <w:rsid w:val="0041779A"/>
    <w:rsid w:val="00417B99"/>
    <w:rsid w:val="0042020C"/>
    <w:rsid w:val="004212E4"/>
    <w:rsid w:val="00422ABB"/>
    <w:rsid w:val="004233BC"/>
    <w:rsid w:val="004243EA"/>
    <w:rsid w:val="00427834"/>
    <w:rsid w:val="004369F1"/>
    <w:rsid w:val="00437926"/>
    <w:rsid w:val="00437F26"/>
    <w:rsid w:val="0044040C"/>
    <w:rsid w:val="00444097"/>
    <w:rsid w:val="00445487"/>
    <w:rsid w:val="00451E64"/>
    <w:rsid w:val="00454769"/>
    <w:rsid w:val="00455C96"/>
    <w:rsid w:val="00456D58"/>
    <w:rsid w:val="004601A3"/>
    <w:rsid w:val="0046268D"/>
    <w:rsid w:val="0046325C"/>
    <w:rsid w:val="00466991"/>
    <w:rsid w:val="0047064C"/>
    <w:rsid w:val="00473212"/>
    <w:rsid w:val="00473658"/>
    <w:rsid w:val="0047480D"/>
    <w:rsid w:val="00474D90"/>
    <w:rsid w:val="00477761"/>
    <w:rsid w:val="00477AFF"/>
    <w:rsid w:val="00481F0B"/>
    <w:rsid w:val="00484BB0"/>
    <w:rsid w:val="00492BEF"/>
    <w:rsid w:val="00495BFE"/>
    <w:rsid w:val="004A33C8"/>
    <w:rsid w:val="004A42E1"/>
    <w:rsid w:val="004A497A"/>
    <w:rsid w:val="004A662E"/>
    <w:rsid w:val="004A6EF4"/>
    <w:rsid w:val="004B07DD"/>
    <w:rsid w:val="004B162C"/>
    <w:rsid w:val="004B1974"/>
    <w:rsid w:val="004B2F71"/>
    <w:rsid w:val="004B420B"/>
    <w:rsid w:val="004C2F00"/>
    <w:rsid w:val="004C3135"/>
    <w:rsid w:val="004C32EF"/>
    <w:rsid w:val="004C3DBE"/>
    <w:rsid w:val="004C51F4"/>
    <w:rsid w:val="004C5C96"/>
    <w:rsid w:val="004D067A"/>
    <w:rsid w:val="004D06A4"/>
    <w:rsid w:val="004D1319"/>
    <w:rsid w:val="004D3626"/>
    <w:rsid w:val="004D3F13"/>
    <w:rsid w:val="004D60EA"/>
    <w:rsid w:val="004E06B2"/>
    <w:rsid w:val="004E282B"/>
    <w:rsid w:val="004E3C89"/>
    <w:rsid w:val="004E59D4"/>
    <w:rsid w:val="004E7605"/>
    <w:rsid w:val="004E7821"/>
    <w:rsid w:val="004E79AC"/>
    <w:rsid w:val="004F1A81"/>
    <w:rsid w:val="004F7A7B"/>
    <w:rsid w:val="00505EBF"/>
    <w:rsid w:val="00506479"/>
    <w:rsid w:val="00512F70"/>
    <w:rsid w:val="005218A2"/>
    <w:rsid w:val="005218D9"/>
    <w:rsid w:val="005242C4"/>
    <w:rsid w:val="005248DF"/>
    <w:rsid w:val="00527249"/>
    <w:rsid w:val="00532E47"/>
    <w:rsid w:val="005334E5"/>
    <w:rsid w:val="00535274"/>
    <w:rsid w:val="00536186"/>
    <w:rsid w:val="00536826"/>
    <w:rsid w:val="00536C96"/>
    <w:rsid w:val="005413E7"/>
    <w:rsid w:val="00544CBB"/>
    <w:rsid w:val="00550518"/>
    <w:rsid w:val="00552CD6"/>
    <w:rsid w:val="00564871"/>
    <w:rsid w:val="00565F43"/>
    <w:rsid w:val="005724B5"/>
    <w:rsid w:val="0057315F"/>
    <w:rsid w:val="00575DF1"/>
    <w:rsid w:val="00576104"/>
    <w:rsid w:val="00582712"/>
    <w:rsid w:val="00582D26"/>
    <w:rsid w:val="00590700"/>
    <w:rsid w:val="00590AB7"/>
    <w:rsid w:val="0059379A"/>
    <w:rsid w:val="005940BC"/>
    <w:rsid w:val="00594396"/>
    <w:rsid w:val="00594BA0"/>
    <w:rsid w:val="005A35AD"/>
    <w:rsid w:val="005A6439"/>
    <w:rsid w:val="005B0425"/>
    <w:rsid w:val="005B2F3E"/>
    <w:rsid w:val="005B517E"/>
    <w:rsid w:val="005B67BB"/>
    <w:rsid w:val="005C14E7"/>
    <w:rsid w:val="005C1861"/>
    <w:rsid w:val="005C30D5"/>
    <w:rsid w:val="005C67C8"/>
    <w:rsid w:val="005D0249"/>
    <w:rsid w:val="005D062F"/>
    <w:rsid w:val="005D2784"/>
    <w:rsid w:val="005D5F2D"/>
    <w:rsid w:val="005D6369"/>
    <w:rsid w:val="005D6AE0"/>
    <w:rsid w:val="005D6E8C"/>
    <w:rsid w:val="005D7638"/>
    <w:rsid w:val="005E2E66"/>
    <w:rsid w:val="005E752B"/>
    <w:rsid w:val="005F100C"/>
    <w:rsid w:val="005F1B38"/>
    <w:rsid w:val="005F3DA4"/>
    <w:rsid w:val="005F5066"/>
    <w:rsid w:val="005F5708"/>
    <w:rsid w:val="005F68DA"/>
    <w:rsid w:val="005F75E6"/>
    <w:rsid w:val="005F7608"/>
    <w:rsid w:val="006014DD"/>
    <w:rsid w:val="00605DFB"/>
    <w:rsid w:val="00606466"/>
    <w:rsid w:val="0060773B"/>
    <w:rsid w:val="00607D94"/>
    <w:rsid w:val="00610C80"/>
    <w:rsid w:val="00611099"/>
    <w:rsid w:val="00612097"/>
    <w:rsid w:val="006157B5"/>
    <w:rsid w:val="0061662E"/>
    <w:rsid w:val="00616A0D"/>
    <w:rsid w:val="00617CEB"/>
    <w:rsid w:val="00621537"/>
    <w:rsid w:val="00623907"/>
    <w:rsid w:val="00623D76"/>
    <w:rsid w:val="006248B9"/>
    <w:rsid w:val="006249A4"/>
    <w:rsid w:val="00626283"/>
    <w:rsid w:val="006264A6"/>
    <w:rsid w:val="00626FC6"/>
    <w:rsid w:val="006303B4"/>
    <w:rsid w:val="00631F2D"/>
    <w:rsid w:val="00632D0E"/>
    <w:rsid w:val="00633CEB"/>
    <w:rsid w:val="00633D3D"/>
    <w:rsid w:val="00633F3A"/>
    <w:rsid w:val="00634985"/>
    <w:rsid w:val="00635C7B"/>
    <w:rsid w:val="00635DDE"/>
    <w:rsid w:val="00636025"/>
    <w:rsid w:val="00641703"/>
    <w:rsid w:val="006431A6"/>
    <w:rsid w:val="006459F6"/>
    <w:rsid w:val="006501AD"/>
    <w:rsid w:val="00651BFA"/>
    <w:rsid w:val="00652E22"/>
    <w:rsid w:val="006533B3"/>
    <w:rsid w:val="00655FD3"/>
    <w:rsid w:val="00661E19"/>
    <w:rsid w:val="00663A80"/>
    <w:rsid w:val="00663BAF"/>
    <w:rsid w:val="00665A4B"/>
    <w:rsid w:val="00667F06"/>
    <w:rsid w:val="006731FE"/>
    <w:rsid w:val="00674575"/>
    <w:rsid w:val="006762E6"/>
    <w:rsid w:val="0068416B"/>
    <w:rsid w:val="0068417F"/>
    <w:rsid w:val="00686F0A"/>
    <w:rsid w:val="00687AB5"/>
    <w:rsid w:val="00692E2A"/>
    <w:rsid w:val="006950F9"/>
    <w:rsid w:val="006A1F5E"/>
    <w:rsid w:val="006A5A3A"/>
    <w:rsid w:val="006A76F2"/>
    <w:rsid w:val="006B1CAB"/>
    <w:rsid w:val="006B3B72"/>
    <w:rsid w:val="006B483B"/>
    <w:rsid w:val="006B50BE"/>
    <w:rsid w:val="006B7CC5"/>
    <w:rsid w:val="006C086A"/>
    <w:rsid w:val="006C0F82"/>
    <w:rsid w:val="006C12D7"/>
    <w:rsid w:val="006C3DDA"/>
    <w:rsid w:val="006C4CCF"/>
    <w:rsid w:val="006D0A0C"/>
    <w:rsid w:val="006D2EF7"/>
    <w:rsid w:val="006D3277"/>
    <w:rsid w:val="006D4C96"/>
    <w:rsid w:val="006D7EFB"/>
    <w:rsid w:val="006E01EA"/>
    <w:rsid w:val="006E14D7"/>
    <w:rsid w:val="006E44B8"/>
    <w:rsid w:val="006E6672"/>
    <w:rsid w:val="006E6722"/>
    <w:rsid w:val="006E75DA"/>
    <w:rsid w:val="006F10F1"/>
    <w:rsid w:val="006F19D4"/>
    <w:rsid w:val="006F1E23"/>
    <w:rsid w:val="006F749A"/>
    <w:rsid w:val="0070079C"/>
    <w:rsid w:val="007027B9"/>
    <w:rsid w:val="0070281C"/>
    <w:rsid w:val="007035C0"/>
    <w:rsid w:val="00703664"/>
    <w:rsid w:val="007057DC"/>
    <w:rsid w:val="00710CB1"/>
    <w:rsid w:val="00711C2D"/>
    <w:rsid w:val="00712050"/>
    <w:rsid w:val="00712FA9"/>
    <w:rsid w:val="00713D8F"/>
    <w:rsid w:val="00715CFD"/>
    <w:rsid w:val="00715E88"/>
    <w:rsid w:val="007163F8"/>
    <w:rsid w:val="00720A88"/>
    <w:rsid w:val="007237BD"/>
    <w:rsid w:val="00723A0A"/>
    <w:rsid w:val="0072508B"/>
    <w:rsid w:val="00725D7A"/>
    <w:rsid w:val="00730C55"/>
    <w:rsid w:val="00732257"/>
    <w:rsid w:val="00734CAA"/>
    <w:rsid w:val="00736583"/>
    <w:rsid w:val="00741092"/>
    <w:rsid w:val="0074187B"/>
    <w:rsid w:val="00742E24"/>
    <w:rsid w:val="00744DED"/>
    <w:rsid w:val="00746EDF"/>
    <w:rsid w:val="00751DE1"/>
    <w:rsid w:val="00753ED4"/>
    <w:rsid w:val="0075473A"/>
    <w:rsid w:val="00755106"/>
    <w:rsid w:val="0075533C"/>
    <w:rsid w:val="00757581"/>
    <w:rsid w:val="007611A0"/>
    <w:rsid w:val="00765425"/>
    <w:rsid w:val="007658A0"/>
    <w:rsid w:val="007661C5"/>
    <w:rsid w:val="00766993"/>
    <w:rsid w:val="00771992"/>
    <w:rsid w:val="00771F01"/>
    <w:rsid w:val="00774580"/>
    <w:rsid w:val="007753AE"/>
    <w:rsid w:val="00783907"/>
    <w:rsid w:val="00787A36"/>
    <w:rsid w:val="00794672"/>
    <w:rsid w:val="007963C5"/>
    <w:rsid w:val="0079650A"/>
    <w:rsid w:val="00796D3F"/>
    <w:rsid w:val="007A1683"/>
    <w:rsid w:val="007A36F8"/>
    <w:rsid w:val="007A5C12"/>
    <w:rsid w:val="007A6EC5"/>
    <w:rsid w:val="007A72DA"/>
    <w:rsid w:val="007A7CB0"/>
    <w:rsid w:val="007B126D"/>
    <w:rsid w:val="007B1374"/>
    <w:rsid w:val="007B4539"/>
    <w:rsid w:val="007B68A3"/>
    <w:rsid w:val="007B6D62"/>
    <w:rsid w:val="007C2418"/>
    <w:rsid w:val="007C2541"/>
    <w:rsid w:val="007C2E66"/>
    <w:rsid w:val="007C614A"/>
    <w:rsid w:val="007D21AA"/>
    <w:rsid w:val="007D66A8"/>
    <w:rsid w:val="007D773D"/>
    <w:rsid w:val="007D7F40"/>
    <w:rsid w:val="007E003F"/>
    <w:rsid w:val="007E0EBA"/>
    <w:rsid w:val="007E3F3A"/>
    <w:rsid w:val="007E4C83"/>
    <w:rsid w:val="007E5159"/>
    <w:rsid w:val="007E7413"/>
    <w:rsid w:val="007F0C50"/>
    <w:rsid w:val="007F1AC9"/>
    <w:rsid w:val="008000A2"/>
    <w:rsid w:val="00802E72"/>
    <w:rsid w:val="00802FAB"/>
    <w:rsid w:val="00804013"/>
    <w:rsid w:val="00805F1D"/>
    <w:rsid w:val="008061A7"/>
    <w:rsid w:val="008106FF"/>
    <w:rsid w:val="008114D5"/>
    <w:rsid w:val="00811A6A"/>
    <w:rsid w:val="008164F2"/>
    <w:rsid w:val="00821395"/>
    <w:rsid w:val="00824E0D"/>
    <w:rsid w:val="00826843"/>
    <w:rsid w:val="00830E26"/>
    <w:rsid w:val="00832828"/>
    <w:rsid w:val="00834507"/>
    <w:rsid w:val="00842776"/>
    <w:rsid w:val="00843576"/>
    <w:rsid w:val="008438C4"/>
    <w:rsid w:val="00843B64"/>
    <w:rsid w:val="008440E7"/>
    <w:rsid w:val="008459F5"/>
    <w:rsid w:val="008470BD"/>
    <w:rsid w:val="008478FC"/>
    <w:rsid w:val="00847E0A"/>
    <w:rsid w:val="008508FB"/>
    <w:rsid w:val="00854647"/>
    <w:rsid w:val="008601B9"/>
    <w:rsid w:val="00862107"/>
    <w:rsid w:val="0086263F"/>
    <w:rsid w:val="0086769E"/>
    <w:rsid w:val="00867BFF"/>
    <w:rsid w:val="00872330"/>
    <w:rsid w:val="008739BD"/>
    <w:rsid w:val="00873A41"/>
    <w:rsid w:val="0088480A"/>
    <w:rsid w:val="0088687C"/>
    <w:rsid w:val="0088757A"/>
    <w:rsid w:val="008908DD"/>
    <w:rsid w:val="00890D03"/>
    <w:rsid w:val="00890D64"/>
    <w:rsid w:val="00894540"/>
    <w:rsid w:val="00895440"/>
    <w:rsid w:val="008957DD"/>
    <w:rsid w:val="00897D98"/>
    <w:rsid w:val="008A0222"/>
    <w:rsid w:val="008A09D1"/>
    <w:rsid w:val="008A1635"/>
    <w:rsid w:val="008A1CD7"/>
    <w:rsid w:val="008A26B4"/>
    <w:rsid w:val="008A5130"/>
    <w:rsid w:val="008A6DF2"/>
    <w:rsid w:val="008A7807"/>
    <w:rsid w:val="008B0D6B"/>
    <w:rsid w:val="008B14D6"/>
    <w:rsid w:val="008B3832"/>
    <w:rsid w:val="008B4CC9"/>
    <w:rsid w:val="008B5783"/>
    <w:rsid w:val="008B6FFF"/>
    <w:rsid w:val="008C13F0"/>
    <w:rsid w:val="008C1B8B"/>
    <w:rsid w:val="008C33E1"/>
    <w:rsid w:val="008C4609"/>
    <w:rsid w:val="008C660A"/>
    <w:rsid w:val="008C6E30"/>
    <w:rsid w:val="008D1F0B"/>
    <w:rsid w:val="008D3AE0"/>
    <w:rsid w:val="008D6349"/>
    <w:rsid w:val="008D7C99"/>
    <w:rsid w:val="008E0EC2"/>
    <w:rsid w:val="008E0FCB"/>
    <w:rsid w:val="008E182C"/>
    <w:rsid w:val="008E5764"/>
    <w:rsid w:val="008E64DE"/>
    <w:rsid w:val="008F10F1"/>
    <w:rsid w:val="008F29AA"/>
    <w:rsid w:val="008F4854"/>
    <w:rsid w:val="008F4856"/>
    <w:rsid w:val="008F6FAC"/>
    <w:rsid w:val="00902010"/>
    <w:rsid w:val="0090236B"/>
    <w:rsid w:val="009032D8"/>
    <w:rsid w:val="0090336D"/>
    <w:rsid w:val="009062B1"/>
    <w:rsid w:val="00907A4F"/>
    <w:rsid w:val="00907D78"/>
    <w:rsid w:val="00917387"/>
    <w:rsid w:val="0092178C"/>
    <w:rsid w:val="00921838"/>
    <w:rsid w:val="00921948"/>
    <w:rsid w:val="0092449E"/>
    <w:rsid w:val="0092493F"/>
    <w:rsid w:val="00930B88"/>
    <w:rsid w:val="009328C9"/>
    <w:rsid w:val="009378DC"/>
    <w:rsid w:val="00940DCC"/>
    <w:rsid w:val="0094179A"/>
    <w:rsid w:val="0094459E"/>
    <w:rsid w:val="00944DBC"/>
    <w:rsid w:val="00950977"/>
    <w:rsid w:val="00951A7B"/>
    <w:rsid w:val="00952CBD"/>
    <w:rsid w:val="009539B3"/>
    <w:rsid w:val="0095641A"/>
    <w:rsid w:val="009564A6"/>
    <w:rsid w:val="009613DD"/>
    <w:rsid w:val="00961A33"/>
    <w:rsid w:val="00961FA9"/>
    <w:rsid w:val="009627B8"/>
    <w:rsid w:val="009628B9"/>
    <w:rsid w:val="00965E05"/>
    <w:rsid w:val="009663E0"/>
    <w:rsid w:val="00967621"/>
    <w:rsid w:val="00967E6A"/>
    <w:rsid w:val="00973025"/>
    <w:rsid w:val="00975BE7"/>
    <w:rsid w:val="00980797"/>
    <w:rsid w:val="00983DC9"/>
    <w:rsid w:val="009866D3"/>
    <w:rsid w:val="00986E3B"/>
    <w:rsid w:val="0099138D"/>
    <w:rsid w:val="00992225"/>
    <w:rsid w:val="009935AC"/>
    <w:rsid w:val="0099444E"/>
    <w:rsid w:val="00995CA9"/>
    <w:rsid w:val="0099679E"/>
    <w:rsid w:val="00996A19"/>
    <w:rsid w:val="009A30E9"/>
    <w:rsid w:val="009A6054"/>
    <w:rsid w:val="009A6A77"/>
    <w:rsid w:val="009A6A93"/>
    <w:rsid w:val="009B0684"/>
    <w:rsid w:val="009B4A0F"/>
    <w:rsid w:val="009B7998"/>
    <w:rsid w:val="009C0FEC"/>
    <w:rsid w:val="009C11D2"/>
    <w:rsid w:val="009C2660"/>
    <w:rsid w:val="009C6C70"/>
    <w:rsid w:val="009D0922"/>
    <w:rsid w:val="009D0B63"/>
    <w:rsid w:val="009D213D"/>
    <w:rsid w:val="009D3A75"/>
    <w:rsid w:val="009D5A36"/>
    <w:rsid w:val="009E1A50"/>
    <w:rsid w:val="009E307E"/>
    <w:rsid w:val="009E47E3"/>
    <w:rsid w:val="009F2289"/>
    <w:rsid w:val="009F2F08"/>
    <w:rsid w:val="009F341F"/>
    <w:rsid w:val="009F490E"/>
    <w:rsid w:val="00A02362"/>
    <w:rsid w:val="00A02DB4"/>
    <w:rsid w:val="00A03A4A"/>
    <w:rsid w:val="00A068A2"/>
    <w:rsid w:val="00A07870"/>
    <w:rsid w:val="00A07F19"/>
    <w:rsid w:val="00A12C5D"/>
    <w:rsid w:val="00A1348D"/>
    <w:rsid w:val="00A142D1"/>
    <w:rsid w:val="00A1489E"/>
    <w:rsid w:val="00A16F3A"/>
    <w:rsid w:val="00A17D43"/>
    <w:rsid w:val="00A2099E"/>
    <w:rsid w:val="00A232EE"/>
    <w:rsid w:val="00A3002A"/>
    <w:rsid w:val="00A30EA1"/>
    <w:rsid w:val="00A348AD"/>
    <w:rsid w:val="00A40F60"/>
    <w:rsid w:val="00A4175F"/>
    <w:rsid w:val="00A421CD"/>
    <w:rsid w:val="00A44411"/>
    <w:rsid w:val="00A45F46"/>
    <w:rsid w:val="00A469FA"/>
    <w:rsid w:val="00A47502"/>
    <w:rsid w:val="00A4781A"/>
    <w:rsid w:val="00A50E94"/>
    <w:rsid w:val="00A52E39"/>
    <w:rsid w:val="00A53045"/>
    <w:rsid w:val="00A55B01"/>
    <w:rsid w:val="00A56546"/>
    <w:rsid w:val="00A56B5B"/>
    <w:rsid w:val="00A57D06"/>
    <w:rsid w:val="00A603FF"/>
    <w:rsid w:val="00A64531"/>
    <w:rsid w:val="00A657DD"/>
    <w:rsid w:val="00A666A6"/>
    <w:rsid w:val="00A675FD"/>
    <w:rsid w:val="00A67BC0"/>
    <w:rsid w:val="00A7034A"/>
    <w:rsid w:val="00A72437"/>
    <w:rsid w:val="00A72D07"/>
    <w:rsid w:val="00A800B7"/>
    <w:rsid w:val="00A80611"/>
    <w:rsid w:val="00A845BD"/>
    <w:rsid w:val="00A84B15"/>
    <w:rsid w:val="00A86070"/>
    <w:rsid w:val="00A87016"/>
    <w:rsid w:val="00A8743A"/>
    <w:rsid w:val="00A91742"/>
    <w:rsid w:val="00A966C4"/>
    <w:rsid w:val="00AA4524"/>
    <w:rsid w:val="00AA4C3D"/>
    <w:rsid w:val="00AB1F69"/>
    <w:rsid w:val="00AB3320"/>
    <w:rsid w:val="00AB5340"/>
    <w:rsid w:val="00AB6293"/>
    <w:rsid w:val="00AC010E"/>
    <w:rsid w:val="00AC01CC"/>
    <w:rsid w:val="00AC16B8"/>
    <w:rsid w:val="00AC4CD2"/>
    <w:rsid w:val="00AC7C96"/>
    <w:rsid w:val="00AD1274"/>
    <w:rsid w:val="00AD3F01"/>
    <w:rsid w:val="00AD481F"/>
    <w:rsid w:val="00AD5866"/>
    <w:rsid w:val="00AE06CE"/>
    <w:rsid w:val="00AE2080"/>
    <w:rsid w:val="00AE237D"/>
    <w:rsid w:val="00AE2A3D"/>
    <w:rsid w:val="00AE502A"/>
    <w:rsid w:val="00AF0DF7"/>
    <w:rsid w:val="00AF2E97"/>
    <w:rsid w:val="00AF7C07"/>
    <w:rsid w:val="00B02658"/>
    <w:rsid w:val="00B1466C"/>
    <w:rsid w:val="00B14744"/>
    <w:rsid w:val="00B209FE"/>
    <w:rsid w:val="00B22C93"/>
    <w:rsid w:val="00B27589"/>
    <w:rsid w:val="00B31B43"/>
    <w:rsid w:val="00B32CB0"/>
    <w:rsid w:val="00B34886"/>
    <w:rsid w:val="00B3665C"/>
    <w:rsid w:val="00B371E0"/>
    <w:rsid w:val="00B37EF9"/>
    <w:rsid w:val="00B405B7"/>
    <w:rsid w:val="00B41C37"/>
    <w:rsid w:val="00B436D1"/>
    <w:rsid w:val="00B44406"/>
    <w:rsid w:val="00B45E6D"/>
    <w:rsid w:val="00B460ED"/>
    <w:rsid w:val="00B52222"/>
    <w:rsid w:val="00B523A2"/>
    <w:rsid w:val="00B54FE7"/>
    <w:rsid w:val="00B57C47"/>
    <w:rsid w:val="00B62A46"/>
    <w:rsid w:val="00B66074"/>
    <w:rsid w:val="00B66901"/>
    <w:rsid w:val="00B66FC4"/>
    <w:rsid w:val="00B678B2"/>
    <w:rsid w:val="00B71E6D"/>
    <w:rsid w:val="00B72070"/>
    <w:rsid w:val="00B7650B"/>
    <w:rsid w:val="00B779E1"/>
    <w:rsid w:val="00B83906"/>
    <w:rsid w:val="00B859A3"/>
    <w:rsid w:val="00B90615"/>
    <w:rsid w:val="00B90B5D"/>
    <w:rsid w:val="00B918F2"/>
    <w:rsid w:val="00B91BAD"/>
    <w:rsid w:val="00B91EE1"/>
    <w:rsid w:val="00B93D08"/>
    <w:rsid w:val="00B94EC8"/>
    <w:rsid w:val="00B96369"/>
    <w:rsid w:val="00BA0090"/>
    <w:rsid w:val="00BA1A67"/>
    <w:rsid w:val="00BA3A1A"/>
    <w:rsid w:val="00BA5F60"/>
    <w:rsid w:val="00BA684D"/>
    <w:rsid w:val="00BB1BD8"/>
    <w:rsid w:val="00BB2963"/>
    <w:rsid w:val="00BB40A1"/>
    <w:rsid w:val="00BB43D8"/>
    <w:rsid w:val="00BB49DE"/>
    <w:rsid w:val="00BB5F8D"/>
    <w:rsid w:val="00BC07FE"/>
    <w:rsid w:val="00BC34E8"/>
    <w:rsid w:val="00BD0163"/>
    <w:rsid w:val="00BD159E"/>
    <w:rsid w:val="00BD1AE4"/>
    <w:rsid w:val="00BD34D5"/>
    <w:rsid w:val="00BD3668"/>
    <w:rsid w:val="00BD4973"/>
    <w:rsid w:val="00BE5B5F"/>
    <w:rsid w:val="00BF49F8"/>
    <w:rsid w:val="00BF511B"/>
    <w:rsid w:val="00BF5B50"/>
    <w:rsid w:val="00BF6830"/>
    <w:rsid w:val="00C05820"/>
    <w:rsid w:val="00C074B3"/>
    <w:rsid w:val="00C12775"/>
    <w:rsid w:val="00C16B63"/>
    <w:rsid w:val="00C25B38"/>
    <w:rsid w:val="00C26F55"/>
    <w:rsid w:val="00C27485"/>
    <w:rsid w:val="00C30C63"/>
    <w:rsid w:val="00C32B37"/>
    <w:rsid w:val="00C34876"/>
    <w:rsid w:val="00C360DC"/>
    <w:rsid w:val="00C36B8B"/>
    <w:rsid w:val="00C415B9"/>
    <w:rsid w:val="00C42643"/>
    <w:rsid w:val="00C47399"/>
    <w:rsid w:val="00C47DBF"/>
    <w:rsid w:val="00C5012C"/>
    <w:rsid w:val="00C53666"/>
    <w:rsid w:val="00C552FF"/>
    <w:rsid w:val="00C558DA"/>
    <w:rsid w:val="00C55AF3"/>
    <w:rsid w:val="00C5607C"/>
    <w:rsid w:val="00C57106"/>
    <w:rsid w:val="00C60713"/>
    <w:rsid w:val="00C64DE4"/>
    <w:rsid w:val="00C65652"/>
    <w:rsid w:val="00C67D0B"/>
    <w:rsid w:val="00C70B49"/>
    <w:rsid w:val="00C70F49"/>
    <w:rsid w:val="00C71D57"/>
    <w:rsid w:val="00C71F80"/>
    <w:rsid w:val="00C7461F"/>
    <w:rsid w:val="00C747B8"/>
    <w:rsid w:val="00C75C7C"/>
    <w:rsid w:val="00C762EF"/>
    <w:rsid w:val="00C77EC5"/>
    <w:rsid w:val="00C81951"/>
    <w:rsid w:val="00C83A8F"/>
    <w:rsid w:val="00C843CD"/>
    <w:rsid w:val="00C8463E"/>
    <w:rsid w:val="00C84759"/>
    <w:rsid w:val="00C85023"/>
    <w:rsid w:val="00C85374"/>
    <w:rsid w:val="00C8546D"/>
    <w:rsid w:val="00C85FD2"/>
    <w:rsid w:val="00C95BCC"/>
    <w:rsid w:val="00C97578"/>
    <w:rsid w:val="00CA3CFB"/>
    <w:rsid w:val="00CA5426"/>
    <w:rsid w:val="00CA5540"/>
    <w:rsid w:val="00CA6C7F"/>
    <w:rsid w:val="00CA78AF"/>
    <w:rsid w:val="00CB27F3"/>
    <w:rsid w:val="00CB6CD4"/>
    <w:rsid w:val="00CB6F8C"/>
    <w:rsid w:val="00CB7176"/>
    <w:rsid w:val="00CC0260"/>
    <w:rsid w:val="00CC0652"/>
    <w:rsid w:val="00CC10A6"/>
    <w:rsid w:val="00CC192D"/>
    <w:rsid w:val="00CC38C3"/>
    <w:rsid w:val="00CC390A"/>
    <w:rsid w:val="00CC4ACB"/>
    <w:rsid w:val="00CC7DF9"/>
    <w:rsid w:val="00CD09D6"/>
    <w:rsid w:val="00CD3B30"/>
    <w:rsid w:val="00CD5EB8"/>
    <w:rsid w:val="00CD6AC7"/>
    <w:rsid w:val="00CD7044"/>
    <w:rsid w:val="00CE0360"/>
    <w:rsid w:val="00CE08B9"/>
    <w:rsid w:val="00CE23B6"/>
    <w:rsid w:val="00CE524C"/>
    <w:rsid w:val="00CE7C27"/>
    <w:rsid w:val="00CF141F"/>
    <w:rsid w:val="00CF4777"/>
    <w:rsid w:val="00CF5AF8"/>
    <w:rsid w:val="00D067BB"/>
    <w:rsid w:val="00D070CC"/>
    <w:rsid w:val="00D103A7"/>
    <w:rsid w:val="00D1293B"/>
    <w:rsid w:val="00D1352A"/>
    <w:rsid w:val="00D13EDE"/>
    <w:rsid w:val="00D14FCC"/>
    <w:rsid w:val="00D158A7"/>
    <w:rsid w:val="00D169AF"/>
    <w:rsid w:val="00D2434A"/>
    <w:rsid w:val="00D24A0E"/>
    <w:rsid w:val="00D25249"/>
    <w:rsid w:val="00D255A7"/>
    <w:rsid w:val="00D26D33"/>
    <w:rsid w:val="00D31CDA"/>
    <w:rsid w:val="00D34B46"/>
    <w:rsid w:val="00D42143"/>
    <w:rsid w:val="00D43D27"/>
    <w:rsid w:val="00D44172"/>
    <w:rsid w:val="00D4719D"/>
    <w:rsid w:val="00D52175"/>
    <w:rsid w:val="00D526D8"/>
    <w:rsid w:val="00D60152"/>
    <w:rsid w:val="00D62ABE"/>
    <w:rsid w:val="00D63B8C"/>
    <w:rsid w:val="00D648A4"/>
    <w:rsid w:val="00D70B0E"/>
    <w:rsid w:val="00D712FD"/>
    <w:rsid w:val="00D72B7C"/>
    <w:rsid w:val="00D72CB6"/>
    <w:rsid w:val="00D739CC"/>
    <w:rsid w:val="00D74317"/>
    <w:rsid w:val="00D76D7B"/>
    <w:rsid w:val="00D8093D"/>
    <w:rsid w:val="00D8108C"/>
    <w:rsid w:val="00D83B14"/>
    <w:rsid w:val="00D842AE"/>
    <w:rsid w:val="00D87232"/>
    <w:rsid w:val="00D90F57"/>
    <w:rsid w:val="00D9211C"/>
    <w:rsid w:val="00D922F0"/>
    <w:rsid w:val="00D92DE0"/>
    <w:rsid w:val="00D92FEF"/>
    <w:rsid w:val="00D93A0F"/>
    <w:rsid w:val="00D96120"/>
    <w:rsid w:val="00D972E4"/>
    <w:rsid w:val="00DA1BCA"/>
    <w:rsid w:val="00DA3FFA"/>
    <w:rsid w:val="00DA7299"/>
    <w:rsid w:val="00DB36B7"/>
    <w:rsid w:val="00DB3E23"/>
    <w:rsid w:val="00DB44F0"/>
    <w:rsid w:val="00DB6611"/>
    <w:rsid w:val="00DB70DF"/>
    <w:rsid w:val="00DC43F4"/>
    <w:rsid w:val="00DC46FF"/>
    <w:rsid w:val="00DC479F"/>
    <w:rsid w:val="00DC5254"/>
    <w:rsid w:val="00DC5BEF"/>
    <w:rsid w:val="00DC62E6"/>
    <w:rsid w:val="00DD0A21"/>
    <w:rsid w:val="00DD1552"/>
    <w:rsid w:val="00DD1A4F"/>
    <w:rsid w:val="00DD3107"/>
    <w:rsid w:val="00DD5820"/>
    <w:rsid w:val="00DD5EFF"/>
    <w:rsid w:val="00DD714F"/>
    <w:rsid w:val="00DD79D8"/>
    <w:rsid w:val="00DD7C2C"/>
    <w:rsid w:val="00DE2CFA"/>
    <w:rsid w:val="00DE3FF7"/>
    <w:rsid w:val="00DE6E55"/>
    <w:rsid w:val="00DE7FD2"/>
    <w:rsid w:val="00DF032F"/>
    <w:rsid w:val="00DF5660"/>
    <w:rsid w:val="00DF5A82"/>
    <w:rsid w:val="00DF5ABB"/>
    <w:rsid w:val="00DF719E"/>
    <w:rsid w:val="00E002D1"/>
    <w:rsid w:val="00E0042E"/>
    <w:rsid w:val="00E028E5"/>
    <w:rsid w:val="00E02D18"/>
    <w:rsid w:val="00E0318B"/>
    <w:rsid w:val="00E03C3F"/>
    <w:rsid w:val="00E0574F"/>
    <w:rsid w:val="00E06797"/>
    <w:rsid w:val="00E122BC"/>
    <w:rsid w:val="00E1265B"/>
    <w:rsid w:val="00E135E9"/>
    <w:rsid w:val="00E13B48"/>
    <w:rsid w:val="00E1404F"/>
    <w:rsid w:val="00E15D1A"/>
    <w:rsid w:val="00E15FDA"/>
    <w:rsid w:val="00E212EF"/>
    <w:rsid w:val="00E214BC"/>
    <w:rsid w:val="00E21C83"/>
    <w:rsid w:val="00E24ADA"/>
    <w:rsid w:val="00E256F6"/>
    <w:rsid w:val="00E2771B"/>
    <w:rsid w:val="00E32F59"/>
    <w:rsid w:val="00E33495"/>
    <w:rsid w:val="00E37F15"/>
    <w:rsid w:val="00E43E9C"/>
    <w:rsid w:val="00E440CD"/>
    <w:rsid w:val="00E448CC"/>
    <w:rsid w:val="00E460C3"/>
    <w:rsid w:val="00E46D9A"/>
    <w:rsid w:val="00E505B8"/>
    <w:rsid w:val="00E509D1"/>
    <w:rsid w:val="00E54E63"/>
    <w:rsid w:val="00E551C5"/>
    <w:rsid w:val="00E55A0C"/>
    <w:rsid w:val="00E565FF"/>
    <w:rsid w:val="00E5697E"/>
    <w:rsid w:val="00E600D6"/>
    <w:rsid w:val="00E608F7"/>
    <w:rsid w:val="00E6387E"/>
    <w:rsid w:val="00E63C75"/>
    <w:rsid w:val="00E65388"/>
    <w:rsid w:val="00E67833"/>
    <w:rsid w:val="00E67DAB"/>
    <w:rsid w:val="00E746BF"/>
    <w:rsid w:val="00E74ACB"/>
    <w:rsid w:val="00E74DFE"/>
    <w:rsid w:val="00E76338"/>
    <w:rsid w:val="00E83FAC"/>
    <w:rsid w:val="00E85B7D"/>
    <w:rsid w:val="00E870A4"/>
    <w:rsid w:val="00E90CB9"/>
    <w:rsid w:val="00E9121B"/>
    <w:rsid w:val="00E94B48"/>
    <w:rsid w:val="00E96614"/>
    <w:rsid w:val="00EA0AE2"/>
    <w:rsid w:val="00EA292F"/>
    <w:rsid w:val="00EA39E5"/>
    <w:rsid w:val="00EA3D2E"/>
    <w:rsid w:val="00EA5C76"/>
    <w:rsid w:val="00EB3106"/>
    <w:rsid w:val="00EB5D61"/>
    <w:rsid w:val="00EB6959"/>
    <w:rsid w:val="00EC5A46"/>
    <w:rsid w:val="00EC5D9D"/>
    <w:rsid w:val="00EC63E2"/>
    <w:rsid w:val="00EC6DA1"/>
    <w:rsid w:val="00ED0087"/>
    <w:rsid w:val="00ED1F3E"/>
    <w:rsid w:val="00ED2AEB"/>
    <w:rsid w:val="00EE14AA"/>
    <w:rsid w:val="00EE1BA8"/>
    <w:rsid w:val="00EE1C1B"/>
    <w:rsid w:val="00EE1E98"/>
    <w:rsid w:val="00EE397B"/>
    <w:rsid w:val="00EE4483"/>
    <w:rsid w:val="00EE4B9B"/>
    <w:rsid w:val="00EE5261"/>
    <w:rsid w:val="00EE6344"/>
    <w:rsid w:val="00EE66BB"/>
    <w:rsid w:val="00EE73EF"/>
    <w:rsid w:val="00EF22B3"/>
    <w:rsid w:val="00EF2BEA"/>
    <w:rsid w:val="00EF3710"/>
    <w:rsid w:val="00EF469A"/>
    <w:rsid w:val="00EF5B10"/>
    <w:rsid w:val="00EF629A"/>
    <w:rsid w:val="00EF64AD"/>
    <w:rsid w:val="00EF75AD"/>
    <w:rsid w:val="00F03B69"/>
    <w:rsid w:val="00F051FF"/>
    <w:rsid w:val="00F0560D"/>
    <w:rsid w:val="00F05B20"/>
    <w:rsid w:val="00F07A50"/>
    <w:rsid w:val="00F105D3"/>
    <w:rsid w:val="00F113DA"/>
    <w:rsid w:val="00F12DBB"/>
    <w:rsid w:val="00F1419D"/>
    <w:rsid w:val="00F1479A"/>
    <w:rsid w:val="00F148ED"/>
    <w:rsid w:val="00F17A1E"/>
    <w:rsid w:val="00F23184"/>
    <w:rsid w:val="00F24AFA"/>
    <w:rsid w:val="00F25F15"/>
    <w:rsid w:val="00F31593"/>
    <w:rsid w:val="00F316F0"/>
    <w:rsid w:val="00F319FC"/>
    <w:rsid w:val="00F32423"/>
    <w:rsid w:val="00F33A03"/>
    <w:rsid w:val="00F35F61"/>
    <w:rsid w:val="00F37DC8"/>
    <w:rsid w:val="00F40C3B"/>
    <w:rsid w:val="00F424A2"/>
    <w:rsid w:val="00F439B3"/>
    <w:rsid w:val="00F4455C"/>
    <w:rsid w:val="00F45AA8"/>
    <w:rsid w:val="00F502DD"/>
    <w:rsid w:val="00F50EC1"/>
    <w:rsid w:val="00F511D5"/>
    <w:rsid w:val="00F513D6"/>
    <w:rsid w:val="00F52A1B"/>
    <w:rsid w:val="00F55FC0"/>
    <w:rsid w:val="00F57DC1"/>
    <w:rsid w:val="00F607B7"/>
    <w:rsid w:val="00F63517"/>
    <w:rsid w:val="00F638FC"/>
    <w:rsid w:val="00F64159"/>
    <w:rsid w:val="00F650C3"/>
    <w:rsid w:val="00F65D85"/>
    <w:rsid w:val="00F704F7"/>
    <w:rsid w:val="00F7203C"/>
    <w:rsid w:val="00F739A5"/>
    <w:rsid w:val="00F75453"/>
    <w:rsid w:val="00F75A27"/>
    <w:rsid w:val="00F8091E"/>
    <w:rsid w:val="00F82206"/>
    <w:rsid w:val="00F84A0C"/>
    <w:rsid w:val="00F84C62"/>
    <w:rsid w:val="00F8615C"/>
    <w:rsid w:val="00F87A0C"/>
    <w:rsid w:val="00F9328D"/>
    <w:rsid w:val="00F963C3"/>
    <w:rsid w:val="00F9657B"/>
    <w:rsid w:val="00F969E5"/>
    <w:rsid w:val="00F97AEE"/>
    <w:rsid w:val="00F97E54"/>
    <w:rsid w:val="00FA04C1"/>
    <w:rsid w:val="00FA1C95"/>
    <w:rsid w:val="00FA2316"/>
    <w:rsid w:val="00FA29EE"/>
    <w:rsid w:val="00FA5468"/>
    <w:rsid w:val="00FA598C"/>
    <w:rsid w:val="00FA6BB0"/>
    <w:rsid w:val="00FA7237"/>
    <w:rsid w:val="00FB0AC9"/>
    <w:rsid w:val="00FB0E23"/>
    <w:rsid w:val="00FB10D0"/>
    <w:rsid w:val="00FB1828"/>
    <w:rsid w:val="00FB1B51"/>
    <w:rsid w:val="00FB1DFB"/>
    <w:rsid w:val="00FB2632"/>
    <w:rsid w:val="00FB3574"/>
    <w:rsid w:val="00FB7583"/>
    <w:rsid w:val="00FC7A3D"/>
    <w:rsid w:val="00FD2438"/>
    <w:rsid w:val="00FD2ADF"/>
    <w:rsid w:val="00FD2D77"/>
    <w:rsid w:val="00FD350F"/>
    <w:rsid w:val="00FD5860"/>
    <w:rsid w:val="00FE2885"/>
    <w:rsid w:val="00FE352D"/>
    <w:rsid w:val="00FE40EB"/>
    <w:rsid w:val="00FE4D02"/>
    <w:rsid w:val="00FE51C9"/>
    <w:rsid w:val="00FE587C"/>
    <w:rsid w:val="00FE76CA"/>
    <w:rsid w:val="00FE7B2F"/>
    <w:rsid w:val="00FE7D62"/>
    <w:rsid w:val="00FF1109"/>
    <w:rsid w:val="00FF3819"/>
    <w:rsid w:val="00FF4B7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4AB95"/>
  <w15:chartTrackingRefBased/>
  <w15:docId w15:val="{1039505C-1132-41F1-A228-DE14C9AC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2A457B"/>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2A457B"/>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2A457B"/>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2A457B"/>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2A457B"/>
    <w:pPr>
      <w:numPr>
        <w:numId w:val="30"/>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2A457B"/>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2A457B"/>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2A457B"/>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2A457B"/>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2A457B"/>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2A457B"/>
    <w:rPr>
      <w:rFonts w:ascii="Times New Roman" w:hAnsi="Times New Roman"/>
      <w:b/>
      <w:sz w:val="18"/>
      <w:lang w:val="fr-FR"/>
    </w:rPr>
  </w:style>
  <w:style w:type="table" w:customStyle="1" w:styleId="Tabledocright">
    <w:name w:val="Table_doc_right"/>
    <w:basedOn w:val="TableNormal"/>
    <w:rsid w:val="002A457B"/>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2A457B"/>
    <w:pPr>
      <w:ind w:left="1000"/>
    </w:pPr>
    <w:rPr>
      <w:sz w:val="18"/>
      <w:szCs w:val="18"/>
    </w:rPr>
  </w:style>
  <w:style w:type="paragraph" w:styleId="TOC7">
    <w:name w:val="toc 7"/>
    <w:basedOn w:val="Normal"/>
    <w:next w:val="Normal"/>
    <w:autoRedefine/>
    <w:semiHidden/>
    <w:rsid w:val="002A457B"/>
    <w:pPr>
      <w:ind w:left="1200"/>
    </w:pPr>
    <w:rPr>
      <w:sz w:val="18"/>
      <w:szCs w:val="18"/>
    </w:rPr>
  </w:style>
  <w:style w:type="paragraph" w:styleId="TOC8">
    <w:name w:val="toc 8"/>
    <w:basedOn w:val="Normal"/>
    <w:next w:val="Normal"/>
    <w:autoRedefine/>
    <w:semiHidden/>
    <w:rsid w:val="002A457B"/>
    <w:pPr>
      <w:ind w:left="1400"/>
    </w:pPr>
    <w:rPr>
      <w:sz w:val="18"/>
      <w:szCs w:val="18"/>
    </w:rPr>
  </w:style>
  <w:style w:type="paragraph" w:styleId="TOC9">
    <w:name w:val="toc 9"/>
    <w:basedOn w:val="Normal"/>
    <w:next w:val="Normal"/>
    <w:autoRedefine/>
    <w:semiHidden/>
    <w:rsid w:val="002A457B"/>
    <w:pPr>
      <w:ind w:left="1600"/>
    </w:pPr>
    <w:rPr>
      <w:sz w:val="18"/>
      <w:szCs w:val="18"/>
    </w:rPr>
  </w:style>
  <w:style w:type="paragraph" w:customStyle="1" w:styleId="Titlefigure">
    <w:name w:val="Title_figure"/>
    <w:basedOn w:val="Titletable"/>
    <w:next w:val="NormalNonumber"/>
    <w:rsid w:val="002A457B"/>
    <w:rPr>
      <w:bCs w:val="0"/>
    </w:rPr>
  </w:style>
  <w:style w:type="paragraph" w:styleId="TableofFigures">
    <w:name w:val="table of figures"/>
    <w:basedOn w:val="Normal"/>
    <w:next w:val="Normal"/>
    <w:autoRedefine/>
    <w:semiHidden/>
    <w:rsid w:val="002A457B"/>
    <w:pPr>
      <w:ind w:left="1814" w:hanging="567"/>
    </w:pPr>
  </w:style>
  <w:style w:type="paragraph" w:customStyle="1" w:styleId="CH1">
    <w:name w:val="CH1"/>
    <w:basedOn w:val="Normal-pool"/>
    <w:next w:val="CH2"/>
    <w:link w:val="CH1Char"/>
    <w:qFormat/>
    <w:rsid w:val="002A457B"/>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2A457B"/>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2A457B"/>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2A457B"/>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2A457B"/>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C71D57"/>
    <w:pPr>
      <w:tabs>
        <w:tab w:val="left" w:pos="4321"/>
        <w:tab w:val="right" w:pos="8641"/>
      </w:tabs>
      <w:spacing w:before="60"/>
    </w:pPr>
    <w:rPr>
      <w:b/>
      <w:sz w:val="18"/>
    </w:rPr>
  </w:style>
  <w:style w:type="paragraph" w:customStyle="1" w:styleId="Footer-pool">
    <w:name w:val="Footer-pool"/>
    <w:basedOn w:val="Normal"/>
    <w:next w:val="Normal"/>
    <w:rsid w:val="002A457B"/>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2A457B"/>
    <w:pPr>
      <w:pBdr>
        <w:bottom w:val="single" w:sz="4" w:space="1" w:color="auto"/>
      </w:pBdr>
      <w:tabs>
        <w:tab w:val="center" w:pos="4536"/>
        <w:tab w:val="right" w:pos="9072"/>
      </w:tabs>
      <w:spacing w:after="120"/>
    </w:pPr>
    <w:rPr>
      <w:b/>
      <w:sz w:val="18"/>
    </w:rPr>
  </w:style>
  <w:style w:type="character" w:styleId="FootnoteReference">
    <w:name w:val="footnote reference"/>
    <w:rsid w:val="002A457B"/>
    <w:rPr>
      <w:rFonts w:ascii="Times New Roman" w:hAnsi="Times New Roman"/>
      <w:color w:val="auto"/>
      <w:sz w:val="20"/>
      <w:szCs w:val="18"/>
      <w:vertAlign w:val="superscript"/>
      <w:lang w:val="fr-FR"/>
    </w:rPr>
  </w:style>
  <w:style w:type="table" w:customStyle="1" w:styleId="AATable">
    <w:name w:val="AA_Table"/>
    <w:basedOn w:val="TableNormal"/>
    <w:semiHidden/>
    <w:rsid w:val="00C71D57"/>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2A457B"/>
    <w:pPr>
      <w:keepNext/>
      <w:keepLines/>
      <w:suppressAutoHyphens/>
    </w:pPr>
    <w:rPr>
      <w:b/>
    </w:rPr>
  </w:style>
  <w:style w:type="paragraph" w:customStyle="1" w:styleId="AATitle2">
    <w:name w:val="AA_Title2"/>
    <w:basedOn w:val="AATitle"/>
    <w:qFormat/>
    <w:rsid w:val="002A457B"/>
    <w:pPr>
      <w:keepNext w:val="0"/>
      <w:keepLines w:val="0"/>
      <w:spacing w:before="120" w:after="120"/>
    </w:pPr>
  </w:style>
  <w:style w:type="paragraph" w:customStyle="1" w:styleId="BBTitle">
    <w:name w:val="BB_Title"/>
    <w:basedOn w:val="Normal-pool"/>
    <w:link w:val="BBTitleChar"/>
    <w:qFormat/>
    <w:rsid w:val="002A457B"/>
    <w:pPr>
      <w:keepNext/>
      <w:keepLines/>
      <w:suppressAutoHyphens/>
      <w:spacing w:before="320" w:after="240"/>
      <w:ind w:left="1247" w:right="567"/>
    </w:pPr>
    <w:rPr>
      <w:b/>
      <w:sz w:val="28"/>
      <w:szCs w:val="28"/>
    </w:rPr>
  </w:style>
  <w:style w:type="paragraph" w:customStyle="1" w:styleId="CH4">
    <w:name w:val="CH4"/>
    <w:basedOn w:val="Normal-pool"/>
    <w:next w:val="Normalnumber"/>
    <w:rsid w:val="002A457B"/>
    <w:pPr>
      <w:keepNext/>
      <w:keepLines/>
      <w:tabs>
        <w:tab w:val="clear" w:pos="624"/>
        <w:tab w:val="right" w:pos="851"/>
      </w:tabs>
      <w:suppressAutoHyphens/>
      <w:spacing w:after="120"/>
      <w:ind w:left="1247" w:right="284" w:hanging="1247"/>
    </w:pPr>
    <w:rPr>
      <w:b/>
    </w:rPr>
  </w:style>
  <w:style w:type="paragraph" w:styleId="Header">
    <w:name w:val="header"/>
    <w:basedOn w:val="Normal"/>
    <w:next w:val="Header-pool"/>
    <w:link w:val="HeaderChar"/>
    <w:semiHidden/>
    <w:rsid w:val="002A457B"/>
    <w:pPr>
      <w:pBdr>
        <w:bottom w:val="single" w:sz="4" w:space="1" w:color="auto"/>
      </w:pBdr>
      <w:tabs>
        <w:tab w:val="left" w:pos="624"/>
        <w:tab w:val="left" w:pos="1871"/>
        <w:tab w:val="left" w:pos="2495"/>
        <w:tab w:val="left" w:pos="3119"/>
        <w:tab w:val="left" w:pos="3742"/>
        <w:tab w:val="left" w:pos="4366"/>
        <w:tab w:val="center" w:pos="4536"/>
        <w:tab w:val="right" w:pos="9072"/>
      </w:tabs>
      <w:spacing w:after="120"/>
    </w:pPr>
    <w:rPr>
      <w:b/>
      <w:sz w:val="18"/>
    </w:rPr>
  </w:style>
  <w:style w:type="character" w:styleId="Hyperlink">
    <w:name w:val="Hyperlink"/>
    <w:basedOn w:val="DefaultParagraphFont"/>
    <w:uiPriority w:val="99"/>
    <w:rsid w:val="002A457B"/>
    <w:rPr>
      <w:color w:val="0000FF"/>
      <w:u w:val="none"/>
      <w:lang w:val="fr-FR"/>
    </w:rPr>
  </w:style>
  <w:style w:type="numbering" w:customStyle="1" w:styleId="Normallist">
    <w:name w:val="Normal_list"/>
    <w:basedOn w:val="NoList"/>
    <w:rsid w:val="002A457B"/>
    <w:pPr>
      <w:numPr>
        <w:numId w:val="1"/>
      </w:numPr>
    </w:pPr>
  </w:style>
  <w:style w:type="paragraph" w:customStyle="1" w:styleId="NormalNonumber">
    <w:name w:val="Normal_No_number"/>
    <w:basedOn w:val="Normal-pool"/>
    <w:qFormat/>
    <w:rsid w:val="002A457B"/>
    <w:pPr>
      <w:spacing w:after="120"/>
      <w:ind w:left="1247"/>
    </w:pPr>
  </w:style>
  <w:style w:type="paragraph" w:customStyle="1" w:styleId="Normalnumber">
    <w:name w:val="Normal_number"/>
    <w:basedOn w:val="Normal"/>
    <w:link w:val="NormalnumberChar"/>
    <w:qFormat/>
    <w:rsid w:val="002A457B"/>
    <w:pPr>
      <w:numPr>
        <w:numId w:val="27"/>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2A457B"/>
    <w:pPr>
      <w:keepNext/>
      <w:keepLines/>
      <w:suppressAutoHyphens/>
      <w:spacing w:after="60"/>
      <w:ind w:left="1247"/>
    </w:pPr>
    <w:rPr>
      <w:b/>
      <w:bCs/>
    </w:rPr>
  </w:style>
  <w:style w:type="paragraph" w:styleId="TOC1">
    <w:name w:val="toc 1"/>
    <w:basedOn w:val="Normal"/>
    <w:next w:val="Normal"/>
    <w:autoRedefine/>
    <w:uiPriority w:val="39"/>
    <w:unhideWhenUsed/>
    <w:rsid w:val="002A457B"/>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2A457B"/>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2A457B"/>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2A457B"/>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2A457B"/>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2A457B"/>
    <w:rPr>
      <w:b/>
      <w:bCs/>
      <w:sz w:val="28"/>
      <w:szCs w:val="22"/>
    </w:rPr>
  </w:style>
  <w:style w:type="paragraph" w:customStyle="1" w:styleId="ZZAnxtitle">
    <w:name w:val="ZZ_Anx_title"/>
    <w:basedOn w:val="Normal-pool"/>
    <w:rsid w:val="002A457B"/>
    <w:pPr>
      <w:spacing w:before="360" w:after="120"/>
      <w:ind w:left="1247"/>
    </w:pPr>
    <w:rPr>
      <w:b/>
      <w:bCs/>
      <w:sz w:val="28"/>
      <w:szCs w:val="26"/>
    </w:rPr>
  </w:style>
  <w:style w:type="paragraph" w:styleId="NormalWeb">
    <w:name w:val="Normal (Web)"/>
    <w:basedOn w:val="Normal"/>
    <w:uiPriority w:val="99"/>
    <w:semiHidden/>
    <w:unhideWhenUsed/>
    <w:rsid w:val="00C71D57"/>
    <w:pPr>
      <w:spacing w:before="100" w:beforeAutospacing="1" w:after="100" w:afterAutospacing="1"/>
    </w:pPr>
    <w:rPr>
      <w:rFonts w:eastAsiaTheme="minorEastAsia"/>
      <w:sz w:val="24"/>
      <w:szCs w:val="24"/>
    </w:rPr>
  </w:style>
  <w:style w:type="paragraph" w:customStyle="1" w:styleId="Normal-pool-Table">
    <w:name w:val="Normal-pool-Table"/>
    <w:basedOn w:val="Normal-pool"/>
    <w:rsid w:val="002A457B"/>
    <w:pPr>
      <w:spacing w:before="40" w:after="40"/>
    </w:pPr>
    <w:rPr>
      <w:sz w:val="18"/>
    </w:rPr>
  </w:style>
  <w:style w:type="paragraph" w:customStyle="1" w:styleId="Footnote-Text">
    <w:name w:val="Footnote-Text"/>
    <w:basedOn w:val="Normal-pool"/>
    <w:rsid w:val="002A457B"/>
    <w:pPr>
      <w:spacing w:before="20" w:after="40"/>
      <w:ind w:left="1247"/>
    </w:pPr>
    <w:rPr>
      <w:sz w:val="18"/>
    </w:rPr>
  </w:style>
  <w:style w:type="paragraph" w:customStyle="1" w:styleId="AConvName">
    <w:name w:val="A_ConvName"/>
    <w:basedOn w:val="Normal-pool"/>
    <w:next w:val="Normal-pool"/>
    <w:rsid w:val="002A457B"/>
    <w:pPr>
      <w:tabs>
        <w:tab w:val="clear" w:pos="1247"/>
      </w:tabs>
      <w:spacing w:before="120" w:after="240"/>
    </w:pPr>
    <w:rPr>
      <w:rFonts w:ascii="Arial" w:hAnsi="Arial"/>
      <w:b/>
      <w:sz w:val="28"/>
    </w:rPr>
  </w:style>
  <w:style w:type="paragraph" w:customStyle="1" w:styleId="ASymbol">
    <w:name w:val="A_Symbol"/>
    <w:basedOn w:val="Normal-pool"/>
    <w:rsid w:val="002A457B"/>
    <w:pPr>
      <w:tabs>
        <w:tab w:val="clear" w:pos="1247"/>
      </w:tabs>
    </w:pPr>
  </w:style>
  <w:style w:type="paragraph" w:customStyle="1" w:styleId="AText">
    <w:name w:val="A_Text"/>
    <w:basedOn w:val="Normal-pool"/>
    <w:rsid w:val="002A457B"/>
    <w:pPr>
      <w:spacing w:before="120"/>
    </w:pPr>
  </w:style>
  <w:style w:type="paragraph" w:customStyle="1" w:styleId="ATwoLetters">
    <w:name w:val="A_TwoLetters"/>
    <w:basedOn w:val="Normal-pool"/>
    <w:next w:val="Normal-pool"/>
    <w:rsid w:val="002A457B"/>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2A457B"/>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C71D57"/>
    <w:rPr>
      <w:rFonts w:ascii="Tahoma" w:hAnsi="Tahoma" w:cs="Tahoma"/>
      <w:sz w:val="16"/>
      <w:szCs w:val="16"/>
    </w:rPr>
  </w:style>
  <w:style w:type="character" w:customStyle="1" w:styleId="BalloonTextChar">
    <w:name w:val="Balloon Text Char"/>
    <w:basedOn w:val="DefaultParagraphFont"/>
    <w:link w:val="BalloonText"/>
    <w:rsid w:val="00C71D57"/>
    <w:rPr>
      <w:rFonts w:ascii="Tahoma" w:eastAsia="Times New Roman" w:hAnsi="Tahoma" w:cs="Tahoma"/>
      <w:sz w:val="16"/>
      <w:szCs w:val="16"/>
      <w:lang w:val="fr-FR" w:eastAsia="en-US"/>
    </w:rPr>
  </w:style>
  <w:style w:type="character" w:styleId="CommentReference">
    <w:name w:val="annotation reference"/>
    <w:basedOn w:val="DefaultParagraphFont"/>
    <w:semiHidden/>
    <w:unhideWhenUsed/>
    <w:rsid w:val="002A457B"/>
    <w:rPr>
      <w:sz w:val="16"/>
      <w:szCs w:val="16"/>
      <w:lang w:val="fr-FR"/>
    </w:rPr>
  </w:style>
  <w:style w:type="paragraph" w:styleId="CommentText">
    <w:name w:val="annotation text"/>
    <w:basedOn w:val="Normal"/>
    <w:link w:val="CommentTextChar"/>
    <w:unhideWhenUsed/>
    <w:rsid w:val="002A457B"/>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2A457B"/>
    <w:rPr>
      <w:rFonts w:eastAsia="Times New Roman"/>
      <w:lang w:val="fr-FR" w:eastAsia="en-US"/>
    </w:rPr>
  </w:style>
  <w:style w:type="paragraph" w:styleId="CommentSubject">
    <w:name w:val="annotation subject"/>
    <w:basedOn w:val="CommentText"/>
    <w:next w:val="CommentText"/>
    <w:link w:val="CommentSubjectChar"/>
    <w:semiHidden/>
    <w:unhideWhenUsed/>
    <w:rsid w:val="002A457B"/>
    <w:rPr>
      <w:b/>
      <w:bCs/>
    </w:rPr>
  </w:style>
  <w:style w:type="character" w:customStyle="1" w:styleId="CommentSubjectChar">
    <w:name w:val="Comment Subject Char"/>
    <w:basedOn w:val="CommentTextChar"/>
    <w:link w:val="CommentSubject"/>
    <w:semiHidden/>
    <w:rsid w:val="002A457B"/>
    <w:rPr>
      <w:rFonts w:eastAsia="Times New Roman"/>
      <w:b/>
      <w:bCs/>
      <w:lang w:val="fr-FR" w:eastAsia="en-US"/>
    </w:rPr>
  </w:style>
  <w:style w:type="character" w:styleId="FollowedHyperlink">
    <w:name w:val="FollowedHyperlink"/>
    <w:uiPriority w:val="99"/>
    <w:semiHidden/>
    <w:rsid w:val="002A457B"/>
    <w:rPr>
      <w:color w:val="0000FF"/>
      <w:u w:val="none"/>
      <w:lang w:val="fr-FR"/>
    </w:rPr>
  </w:style>
  <w:style w:type="character" w:customStyle="1" w:styleId="FooterChar">
    <w:name w:val="Footer Char"/>
    <w:basedOn w:val="DefaultParagraphFont"/>
    <w:link w:val="Footer"/>
    <w:rsid w:val="002A457B"/>
    <w:rPr>
      <w:rFonts w:eastAsia="Times New Roman"/>
      <w:b/>
      <w:sz w:val="18"/>
      <w:lang w:val="fr-FR" w:eastAsia="en-US"/>
    </w:rPr>
  </w:style>
  <w:style w:type="character" w:customStyle="1" w:styleId="HeaderChar">
    <w:name w:val="Header Char"/>
    <w:basedOn w:val="DefaultParagraphFont"/>
    <w:link w:val="Header"/>
    <w:semiHidden/>
    <w:rsid w:val="002A457B"/>
    <w:rPr>
      <w:rFonts w:eastAsia="Times New Roman"/>
      <w:b/>
      <w:sz w:val="18"/>
      <w:lang w:val="fr-FR" w:eastAsia="en-US"/>
    </w:rPr>
  </w:style>
  <w:style w:type="character" w:customStyle="1" w:styleId="Heading1Char">
    <w:name w:val="Heading 1 Char"/>
    <w:basedOn w:val="DefaultParagraphFont"/>
    <w:link w:val="Heading1"/>
    <w:rsid w:val="002A457B"/>
    <w:rPr>
      <w:rFonts w:eastAsia="Times New Roman"/>
      <w:b/>
      <w:sz w:val="28"/>
      <w:szCs w:val="28"/>
      <w:lang w:val="fr-FR"/>
    </w:rPr>
  </w:style>
  <w:style w:type="character" w:customStyle="1" w:styleId="Heading2Char">
    <w:name w:val="Heading 2 Char"/>
    <w:basedOn w:val="DefaultParagraphFont"/>
    <w:link w:val="Heading2"/>
    <w:rsid w:val="002A457B"/>
    <w:rPr>
      <w:rFonts w:eastAsia="Times New Roman"/>
      <w:b/>
      <w:sz w:val="24"/>
      <w:szCs w:val="24"/>
      <w:lang w:val="fr-FR"/>
    </w:rPr>
  </w:style>
  <w:style w:type="character" w:customStyle="1" w:styleId="Heading3Char">
    <w:name w:val="Heading 3 Char"/>
    <w:basedOn w:val="DefaultParagraphFont"/>
    <w:link w:val="Heading3"/>
    <w:rsid w:val="002A457B"/>
    <w:rPr>
      <w:rFonts w:eastAsia="Times New Roman"/>
      <w:b/>
      <w:lang w:val="fr-FR"/>
    </w:rPr>
  </w:style>
  <w:style w:type="character" w:customStyle="1" w:styleId="Heading4Char">
    <w:name w:val="Heading 4 Char"/>
    <w:basedOn w:val="DefaultParagraphFont"/>
    <w:link w:val="Heading4"/>
    <w:rsid w:val="002A457B"/>
    <w:rPr>
      <w:rFonts w:eastAsia="Times New Roman"/>
      <w:b/>
      <w:lang w:val="fr-FR" w:eastAsia="en-US"/>
    </w:rPr>
  </w:style>
  <w:style w:type="character" w:customStyle="1" w:styleId="Heading5Char">
    <w:name w:val="Heading 5 Char"/>
    <w:basedOn w:val="DefaultParagraphFont"/>
    <w:link w:val="Heading5"/>
    <w:rsid w:val="002A457B"/>
    <w:rPr>
      <w:rFonts w:eastAsia="Times New Roman"/>
      <w:b/>
      <w:lang w:val="fr-FR"/>
    </w:rPr>
  </w:style>
  <w:style w:type="character" w:customStyle="1" w:styleId="Heading6Char">
    <w:name w:val="Heading 6 Char"/>
    <w:basedOn w:val="DefaultParagraphFont"/>
    <w:link w:val="Heading6"/>
    <w:rsid w:val="002A457B"/>
    <w:rPr>
      <w:rFonts w:eastAsia="Times New Roman"/>
      <w:bCs/>
      <w:sz w:val="24"/>
      <w:lang w:val="fr-FR"/>
    </w:rPr>
  </w:style>
  <w:style w:type="character" w:customStyle="1" w:styleId="Heading7Char">
    <w:name w:val="Heading 7 Char"/>
    <w:basedOn w:val="DefaultParagraphFont"/>
    <w:link w:val="Heading7"/>
    <w:rsid w:val="002A457B"/>
    <w:rPr>
      <w:rFonts w:eastAsia="Times New Roman"/>
      <w:b/>
      <w:snapToGrid w:val="0"/>
      <w:u w:val="single"/>
      <w:lang w:val="fr-FR"/>
    </w:rPr>
  </w:style>
  <w:style w:type="character" w:customStyle="1" w:styleId="Heading8Char">
    <w:name w:val="Heading 8 Char"/>
    <w:basedOn w:val="DefaultParagraphFont"/>
    <w:link w:val="Heading8"/>
    <w:rsid w:val="002A457B"/>
    <w:rPr>
      <w:rFonts w:eastAsia="Times New Roman"/>
      <w:b/>
      <w:snapToGrid w:val="0"/>
      <w:u w:val="single"/>
      <w:lang w:val="fr-FR"/>
    </w:rPr>
  </w:style>
  <w:style w:type="character" w:customStyle="1" w:styleId="Heading9Char">
    <w:name w:val="Heading 9 Char"/>
    <w:basedOn w:val="DefaultParagraphFont"/>
    <w:link w:val="Heading9"/>
    <w:rsid w:val="002A457B"/>
    <w:rPr>
      <w:rFonts w:eastAsia="Times New Roman"/>
      <w:snapToGrid w:val="0"/>
      <w:u w:val="single"/>
      <w:lang w:val="fr-FR" w:eastAsia="en-US"/>
    </w:rPr>
  </w:style>
  <w:style w:type="paragraph" w:styleId="ListParagraph">
    <w:name w:val="List Paragraph"/>
    <w:basedOn w:val="Normal"/>
    <w:uiPriority w:val="34"/>
    <w:qFormat/>
    <w:rsid w:val="00C71D57"/>
    <w:pPr>
      <w:ind w:left="720"/>
      <w:contextualSpacing/>
    </w:pPr>
  </w:style>
  <w:style w:type="paragraph" w:styleId="NoSpacing">
    <w:name w:val="No Spacing"/>
    <w:uiPriority w:val="1"/>
    <w:semiHidden/>
    <w:qFormat/>
    <w:rsid w:val="00C71D57"/>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2A457B"/>
    <w:rPr>
      <w:rFonts w:eastAsia="Times New Roman"/>
      <w:lang w:eastAsia="en-US"/>
    </w:rPr>
  </w:style>
  <w:style w:type="character" w:styleId="PlaceholderText">
    <w:name w:val="Placeholder Text"/>
    <w:basedOn w:val="DefaultParagraphFont"/>
    <w:uiPriority w:val="99"/>
    <w:semiHidden/>
    <w:rsid w:val="00C71D57"/>
    <w:rPr>
      <w:color w:val="808080"/>
      <w:lang w:val="fr-FR"/>
    </w:rPr>
  </w:style>
  <w:style w:type="table" w:styleId="TableGrid">
    <w:name w:val="Table Grid"/>
    <w:basedOn w:val="TableNormal"/>
    <w:rsid w:val="00C71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2A457B"/>
    <w:pPr>
      <w:spacing w:before="120" w:after="240"/>
    </w:pPr>
    <w:rPr>
      <w:rFonts w:eastAsia="Times New Roman"/>
    </w:rPr>
  </w:style>
  <w:style w:type="character" w:customStyle="1" w:styleId="ALogoChar">
    <w:name w:val="A_Logo Char"/>
    <w:basedOn w:val="DefaultParagraphFont"/>
    <w:link w:val="ALogo"/>
    <w:rsid w:val="002A457B"/>
    <w:rPr>
      <w:rFonts w:eastAsia="Times New Roman"/>
      <w:lang w:val="fr-FR"/>
    </w:rPr>
  </w:style>
  <w:style w:type="paragraph" w:customStyle="1" w:styleId="ASpacer">
    <w:name w:val="A_Spacer"/>
    <w:basedOn w:val="Normal-pool"/>
    <w:link w:val="ASpacerChar"/>
    <w:qFormat/>
    <w:rsid w:val="002A457B"/>
    <w:rPr>
      <w:rFonts w:eastAsia="Times New Roman"/>
      <w:sz w:val="2"/>
    </w:rPr>
  </w:style>
  <w:style w:type="character" w:customStyle="1" w:styleId="ASpacerChar">
    <w:name w:val="A_Spacer Char"/>
    <w:basedOn w:val="DefaultParagraphFont"/>
    <w:link w:val="ASpacer"/>
    <w:rsid w:val="002A457B"/>
    <w:rPr>
      <w:rFonts w:eastAsia="Times New Roman"/>
      <w:sz w:val="2"/>
      <w:lang w:val="fr-FR"/>
    </w:rPr>
  </w:style>
  <w:style w:type="paragraph" w:customStyle="1" w:styleId="AATitle1">
    <w:name w:val="AA_Title1"/>
    <w:basedOn w:val="Normal-pool"/>
    <w:qFormat/>
    <w:rsid w:val="002A457B"/>
  </w:style>
  <w:style w:type="character" w:styleId="UnresolvedMention">
    <w:name w:val="Unresolved Mention"/>
    <w:basedOn w:val="DefaultParagraphFont"/>
    <w:uiPriority w:val="99"/>
    <w:semiHidden/>
    <w:rsid w:val="00C71D57"/>
    <w:rPr>
      <w:color w:val="605E5C"/>
      <w:shd w:val="clear" w:color="auto" w:fill="E1DFDD"/>
      <w:lang w:val="fr-FR"/>
    </w:rPr>
  </w:style>
  <w:style w:type="paragraph" w:customStyle="1" w:styleId="ANormal">
    <w:name w:val="A_Normal"/>
    <w:basedOn w:val="Normal-pool"/>
    <w:qFormat/>
    <w:rsid w:val="002A457B"/>
    <w:rPr>
      <w:rFonts w:eastAsia="Times New Roman"/>
    </w:rPr>
  </w:style>
  <w:style w:type="paragraph" w:customStyle="1" w:styleId="AText0">
    <w:name w:val="A_Text0"/>
    <w:basedOn w:val="AText"/>
    <w:next w:val="Normal-pool"/>
    <w:qFormat/>
    <w:rsid w:val="002A457B"/>
    <w:pPr>
      <w:spacing w:before="0" w:after="120"/>
    </w:pPr>
    <w:rPr>
      <w:rFonts w:eastAsia="Times New Roman"/>
    </w:rPr>
  </w:style>
  <w:style w:type="paragraph" w:styleId="Footer">
    <w:name w:val="footer"/>
    <w:basedOn w:val="Normal"/>
    <w:link w:val="FooterChar"/>
    <w:unhideWhenUsed/>
    <w:rsid w:val="002A457B"/>
    <w:pPr>
      <w:tabs>
        <w:tab w:val="right" w:pos="8641"/>
      </w:tabs>
      <w:spacing w:after="120"/>
    </w:pPr>
    <w:rPr>
      <w:b/>
      <w:sz w:val="18"/>
    </w:rPr>
  </w:style>
  <w:style w:type="character" w:customStyle="1" w:styleId="FooterChar1">
    <w:name w:val="Footer Char1"/>
    <w:basedOn w:val="DefaultParagraphFont"/>
    <w:rsid w:val="00C71D57"/>
    <w:rPr>
      <w:rFonts w:eastAsia="Times New Roman"/>
      <w:b/>
      <w:sz w:val="18"/>
      <w:lang w:val="fr-FR" w:eastAsia="en-US"/>
    </w:rPr>
  </w:style>
  <w:style w:type="paragraph" w:customStyle="1" w:styleId="Normal-pool">
    <w:name w:val="Normal-pool"/>
    <w:link w:val="Normal-poolChar"/>
    <w:qFormat/>
    <w:rsid w:val="002A457B"/>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2A457B"/>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2A457B"/>
    <w:pPr>
      <w:spacing w:before="60"/>
    </w:pPr>
    <w:rPr>
      <w:sz w:val="18"/>
    </w:rPr>
  </w:style>
  <w:style w:type="paragraph" w:styleId="Bibliography">
    <w:name w:val="Bibliography"/>
    <w:basedOn w:val="Normal"/>
    <w:next w:val="Normal"/>
    <w:uiPriority w:val="37"/>
    <w:semiHidden/>
    <w:rsid w:val="00C71D57"/>
  </w:style>
  <w:style w:type="paragraph" w:styleId="BlockText">
    <w:name w:val="Block Text"/>
    <w:basedOn w:val="Normal"/>
    <w:semiHidden/>
    <w:unhideWhenUsed/>
    <w:rsid w:val="00C71D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71D57"/>
    <w:pPr>
      <w:spacing w:after="120"/>
    </w:pPr>
  </w:style>
  <w:style w:type="character" w:customStyle="1" w:styleId="BodyTextChar">
    <w:name w:val="Body Text Char"/>
    <w:basedOn w:val="DefaultParagraphFont"/>
    <w:link w:val="BodyText"/>
    <w:semiHidden/>
    <w:rsid w:val="00C71D57"/>
    <w:rPr>
      <w:rFonts w:eastAsia="Times New Roman"/>
      <w:lang w:val="fr-FR" w:eastAsia="en-US"/>
    </w:rPr>
  </w:style>
  <w:style w:type="paragraph" w:styleId="BodyText2">
    <w:name w:val="Body Text 2"/>
    <w:basedOn w:val="Normal"/>
    <w:link w:val="BodyText2Char"/>
    <w:semiHidden/>
    <w:unhideWhenUsed/>
    <w:rsid w:val="00C71D57"/>
    <w:pPr>
      <w:spacing w:after="120" w:line="480" w:lineRule="auto"/>
    </w:pPr>
  </w:style>
  <w:style w:type="character" w:customStyle="1" w:styleId="BodyText2Char">
    <w:name w:val="Body Text 2 Char"/>
    <w:basedOn w:val="DefaultParagraphFont"/>
    <w:link w:val="BodyText2"/>
    <w:semiHidden/>
    <w:rsid w:val="00C71D57"/>
    <w:rPr>
      <w:rFonts w:eastAsia="Times New Roman"/>
      <w:lang w:val="fr-FR" w:eastAsia="en-US"/>
    </w:rPr>
  </w:style>
  <w:style w:type="paragraph" w:styleId="BodyText3">
    <w:name w:val="Body Text 3"/>
    <w:basedOn w:val="Normal"/>
    <w:link w:val="BodyText3Char"/>
    <w:semiHidden/>
    <w:unhideWhenUsed/>
    <w:rsid w:val="00C71D57"/>
    <w:pPr>
      <w:spacing w:after="120"/>
    </w:pPr>
    <w:rPr>
      <w:sz w:val="16"/>
      <w:szCs w:val="16"/>
    </w:rPr>
  </w:style>
  <w:style w:type="character" w:customStyle="1" w:styleId="BodyText3Char">
    <w:name w:val="Body Text 3 Char"/>
    <w:basedOn w:val="DefaultParagraphFont"/>
    <w:link w:val="BodyText3"/>
    <w:semiHidden/>
    <w:rsid w:val="00C71D57"/>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C71D57"/>
    <w:pPr>
      <w:spacing w:after="0"/>
      <w:ind w:firstLine="360"/>
    </w:pPr>
  </w:style>
  <w:style w:type="character" w:customStyle="1" w:styleId="BodyTextFirstIndentChar">
    <w:name w:val="Body Text First Indent Char"/>
    <w:basedOn w:val="BodyTextChar"/>
    <w:link w:val="BodyTextFirstIndent"/>
    <w:semiHidden/>
    <w:rsid w:val="00C71D57"/>
    <w:rPr>
      <w:rFonts w:eastAsia="Times New Roman"/>
      <w:lang w:val="fr-FR" w:eastAsia="en-US"/>
    </w:rPr>
  </w:style>
  <w:style w:type="paragraph" w:styleId="BodyTextIndent">
    <w:name w:val="Body Text Indent"/>
    <w:basedOn w:val="Normal"/>
    <w:link w:val="BodyTextIndentChar"/>
    <w:semiHidden/>
    <w:unhideWhenUsed/>
    <w:rsid w:val="00C71D57"/>
    <w:pPr>
      <w:spacing w:after="120"/>
      <w:ind w:left="283"/>
    </w:pPr>
  </w:style>
  <w:style w:type="character" w:customStyle="1" w:styleId="BodyTextIndentChar">
    <w:name w:val="Body Text Indent Char"/>
    <w:basedOn w:val="DefaultParagraphFont"/>
    <w:link w:val="BodyTextIndent"/>
    <w:semiHidden/>
    <w:rsid w:val="00C71D57"/>
    <w:rPr>
      <w:rFonts w:eastAsia="Times New Roman"/>
      <w:lang w:val="fr-FR" w:eastAsia="en-US"/>
    </w:rPr>
  </w:style>
  <w:style w:type="paragraph" w:styleId="BodyTextFirstIndent2">
    <w:name w:val="Body Text First Indent 2"/>
    <w:basedOn w:val="BodyTextIndent"/>
    <w:link w:val="BodyTextFirstIndent2Char"/>
    <w:semiHidden/>
    <w:unhideWhenUsed/>
    <w:rsid w:val="00C71D57"/>
    <w:pPr>
      <w:spacing w:after="0"/>
      <w:ind w:left="360" w:firstLine="360"/>
    </w:pPr>
  </w:style>
  <w:style w:type="character" w:customStyle="1" w:styleId="BodyTextFirstIndent2Char">
    <w:name w:val="Body Text First Indent 2 Char"/>
    <w:basedOn w:val="BodyTextIndentChar"/>
    <w:link w:val="BodyTextFirstIndent2"/>
    <w:semiHidden/>
    <w:rsid w:val="00C71D57"/>
    <w:rPr>
      <w:rFonts w:eastAsia="Times New Roman"/>
      <w:lang w:val="fr-FR" w:eastAsia="en-US"/>
    </w:rPr>
  </w:style>
  <w:style w:type="paragraph" w:styleId="BodyTextIndent2">
    <w:name w:val="Body Text Indent 2"/>
    <w:basedOn w:val="Normal"/>
    <w:link w:val="BodyTextIndent2Char"/>
    <w:semiHidden/>
    <w:unhideWhenUsed/>
    <w:rsid w:val="00C71D57"/>
    <w:pPr>
      <w:spacing w:after="120" w:line="480" w:lineRule="auto"/>
      <w:ind w:left="283"/>
    </w:pPr>
  </w:style>
  <w:style w:type="character" w:customStyle="1" w:styleId="BodyTextIndent2Char">
    <w:name w:val="Body Text Indent 2 Char"/>
    <w:basedOn w:val="DefaultParagraphFont"/>
    <w:link w:val="BodyTextIndent2"/>
    <w:semiHidden/>
    <w:rsid w:val="00C71D57"/>
    <w:rPr>
      <w:rFonts w:eastAsia="Times New Roman"/>
      <w:lang w:val="fr-FR" w:eastAsia="en-US"/>
    </w:rPr>
  </w:style>
  <w:style w:type="paragraph" w:styleId="BodyTextIndent3">
    <w:name w:val="Body Text Indent 3"/>
    <w:basedOn w:val="Normal"/>
    <w:link w:val="BodyTextIndent3Char"/>
    <w:semiHidden/>
    <w:unhideWhenUsed/>
    <w:rsid w:val="00C71D57"/>
    <w:pPr>
      <w:spacing w:after="120"/>
      <w:ind w:left="283"/>
    </w:pPr>
    <w:rPr>
      <w:sz w:val="16"/>
      <w:szCs w:val="16"/>
    </w:rPr>
  </w:style>
  <w:style w:type="character" w:customStyle="1" w:styleId="BodyTextIndent3Char">
    <w:name w:val="Body Text Indent 3 Char"/>
    <w:basedOn w:val="DefaultParagraphFont"/>
    <w:link w:val="BodyTextIndent3"/>
    <w:semiHidden/>
    <w:rsid w:val="00C71D57"/>
    <w:rPr>
      <w:rFonts w:eastAsia="Times New Roman"/>
      <w:sz w:val="16"/>
      <w:szCs w:val="16"/>
      <w:lang w:val="fr-FR" w:eastAsia="en-US"/>
    </w:rPr>
  </w:style>
  <w:style w:type="character" w:styleId="BookTitle">
    <w:name w:val="Book Title"/>
    <w:basedOn w:val="DefaultParagraphFont"/>
    <w:uiPriority w:val="33"/>
    <w:semiHidden/>
    <w:qFormat/>
    <w:rsid w:val="00C71D57"/>
    <w:rPr>
      <w:b/>
      <w:bCs/>
      <w:i/>
      <w:iCs/>
      <w:spacing w:val="5"/>
      <w:lang w:val="fr-FR"/>
    </w:rPr>
  </w:style>
  <w:style w:type="paragraph" w:styleId="Caption">
    <w:name w:val="caption"/>
    <w:basedOn w:val="Normal"/>
    <w:next w:val="Normal"/>
    <w:semiHidden/>
    <w:unhideWhenUsed/>
    <w:qFormat/>
    <w:rsid w:val="00C71D57"/>
    <w:pPr>
      <w:spacing w:after="200"/>
    </w:pPr>
    <w:rPr>
      <w:i/>
      <w:iCs/>
      <w:color w:val="1F497D" w:themeColor="text2"/>
      <w:sz w:val="18"/>
      <w:szCs w:val="18"/>
    </w:rPr>
  </w:style>
  <w:style w:type="paragraph" w:styleId="Closing">
    <w:name w:val="Closing"/>
    <w:basedOn w:val="Normal"/>
    <w:link w:val="ClosingChar"/>
    <w:semiHidden/>
    <w:unhideWhenUsed/>
    <w:rsid w:val="00C71D57"/>
    <w:pPr>
      <w:ind w:left="4252"/>
    </w:pPr>
  </w:style>
  <w:style w:type="character" w:customStyle="1" w:styleId="ClosingChar">
    <w:name w:val="Closing Char"/>
    <w:basedOn w:val="DefaultParagraphFont"/>
    <w:link w:val="Closing"/>
    <w:semiHidden/>
    <w:rsid w:val="00C71D57"/>
    <w:rPr>
      <w:rFonts w:eastAsia="Times New Roman"/>
      <w:lang w:val="fr-FR" w:eastAsia="en-US"/>
    </w:rPr>
  </w:style>
  <w:style w:type="table" w:styleId="ColorfulGrid">
    <w:name w:val="Colorful Grid"/>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71D5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71D5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71D5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71D5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71D5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71D5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71D5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71D5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71D5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71D5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71D5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71D5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71D5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71D5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71D5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71D5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71D5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71D5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71D5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71D5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71D5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C71D57"/>
  </w:style>
  <w:style w:type="character" w:customStyle="1" w:styleId="DateChar">
    <w:name w:val="Date Char"/>
    <w:basedOn w:val="DefaultParagraphFont"/>
    <w:link w:val="Date"/>
    <w:semiHidden/>
    <w:rsid w:val="00C71D57"/>
    <w:rPr>
      <w:rFonts w:eastAsia="Times New Roman"/>
      <w:lang w:val="fr-FR" w:eastAsia="en-US"/>
    </w:rPr>
  </w:style>
  <w:style w:type="paragraph" w:styleId="DocumentMap">
    <w:name w:val="Document Map"/>
    <w:basedOn w:val="Normal"/>
    <w:link w:val="DocumentMapChar"/>
    <w:semiHidden/>
    <w:unhideWhenUsed/>
    <w:rsid w:val="00C71D57"/>
    <w:rPr>
      <w:rFonts w:ascii="Segoe UI" w:hAnsi="Segoe UI" w:cs="Segoe UI"/>
      <w:sz w:val="16"/>
      <w:szCs w:val="16"/>
    </w:rPr>
  </w:style>
  <w:style w:type="character" w:customStyle="1" w:styleId="DocumentMapChar">
    <w:name w:val="Document Map Char"/>
    <w:basedOn w:val="DefaultParagraphFont"/>
    <w:link w:val="DocumentMap"/>
    <w:semiHidden/>
    <w:rsid w:val="00C71D57"/>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C71D57"/>
  </w:style>
  <w:style w:type="character" w:customStyle="1" w:styleId="E-mailSignatureChar">
    <w:name w:val="E-mail Signature Char"/>
    <w:basedOn w:val="DefaultParagraphFont"/>
    <w:link w:val="E-mailSignature"/>
    <w:semiHidden/>
    <w:rsid w:val="00C71D57"/>
    <w:rPr>
      <w:rFonts w:eastAsia="Times New Roman"/>
      <w:lang w:val="fr-FR" w:eastAsia="en-US"/>
    </w:rPr>
  </w:style>
  <w:style w:type="character" w:styleId="Emphasis">
    <w:name w:val="Emphasis"/>
    <w:basedOn w:val="DefaultParagraphFont"/>
    <w:semiHidden/>
    <w:qFormat/>
    <w:rsid w:val="00C71D57"/>
    <w:rPr>
      <w:i/>
      <w:iCs/>
      <w:lang w:val="fr-FR"/>
    </w:rPr>
  </w:style>
  <w:style w:type="character" w:styleId="EndnoteReference">
    <w:name w:val="endnote reference"/>
    <w:basedOn w:val="DefaultParagraphFont"/>
    <w:semiHidden/>
    <w:unhideWhenUsed/>
    <w:rsid w:val="00C71D57"/>
    <w:rPr>
      <w:vertAlign w:val="superscript"/>
      <w:lang w:val="fr-FR"/>
    </w:rPr>
  </w:style>
  <w:style w:type="paragraph" w:styleId="EndnoteText">
    <w:name w:val="endnote text"/>
    <w:basedOn w:val="Normal"/>
    <w:link w:val="EndnoteTextChar"/>
    <w:semiHidden/>
    <w:unhideWhenUsed/>
    <w:rsid w:val="00C71D57"/>
  </w:style>
  <w:style w:type="character" w:customStyle="1" w:styleId="EndnoteTextChar">
    <w:name w:val="Endnote Text Char"/>
    <w:basedOn w:val="DefaultParagraphFont"/>
    <w:link w:val="EndnoteText"/>
    <w:semiHidden/>
    <w:rsid w:val="00C71D57"/>
    <w:rPr>
      <w:rFonts w:eastAsia="Times New Roman"/>
      <w:lang w:val="fr-FR" w:eastAsia="en-US"/>
    </w:rPr>
  </w:style>
  <w:style w:type="paragraph" w:styleId="EnvelopeAddress">
    <w:name w:val="envelope address"/>
    <w:basedOn w:val="Normal"/>
    <w:semiHidden/>
    <w:unhideWhenUsed/>
    <w:rsid w:val="00C71D5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71D57"/>
    <w:rPr>
      <w:rFonts w:asciiTheme="majorHAnsi" w:eastAsiaTheme="majorEastAsia" w:hAnsiTheme="majorHAnsi" w:cstheme="majorBidi"/>
    </w:rPr>
  </w:style>
  <w:style w:type="paragraph" w:styleId="FootnoteText">
    <w:name w:val="footnote text"/>
    <w:basedOn w:val="Normal"/>
    <w:link w:val="FootnoteTextChar"/>
    <w:semiHidden/>
    <w:rsid w:val="002A457B"/>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C71D57"/>
    <w:rPr>
      <w:rFonts w:eastAsia="Times New Roman"/>
      <w:sz w:val="18"/>
      <w:lang w:val="fr-FR" w:eastAsia="en-US"/>
    </w:rPr>
  </w:style>
  <w:style w:type="table" w:styleId="GridTable1Light">
    <w:name w:val="Grid Table 1 Light"/>
    <w:basedOn w:val="TableNormal"/>
    <w:uiPriority w:val="46"/>
    <w:rsid w:val="00C71D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71D5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71D5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71D5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71D5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71D5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1D5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71D5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71D5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71D5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71D5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71D5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71D5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71D5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7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7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7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7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7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7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7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7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7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7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7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7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7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7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71D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71D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71D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71D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71D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71D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71D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71D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71D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71D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71D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71D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71D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71D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C71D57"/>
    <w:rPr>
      <w:color w:val="2B579A"/>
      <w:shd w:val="clear" w:color="auto" w:fill="E1DFDD"/>
      <w:lang w:val="fr-FR"/>
    </w:rPr>
  </w:style>
  <w:style w:type="character" w:styleId="HTMLAcronym">
    <w:name w:val="HTML Acronym"/>
    <w:basedOn w:val="DefaultParagraphFont"/>
    <w:semiHidden/>
    <w:unhideWhenUsed/>
    <w:rsid w:val="00C71D57"/>
    <w:rPr>
      <w:lang w:val="fr-FR"/>
    </w:rPr>
  </w:style>
  <w:style w:type="paragraph" w:styleId="HTMLAddress">
    <w:name w:val="HTML Address"/>
    <w:basedOn w:val="Normal"/>
    <w:link w:val="HTMLAddressChar"/>
    <w:semiHidden/>
    <w:unhideWhenUsed/>
    <w:rsid w:val="00C71D57"/>
    <w:rPr>
      <w:i/>
      <w:iCs/>
    </w:rPr>
  </w:style>
  <w:style w:type="character" w:customStyle="1" w:styleId="HTMLAddressChar">
    <w:name w:val="HTML Address Char"/>
    <w:basedOn w:val="DefaultParagraphFont"/>
    <w:link w:val="HTMLAddress"/>
    <w:semiHidden/>
    <w:rsid w:val="00C71D57"/>
    <w:rPr>
      <w:rFonts w:eastAsia="Times New Roman"/>
      <w:i/>
      <w:iCs/>
      <w:lang w:val="fr-FR" w:eastAsia="en-US"/>
    </w:rPr>
  </w:style>
  <w:style w:type="character" w:styleId="HTMLCite">
    <w:name w:val="HTML Cite"/>
    <w:basedOn w:val="DefaultParagraphFont"/>
    <w:semiHidden/>
    <w:unhideWhenUsed/>
    <w:rsid w:val="00C71D57"/>
    <w:rPr>
      <w:i/>
      <w:iCs/>
      <w:lang w:val="fr-FR"/>
    </w:rPr>
  </w:style>
  <w:style w:type="character" w:styleId="HTMLCode">
    <w:name w:val="HTML Code"/>
    <w:basedOn w:val="DefaultParagraphFont"/>
    <w:semiHidden/>
    <w:unhideWhenUsed/>
    <w:rsid w:val="00C71D57"/>
    <w:rPr>
      <w:rFonts w:ascii="Consolas" w:hAnsi="Consolas"/>
      <w:sz w:val="20"/>
      <w:szCs w:val="20"/>
      <w:lang w:val="fr-FR"/>
    </w:rPr>
  </w:style>
  <w:style w:type="character" w:styleId="HTMLDefinition">
    <w:name w:val="HTML Definition"/>
    <w:basedOn w:val="DefaultParagraphFont"/>
    <w:semiHidden/>
    <w:unhideWhenUsed/>
    <w:rsid w:val="00C71D57"/>
    <w:rPr>
      <w:i/>
      <w:iCs/>
      <w:lang w:val="fr-FR"/>
    </w:rPr>
  </w:style>
  <w:style w:type="character" w:styleId="HTMLKeyboard">
    <w:name w:val="HTML Keyboard"/>
    <w:basedOn w:val="DefaultParagraphFont"/>
    <w:semiHidden/>
    <w:unhideWhenUsed/>
    <w:rsid w:val="00C71D57"/>
    <w:rPr>
      <w:rFonts w:ascii="Consolas" w:hAnsi="Consolas"/>
      <w:sz w:val="20"/>
      <w:szCs w:val="20"/>
      <w:lang w:val="fr-FR"/>
    </w:rPr>
  </w:style>
  <w:style w:type="paragraph" w:styleId="HTMLPreformatted">
    <w:name w:val="HTML Preformatted"/>
    <w:basedOn w:val="Normal"/>
    <w:link w:val="HTMLPreformattedChar"/>
    <w:semiHidden/>
    <w:unhideWhenUsed/>
    <w:rsid w:val="00C71D57"/>
    <w:rPr>
      <w:rFonts w:ascii="Consolas" w:hAnsi="Consolas"/>
    </w:rPr>
  </w:style>
  <w:style w:type="character" w:customStyle="1" w:styleId="HTMLPreformattedChar">
    <w:name w:val="HTML Preformatted Char"/>
    <w:basedOn w:val="DefaultParagraphFont"/>
    <w:link w:val="HTMLPreformatted"/>
    <w:semiHidden/>
    <w:rsid w:val="00C71D57"/>
    <w:rPr>
      <w:rFonts w:ascii="Consolas" w:eastAsia="Times New Roman" w:hAnsi="Consolas"/>
      <w:lang w:val="fr-FR" w:eastAsia="en-US"/>
    </w:rPr>
  </w:style>
  <w:style w:type="character" w:styleId="HTMLSample">
    <w:name w:val="HTML Sample"/>
    <w:basedOn w:val="DefaultParagraphFont"/>
    <w:semiHidden/>
    <w:unhideWhenUsed/>
    <w:rsid w:val="00C71D57"/>
    <w:rPr>
      <w:rFonts w:ascii="Consolas" w:hAnsi="Consolas"/>
      <w:sz w:val="24"/>
      <w:szCs w:val="24"/>
      <w:lang w:val="fr-FR"/>
    </w:rPr>
  </w:style>
  <w:style w:type="character" w:styleId="HTMLTypewriter">
    <w:name w:val="HTML Typewriter"/>
    <w:basedOn w:val="DefaultParagraphFont"/>
    <w:semiHidden/>
    <w:unhideWhenUsed/>
    <w:rsid w:val="00C71D57"/>
    <w:rPr>
      <w:rFonts w:ascii="Consolas" w:hAnsi="Consolas"/>
      <w:sz w:val="20"/>
      <w:szCs w:val="20"/>
      <w:lang w:val="fr-FR"/>
    </w:rPr>
  </w:style>
  <w:style w:type="character" w:styleId="HTMLVariable">
    <w:name w:val="HTML Variable"/>
    <w:basedOn w:val="DefaultParagraphFont"/>
    <w:semiHidden/>
    <w:unhideWhenUsed/>
    <w:rsid w:val="00C71D57"/>
    <w:rPr>
      <w:i/>
      <w:iCs/>
      <w:lang w:val="fr-FR"/>
    </w:rPr>
  </w:style>
  <w:style w:type="paragraph" w:styleId="Index1">
    <w:name w:val="index 1"/>
    <w:basedOn w:val="Normal"/>
    <w:next w:val="Normal"/>
    <w:autoRedefine/>
    <w:semiHidden/>
    <w:unhideWhenUsed/>
    <w:rsid w:val="00C71D57"/>
    <w:pPr>
      <w:tabs>
        <w:tab w:val="clear" w:pos="1247"/>
      </w:tabs>
      <w:ind w:left="200" w:hanging="200"/>
    </w:pPr>
  </w:style>
  <w:style w:type="paragraph" w:styleId="Index2">
    <w:name w:val="index 2"/>
    <w:basedOn w:val="Normal"/>
    <w:next w:val="Normal"/>
    <w:autoRedefine/>
    <w:semiHidden/>
    <w:unhideWhenUsed/>
    <w:rsid w:val="00C71D57"/>
    <w:pPr>
      <w:tabs>
        <w:tab w:val="clear" w:pos="1247"/>
      </w:tabs>
      <w:ind w:left="400" w:hanging="200"/>
    </w:pPr>
  </w:style>
  <w:style w:type="paragraph" w:styleId="Index3">
    <w:name w:val="index 3"/>
    <w:basedOn w:val="Normal"/>
    <w:next w:val="Normal"/>
    <w:autoRedefine/>
    <w:semiHidden/>
    <w:unhideWhenUsed/>
    <w:rsid w:val="00C71D57"/>
    <w:pPr>
      <w:tabs>
        <w:tab w:val="clear" w:pos="1247"/>
      </w:tabs>
      <w:ind w:left="600" w:hanging="200"/>
    </w:pPr>
  </w:style>
  <w:style w:type="paragraph" w:styleId="Index4">
    <w:name w:val="index 4"/>
    <w:basedOn w:val="Normal"/>
    <w:next w:val="Normal"/>
    <w:autoRedefine/>
    <w:semiHidden/>
    <w:unhideWhenUsed/>
    <w:rsid w:val="00C71D57"/>
    <w:pPr>
      <w:tabs>
        <w:tab w:val="clear" w:pos="1247"/>
      </w:tabs>
      <w:ind w:left="800" w:hanging="200"/>
    </w:pPr>
  </w:style>
  <w:style w:type="paragraph" w:styleId="Index5">
    <w:name w:val="index 5"/>
    <w:basedOn w:val="Normal"/>
    <w:next w:val="Normal"/>
    <w:autoRedefine/>
    <w:semiHidden/>
    <w:unhideWhenUsed/>
    <w:rsid w:val="00C71D57"/>
    <w:pPr>
      <w:tabs>
        <w:tab w:val="clear" w:pos="1247"/>
      </w:tabs>
      <w:ind w:left="1000" w:hanging="200"/>
    </w:pPr>
  </w:style>
  <w:style w:type="paragraph" w:styleId="Index6">
    <w:name w:val="index 6"/>
    <w:basedOn w:val="Normal"/>
    <w:next w:val="Normal"/>
    <w:autoRedefine/>
    <w:semiHidden/>
    <w:unhideWhenUsed/>
    <w:rsid w:val="00C71D57"/>
    <w:pPr>
      <w:tabs>
        <w:tab w:val="clear" w:pos="1247"/>
      </w:tabs>
      <w:ind w:left="1200" w:hanging="200"/>
    </w:pPr>
  </w:style>
  <w:style w:type="paragraph" w:styleId="Index7">
    <w:name w:val="index 7"/>
    <w:basedOn w:val="Normal"/>
    <w:next w:val="Normal"/>
    <w:autoRedefine/>
    <w:semiHidden/>
    <w:unhideWhenUsed/>
    <w:rsid w:val="00C71D57"/>
    <w:pPr>
      <w:tabs>
        <w:tab w:val="clear" w:pos="1247"/>
      </w:tabs>
      <w:ind w:left="1400" w:hanging="200"/>
    </w:pPr>
  </w:style>
  <w:style w:type="paragraph" w:styleId="Index8">
    <w:name w:val="index 8"/>
    <w:basedOn w:val="Normal"/>
    <w:next w:val="Normal"/>
    <w:autoRedefine/>
    <w:semiHidden/>
    <w:unhideWhenUsed/>
    <w:rsid w:val="00C71D57"/>
    <w:pPr>
      <w:tabs>
        <w:tab w:val="clear" w:pos="1247"/>
      </w:tabs>
      <w:ind w:left="1600" w:hanging="200"/>
    </w:pPr>
  </w:style>
  <w:style w:type="paragraph" w:styleId="Index9">
    <w:name w:val="index 9"/>
    <w:basedOn w:val="Normal"/>
    <w:next w:val="Normal"/>
    <w:autoRedefine/>
    <w:semiHidden/>
    <w:unhideWhenUsed/>
    <w:rsid w:val="00C71D57"/>
    <w:pPr>
      <w:tabs>
        <w:tab w:val="clear" w:pos="1247"/>
      </w:tabs>
      <w:ind w:left="1800" w:hanging="200"/>
    </w:pPr>
  </w:style>
  <w:style w:type="paragraph" w:styleId="IndexHeading">
    <w:name w:val="index heading"/>
    <w:basedOn w:val="Normal"/>
    <w:next w:val="Index1"/>
    <w:semiHidden/>
    <w:unhideWhenUsed/>
    <w:rsid w:val="00C71D5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71D57"/>
    <w:rPr>
      <w:i/>
      <w:iCs/>
      <w:color w:val="4F81BD" w:themeColor="accent1"/>
      <w:lang w:val="fr-FR"/>
    </w:rPr>
  </w:style>
  <w:style w:type="paragraph" w:styleId="IntenseQuote">
    <w:name w:val="Intense Quote"/>
    <w:basedOn w:val="Normal"/>
    <w:next w:val="Normal"/>
    <w:link w:val="IntenseQuoteChar"/>
    <w:uiPriority w:val="30"/>
    <w:semiHidden/>
    <w:qFormat/>
    <w:rsid w:val="00C71D5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C71D57"/>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C71D57"/>
    <w:rPr>
      <w:b/>
      <w:bCs/>
      <w:smallCaps/>
      <w:color w:val="4F81BD" w:themeColor="accent1"/>
      <w:spacing w:val="5"/>
      <w:lang w:val="fr-FR"/>
    </w:rPr>
  </w:style>
  <w:style w:type="table" w:styleId="LightGrid">
    <w:name w:val="Light Grid"/>
    <w:basedOn w:val="TableNormal"/>
    <w:uiPriority w:val="62"/>
    <w:semiHidden/>
    <w:unhideWhenUsed/>
    <w:rsid w:val="00C71D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71D5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71D5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71D5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71D5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71D5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71D5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71D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71D5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71D5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71D5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71D5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71D5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71D5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71D5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71D5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71D5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71D5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71D5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71D5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71D5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C71D57"/>
    <w:rPr>
      <w:lang w:val="fr-FR"/>
    </w:rPr>
  </w:style>
  <w:style w:type="paragraph" w:styleId="List">
    <w:name w:val="List"/>
    <w:basedOn w:val="Normal"/>
    <w:semiHidden/>
    <w:unhideWhenUsed/>
    <w:rsid w:val="00C71D57"/>
    <w:pPr>
      <w:ind w:left="283" w:hanging="283"/>
      <w:contextualSpacing/>
    </w:pPr>
  </w:style>
  <w:style w:type="paragraph" w:styleId="List2">
    <w:name w:val="List 2"/>
    <w:basedOn w:val="Normal"/>
    <w:semiHidden/>
    <w:unhideWhenUsed/>
    <w:rsid w:val="00C71D57"/>
    <w:pPr>
      <w:ind w:left="566" w:hanging="283"/>
      <w:contextualSpacing/>
    </w:pPr>
  </w:style>
  <w:style w:type="paragraph" w:styleId="List3">
    <w:name w:val="List 3"/>
    <w:basedOn w:val="Normal"/>
    <w:semiHidden/>
    <w:unhideWhenUsed/>
    <w:rsid w:val="00C71D57"/>
    <w:pPr>
      <w:ind w:left="849" w:hanging="283"/>
      <w:contextualSpacing/>
    </w:pPr>
  </w:style>
  <w:style w:type="paragraph" w:styleId="List4">
    <w:name w:val="List 4"/>
    <w:basedOn w:val="Normal"/>
    <w:semiHidden/>
    <w:unhideWhenUsed/>
    <w:rsid w:val="00C71D57"/>
    <w:pPr>
      <w:ind w:left="1132" w:hanging="283"/>
      <w:contextualSpacing/>
    </w:pPr>
  </w:style>
  <w:style w:type="paragraph" w:styleId="List5">
    <w:name w:val="List 5"/>
    <w:basedOn w:val="Normal"/>
    <w:semiHidden/>
    <w:unhideWhenUsed/>
    <w:rsid w:val="00C71D57"/>
    <w:pPr>
      <w:ind w:left="1415" w:hanging="283"/>
      <w:contextualSpacing/>
    </w:pPr>
  </w:style>
  <w:style w:type="paragraph" w:styleId="ListBullet">
    <w:name w:val="List Bullet"/>
    <w:basedOn w:val="Normal"/>
    <w:semiHidden/>
    <w:rsid w:val="00C71D57"/>
    <w:pPr>
      <w:numPr>
        <w:numId w:val="6"/>
      </w:numPr>
      <w:contextualSpacing/>
    </w:pPr>
  </w:style>
  <w:style w:type="paragraph" w:styleId="ListBullet2">
    <w:name w:val="List Bullet 2"/>
    <w:basedOn w:val="Normal"/>
    <w:semiHidden/>
    <w:unhideWhenUsed/>
    <w:rsid w:val="00C71D57"/>
    <w:pPr>
      <w:numPr>
        <w:numId w:val="7"/>
      </w:numPr>
      <w:contextualSpacing/>
    </w:pPr>
  </w:style>
  <w:style w:type="paragraph" w:styleId="ListBullet3">
    <w:name w:val="List Bullet 3"/>
    <w:basedOn w:val="Normal"/>
    <w:semiHidden/>
    <w:unhideWhenUsed/>
    <w:rsid w:val="00C71D57"/>
    <w:pPr>
      <w:numPr>
        <w:numId w:val="8"/>
      </w:numPr>
      <w:contextualSpacing/>
    </w:pPr>
  </w:style>
  <w:style w:type="paragraph" w:styleId="ListBullet4">
    <w:name w:val="List Bullet 4"/>
    <w:basedOn w:val="Normal"/>
    <w:semiHidden/>
    <w:unhideWhenUsed/>
    <w:rsid w:val="00C71D57"/>
    <w:pPr>
      <w:numPr>
        <w:numId w:val="9"/>
      </w:numPr>
      <w:contextualSpacing/>
    </w:pPr>
  </w:style>
  <w:style w:type="paragraph" w:styleId="ListBullet5">
    <w:name w:val="List Bullet 5"/>
    <w:basedOn w:val="Normal"/>
    <w:semiHidden/>
    <w:unhideWhenUsed/>
    <w:rsid w:val="00C71D57"/>
    <w:pPr>
      <w:numPr>
        <w:numId w:val="10"/>
      </w:numPr>
      <w:contextualSpacing/>
    </w:pPr>
  </w:style>
  <w:style w:type="paragraph" w:styleId="ListContinue">
    <w:name w:val="List Continue"/>
    <w:basedOn w:val="Normal"/>
    <w:semiHidden/>
    <w:unhideWhenUsed/>
    <w:rsid w:val="00C71D57"/>
    <w:pPr>
      <w:spacing w:after="120"/>
      <w:ind w:left="283"/>
      <w:contextualSpacing/>
    </w:pPr>
  </w:style>
  <w:style w:type="paragraph" w:styleId="ListContinue2">
    <w:name w:val="List Continue 2"/>
    <w:basedOn w:val="Normal"/>
    <w:semiHidden/>
    <w:unhideWhenUsed/>
    <w:rsid w:val="00C71D57"/>
    <w:pPr>
      <w:spacing w:after="120"/>
      <w:ind w:left="566"/>
      <w:contextualSpacing/>
    </w:pPr>
  </w:style>
  <w:style w:type="paragraph" w:styleId="ListContinue3">
    <w:name w:val="List Continue 3"/>
    <w:basedOn w:val="Normal"/>
    <w:semiHidden/>
    <w:rsid w:val="00C71D57"/>
    <w:pPr>
      <w:spacing w:after="120"/>
      <w:ind w:left="849"/>
      <w:contextualSpacing/>
    </w:pPr>
  </w:style>
  <w:style w:type="paragraph" w:styleId="ListContinue4">
    <w:name w:val="List Continue 4"/>
    <w:basedOn w:val="Normal"/>
    <w:semiHidden/>
    <w:rsid w:val="00C71D57"/>
    <w:pPr>
      <w:spacing w:after="120"/>
      <w:ind w:left="1132"/>
      <w:contextualSpacing/>
    </w:pPr>
  </w:style>
  <w:style w:type="paragraph" w:styleId="ListContinue5">
    <w:name w:val="List Continue 5"/>
    <w:basedOn w:val="Normal"/>
    <w:semiHidden/>
    <w:rsid w:val="00C71D57"/>
    <w:pPr>
      <w:spacing w:after="120"/>
      <w:ind w:left="1415"/>
      <w:contextualSpacing/>
    </w:pPr>
  </w:style>
  <w:style w:type="paragraph" w:styleId="ListNumber">
    <w:name w:val="List Number"/>
    <w:basedOn w:val="Normal"/>
    <w:semiHidden/>
    <w:rsid w:val="002A457B"/>
    <w:pPr>
      <w:numPr>
        <w:numId w:val="11"/>
      </w:numPr>
      <w:contextualSpacing/>
    </w:pPr>
  </w:style>
  <w:style w:type="paragraph" w:styleId="ListNumber2">
    <w:name w:val="List Number 2"/>
    <w:basedOn w:val="Normal"/>
    <w:semiHidden/>
    <w:unhideWhenUsed/>
    <w:rsid w:val="00C71D57"/>
    <w:pPr>
      <w:numPr>
        <w:numId w:val="12"/>
      </w:numPr>
      <w:contextualSpacing/>
    </w:pPr>
  </w:style>
  <w:style w:type="paragraph" w:styleId="ListNumber3">
    <w:name w:val="List Number 3"/>
    <w:basedOn w:val="Normal"/>
    <w:semiHidden/>
    <w:unhideWhenUsed/>
    <w:rsid w:val="00C71D57"/>
    <w:pPr>
      <w:numPr>
        <w:numId w:val="13"/>
      </w:numPr>
      <w:contextualSpacing/>
    </w:pPr>
  </w:style>
  <w:style w:type="paragraph" w:styleId="ListNumber4">
    <w:name w:val="List Number 4"/>
    <w:basedOn w:val="Normal"/>
    <w:semiHidden/>
    <w:unhideWhenUsed/>
    <w:rsid w:val="00C71D57"/>
    <w:pPr>
      <w:numPr>
        <w:numId w:val="14"/>
      </w:numPr>
      <w:contextualSpacing/>
    </w:pPr>
  </w:style>
  <w:style w:type="paragraph" w:styleId="ListNumber5">
    <w:name w:val="List Number 5"/>
    <w:basedOn w:val="Normal"/>
    <w:semiHidden/>
    <w:unhideWhenUsed/>
    <w:rsid w:val="00C71D57"/>
    <w:pPr>
      <w:numPr>
        <w:numId w:val="15"/>
      </w:numPr>
      <w:contextualSpacing/>
    </w:pPr>
  </w:style>
  <w:style w:type="table" w:styleId="ListTable1Light">
    <w:name w:val="List Table 1 Light"/>
    <w:basedOn w:val="TableNormal"/>
    <w:uiPriority w:val="46"/>
    <w:rsid w:val="00C71D5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71D5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71D5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71D5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71D5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71D5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71D5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71D5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71D5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71D5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71D5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71D5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71D5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71D5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71D5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71D5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71D5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71D5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71D5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71D5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71D5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7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7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7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7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7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7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7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71D5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71D5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71D5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1D5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71D5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71D5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71D5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71D5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71D5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71D5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71D5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71D5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71D5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71D5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71D5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71D5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71D5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71D5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71D5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71D5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71D5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71D57"/>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C71D57"/>
    <w:rPr>
      <w:rFonts w:ascii="Consolas" w:eastAsia="Times New Roman" w:hAnsi="Consolas"/>
      <w:lang w:val="fr-FR" w:eastAsia="en-US"/>
    </w:rPr>
  </w:style>
  <w:style w:type="table" w:styleId="MediumGrid1">
    <w:name w:val="Medium Grid 1"/>
    <w:basedOn w:val="TableNormal"/>
    <w:uiPriority w:val="67"/>
    <w:semiHidden/>
    <w:unhideWhenUsed/>
    <w:rsid w:val="00C71D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71D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71D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71D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71D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71D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71D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71D5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71D5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71D5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71D5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71D5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71D5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71D5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1D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1D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1D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1D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1D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1D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1D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C71D57"/>
    <w:rPr>
      <w:color w:val="2B579A"/>
      <w:shd w:val="clear" w:color="auto" w:fill="E1DFDD"/>
      <w:lang w:val="fr-FR"/>
    </w:rPr>
  </w:style>
  <w:style w:type="paragraph" w:styleId="MessageHeader">
    <w:name w:val="Message Header"/>
    <w:basedOn w:val="Normal"/>
    <w:link w:val="MessageHeaderChar"/>
    <w:semiHidden/>
    <w:rsid w:val="00C71D5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71D57"/>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C71D57"/>
    <w:pPr>
      <w:ind w:left="720"/>
    </w:pPr>
  </w:style>
  <w:style w:type="paragraph" w:styleId="NoteHeading">
    <w:name w:val="Note Heading"/>
    <w:basedOn w:val="Normal"/>
    <w:next w:val="Normal"/>
    <w:link w:val="NoteHeadingChar"/>
    <w:semiHidden/>
    <w:unhideWhenUsed/>
    <w:rsid w:val="00C71D57"/>
  </w:style>
  <w:style w:type="character" w:customStyle="1" w:styleId="NoteHeadingChar">
    <w:name w:val="Note Heading Char"/>
    <w:basedOn w:val="DefaultParagraphFont"/>
    <w:link w:val="NoteHeading"/>
    <w:semiHidden/>
    <w:rsid w:val="00C71D57"/>
    <w:rPr>
      <w:rFonts w:eastAsia="Times New Roman"/>
      <w:lang w:val="fr-FR" w:eastAsia="en-US"/>
    </w:rPr>
  </w:style>
  <w:style w:type="table" w:styleId="PlainTable1">
    <w:name w:val="Plain Table 1"/>
    <w:basedOn w:val="TableNormal"/>
    <w:uiPriority w:val="41"/>
    <w:rsid w:val="00C71D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1D5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71D57"/>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71D5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71D5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71D57"/>
    <w:rPr>
      <w:rFonts w:ascii="Consolas" w:hAnsi="Consolas"/>
      <w:sz w:val="21"/>
      <w:szCs w:val="21"/>
    </w:rPr>
  </w:style>
  <w:style w:type="character" w:customStyle="1" w:styleId="PlainTextChar">
    <w:name w:val="Plain Text Char"/>
    <w:basedOn w:val="DefaultParagraphFont"/>
    <w:link w:val="PlainText"/>
    <w:semiHidden/>
    <w:rsid w:val="00C71D57"/>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C71D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71D57"/>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C71D57"/>
  </w:style>
  <w:style w:type="character" w:customStyle="1" w:styleId="SalutationChar">
    <w:name w:val="Salutation Char"/>
    <w:basedOn w:val="DefaultParagraphFont"/>
    <w:link w:val="Salutation"/>
    <w:semiHidden/>
    <w:rsid w:val="00C71D57"/>
    <w:rPr>
      <w:rFonts w:eastAsia="Times New Roman"/>
      <w:lang w:val="fr-FR" w:eastAsia="en-US"/>
    </w:rPr>
  </w:style>
  <w:style w:type="paragraph" w:styleId="Signature">
    <w:name w:val="Signature"/>
    <w:basedOn w:val="Normal"/>
    <w:link w:val="SignatureChar"/>
    <w:semiHidden/>
    <w:unhideWhenUsed/>
    <w:rsid w:val="00C71D57"/>
    <w:pPr>
      <w:ind w:left="4252"/>
    </w:pPr>
  </w:style>
  <w:style w:type="character" w:customStyle="1" w:styleId="SignatureChar">
    <w:name w:val="Signature Char"/>
    <w:basedOn w:val="DefaultParagraphFont"/>
    <w:link w:val="Signature"/>
    <w:semiHidden/>
    <w:rsid w:val="00C71D57"/>
    <w:rPr>
      <w:rFonts w:eastAsia="Times New Roman"/>
      <w:lang w:val="fr-FR" w:eastAsia="en-US"/>
    </w:rPr>
  </w:style>
  <w:style w:type="character" w:styleId="SmartHyperlink">
    <w:name w:val="Smart Hyperlink"/>
    <w:basedOn w:val="DefaultParagraphFont"/>
    <w:uiPriority w:val="99"/>
    <w:semiHidden/>
    <w:rsid w:val="00C71D57"/>
    <w:rPr>
      <w:u w:val="dotted"/>
      <w:lang w:val="fr-FR"/>
    </w:rPr>
  </w:style>
  <w:style w:type="character" w:styleId="SmartLink">
    <w:name w:val="Smart Link"/>
    <w:basedOn w:val="DefaultParagraphFont"/>
    <w:uiPriority w:val="99"/>
    <w:semiHidden/>
    <w:unhideWhenUsed/>
    <w:rsid w:val="00C71D57"/>
    <w:rPr>
      <w:color w:val="0000FF"/>
      <w:u w:val="single"/>
      <w:shd w:val="clear" w:color="auto" w:fill="F3F2F1"/>
      <w:lang w:val="fr-FR"/>
    </w:rPr>
  </w:style>
  <w:style w:type="character" w:styleId="Strong">
    <w:name w:val="Strong"/>
    <w:basedOn w:val="DefaultParagraphFont"/>
    <w:semiHidden/>
    <w:qFormat/>
    <w:rsid w:val="00C71D57"/>
    <w:rPr>
      <w:b/>
      <w:bCs/>
      <w:lang w:val="fr-FR"/>
    </w:rPr>
  </w:style>
  <w:style w:type="paragraph" w:styleId="Subtitle">
    <w:name w:val="Subtitle"/>
    <w:basedOn w:val="Normal"/>
    <w:next w:val="Normal"/>
    <w:link w:val="SubtitleChar"/>
    <w:semiHidden/>
    <w:qFormat/>
    <w:rsid w:val="00C71D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C71D57"/>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C71D57"/>
    <w:rPr>
      <w:i/>
      <w:iCs/>
      <w:color w:val="404040" w:themeColor="text1" w:themeTint="BF"/>
      <w:lang w:val="fr-FR"/>
    </w:rPr>
  </w:style>
  <w:style w:type="character" w:styleId="SubtleReference">
    <w:name w:val="Subtle Reference"/>
    <w:basedOn w:val="DefaultParagraphFont"/>
    <w:uiPriority w:val="31"/>
    <w:semiHidden/>
    <w:qFormat/>
    <w:rsid w:val="00C71D57"/>
    <w:rPr>
      <w:smallCaps/>
      <w:color w:val="5A5A5A" w:themeColor="text1" w:themeTint="A5"/>
      <w:lang w:val="fr-FR"/>
    </w:rPr>
  </w:style>
  <w:style w:type="table" w:styleId="Table3Deffects1">
    <w:name w:val="Table 3D effects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71D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C71D57"/>
    <w:pPr>
      <w:tabs>
        <w:tab w:val="clear" w:pos="1247"/>
      </w:tabs>
      <w:ind w:left="200" w:hanging="200"/>
    </w:pPr>
  </w:style>
  <w:style w:type="table" w:styleId="TableProfessional">
    <w:name w:val="Table Professional"/>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C71D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C71D57"/>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C71D5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71D57"/>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6A1F5E"/>
  </w:style>
  <w:style w:type="character" w:customStyle="1" w:styleId="CH1Char">
    <w:name w:val="CH1 Char"/>
    <w:link w:val="CH1"/>
    <w:rsid w:val="006A1F5E"/>
    <w:rPr>
      <w:b/>
      <w:sz w:val="28"/>
      <w:szCs w:val="28"/>
    </w:rPr>
  </w:style>
  <w:style w:type="character" w:customStyle="1" w:styleId="CH2Char">
    <w:name w:val="CH2 Char"/>
    <w:link w:val="CH2"/>
    <w:rsid w:val="006A1F5E"/>
    <w:rPr>
      <w:b/>
      <w:sz w:val="24"/>
      <w:szCs w:val="24"/>
    </w:rPr>
  </w:style>
  <w:style w:type="character" w:customStyle="1" w:styleId="BBTitleChar">
    <w:name w:val="BB_Title Char"/>
    <w:link w:val="BBTitle"/>
    <w:rsid w:val="006A1F5E"/>
    <w:rPr>
      <w:b/>
      <w:sz w:val="28"/>
      <w:szCs w:val="28"/>
    </w:rPr>
  </w:style>
  <w:style w:type="paragraph" w:styleId="Revision">
    <w:name w:val="Revision"/>
    <w:hidden/>
    <w:uiPriority w:val="99"/>
    <w:semiHidden/>
    <w:rsid w:val="00616A0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zone.unep.org/countries/additional-reported-information/illegal-trade-decisionxxxi3" TargetMode="External"/><Relationship Id="rId7" Type="http://schemas.openxmlformats.org/officeDocument/2006/relationships/hyperlink" Target="https://ozone.unep.org/system/files/documents/OEWG-45-5-Add-1E.pdf" TargetMode="External"/><Relationship Id="rId2" Type="http://schemas.openxmlformats.org/officeDocument/2006/relationships/hyperlink" Target="https://ozone.unep.org/countries/additional-reported-information/illegal-trade" TargetMode="External"/><Relationship Id="rId1" Type="http://schemas.openxmlformats.org/officeDocument/2006/relationships/hyperlink" Target="https://ozone.unep.org/countries/additional-reported-information/illegal-trade" TargetMode="External"/><Relationship Id="rId6" Type="http://schemas.openxmlformats.org/officeDocument/2006/relationships/hyperlink" Target="https://ozone.unep.org/system/files/documents/OEWG-46-4E.pdf" TargetMode="External"/><Relationship Id="rId5" Type="http://schemas.openxmlformats.org/officeDocument/2006/relationships/hyperlink" Target="https://ozone.unep.org/system/files/documents/OEWG-47-5E.pdf" TargetMode="External"/><Relationship Id="rId4" Type="http://schemas.openxmlformats.org/officeDocument/2006/relationships/hyperlink" Target="https://ozone.unep.org/countries/additional-reported-information/illegal-trade-decisionxxxi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[2026 compilation.xlsx]Sheet2!PivotTable1</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Sheet2!$B$2</c:f>
              <c:strCache>
                <c:ptCount val="1"/>
                <c:pt idx="0">
                  <c:v>Total</c:v>
                </c:pt>
              </c:strCache>
            </c:strRef>
          </c:tx>
          <c:spPr>
            <a:solidFill>
              <a:schemeClr val="accent1"/>
            </a:solidFill>
            <a:ln>
              <a:noFill/>
            </a:ln>
            <a:effectLst/>
          </c:spPr>
          <c:invertIfNegative val="0"/>
          <c:cat>
            <c:strRef>
              <c:f>Sheet2!$A$3:$A$23</c:f>
              <c:strCache>
                <c:ptCount val="20"/>
                <c:pt idx="0">
                  <c:v>2002</c:v>
                </c:pt>
                <c:pt idx="1">
                  <c:v>2003</c:v>
                </c:pt>
                <c:pt idx="2">
                  <c:v>2004</c:v>
                </c:pt>
                <c:pt idx="3">
                  <c:v>2006</c:v>
                </c:pt>
                <c:pt idx="4">
                  <c:v>2007</c:v>
                </c:pt>
                <c:pt idx="5">
                  <c:v>2008</c:v>
                </c:pt>
                <c:pt idx="6">
                  <c:v>2009</c:v>
                </c:pt>
                <c:pt idx="7">
                  <c:v>2010</c:v>
                </c:pt>
                <c:pt idx="8">
                  <c:v>2016</c:v>
                </c:pt>
                <c:pt idx="9">
                  <c:v>2017</c:v>
                </c:pt>
                <c:pt idx="10">
                  <c:v>2018</c:v>
                </c:pt>
                <c:pt idx="11">
                  <c:v>2019</c:v>
                </c:pt>
                <c:pt idx="12">
                  <c:v>2020</c:v>
                </c:pt>
                <c:pt idx="13">
                  <c:v>2021</c:v>
                </c:pt>
                <c:pt idx="14">
                  <c:v>2022</c:v>
                </c:pt>
                <c:pt idx="15">
                  <c:v>2023</c:v>
                </c:pt>
                <c:pt idx="16">
                  <c:v>2024</c:v>
                </c:pt>
                <c:pt idx="17">
                  <c:v>2025</c:v>
                </c:pt>
                <c:pt idx="18">
                  <c:v>2026</c:v>
                </c:pt>
                <c:pt idx="19">
                  <c:v>.</c:v>
                </c:pt>
              </c:strCache>
            </c:strRef>
          </c:cat>
          <c:val>
            <c:numRef>
              <c:f>Sheet2!$B$3:$B$23</c:f>
              <c:numCache>
                <c:formatCode>General</c:formatCode>
                <c:ptCount val="20"/>
                <c:pt idx="0">
                  <c:v>8</c:v>
                </c:pt>
                <c:pt idx="1">
                  <c:v>2</c:v>
                </c:pt>
                <c:pt idx="2">
                  <c:v>19</c:v>
                </c:pt>
                <c:pt idx="3">
                  <c:v>1</c:v>
                </c:pt>
                <c:pt idx="4">
                  <c:v>13</c:v>
                </c:pt>
                <c:pt idx="5">
                  <c:v>19</c:v>
                </c:pt>
                <c:pt idx="6">
                  <c:v>3</c:v>
                </c:pt>
                <c:pt idx="7">
                  <c:v>5</c:v>
                </c:pt>
                <c:pt idx="8">
                  <c:v>15</c:v>
                </c:pt>
                <c:pt idx="9">
                  <c:v>8</c:v>
                </c:pt>
                <c:pt idx="10">
                  <c:v>16</c:v>
                </c:pt>
                <c:pt idx="11">
                  <c:v>98</c:v>
                </c:pt>
                <c:pt idx="12">
                  <c:v>140</c:v>
                </c:pt>
                <c:pt idx="13">
                  <c:v>101</c:v>
                </c:pt>
                <c:pt idx="14">
                  <c:v>36</c:v>
                </c:pt>
                <c:pt idx="15">
                  <c:v>133</c:v>
                </c:pt>
                <c:pt idx="16">
                  <c:v>106</c:v>
                </c:pt>
                <c:pt idx="17">
                  <c:v>247</c:v>
                </c:pt>
                <c:pt idx="18">
                  <c:v>126</c:v>
                </c:pt>
              </c:numCache>
            </c:numRef>
          </c:val>
          <c:extLst>
            <c:ext xmlns:c16="http://schemas.microsoft.com/office/drawing/2014/chart" uri="{C3380CC4-5D6E-409C-BE32-E72D297353CC}">
              <c16:uniqueId val="{00000000-7A79-41B9-8BC6-9DC31AB3B77B}"/>
            </c:ext>
          </c:extLst>
        </c:ser>
        <c:dLbls>
          <c:showLegendKey val="0"/>
          <c:showVal val="0"/>
          <c:showCatName val="0"/>
          <c:showSerName val="0"/>
          <c:showPercent val="0"/>
          <c:showBubbleSize val="0"/>
        </c:dLbls>
        <c:gapWidth val="219"/>
        <c:overlap val="-27"/>
        <c:axId val="1137632639"/>
        <c:axId val="1137631199"/>
      </c:barChart>
      <c:catAx>
        <c:axId val="1137632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1137631199"/>
        <c:crosses val="autoZero"/>
        <c:auto val="1"/>
        <c:lblAlgn val="ctr"/>
        <c:lblOffset val="100"/>
        <c:noMultiLvlLbl val="0"/>
      </c:catAx>
      <c:valAx>
        <c:axId val="1137631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113763263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4">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786100a8-bbaa-48b6-aa10-6d2082f346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49DCCFF06D044688251B3E010FA2BB" ma:contentTypeVersion="17" ma:contentTypeDescription="Create a new document." ma:contentTypeScope="" ma:versionID="a8b78a233c82e8bd58fce03fefa5edb1">
  <xsd:schema xmlns:xsd="http://www.w3.org/2001/XMLSchema" xmlns:xs="http://www.w3.org/2001/XMLSchema" xmlns:p="http://schemas.microsoft.com/office/2006/metadata/properties" xmlns:ns2="786100a8-bbaa-48b6-aa10-6d2082f346b4" xmlns:ns3="25a4600d-fc45-4aed-ad1e-9b44b590e5cc" xmlns:ns4="985ec44e-1bab-4c0b-9df0-6ba128686fc9" targetNamespace="http://schemas.microsoft.com/office/2006/metadata/properties" ma:root="true" ma:fieldsID="7fd6797b6783b67570cc3cfd7dd3ec3e" ns2:_="" ns3:_="" ns4:_="">
    <xsd:import namespace="786100a8-bbaa-48b6-aa10-6d2082f346b4"/>
    <xsd:import namespace="25a4600d-fc45-4aed-ad1e-9b44b590e5cc"/>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100a8-bbaa-48b6-aa10-6d2082f3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a4600d-fc45-4aed-ad1e-9b44b590e5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c2a52b-b236-4f84-9b6f-fba945907974}" ma:internalName="TaxCatchAll" ma:showField="CatchAllData" ma:web="25a4600d-fc45-4aed-ad1e-9b44b590e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786100a8-bbaa-48b6-aa10-6d2082f346b4"/>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DF1E0ABF-371F-4DC7-9AB3-74330521D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100a8-bbaa-48b6-aa10-6d2082f346b4"/>
    <ds:schemaRef ds:uri="25a4600d-fc45-4aed-ad1e-9b44b590e5cc"/>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0</TotalTime>
  <Pages>9</Pages>
  <Words>5054</Words>
  <Characters>28810</Characters>
  <Application>Microsoft Office Word</Application>
  <DocSecurity>0</DocSecurity>
  <PresentationFormat/>
  <Lines>240</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33797</CharactersWithSpaces>
  <SharedDoc>false</SharedDoc>
  <HyperlinkBase/>
  <HLinks>
    <vt:vector size="60" baseType="variant">
      <vt:variant>
        <vt:i4>8126563</vt:i4>
      </vt:variant>
      <vt:variant>
        <vt:i4>18</vt:i4>
      </vt:variant>
      <vt:variant>
        <vt:i4>0</vt:i4>
      </vt:variant>
      <vt:variant>
        <vt:i4>5</vt:i4>
      </vt:variant>
      <vt:variant>
        <vt:lpwstr>https://ozone.unep.org/system/files/documents/OEWG-45-5-Add-1E.pdf</vt:lpwstr>
      </vt:variant>
      <vt:variant>
        <vt:lpwstr/>
      </vt:variant>
      <vt:variant>
        <vt:i4>1572949</vt:i4>
      </vt:variant>
      <vt:variant>
        <vt:i4>15</vt:i4>
      </vt:variant>
      <vt:variant>
        <vt:i4>0</vt:i4>
      </vt:variant>
      <vt:variant>
        <vt:i4>5</vt:i4>
      </vt:variant>
      <vt:variant>
        <vt:lpwstr>https://ozone.unep.org/system/files/documents/OEWG-46-4E.pdf</vt:lpwstr>
      </vt:variant>
      <vt:variant>
        <vt:lpwstr/>
      </vt:variant>
      <vt:variant>
        <vt:i4>1572949</vt:i4>
      </vt:variant>
      <vt:variant>
        <vt:i4>12</vt:i4>
      </vt:variant>
      <vt:variant>
        <vt:i4>0</vt:i4>
      </vt:variant>
      <vt:variant>
        <vt:i4>5</vt:i4>
      </vt:variant>
      <vt:variant>
        <vt:lpwstr>https://ozone.unep.org/system/files/documents/OEWG-47-5E.pdf</vt:lpwstr>
      </vt:variant>
      <vt:variant>
        <vt:lpwstr/>
      </vt:variant>
      <vt:variant>
        <vt:i4>4194333</vt:i4>
      </vt:variant>
      <vt:variant>
        <vt:i4>9</vt:i4>
      </vt:variant>
      <vt:variant>
        <vt:i4>0</vt:i4>
      </vt:variant>
      <vt:variant>
        <vt:i4>5</vt:i4>
      </vt:variant>
      <vt:variant>
        <vt:lpwstr>https://ozone.unep.org/countries/additional-reported-information/illegal-trade-decisionxxxi3</vt:lpwstr>
      </vt:variant>
      <vt:variant>
        <vt:lpwstr/>
      </vt:variant>
      <vt:variant>
        <vt:i4>4194333</vt:i4>
      </vt:variant>
      <vt:variant>
        <vt:i4>6</vt:i4>
      </vt:variant>
      <vt:variant>
        <vt:i4>0</vt:i4>
      </vt:variant>
      <vt:variant>
        <vt:i4>5</vt:i4>
      </vt:variant>
      <vt:variant>
        <vt:lpwstr>https://ozone.unep.org/countries/additional-reported-information/illegal-trade-decisionxxxi3</vt:lpwstr>
      </vt:variant>
      <vt:variant>
        <vt:lpwstr/>
      </vt:variant>
      <vt:variant>
        <vt:i4>6815786</vt:i4>
      </vt:variant>
      <vt:variant>
        <vt:i4>3</vt:i4>
      </vt:variant>
      <vt:variant>
        <vt:i4>0</vt:i4>
      </vt:variant>
      <vt:variant>
        <vt:i4>5</vt:i4>
      </vt:variant>
      <vt:variant>
        <vt:lpwstr>https://ozone.unep.org/countries/additional-reported-information/illegal-trade</vt:lpwstr>
      </vt:variant>
      <vt:variant>
        <vt:lpwstr/>
      </vt:variant>
      <vt:variant>
        <vt:i4>6815786</vt:i4>
      </vt:variant>
      <vt:variant>
        <vt:i4>0</vt:i4>
      </vt:variant>
      <vt:variant>
        <vt:i4>0</vt:i4>
      </vt:variant>
      <vt:variant>
        <vt:i4>5</vt:i4>
      </vt:variant>
      <vt:variant>
        <vt:lpwstr>https://ozone.unep.org/countries/additional-reported-information/illegal-trade</vt:lpwstr>
      </vt:variant>
      <vt:variant>
        <vt:lpwstr/>
      </vt:variant>
      <vt:variant>
        <vt:i4>3014685</vt:i4>
      </vt:variant>
      <vt:variant>
        <vt:i4>6</vt:i4>
      </vt:variant>
      <vt:variant>
        <vt:i4>0</vt:i4>
      </vt:variant>
      <vt:variant>
        <vt:i4>5</vt:i4>
      </vt:variant>
      <vt:variant>
        <vt:lpwstr>https://www.unodc.org/documents/organized-crime/Confiscation_Manual_Ebook_F.pdf</vt:lpwstr>
      </vt:variant>
      <vt:variant>
        <vt:lpwstr/>
      </vt:variant>
      <vt:variant>
        <vt:i4>3407924</vt:i4>
      </vt:variant>
      <vt:variant>
        <vt:i4>3</vt:i4>
      </vt:variant>
      <vt:variant>
        <vt:i4>0</vt:i4>
      </vt:variant>
      <vt:variant>
        <vt:i4>5</vt:i4>
      </vt:variant>
      <vt:variant>
        <vt:lpwstr>https://ozone.unep.org/treaties/montreal-protocol/meetings/thirty-fifth-meeting-parties/decisions/decision-xxxv12-further-strengthening-montreal-protocol-institutions-including-combating-illegal</vt:lpwstr>
      </vt:variant>
      <vt:variant>
        <vt:lpwstr/>
      </vt:variant>
      <vt:variant>
        <vt:i4>5046340</vt:i4>
      </vt:variant>
      <vt:variant>
        <vt:i4>0</vt:i4>
      </vt:variant>
      <vt:variant>
        <vt:i4>0</vt:i4>
      </vt:variant>
      <vt:variant>
        <vt:i4>5</vt:i4>
      </vt:variant>
      <vt:variant>
        <vt:lpwstr>https://ozone.unep.org/treaties/montreal-protocol/meetings/thirty-sixth-meeting-parties/decisions/decision-xxxvi9-further-strengthening-montreal-protocol-institutions-next-steps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Nomeny Rasolomanana</dc:creator>
  <cp:keywords/>
  <dc:description/>
  <cp:lastModifiedBy>Herimalala Raveloarinjato</cp:lastModifiedBy>
  <cp:revision>2</cp:revision>
  <cp:lastPrinted>2026-05-06T12:40:00Z</cp:lastPrinted>
  <dcterms:created xsi:type="dcterms:W3CDTF">2026-06-05T08:37:00Z</dcterms:created>
  <dcterms:modified xsi:type="dcterms:W3CDTF">2026-06-05T08:37:00Z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0x0101001C49DCCFF06D044688251B3E010FA2BB</vt:lpwstr>
  </property>
</Properties>
</file>