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7F5EEB" w:rsidRPr="005D0209" w14:paraId="5BC38EE4" w14:textId="77777777" w:rsidTr="00C00136">
        <w:trPr>
          <w:trHeight w:val="850"/>
        </w:trPr>
        <w:tc>
          <w:tcPr>
            <w:tcW w:w="2693" w:type="dxa"/>
          </w:tcPr>
          <w:p w14:paraId="358A7AA3" w14:textId="77777777" w:rsidR="007F5EEB" w:rsidRPr="005D0209" w:rsidRDefault="007F5EEB" w:rsidP="007F5EEB">
            <w:pPr>
              <w:pStyle w:val="AUnitedNations"/>
              <w:tabs>
                <w:tab w:val="clear" w:pos="624"/>
                <w:tab w:val="clear" w:pos="1871"/>
                <w:tab w:val="clear" w:pos="2495"/>
                <w:tab w:val="clear" w:pos="3119"/>
                <w:tab w:val="clear" w:pos="3742"/>
                <w:tab w:val="clear" w:pos="4366"/>
                <w:tab w:val="clear" w:pos="4990"/>
              </w:tabs>
            </w:pPr>
            <w:r w:rsidRPr="005D0209">
              <w:t xml:space="preserve">ОРГАНИЗАЦИЯ </w:t>
            </w:r>
            <w:r w:rsidRPr="005D0209">
              <w:br/>
              <w:t xml:space="preserve">ОБЪЕДИНЕННЫХ </w:t>
            </w:r>
            <w:r w:rsidRPr="005D0209">
              <w:br/>
              <w:t>НАЦИЙ</w:t>
            </w:r>
          </w:p>
        </w:tc>
        <w:tc>
          <w:tcPr>
            <w:tcW w:w="6520" w:type="dxa"/>
          </w:tcPr>
          <w:p w14:paraId="1C8F90D0" w14:textId="77777777" w:rsidR="007F5EEB" w:rsidRPr="005D0209" w:rsidRDefault="007F5EEB" w:rsidP="007F5EEB">
            <w:pPr>
              <w:pStyle w:val="Normal-pool"/>
              <w:tabs>
                <w:tab w:val="clear" w:pos="624"/>
                <w:tab w:val="clear" w:pos="1247"/>
                <w:tab w:val="clear" w:pos="1871"/>
                <w:tab w:val="clear" w:pos="2495"/>
                <w:tab w:val="clear" w:pos="3119"/>
                <w:tab w:val="clear" w:pos="3742"/>
                <w:tab w:val="clear" w:pos="4366"/>
                <w:tab w:val="clear" w:pos="4990"/>
              </w:tabs>
            </w:pPr>
            <w:r w:rsidRPr="005D0209">
              <w:rPr>
                <w:noProof/>
              </w:rPr>
              <w:drawing>
                <wp:anchor distT="0" distB="0" distL="114300" distR="114300" simplePos="0" relativeHeight="251660288" behindDoc="0" locked="0" layoutInCell="1" allowOverlap="1" wp14:anchorId="4D8E7AB7" wp14:editId="6E06A50E">
                  <wp:simplePos x="0" y="0"/>
                  <wp:positionH relativeFrom="column">
                    <wp:posOffset>-635</wp:posOffset>
                  </wp:positionH>
                  <wp:positionV relativeFrom="paragraph">
                    <wp:posOffset>-1270</wp:posOffset>
                  </wp:positionV>
                  <wp:extent cx="1269153" cy="573559"/>
                  <wp:effectExtent l="0" t="0" r="0" b="0"/>
                  <wp:wrapNone/>
                  <wp:docPr id="168409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9745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4AB34DFC" w14:textId="77777777" w:rsidR="007F5EEB" w:rsidRPr="005D0209" w:rsidRDefault="007F5EEB" w:rsidP="007F5EEB">
            <w:pPr>
              <w:pStyle w:val="Normal-pool"/>
              <w:tabs>
                <w:tab w:val="clear" w:pos="624"/>
                <w:tab w:val="clear" w:pos="1247"/>
                <w:tab w:val="clear" w:pos="1871"/>
                <w:tab w:val="clear" w:pos="2495"/>
                <w:tab w:val="clear" w:pos="3119"/>
                <w:tab w:val="clear" w:pos="3742"/>
                <w:tab w:val="clear" w:pos="4366"/>
                <w:tab w:val="clear" w:pos="4990"/>
              </w:tabs>
            </w:pPr>
          </w:p>
        </w:tc>
      </w:tr>
    </w:tbl>
    <w:p w14:paraId="784DB291" w14:textId="77777777" w:rsidR="007F5EEB" w:rsidRPr="005D0209" w:rsidRDefault="007F5EEB" w:rsidP="007F5EE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7F5EEB" w:rsidRPr="005D0209" w14:paraId="6B92A97E" w14:textId="77777777" w:rsidTr="00C00136">
        <w:trPr>
          <w:trHeight w:val="340"/>
        </w:trPr>
        <w:tc>
          <w:tcPr>
            <w:tcW w:w="3358" w:type="pct"/>
            <w:vAlign w:val="bottom"/>
          </w:tcPr>
          <w:p w14:paraId="57C85A89" w14:textId="77777777" w:rsidR="007F5EEB" w:rsidRPr="005D0209" w:rsidRDefault="007F5EEB" w:rsidP="007F5EE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3C462F55" w14:textId="170619E6" w:rsidR="007F5EEB" w:rsidRPr="005D0209" w:rsidRDefault="007F5EEB" w:rsidP="007F5EEB">
            <w:pPr>
              <w:pStyle w:val="ASymbol"/>
              <w:tabs>
                <w:tab w:val="clear" w:pos="1871"/>
                <w:tab w:val="clear" w:pos="2495"/>
                <w:tab w:val="clear" w:pos="2920"/>
                <w:tab w:val="clear" w:pos="3119"/>
                <w:tab w:val="clear" w:pos="3742"/>
                <w:tab w:val="clear" w:pos="4366"/>
                <w:tab w:val="clear" w:pos="4990"/>
              </w:tabs>
            </w:pPr>
            <w:r w:rsidRPr="005D0209">
              <w:rPr>
                <w:b/>
                <w:sz w:val="28"/>
              </w:rPr>
              <w:t>UNEP</w:t>
            </w:r>
            <w:r w:rsidRPr="005D0209">
              <w:t>/OzL.Pro.WG.1/48/</w:t>
            </w:r>
            <w:r>
              <w:t>3</w:t>
            </w:r>
          </w:p>
        </w:tc>
      </w:tr>
    </w:tbl>
    <w:p w14:paraId="747D29E7" w14:textId="77777777" w:rsidR="007F5EEB" w:rsidRPr="005D0209" w:rsidRDefault="007F5EEB" w:rsidP="007F5EE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7F5EEB" w:rsidRPr="005358A2" w14:paraId="078BA82C" w14:textId="77777777" w:rsidTr="00C00136">
        <w:trPr>
          <w:trHeight w:val="2098"/>
        </w:trPr>
        <w:tc>
          <w:tcPr>
            <w:tcW w:w="5386" w:type="dxa"/>
          </w:tcPr>
          <w:p w14:paraId="00BD68C0" w14:textId="77777777" w:rsidR="007F5EEB" w:rsidRPr="007F5EEB" w:rsidRDefault="007F5EEB" w:rsidP="007F5EEB">
            <w:pPr>
              <w:pStyle w:val="AConvName"/>
              <w:tabs>
                <w:tab w:val="clear" w:pos="624"/>
                <w:tab w:val="clear" w:pos="1247"/>
                <w:tab w:val="clear" w:pos="1871"/>
                <w:tab w:val="clear" w:pos="2495"/>
                <w:tab w:val="clear" w:pos="3119"/>
                <w:tab w:val="clear" w:pos="3742"/>
                <w:tab w:val="clear" w:pos="4366"/>
                <w:tab w:val="clear" w:pos="4990"/>
              </w:tabs>
              <w:rPr>
                <w:lang w:val="ru-RU"/>
              </w:rPr>
            </w:pPr>
            <w:r w:rsidRPr="007F5EEB">
              <w:rPr>
                <w:lang w:val="ru-RU"/>
              </w:rPr>
              <w:t xml:space="preserve">Монреальский протокол </w:t>
            </w:r>
            <w:r w:rsidRPr="007F5EEB">
              <w:rPr>
                <w:lang w:val="ru-RU"/>
              </w:rPr>
              <w:br/>
              <w:t xml:space="preserve">по веществам, разрушающим </w:t>
            </w:r>
            <w:r w:rsidRPr="007F5EEB">
              <w:rPr>
                <w:lang w:val="ru-RU"/>
              </w:rPr>
              <w:br/>
              <w:t>озоновый слой</w:t>
            </w:r>
          </w:p>
        </w:tc>
        <w:tc>
          <w:tcPr>
            <w:tcW w:w="992" w:type="dxa"/>
          </w:tcPr>
          <w:p w14:paraId="7D683B87" w14:textId="77777777" w:rsidR="007F5EEB" w:rsidRPr="007F5EEB" w:rsidRDefault="007F5EEB" w:rsidP="007F5EEB">
            <w:pPr>
              <w:pStyle w:val="Normal-pool"/>
              <w:tabs>
                <w:tab w:val="clear" w:pos="624"/>
                <w:tab w:val="clear" w:pos="1247"/>
                <w:tab w:val="clear" w:pos="1871"/>
                <w:tab w:val="clear" w:pos="2495"/>
                <w:tab w:val="clear" w:pos="3119"/>
                <w:tab w:val="clear" w:pos="3742"/>
                <w:tab w:val="clear" w:pos="4366"/>
                <w:tab w:val="clear" w:pos="4990"/>
              </w:tabs>
              <w:rPr>
                <w:lang w:val="ru-RU"/>
              </w:rPr>
            </w:pPr>
          </w:p>
        </w:tc>
        <w:tc>
          <w:tcPr>
            <w:tcW w:w="3118" w:type="dxa"/>
          </w:tcPr>
          <w:p w14:paraId="22C0A993" w14:textId="77777777" w:rsidR="007F5EEB" w:rsidRPr="005358A2" w:rsidRDefault="007F5EEB" w:rsidP="007F5EEB">
            <w:pPr>
              <w:pStyle w:val="AText"/>
              <w:tabs>
                <w:tab w:val="clear" w:pos="624"/>
                <w:tab w:val="clear" w:pos="1247"/>
                <w:tab w:val="clear" w:pos="1871"/>
                <w:tab w:val="clear" w:pos="2495"/>
                <w:tab w:val="clear" w:pos="3119"/>
                <w:tab w:val="clear" w:pos="3742"/>
                <w:tab w:val="clear" w:pos="4366"/>
                <w:tab w:val="clear" w:pos="4990"/>
              </w:tabs>
            </w:pPr>
            <w:r w:rsidRPr="005358A2">
              <w:t xml:space="preserve">Distr.: General </w:t>
            </w:r>
          </w:p>
          <w:p w14:paraId="54363143" w14:textId="2198C867" w:rsidR="007F5EEB" w:rsidRPr="005358A2" w:rsidRDefault="007F5EEB" w:rsidP="007F5EEB">
            <w:pPr>
              <w:pStyle w:val="AText0"/>
              <w:tabs>
                <w:tab w:val="clear" w:pos="624"/>
                <w:tab w:val="clear" w:pos="1247"/>
                <w:tab w:val="clear" w:pos="1871"/>
                <w:tab w:val="clear" w:pos="2495"/>
                <w:tab w:val="clear" w:pos="3119"/>
                <w:tab w:val="clear" w:pos="3742"/>
                <w:tab w:val="clear" w:pos="4366"/>
              </w:tabs>
            </w:pPr>
            <w:r>
              <w:t>27 April 2026</w:t>
            </w:r>
          </w:p>
          <w:p w14:paraId="3E0CAE68" w14:textId="77777777" w:rsidR="007F5EEB" w:rsidRPr="005358A2" w:rsidRDefault="007F5EEB" w:rsidP="007F5EEB">
            <w:pPr>
              <w:pStyle w:val="AText"/>
              <w:tabs>
                <w:tab w:val="clear" w:pos="624"/>
                <w:tab w:val="clear" w:pos="1247"/>
                <w:tab w:val="clear" w:pos="1871"/>
                <w:tab w:val="clear" w:pos="2495"/>
                <w:tab w:val="clear" w:pos="3119"/>
                <w:tab w:val="clear" w:pos="3742"/>
                <w:tab w:val="clear" w:pos="4366"/>
                <w:tab w:val="clear" w:pos="4990"/>
              </w:tabs>
            </w:pPr>
            <w:r w:rsidRPr="005358A2">
              <w:t xml:space="preserve">Russian </w:t>
            </w:r>
            <w:r w:rsidRPr="005358A2">
              <w:br/>
              <w:t>Original: English</w:t>
            </w:r>
          </w:p>
        </w:tc>
      </w:tr>
    </w:tbl>
    <w:p w14:paraId="13BF520A" w14:textId="77777777" w:rsidR="007F5EEB" w:rsidRPr="005358A2" w:rsidRDefault="007F5EEB" w:rsidP="007F5EE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F5EEB" w:rsidRPr="00FC2223" w14:paraId="1585EAD4" w14:textId="77777777" w:rsidTr="00C00136">
        <w:trPr>
          <w:trHeight w:val="57"/>
        </w:trPr>
        <w:tc>
          <w:tcPr>
            <w:tcW w:w="5301" w:type="dxa"/>
          </w:tcPr>
          <w:p w14:paraId="2DBB09FF" w14:textId="77777777" w:rsidR="007F5EEB" w:rsidRPr="007F5EEB" w:rsidRDefault="007F5EEB" w:rsidP="007F5EE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7F5EEB">
              <w:rPr>
                <w:lang w:val="ru-RU"/>
              </w:rPr>
              <w:t xml:space="preserve">Рабочая группа открытого состава Сторон </w:t>
            </w:r>
            <w:r w:rsidRPr="007F5EEB">
              <w:rPr>
                <w:lang w:val="ru-RU"/>
              </w:rPr>
              <w:br/>
              <w:t xml:space="preserve">Монреальского протокола по веществам, </w:t>
            </w:r>
            <w:r w:rsidRPr="007F5EEB">
              <w:rPr>
                <w:lang w:val="ru-RU"/>
              </w:rPr>
              <w:br/>
              <w:t xml:space="preserve">разрушающим озоновый слой </w:t>
            </w:r>
          </w:p>
          <w:p w14:paraId="7B7B5699" w14:textId="77777777" w:rsidR="007F5EEB" w:rsidRPr="007F5EEB" w:rsidRDefault="007F5EEB" w:rsidP="007F5EE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7F5EEB">
              <w:rPr>
                <w:lang w:val="ru-RU"/>
              </w:rPr>
              <w:t xml:space="preserve">Сорок восьмое совещание </w:t>
            </w:r>
          </w:p>
          <w:p w14:paraId="45B6190D" w14:textId="77777777" w:rsidR="007F5EEB" w:rsidRPr="007F5EEB" w:rsidRDefault="007F5EEB" w:rsidP="007F5EEB">
            <w:pPr>
              <w:pStyle w:val="AATitle1"/>
              <w:tabs>
                <w:tab w:val="clear" w:pos="624"/>
                <w:tab w:val="clear" w:pos="1247"/>
                <w:tab w:val="clear" w:pos="1871"/>
                <w:tab w:val="clear" w:pos="2495"/>
                <w:tab w:val="clear" w:pos="3119"/>
                <w:tab w:val="clear" w:pos="3742"/>
                <w:tab w:val="clear" w:pos="4366"/>
                <w:tab w:val="clear" w:pos="4990"/>
              </w:tabs>
              <w:rPr>
                <w:lang w:val="ru-RU"/>
              </w:rPr>
            </w:pPr>
            <w:r w:rsidRPr="007F5EEB">
              <w:rPr>
                <w:lang w:val="ru-RU"/>
              </w:rPr>
              <w:t xml:space="preserve">Бангкок, 13–17 июля 2026 года </w:t>
            </w:r>
          </w:p>
          <w:p w14:paraId="4B5E01F5" w14:textId="77777777" w:rsidR="007F5EEB" w:rsidRPr="003206C9" w:rsidRDefault="007F5EEB" w:rsidP="007F5EEB">
            <w:pPr>
              <w:pStyle w:val="AATitle1"/>
              <w:tabs>
                <w:tab w:val="clear" w:pos="624"/>
                <w:tab w:val="clear" w:pos="1247"/>
                <w:tab w:val="clear" w:pos="1871"/>
                <w:tab w:val="clear" w:pos="2495"/>
                <w:tab w:val="clear" w:pos="3119"/>
                <w:tab w:val="clear" w:pos="3742"/>
                <w:tab w:val="clear" w:pos="4366"/>
                <w:tab w:val="clear" w:pos="4990"/>
              </w:tabs>
              <w:rPr>
                <w:rFonts w:eastAsiaTheme="minorEastAsia"/>
                <w:lang w:val="ru-RU"/>
              </w:rPr>
            </w:pPr>
            <w:r>
              <w:rPr>
                <w:color w:val="000000"/>
                <w:lang w:val="ru-RU"/>
              </w:rPr>
              <w:t>Пункт 7 предварительной повестки дня</w:t>
            </w:r>
            <w:r w:rsidRPr="00AA51E1">
              <w:rPr>
                <w:bCs/>
                <w:color w:val="000000"/>
                <w:lang w:val="ru-RU"/>
              </w:rPr>
              <w:footnoteReference w:customMarkFollows="1" w:id="2"/>
              <w:t>*</w:t>
            </w:r>
            <w:r>
              <w:rPr>
                <w:color w:val="000000"/>
                <w:lang w:val="ru-RU"/>
              </w:rPr>
              <w:t xml:space="preserve"> </w:t>
            </w:r>
          </w:p>
          <w:p w14:paraId="7766C9E4" w14:textId="707DE1C7" w:rsidR="007F5EEB" w:rsidRPr="007F5EEB" w:rsidRDefault="007F5EEB" w:rsidP="007F5EEB">
            <w:pPr>
              <w:pStyle w:val="AATitle2"/>
              <w:tabs>
                <w:tab w:val="clear" w:pos="624"/>
                <w:tab w:val="clear" w:pos="1247"/>
                <w:tab w:val="clear" w:pos="1871"/>
                <w:tab w:val="clear" w:pos="2495"/>
                <w:tab w:val="clear" w:pos="3119"/>
                <w:tab w:val="clear" w:pos="3742"/>
                <w:tab w:val="clear" w:pos="4366"/>
              </w:tabs>
              <w:rPr>
                <w:lang w:val="ru-RU"/>
              </w:rPr>
            </w:pPr>
            <w:r>
              <w:rPr>
                <w:bCs/>
                <w:color w:val="000000"/>
                <w:lang w:val="ru-RU"/>
              </w:rPr>
              <w:t>Дальнейшее укрепление учреждений Монреальского протокола</w:t>
            </w:r>
          </w:p>
        </w:tc>
        <w:tc>
          <w:tcPr>
            <w:tcW w:w="4195" w:type="dxa"/>
          </w:tcPr>
          <w:p w14:paraId="3D5C35BA" w14:textId="77777777" w:rsidR="007F5EEB" w:rsidRPr="007F5EEB" w:rsidRDefault="007F5EEB" w:rsidP="007F5EE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7BE78822" w14:textId="77777777" w:rsidR="006A1F5E" w:rsidRPr="003206C9" w:rsidRDefault="006A1F5E" w:rsidP="007F5EE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Свод представленной Сторонами информации о незаконной торговле регулируемыми веществами и обобщение передовых методов</w:t>
      </w:r>
    </w:p>
    <w:p w14:paraId="7C5E8BDD" w14:textId="570AFDDD" w:rsidR="006A1F5E" w:rsidRPr="00694025" w:rsidRDefault="006A1F5E" w:rsidP="007F5EEB">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pPr>
      <w:r>
        <w:rPr>
          <w:bCs/>
          <w:lang w:val="ru-RU"/>
        </w:rPr>
        <w:t>Записка секретариата</w:t>
      </w:r>
    </w:p>
    <w:p w14:paraId="5228A5E1" w14:textId="691FDB18" w:rsidR="006A1F5E" w:rsidRPr="00387C03" w:rsidRDefault="007F5EEB" w:rsidP="007F5EEB">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en-US"/>
        </w:rPr>
        <w:tab/>
      </w:r>
      <w:r w:rsidR="006A1F5E">
        <w:rPr>
          <w:bCs/>
          <w:lang w:val="ru-RU"/>
        </w:rPr>
        <w:t>I.</w:t>
      </w:r>
      <w:r w:rsidR="006A1F5E">
        <w:rPr>
          <w:lang w:val="ru-RU"/>
        </w:rPr>
        <w:tab/>
      </w:r>
      <w:r w:rsidR="006A1F5E">
        <w:rPr>
          <w:bCs/>
          <w:lang w:val="ru-RU"/>
        </w:rPr>
        <w:t>Введение</w:t>
      </w:r>
    </w:p>
    <w:p w14:paraId="7C7087AB" w14:textId="7F67B80A"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 настоящей записк</w:t>
      </w:r>
      <w:r w:rsidR="00E01E81">
        <w:rPr>
          <w:lang w:val="ru-RU"/>
        </w:rPr>
        <w:t>е</w:t>
      </w:r>
      <w:r>
        <w:rPr>
          <w:lang w:val="ru-RU"/>
        </w:rPr>
        <w:t xml:space="preserve"> приводится обновленная информация для документа с тем же названием (UNEP/OzL.Pro.WG.1/47/5), подготовленного в соответствии с пунктом 3 решения</w:t>
      </w:r>
      <w:r w:rsidR="007F5EEB">
        <w:rPr>
          <w:lang w:val="en-US"/>
        </w:rPr>
        <w:t> </w:t>
      </w:r>
      <w:r>
        <w:rPr>
          <w:lang w:val="ru-RU"/>
        </w:rPr>
        <w:t xml:space="preserve">XXXVI/9. В этом решении тридцать шестое Совещание Сторон Монреальского протокола по веществам, разрушающим озоновый слой, поручило секретариату по озону обобщить информацию, представленную Сторонами в соответствии с решением XXXV/12, о дальнейшем укреплении учреждений Монреальского протокола, в том числе в целях борьбы с незаконной торговлей, и обобщить передовые методы предотвращения незаконной торговли регулируемыми веществами для рассмотрения тридцать </w:t>
      </w:r>
      <w:r w:rsidR="00FC2223">
        <w:rPr>
          <w:lang w:val="ru-RU"/>
        </w:rPr>
        <w:t>седьмым</w:t>
      </w:r>
      <w:r>
        <w:rPr>
          <w:lang w:val="ru-RU"/>
        </w:rPr>
        <w:t xml:space="preserve"> Совещанием Сторон. Документ UNEP/OzL.Pro.WG.1/47/5 имелся в наличии до начала сорок седьмого заседания Рабочей группы открытого состава Сторон Протокола. В настоящей записке учитывается информация, полученная от Сторон после 22 апреля 2025 года, и </w:t>
      </w:r>
      <w:r w:rsidR="002065CD">
        <w:rPr>
          <w:lang w:val="ru-RU"/>
        </w:rPr>
        <w:t>она</w:t>
      </w:r>
      <w:r w:rsidR="002065CD" w:rsidRPr="001E1C9C">
        <w:rPr>
          <w:lang w:val="ru-RU"/>
        </w:rPr>
        <w:t xml:space="preserve"> </w:t>
      </w:r>
      <w:r>
        <w:rPr>
          <w:lang w:val="ru-RU"/>
        </w:rPr>
        <w:t xml:space="preserve">является ответом на поручение, содержащееся в пункте 2 решения XXXV/12, секретариату представить до сорок шестого совещания Рабочей группы открытого состава и в дальнейшем ежегодно представлять свод информации, полученной от Сторон в соответствии с пунктом 1 решения XXXV/12, а также в соответствии с решением XXXIV/8. </w:t>
      </w:r>
    </w:p>
    <w:p w14:paraId="0411B0A6" w14:textId="47B52572"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 решении XXXV/12 тридцать пятое Совещание Сторон ссылается на решения XIV/7, XXXI/3 и XXXIV/8 и в пункте 1 призывает Стороны содействовать обмену информацией о передовых методах предотвращения незаконной торговли регулируемыми веществами и информировать секретариат о методах, используемых субъектами, пытающимися осуществить несанкционированный импорт регулируемых веществ, к которым могут относиться неправильная маркировка контейнеров, содержащих регулируемые вещества, или неправильное указание регулируемых веществ в таможенных декларациях.</w:t>
      </w:r>
    </w:p>
    <w:p w14:paraId="35B277CB" w14:textId="1C08F65B"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 xml:space="preserve">При подготовке настоящей записки секретариатом были рассмотрены все случаи незаконной торговли, о которых Стороны сообщали на добровольной основе в течение многих </w:t>
      </w:r>
      <w:r>
        <w:rPr>
          <w:lang w:val="ru-RU"/>
        </w:rPr>
        <w:lastRenderedPageBreak/>
        <w:t>лет в ответ на предыдущие решения по этому вопросу, а именно решения XIV/7, XXXI/3 и XXXIV/8. В этих решениях Совещания Сторон подчеркнули важность улучшения мониторинга и предотвращения незаконной торговли регулируемыми веществами путем представления в секретариат информации о полностью доказанных случаях, обмена информацией о мерах обеспечения соблюдения и известных причинах незаконного производства, а также путем содействия обмену информацией между Сторонами. В пункте 3 решения XXXIV/8 тридцать четвертое Совещание Сторон также призвало Стороны предоставлять дополнительную информацию о случаях незаконной торговли в той мере, в которой они в состоянии это сделать. Секретариату было поручено собирать и распространять такую информацию в целях содействия обеспечению соблюдения и своевременному поэтапному отказу от применения регулируемых веществ.</w:t>
      </w:r>
    </w:p>
    <w:p w14:paraId="1AAA7606" w14:textId="5BF9B480"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Все 1107</w:t>
      </w:r>
      <w:r w:rsidRPr="00B436D1">
        <w:rPr>
          <w:rStyle w:val="FootnoteReference"/>
          <w:lang w:val="ru-RU"/>
        </w:rPr>
        <w:footnoteReference w:id="3"/>
      </w:r>
      <w:r>
        <w:rPr>
          <w:lang w:val="ru-RU"/>
        </w:rPr>
        <w:t xml:space="preserve"> сообщений о незаконной торговле, полученные секретариатом</w:t>
      </w:r>
      <w:r w:rsidR="00754F75">
        <w:rPr>
          <w:lang w:val="ru-RU"/>
        </w:rPr>
        <w:t xml:space="preserve"> по состоянию</w:t>
      </w:r>
      <w:r>
        <w:rPr>
          <w:lang w:val="ru-RU"/>
        </w:rPr>
        <w:t xml:space="preserve"> на дату настоящей записки, внесены в онлайновую базу данных о случаях незаконной торговли</w:t>
      </w:r>
      <w:r w:rsidRPr="00B436D1">
        <w:rPr>
          <w:rStyle w:val="FootnoteReference"/>
          <w:lang w:val="ru-RU"/>
        </w:rPr>
        <w:footnoteReference w:id="4"/>
      </w:r>
      <w:r>
        <w:rPr>
          <w:lang w:val="ru-RU"/>
        </w:rPr>
        <w:t>. Из числа Сторон, сообщивших в секретариат об отсутствии у них случаев незаконной торговли, две Стороны предоставили дополнительную информацию о мерах по предотвращению и пресечению такой торговли, и эта информация была учтена при подготовке настоящей записки.</w:t>
      </w:r>
    </w:p>
    <w:p w14:paraId="187E7E67" w14:textId="459F9C2A"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 соответствии с решением XXXI/3 о непредвиденных выбросах ХФУ-11 и институциональных процессах, которые необходимо усовершенствовать для повышения эффективности осуществления Монреальского протокола и обеспечения его соблюдения, Стороны сообщают о случаях незаконного производства и потребления регулируемых веществ. Все 31 случа</w:t>
      </w:r>
      <w:r w:rsidR="004D1449">
        <w:rPr>
          <w:lang w:val="ru-RU"/>
        </w:rPr>
        <w:t>я</w:t>
      </w:r>
      <w:r>
        <w:rPr>
          <w:lang w:val="ru-RU"/>
        </w:rPr>
        <w:t>, сведения о которых представлены в соответствии с этим решением, имеются в отдельной онлайновой базе данных</w:t>
      </w:r>
      <w:r w:rsidRPr="004B6172">
        <w:rPr>
          <w:vertAlign w:val="superscript"/>
          <w:lang w:val="ru-RU"/>
        </w:rPr>
        <w:footnoteReference w:id="5"/>
      </w:r>
      <w:r>
        <w:rPr>
          <w:lang w:val="ru-RU"/>
        </w:rPr>
        <w:t xml:space="preserve"> и также включены в нижеследующий свод.</w:t>
      </w:r>
    </w:p>
    <w:p w14:paraId="47C3EE10" w14:textId="2A71E98A"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Во избежание дублирования в настоящей записке используются материалы предыдущих записок, подготовленных секретариатом в связи с информацией, представленной Сторонами о незаконной торговле регулируемыми веществами</w:t>
      </w:r>
      <w:r w:rsidRPr="00984F92">
        <w:rPr>
          <w:vertAlign w:val="superscript"/>
          <w:lang w:val="ru-RU"/>
        </w:rPr>
        <w:footnoteReference w:id="6"/>
      </w:r>
      <w:r>
        <w:rPr>
          <w:lang w:val="ru-RU"/>
        </w:rPr>
        <w:t>.</w:t>
      </w:r>
    </w:p>
    <w:p w14:paraId="4290C1F1" w14:textId="7BF0B59C" w:rsidR="006A1F5E" w:rsidRPr="00863BBD" w:rsidRDefault="006A1F5E" w:rsidP="007F5EEB">
      <w:pPr>
        <w:pStyle w:val="Normalnumber"/>
        <w:tabs>
          <w:tab w:val="clear" w:pos="1247"/>
          <w:tab w:val="clear" w:pos="1814"/>
          <w:tab w:val="clear" w:pos="2381"/>
          <w:tab w:val="clear" w:pos="2948"/>
          <w:tab w:val="clear" w:pos="3515"/>
        </w:tabs>
        <w:rPr>
          <w:lang w:val="ru-RU"/>
        </w:rPr>
      </w:pPr>
      <w:r>
        <w:rPr>
          <w:lang w:val="ru-RU"/>
        </w:rPr>
        <w:t>В разделе II представлен обзор заявленных случаев незаконной торговли регулируемыми веществами, в</w:t>
      </w:r>
      <w:r w:rsidR="00AF79C5">
        <w:rPr>
          <w:lang w:val="ru-RU"/>
        </w:rPr>
        <w:t>ключая</w:t>
      </w:r>
      <w:r>
        <w:rPr>
          <w:lang w:val="ru-RU"/>
        </w:rPr>
        <w:t xml:space="preserve"> 31 случай незаконного производства и потребления, и выделены периодические закономерности в такой торговле, включая число заявленных случаев, вещества, которые чаще всего становятся объектом незаконного оборота, и способы незаконной торговли. Также представлено обобщение методов, используемых национальными органами для выявления незаконной торговли, правоприменения и ликвидации изъятых веществ.</w:t>
      </w:r>
    </w:p>
    <w:p w14:paraId="466D0421" w14:textId="41D66BE4" w:rsidR="006A1F5E" w:rsidRPr="003206C9" w:rsidRDefault="006A1F5E" w:rsidP="001B749B">
      <w:pPr>
        <w:pStyle w:val="Normalnumber"/>
        <w:tabs>
          <w:tab w:val="clear" w:pos="1247"/>
          <w:tab w:val="clear" w:pos="1814"/>
          <w:tab w:val="clear" w:pos="2381"/>
          <w:tab w:val="clear" w:pos="2948"/>
          <w:tab w:val="clear" w:pos="3515"/>
        </w:tabs>
        <w:spacing w:after="240"/>
        <w:rPr>
          <w:lang w:val="ru-RU"/>
        </w:rPr>
      </w:pPr>
      <w:r>
        <w:rPr>
          <w:lang w:val="ru-RU"/>
        </w:rPr>
        <w:t>В разделе III приводится краткое изложение примечательных передовых методов в области предупреждения и пресечения незаконной торговли регулируемыми веществами, а также ряд примеров, касающихся незаконного производства и потребления, выявленных в 321</w:t>
      </w:r>
      <w:r w:rsidR="001B749B">
        <w:rPr>
          <w:lang w:val="ru-RU"/>
        </w:rPr>
        <w:t> </w:t>
      </w:r>
      <w:r>
        <w:rPr>
          <w:lang w:val="ru-RU"/>
        </w:rPr>
        <w:t>случае, заявленном начиная с 22 апреля 2025 года, в дополнение к уже указанным в предыдущих записках по этому вопросу.</w:t>
      </w:r>
    </w:p>
    <w:p w14:paraId="5F444E10" w14:textId="54B4CF44" w:rsidR="006A1F5E" w:rsidRPr="003206C9" w:rsidRDefault="001B749B" w:rsidP="007F5EE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6A1F5E">
        <w:rPr>
          <w:bCs/>
          <w:lang w:val="ru-RU"/>
        </w:rPr>
        <w:t>II.</w:t>
      </w:r>
      <w:r w:rsidR="006A1F5E">
        <w:rPr>
          <w:lang w:val="ru-RU"/>
        </w:rPr>
        <w:tab/>
      </w:r>
      <w:r w:rsidR="006A1F5E">
        <w:rPr>
          <w:bCs/>
          <w:lang w:val="ru-RU"/>
        </w:rPr>
        <w:t>Свод информации о заявленных случаях незаконной торговли и обобщение передовых методов</w:t>
      </w:r>
    </w:p>
    <w:p w14:paraId="5A73A11D" w14:textId="37804FE7" w:rsidR="006A1F5E" w:rsidRPr="003206C9" w:rsidRDefault="001B749B" w:rsidP="007F5EEB">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6A1F5E">
        <w:rPr>
          <w:bCs/>
          <w:lang w:val="ru-RU"/>
        </w:rPr>
        <w:t>A.</w:t>
      </w:r>
      <w:r w:rsidR="006A1F5E">
        <w:rPr>
          <w:lang w:val="ru-RU"/>
        </w:rPr>
        <w:tab/>
      </w:r>
      <w:r w:rsidR="006A1F5E">
        <w:rPr>
          <w:bCs/>
          <w:lang w:val="ru-RU"/>
        </w:rPr>
        <w:t>Число заявленных случаев незаконного импорта и экспорта регулируемых веществ</w:t>
      </w:r>
    </w:p>
    <w:p w14:paraId="20F8C58E" w14:textId="30869431" w:rsidR="006A1F5E" w:rsidRPr="00863BBD" w:rsidRDefault="006A1F5E" w:rsidP="007F5EEB">
      <w:pPr>
        <w:pStyle w:val="Normalnumber"/>
        <w:tabs>
          <w:tab w:val="clear" w:pos="1247"/>
          <w:tab w:val="clear" w:pos="1814"/>
          <w:tab w:val="clear" w:pos="2381"/>
          <w:tab w:val="clear" w:pos="2948"/>
          <w:tab w:val="clear" w:pos="3515"/>
        </w:tabs>
        <w:rPr>
          <w:lang w:val="ru-RU"/>
        </w:rPr>
      </w:pPr>
      <w:r>
        <w:rPr>
          <w:lang w:val="ru-RU"/>
        </w:rPr>
        <w:t>По состоянию на 27 апреля 2026 года база данных о незаконной торговле веществами (импорт и экспорт), регулируемыми в рамках Монреальского протокола, содержала 1107</w:t>
      </w:r>
      <w:r w:rsidR="001B749B">
        <w:rPr>
          <w:lang w:val="ru-RU"/>
        </w:rPr>
        <w:t> </w:t>
      </w:r>
      <w:r>
        <w:rPr>
          <w:lang w:val="ru-RU"/>
        </w:rPr>
        <w:t xml:space="preserve">случаев. В предыдущей записке о незаконной торговле (UNEP/OzL.Pro.WG.1/47/5) указывалось 786 случаев, заявленных в период с 2002 года по апрель 2025 года. В период с апреля 2025 года по апрель 2026 года 18 Сторон (включая </w:t>
      </w:r>
      <w:r w:rsidR="003F0AEC">
        <w:rPr>
          <w:lang w:val="ru-RU"/>
        </w:rPr>
        <w:t>2</w:t>
      </w:r>
      <w:r>
        <w:rPr>
          <w:lang w:val="ru-RU"/>
        </w:rPr>
        <w:t xml:space="preserve"> Стороны, сделавшие это впервые) на добровольной основе сообщили о 321 новом случае незаконной торговли регулируемыми веществами. Еще 10 Сторон указали, что у них не имелось случаев незаконной торговли, о </w:t>
      </w:r>
      <w:r>
        <w:rPr>
          <w:lang w:val="ru-RU"/>
        </w:rPr>
        <w:lastRenderedPageBreak/>
        <w:t>которых можно заявить. Однако две из этих Сторон представили дополнительную информацию о мерах по предотвращению и пресечению такой торговли. На рисунке ниже показано число заявленных случаев ежегодно с 2002 по 2026 год, при этом данные за 2026 год действительны по состоянию на 27 апреля 2026 года.</w:t>
      </w:r>
    </w:p>
    <w:p w14:paraId="02BFA145" w14:textId="065987CD" w:rsidR="006A1F5E" w:rsidRPr="00863BBD" w:rsidRDefault="006A1F5E" w:rsidP="007F5EEB">
      <w:pPr>
        <w:pStyle w:val="Normalnumber"/>
        <w:tabs>
          <w:tab w:val="clear" w:pos="1247"/>
          <w:tab w:val="clear" w:pos="1814"/>
          <w:tab w:val="clear" w:pos="2381"/>
          <w:tab w:val="clear" w:pos="2948"/>
          <w:tab w:val="clear" w:pos="3515"/>
        </w:tabs>
        <w:rPr>
          <w:lang w:val="ru-RU"/>
        </w:rPr>
      </w:pPr>
      <w:r>
        <w:rPr>
          <w:lang w:val="ru-RU"/>
        </w:rPr>
        <w:t>В решениях, о которых говорится в пунктах 2 и 3 выше, п</w:t>
      </w:r>
      <w:r w:rsidR="00655BDC">
        <w:rPr>
          <w:lang w:val="ru-RU"/>
        </w:rPr>
        <w:t>ризывается</w:t>
      </w:r>
      <w:r>
        <w:rPr>
          <w:lang w:val="ru-RU"/>
        </w:rPr>
        <w:t xml:space="preserve"> сообщать о полностью доказанных случаях, когда соответствующие юридические или административные процедуры завершены и установлен факт незаконной торговли. Как отмечено в пункте 3 выше, в пункте 3 решения XXXIV/8 Стороны также призываются предоставлять дополнительную информацию о случаях незаконной торговли в той мере, в которой они в состоянии это сделать. Таким образом, Стороны также заявляют о случаях, которые еще не полностью доказаны или в которых еще продолжаются процессуальные действия. Одна Сторона представила обновленную информацию о юридических исходах ранее заявленных случаев. В направленном </w:t>
      </w:r>
      <w:r w:rsidR="003C7022">
        <w:rPr>
          <w:lang w:val="ru-RU"/>
        </w:rPr>
        <w:t>Сторонам</w:t>
      </w:r>
      <w:r>
        <w:rPr>
          <w:lang w:val="ru-RU"/>
        </w:rPr>
        <w:t xml:space="preserve"> ежегодном напоминании в 2026 году секретариат призвал Стороны предоставлять обновленную информацию, при ее наличии, о юридических исходах ранее заявленных случаев и будет продолжать </w:t>
      </w:r>
      <w:r w:rsidR="00AB4D09">
        <w:rPr>
          <w:lang w:val="ru-RU"/>
        </w:rPr>
        <w:t xml:space="preserve">призывать </w:t>
      </w:r>
      <w:r w:rsidR="005F1111">
        <w:rPr>
          <w:lang w:val="ru-RU"/>
        </w:rPr>
        <w:t>к этому</w:t>
      </w:r>
      <w:r>
        <w:rPr>
          <w:lang w:val="ru-RU"/>
        </w:rPr>
        <w:t xml:space="preserve"> в напоминаниях в будущем в целях содействия обмену информацией и выявлению эффективных методов правоприменения.</w:t>
      </w:r>
    </w:p>
    <w:p w14:paraId="0C9A8EE3" w14:textId="3F88ECC4" w:rsidR="006A1F5E" w:rsidRPr="003206C9" w:rsidRDefault="00876587" w:rsidP="007F5EEB">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6A1F5E">
        <w:rPr>
          <w:bCs/>
          <w:lang w:val="ru-RU"/>
        </w:rPr>
        <w:t>B.</w:t>
      </w:r>
      <w:r w:rsidR="006A1F5E">
        <w:rPr>
          <w:lang w:val="ru-RU"/>
        </w:rPr>
        <w:tab/>
      </w:r>
      <w:r w:rsidR="006A1F5E">
        <w:rPr>
          <w:bCs/>
          <w:lang w:val="ru-RU"/>
        </w:rPr>
        <w:t>Стороны, заявившие о случаях незаконной торговли</w:t>
      </w:r>
    </w:p>
    <w:p w14:paraId="20686480" w14:textId="7777C3CF"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Всего после 2002 года, когда было заявлено о первых случаях, о случаях незаконной торговли заявила нижеследующая 51 Сторона Монреальского протокола: Австралия, Ангола, Аргентина, Армения, Бельгия, Болгария, Буркина-Фасо, Венгрия, Германия, Гондурас, Греция, Грузия, Дания, Демократическая Республика Конго, Ирландия, Испания, Италия, Кения, Кипр, Китай, Колумбия, Королевство Нидерландов, Кыргызстан, Ливия, Литва, Мексика, Намибия, Нигерия, Папуа</w:t>
      </w:r>
      <w:r w:rsidR="001B75A0">
        <w:rPr>
          <w:lang w:val="ru-RU"/>
        </w:rPr>
        <w:t xml:space="preserve"> – </w:t>
      </w:r>
      <w:r>
        <w:rPr>
          <w:lang w:val="ru-RU"/>
        </w:rPr>
        <w:t>Новая Гвинея, Парагвай, Перу, Польша, Румыния, Северная Македония, Сейшельские Острова, Сингапур, Соединенное Королевство Великобритании и Северной Ирландии, Соединенные Штаты Америки, Таиланд, Туркменистан, Турция, Узбекистан, Федеративные Штаты Микронезии, Филиппины, Финляндия, Франция, Хорватия, Чехия, Шри</w:t>
      </w:r>
      <w:r w:rsidR="00876587">
        <w:rPr>
          <w:lang w:val="ru-RU"/>
        </w:rPr>
        <w:noBreakHyphen/>
      </w:r>
      <w:r>
        <w:rPr>
          <w:lang w:val="ru-RU"/>
        </w:rPr>
        <w:t>Ланка, Эстония, Япония.</w:t>
      </w:r>
    </w:p>
    <w:p w14:paraId="5FE4384A" w14:textId="77777777" w:rsidR="006A1F5E" w:rsidRPr="003206C9" w:rsidRDefault="006A1F5E" w:rsidP="007F5EEB">
      <w:pPr>
        <w:pStyle w:val="Titlefigure"/>
        <w:keepNext w:val="0"/>
        <w:keepLines w:val="0"/>
        <w:tabs>
          <w:tab w:val="clear" w:pos="624"/>
          <w:tab w:val="clear" w:pos="1247"/>
          <w:tab w:val="clear" w:pos="1871"/>
          <w:tab w:val="clear" w:pos="2495"/>
          <w:tab w:val="clear" w:pos="3119"/>
          <w:tab w:val="clear" w:pos="3742"/>
          <w:tab w:val="clear" w:pos="4366"/>
        </w:tabs>
        <w:suppressAutoHyphens w:val="0"/>
        <w:spacing w:after="120"/>
        <w:rPr>
          <w:bCs/>
          <w:lang w:val="ru-RU"/>
        </w:rPr>
      </w:pPr>
      <w:r>
        <w:rPr>
          <w:bCs/>
          <w:lang w:val="ru-RU"/>
        </w:rPr>
        <w:t>Число заявленных случаев, по годам, в которые они заявлены</w:t>
      </w:r>
      <w:r>
        <w:rPr>
          <w:lang w:val="ru-RU"/>
        </w:rPr>
        <w:t xml:space="preserve"> </w:t>
      </w:r>
    </w:p>
    <w:p w14:paraId="51504982" w14:textId="77777777" w:rsidR="006A1F5E" w:rsidRPr="002E243E" w:rsidRDefault="006A1F5E" w:rsidP="00876587">
      <w:pPr>
        <w:pStyle w:val="NormalNonumber"/>
        <w:tabs>
          <w:tab w:val="clear" w:pos="624"/>
          <w:tab w:val="clear" w:pos="1247"/>
          <w:tab w:val="clear" w:pos="1871"/>
          <w:tab w:val="clear" w:pos="2495"/>
          <w:tab w:val="clear" w:pos="3119"/>
          <w:tab w:val="clear" w:pos="3742"/>
          <w:tab w:val="clear" w:pos="4366"/>
          <w:tab w:val="clear" w:pos="4990"/>
        </w:tabs>
      </w:pPr>
      <w:r>
        <w:rPr>
          <w:noProof/>
        </w:rPr>
        <w:drawing>
          <wp:inline distT="0" distB="0" distL="0" distR="0" wp14:anchorId="710F6505" wp14:editId="76A3658D">
            <wp:extent cx="4572000" cy="2743200"/>
            <wp:effectExtent l="0" t="0" r="0" b="0"/>
            <wp:docPr id="1320115703" name="Chart 1">
              <a:extLst xmlns:a="http://schemas.openxmlformats.org/drawingml/2006/main">
                <a:ext uri="{FF2B5EF4-FFF2-40B4-BE49-F238E27FC236}">
                  <a16:creationId xmlns:a16="http://schemas.microsoft.com/office/drawing/2014/main" id="{1B7A4FDE-7458-BDD5-A3C2-9B9D5E50B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20E17D" w14:textId="760E86A5" w:rsidR="006A1F5E" w:rsidRPr="003206C9" w:rsidRDefault="006A1F5E" w:rsidP="00876587">
      <w:pPr>
        <w:pStyle w:val="Normalnumber"/>
        <w:tabs>
          <w:tab w:val="clear" w:pos="1247"/>
          <w:tab w:val="clear" w:pos="1814"/>
          <w:tab w:val="clear" w:pos="2381"/>
          <w:tab w:val="clear" w:pos="2948"/>
          <w:tab w:val="clear" w:pos="3515"/>
        </w:tabs>
        <w:spacing w:before="240"/>
        <w:rPr>
          <w:lang w:val="ru-RU"/>
        </w:rPr>
      </w:pPr>
      <w:r>
        <w:rPr>
          <w:lang w:val="ru-RU"/>
        </w:rPr>
        <w:t xml:space="preserve">Из 51 Стороны 27 являются Сторонами, действующими в рамках пункта 1 статьи 5 Монреальского протокола (Стороны, действующие в рамках статьи 5), в то время как оставшиеся 24 не являются таковыми (Стороны, не действующие в рамках статьи 5). В течение отчетного периода о случаях заявили впервые две Стороны </w:t>
      </w:r>
      <w:r w:rsidR="00186E07">
        <w:rPr>
          <w:lang w:val="ru-RU"/>
        </w:rPr>
        <w:t>–</w:t>
      </w:r>
      <w:r>
        <w:rPr>
          <w:lang w:val="ru-RU"/>
        </w:rPr>
        <w:t xml:space="preserve"> одна </w:t>
      </w:r>
      <w:r w:rsidR="00D152C4">
        <w:rPr>
          <w:lang w:val="ru-RU"/>
        </w:rPr>
        <w:t>С</w:t>
      </w:r>
      <w:r>
        <w:rPr>
          <w:lang w:val="ru-RU"/>
        </w:rPr>
        <w:t>т</w:t>
      </w:r>
      <w:r w:rsidR="00D152C4">
        <w:rPr>
          <w:lang w:val="ru-RU"/>
        </w:rPr>
        <w:t>орона</w:t>
      </w:r>
      <w:r>
        <w:rPr>
          <w:lang w:val="ru-RU"/>
        </w:rPr>
        <w:t xml:space="preserve">, действующая в рамках статьи 5, и одна </w:t>
      </w:r>
      <w:r w:rsidR="00D152C4">
        <w:rPr>
          <w:lang w:val="ru-RU"/>
        </w:rPr>
        <w:t>С</w:t>
      </w:r>
      <w:r>
        <w:rPr>
          <w:lang w:val="ru-RU"/>
        </w:rPr>
        <w:t>т</w:t>
      </w:r>
      <w:r w:rsidR="00D152C4">
        <w:rPr>
          <w:lang w:val="ru-RU"/>
        </w:rPr>
        <w:t>орона</w:t>
      </w:r>
      <w:r>
        <w:rPr>
          <w:lang w:val="ru-RU"/>
        </w:rPr>
        <w:t>, не действующая в рамках статьи 5. Географическое распределение всех случаев, заявленных по настоящее время, представлено в таблице 1.</w:t>
      </w:r>
    </w:p>
    <w:p w14:paraId="5877230B" w14:textId="4C1C56E6" w:rsidR="006A1F5E" w:rsidRPr="002E243E" w:rsidRDefault="006A1F5E" w:rsidP="00876587">
      <w:pPr>
        <w:pStyle w:val="Titletable"/>
        <w:tabs>
          <w:tab w:val="clear" w:pos="624"/>
          <w:tab w:val="clear" w:pos="1247"/>
          <w:tab w:val="clear" w:pos="1871"/>
          <w:tab w:val="clear" w:pos="2495"/>
          <w:tab w:val="clear" w:pos="3119"/>
          <w:tab w:val="clear" w:pos="3742"/>
          <w:tab w:val="clear" w:pos="4366"/>
          <w:tab w:val="clear" w:pos="4990"/>
        </w:tabs>
      </w:pPr>
      <w:r w:rsidRPr="00876587">
        <w:rPr>
          <w:b w:val="0"/>
          <w:bCs w:val="0"/>
          <w:lang w:val="ru-RU"/>
        </w:rPr>
        <w:lastRenderedPageBreak/>
        <w:t>Таблица 1</w:t>
      </w:r>
      <w:r>
        <w:rPr>
          <w:lang w:val="ru-RU"/>
        </w:rPr>
        <w:t xml:space="preserve"> </w:t>
      </w:r>
      <w:r w:rsidR="00876587">
        <w:rPr>
          <w:lang w:val="ru-RU"/>
        </w:rPr>
        <w:br/>
      </w:r>
      <w:r>
        <w:rPr>
          <w:lang w:val="ru-RU"/>
        </w:rPr>
        <w:t>Географическое распределение заявленных случаев</w:t>
      </w:r>
    </w:p>
    <w:tbl>
      <w:tblPr>
        <w:tblStyle w:val="GridTable1Light"/>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2495"/>
      </w:tblGrid>
      <w:tr w:rsidR="006A1F5E" w:rsidRPr="00FC2223" w14:paraId="75B6772E" w14:textId="77777777" w:rsidTr="00876587">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5812" w:type="dxa"/>
            <w:tcBorders>
              <w:top w:val="single" w:sz="4" w:space="0" w:color="auto"/>
              <w:bottom w:val="single" w:sz="12" w:space="0" w:color="auto"/>
            </w:tcBorders>
            <w:noWrap/>
            <w:vAlign w:val="bottom"/>
          </w:tcPr>
          <w:p w14:paraId="6D884465"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hanging="1134"/>
              <w:rPr>
                <w:b w:val="0"/>
                <w:bCs w:val="0"/>
                <w:i/>
                <w:iCs/>
                <w:lang w:val="ru-RU"/>
              </w:rPr>
            </w:pPr>
            <w:r w:rsidRPr="00876587">
              <w:rPr>
                <w:b w:val="0"/>
                <w:bCs w:val="0"/>
                <w:i/>
                <w:iCs/>
                <w:color w:val="000000"/>
                <w:lang w:val="ru-RU"/>
              </w:rPr>
              <w:t>Географический регион Организации Объединенных Наций</w:t>
            </w:r>
            <w:r w:rsidRPr="00876587">
              <w:rPr>
                <w:b w:val="0"/>
                <w:bCs w:val="0"/>
                <w:color w:val="000000"/>
                <w:lang w:val="ru-RU"/>
              </w:rPr>
              <w:t xml:space="preserve"> </w:t>
            </w:r>
          </w:p>
        </w:tc>
        <w:tc>
          <w:tcPr>
            <w:tcW w:w="2495" w:type="dxa"/>
            <w:tcBorders>
              <w:top w:val="single" w:sz="4" w:space="0" w:color="auto"/>
              <w:bottom w:val="single" w:sz="12" w:space="0" w:color="auto"/>
            </w:tcBorders>
            <w:noWrap/>
            <w:vAlign w:val="bottom"/>
          </w:tcPr>
          <w:p w14:paraId="1FB4CA02" w14:textId="233602F3"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jc w:val="right"/>
              <w:cnfStyle w:val="100000000000" w:firstRow="1" w:lastRow="0" w:firstColumn="0" w:lastColumn="0" w:oddVBand="0" w:evenVBand="0" w:oddHBand="0" w:evenHBand="0" w:firstRowFirstColumn="0" w:firstRowLastColumn="0" w:lastRowFirstColumn="0" w:lastRowLastColumn="0"/>
              <w:rPr>
                <w:b w:val="0"/>
                <w:bCs w:val="0"/>
                <w:lang w:val="ru-RU"/>
              </w:rPr>
            </w:pPr>
            <w:r w:rsidRPr="00876587">
              <w:rPr>
                <w:b w:val="0"/>
                <w:bCs w:val="0"/>
                <w:color w:val="000000"/>
                <w:lang w:val="ru-RU"/>
              </w:rPr>
              <w:t>Число случаев, заявленных до 27 апреля 2026 года</w:t>
            </w:r>
          </w:p>
        </w:tc>
      </w:tr>
      <w:tr w:rsidR="006A1F5E" w:rsidRPr="00876587" w14:paraId="1BCF3F36" w14:textId="77777777" w:rsidTr="00876587">
        <w:trPr>
          <w:trHeight w:val="57"/>
          <w:jc w:val="right"/>
        </w:trPr>
        <w:tc>
          <w:tcPr>
            <w:cnfStyle w:val="001000000000" w:firstRow="0" w:lastRow="0" w:firstColumn="1" w:lastColumn="0" w:oddVBand="0" w:evenVBand="0" w:oddHBand="0" w:evenHBand="0" w:firstRowFirstColumn="0" w:firstRowLastColumn="0" w:lastRowFirstColumn="0" w:lastRowLastColumn="0"/>
            <w:tcW w:w="5812" w:type="dxa"/>
            <w:tcBorders>
              <w:top w:val="single" w:sz="12" w:space="0" w:color="auto"/>
            </w:tcBorders>
            <w:noWrap/>
            <w:hideMark/>
          </w:tcPr>
          <w:p w14:paraId="74071259"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hanging="1134"/>
              <w:rPr>
                <w:b w:val="0"/>
                <w:bCs w:val="0"/>
              </w:rPr>
            </w:pPr>
            <w:r w:rsidRPr="00876587">
              <w:rPr>
                <w:b w:val="0"/>
                <w:bCs w:val="0"/>
                <w:color w:val="000000"/>
                <w:lang w:val="ru-RU"/>
              </w:rPr>
              <w:t>Государства Африки</w:t>
            </w:r>
          </w:p>
        </w:tc>
        <w:tc>
          <w:tcPr>
            <w:tcW w:w="2495" w:type="dxa"/>
            <w:tcBorders>
              <w:top w:val="single" w:sz="12" w:space="0" w:color="auto"/>
            </w:tcBorders>
            <w:noWrap/>
          </w:tcPr>
          <w:p w14:paraId="4E57DD3D"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jc w:val="right"/>
              <w:cnfStyle w:val="000000000000" w:firstRow="0" w:lastRow="0" w:firstColumn="0" w:lastColumn="0" w:oddVBand="0" w:evenVBand="0" w:oddHBand="0" w:evenHBand="0" w:firstRowFirstColumn="0" w:firstRowLastColumn="0" w:lastRowFirstColumn="0" w:lastRowLastColumn="0"/>
            </w:pPr>
            <w:r w:rsidRPr="00876587">
              <w:rPr>
                <w:color w:val="000000"/>
                <w:lang w:val="ru-RU"/>
              </w:rPr>
              <w:t>35</w:t>
            </w:r>
          </w:p>
        </w:tc>
      </w:tr>
      <w:tr w:rsidR="006A1F5E" w:rsidRPr="00876587" w14:paraId="7EB10995" w14:textId="77777777" w:rsidTr="00876587">
        <w:trPr>
          <w:trHeight w:val="57"/>
          <w:jc w:val="right"/>
        </w:trPr>
        <w:tc>
          <w:tcPr>
            <w:cnfStyle w:val="001000000000" w:firstRow="0" w:lastRow="0" w:firstColumn="1" w:lastColumn="0" w:oddVBand="0" w:evenVBand="0" w:oddHBand="0" w:evenHBand="0" w:firstRowFirstColumn="0" w:firstRowLastColumn="0" w:lastRowFirstColumn="0" w:lastRowLastColumn="0"/>
            <w:tcW w:w="5812" w:type="dxa"/>
            <w:noWrap/>
            <w:hideMark/>
          </w:tcPr>
          <w:p w14:paraId="78B8AA1E"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hanging="1134"/>
              <w:rPr>
                <w:b w:val="0"/>
                <w:bCs w:val="0"/>
                <w:lang w:val="ru-RU"/>
              </w:rPr>
            </w:pPr>
            <w:r w:rsidRPr="00876587">
              <w:rPr>
                <w:b w:val="0"/>
                <w:bCs w:val="0"/>
                <w:color w:val="000000"/>
                <w:lang w:val="ru-RU"/>
              </w:rPr>
              <w:t>Государства Азии и Тихого океана</w:t>
            </w:r>
          </w:p>
        </w:tc>
        <w:tc>
          <w:tcPr>
            <w:tcW w:w="2495" w:type="dxa"/>
            <w:noWrap/>
          </w:tcPr>
          <w:p w14:paraId="5F63473E"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jc w:val="right"/>
              <w:cnfStyle w:val="000000000000" w:firstRow="0" w:lastRow="0" w:firstColumn="0" w:lastColumn="0" w:oddVBand="0" w:evenVBand="0" w:oddHBand="0" w:evenHBand="0" w:firstRowFirstColumn="0" w:firstRowLastColumn="0" w:lastRowFirstColumn="0" w:lastRowLastColumn="0"/>
            </w:pPr>
            <w:r w:rsidRPr="00876587">
              <w:rPr>
                <w:color w:val="000000"/>
                <w:lang w:val="ru-RU"/>
              </w:rPr>
              <w:t>78</w:t>
            </w:r>
          </w:p>
        </w:tc>
      </w:tr>
      <w:tr w:rsidR="006A1F5E" w:rsidRPr="00876587" w14:paraId="329F3763" w14:textId="77777777" w:rsidTr="00876587">
        <w:trPr>
          <w:trHeight w:val="57"/>
          <w:jc w:val="right"/>
        </w:trPr>
        <w:tc>
          <w:tcPr>
            <w:cnfStyle w:val="001000000000" w:firstRow="0" w:lastRow="0" w:firstColumn="1" w:lastColumn="0" w:oddVBand="0" w:evenVBand="0" w:oddHBand="0" w:evenHBand="0" w:firstRowFirstColumn="0" w:firstRowLastColumn="0" w:lastRowFirstColumn="0" w:lastRowLastColumn="0"/>
            <w:tcW w:w="5812" w:type="dxa"/>
            <w:noWrap/>
            <w:hideMark/>
          </w:tcPr>
          <w:p w14:paraId="68C9A731"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hanging="1134"/>
              <w:rPr>
                <w:b w:val="0"/>
                <w:bCs w:val="0"/>
              </w:rPr>
            </w:pPr>
            <w:r w:rsidRPr="00876587">
              <w:rPr>
                <w:b w:val="0"/>
                <w:bCs w:val="0"/>
                <w:color w:val="000000"/>
                <w:lang w:val="ru-RU"/>
              </w:rPr>
              <w:t>Государства Восточной Европы</w:t>
            </w:r>
          </w:p>
        </w:tc>
        <w:tc>
          <w:tcPr>
            <w:tcW w:w="2495" w:type="dxa"/>
            <w:noWrap/>
          </w:tcPr>
          <w:p w14:paraId="1B1FEBA1"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jc w:val="right"/>
              <w:cnfStyle w:val="000000000000" w:firstRow="0" w:lastRow="0" w:firstColumn="0" w:lastColumn="0" w:oddVBand="0" w:evenVBand="0" w:oddHBand="0" w:evenHBand="0" w:firstRowFirstColumn="0" w:firstRowLastColumn="0" w:lastRowFirstColumn="0" w:lastRowLastColumn="0"/>
            </w:pPr>
            <w:r w:rsidRPr="00876587">
              <w:rPr>
                <w:color w:val="000000"/>
                <w:lang w:val="ru-RU"/>
              </w:rPr>
              <w:t>589</w:t>
            </w:r>
          </w:p>
        </w:tc>
      </w:tr>
      <w:tr w:rsidR="006A1F5E" w:rsidRPr="00876587" w14:paraId="0B45AE64" w14:textId="77777777" w:rsidTr="00876587">
        <w:trPr>
          <w:trHeight w:val="57"/>
          <w:jc w:val="right"/>
        </w:trPr>
        <w:tc>
          <w:tcPr>
            <w:cnfStyle w:val="001000000000" w:firstRow="0" w:lastRow="0" w:firstColumn="1" w:lastColumn="0" w:oddVBand="0" w:evenVBand="0" w:oddHBand="0" w:evenHBand="0" w:firstRowFirstColumn="0" w:firstRowLastColumn="0" w:lastRowFirstColumn="0" w:lastRowLastColumn="0"/>
            <w:tcW w:w="5812" w:type="dxa"/>
            <w:noWrap/>
            <w:hideMark/>
          </w:tcPr>
          <w:p w14:paraId="211C97C6"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hanging="1134"/>
              <w:rPr>
                <w:b w:val="0"/>
                <w:bCs w:val="0"/>
                <w:lang w:val="ru-RU"/>
              </w:rPr>
            </w:pPr>
            <w:r w:rsidRPr="00876587">
              <w:rPr>
                <w:b w:val="0"/>
                <w:bCs w:val="0"/>
                <w:color w:val="000000"/>
                <w:lang w:val="ru-RU"/>
              </w:rPr>
              <w:t>Государства Латинской Америки и Карибского бассейна</w:t>
            </w:r>
          </w:p>
        </w:tc>
        <w:tc>
          <w:tcPr>
            <w:tcW w:w="2495" w:type="dxa"/>
            <w:noWrap/>
          </w:tcPr>
          <w:p w14:paraId="60F7535B"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jc w:val="right"/>
              <w:cnfStyle w:val="000000000000" w:firstRow="0" w:lastRow="0" w:firstColumn="0" w:lastColumn="0" w:oddVBand="0" w:evenVBand="0" w:oddHBand="0" w:evenHBand="0" w:firstRowFirstColumn="0" w:firstRowLastColumn="0" w:lastRowFirstColumn="0" w:lastRowLastColumn="0"/>
            </w:pPr>
            <w:r w:rsidRPr="00876587">
              <w:rPr>
                <w:color w:val="000000"/>
                <w:lang w:val="ru-RU"/>
              </w:rPr>
              <w:t>26</w:t>
            </w:r>
          </w:p>
        </w:tc>
      </w:tr>
      <w:tr w:rsidR="006A1F5E" w:rsidRPr="00876587" w14:paraId="22E2FB7B" w14:textId="77777777" w:rsidTr="00876587">
        <w:trPr>
          <w:trHeight w:val="57"/>
          <w:jc w:val="right"/>
        </w:trPr>
        <w:tc>
          <w:tcPr>
            <w:cnfStyle w:val="001000000000" w:firstRow="0" w:lastRow="0" w:firstColumn="1" w:lastColumn="0" w:oddVBand="0" w:evenVBand="0" w:oddHBand="0" w:evenHBand="0" w:firstRowFirstColumn="0" w:firstRowLastColumn="0" w:lastRowFirstColumn="0" w:lastRowLastColumn="0"/>
            <w:tcW w:w="5812" w:type="dxa"/>
            <w:tcBorders>
              <w:bottom w:val="single" w:sz="4" w:space="0" w:color="auto"/>
            </w:tcBorders>
            <w:noWrap/>
            <w:hideMark/>
          </w:tcPr>
          <w:p w14:paraId="0B3FEE20"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hanging="1134"/>
              <w:rPr>
                <w:b w:val="0"/>
                <w:bCs w:val="0"/>
                <w:lang w:val="ru-RU"/>
              </w:rPr>
            </w:pPr>
            <w:r w:rsidRPr="00876587">
              <w:rPr>
                <w:b w:val="0"/>
                <w:bCs w:val="0"/>
                <w:color w:val="000000"/>
                <w:lang w:val="ru-RU"/>
              </w:rPr>
              <w:t>Государства Западной Европы и другие государства</w:t>
            </w:r>
          </w:p>
        </w:tc>
        <w:tc>
          <w:tcPr>
            <w:tcW w:w="2495" w:type="dxa"/>
            <w:tcBorders>
              <w:bottom w:val="single" w:sz="4" w:space="0" w:color="auto"/>
            </w:tcBorders>
            <w:noWrap/>
          </w:tcPr>
          <w:p w14:paraId="2E9EF327" w14:textId="6A1BF3A0"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jc w:val="right"/>
              <w:cnfStyle w:val="000000000000" w:firstRow="0" w:lastRow="0" w:firstColumn="0" w:lastColumn="0" w:oddVBand="0" w:evenVBand="0" w:oddHBand="0" w:evenHBand="0" w:firstRowFirstColumn="0" w:firstRowLastColumn="0" w:lastRowFirstColumn="0" w:lastRowLastColumn="0"/>
            </w:pPr>
            <w:r w:rsidRPr="00876587">
              <w:rPr>
                <w:color w:val="000000"/>
                <w:lang w:val="ru-RU"/>
              </w:rPr>
              <w:t>379</w:t>
            </w:r>
          </w:p>
        </w:tc>
      </w:tr>
      <w:tr w:rsidR="006A1F5E" w:rsidRPr="00876587" w14:paraId="18A1FF7C" w14:textId="77777777" w:rsidTr="00876587">
        <w:trPr>
          <w:trHeight w:val="57"/>
          <w:jc w:val="right"/>
        </w:trPr>
        <w:tc>
          <w:tcPr>
            <w:cnfStyle w:val="001000000000" w:firstRow="0" w:lastRow="0" w:firstColumn="1" w:lastColumn="0" w:oddVBand="0" w:evenVBand="0" w:oddHBand="0" w:evenHBand="0" w:firstRowFirstColumn="0" w:firstRowLastColumn="0" w:lastRowFirstColumn="0" w:lastRowLastColumn="0"/>
            <w:tcW w:w="5812" w:type="dxa"/>
            <w:tcBorders>
              <w:top w:val="single" w:sz="4" w:space="0" w:color="auto"/>
              <w:bottom w:val="single" w:sz="12" w:space="0" w:color="auto"/>
            </w:tcBorders>
            <w:noWrap/>
          </w:tcPr>
          <w:p w14:paraId="78D66F21" w14:textId="77777777"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hanging="1134"/>
            </w:pPr>
            <w:r w:rsidRPr="00876587">
              <w:rPr>
                <w:color w:val="000000"/>
                <w:lang w:val="ru-RU"/>
              </w:rPr>
              <w:t>Всего</w:t>
            </w:r>
          </w:p>
        </w:tc>
        <w:tc>
          <w:tcPr>
            <w:tcW w:w="2495" w:type="dxa"/>
            <w:tcBorders>
              <w:top w:val="single" w:sz="4" w:space="0" w:color="auto"/>
              <w:bottom w:val="single" w:sz="12" w:space="0" w:color="auto"/>
            </w:tcBorders>
            <w:noWrap/>
          </w:tcPr>
          <w:p w14:paraId="55722FD6" w14:textId="4D5E28AD" w:rsidR="006A1F5E" w:rsidRPr="00876587" w:rsidRDefault="006A1F5E" w:rsidP="00876587">
            <w:pPr>
              <w:pStyle w:val="Normal-pool-Table"/>
              <w:keepNext/>
              <w:keepLines/>
              <w:tabs>
                <w:tab w:val="clear" w:pos="624"/>
                <w:tab w:val="clear" w:pos="1247"/>
                <w:tab w:val="clear" w:pos="1871"/>
                <w:tab w:val="clear" w:pos="2495"/>
                <w:tab w:val="clear" w:pos="3119"/>
                <w:tab w:val="clear" w:pos="3742"/>
                <w:tab w:val="clear" w:pos="4366"/>
                <w:tab w:val="clear" w:pos="4990"/>
              </w:tabs>
              <w:spacing w:before="0" w:after="20"/>
              <w:ind w:left="1134"/>
              <w:jc w:val="right"/>
              <w:cnfStyle w:val="000000000000" w:firstRow="0" w:lastRow="0" w:firstColumn="0" w:lastColumn="0" w:oddVBand="0" w:evenVBand="0" w:oddHBand="0" w:evenHBand="0" w:firstRowFirstColumn="0" w:firstRowLastColumn="0" w:lastRowFirstColumn="0" w:lastRowLastColumn="0"/>
              <w:rPr>
                <w:b/>
                <w:bCs/>
              </w:rPr>
            </w:pPr>
            <w:r w:rsidRPr="00876587">
              <w:rPr>
                <w:b/>
                <w:bCs/>
                <w:color w:val="000000"/>
                <w:lang w:val="ru-RU"/>
              </w:rPr>
              <w:t>1107</w:t>
            </w:r>
          </w:p>
        </w:tc>
      </w:tr>
    </w:tbl>
    <w:p w14:paraId="4B71678D" w14:textId="5C2B2BA1" w:rsidR="006A1F5E" w:rsidRPr="003206C9" w:rsidRDefault="006A1F5E" w:rsidP="00876587">
      <w:pPr>
        <w:pStyle w:val="Normalnumber"/>
        <w:tabs>
          <w:tab w:val="clear" w:pos="1247"/>
          <w:tab w:val="clear" w:pos="1814"/>
          <w:tab w:val="clear" w:pos="2381"/>
          <w:tab w:val="clear" w:pos="2948"/>
          <w:tab w:val="clear" w:pos="3515"/>
        </w:tabs>
        <w:spacing w:before="240"/>
        <w:rPr>
          <w:lang w:val="ru-RU"/>
        </w:rPr>
      </w:pPr>
      <w:r>
        <w:rPr>
          <w:lang w:val="ru-RU"/>
        </w:rPr>
        <w:t>Большинство сведений, представленных Сторонами и указанных в настоящей записке, относятся к небольшому числу стран: 11 Сторон заявили о более чем 80 процентах из 1107</w:t>
      </w:r>
      <w:r w:rsidR="00441BF1">
        <w:rPr>
          <w:lang w:val="ru-RU"/>
        </w:rPr>
        <w:t> </w:t>
      </w:r>
      <w:r>
        <w:rPr>
          <w:lang w:val="ru-RU"/>
        </w:rPr>
        <w:t>заявленных по настоящее время случаев, как показано в таблице 2.</w:t>
      </w:r>
    </w:p>
    <w:p w14:paraId="589E5EF1" w14:textId="64F0EE5A" w:rsidR="006A1F5E" w:rsidRPr="003206C9" w:rsidRDefault="006A1F5E" w:rsidP="007F5EEB">
      <w:pPr>
        <w:pStyle w:val="Titletable"/>
        <w:keepNext w:val="0"/>
        <w:keepLines w:val="0"/>
        <w:tabs>
          <w:tab w:val="clear" w:pos="624"/>
          <w:tab w:val="clear" w:pos="1247"/>
          <w:tab w:val="clear" w:pos="1871"/>
          <w:tab w:val="clear" w:pos="2495"/>
          <w:tab w:val="clear" w:pos="3119"/>
          <w:tab w:val="clear" w:pos="3742"/>
          <w:tab w:val="clear" w:pos="4366"/>
          <w:tab w:val="clear" w:pos="4990"/>
        </w:tabs>
        <w:suppressAutoHyphens w:val="0"/>
        <w:spacing w:after="120"/>
        <w:rPr>
          <w:lang w:val="ru-RU"/>
        </w:rPr>
      </w:pPr>
      <w:r w:rsidRPr="00876587">
        <w:rPr>
          <w:b w:val="0"/>
          <w:bCs w:val="0"/>
          <w:lang w:val="ru-RU"/>
        </w:rPr>
        <w:t>Таблица 2</w:t>
      </w:r>
      <w:r>
        <w:rPr>
          <w:lang w:val="ru-RU"/>
        </w:rPr>
        <w:t xml:space="preserve"> </w:t>
      </w:r>
      <w:r w:rsidR="00876587">
        <w:rPr>
          <w:lang w:val="ru-RU"/>
        </w:rPr>
        <w:br/>
      </w:r>
      <w:r>
        <w:rPr>
          <w:lang w:val="ru-RU"/>
        </w:rPr>
        <w:t>Стороны, заявившие наибольшее количестве случаев</w:t>
      </w:r>
      <w:r>
        <w:rPr>
          <w:rStyle w:val="FootnoteReference"/>
          <w:lang w:val="ru-RU"/>
        </w:rPr>
        <w:footnoteReference w:id="7"/>
      </w:r>
    </w:p>
    <w:tbl>
      <w:tblPr>
        <w:tblW w:w="8307" w:type="dxa"/>
        <w:jc w:val="right"/>
        <w:tblLayout w:type="fixed"/>
        <w:tblLook w:val="04A0" w:firstRow="1" w:lastRow="0" w:firstColumn="1" w:lastColumn="0" w:noHBand="0" w:noVBand="1"/>
      </w:tblPr>
      <w:tblGrid>
        <w:gridCol w:w="4153"/>
        <w:gridCol w:w="4154"/>
      </w:tblGrid>
      <w:tr w:rsidR="006A1F5E" w:rsidRPr="00B00EB0" w14:paraId="76DFF6A6" w14:textId="77777777" w:rsidTr="00B827CE">
        <w:trPr>
          <w:trHeight w:val="57"/>
          <w:jc w:val="right"/>
        </w:trPr>
        <w:tc>
          <w:tcPr>
            <w:tcW w:w="4153" w:type="dxa"/>
            <w:tcBorders>
              <w:top w:val="single" w:sz="4" w:space="0" w:color="auto"/>
              <w:bottom w:val="single" w:sz="12" w:space="0" w:color="auto"/>
            </w:tcBorders>
            <w:noWrap/>
            <w:vAlign w:val="bottom"/>
          </w:tcPr>
          <w:p w14:paraId="4EAD31C5" w14:textId="77777777" w:rsidR="006A1F5E" w:rsidRPr="00694025"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rPr>
                <w:i/>
                <w:iCs/>
              </w:rPr>
            </w:pPr>
            <w:r>
              <w:rPr>
                <w:i/>
                <w:iCs/>
                <w:color w:val="000000"/>
                <w:lang w:val="ru-RU"/>
              </w:rPr>
              <w:t>Сторона</w:t>
            </w:r>
          </w:p>
        </w:tc>
        <w:tc>
          <w:tcPr>
            <w:tcW w:w="4154" w:type="dxa"/>
            <w:tcBorders>
              <w:top w:val="single" w:sz="4" w:space="0" w:color="auto"/>
              <w:bottom w:val="single" w:sz="12" w:space="0" w:color="auto"/>
            </w:tcBorders>
            <w:noWrap/>
            <w:vAlign w:val="bottom"/>
          </w:tcPr>
          <w:p w14:paraId="655B33D2" w14:textId="77777777" w:rsidR="006A1F5E" w:rsidRPr="00694025"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rPr>
                <w:i/>
                <w:iCs/>
              </w:rPr>
            </w:pPr>
            <w:r>
              <w:rPr>
                <w:i/>
                <w:iCs/>
                <w:color w:val="000000"/>
                <w:lang w:val="ru-RU"/>
              </w:rPr>
              <w:t>Число случаев</w:t>
            </w:r>
          </w:p>
        </w:tc>
      </w:tr>
      <w:tr w:rsidR="006A1F5E" w:rsidRPr="00B00EB0" w14:paraId="1FD4B123" w14:textId="77777777" w:rsidTr="00B827CE">
        <w:trPr>
          <w:trHeight w:val="57"/>
          <w:jc w:val="right"/>
        </w:trPr>
        <w:tc>
          <w:tcPr>
            <w:tcW w:w="4153" w:type="dxa"/>
            <w:tcBorders>
              <w:top w:val="single" w:sz="12" w:space="0" w:color="auto"/>
            </w:tcBorders>
            <w:noWrap/>
            <w:vAlign w:val="bottom"/>
            <w:hideMark/>
          </w:tcPr>
          <w:p w14:paraId="090625B6"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pPr>
            <w:r>
              <w:rPr>
                <w:color w:val="000000"/>
                <w:lang w:val="ru-RU"/>
              </w:rPr>
              <w:t>Болгария</w:t>
            </w:r>
          </w:p>
        </w:tc>
        <w:tc>
          <w:tcPr>
            <w:tcW w:w="4154" w:type="dxa"/>
            <w:tcBorders>
              <w:top w:val="single" w:sz="12" w:space="0" w:color="auto"/>
            </w:tcBorders>
            <w:noWrap/>
            <w:vAlign w:val="bottom"/>
            <w:hideMark/>
          </w:tcPr>
          <w:p w14:paraId="4BE15DB4"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pPr>
            <w:r>
              <w:rPr>
                <w:color w:val="000000"/>
                <w:lang w:val="ru-RU"/>
              </w:rPr>
              <w:t>239</w:t>
            </w:r>
          </w:p>
        </w:tc>
      </w:tr>
      <w:tr w:rsidR="006A1F5E" w:rsidRPr="00B00EB0" w14:paraId="302EC953" w14:textId="77777777" w:rsidTr="00B827CE">
        <w:trPr>
          <w:trHeight w:val="57"/>
          <w:jc w:val="right"/>
        </w:trPr>
        <w:tc>
          <w:tcPr>
            <w:tcW w:w="4153" w:type="dxa"/>
            <w:noWrap/>
            <w:vAlign w:val="bottom"/>
            <w:hideMark/>
          </w:tcPr>
          <w:p w14:paraId="3D9C5106"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pPr>
            <w:r>
              <w:rPr>
                <w:color w:val="000000"/>
                <w:lang w:val="ru-RU"/>
              </w:rPr>
              <w:t>Соединенные Штаты Америки</w:t>
            </w:r>
          </w:p>
        </w:tc>
        <w:tc>
          <w:tcPr>
            <w:tcW w:w="4154" w:type="dxa"/>
            <w:noWrap/>
            <w:vAlign w:val="bottom"/>
            <w:hideMark/>
          </w:tcPr>
          <w:p w14:paraId="30DD2DB2" w14:textId="543EC5CC"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pPr>
            <w:r>
              <w:rPr>
                <w:color w:val="000000"/>
                <w:lang w:val="ru-RU"/>
              </w:rPr>
              <w:t>166</w:t>
            </w:r>
          </w:p>
        </w:tc>
      </w:tr>
      <w:tr w:rsidR="006A1F5E" w:rsidRPr="00B00EB0" w14:paraId="58CAA51A" w14:textId="77777777" w:rsidTr="00B827CE">
        <w:trPr>
          <w:trHeight w:val="57"/>
          <w:jc w:val="right"/>
        </w:trPr>
        <w:tc>
          <w:tcPr>
            <w:tcW w:w="4153" w:type="dxa"/>
            <w:noWrap/>
            <w:vAlign w:val="bottom"/>
          </w:tcPr>
          <w:p w14:paraId="0DEE4FD2"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rPr>
                <w:color w:val="000000"/>
              </w:rPr>
            </w:pPr>
            <w:r>
              <w:rPr>
                <w:color w:val="000000"/>
                <w:lang w:val="ru-RU"/>
              </w:rPr>
              <w:t>Польша</w:t>
            </w:r>
          </w:p>
        </w:tc>
        <w:tc>
          <w:tcPr>
            <w:tcW w:w="4154" w:type="dxa"/>
            <w:noWrap/>
            <w:vAlign w:val="bottom"/>
          </w:tcPr>
          <w:p w14:paraId="0A78D687"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rPr>
                <w:color w:val="000000"/>
              </w:rPr>
            </w:pPr>
            <w:r>
              <w:rPr>
                <w:color w:val="000000"/>
                <w:lang w:val="ru-RU"/>
              </w:rPr>
              <w:t>164</w:t>
            </w:r>
          </w:p>
        </w:tc>
      </w:tr>
      <w:tr w:rsidR="006A1F5E" w:rsidRPr="00B00EB0" w14:paraId="10067E47" w14:textId="77777777" w:rsidTr="00B827CE">
        <w:trPr>
          <w:trHeight w:val="57"/>
          <w:jc w:val="right"/>
        </w:trPr>
        <w:tc>
          <w:tcPr>
            <w:tcW w:w="4153" w:type="dxa"/>
            <w:noWrap/>
            <w:vAlign w:val="bottom"/>
            <w:hideMark/>
          </w:tcPr>
          <w:p w14:paraId="712CA8CA"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pPr>
            <w:r>
              <w:rPr>
                <w:color w:val="000000"/>
                <w:lang w:val="ru-RU"/>
              </w:rPr>
              <w:t>Литва</w:t>
            </w:r>
          </w:p>
        </w:tc>
        <w:tc>
          <w:tcPr>
            <w:tcW w:w="4154" w:type="dxa"/>
            <w:noWrap/>
            <w:vAlign w:val="bottom"/>
            <w:hideMark/>
          </w:tcPr>
          <w:p w14:paraId="59543F1F"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pPr>
            <w:r>
              <w:rPr>
                <w:color w:val="000000"/>
                <w:lang w:val="ru-RU"/>
              </w:rPr>
              <w:t>137</w:t>
            </w:r>
          </w:p>
        </w:tc>
      </w:tr>
      <w:tr w:rsidR="006A1F5E" w:rsidRPr="00B00EB0" w14:paraId="0E75425A" w14:textId="77777777" w:rsidTr="00B827CE">
        <w:trPr>
          <w:trHeight w:val="57"/>
          <w:jc w:val="right"/>
        </w:trPr>
        <w:tc>
          <w:tcPr>
            <w:tcW w:w="4153" w:type="dxa"/>
            <w:noWrap/>
            <w:vAlign w:val="bottom"/>
          </w:tcPr>
          <w:p w14:paraId="6427207D"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rPr>
                <w:color w:val="000000"/>
              </w:rPr>
            </w:pPr>
            <w:r>
              <w:rPr>
                <w:color w:val="000000"/>
                <w:lang w:val="ru-RU"/>
              </w:rPr>
              <w:t>Франция</w:t>
            </w:r>
          </w:p>
        </w:tc>
        <w:tc>
          <w:tcPr>
            <w:tcW w:w="4154" w:type="dxa"/>
            <w:noWrap/>
            <w:vAlign w:val="bottom"/>
          </w:tcPr>
          <w:p w14:paraId="4C164C2D"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rPr>
                <w:color w:val="000000"/>
              </w:rPr>
            </w:pPr>
            <w:r>
              <w:rPr>
                <w:color w:val="000000"/>
                <w:lang w:val="ru-RU"/>
              </w:rPr>
              <w:t>66</w:t>
            </w:r>
          </w:p>
        </w:tc>
      </w:tr>
      <w:tr w:rsidR="006A1F5E" w:rsidRPr="00B00EB0" w14:paraId="6223F6DC" w14:textId="77777777" w:rsidTr="00B827CE">
        <w:trPr>
          <w:trHeight w:val="57"/>
          <w:jc w:val="right"/>
        </w:trPr>
        <w:tc>
          <w:tcPr>
            <w:tcW w:w="4153" w:type="dxa"/>
            <w:noWrap/>
            <w:vAlign w:val="bottom"/>
            <w:hideMark/>
          </w:tcPr>
          <w:p w14:paraId="437F2EAB"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pPr>
            <w:r>
              <w:rPr>
                <w:color w:val="000000"/>
                <w:lang w:val="ru-RU"/>
              </w:rPr>
              <w:t>Италия</w:t>
            </w:r>
          </w:p>
        </w:tc>
        <w:tc>
          <w:tcPr>
            <w:tcW w:w="4154" w:type="dxa"/>
            <w:noWrap/>
            <w:vAlign w:val="bottom"/>
            <w:hideMark/>
          </w:tcPr>
          <w:p w14:paraId="012E23E7"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pPr>
            <w:r>
              <w:rPr>
                <w:color w:val="000000"/>
                <w:lang w:val="ru-RU"/>
              </w:rPr>
              <w:t>62</w:t>
            </w:r>
          </w:p>
        </w:tc>
      </w:tr>
      <w:tr w:rsidR="006A1F5E" w:rsidRPr="00B00EB0" w14:paraId="0CA5CA58" w14:textId="77777777" w:rsidTr="00B827CE">
        <w:trPr>
          <w:trHeight w:val="57"/>
          <w:jc w:val="right"/>
        </w:trPr>
        <w:tc>
          <w:tcPr>
            <w:tcW w:w="4153" w:type="dxa"/>
            <w:noWrap/>
            <w:vAlign w:val="bottom"/>
            <w:hideMark/>
          </w:tcPr>
          <w:p w14:paraId="18C23AA1"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pPr>
            <w:r>
              <w:rPr>
                <w:color w:val="000000"/>
                <w:lang w:val="ru-RU"/>
              </w:rPr>
              <w:t>Испания</w:t>
            </w:r>
          </w:p>
        </w:tc>
        <w:tc>
          <w:tcPr>
            <w:tcW w:w="4154" w:type="dxa"/>
            <w:noWrap/>
            <w:vAlign w:val="bottom"/>
            <w:hideMark/>
          </w:tcPr>
          <w:p w14:paraId="6E4FF639"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pPr>
            <w:r>
              <w:rPr>
                <w:color w:val="000000"/>
                <w:lang w:val="ru-RU"/>
              </w:rPr>
              <w:t>30</w:t>
            </w:r>
          </w:p>
        </w:tc>
      </w:tr>
      <w:tr w:rsidR="006A1F5E" w:rsidRPr="00B00EB0" w14:paraId="44126750" w14:textId="77777777" w:rsidTr="00B827CE">
        <w:trPr>
          <w:trHeight w:val="57"/>
          <w:jc w:val="right"/>
        </w:trPr>
        <w:tc>
          <w:tcPr>
            <w:tcW w:w="4153" w:type="dxa"/>
            <w:noWrap/>
            <w:vAlign w:val="bottom"/>
            <w:hideMark/>
          </w:tcPr>
          <w:p w14:paraId="4F503928"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pPr>
            <w:r>
              <w:rPr>
                <w:color w:val="000000"/>
                <w:lang w:val="ru-RU"/>
              </w:rPr>
              <w:t>Китай</w:t>
            </w:r>
          </w:p>
        </w:tc>
        <w:tc>
          <w:tcPr>
            <w:tcW w:w="4154" w:type="dxa"/>
            <w:noWrap/>
            <w:vAlign w:val="bottom"/>
            <w:hideMark/>
          </w:tcPr>
          <w:p w14:paraId="53AD8D4B"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pPr>
            <w:r>
              <w:rPr>
                <w:color w:val="000000"/>
                <w:lang w:val="ru-RU"/>
              </w:rPr>
              <w:t>16</w:t>
            </w:r>
          </w:p>
        </w:tc>
      </w:tr>
      <w:tr w:rsidR="006A1F5E" w:rsidRPr="00B00EB0" w14:paraId="01A51AE4" w14:textId="77777777" w:rsidTr="00B827CE">
        <w:trPr>
          <w:trHeight w:val="57"/>
          <w:jc w:val="right"/>
        </w:trPr>
        <w:tc>
          <w:tcPr>
            <w:tcW w:w="4153" w:type="dxa"/>
            <w:noWrap/>
            <w:vAlign w:val="bottom"/>
          </w:tcPr>
          <w:p w14:paraId="11124594"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rPr>
                <w:color w:val="000000"/>
              </w:rPr>
            </w:pPr>
            <w:r>
              <w:rPr>
                <w:color w:val="000000"/>
                <w:lang w:val="ru-RU"/>
              </w:rPr>
              <w:t>Германия</w:t>
            </w:r>
          </w:p>
        </w:tc>
        <w:tc>
          <w:tcPr>
            <w:tcW w:w="4154" w:type="dxa"/>
            <w:noWrap/>
            <w:vAlign w:val="bottom"/>
          </w:tcPr>
          <w:p w14:paraId="0503E642"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rPr>
                <w:color w:val="000000"/>
              </w:rPr>
            </w:pPr>
            <w:r>
              <w:rPr>
                <w:color w:val="000000"/>
                <w:lang w:val="ru-RU"/>
              </w:rPr>
              <w:t>16</w:t>
            </w:r>
          </w:p>
        </w:tc>
      </w:tr>
      <w:tr w:rsidR="006A1F5E" w:rsidRPr="00B00EB0" w14:paraId="613D75BD" w14:textId="77777777" w:rsidTr="00B827CE">
        <w:trPr>
          <w:trHeight w:val="57"/>
          <w:jc w:val="right"/>
        </w:trPr>
        <w:tc>
          <w:tcPr>
            <w:tcW w:w="4153" w:type="dxa"/>
            <w:noWrap/>
            <w:vAlign w:val="bottom"/>
            <w:hideMark/>
          </w:tcPr>
          <w:p w14:paraId="3605570C"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pPr>
            <w:r>
              <w:rPr>
                <w:color w:val="000000"/>
                <w:lang w:val="ru-RU"/>
              </w:rPr>
              <w:t>Сейшельские Острова</w:t>
            </w:r>
          </w:p>
        </w:tc>
        <w:tc>
          <w:tcPr>
            <w:tcW w:w="4154" w:type="dxa"/>
            <w:noWrap/>
            <w:vAlign w:val="bottom"/>
            <w:hideMark/>
          </w:tcPr>
          <w:p w14:paraId="05E94660"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pPr>
            <w:r>
              <w:rPr>
                <w:color w:val="000000"/>
                <w:lang w:val="ru-RU"/>
              </w:rPr>
              <w:t>15</w:t>
            </w:r>
          </w:p>
        </w:tc>
      </w:tr>
      <w:tr w:rsidR="006A1F5E" w:rsidRPr="00B00EB0" w14:paraId="16D409D2" w14:textId="77777777" w:rsidTr="00B827CE">
        <w:trPr>
          <w:trHeight w:val="57"/>
          <w:jc w:val="right"/>
        </w:trPr>
        <w:tc>
          <w:tcPr>
            <w:tcW w:w="4153" w:type="dxa"/>
            <w:tcBorders>
              <w:bottom w:val="single" w:sz="4" w:space="0" w:color="auto"/>
            </w:tcBorders>
            <w:noWrap/>
            <w:vAlign w:val="bottom"/>
            <w:hideMark/>
          </w:tcPr>
          <w:p w14:paraId="0DDABB97"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pPr>
            <w:r>
              <w:rPr>
                <w:color w:val="000000"/>
                <w:lang w:val="ru-RU"/>
              </w:rPr>
              <w:t>Австралия</w:t>
            </w:r>
          </w:p>
        </w:tc>
        <w:tc>
          <w:tcPr>
            <w:tcW w:w="4154" w:type="dxa"/>
            <w:tcBorders>
              <w:bottom w:val="single" w:sz="4" w:space="0" w:color="auto"/>
            </w:tcBorders>
            <w:noWrap/>
            <w:vAlign w:val="bottom"/>
            <w:hideMark/>
          </w:tcPr>
          <w:p w14:paraId="1B5B40DC" w14:textId="77777777"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after="20"/>
              <w:jc w:val="right"/>
            </w:pPr>
            <w:r>
              <w:rPr>
                <w:color w:val="000000"/>
                <w:lang w:val="ru-RU"/>
              </w:rPr>
              <w:t>15</w:t>
            </w:r>
          </w:p>
        </w:tc>
      </w:tr>
      <w:tr w:rsidR="006A1F5E" w:rsidRPr="00B00EB0" w14:paraId="6051B6EA" w14:textId="77777777" w:rsidTr="00B827CE">
        <w:trPr>
          <w:trHeight w:val="57"/>
          <w:jc w:val="right"/>
        </w:trPr>
        <w:tc>
          <w:tcPr>
            <w:tcW w:w="4153" w:type="dxa"/>
            <w:tcBorders>
              <w:top w:val="single" w:sz="4" w:space="0" w:color="auto"/>
              <w:bottom w:val="single" w:sz="12" w:space="0" w:color="auto"/>
            </w:tcBorders>
            <w:noWrap/>
          </w:tcPr>
          <w:p w14:paraId="5F898538" w14:textId="77777777" w:rsidR="006A1F5E" w:rsidRPr="00876587"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b/>
                <w:bCs/>
              </w:rPr>
            </w:pPr>
            <w:r w:rsidRPr="00876587">
              <w:rPr>
                <w:b/>
                <w:bCs/>
                <w:color w:val="000000"/>
                <w:lang w:val="ru-RU"/>
              </w:rPr>
              <w:t xml:space="preserve">Всего </w:t>
            </w:r>
          </w:p>
        </w:tc>
        <w:tc>
          <w:tcPr>
            <w:tcW w:w="4154" w:type="dxa"/>
            <w:tcBorders>
              <w:top w:val="single" w:sz="4" w:space="0" w:color="auto"/>
              <w:bottom w:val="single" w:sz="12" w:space="0" w:color="auto"/>
            </w:tcBorders>
            <w:noWrap/>
          </w:tcPr>
          <w:p w14:paraId="39C89D92" w14:textId="07370F89" w:rsidR="006A1F5E" w:rsidRPr="00B00EB0"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b/>
                <w:bCs/>
              </w:rPr>
            </w:pPr>
            <w:r>
              <w:rPr>
                <w:b/>
                <w:bCs/>
                <w:color w:val="000000"/>
                <w:lang w:val="ru-RU"/>
              </w:rPr>
              <w:t>926</w:t>
            </w:r>
          </w:p>
        </w:tc>
      </w:tr>
    </w:tbl>
    <w:p w14:paraId="39E316C9" w14:textId="09F4DE12" w:rsidR="006A1F5E" w:rsidRPr="00694025" w:rsidRDefault="00876587" w:rsidP="00876587">
      <w:pPr>
        <w:pStyle w:val="CH2"/>
        <w:keepNext w:val="0"/>
        <w:keepLines w:val="0"/>
        <w:tabs>
          <w:tab w:val="clear" w:pos="1247"/>
          <w:tab w:val="clear" w:pos="1871"/>
          <w:tab w:val="clear" w:pos="2495"/>
          <w:tab w:val="clear" w:pos="3119"/>
          <w:tab w:val="clear" w:pos="3742"/>
          <w:tab w:val="clear" w:pos="4366"/>
          <w:tab w:val="clear" w:pos="4990"/>
        </w:tabs>
        <w:ind w:right="284"/>
      </w:pPr>
      <w:r>
        <w:rPr>
          <w:bCs/>
          <w:lang w:val="ru-RU"/>
        </w:rPr>
        <w:tab/>
      </w:r>
      <w:r w:rsidR="006A1F5E">
        <w:rPr>
          <w:bCs/>
          <w:lang w:val="ru-RU"/>
        </w:rPr>
        <w:t>C.</w:t>
      </w:r>
      <w:r w:rsidR="006A1F5E">
        <w:rPr>
          <w:lang w:val="ru-RU"/>
        </w:rPr>
        <w:tab/>
      </w:r>
      <w:r w:rsidR="006A1F5E">
        <w:rPr>
          <w:bCs/>
          <w:lang w:val="ru-RU"/>
        </w:rPr>
        <w:t>Вещества и объемы торговли</w:t>
      </w:r>
    </w:p>
    <w:p w14:paraId="57EDE673" w14:textId="0214B6A3"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 xml:space="preserve">В сообщениях о случаях незаконной торговли упоминаются около 42 различных веществ с общей массой 3,7 млн кг, что соответствует выбросам примерно 4,5 млрд т эквивалента диоксида углерода (эквивалента CO₂). В 321 новом заявленном случае общая масса веществ составляет более 751 222 кг. </w:t>
      </w:r>
    </w:p>
    <w:p w14:paraId="5CAEA3EA" w14:textId="11C45F00" w:rsidR="006A1F5E" w:rsidRPr="003206C9" w:rsidRDefault="006A1F5E" w:rsidP="007F5EEB">
      <w:pPr>
        <w:pStyle w:val="Titletable"/>
        <w:keepNext w:val="0"/>
        <w:keepLines w:val="0"/>
        <w:tabs>
          <w:tab w:val="clear" w:pos="624"/>
          <w:tab w:val="clear" w:pos="1247"/>
          <w:tab w:val="clear" w:pos="1871"/>
          <w:tab w:val="clear" w:pos="2495"/>
          <w:tab w:val="clear" w:pos="3119"/>
          <w:tab w:val="clear" w:pos="3742"/>
          <w:tab w:val="clear" w:pos="4366"/>
          <w:tab w:val="clear" w:pos="4990"/>
        </w:tabs>
        <w:suppressAutoHyphens w:val="0"/>
        <w:spacing w:after="120"/>
        <w:rPr>
          <w:vertAlign w:val="superscript"/>
          <w:lang w:val="ru-RU"/>
        </w:rPr>
      </w:pPr>
      <w:r w:rsidRPr="00177695">
        <w:rPr>
          <w:b w:val="0"/>
          <w:bCs w:val="0"/>
          <w:lang w:val="ru-RU"/>
        </w:rPr>
        <w:t>Таблица 3</w:t>
      </w:r>
      <w:r>
        <w:rPr>
          <w:lang w:val="ru-RU"/>
        </w:rPr>
        <w:t xml:space="preserve"> </w:t>
      </w:r>
      <w:r w:rsidR="00177695">
        <w:rPr>
          <w:lang w:val="ru-RU"/>
        </w:rPr>
        <w:br/>
      </w:r>
      <w:r>
        <w:rPr>
          <w:lang w:val="ru-RU"/>
        </w:rPr>
        <w:t xml:space="preserve">Наиболее распространенные </w:t>
      </w:r>
      <w:proofErr w:type="spellStart"/>
      <w:r>
        <w:rPr>
          <w:lang w:val="ru-RU"/>
        </w:rPr>
        <w:t>вещества</w:t>
      </w:r>
      <w:r>
        <w:rPr>
          <w:vertAlign w:val="superscript"/>
          <w:lang w:val="ru-RU"/>
        </w:rPr>
        <w:t>а</w:t>
      </w:r>
      <w:proofErr w:type="spellEnd"/>
      <w:r>
        <w:rPr>
          <w:lang w:val="ru-RU"/>
        </w:rPr>
        <w:t xml:space="preserve">, которыми ведется незаконная торговля, по числу заявленных случаев, массе и процентной доле от общей </w:t>
      </w:r>
      <w:proofErr w:type="spellStart"/>
      <w:r>
        <w:rPr>
          <w:lang w:val="ru-RU"/>
        </w:rPr>
        <w:t>массы</w:t>
      </w:r>
      <w:r>
        <w:rPr>
          <w:vertAlign w:val="superscript"/>
          <w:lang w:val="ru-RU"/>
        </w:rPr>
        <w:t>b</w:t>
      </w:r>
      <w:proofErr w:type="spellEnd"/>
    </w:p>
    <w:tbl>
      <w:tblPr>
        <w:tblW w:w="8307" w:type="dxa"/>
        <w:jc w:val="right"/>
        <w:tblLayout w:type="fixed"/>
        <w:tblLook w:val="04A0" w:firstRow="1" w:lastRow="0" w:firstColumn="1" w:lastColumn="0" w:noHBand="0" w:noVBand="1"/>
      </w:tblPr>
      <w:tblGrid>
        <w:gridCol w:w="2268"/>
        <w:gridCol w:w="2013"/>
        <w:gridCol w:w="2013"/>
        <w:gridCol w:w="2013"/>
      </w:tblGrid>
      <w:tr w:rsidR="006A1F5E" w:rsidRPr="00FC2223" w14:paraId="602E81E7" w14:textId="77777777" w:rsidTr="00B827CE">
        <w:trPr>
          <w:trHeight w:val="290"/>
          <w:jc w:val="right"/>
        </w:trPr>
        <w:tc>
          <w:tcPr>
            <w:tcW w:w="2268" w:type="dxa"/>
            <w:tcBorders>
              <w:top w:val="single" w:sz="4" w:space="0" w:color="auto"/>
              <w:left w:val="nil"/>
              <w:bottom w:val="single" w:sz="12" w:space="0" w:color="auto"/>
              <w:right w:val="nil"/>
            </w:tcBorders>
            <w:noWrap/>
            <w:vAlign w:val="bottom"/>
          </w:tcPr>
          <w:p w14:paraId="32D3358E"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i/>
                <w:iCs/>
                <w:szCs w:val="18"/>
              </w:rPr>
            </w:pPr>
            <w:r>
              <w:rPr>
                <w:i/>
                <w:iCs/>
                <w:color w:val="000000"/>
                <w:lang w:val="ru-RU"/>
              </w:rPr>
              <w:t>Вещество</w:t>
            </w:r>
          </w:p>
        </w:tc>
        <w:tc>
          <w:tcPr>
            <w:tcW w:w="2013" w:type="dxa"/>
            <w:tcBorders>
              <w:top w:val="single" w:sz="4" w:space="0" w:color="auto"/>
              <w:left w:val="nil"/>
              <w:bottom w:val="single" w:sz="12" w:space="0" w:color="auto"/>
              <w:right w:val="nil"/>
            </w:tcBorders>
            <w:vAlign w:val="bottom"/>
          </w:tcPr>
          <w:p w14:paraId="6BBA517D"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i/>
                <w:iCs/>
                <w:szCs w:val="18"/>
              </w:rPr>
            </w:pPr>
            <w:r>
              <w:rPr>
                <w:i/>
                <w:iCs/>
                <w:color w:val="000000"/>
                <w:lang w:val="ru-RU"/>
              </w:rPr>
              <w:t>Число заявленных случаев</w:t>
            </w:r>
          </w:p>
        </w:tc>
        <w:tc>
          <w:tcPr>
            <w:tcW w:w="2013" w:type="dxa"/>
            <w:tcBorders>
              <w:top w:val="single" w:sz="4" w:space="0" w:color="auto"/>
              <w:left w:val="nil"/>
              <w:bottom w:val="single" w:sz="12" w:space="0" w:color="auto"/>
              <w:right w:val="nil"/>
            </w:tcBorders>
            <w:noWrap/>
            <w:vAlign w:val="bottom"/>
          </w:tcPr>
          <w:p w14:paraId="65D51E7F"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i/>
                <w:iCs/>
                <w:szCs w:val="18"/>
              </w:rPr>
            </w:pPr>
            <w:r>
              <w:rPr>
                <w:i/>
                <w:iCs/>
                <w:color w:val="000000"/>
                <w:lang w:val="ru-RU"/>
              </w:rPr>
              <w:t>Общая масса, по веществам</w:t>
            </w:r>
          </w:p>
        </w:tc>
        <w:tc>
          <w:tcPr>
            <w:tcW w:w="2013" w:type="dxa"/>
            <w:tcBorders>
              <w:top w:val="single" w:sz="4" w:space="0" w:color="auto"/>
              <w:left w:val="nil"/>
              <w:bottom w:val="single" w:sz="12" w:space="0" w:color="auto"/>
              <w:right w:val="nil"/>
            </w:tcBorders>
            <w:noWrap/>
            <w:vAlign w:val="bottom"/>
          </w:tcPr>
          <w:p w14:paraId="3BFFD22B" w14:textId="77777777" w:rsidR="006A1F5E" w:rsidRPr="003206C9"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i/>
                <w:iCs/>
                <w:szCs w:val="18"/>
                <w:lang w:val="ru-RU"/>
              </w:rPr>
            </w:pPr>
            <w:r>
              <w:rPr>
                <w:i/>
                <w:iCs/>
                <w:color w:val="000000"/>
                <w:lang w:val="ru-RU"/>
              </w:rPr>
              <w:t>Процентная доля от общей массы</w:t>
            </w:r>
            <w:r>
              <w:rPr>
                <w:color w:val="000000"/>
                <w:lang w:val="ru-RU"/>
              </w:rPr>
              <w:t xml:space="preserve"> </w:t>
            </w:r>
          </w:p>
        </w:tc>
      </w:tr>
      <w:tr w:rsidR="006A1F5E" w:rsidRPr="00160DC4" w14:paraId="5A30C4D0" w14:textId="77777777" w:rsidTr="00B827CE">
        <w:trPr>
          <w:trHeight w:val="236"/>
          <w:jc w:val="right"/>
        </w:trPr>
        <w:tc>
          <w:tcPr>
            <w:tcW w:w="2268" w:type="dxa"/>
            <w:tcBorders>
              <w:top w:val="single" w:sz="12" w:space="0" w:color="auto"/>
              <w:left w:val="nil"/>
              <w:bottom w:val="nil"/>
              <w:right w:val="nil"/>
            </w:tcBorders>
            <w:noWrap/>
            <w:vAlign w:val="bottom"/>
            <w:hideMark/>
          </w:tcPr>
          <w:p w14:paraId="733A634A"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ГФУ-134a</w:t>
            </w:r>
          </w:p>
        </w:tc>
        <w:tc>
          <w:tcPr>
            <w:tcW w:w="2013" w:type="dxa"/>
            <w:tcBorders>
              <w:top w:val="single" w:sz="12" w:space="0" w:color="auto"/>
              <w:left w:val="nil"/>
              <w:bottom w:val="nil"/>
              <w:right w:val="nil"/>
            </w:tcBorders>
            <w:vAlign w:val="bottom"/>
          </w:tcPr>
          <w:p w14:paraId="22000F10"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380</w:t>
            </w:r>
          </w:p>
        </w:tc>
        <w:tc>
          <w:tcPr>
            <w:tcW w:w="2013" w:type="dxa"/>
            <w:tcBorders>
              <w:top w:val="single" w:sz="12" w:space="0" w:color="auto"/>
              <w:left w:val="nil"/>
              <w:bottom w:val="nil"/>
              <w:right w:val="nil"/>
            </w:tcBorders>
            <w:noWrap/>
            <w:vAlign w:val="bottom"/>
            <w:hideMark/>
          </w:tcPr>
          <w:p w14:paraId="774E91FB"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594 201</w:t>
            </w:r>
          </w:p>
        </w:tc>
        <w:tc>
          <w:tcPr>
            <w:tcW w:w="2013" w:type="dxa"/>
            <w:tcBorders>
              <w:top w:val="single" w:sz="12" w:space="0" w:color="auto"/>
              <w:left w:val="nil"/>
              <w:bottom w:val="nil"/>
              <w:right w:val="nil"/>
            </w:tcBorders>
            <w:noWrap/>
            <w:vAlign w:val="bottom"/>
            <w:hideMark/>
          </w:tcPr>
          <w:p w14:paraId="1C433ABA"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15,6</w:t>
            </w:r>
          </w:p>
        </w:tc>
      </w:tr>
      <w:tr w:rsidR="006A1F5E" w:rsidRPr="00160DC4" w14:paraId="39206172" w14:textId="77777777" w:rsidTr="00B827CE">
        <w:trPr>
          <w:trHeight w:val="290"/>
          <w:jc w:val="right"/>
        </w:trPr>
        <w:tc>
          <w:tcPr>
            <w:tcW w:w="2268" w:type="dxa"/>
            <w:tcBorders>
              <w:top w:val="nil"/>
              <w:left w:val="nil"/>
              <w:bottom w:val="nil"/>
              <w:right w:val="nil"/>
            </w:tcBorders>
            <w:noWrap/>
            <w:vAlign w:val="bottom"/>
            <w:hideMark/>
          </w:tcPr>
          <w:p w14:paraId="1BFB5833"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R-404A</w:t>
            </w:r>
          </w:p>
        </w:tc>
        <w:tc>
          <w:tcPr>
            <w:tcW w:w="2013" w:type="dxa"/>
            <w:tcBorders>
              <w:top w:val="nil"/>
              <w:left w:val="nil"/>
              <w:bottom w:val="nil"/>
              <w:right w:val="nil"/>
            </w:tcBorders>
            <w:vAlign w:val="bottom"/>
          </w:tcPr>
          <w:p w14:paraId="147360F1"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215</w:t>
            </w:r>
          </w:p>
        </w:tc>
        <w:tc>
          <w:tcPr>
            <w:tcW w:w="2013" w:type="dxa"/>
            <w:tcBorders>
              <w:top w:val="nil"/>
              <w:left w:val="nil"/>
              <w:bottom w:val="nil"/>
              <w:right w:val="nil"/>
            </w:tcBorders>
            <w:noWrap/>
            <w:vAlign w:val="bottom"/>
            <w:hideMark/>
          </w:tcPr>
          <w:p w14:paraId="295AAACF"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358 803</w:t>
            </w:r>
          </w:p>
        </w:tc>
        <w:tc>
          <w:tcPr>
            <w:tcW w:w="2013" w:type="dxa"/>
            <w:tcBorders>
              <w:top w:val="nil"/>
              <w:left w:val="nil"/>
              <w:bottom w:val="nil"/>
              <w:right w:val="nil"/>
            </w:tcBorders>
            <w:noWrap/>
            <w:vAlign w:val="bottom"/>
            <w:hideMark/>
          </w:tcPr>
          <w:p w14:paraId="165795F4" w14:textId="6FAF3998"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9,5</w:t>
            </w:r>
          </w:p>
        </w:tc>
      </w:tr>
      <w:tr w:rsidR="006A1F5E" w:rsidRPr="00160DC4" w14:paraId="076CCB5E" w14:textId="77777777" w:rsidTr="00B827CE">
        <w:trPr>
          <w:trHeight w:val="290"/>
          <w:jc w:val="right"/>
        </w:trPr>
        <w:tc>
          <w:tcPr>
            <w:tcW w:w="2268" w:type="dxa"/>
            <w:tcBorders>
              <w:top w:val="nil"/>
              <w:left w:val="nil"/>
              <w:bottom w:val="nil"/>
              <w:right w:val="nil"/>
            </w:tcBorders>
            <w:noWrap/>
            <w:vAlign w:val="bottom"/>
            <w:hideMark/>
          </w:tcPr>
          <w:p w14:paraId="2A4727E9"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R-410A</w:t>
            </w:r>
          </w:p>
        </w:tc>
        <w:tc>
          <w:tcPr>
            <w:tcW w:w="2013" w:type="dxa"/>
            <w:tcBorders>
              <w:top w:val="nil"/>
              <w:left w:val="nil"/>
              <w:bottom w:val="nil"/>
              <w:right w:val="nil"/>
            </w:tcBorders>
            <w:vAlign w:val="bottom"/>
          </w:tcPr>
          <w:p w14:paraId="06D2D2CA"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121</w:t>
            </w:r>
          </w:p>
        </w:tc>
        <w:tc>
          <w:tcPr>
            <w:tcW w:w="2013" w:type="dxa"/>
            <w:tcBorders>
              <w:top w:val="nil"/>
              <w:left w:val="nil"/>
              <w:bottom w:val="nil"/>
              <w:right w:val="nil"/>
            </w:tcBorders>
            <w:noWrap/>
            <w:vAlign w:val="bottom"/>
            <w:hideMark/>
          </w:tcPr>
          <w:p w14:paraId="60ED4B40"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441 062</w:t>
            </w:r>
          </w:p>
        </w:tc>
        <w:tc>
          <w:tcPr>
            <w:tcW w:w="2013" w:type="dxa"/>
            <w:tcBorders>
              <w:top w:val="nil"/>
              <w:left w:val="nil"/>
              <w:bottom w:val="nil"/>
              <w:right w:val="nil"/>
            </w:tcBorders>
            <w:noWrap/>
            <w:vAlign w:val="bottom"/>
            <w:hideMark/>
          </w:tcPr>
          <w:p w14:paraId="0A6CB51D" w14:textId="304166C5"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11,6</w:t>
            </w:r>
          </w:p>
        </w:tc>
      </w:tr>
      <w:tr w:rsidR="006A1F5E" w:rsidRPr="00160DC4" w14:paraId="742A9EBA" w14:textId="77777777" w:rsidTr="00B827CE">
        <w:trPr>
          <w:trHeight w:val="290"/>
          <w:jc w:val="right"/>
        </w:trPr>
        <w:tc>
          <w:tcPr>
            <w:tcW w:w="2268" w:type="dxa"/>
            <w:tcBorders>
              <w:top w:val="nil"/>
              <w:left w:val="nil"/>
              <w:bottom w:val="nil"/>
              <w:right w:val="nil"/>
            </w:tcBorders>
            <w:noWrap/>
            <w:vAlign w:val="bottom"/>
            <w:hideMark/>
          </w:tcPr>
          <w:p w14:paraId="73C2809B"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ГХФУ-22</w:t>
            </w:r>
          </w:p>
        </w:tc>
        <w:tc>
          <w:tcPr>
            <w:tcW w:w="2013" w:type="dxa"/>
            <w:tcBorders>
              <w:top w:val="nil"/>
              <w:left w:val="nil"/>
              <w:bottom w:val="nil"/>
              <w:right w:val="nil"/>
            </w:tcBorders>
            <w:vAlign w:val="bottom"/>
          </w:tcPr>
          <w:p w14:paraId="07CCA1A3"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101</w:t>
            </w:r>
          </w:p>
        </w:tc>
        <w:tc>
          <w:tcPr>
            <w:tcW w:w="2013" w:type="dxa"/>
            <w:tcBorders>
              <w:top w:val="nil"/>
              <w:left w:val="nil"/>
              <w:bottom w:val="nil"/>
              <w:right w:val="nil"/>
            </w:tcBorders>
            <w:noWrap/>
            <w:vAlign w:val="bottom"/>
            <w:hideMark/>
          </w:tcPr>
          <w:p w14:paraId="5061B046"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392 795</w:t>
            </w:r>
          </w:p>
        </w:tc>
        <w:tc>
          <w:tcPr>
            <w:tcW w:w="2013" w:type="dxa"/>
            <w:tcBorders>
              <w:top w:val="nil"/>
              <w:left w:val="nil"/>
              <w:bottom w:val="nil"/>
              <w:right w:val="nil"/>
            </w:tcBorders>
            <w:noWrap/>
            <w:vAlign w:val="bottom"/>
            <w:hideMark/>
          </w:tcPr>
          <w:p w14:paraId="4EB440E6"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10,3</w:t>
            </w:r>
          </w:p>
        </w:tc>
      </w:tr>
      <w:tr w:rsidR="006A1F5E" w:rsidRPr="00160DC4" w14:paraId="7A4B40DA" w14:textId="77777777" w:rsidTr="00B827CE">
        <w:trPr>
          <w:trHeight w:val="290"/>
          <w:jc w:val="right"/>
        </w:trPr>
        <w:tc>
          <w:tcPr>
            <w:tcW w:w="2268" w:type="dxa"/>
            <w:tcBorders>
              <w:top w:val="nil"/>
              <w:left w:val="nil"/>
              <w:bottom w:val="nil"/>
              <w:right w:val="nil"/>
            </w:tcBorders>
            <w:noWrap/>
            <w:vAlign w:val="bottom"/>
            <w:hideMark/>
          </w:tcPr>
          <w:p w14:paraId="22184A58"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ГФУ-32</w:t>
            </w:r>
          </w:p>
        </w:tc>
        <w:tc>
          <w:tcPr>
            <w:tcW w:w="2013" w:type="dxa"/>
            <w:tcBorders>
              <w:top w:val="nil"/>
              <w:left w:val="nil"/>
              <w:bottom w:val="nil"/>
              <w:right w:val="nil"/>
            </w:tcBorders>
            <w:vAlign w:val="bottom"/>
          </w:tcPr>
          <w:p w14:paraId="18E8E6B7"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52</w:t>
            </w:r>
          </w:p>
        </w:tc>
        <w:tc>
          <w:tcPr>
            <w:tcW w:w="2013" w:type="dxa"/>
            <w:tcBorders>
              <w:top w:val="nil"/>
              <w:left w:val="nil"/>
              <w:bottom w:val="nil"/>
              <w:right w:val="nil"/>
            </w:tcBorders>
            <w:noWrap/>
            <w:vAlign w:val="bottom"/>
            <w:hideMark/>
          </w:tcPr>
          <w:p w14:paraId="39E7BEAA"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62 324</w:t>
            </w:r>
          </w:p>
        </w:tc>
        <w:tc>
          <w:tcPr>
            <w:tcW w:w="2013" w:type="dxa"/>
            <w:tcBorders>
              <w:top w:val="nil"/>
              <w:left w:val="nil"/>
              <w:bottom w:val="nil"/>
              <w:right w:val="nil"/>
            </w:tcBorders>
            <w:noWrap/>
            <w:vAlign w:val="bottom"/>
            <w:hideMark/>
          </w:tcPr>
          <w:p w14:paraId="0A8A64D7"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1,6</w:t>
            </w:r>
          </w:p>
        </w:tc>
      </w:tr>
      <w:tr w:rsidR="006A1F5E" w:rsidRPr="00160DC4" w14:paraId="3613FF8F" w14:textId="77777777" w:rsidTr="00B827CE">
        <w:trPr>
          <w:trHeight w:val="290"/>
          <w:jc w:val="right"/>
        </w:trPr>
        <w:tc>
          <w:tcPr>
            <w:tcW w:w="2268" w:type="dxa"/>
            <w:tcBorders>
              <w:top w:val="nil"/>
              <w:left w:val="nil"/>
              <w:bottom w:val="nil"/>
              <w:right w:val="nil"/>
            </w:tcBorders>
            <w:noWrap/>
            <w:vAlign w:val="bottom"/>
            <w:hideMark/>
          </w:tcPr>
          <w:p w14:paraId="3403E69A"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ХФУ-12</w:t>
            </w:r>
          </w:p>
        </w:tc>
        <w:tc>
          <w:tcPr>
            <w:tcW w:w="2013" w:type="dxa"/>
            <w:tcBorders>
              <w:top w:val="nil"/>
              <w:left w:val="nil"/>
              <w:bottom w:val="nil"/>
              <w:right w:val="nil"/>
            </w:tcBorders>
            <w:vAlign w:val="bottom"/>
          </w:tcPr>
          <w:p w14:paraId="14B28215"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42</w:t>
            </w:r>
          </w:p>
        </w:tc>
        <w:tc>
          <w:tcPr>
            <w:tcW w:w="2013" w:type="dxa"/>
            <w:tcBorders>
              <w:top w:val="nil"/>
              <w:left w:val="nil"/>
              <w:bottom w:val="nil"/>
              <w:right w:val="nil"/>
            </w:tcBorders>
            <w:noWrap/>
            <w:vAlign w:val="bottom"/>
            <w:hideMark/>
          </w:tcPr>
          <w:p w14:paraId="1F3514D5"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340 815</w:t>
            </w:r>
          </w:p>
        </w:tc>
        <w:tc>
          <w:tcPr>
            <w:tcW w:w="2013" w:type="dxa"/>
            <w:tcBorders>
              <w:top w:val="nil"/>
              <w:left w:val="nil"/>
              <w:bottom w:val="nil"/>
              <w:right w:val="nil"/>
            </w:tcBorders>
            <w:noWrap/>
            <w:vAlign w:val="bottom"/>
            <w:hideMark/>
          </w:tcPr>
          <w:p w14:paraId="526CE181"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8,9</w:t>
            </w:r>
          </w:p>
        </w:tc>
      </w:tr>
      <w:tr w:rsidR="006A1F5E" w:rsidRPr="00160DC4" w14:paraId="69189CDA" w14:textId="77777777" w:rsidTr="00B827CE">
        <w:trPr>
          <w:trHeight w:val="290"/>
          <w:jc w:val="right"/>
        </w:trPr>
        <w:tc>
          <w:tcPr>
            <w:tcW w:w="2268" w:type="dxa"/>
            <w:tcBorders>
              <w:top w:val="nil"/>
              <w:left w:val="nil"/>
              <w:bottom w:val="nil"/>
              <w:right w:val="nil"/>
            </w:tcBorders>
            <w:noWrap/>
            <w:vAlign w:val="bottom"/>
            <w:hideMark/>
          </w:tcPr>
          <w:p w14:paraId="383FE7CB"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R-407C</w:t>
            </w:r>
          </w:p>
        </w:tc>
        <w:tc>
          <w:tcPr>
            <w:tcW w:w="2013" w:type="dxa"/>
            <w:tcBorders>
              <w:top w:val="nil"/>
              <w:left w:val="nil"/>
              <w:bottom w:val="nil"/>
              <w:right w:val="nil"/>
            </w:tcBorders>
            <w:vAlign w:val="bottom"/>
          </w:tcPr>
          <w:p w14:paraId="06AC1E3B"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32</w:t>
            </w:r>
          </w:p>
        </w:tc>
        <w:tc>
          <w:tcPr>
            <w:tcW w:w="2013" w:type="dxa"/>
            <w:tcBorders>
              <w:top w:val="nil"/>
              <w:left w:val="nil"/>
              <w:bottom w:val="nil"/>
              <w:right w:val="nil"/>
            </w:tcBorders>
            <w:noWrap/>
            <w:vAlign w:val="bottom"/>
            <w:hideMark/>
          </w:tcPr>
          <w:p w14:paraId="14107BDA"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66 372</w:t>
            </w:r>
          </w:p>
        </w:tc>
        <w:tc>
          <w:tcPr>
            <w:tcW w:w="2013" w:type="dxa"/>
            <w:tcBorders>
              <w:top w:val="nil"/>
              <w:left w:val="nil"/>
              <w:bottom w:val="nil"/>
              <w:right w:val="nil"/>
            </w:tcBorders>
            <w:noWrap/>
            <w:vAlign w:val="bottom"/>
            <w:hideMark/>
          </w:tcPr>
          <w:p w14:paraId="576C196F"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1,7</w:t>
            </w:r>
          </w:p>
        </w:tc>
      </w:tr>
      <w:tr w:rsidR="006A1F5E" w:rsidRPr="00160DC4" w14:paraId="14D86030" w14:textId="77777777" w:rsidTr="00B827CE">
        <w:trPr>
          <w:trHeight w:val="290"/>
          <w:jc w:val="right"/>
        </w:trPr>
        <w:tc>
          <w:tcPr>
            <w:tcW w:w="2268" w:type="dxa"/>
            <w:tcBorders>
              <w:top w:val="nil"/>
              <w:left w:val="nil"/>
              <w:bottom w:val="nil"/>
              <w:right w:val="nil"/>
            </w:tcBorders>
            <w:noWrap/>
            <w:vAlign w:val="bottom"/>
            <w:hideMark/>
          </w:tcPr>
          <w:p w14:paraId="704635C1"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ГФУ (вид не указан)</w:t>
            </w:r>
          </w:p>
        </w:tc>
        <w:tc>
          <w:tcPr>
            <w:tcW w:w="2013" w:type="dxa"/>
            <w:tcBorders>
              <w:top w:val="nil"/>
              <w:left w:val="nil"/>
              <w:bottom w:val="nil"/>
              <w:right w:val="nil"/>
            </w:tcBorders>
            <w:vAlign w:val="bottom"/>
          </w:tcPr>
          <w:p w14:paraId="50890FCB"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22</w:t>
            </w:r>
          </w:p>
        </w:tc>
        <w:tc>
          <w:tcPr>
            <w:tcW w:w="2013" w:type="dxa"/>
            <w:tcBorders>
              <w:top w:val="nil"/>
              <w:left w:val="nil"/>
              <w:bottom w:val="nil"/>
              <w:right w:val="nil"/>
            </w:tcBorders>
            <w:noWrap/>
            <w:vAlign w:val="bottom"/>
            <w:hideMark/>
          </w:tcPr>
          <w:p w14:paraId="352FC121"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369 423</w:t>
            </w:r>
          </w:p>
        </w:tc>
        <w:tc>
          <w:tcPr>
            <w:tcW w:w="2013" w:type="dxa"/>
            <w:tcBorders>
              <w:top w:val="nil"/>
              <w:left w:val="nil"/>
              <w:bottom w:val="nil"/>
              <w:right w:val="nil"/>
            </w:tcBorders>
            <w:noWrap/>
            <w:vAlign w:val="bottom"/>
            <w:hideMark/>
          </w:tcPr>
          <w:p w14:paraId="0410D56D"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9,7</w:t>
            </w:r>
          </w:p>
        </w:tc>
      </w:tr>
      <w:tr w:rsidR="006A1F5E" w:rsidRPr="00160DC4" w14:paraId="2ECB9D05" w14:textId="77777777" w:rsidTr="00B827CE">
        <w:trPr>
          <w:trHeight w:val="290"/>
          <w:jc w:val="right"/>
        </w:trPr>
        <w:tc>
          <w:tcPr>
            <w:tcW w:w="2268" w:type="dxa"/>
            <w:tcBorders>
              <w:top w:val="nil"/>
              <w:left w:val="nil"/>
              <w:right w:val="nil"/>
            </w:tcBorders>
            <w:noWrap/>
            <w:vAlign w:val="bottom"/>
            <w:hideMark/>
          </w:tcPr>
          <w:p w14:paraId="4BEEBDA5"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R-507A</w:t>
            </w:r>
          </w:p>
        </w:tc>
        <w:tc>
          <w:tcPr>
            <w:tcW w:w="2013" w:type="dxa"/>
            <w:tcBorders>
              <w:top w:val="nil"/>
              <w:left w:val="nil"/>
              <w:right w:val="nil"/>
            </w:tcBorders>
            <w:vAlign w:val="bottom"/>
          </w:tcPr>
          <w:p w14:paraId="20EE433A"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19</w:t>
            </w:r>
          </w:p>
        </w:tc>
        <w:tc>
          <w:tcPr>
            <w:tcW w:w="2013" w:type="dxa"/>
            <w:tcBorders>
              <w:top w:val="nil"/>
              <w:left w:val="nil"/>
              <w:right w:val="nil"/>
            </w:tcBorders>
            <w:noWrap/>
            <w:vAlign w:val="bottom"/>
            <w:hideMark/>
          </w:tcPr>
          <w:p w14:paraId="6F95CB34"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136 502</w:t>
            </w:r>
          </w:p>
        </w:tc>
        <w:tc>
          <w:tcPr>
            <w:tcW w:w="2013" w:type="dxa"/>
            <w:tcBorders>
              <w:top w:val="nil"/>
              <w:left w:val="nil"/>
              <w:right w:val="nil"/>
            </w:tcBorders>
            <w:noWrap/>
            <w:vAlign w:val="bottom"/>
            <w:hideMark/>
          </w:tcPr>
          <w:p w14:paraId="60A18080"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3,6</w:t>
            </w:r>
          </w:p>
        </w:tc>
      </w:tr>
      <w:tr w:rsidR="006A1F5E" w:rsidRPr="00160DC4" w14:paraId="784B33B9" w14:textId="77777777" w:rsidTr="00B827CE">
        <w:trPr>
          <w:trHeight w:val="290"/>
          <w:jc w:val="right"/>
        </w:trPr>
        <w:tc>
          <w:tcPr>
            <w:tcW w:w="2268" w:type="dxa"/>
            <w:tcBorders>
              <w:top w:val="nil"/>
              <w:left w:val="nil"/>
              <w:bottom w:val="single" w:sz="4" w:space="0" w:color="auto"/>
              <w:right w:val="nil"/>
            </w:tcBorders>
            <w:noWrap/>
            <w:vAlign w:val="bottom"/>
            <w:hideMark/>
          </w:tcPr>
          <w:p w14:paraId="54539F95"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szCs w:val="18"/>
              </w:rPr>
            </w:pPr>
            <w:r>
              <w:rPr>
                <w:color w:val="000000"/>
                <w:lang w:val="ru-RU"/>
              </w:rPr>
              <w:t>ГФУ-125</w:t>
            </w:r>
          </w:p>
        </w:tc>
        <w:tc>
          <w:tcPr>
            <w:tcW w:w="2013" w:type="dxa"/>
            <w:tcBorders>
              <w:top w:val="nil"/>
              <w:left w:val="nil"/>
              <w:bottom w:val="single" w:sz="4" w:space="0" w:color="auto"/>
              <w:right w:val="nil"/>
            </w:tcBorders>
            <w:vAlign w:val="bottom"/>
          </w:tcPr>
          <w:p w14:paraId="271DFE02"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11</w:t>
            </w:r>
          </w:p>
        </w:tc>
        <w:tc>
          <w:tcPr>
            <w:tcW w:w="2013" w:type="dxa"/>
            <w:tcBorders>
              <w:top w:val="nil"/>
              <w:left w:val="nil"/>
              <w:bottom w:val="single" w:sz="4" w:space="0" w:color="auto"/>
              <w:right w:val="nil"/>
            </w:tcBorders>
            <w:noWrap/>
            <w:vAlign w:val="bottom"/>
            <w:hideMark/>
          </w:tcPr>
          <w:p w14:paraId="44A65543"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57 756</w:t>
            </w:r>
          </w:p>
        </w:tc>
        <w:tc>
          <w:tcPr>
            <w:tcW w:w="2013" w:type="dxa"/>
            <w:tcBorders>
              <w:top w:val="nil"/>
              <w:left w:val="nil"/>
              <w:bottom w:val="single" w:sz="4" w:space="0" w:color="auto"/>
              <w:right w:val="nil"/>
            </w:tcBorders>
            <w:noWrap/>
            <w:vAlign w:val="bottom"/>
            <w:hideMark/>
          </w:tcPr>
          <w:p w14:paraId="3C21D092" w14:textId="77777777" w:rsidR="006A1F5E" w:rsidRPr="00160DC4"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szCs w:val="18"/>
              </w:rPr>
            </w:pPr>
            <w:r>
              <w:rPr>
                <w:color w:val="000000"/>
                <w:lang w:val="ru-RU"/>
              </w:rPr>
              <w:t>1,5</w:t>
            </w:r>
          </w:p>
        </w:tc>
      </w:tr>
      <w:tr w:rsidR="006A1F5E" w:rsidRPr="00160DC4" w14:paraId="1A1F7B50" w14:textId="77777777" w:rsidTr="00B827CE">
        <w:trPr>
          <w:trHeight w:val="290"/>
          <w:jc w:val="right"/>
        </w:trPr>
        <w:tc>
          <w:tcPr>
            <w:tcW w:w="2268" w:type="dxa"/>
            <w:tcBorders>
              <w:top w:val="single" w:sz="4" w:space="0" w:color="auto"/>
              <w:left w:val="nil"/>
              <w:bottom w:val="single" w:sz="12" w:space="0" w:color="auto"/>
              <w:right w:val="nil"/>
            </w:tcBorders>
            <w:noWrap/>
            <w:vAlign w:val="bottom"/>
          </w:tcPr>
          <w:p w14:paraId="780C335E" w14:textId="77777777" w:rsidR="006A1F5E" w:rsidRPr="00177695"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rPr>
                <w:b/>
                <w:bCs/>
                <w:szCs w:val="18"/>
              </w:rPr>
            </w:pPr>
            <w:r w:rsidRPr="00177695">
              <w:rPr>
                <w:b/>
                <w:bCs/>
                <w:color w:val="000000"/>
                <w:lang w:val="ru-RU"/>
              </w:rPr>
              <w:t>Всего</w:t>
            </w:r>
          </w:p>
        </w:tc>
        <w:tc>
          <w:tcPr>
            <w:tcW w:w="2013" w:type="dxa"/>
            <w:tcBorders>
              <w:top w:val="single" w:sz="4" w:space="0" w:color="auto"/>
              <w:left w:val="nil"/>
              <w:bottom w:val="single" w:sz="12" w:space="0" w:color="auto"/>
              <w:right w:val="nil"/>
            </w:tcBorders>
          </w:tcPr>
          <w:p w14:paraId="071BA466" w14:textId="77777777" w:rsidR="006A1F5E" w:rsidRPr="0044728F"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b/>
                <w:bCs/>
                <w:szCs w:val="18"/>
              </w:rPr>
            </w:pPr>
            <w:r>
              <w:rPr>
                <w:b/>
                <w:bCs/>
                <w:color w:val="000000"/>
                <w:lang w:val="ru-RU"/>
              </w:rPr>
              <w:t>995</w:t>
            </w:r>
          </w:p>
        </w:tc>
        <w:tc>
          <w:tcPr>
            <w:tcW w:w="2013" w:type="dxa"/>
            <w:tcBorders>
              <w:top w:val="single" w:sz="4" w:space="0" w:color="auto"/>
              <w:left w:val="nil"/>
              <w:bottom w:val="single" w:sz="12" w:space="0" w:color="auto"/>
              <w:right w:val="nil"/>
            </w:tcBorders>
            <w:noWrap/>
          </w:tcPr>
          <w:p w14:paraId="4A7E8B49" w14:textId="08A6C771" w:rsidR="006A1F5E" w:rsidRPr="0044728F"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b/>
                <w:bCs/>
                <w:szCs w:val="18"/>
              </w:rPr>
            </w:pPr>
            <w:r>
              <w:rPr>
                <w:b/>
                <w:bCs/>
                <w:color w:val="000000"/>
                <w:lang w:val="ru-RU"/>
              </w:rPr>
              <w:t>2 820 053</w:t>
            </w:r>
          </w:p>
        </w:tc>
        <w:tc>
          <w:tcPr>
            <w:tcW w:w="2013" w:type="dxa"/>
            <w:tcBorders>
              <w:top w:val="single" w:sz="4" w:space="0" w:color="auto"/>
              <w:left w:val="nil"/>
              <w:bottom w:val="single" w:sz="12" w:space="0" w:color="auto"/>
              <w:right w:val="nil"/>
            </w:tcBorders>
            <w:noWrap/>
          </w:tcPr>
          <w:p w14:paraId="73B24C21" w14:textId="5CD50AAE" w:rsidR="006A1F5E" w:rsidRPr="0044728F" w:rsidRDefault="006A1F5E" w:rsidP="007F5EEB">
            <w:pPr>
              <w:pStyle w:val="Normal-pool-Table"/>
              <w:tabs>
                <w:tab w:val="clear" w:pos="624"/>
                <w:tab w:val="clear" w:pos="1247"/>
                <w:tab w:val="clear" w:pos="1871"/>
                <w:tab w:val="clear" w:pos="2495"/>
                <w:tab w:val="clear" w:pos="3119"/>
                <w:tab w:val="clear" w:pos="3742"/>
                <w:tab w:val="clear" w:pos="4366"/>
                <w:tab w:val="clear" w:pos="4990"/>
              </w:tabs>
              <w:spacing w:before="0"/>
              <w:jc w:val="right"/>
              <w:rPr>
                <w:b/>
                <w:bCs/>
                <w:szCs w:val="18"/>
              </w:rPr>
            </w:pPr>
            <w:r>
              <w:rPr>
                <w:b/>
                <w:bCs/>
                <w:color w:val="000000"/>
                <w:lang w:val="ru-RU"/>
              </w:rPr>
              <w:t>74</w:t>
            </w:r>
          </w:p>
        </w:tc>
      </w:tr>
    </w:tbl>
    <w:p w14:paraId="44CA6023" w14:textId="1E0B9D51" w:rsidR="006A1F5E" w:rsidRPr="00177695" w:rsidRDefault="00177695" w:rsidP="007F5EEB">
      <w:pPr>
        <w:pStyle w:val="Normal-pool"/>
        <w:tabs>
          <w:tab w:val="clear" w:pos="624"/>
          <w:tab w:val="clear" w:pos="1247"/>
          <w:tab w:val="clear" w:pos="1871"/>
          <w:tab w:val="clear" w:pos="2495"/>
          <w:tab w:val="clear" w:pos="3119"/>
          <w:tab w:val="clear" w:pos="3742"/>
          <w:tab w:val="clear" w:pos="4366"/>
          <w:tab w:val="clear" w:pos="4990"/>
        </w:tabs>
        <w:ind w:left="1247"/>
        <w:rPr>
          <w:sz w:val="16"/>
          <w:szCs w:val="16"/>
          <w:lang w:val="ru-RU"/>
        </w:rPr>
      </w:pPr>
      <w:r w:rsidRPr="00177695">
        <w:rPr>
          <w:sz w:val="18"/>
          <w:szCs w:val="18"/>
          <w:lang w:val="ru-RU"/>
        </w:rPr>
        <w:lastRenderedPageBreak/>
        <w:tab/>
      </w:r>
      <w:r w:rsidR="006A1F5E" w:rsidRPr="00177695">
        <w:rPr>
          <w:sz w:val="18"/>
          <w:szCs w:val="18"/>
          <w:lang w:val="ru-RU"/>
        </w:rPr>
        <w:tab/>
      </w:r>
      <w:r w:rsidR="006A1F5E" w:rsidRPr="00177695">
        <w:rPr>
          <w:sz w:val="18"/>
          <w:szCs w:val="18"/>
          <w:vertAlign w:val="superscript"/>
          <w:lang w:val="ru-RU"/>
        </w:rPr>
        <w:t>a</w:t>
      </w:r>
      <w:r w:rsidR="006A1F5E" w:rsidRPr="00177695">
        <w:rPr>
          <w:sz w:val="18"/>
          <w:szCs w:val="18"/>
          <w:lang w:val="ru-RU"/>
        </w:rPr>
        <w:t xml:space="preserve"> Обозначения чистых веществ относятся к химическому составу, например ГХФУ (</w:t>
      </w:r>
      <w:proofErr w:type="spellStart"/>
      <w:r w:rsidR="006A1F5E" w:rsidRPr="00177695">
        <w:rPr>
          <w:sz w:val="18"/>
          <w:szCs w:val="18"/>
          <w:lang w:val="ru-RU"/>
        </w:rPr>
        <w:t>гидрохлорфторуглерод</w:t>
      </w:r>
      <w:proofErr w:type="spellEnd"/>
      <w:r w:rsidR="006A1F5E" w:rsidRPr="00177695">
        <w:rPr>
          <w:sz w:val="18"/>
          <w:szCs w:val="18"/>
          <w:lang w:val="ru-RU"/>
        </w:rPr>
        <w:t>) или ГФУ (гидрофторуглерод), а смесей – к их категории с использованием префикса «R».</w:t>
      </w:r>
    </w:p>
    <w:p w14:paraId="22D701C6" w14:textId="3E9EF508" w:rsidR="006A1F5E" w:rsidRPr="00177695" w:rsidRDefault="00177695" w:rsidP="007F5EEB">
      <w:pPr>
        <w:pStyle w:val="Normal-pool"/>
        <w:tabs>
          <w:tab w:val="clear" w:pos="624"/>
          <w:tab w:val="clear" w:pos="1247"/>
          <w:tab w:val="clear" w:pos="1871"/>
          <w:tab w:val="clear" w:pos="2495"/>
          <w:tab w:val="clear" w:pos="3119"/>
          <w:tab w:val="clear" w:pos="3742"/>
          <w:tab w:val="clear" w:pos="4366"/>
          <w:tab w:val="clear" w:pos="4990"/>
        </w:tabs>
        <w:spacing w:after="180"/>
        <w:ind w:left="1247"/>
        <w:rPr>
          <w:sz w:val="16"/>
          <w:szCs w:val="16"/>
        </w:rPr>
      </w:pPr>
      <w:r w:rsidRPr="00177695">
        <w:rPr>
          <w:sz w:val="18"/>
          <w:szCs w:val="18"/>
          <w:lang w:val="ru-RU"/>
        </w:rPr>
        <w:tab/>
      </w:r>
      <w:r w:rsidR="006A1F5E" w:rsidRPr="00177695">
        <w:rPr>
          <w:sz w:val="18"/>
          <w:szCs w:val="18"/>
          <w:lang w:val="ru-RU"/>
        </w:rPr>
        <w:tab/>
      </w:r>
      <w:proofErr w:type="gramStart"/>
      <w:r w:rsidR="006A1F5E" w:rsidRPr="00177695">
        <w:rPr>
          <w:sz w:val="18"/>
          <w:szCs w:val="18"/>
          <w:vertAlign w:val="superscript"/>
          <w:lang w:val="ru-RU"/>
        </w:rPr>
        <w:t>b</w:t>
      </w:r>
      <w:proofErr w:type="gramEnd"/>
      <w:r w:rsidR="006A1F5E" w:rsidRPr="00177695">
        <w:rPr>
          <w:sz w:val="18"/>
          <w:szCs w:val="18"/>
          <w:lang w:val="ru-RU"/>
        </w:rPr>
        <w:t xml:space="preserve"> В некоторых сообщениях о случаях не указывается масса соответствующего вещества, по этой причине они не были включены в расчет массы. Следовательно, полученные итоговые значения являются приблизительными.</w:t>
      </w:r>
    </w:p>
    <w:p w14:paraId="2D6BC15A" w14:textId="3E55163E" w:rsidR="006A1F5E" w:rsidRPr="003206C9" w:rsidRDefault="006A1F5E" w:rsidP="005D380F">
      <w:pPr>
        <w:pStyle w:val="Normalnumber"/>
        <w:tabs>
          <w:tab w:val="clear" w:pos="1247"/>
          <w:tab w:val="clear" w:pos="1814"/>
          <w:tab w:val="clear" w:pos="2381"/>
          <w:tab w:val="clear" w:pos="2948"/>
          <w:tab w:val="clear" w:pos="3515"/>
        </w:tabs>
        <w:spacing w:before="240"/>
        <w:rPr>
          <w:lang w:val="ru-RU"/>
        </w:rPr>
      </w:pPr>
      <w:r>
        <w:rPr>
          <w:lang w:val="ru-RU"/>
        </w:rPr>
        <w:t xml:space="preserve">Из 1107 заявленных случаев незаконной торговли 753 связаны с незаконным ввозом регулируемых веществ, о чем заявлено страной назначения. 73 случая связаны с незаконным экспортом, о чем заявлено страной-экспортером. В 41 случае эти вещества перемещались транзитом через страну-заявителя. В других случаях страна-импортер и (или) страна-экспортер не были указаны или на момент представления сведений не были известны. </w:t>
      </w:r>
    </w:p>
    <w:p w14:paraId="19E56AEC" w14:textId="52022231" w:rsidR="006A1F5E" w:rsidRPr="003206C9" w:rsidRDefault="00A50E6C" w:rsidP="007F5EEB">
      <w:pPr>
        <w:pStyle w:val="Normalnumber"/>
        <w:tabs>
          <w:tab w:val="clear" w:pos="1247"/>
          <w:tab w:val="clear" w:pos="1814"/>
          <w:tab w:val="clear" w:pos="2381"/>
          <w:tab w:val="clear" w:pos="2948"/>
          <w:tab w:val="clear" w:pos="3515"/>
        </w:tabs>
        <w:rPr>
          <w:lang w:val="ru-RU"/>
        </w:rPr>
      </w:pPr>
      <w:r>
        <w:rPr>
          <w:lang w:val="ru-RU"/>
        </w:rPr>
        <w:t xml:space="preserve">В </w:t>
      </w:r>
      <w:r w:rsidR="006A1F5E">
        <w:rPr>
          <w:lang w:val="ru-RU"/>
        </w:rPr>
        <w:t>35 случа</w:t>
      </w:r>
      <w:r>
        <w:rPr>
          <w:lang w:val="ru-RU"/>
        </w:rPr>
        <w:t xml:space="preserve">ях заявлено </w:t>
      </w:r>
      <w:r w:rsidR="003A128A">
        <w:rPr>
          <w:lang w:val="ru-RU"/>
        </w:rPr>
        <w:t>о</w:t>
      </w:r>
      <w:r w:rsidR="006A1F5E">
        <w:rPr>
          <w:lang w:val="ru-RU"/>
        </w:rPr>
        <w:t xml:space="preserve"> незаконной торговле оборудованием, содержащим регулируемые вещества, в том числе кондиционерами, тепловыми насосами, чиллерами, холодильниками, льдогенераторами, мороженицами и огнетушителями. Регулируемыми веществами, наиболее часто встречающимися в таком оборудовании, являются ГХФУ-22, ГФУ</w:t>
      </w:r>
      <w:r w:rsidR="001E1C9C">
        <w:rPr>
          <w:lang w:val="ru-RU"/>
        </w:rPr>
        <w:noBreakHyphen/>
      </w:r>
      <w:r w:rsidR="006A1F5E">
        <w:rPr>
          <w:lang w:val="ru-RU"/>
        </w:rPr>
        <w:t>32, R-410A и ХФУ-12. Из 321 нового заявленного случая 17 были связаны с оборудованием, содержащим регулируемые вещества.</w:t>
      </w:r>
    </w:p>
    <w:p w14:paraId="11438F51" w14:textId="37C505F1" w:rsidR="006A1F5E" w:rsidRPr="003206C9" w:rsidRDefault="007D254D" w:rsidP="007F5EEB">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6A1F5E">
        <w:rPr>
          <w:bCs/>
          <w:lang w:val="ru-RU"/>
        </w:rPr>
        <w:t>D.</w:t>
      </w:r>
      <w:r w:rsidR="006A1F5E">
        <w:rPr>
          <w:lang w:val="ru-RU"/>
        </w:rPr>
        <w:tab/>
      </w:r>
      <w:r w:rsidR="006A1F5E">
        <w:rPr>
          <w:bCs/>
          <w:lang w:val="ru-RU"/>
        </w:rPr>
        <w:t>Обзор всех заявленных случаев незаконной торговли</w:t>
      </w:r>
      <w:r w:rsidR="006A1F5E">
        <w:rPr>
          <w:lang w:val="ru-RU"/>
        </w:rPr>
        <w:t xml:space="preserve"> </w:t>
      </w:r>
    </w:p>
    <w:p w14:paraId="67DDD703" w14:textId="1C81D308" w:rsidR="006A1F5E" w:rsidRPr="003206C9" w:rsidRDefault="007D254D" w:rsidP="007F5EEB">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6A1F5E">
        <w:rPr>
          <w:bCs/>
          <w:lang w:val="ru-RU"/>
        </w:rPr>
        <w:t>1.</w:t>
      </w:r>
      <w:r w:rsidR="006A1F5E">
        <w:rPr>
          <w:lang w:val="ru-RU"/>
        </w:rPr>
        <w:tab/>
      </w:r>
      <w:r w:rsidR="006A1F5E">
        <w:rPr>
          <w:bCs/>
          <w:lang w:val="ru-RU"/>
        </w:rPr>
        <w:t>Случаи незаконного импорта и экспорта</w:t>
      </w:r>
      <w:r w:rsidR="006A1F5E">
        <w:rPr>
          <w:lang w:val="ru-RU"/>
        </w:rPr>
        <w:t xml:space="preserve"> </w:t>
      </w:r>
    </w:p>
    <w:p w14:paraId="448E7DF5" w14:textId="3B89A3A3" w:rsidR="006A1F5E" w:rsidRPr="003206C9" w:rsidRDefault="007D254D" w:rsidP="007F5EEB">
      <w:pPr>
        <w:pStyle w:val="CH4"/>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6A1F5E">
        <w:rPr>
          <w:bCs/>
          <w:lang w:val="ru-RU"/>
        </w:rPr>
        <w:t>a)</w:t>
      </w:r>
      <w:r w:rsidR="006A1F5E">
        <w:rPr>
          <w:lang w:val="ru-RU"/>
        </w:rPr>
        <w:tab/>
      </w:r>
      <w:r w:rsidR="006A1F5E">
        <w:rPr>
          <w:bCs/>
          <w:lang w:val="ru-RU"/>
        </w:rPr>
        <w:t>Способы незаконной торговли</w:t>
      </w:r>
      <w:r w:rsidR="006A1F5E">
        <w:rPr>
          <w:lang w:val="ru-RU"/>
        </w:rPr>
        <w:t xml:space="preserve"> </w:t>
      </w:r>
    </w:p>
    <w:p w14:paraId="2983011D" w14:textId="0464CE96"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Анализ 1107 заявленных случаев незаконного импорта и экспорта показывает, что наиболее распространенные способы, используемые в незаконной торговле, включают как нарушение требований к документации, так и физическое уклонение. Наиболее часто заявляемым способом является контрабанда (192 случая), за которой следуют торговля без необходимых лицензий и (или) квот (166 случаев) и контрабанда одноразовых баллонов (139</w:t>
      </w:r>
      <w:r w:rsidR="007D254D">
        <w:rPr>
          <w:lang w:val="ru-RU"/>
        </w:rPr>
        <w:t> </w:t>
      </w:r>
      <w:r>
        <w:rPr>
          <w:lang w:val="ru-RU"/>
        </w:rPr>
        <w:t xml:space="preserve">случаев) </w:t>
      </w:r>
      <w:r w:rsidR="007D254D">
        <w:rPr>
          <w:lang w:val="ru-RU"/>
        </w:rPr>
        <w:t>–</w:t>
      </w:r>
      <w:r>
        <w:rPr>
          <w:lang w:val="ru-RU"/>
        </w:rPr>
        <w:t xml:space="preserve"> как в отдельности, так и в сочетании с другими нарушениями.</w:t>
      </w:r>
    </w:p>
    <w:p w14:paraId="21CE7899" w14:textId="5A5F6860" w:rsidR="006A1F5E" w:rsidRPr="000613A7" w:rsidRDefault="006A1F5E" w:rsidP="007F5EEB">
      <w:pPr>
        <w:pStyle w:val="Normalnumber"/>
        <w:tabs>
          <w:tab w:val="clear" w:pos="1247"/>
          <w:tab w:val="clear" w:pos="1814"/>
          <w:tab w:val="clear" w:pos="2381"/>
          <w:tab w:val="clear" w:pos="2948"/>
          <w:tab w:val="clear" w:pos="3515"/>
        </w:tabs>
      </w:pPr>
      <w:r>
        <w:rPr>
          <w:lang w:val="ru-RU"/>
        </w:rPr>
        <w:t xml:space="preserve">Неверное указание состава (отдельно отмечено в 92 случаях, а в целом </w:t>
      </w:r>
      <w:r w:rsidR="007D254D">
        <w:rPr>
          <w:lang w:val="ru-RU"/>
        </w:rPr>
        <w:t>–</w:t>
      </w:r>
      <w:r>
        <w:rPr>
          <w:lang w:val="ru-RU"/>
        </w:rPr>
        <w:t xml:space="preserve"> в 168 случаях), отсутствие указания состава (121 случай) и неверная маркировка (39 случаев отдельно; в</w:t>
      </w:r>
      <w:r w:rsidR="007D254D">
        <w:rPr>
          <w:lang w:val="ru-RU"/>
        </w:rPr>
        <w:t> </w:t>
      </w:r>
      <w:r>
        <w:rPr>
          <w:lang w:val="ru-RU"/>
        </w:rPr>
        <w:t>целом</w:t>
      </w:r>
      <w:r w:rsidR="007D254D">
        <w:rPr>
          <w:lang w:val="ru-RU"/>
        </w:rPr>
        <w:t> –</w:t>
      </w:r>
      <w:r>
        <w:rPr>
          <w:lang w:val="ru-RU"/>
        </w:rPr>
        <w:t xml:space="preserve"> в 54 случаях) неоднократно заявлялись в сочетании с контрабандой. 30 случаев сокрытия были заявлены отдельно, а в 113 случаях </w:t>
      </w:r>
      <w:r w:rsidR="007D254D">
        <w:rPr>
          <w:lang w:val="ru-RU"/>
        </w:rPr>
        <w:t>–</w:t>
      </w:r>
      <w:r>
        <w:rPr>
          <w:lang w:val="ru-RU"/>
        </w:rPr>
        <w:t xml:space="preserve"> в сочетании с другими способами, в том числе в составе законно перевозимых грузов. Нарушения, связанные с квотами, в том числе отсутствие квот, превышение квот, злоупотребление исключениями, а также случаи участия незарегистрированных операторов или отсутствие документации, являются распространенным явлением и свидетельствуют о пробелах в системах лицензирования, регистрации и регулирования квот. В 71 случае способ незаконной торговли был указан как «неизвестный».</w:t>
      </w:r>
    </w:p>
    <w:p w14:paraId="08F54EDE" w14:textId="3BEC85D2"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Среди новых заявленных случаев наиболее распространенными способами были сочетание недекларирования веществ и контрабанд</w:t>
      </w:r>
      <w:r w:rsidR="00A079A5">
        <w:rPr>
          <w:lang w:val="ru-RU"/>
        </w:rPr>
        <w:t>ы</w:t>
      </w:r>
      <w:r>
        <w:rPr>
          <w:lang w:val="ru-RU"/>
        </w:rPr>
        <w:t xml:space="preserve"> одноразовых баллонов (61 случай). В 68</w:t>
      </w:r>
      <w:r w:rsidR="007D254D">
        <w:rPr>
          <w:lang w:val="ru-RU"/>
        </w:rPr>
        <w:t> </w:t>
      </w:r>
      <w:r>
        <w:rPr>
          <w:lang w:val="ru-RU"/>
        </w:rPr>
        <w:t xml:space="preserve">случаях было заявлено отсутствие лицензий и квот, а в 40 случаях </w:t>
      </w:r>
      <w:r w:rsidR="007D254D">
        <w:rPr>
          <w:lang w:val="ru-RU"/>
        </w:rPr>
        <w:t>–</w:t>
      </w:r>
      <w:r>
        <w:rPr>
          <w:lang w:val="ru-RU"/>
        </w:rPr>
        <w:t xml:space="preserve"> неверное указание состава. Во многих случаях применялись два способа или более двух, что подчеркивает многоуровневый характер методов незаконной торговли.</w:t>
      </w:r>
    </w:p>
    <w:p w14:paraId="45DF407D" w14:textId="7F3EA976" w:rsidR="006A1F5E" w:rsidRPr="00694025" w:rsidRDefault="007D254D" w:rsidP="007F5EEB">
      <w:pPr>
        <w:pStyle w:val="CH4"/>
        <w:keepNext w:val="0"/>
        <w:keepLines w:val="0"/>
        <w:tabs>
          <w:tab w:val="clear" w:pos="1247"/>
          <w:tab w:val="clear" w:pos="1871"/>
          <w:tab w:val="clear" w:pos="2495"/>
          <w:tab w:val="clear" w:pos="3119"/>
          <w:tab w:val="clear" w:pos="3742"/>
          <w:tab w:val="clear" w:pos="4366"/>
          <w:tab w:val="clear" w:pos="4990"/>
        </w:tabs>
        <w:spacing w:before="0"/>
      </w:pPr>
      <w:r>
        <w:rPr>
          <w:bCs/>
          <w:lang w:val="ru-RU"/>
        </w:rPr>
        <w:tab/>
      </w:r>
      <w:r w:rsidR="006A1F5E">
        <w:rPr>
          <w:bCs/>
          <w:lang w:val="ru-RU"/>
        </w:rPr>
        <w:t>b)</w:t>
      </w:r>
      <w:r w:rsidR="006A1F5E">
        <w:rPr>
          <w:lang w:val="ru-RU"/>
        </w:rPr>
        <w:tab/>
      </w:r>
      <w:r w:rsidR="006A1F5E">
        <w:rPr>
          <w:bCs/>
          <w:lang w:val="ru-RU"/>
        </w:rPr>
        <w:t>Способы обнаружения</w:t>
      </w:r>
      <w:r w:rsidR="006A1F5E">
        <w:rPr>
          <w:lang w:val="ru-RU"/>
        </w:rPr>
        <w:t xml:space="preserve"> </w:t>
      </w:r>
    </w:p>
    <w:p w14:paraId="20B9CAD6" w14:textId="585E63ED"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 представленных сведениях указывается, что выявление нарушений осуществляется преимущественно в ходе плановых таможенных проверок в пунктах пропуска. Наиболее часто упоминаемыми способами являются выборочные проверки (253 случая), проверка документации (188 случаев) и физический осмотр грузов (157 случаев). О более адресных подходах сообщалось реже, в том числе об использовании оперативных данных или информации от осведомителей (25 случаев) и о составлении характеристик рисков (29 случаев). Другие способы включали мониторинг и анализ данных на предмет расхождений (5 случаев), проверк</w:t>
      </w:r>
      <w:r w:rsidR="00A079A5">
        <w:rPr>
          <w:lang w:val="ru-RU"/>
        </w:rPr>
        <w:t>у</w:t>
      </w:r>
      <w:r>
        <w:rPr>
          <w:lang w:val="ru-RU"/>
        </w:rPr>
        <w:t xml:space="preserve"> после выпуска товаров таможней (4 случая), лабораторные анализы содержания баллонов (2 случая), предотвращение незаконной торговли с помощью неформальной процедуры предварительного обоснованного согласия (НПОС) (1 случай), самостоятельно предоставленную информацию (1 случай) и рентгенографи</w:t>
      </w:r>
      <w:r w:rsidR="0047750B">
        <w:rPr>
          <w:lang w:val="ru-RU"/>
        </w:rPr>
        <w:t>ю</w:t>
      </w:r>
      <w:r>
        <w:rPr>
          <w:lang w:val="ru-RU"/>
        </w:rPr>
        <w:t xml:space="preserve"> груза (1 случай). Использование идентификаторов хладагентов упоминалось в 13 случаях, в том числе в сочетании с другими способами.</w:t>
      </w:r>
    </w:p>
    <w:p w14:paraId="12A73BE7" w14:textId="1817F141"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 xml:space="preserve">В новых заявленных случаях проверки документов и грузов по-прежнему оставались наиболее распространенными способами </w:t>
      </w:r>
      <w:r w:rsidR="00AC2CE9">
        <w:rPr>
          <w:lang w:val="ru-RU"/>
        </w:rPr>
        <w:t>–</w:t>
      </w:r>
      <w:r>
        <w:rPr>
          <w:lang w:val="ru-RU"/>
        </w:rPr>
        <w:t xml:space="preserve"> на их долю пришлось 82 случая, что свидетельствует о сохраняющейся зависимости от этих первичных мер контроля. Две Стороны, </w:t>
      </w:r>
      <w:r>
        <w:rPr>
          <w:lang w:val="ru-RU"/>
        </w:rPr>
        <w:lastRenderedPageBreak/>
        <w:t>которые сообщили об отсутствии случаев незаконной торговли, объяснили эту ситуацию межведомственным сотрудничеством между таможенными и другими правоприменительными органами в целях внедрения подходов к управлению рисками, направленных на предотвращение незаконной торговли.</w:t>
      </w:r>
    </w:p>
    <w:p w14:paraId="34B1BD53" w14:textId="6F9C96AF" w:rsidR="006A1F5E" w:rsidRPr="003206C9" w:rsidRDefault="006A1F5E" w:rsidP="007F5EEB">
      <w:pPr>
        <w:pStyle w:val="Normalnumber"/>
        <w:tabs>
          <w:tab w:val="clear" w:pos="1247"/>
          <w:tab w:val="clear" w:pos="1814"/>
          <w:tab w:val="clear" w:pos="2381"/>
          <w:tab w:val="clear" w:pos="2948"/>
          <w:tab w:val="clear" w:pos="3515"/>
        </w:tabs>
        <w:rPr>
          <w:rFonts w:eastAsia="Aptos"/>
          <w:kern w:val="2"/>
          <w:lang w:val="ru-RU"/>
          <w14:ligatures w14:val="standardContextual"/>
        </w:rPr>
      </w:pPr>
      <w:r>
        <w:rPr>
          <w:lang w:val="ru-RU"/>
        </w:rPr>
        <w:t>Эти данные подчеркивают важность поддержания высокого уровня инспекционных возможностей на первичном этапе, поскольку стандартные таможенные проверки по-прежнему играют ключевую роль в выявлении грузов, не соответствующих требованиям. В то же время сосредоточение мер по выявлению нарушений в рамках процессов, осуществляемых таможенными органами, может свидетельствовать об ограниченном участии других правоприменительных субъектов, что создает риск того, что не будут обнаружены грузы, не подлежащие досмотру. Относительно ограниченное применение подходов, основанных на оперативных данных и оценке рисков, свидетельствует о наличии возможностей для дальнейшего укрепления сопутствующих мер. Более тесная интеграция разведывательной информации, анализа рисков и технических средств в сочетании с расширением межведомственного сотрудничества может повысить способность правоприменительных органов выявлять больше случаев незаконной торговли и способствовать принятию более комплексных мер по обеспечению соблюдения законодательства.</w:t>
      </w:r>
    </w:p>
    <w:p w14:paraId="21B8D9AB" w14:textId="654DB6BA" w:rsidR="006A1F5E" w:rsidRPr="00863BBD" w:rsidRDefault="006A1F5E" w:rsidP="007F5EEB">
      <w:pPr>
        <w:pStyle w:val="Normalnumber"/>
        <w:tabs>
          <w:tab w:val="clear" w:pos="1247"/>
          <w:tab w:val="clear" w:pos="1814"/>
          <w:tab w:val="clear" w:pos="2381"/>
          <w:tab w:val="clear" w:pos="2948"/>
          <w:tab w:val="clear" w:pos="3515"/>
        </w:tabs>
        <w:rPr>
          <w:rFonts w:eastAsia="Aptos"/>
          <w:kern w:val="2"/>
          <w:lang w:val="ru-RU"/>
          <w14:ligatures w14:val="standardContextual"/>
        </w:rPr>
      </w:pPr>
      <w:r>
        <w:rPr>
          <w:lang w:val="ru-RU"/>
        </w:rPr>
        <w:t>Другая категория случаев включает те, в которых способ обнаружения не указан или детали неясны и сочетаются с другой информацией. В 397 случаях (включая некоторые новые заявленные случаи) полное понимание правоприменительных методов и их результатов невозможно по причине недостаточности представленных данных. Секретариат продолжает взаимодействовать со Сторонами в целях уточнения представленной информации, стремясь повысить ее полноту и единообразие, при этом учитывая необходимость не увеличивать нагрузку по представлению сведений для Сторон.</w:t>
      </w:r>
    </w:p>
    <w:p w14:paraId="4B8337A8" w14:textId="698EFD6A" w:rsidR="006A1F5E" w:rsidRPr="00694025" w:rsidRDefault="00AC2CE9" w:rsidP="007F5EEB">
      <w:pPr>
        <w:pStyle w:val="CH4"/>
        <w:keepNext w:val="0"/>
        <w:keepLines w:val="0"/>
        <w:tabs>
          <w:tab w:val="clear" w:pos="1247"/>
          <w:tab w:val="clear" w:pos="1871"/>
          <w:tab w:val="clear" w:pos="2495"/>
          <w:tab w:val="clear" w:pos="3119"/>
          <w:tab w:val="clear" w:pos="3742"/>
          <w:tab w:val="clear" w:pos="4366"/>
          <w:tab w:val="clear" w:pos="4990"/>
        </w:tabs>
        <w:spacing w:before="0"/>
      </w:pPr>
      <w:r>
        <w:rPr>
          <w:bCs/>
          <w:lang w:val="ru-RU"/>
        </w:rPr>
        <w:tab/>
      </w:r>
      <w:r w:rsidR="006A1F5E">
        <w:rPr>
          <w:bCs/>
          <w:lang w:val="ru-RU"/>
        </w:rPr>
        <w:t>c)</w:t>
      </w:r>
      <w:r w:rsidR="006A1F5E">
        <w:rPr>
          <w:lang w:val="ru-RU"/>
        </w:rPr>
        <w:tab/>
      </w:r>
      <w:r w:rsidR="006A1F5E">
        <w:rPr>
          <w:bCs/>
          <w:lang w:val="ru-RU"/>
        </w:rPr>
        <w:t>Меры по обеспечению соблюдения</w:t>
      </w:r>
      <w:r w:rsidR="006A1F5E">
        <w:rPr>
          <w:lang w:val="ru-RU"/>
        </w:rPr>
        <w:t xml:space="preserve"> </w:t>
      </w:r>
    </w:p>
    <w:p w14:paraId="03FB0D43" w14:textId="7167E0D9"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Анализ всех 1107 заявленных случаев показывает, что меры по обеспечению соблюдения</w:t>
      </w:r>
      <w:r w:rsidRPr="00B91BAD">
        <w:rPr>
          <w:vertAlign w:val="superscript"/>
          <w:lang w:val="ru-RU"/>
        </w:rPr>
        <w:footnoteReference w:id="8"/>
      </w:r>
      <w:r>
        <w:rPr>
          <w:lang w:val="ru-RU"/>
        </w:rPr>
        <w:t xml:space="preserve"> различаются по типу и степени строгости. Меры применяются поэтапно и в сочетании друг с другом в соответствии с циклом правоприменения.</w:t>
      </w:r>
    </w:p>
    <w:p w14:paraId="51388606" w14:textId="3C393033"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 xml:space="preserve">При выявлении факта незаконной торговли </w:t>
      </w:r>
      <w:r w:rsidR="00FF650E">
        <w:rPr>
          <w:lang w:val="ru-RU"/>
        </w:rPr>
        <w:t xml:space="preserve">изъятие </w:t>
      </w:r>
      <w:r>
        <w:rPr>
          <w:lang w:val="ru-RU"/>
        </w:rPr>
        <w:t>(что понимается как временный запрет распоряжаться и пользоваться товаром)</w:t>
      </w:r>
      <w:r w:rsidRPr="00020A6E">
        <w:rPr>
          <w:vertAlign w:val="superscript"/>
          <w:lang w:val="ru-RU"/>
        </w:rPr>
        <w:footnoteReference w:id="9"/>
      </w:r>
      <w:r>
        <w:rPr>
          <w:lang w:val="ru-RU"/>
        </w:rPr>
        <w:t xml:space="preserve"> регулируемых веществ или оборудования, которые были импортированы или в отношении которых предпринята попытка незаконного экспорта, во многих случаях служит первичной мерой для воспрепятствования поступлению товаров на рынок до выяснения обстоятельств в ходе расследования. После изъятия следует жалоба в административные или судебные органы и возбуждение административных или уголовных процессуальных действий, причем в качестве основания для возбуждения процессуальных действий указывались законы о борьбе с контрабандой и (или) об охране окружающей среды.</w:t>
      </w:r>
    </w:p>
    <w:p w14:paraId="007A8759" w14:textId="508D1ABF"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Юридические исходы разбирательств в отношении заявленных случаев включают:</w:t>
      </w:r>
    </w:p>
    <w:p w14:paraId="77A71BC6" w14:textId="03B0C2F7" w:rsidR="006A1F5E" w:rsidRPr="00863BBD" w:rsidRDefault="006A1F5E" w:rsidP="007F5EEB">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изъятие или к</w:t>
      </w:r>
      <w:r w:rsidR="006F28FD">
        <w:rPr>
          <w:lang w:val="ru-RU"/>
        </w:rPr>
        <w:t>онфискацию</w:t>
      </w:r>
      <w:r>
        <w:rPr>
          <w:lang w:val="ru-RU"/>
        </w:rPr>
        <w:t xml:space="preserve"> (окончательное лишение права владения)</w:t>
      </w:r>
      <w:r w:rsidRPr="009114A2">
        <w:rPr>
          <w:vertAlign w:val="superscript"/>
          <w:lang w:val="ru-RU"/>
        </w:rPr>
        <w:footnoteReference w:id="10"/>
      </w:r>
      <w:r>
        <w:rPr>
          <w:lang w:val="ru-RU"/>
        </w:rPr>
        <w:t xml:space="preserve"> </w:t>
      </w:r>
      <w:r w:rsidR="0018214E">
        <w:rPr>
          <w:lang w:val="ru-RU"/>
        </w:rPr>
        <w:t>–</w:t>
      </w:r>
      <w:r>
        <w:rPr>
          <w:lang w:val="ru-RU"/>
        </w:rPr>
        <w:t xml:space="preserve"> зарегистрировано примерно в 636 случаях;</w:t>
      </w:r>
    </w:p>
    <w:p w14:paraId="60E16ED8" w14:textId="2F343A46" w:rsidR="006A1F5E" w:rsidRPr="003206C9" w:rsidRDefault="00C002AF" w:rsidP="007F5EEB">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в</w:t>
      </w:r>
      <w:r w:rsidR="006A1F5E">
        <w:rPr>
          <w:lang w:val="ru-RU"/>
        </w:rPr>
        <w:t xml:space="preserve"> примерно 265 случаях были наложены денежные штрафы в большом диапазоне размеров с учетом характера и масштаба нарушения: от 25 долл. США за незаконный импорт 36 кг ГФУ-134а и ХФУ-12 на территорию Стороны, действующей в рамках статьи 5, путем сокрытия, до 12 700 долл. США за незаконный импорт 544 кг ГХФУ-22 на территорию Стороны, действующей в рамках статьи 5, без лицензии и путем неправильного декларирования, и штраф в размере 40 000 долл. CША за незаконный импорт 22 900 кг ГХФУ</w:t>
      </w:r>
      <w:r w:rsidR="0018214E">
        <w:rPr>
          <w:lang w:val="ru-RU"/>
        </w:rPr>
        <w:noBreakHyphen/>
      </w:r>
      <w:r w:rsidR="006A1F5E">
        <w:rPr>
          <w:lang w:val="ru-RU"/>
        </w:rPr>
        <w:t>22 на территорию Стороны, не действующей в рамках статьи 5, путем неправильного декларирования и неправильной маркировки;</w:t>
      </w:r>
    </w:p>
    <w:p w14:paraId="436639D9" w14:textId="641D4865" w:rsidR="006A1F5E" w:rsidRPr="00863BBD" w:rsidRDefault="006A1F5E" w:rsidP="007F5EEB">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lastRenderedPageBreak/>
        <w:t xml:space="preserve">реэкспорт или отказ во ввозе, включая товары, возвращенные в страну происхождения или не допущенные </w:t>
      </w:r>
      <w:r w:rsidR="003206C9">
        <w:rPr>
          <w:lang w:val="ru-RU"/>
        </w:rPr>
        <w:t>к</w:t>
      </w:r>
      <w:r>
        <w:rPr>
          <w:lang w:val="ru-RU"/>
        </w:rPr>
        <w:t xml:space="preserve"> ввозу на границе, были заявлены примерно в 215</w:t>
      </w:r>
      <w:r w:rsidR="0018214E">
        <w:rPr>
          <w:lang w:val="ru-RU"/>
        </w:rPr>
        <w:t> </w:t>
      </w:r>
      <w:r>
        <w:rPr>
          <w:lang w:val="ru-RU"/>
        </w:rPr>
        <w:t>случаях;</w:t>
      </w:r>
    </w:p>
    <w:p w14:paraId="43C60A74" w14:textId="0FAFD13C" w:rsidR="006A1F5E" w:rsidRPr="00863BBD" w:rsidRDefault="006A1F5E" w:rsidP="007F5EEB">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 xml:space="preserve">уголовное преследование возбуждалось примерно в 63 случаях в отношении физических и юридических лиц, занимавшихся незаконной торговлей, завершившееся, в том числе, конфискацией, штрафами, приостановлением или аннулированием лицензий, арестами, а в некоторых случаях </w:t>
      </w:r>
      <w:r w:rsidR="0062337F">
        <w:rPr>
          <w:lang w:val="ru-RU"/>
        </w:rPr>
        <w:t>–</w:t>
      </w:r>
      <w:r>
        <w:rPr>
          <w:lang w:val="ru-RU"/>
        </w:rPr>
        <w:t xml:space="preserve"> лишением свободы;</w:t>
      </w:r>
    </w:p>
    <w:p w14:paraId="1F8BEF11" w14:textId="77777777" w:rsidR="006A1F5E" w:rsidRPr="00863BBD" w:rsidRDefault="006A1F5E" w:rsidP="007F5EEB">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 xml:space="preserve">примерно в 26 случаях зарегистрировано вынесение предписаний, обязывающих нарушителей привести деятельность в соответствие с действующими системами лицензирования и квотирования до выпуска или законного оборота товаров; </w:t>
      </w:r>
    </w:p>
    <w:p w14:paraId="565F1A5E" w14:textId="77777777" w:rsidR="006A1F5E" w:rsidRPr="00863BBD" w:rsidRDefault="006A1F5E" w:rsidP="007F5EEB">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 xml:space="preserve">примерно в 44 случаях зарегистрировано закрытие дел в результате урегулирования или заключения административного соглашения между правонарушителями и государственными органами; </w:t>
      </w:r>
    </w:p>
    <w:p w14:paraId="19837506" w14:textId="0E1858BA" w:rsidR="006A1F5E" w:rsidRPr="003206C9" w:rsidRDefault="006A1F5E" w:rsidP="007F5EEB">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другие правоприменительные меры, в том числе уничтожение товаров за счет нарушителя (12 случаев), вынесение предупреждений или направление уведомлений (12</w:t>
      </w:r>
      <w:r w:rsidR="0018214E">
        <w:rPr>
          <w:lang w:val="ru-RU"/>
        </w:rPr>
        <w:t> </w:t>
      </w:r>
      <w:r>
        <w:rPr>
          <w:lang w:val="ru-RU"/>
        </w:rPr>
        <w:t>случаев), а также приостановление действия, аннулирование или перераспределение лицензий и квот, в частности в случаях превышения квот и нарушений, связанных с документацией.</w:t>
      </w:r>
    </w:p>
    <w:p w14:paraId="632D17BB" w14:textId="03A884CA"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 новых заявленных случаях наиболее распространенными правоприменительными мерами были конфискация или изъятие, отказ во ввозе или реэкспорте, денежные штрафы или предписания об уплате штрафа, а также прекращение дел после урегулирования (подробнее о способах урегулирования см. пункт 33 ниже).</w:t>
      </w:r>
    </w:p>
    <w:p w14:paraId="53F455BF" w14:textId="7607A09C" w:rsidR="006A1F5E" w:rsidRPr="00863BBD" w:rsidRDefault="00D60152" w:rsidP="007F5EEB">
      <w:pPr>
        <w:pStyle w:val="Normalnumber"/>
        <w:tabs>
          <w:tab w:val="clear" w:pos="1247"/>
          <w:tab w:val="clear" w:pos="1814"/>
          <w:tab w:val="clear" w:pos="2381"/>
          <w:tab w:val="clear" w:pos="2948"/>
          <w:tab w:val="clear" w:pos="3515"/>
        </w:tabs>
        <w:rPr>
          <w:lang w:val="ru-RU"/>
        </w:rPr>
      </w:pPr>
      <w:r>
        <w:rPr>
          <w:lang w:val="ru-RU"/>
        </w:rPr>
        <w:t>Исходя из рассмотренных случаев, применение сочетания правоприменительных мер и соответствующих санкций на основе комплексной нормативно-правовой базы представляет собой более результативную правоприменительную реакцию. Например, штрафы за нарушения могут налагаться в сочетании с другими мерами наказания, такими как конфискация, реэкспорт или уничтожение за счет нарушителя. В таких случаях общее финансовое бремя для нарушителя может быть значительным, что служит эффективным сдерживающим фактором.</w:t>
      </w:r>
    </w:p>
    <w:p w14:paraId="5F8A610B" w14:textId="17CE0140" w:rsidR="006A1F5E" w:rsidRPr="00863BBD" w:rsidRDefault="00834507" w:rsidP="007F5EEB">
      <w:pPr>
        <w:pStyle w:val="Normalnumber"/>
        <w:tabs>
          <w:tab w:val="clear" w:pos="1247"/>
          <w:tab w:val="clear" w:pos="1814"/>
          <w:tab w:val="clear" w:pos="2381"/>
          <w:tab w:val="clear" w:pos="2948"/>
          <w:tab w:val="clear" w:pos="3515"/>
        </w:tabs>
        <w:rPr>
          <w:lang w:val="ru-RU"/>
        </w:rPr>
      </w:pPr>
      <w:r>
        <w:rPr>
          <w:lang w:val="ru-RU"/>
        </w:rPr>
        <w:t>«Текущие» расследования, уголовные преследования и судебные разбирательства упоминаются в примерно 153 случаях. В 60 случаях окончательный исход правоприменения установить не удалось из-за ограниченной информации, предоставленной Сторонами. Это может быть связано с задержками в административных или судебных процессах, особенно в случаях, требующих межведомственной координации, либо с пробелами в системах отслеживания случаев и представления сведений. В последние годы секретариат призывал Стороны предоставлять обновленную информацию о ранее заявленных случаях с целью повышения полноты данных о результатах и содействия более точной оценке эффективности правоприменительных мер как среди Сторон, действующих в рамках статьи 5, так и среди Сторон, не действующих в рамках статьи 5.</w:t>
      </w:r>
    </w:p>
    <w:p w14:paraId="5AB9C8F9" w14:textId="57108D85" w:rsidR="006A1F5E" w:rsidRPr="00694025" w:rsidRDefault="0018214E" w:rsidP="007F5EEB">
      <w:pPr>
        <w:pStyle w:val="CH4"/>
        <w:keepNext w:val="0"/>
        <w:keepLines w:val="0"/>
        <w:tabs>
          <w:tab w:val="clear" w:pos="1247"/>
          <w:tab w:val="clear" w:pos="1871"/>
          <w:tab w:val="clear" w:pos="2495"/>
          <w:tab w:val="clear" w:pos="3119"/>
          <w:tab w:val="clear" w:pos="3742"/>
          <w:tab w:val="clear" w:pos="4366"/>
          <w:tab w:val="clear" w:pos="4990"/>
        </w:tabs>
        <w:spacing w:before="0"/>
      </w:pPr>
      <w:r>
        <w:rPr>
          <w:bCs/>
          <w:lang w:val="ru-RU"/>
        </w:rPr>
        <w:tab/>
      </w:r>
      <w:r w:rsidR="006A1F5E">
        <w:rPr>
          <w:bCs/>
          <w:lang w:val="ru-RU"/>
        </w:rPr>
        <w:t>d)</w:t>
      </w:r>
      <w:r w:rsidR="006A1F5E">
        <w:rPr>
          <w:lang w:val="ru-RU"/>
        </w:rPr>
        <w:tab/>
      </w:r>
      <w:r w:rsidR="006A1F5E">
        <w:rPr>
          <w:bCs/>
          <w:lang w:val="ru-RU"/>
        </w:rPr>
        <w:t>Удаление задержанных веществ</w:t>
      </w:r>
    </w:p>
    <w:p w14:paraId="245FDA77" w14:textId="5512BEF4"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 пункте 5 решения XXXVI/9 Сторонам было предложено представить информацию о способах решения ими вопроса об удалении задержанных веществ (понимается как окончательная обработка задержанного вещества, включая, в соответствующих случаях, его уничтожение или передачу права собственности на него или контроля над ним после завершения юридических разбирательств). Эффективное удаление обеспечивает исключение из оборота товаров, на которые распространяются ограничения или запреты, и предотвращает их повторное поступление на легальные рынки.</w:t>
      </w:r>
    </w:p>
    <w:p w14:paraId="0C4CD130" w14:textId="610FDFF0"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Анализ методов удаления, заявленных Сторонами, показал, что уничтожение, о котором заявлено в 283 случаях, является наиболее часто применяемым методом окончательного удаления и использовалось в основном для веществ с высоким озоноразрушающим потенциалом или потенциалом глобального потепления. Использование этого метода в заявленных случаях отражает наличие соответствующих объектов по уничтожению.</w:t>
      </w:r>
    </w:p>
    <w:p w14:paraId="7A01DCA0" w14:textId="027375BB"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 137 случаях, когда товары не могли быть импортированы законным образом, они были реэкспортированы (т. е. возвращены в экспортирующую страну). Хотя реэкспорт может решить проблему несоблюдения требований при импорте в краткосрочной перспективе, его эффективность зависит от последующих мер контроля в стране-экспортере, а также от наличия надлежащей координации, обеспечивающей, чтобы возвращенные товары не попадали обратно в оборот.</w:t>
      </w:r>
    </w:p>
    <w:p w14:paraId="3479DD30" w14:textId="43287A9E"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lastRenderedPageBreak/>
        <w:t>В 61 случае было заявлено о возвращении товаров в оборот после устранения первоначального нарушения. В 44 из этих случаев товары были выпущены непосредственно владельцу либо после урегулирования условий ввоза, когда требования к ввозу были впоследствии выполнены путем представления действующих лицензий, квот или иной необходимой документации, либо после уплаты штрафа или выдачи предписания о приведении в соответствие. Еще в восьми случаях, когда товары были первоначально задержаны до завершения проверки, их экспорт или реэкспорт был разрешен после представления действующей лицензии на импорт или выполнения всех требований к документации. В остальных девяти случаях речь шла о выпуске продукции на рынок или в широкий оборот после выполнения применимых нормативных требований либо после принятия административного решения об отсутствии умышленного нарушения.</w:t>
      </w:r>
    </w:p>
    <w:p w14:paraId="4227460A" w14:textId="043F21DB" w:rsidR="006A1F5E" w:rsidRPr="00863BBD" w:rsidRDefault="006A1F5E" w:rsidP="007F5EEB">
      <w:pPr>
        <w:pStyle w:val="Normalnumber"/>
        <w:tabs>
          <w:tab w:val="clear" w:pos="1247"/>
          <w:tab w:val="clear" w:pos="1814"/>
          <w:tab w:val="clear" w:pos="2381"/>
          <w:tab w:val="clear" w:pos="2948"/>
          <w:tab w:val="clear" w:pos="3515"/>
        </w:tabs>
        <w:rPr>
          <w:lang w:val="ru-RU"/>
        </w:rPr>
      </w:pPr>
      <w:r>
        <w:rPr>
          <w:lang w:val="ru-RU"/>
        </w:rPr>
        <w:t xml:space="preserve">Другие указанные варианты включали продажу товаров с аукциона компаниям, имеющим соответствующие права. Хотя такой подход может позволить административным органам восстановить ресурсы, доступные квоты не должны превышаться. Также указывалось хранение на складах таможенных органов. В этих случаях окончательные результаты процессов неизвестны, а обновленная информация не была предоставлена секретариату. В небольшом числе случаев заявлялось об обращение с веществом, включающим его отправку на переработку или безвозмездную передачу морским службам. </w:t>
      </w:r>
    </w:p>
    <w:p w14:paraId="77B6D209" w14:textId="45D9F4CA" w:rsidR="006A1F5E" w:rsidRPr="00863BBD" w:rsidRDefault="006A1F5E" w:rsidP="007F5EEB">
      <w:pPr>
        <w:pStyle w:val="Normalnumber"/>
        <w:tabs>
          <w:tab w:val="clear" w:pos="1247"/>
          <w:tab w:val="clear" w:pos="1814"/>
          <w:tab w:val="clear" w:pos="2381"/>
          <w:tab w:val="clear" w:pos="2948"/>
          <w:tab w:val="clear" w:pos="3515"/>
        </w:tabs>
        <w:rPr>
          <w:lang w:val="ru-RU"/>
        </w:rPr>
      </w:pPr>
      <w:r>
        <w:rPr>
          <w:lang w:val="ru-RU"/>
        </w:rPr>
        <w:t>В значительном числе случаев (507) окончательное удаление не указывалось. Эти случаи могут быть связаны с ведущимися расследованиями, ожидаемыми решениями или незаконченными разбирательствами. В целом, национальные процедуры удаления регулируемых веществ, включая конкретные сроки для рассмотрения дел, можно считать передовыми методами, которые могут предотвратить накопление и случайную утечку задержанных веществ во время хранения. Усиление представления сведений о конечных результатах может способствовать улучшению мониторинга и помочь выявить дополнительные эффективные подходы к режиму задержанных регулируемых веществ.</w:t>
      </w:r>
    </w:p>
    <w:p w14:paraId="3BA48C65" w14:textId="3111F8C4" w:rsidR="006A1F5E" w:rsidRPr="003206C9" w:rsidRDefault="0018214E" w:rsidP="007F5EEB">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6A1F5E">
        <w:rPr>
          <w:bCs/>
          <w:lang w:val="ru-RU"/>
        </w:rPr>
        <w:t>2.</w:t>
      </w:r>
      <w:r w:rsidR="006A1F5E">
        <w:rPr>
          <w:lang w:val="ru-RU"/>
        </w:rPr>
        <w:tab/>
      </w:r>
      <w:r w:rsidR="006A1F5E">
        <w:rPr>
          <w:bCs/>
          <w:lang w:val="ru-RU"/>
        </w:rPr>
        <w:t>Случаи, о которых сообщается в соответствии с решением XXXI/3</w:t>
      </w:r>
      <w:r w:rsidR="006A1F5E">
        <w:rPr>
          <w:lang w:val="ru-RU"/>
        </w:rPr>
        <w:t xml:space="preserve"> </w:t>
      </w:r>
    </w:p>
    <w:p w14:paraId="32AAD28A" w14:textId="450D63CC" w:rsidR="006A1F5E" w:rsidRPr="00876D12" w:rsidRDefault="006A1F5E" w:rsidP="007F5EEB">
      <w:pPr>
        <w:pStyle w:val="Normalnumber"/>
        <w:tabs>
          <w:tab w:val="clear" w:pos="1247"/>
          <w:tab w:val="clear" w:pos="1814"/>
          <w:tab w:val="clear" w:pos="2381"/>
          <w:tab w:val="clear" w:pos="2948"/>
          <w:tab w:val="clear" w:pos="3515"/>
        </w:tabs>
        <w:rPr>
          <w:lang w:val="ru-RU"/>
        </w:rPr>
      </w:pPr>
      <w:r>
        <w:rPr>
          <w:lang w:val="ru-RU"/>
        </w:rPr>
        <w:t xml:space="preserve">В период 2022–2026 годов четыре Стороны, а именно Китай, Королевство Нидерландов, Соединенное Королевство </w:t>
      </w:r>
      <w:r w:rsidR="00704922">
        <w:rPr>
          <w:lang w:val="ru-RU"/>
        </w:rPr>
        <w:t xml:space="preserve">Великобритании и Северной Ирландии </w:t>
      </w:r>
      <w:r>
        <w:rPr>
          <w:lang w:val="ru-RU"/>
        </w:rPr>
        <w:t>и Соединенные Штаты Америки, заявили о 31 случае незаконного производства и потребления в соответствии с пунктом 5 d) решения XXXI/3. Некоторые из этих случаев связаны с незаконным импортом.</w:t>
      </w:r>
    </w:p>
    <w:p w14:paraId="5E5BB56C" w14:textId="054EA9AA"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Данные виды деятельности в основном характеризуются нарушениями, связанными с квотами, в том числе импортом регулируемых ГФУ без надлежащих квот или разрешений. В других заявленных случаях речь идет о незаконном производстве таких веществ, как ГХФУ</w:t>
      </w:r>
      <w:r w:rsidR="0018214E">
        <w:rPr>
          <w:lang w:val="ru-RU"/>
        </w:rPr>
        <w:noBreakHyphen/>
      </w:r>
      <w:r>
        <w:rPr>
          <w:lang w:val="ru-RU"/>
        </w:rPr>
        <w:t>141b, ГХФУ-22 и ГФУ, а также о продаже или распространении запрещенных товаров, в том числе одноразовых баллонов, содержащих ГФУ-134a, в нарушение национальных нормативно-правовых требований. В некоторых случаях также отмечаются нарушения нормативных требований, в том числе отсутствие необходимой сертификации или маркировки.</w:t>
      </w:r>
    </w:p>
    <w:p w14:paraId="7F4BE066" w14:textId="0F806AA6"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 xml:space="preserve">Среди методов выявления, о которых сообщалось в этих случаях, были физический досмотр, заявления информаторов, а также подходы, основанные на данных, такие как системы представления сведений и перекрестной сверки, а также анализ данных таможенных органов. Также сообщалось о механизмах трансграничного обмена информацией, в том числе между Соединенным Королевством </w:t>
      </w:r>
      <w:r w:rsidR="00704922" w:rsidRPr="00704922">
        <w:rPr>
          <w:lang w:val="ru-RU"/>
        </w:rPr>
        <w:t xml:space="preserve">Великобритании и Северной Ирландии </w:t>
      </w:r>
      <w:r>
        <w:rPr>
          <w:lang w:val="ru-RU"/>
        </w:rPr>
        <w:t>и Европейским союзом.</w:t>
      </w:r>
    </w:p>
    <w:p w14:paraId="1CECA60A" w14:textId="6D52A716" w:rsidR="006A1F5E" w:rsidRPr="00863BBD" w:rsidRDefault="006A1F5E" w:rsidP="0018214E">
      <w:pPr>
        <w:pStyle w:val="Normalnumber"/>
        <w:tabs>
          <w:tab w:val="clear" w:pos="1247"/>
          <w:tab w:val="clear" w:pos="1814"/>
          <w:tab w:val="clear" w:pos="2381"/>
          <w:tab w:val="clear" w:pos="2948"/>
          <w:tab w:val="clear" w:pos="3515"/>
        </w:tabs>
        <w:spacing w:after="240"/>
        <w:rPr>
          <w:lang w:val="ru-RU"/>
        </w:rPr>
      </w:pPr>
      <w:r>
        <w:rPr>
          <w:lang w:val="ru-RU"/>
        </w:rPr>
        <w:t>Заявленные правоприменительные меры включают целый ряд административных, гражданско-правовых и уголовных мер, в том числе отзыв и перераспределение квот или разрешений на потребление, изъятие и уничтожение веществ и денежны</w:t>
      </w:r>
      <w:r w:rsidR="002D7FAF">
        <w:rPr>
          <w:lang w:val="ru-RU"/>
        </w:rPr>
        <w:t>е</w:t>
      </w:r>
      <w:r>
        <w:rPr>
          <w:lang w:val="ru-RU"/>
        </w:rPr>
        <w:t xml:space="preserve"> штраф</w:t>
      </w:r>
      <w:r w:rsidR="002D7FAF">
        <w:rPr>
          <w:lang w:val="ru-RU"/>
        </w:rPr>
        <w:t>ы</w:t>
      </w:r>
      <w:r>
        <w:rPr>
          <w:lang w:val="ru-RU"/>
        </w:rPr>
        <w:t xml:space="preserve"> или санкци</w:t>
      </w:r>
      <w:r w:rsidR="00265F10">
        <w:rPr>
          <w:lang w:val="ru-RU"/>
        </w:rPr>
        <w:t>и</w:t>
      </w:r>
      <w:r>
        <w:rPr>
          <w:lang w:val="ru-RU"/>
        </w:rPr>
        <w:t xml:space="preserve">. Административные меры находят широкое применение, в частности </w:t>
      </w:r>
      <w:r w:rsidR="00D27A10">
        <w:rPr>
          <w:lang w:val="ru-RU"/>
        </w:rPr>
        <w:t>–</w:t>
      </w:r>
      <w:r>
        <w:rPr>
          <w:lang w:val="ru-RU"/>
        </w:rPr>
        <w:t xml:space="preserve"> в случаях импорта без необходимых разрешений, когда квоты или лимиты потребления корректируются в рамках установленных нормативно-правовых требований. За несоблюдение требований по получению достаточных квот применялись санкции гражданско-правового характера, тогда как в отношении запрещенной продукции, такой как баллоны одноразового использования, применялись уголовно-правовые меры, включая изъятие и уничтожение. </w:t>
      </w:r>
    </w:p>
    <w:p w14:paraId="3DAA8036" w14:textId="18227F7A" w:rsidR="006A1F5E" w:rsidRPr="00694025" w:rsidRDefault="0018214E" w:rsidP="007F5EEB">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ru-RU"/>
        </w:rPr>
        <w:tab/>
      </w:r>
      <w:r w:rsidR="006A1F5E">
        <w:rPr>
          <w:bCs/>
          <w:lang w:val="ru-RU"/>
        </w:rPr>
        <w:t>III.</w:t>
      </w:r>
      <w:r w:rsidR="006A1F5E">
        <w:rPr>
          <w:lang w:val="ru-RU"/>
        </w:rPr>
        <w:tab/>
      </w:r>
      <w:r w:rsidR="006A1F5E">
        <w:rPr>
          <w:bCs/>
          <w:lang w:val="ru-RU"/>
        </w:rPr>
        <w:t>Резюме передовых методов</w:t>
      </w:r>
    </w:p>
    <w:p w14:paraId="51056265" w14:textId="72FADCBF"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 xml:space="preserve">Всеобъемлющий обзор случаев незаконной торговли, о которых заявили Стороны, выявил несколько передовых методов, обобщенных выше, которые, как считается, эффективно поддерживают правоприменение в рамках всего цикла ответных мер на незаконную торговлю, к которым относятся профилактика, обнаружение, устранение нарушений и ликвидация </w:t>
      </w:r>
      <w:r>
        <w:rPr>
          <w:lang w:val="ru-RU"/>
        </w:rPr>
        <w:lastRenderedPageBreak/>
        <w:t>задержанных веществ. Некоторые из них, а также иные методы, уже освещались в предыдущих записках (см. пункт 6 выше). Использование этих методов свидетельствует о системном подходе к борьбе с незаконной торговлей.</w:t>
      </w:r>
    </w:p>
    <w:p w14:paraId="569CA12B" w14:textId="5EBFC1CA" w:rsidR="006A1F5E" w:rsidRPr="003206C9" w:rsidRDefault="006A1F5E" w:rsidP="007F5EEB">
      <w:pPr>
        <w:pStyle w:val="Normalnumber"/>
        <w:tabs>
          <w:tab w:val="clear" w:pos="1247"/>
          <w:tab w:val="clear" w:pos="1814"/>
          <w:tab w:val="clear" w:pos="2381"/>
          <w:tab w:val="clear" w:pos="2948"/>
          <w:tab w:val="clear" w:pos="3515"/>
        </w:tabs>
        <w:rPr>
          <w:lang w:val="ru-RU"/>
        </w:rPr>
      </w:pPr>
      <w:r>
        <w:rPr>
          <w:lang w:val="ru-RU"/>
        </w:rPr>
        <w:t>В настоящем разделе особо отмечены методы, выявленные в отношении 321 нового заявленного</w:t>
      </w:r>
      <w:r w:rsidR="0018214E">
        <w:rPr>
          <w:lang w:val="ru-RU"/>
        </w:rPr>
        <w:t xml:space="preserve"> </w:t>
      </w:r>
      <w:r>
        <w:rPr>
          <w:lang w:val="ru-RU"/>
        </w:rPr>
        <w:t xml:space="preserve">случая незаконной торговли, а также </w:t>
      </w:r>
      <w:r w:rsidR="00083BD2">
        <w:rPr>
          <w:lang w:val="ru-RU"/>
        </w:rPr>
        <w:t>6</w:t>
      </w:r>
      <w:r>
        <w:rPr>
          <w:lang w:val="ru-RU"/>
        </w:rPr>
        <w:t xml:space="preserve"> дополнительных случаев незаконного производства и потребления, что дополняет предыдущие записки:</w:t>
      </w:r>
    </w:p>
    <w:p w14:paraId="51DFDEB7" w14:textId="77777777" w:rsidR="006A1F5E" w:rsidRPr="00863BBD"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четко сформулированные законодательные и нормативно-правовые рамки, включая системы лицензирования и квотирования, подкрепленные соразмерными санкциями, создают прочную основу для правоприменения и способствуют последовательному осуществлению нормативных актов, при этом обеспечивая гибкость при реагировании на различные виды нарушений;</w:t>
      </w:r>
    </w:p>
    <w:p w14:paraId="146FE222" w14:textId="6AE3093A" w:rsidR="006A1F5E" w:rsidRDefault="006A1F5E" w:rsidP="007F5EEB">
      <w:pPr>
        <w:pStyle w:val="Normalnumber"/>
        <w:numPr>
          <w:ilvl w:val="0"/>
          <w:numId w:val="16"/>
        </w:numPr>
        <w:tabs>
          <w:tab w:val="clear" w:pos="1247"/>
          <w:tab w:val="clear" w:pos="1814"/>
          <w:tab w:val="clear" w:pos="2381"/>
          <w:tab w:val="clear" w:pos="2948"/>
          <w:tab w:val="clear" w:pos="3515"/>
        </w:tabs>
        <w:ind w:left="1247" w:firstLine="624"/>
      </w:pPr>
      <w:r>
        <w:rPr>
          <w:lang w:val="ru-RU"/>
        </w:rPr>
        <w:t>координация действий соответствующих национальных органов, включая таможенные службы, природоохранные ведомства и другие компетентные органы, а также трансграничное сотрудничество в области обмена информацией способствуют усилению правоприменения и содействуют предотвращению незаконной торговли, в том числе посредством систематического обмена информацией и совместных действий на пограничных пунктах перехода. Иллюстрацией такого подхода являются такие механизмы, как система НПОС;</w:t>
      </w:r>
    </w:p>
    <w:p w14:paraId="2342E90D" w14:textId="77777777" w:rsidR="006A1F5E" w:rsidRDefault="006A1F5E" w:rsidP="007F5EEB">
      <w:pPr>
        <w:pStyle w:val="Normalnumber"/>
        <w:numPr>
          <w:ilvl w:val="0"/>
          <w:numId w:val="16"/>
        </w:numPr>
        <w:tabs>
          <w:tab w:val="clear" w:pos="1247"/>
          <w:tab w:val="clear" w:pos="1814"/>
          <w:tab w:val="clear" w:pos="2381"/>
          <w:tab w:val="clear" w:pos="2948"/>
          <w:tab w:val="clear" w:pos="3515"/>
        </w:tabs>
        <w:ind w:left="1247" w:firstLine="624"/>
      </w:pPr>
      <w:r>
        <w:rPr>
          <w:lang w:val="ru-RU"/>
        </w:rPr>
        <w:t>взаимодействие с частным сектором и заинтересованными сторонами в отрасли, включая лицензированных импортеров, дистрибьюторов и отраслевые ассоциации, способствует раннему выявлению нарушений благодаря оперативной информации и добровольному представлению данных. В ряде случаев такое сотрудничество способствовало принятию правоприменительных мер;</w:t>
      </w:r>
    </w:p>
    <w:p w14:paraId="58F36220" w14:textId="22E5F5AD" w:rsidR="006A1F5E" w:rsidRPr="00863BBD"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использование современных средств обнаружения и подходов к досмотру, основанных на оценке рисков, в пунктах перехода на границе, включая устройства для идентификации хладагентов, составление характеристик рисков, лабораторные испытания и другие технологии досмотра, способствует выявлению регулируемых веществ и помогает бороться с неверным декларированием, сокрытием и другими формами несоблюдения требований;</w:t>
      </w:r>
    </w:p>
    <w:p w14:paraId="0C084DA1" w14:textId="77777777" w:rsidR="006A1F5E" w:rsidRPr="00863BBD"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дополнение пограничного контроля проверками документов после таможенного оформления и мониторингом рынка позволяет государственным органам выявлять нарушения, совершаемые после поступления товаров в оборот, в том числе превышение квот и деятельность незарегистрированных операторов, а также способствует более широкому контролю над цепочкой поставок;</w:t>
      </w:r>
    </w:p>
    <w:p w14:paraId="3596D176" w14:textId="77777777" w:rsidR="006A1F5E" w:rsidRPr="00863BBD"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постоянный мониторинг онлайн-платформ и среды электронной коммерции, осуществляемый при сотрудничестве и обмене информацией с соответствующими заинтересованными сторонами, по-прежнему имеет важное значение в связи с расширением использования цифровых каналов для незаконной торговли;</w:t>
      </w:r>
    </w:p>
    <w:p w14:paraId="75EE69A4" w14:textId="3819A13F" w:rsidR="006A1F5E" w:rsidRPr="00863BBD"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измерение нарушений в пересчете на выбросы в эквиваленте CO₂ служит основой для оценки масштабов несоблюдения требований и принятия соразмерных правоприменительных мер с учетом воздействия на окружающую среду;</w:t>
      </w:r>
    </w:p>
    <w:p w14:paraId="5657A73F" w14:textId="77777777" w:rsidR="006A1F5E" w:rsidRPr="00863BBD"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Применение механизмов корректировки квот, в том числе перераспределение отозванных квот между структурами, соблюдающими требования, способствует формированию рыночных стимулов для соблюдения требований и укрепляет приверженность системам лицензирования и квотирования;</w:t>
      </w:r>
    </w:p>
    <w:p w14:paraId="7BB800A9" w14:textId="77777777" w:rsidR="006A1F5E" w:rsidRPr="00863BBD"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 xml:space="preserve">адресные правоприменительные меры, ориентированные на вещества с высоким потенциалом глобального потепления и озоноразрушающие вещества, включая связанное с ними оборудование и виды применения, такие как хладагенты, используемые в автомобильных системах кондиционирования воздуха, и одноразовые баллоны, повышают эффективность мер контроля; </w:t>
      </w:r>
    </w:p>
    <w:p w14:paraId="5CFE5F5C" w14:textId="77777777" w:rsidR="006A1F5E" w:rsidRPr="00863BBD"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комплексные механизмы обеспечения соблюдения, сочетающие системы лицензирования, пограничный досмотр, межведомственную координацию и повышение квалификации сотрудников правоприменительных органов, способствуют повышению общей эффективности национальных систем правоприменения;</w:t>
      </w:r>
    </w:p>
    <w:p w14:paraId="259D31F4" w14:textId="77777777" w:rsidR="006A1F5E" w:rsidRPr="003206C9" w:rsidRDefault="006A1F5E" w:rsidP="007F5EEB">
      <w:pPr>
        <w:pStyle w:val="Normalnumber"/>
        <w:numPr>
          <w:ilvl w:val="0"/>
          <w:numId w:val="16"/>
        </w:numPr>
        <w:tabs>
          <w:tab w:val="clear" w:pos="1247"/>
          <w:tab w:val="clear" w:pos="1814"/>
          <w:tab w:val="clear" w:pos="2381"/>
          <w:tab w:val="clear" w:pos="2948"/>
          <w:tab w:val="clear" w:pos="3515"/>
        </w:tabs>
        <w:ind w:left="1247" w:firstLine="624"/>
        <w:rPr>
          <w:lang w:val="ru-RU"/>
        </w:rPr>
      </w:pPr>
      <w:r>
        <w:rPr>
          <w:lang w:val="ru-RU"/>
        </w:rPr>
        <w:t xml:space="preserve">наличие соответствующих установок по уничтожению отходов является ключевым условием для применения уничтожения в качестве метода удаления. В тех случаях, </w:t>
      </w:r>
      <w:r>
        <w:rPr>
          <w:lang w:val="ru-RU"/>
        </w:rPr>
        <w:lastRenderedPageBreak/>
        <w:t>когда таких установок нет внутри страны, государственные органы прибегают к реэкспорту, что может создавать риск повторного поступления товаров в оборот. Расширение доступа к национальным или региональным мощностям по уничтожению способствует повышению надежности и эффективности результатов правоприменения.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6A1F5E" w:rsidRPr="00FC2223" w14:paraId="4CB64CE2" w14:textId="77777777" w:rsidTr="00B827CE">
        <w:tc>
          <w:tcPr>
            <w:tcW w:w="1897" w:type="dxa"/>
          </w:tcPr>
          <w:p w14:paraId="1A9215D7" w14:textId="77777777" w:rsidR="006A1F5E" w:rsidRPr="003206C9" w:rsidRDefault="006A1F5E" w:rsidP="00847B47">
            <w:pPr>
              <w:pStyle w:val="Normal-pool"/>
              <w:tabs>
                <w:tab w:val="clear" w:pos="624"/>
                <w:tab w:val="clear" w:pos="1247"/>
                <w:tab w:val="clear" w:pos="1871"/>
                <w:tab w:val="clear" w:pos="2495"/>
                <w:tab w:val="clear" w:pos="3119"/>
                <w:tab w:val="clear" w:pos="3742"/>
                <w:tab w:val="clear" w:pos="4366"/>
                <w:tab w:val="clear" w:pos="4990"/>
              </w:tabs>
              <w:spacing w:before="480"/>
              <w:rPr>
                <w:lang w:val="ru-RU"/>
              </w:rPr>
            </w:pPr>
          </w:p>
        </w:tc>
        <w:tc>
          <w:tcPr>
            <w:tcW w:w="1897" w:type="dxa"/>
          </w:tcPr>
          <w:p w14:paraId="715C956C" w14:textId="77777777" w:rsidR="006A1F5E" w:rsidRPr="003206C9" w:rsidRDefault="006A1F5E" w:rsidP="00847B47">
            <w:pPr>
              <w:pStyle w:val="Normal-pool"/>
              <w:tabs>
                <w:tab w:val="clear" w:pos="624"/>
                <w:tab w:val="clear" w:pos="1247"/>
                <w:tab w:val="clear" w:pos="1871"/>
                <w:tab w:val="clear" w:pos="2495"/>
                <w:tab w:val="clear" w:pos="3119"/>
                <w:tab w:val="clear" w:pos="3742"/>
                <w:tab w:val="clear" w:pos="4366"/>
                <w:tab w:val="clear" w:pos="4990"/>
              </w:tabs>
              <w:spacing w:before="480"/>
              <w:rPr>
                <w:lang w:val="ru-RU"/>
              </w:rPr>
            </w:pPr>
          </w:p>
        </w:tc>
        <w:tc>
          <w:tcPr>
            <w:tcW w:w="1897" w:type="dxa"/>
            <w:tcBorders>
              <w:bottom w:val="single" w:sz="4" w:space="0" w:color="auto"/>
            </w:tcBorders>
          </w:tcPr>
          <w:p w14:paraId="07DD328B" w14:textId="77777777" w:rsidR="006A1F5E" w:rsidRPr="003206C9" w:rsidRDefault="006A1F5E" w:rsidP="00847B47">
            <w:pPr>
              <w:pStyle w:val="Normal-pool"/>
              <w:tabs>
                <w:tab w:val="clear" w:pos="624"/>
                <w:tab w:val="clear" w:pos="1247"/>
                <w:tab w:val="clear" w:pos="1871"/>
                <w:tab w:val="clear" w:pos="2495"/>
                <w:tab w:val="clear" w:pos="3119"/>
                <w:tab w:val="clear" w:pos="3742"/>
                <w:tab w:val="clear" w:pos="4366"/>
                <w:tab w:val="clear" w:pos="4990"/>
              </w:tabs>
              <w:spacing w:before="480"/>
              <w:rPr>
                <w:lang w:val="ru-RU"/>
              </w:rPr>
            </w:pPr>
          </w:p>
        </w:tc>
        <w:tc>
          <w:tcPr>
            <w:tcW w:w="1898" w:type="dxa"/>
          </w:tcPr>
          <w:p w14:paraId="4BE8BDF6" w14:textId="77777777" w:rsidR="006A1F5E" w:rsidRPr="003206C9" w:rsidRDefault="006A1F5E" w:rsidP="00847B47">
            <w:pPr>
              <w:pStyle w:val="Normal-pool"/>
              <w:tabs>
                <w:tab w:val="clear" w:pos="624"/>
                <w:tab w:val="clear" w:pos="1247"/>
                <w:tab w:val="clear" w:pos="1871"/>
                <w:tab w:val="clear" w:pos="2495"/>
                <w:tab w:val="clear" w:pos="3119"/>
                <w:tab w:val="clear" w:pos="3742"/>
                <w:tab w:val="clear" w:pos="4366"/>
                <w:tab w:val="clear" w:pos="4990"/>
              </w:tabs>
              <w:spacing w:before="480"/>
              <w:rPr>
                <w:lang w:val="ru-RU"/>
              </w:rPr>
            </w:pPr>
          </w:p>
        </w:tc>
        <w:tc>
          <w:tcPr>
            <w:tcW w:w="1898" w:type="dxa"/>
          </w:tcPr>
          <w:p w14:paraId="3ACC5A70" w14:textId="77777777" w:rsidR="006A1F5E" w:rsidRPr="003206C9" w:rsidRDefault="006A1F5E" w:rsidP="00847B47">
            <w:pPr>
              <w:pStyle w:val="Normal-pool"/>
              <w:tabs>
                <w:tab w:val="clear" w:pos="624"/>
                <w:tab w:val="clear" w:pos="1247"/>
                <w:tab w:val="clear" w:pos="1871"/>
                <w:tab w:val="clear" w:pos="2495"/>
                <w:tab w:val="clear" w:pos="3119"/>
                <w:tab w:val="clear" w:pos="3742"/>
                <w:tab w:val="clear" w:pos="4366"/>
                <w:tab w:val="clear" w:pos="4990"/>
              </w:tabs>
              <w:spacing w:before="480"/>
              <w:rPr>
                <w:lang w:val="ru-RU"/>
              </w:rPr>
            </w:pPr>
          </w:p>
        </w:tc>
      </w:tr>
    </w:tbl>
    <w:p w14:paraId="59182595" w14:textId="4357A1EC" w:rsidR="0074187B" w:rsidRPr="003206C9" w:rsidRDefault="0074187B" w:rsidP="007F5EEB">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sectPr w:rsidR="0074187B" w:rsidRPr="003206C9" w:rsidSect="0074187B">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797F" w14:textId="77777777" w:rsidR="008C794D" w:rsidRPr="0074187B" w:rsidRDefault="008C794D">
      <w:r w:rsidRPr="0074187B">
        <w:separator/>
      </w:r>
    </w:p>
  </w:endnote>
  <w:endnote w:type="continuationSeparator" w:id="0">
    <w:p w14:paraId="48D162AF" w14:textId="77777777" w:rsidR="008C794D" w:rsidRPr="0074187B" w:rsidRDefault="008C794D">
      <w:r w:rsidRPr="00741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422" w14:textId="1DE0B79D" w:rsidR="007A36F8" w:rsidRPr="00F1479A" w:rsidRDefault="0074187B" w:rsidP="007F5EEB">
    <w:pPr>
      <w:pStyle w:val="Footer-pool"/>
      <w:tabs>
        <w:tab w:val="clear" w:pos="624"/>
        <w:tab w:val="clear" w:pos="1247"/>
        <w:tab w:val="clear" w:pos="1871"/>
        <w:tab w:val="clear" w:pos="2495"/>
        <w:tab w:val="clear" w:pos="3119"/>
        <w:tab w:val="clear" w:pos="3742"/>
        <w:tab w:val="clear" w:pos="4366"/>
        <w:tab w:val="clear" w:pos="4990"/>
        <w:tab w:val="clear" w:pos="8641"/>
      </w:tabs>
    </w:pPr>
    <w:r w:rsidRPr="00F1479A">
      <w:rPr>
        <w:rStyle w:val="PageNumber"/>
        <w:b/>
      </w:rPr>
      <w:fldChar w:fldCharType="begin"/>
    </w:r>
    <w:r w:rsidRPr="00F1479A">
      <w:rPr>
        <w:rStyle w:val="PageNumber"/>
        <w:b/>
      </w:rPr>
      <w:instrText xml:space="preserve"> PAGE </w:instrText>
    </w:r>
    <w:r w:rsidRPr="00F1479A">
      <w:rPr>
        <w:rStyle w:val="PageNumber"/>
        <w:b/>
      </w:rPr>
      <w:fldChar w:fldCharType="separate"/>
    </w:r>
    <w:r w:rsidRPr="00F1479A">
      <w:rPr>
        <w:rStyle w:val="PageNumber"/>
        <w:b/>
      </w:rPr>
      <w:t>1</w:t>
    </w:r>
    <w:r w:rsidRPr="00F1479A">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E12" w14:textId="7CBFD551" w:rsidR="007A36F8" w:rsidRPr="00F1479A" w:rsidRDefault="0074187B" w:rsidP="007F5EE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F1479A">
      <w:rPr>
        <w:rStyle w:val="PageNumber"/>
        <w:b/>
      </w:rPr>
      <w:fldChar w:fldCharType="begin"/>
    </w:r>
    <w:r w:rsidRPr="00F1479A">
      <w:rPr>
        <w:rStyle w:val="PageNumber"/>
        <w:b/>
      </w:rPr>
      <w:instrText xml:space="preserve"> PAGE \* MERGEFORMAT </w:instrText>
    </w:r>
    <w:r w:rsidRPr="00F1479A">
      <w:rPr>
        <w:rStyle w:val="PageNumber"/>
        <w:b/>
      </w:rPr>
      <w:fldChar w:fldCharType="separate"/>
    </w:r>
    <w:r w:rsidRPr="00F1479A">
      <w:rPr>
        <w:rStyle w:val="PageNumber"/>
        <w:b/>
      </w:rPr>
      <w:t>1</w:t>
    </w:r>
    <w:r w:rsidRPr="00F1479A">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CD1E" w14:textId="350D5BC8" w:rsidR="0074187B" w:rsidRPr="0074187B" w:rsidRDefault="00387C03" w:rsidP="0074187B">
    <w:pPr>
      <w:pStyle w:val="Footer-jobnumber"/>
    </w:pPr>
    <w:bookmarkStart w:id="0" w:name="FooterJobDate"/>
    <w:r>
      <w:t>K2606064[</w:t>
    </w:r>
    <w:r w:rsidR="007F5EEB">
      <w:t>R</w:t>
    </w:r>
    <w:r>
      <w:t>]</w:t>
    </w:r>
    <w:r>
      <w:tab/>
    </w:r>
    <w:r w:rsidR="00FC2223">
      <w:rPr>
        <w:lang w:val="ru-RU"/>
      </w:rPr>
      <w:t>0206</w:t>
    </w:r>
    <w:r>
      <w:t>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2277" w14:textId="77777777" w:rsidR="008C794D" w:rsidRPr="0074187B" w:rsidRDefault="008C794D" w:rsidP="00387C03">
      <w:pPr>
        <w:pStyle w:val="Footnote-Separator"/>
        <w:tabs>
          <w:tab w:val="clear" w:pos="1247"/>
          <w:tab w:val="clear" w:pos="1871"/>
          <w:tab w:val="clear" w:pos="2495"/>
          <w:tab w:val="clear" w:pos="3119"/>
          <w:tab w:val="clear" w:pos="3742"/>
          <w:tab w:val="clear" w:pos="4366"/>
          <w:tab w:val="clear" w:pos="4990"/>
        </w:tabs>
        <w:rPr>
          <w:szCs w:val="18"/>
        </w:rPr>
      </w:pPr>
      <w:r w:rsidRPr="0074187B">
        <w:separator/>
      </w:r>
    </w:p>
  </w:footnote>
  <w:footnote w:type="continuationSeparator" w:id="0">
    <w:p w14:paraId="729F87EA" w14:textId="77777777" w:rsidR="008C794D" w:rsidRPr="0074187B" w:rsidRDefault="008C794D" w:rsidP="00C70B49">
      <w:pPr>
        <w:pStyle w:val="Footnote-Separator"/>
      </w:pPr>
      <w:r w:rsidRPr="0074187B">
        <w:continuationSeparator/>
      </w:r>
    </w:p>
  </w:footnote>
  <w:footnote w:type="continuationNotice" w:id="1">
    <w:p w14:paraId="1C7E9B0F" w14:textId="77777777" w:rsidR="008C794D" w:rsidRPr="0074187B" w:rsidRDefault="008C794D" w:rsidP="00C70B49">
      <w:pPr>
        <w:pStyle w:val="ASpacer"/>
      </w:pPr>
    </w:p>
  </w:footnote>
  <w:footnote w:id="2">
    <w:p w14:paraId="284B7DF7" w14:textId="77777777" w:rsidR="007F5EEB" w:rsidRPr="003206C9" w:rsidRDefault="007F5EEB" w:rsidP="007F5EEB">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Pr>
          <w:lang w:val="ru-RU"/>
        </w:rPr>
        <w:t>* UNEP/OzL.Pro.WG.1/48/1.</w:t>
      </w:r>
    </w:p>
  </w:footnote>
  <w:footnote w:id="3">
    <w:p w14:paraId="757BD26C" w14:textId="6B0EAE35" w:rsidR="006A1F5E" w:rsidRPr="003206C9" w:rsidRDefault="006A1F5E" w:rsidP="001B749B">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54938">
        <w:rPr>
          <w:rStyle w:val="FootnoteReference"/>
          <w:sz w:val="18"/>
          <w:lang w:val="ru-RU"/>
        </w:rPr>
        <w:footnoteRef/>
      </w:r>
      <w:r>
        <w:rPr>
          <w:lang w:val="ru-RU"/>
        </w:rPr>
        <w:t xml:space="preserve"> Для целей настоящей записки количество случаев соответствует количеству, указанному в направленных Сторонами формах для представления данных.</w:t>
      </w:r>
    </w:p>
  </w:footnote>
  <w:footnote w:id="4">
    <w:p w14:paraId="2A447159" w14:textId="36E4A723" w:rsidR="006A1F5E" w:rsidRPr="007F5EEB" w:rsidRDefault="006A1F5E" w:rsidP="001B749B">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54938">
        <w:rPr>
          <w:rStyle w:val="FootnoteReference"/>
          <w:sz w:val="18"/>
          <w:lang w:val="ru-RU"/>
        </w:rPr>
        <w:footnoteRef/>
      </w:r>
      <w:r w:rsidRPr="007F5EEB">
        <w:rPr>
          <w:lang w:val="ru-RU"/>
        </w:rPr>
        <w:t xml:space="preserve"> </w:t>
      </w:r>
      <w:hyperlink r:id="rId1" w:history="1">
        <w:r w:rsidRPr="001B749B">
          <w:rPr>
            <w:rStyle w:val="Hyperlink"/>
          </w:rPr>
          <w:t>https</w:t>
        </w:r>
        <w:r w:rsidRPr="001B749B">
          <w:rPr>
            <w:rStyle w:val="Hyperlink"/>
            <w:lang w:val="ru-RU"/>
          </w:rPr>
          <w:t>://</w:t>
        </w:r>
        <w:r w:rsidRPr="001B749B">
          <w:rPr>
            <w:rStyle w:val="Hyperlink"/>
          </w:rPr>
          <w:t>ozone</w:t>
        </w:r>
        <w:r w:rsidRPr="001B749B">
          <w:rPr>
            <w:rStyle w:val="Hyperlink"/>
            <w:lang w:val="ru-RU"/>
          </w:rPr>
          <w:t>.</w:t>
        </w:r>
        <w:proofErr w:type="spellStart"/>
        <w:r w:rsidRPr="001B749B">
          <w:rPr>
            <w:rStyle w:val="Hyperlink"/>
          </w:rPr>
          <w:t>unep</w:t>
        </w:r>
        <w:proofErr w:type="spellEnd"/>
        <w:r w:rsidRPr="001B749B">
          <w:rPr>
            <w:rStyle w:val="Hyperlink"/>
            <w:lang w:val="ru-RU"/>
          </w:rPr>
          <w:t>.</w:t>
        </w:r>
        <w:r w:rsidRPr="001B749B">
          <w:rPr>
            <w:rStyle w:val="Hyperlink"/>
          </w:rPr>
          <w:t>org</w:t>
        </w:r>
        <w:r w:rsidRPr="001B749B">
          <w:rPr>
            <w:rStyle w:val="Hyperlink"/>
            <w:lang w:val="ru-RU"/>
          </w:rPr>
          <w:t>/</w:t>
        </w:r>
        <w:r w:rsidRPr="001B749B">
          <w:rPr>
            <w:rStyle w:val="Hyperlink"/>
          </w:rPr>
          <w:t>countries</w:t>
        </w:r>
        <w:r w:rsidRPr="001B749B">
          <w:rPr>
            <w:rStyle w:val="Hyperlink"/>
            <w:lang w:val="ru-RU"/>
          </w:rPr>
          <w:t>/</w:t>
        </w:r>
        <w:r w:rsidRPr="001B749B">
          <w:rPr>
            <w:rStyle w:val="Hyperlink"/>
          </w:rPr>
          <w:t>additional</w:t>
        </w:r>
        <w:r w:rsidRPr="001B749B">
          <w:rPr>
            <w:rStyle w:val="Hyperlink"/>
            <w:lang w:val="ru-RU"/>
          </w:rPr>
          <w:t>-</w:t>
        </w:r>
        <w:r w:rsidRPr="001B749B">
          <w:rPr>
            <w:rStyle w:val="Hyperlink"/>
          </w:rPr>
          <w:t>reported</w:t>
        </w:r>
        <w:r w:rsidRPr="001B749B">
          <w:rPr>
            <w:rStyle w:val="Hyperlink"/>
            <w:lang w:val="ru-RU"/>
          </w:rPr>
          <w:t>-</w:t>
        </w:r>
        <w:r w:rsidRPr="001B749B">
          <w:rPr>
            <w:rStyle w:val="Hyperlink"/>
          </w:rPr>
          <w:t>information</w:t>
        </w:r>
        <w:r w:rsidRPr="001B749B">
          <w:rPr>
            <w:rStyle w:val="Hyperlink"/>
            <w:lang w:val="ru-RU"/>
          </w:rPr>
          <w:t>/</w:t>
        </w:r>
        <w:r w:rsidRPr="001B749B">
          <w:rPr>
            <w:rStyle w:val="Hyperlink"/>
          </w:rPr>
          <w:t>illegal</w:t>
        </w:r>
        <w:r w:rsidRPr="001B749B">
          <w:rPr>
            <w:rStyle w:val="Hyperlink"/>
            <w:lang w:val="ru-RU"/>
          </w:rPr>
          <w:t>-</w:t>
        </w:r>
        <w:r w:rsidRPr="001B749B">
          <w:rPr>
            <w:rStyle w:val="Hyperlink"/>
          </w:rPr>
          <w:t>trade</w:t>
        </w:r>
      </w:hyperlink>
      <w:r w:rsidRPr="007F5EEB">
        <w:rPr>
          <w:lang w:val="ru-RU"/>
        </w:rPr>
        <w:t>.</w:t>
      </w:r>
      <w:hyperlink r:id="rId2" w:history="1"/>
    </w:p>
  </w:footnote>
  <w:footnote w:id="5">
    <w:p w14:paraId="1EBD1D67" w14:textId="5A799FB5" w:rsidR="006A1F5E" w:rsidRPr="007F5EEB" w:rsidRDefault="006A1F5E" w:rsidP="001B749B">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54938">
        <w:rPr>
          <w:rStyle w:val="FootnoteReference"/>
          <w:sz w:val="18"/>
          <w:lang w:val="ru-RU"/>
        </w:rPr>
        <w:footnoteRef/>
      </w:r>
      <w:r w:rsidRPr="007F5EEB">
        <w:rPr>
          <w:lang w:val="ru-RU"/>
        </w:rPr>
        <w:t xml:space="preserve"> </w:t>
      </w:r>
      <w:hyperlink r:id="rId3" w:history="1">
        <w:r w:rsidRPr="001B749B">
          <w:rPr>
            <w:rStyle w:val="Hyperlink"/>
          </w:rPr>
          <w:t>https</w:t>
        </w:r>
        <w:r w:rsidRPr="001B749B">
          <w:rPr>
            <w:rStyle w:val="Hyperlink"/>
            <w:lang w:val="ru-RU"/>
          </w:rPr>
          <w:t>://</w:t>
        </w:r>
        <w:r w:rsidRPr="001B749B">
          <w:rPr>
            <w:rStyle w:val="Hyperlink"/>
          </w:rPr>
          <w:t>ozone</w:t>
        </w:r>
        <w:r w:rsidRPr="001B749B">
          <w:rPr>
            <w:rStyle w:val="Hyperlink"/>
            <w:lang w:val="ru-RU"/>
          </w:rPr>
          <w:t>.</w:t>
        </w:r>
        <w:proofErr w:type="spellStart"/>
        <w:r w:rsidRPr="001B749B">
          <w:rPr>
            <w:rStyle w:val="Hyperlink"/>
          </w:rPr>
          <w:t>unep</w:t>
        </w:r>
        <w:proofErr w:type="spellEnd"/>
        <w:r w:rsidRPr="001B749B">
          <w:rPr>
            <w:rStyle w:val="Hyperlink"/>
            <w:lang w:val="ru-RU"/>
          </w:rPr>
          <w:t>.</w:t>
        </w:r>
        <w:r w:rsidRPr="001B749B">
          <w:rPr>
            <w:rStyle w:val="Hyperlink"/>
          </w:rPr>
          <w:t>org</w:t>
        </w:r>
        <w:r w:rsidRPr="001B749B">
          <w:rPr>
            <w:rStyle w:val="Hyperlink"/>
            <w:lang w:val="ru-RU"/>
          </w:rPr>
          <w:t>/</w:t>
        </w:r>
        <w:r w:rsidRPr="001B749B">
          <w:rPr>
            <w:rStyle w:val="Hyperlink"/>
          </w:rPr>
          <w:t>countries</w:t>
        </w:r>
        <w:r w:rsidRPr="001B749B">
          <w:rPr>
            <w:rStyle w:val="Hyperlink"/>
            <w:lang w:val="ru-RU"/>
          </w:rPr>
          <w:t>/</w:t>
        </w:r>
        <w:r w:rsidRPr="001B749B">
          <w:rPr>
            <w:rStyle w:val="Hyperlink"/>
          </w:rPr>
          <w:t>additional</w:t>
        </w:r>
        <w:r w:rsidRPr="001B749B">
          <w:rPr>
            <w:rStyle w:val="Hyperlink"/>
            <w:lang w:val="ru-RU"/>
          </w:rPr>
          <w:t>-</w:t>
        </w:r>
        <w:r w:rsidRPr="001B749B">
          <w:rPr>
            <w:rStyle w:val="Hyperlink"/>
          </w:rPr>
          <w:t>reported</w:t>
        </w:r>
        <w:r w:rsidRPr="001B749B">
          <w:rPr>
            <w:rStyle w:val="Hyperlink"/>
            <w:lang w:val="ru-RU"/>
          </w:rPr>
          <w:t>-</w:t>
        </w:r>
        <w:r w:rsidRPr="001B749B">
          <w:rPr>
            <w:rStyle w:val="Hyperlink"/>
          </w:rPr>
          <w:t>information</w:t>
        </w:r>
        <w:r w:rsidRPr="001B749B">
          <w:rPr>
            <w:rStyle w:val="Hyperlink"/>
            <w:lang w:val="ru-RU"/>
          </w:rPr>
          <w:t>/</w:t>
        </w:r>
        <w:r w:rsidRPr="001B749B">
          <w:rPr>
            <w:rStyle w:val="Hyperlink"/>
          </w:rPr>
          <w:t>illegal</w:t>
        </w:r>
        <w:r w:rsidRPr="001B749B">
          <w:rPr>
            <w:rStyle w:val="Hyperlink"/>
            <w:lang w:val="ru-RU"/>
          </w:rPr>
          <w:t>-</w:t>
        </w:r>
        <w:r w:rsidRPr="001B749B">
          <w:rPr>
            <w:rStyle w:val="Hyperlink"/>
          </w:rPr>
          <w:t>trade</w:t>
        </w:r>
        <w:r w:rsidRPr="001B749B">
          <w:rPr>
            <w:rStyle w:val="Hyperlink"/>
            <w:lang w:val="ru-RU"/>
          </w:rPr>
          <w:t>-</w:t>
        </w:r>
        <w:proofErr w:type="spellStart"/>
        <w:r w:rsidRPr="001B749B">
          <w:rPr>
            <w:rStyle w:val="Hyperlink"/>
          </w:rPr>
          <w:t>decisionxxxi</w:t>
        </w:r>
        <w:proofErr w:type="spellEnd"/>
        <w:r w:rsidRPr="001B749B">
          <w:rPr>
            <w:rStyle w:val="Hyperlink"/>
            <w:lang w:val="ru-RU"/>
          </w:rPr>
          <w:t>3</w:t>
        </w:r>
      </w:hyperlink>
      <w:r w:rsidRPr="007F5EEB">
        <w:rPr>
          <w:lang w:val="ru-RU"/>
        </w:rPr>
        <w:t>.</w:t>
      </w:r>
      <w:hyperlink r:id="rId4" w:history="1"/>
    </w:p>
  </w:footnote>
  <w:footnote w:id="6">
    <w:p w14:paraId="581DC97D" w14:textId="7CAAE666" w:rsidR="006A1F5E" w:rsidRPr="007F5EEB" w:rsidRDefault="006A1F5E" w:rsidP="001B749B">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54938">
        <w:rPr>
          <w:rStyle w:val="FootnoteReference"/>
          <w:sz w:val="18"/>
          <w:lang w:val="ru-RU"/>
        </w:rPr>
        <w:footnoteRef/>
      </w:r>
      <w:r w:rsidRPr="007F5EEB">
        <w:rPr>
          <w:lang w:val="ru-RU"/>
        </w:rPr>
        <w:t xml:space="preserve"> </w:t>
      </w:r>
      <w:r>
        <w:rPr>
          <w:lang w:val="ru-RU"/>
        </w:rPr>
        <w:t>В</w:t>
      </w:r>
      <w:r w:rsidRPr="007F5EEB">
        <w:rPr>
          <w:lang w:val="ru-RU"/>
        </w:rPr>
        <w:t xml:space="preserve"> </w:t>
      </w:r>
      <w:r>
        <w:rPr>
          <w:lang w:val="ru-RU"/>
        </w:rPr>
        <w:t>частности</w:t>
      </w:r>
      <w:r w:rsidRPr="007F5EEB">
        <w:rPr>
          <w:lang w:val="ru-RU"/>
        </w:rPr>
        <w:t xml:space="preserve">, </w:t>
      </w:r>
      <w:r>
        <w:rPr>
          <w:lang w:val="ru-RU"/>
        </w:rPr>
        <w:t>документы</w:t>
      </w:r>
      <w:r w:rsidRPr="007F5EEB">
        <w:rPr>
          <w:lang w:val="ru-RU"/>
        </w:rPr>
        <w:t xml:space="preserve"> </w:t>
      </w:r>
      <w:r w:rsidRPr="00863BBD">
        <w:t>UNEP</w:t>
      </w:r>
      <w:r w:rsidRPr="007F5EEB">
        <w:rPr>
          <w:lang w:val="ru-RU"/>
        </w:rPr>
        <w:t>/</w:t>
      </w:r>
      <w:r w:rsidRPr="00863BBD">
        <w:t>OzL</w:t>
      </w:r>
      <w:r w:rsidRPr="007F5EEB">
        <w:rPr>
          <w:lang w:val="ru-RU"/>
        </w:rPr>
        <w:t>.</w:t>
      </w:r>
      <w:r w:rsidRPr="00863BBD">
        <w:t>Pro</w:t>
      </w:r>
      <w:r w:rsidRPr="007F5EEB">
        <w:rPr>
          <w:lang w:val="ru-RU"/>
        </w:rPr>
        <w:t>.</w:t>
      </w:r>
      <w:r w:rsidRPr="00863BBD">
        <w:t>WG</w:t>
      </w:r>
      <w:r w:rsidRPr="007F5EEB">
        <w:rPr>
          <w:lang w:val="ru-RU"/>
        </w:rPr>
        <w:t xml:space="preserve">.1/47/5, </w:t>
      </w:r>
      <w:r w:rsidRPr="00863BBD">
        <w:t>UNEP</w:t>
      </w:r>
      <w:r w:rsidRPr="007F5EEB">
        <w:rPr>
          <w:lang w:val="ru-RU"/>
        </w:rPr>
        <w:t>/</w:t>
      </w:r>
      <w:r w:rsidRPr="00863BBD">
        <w:t>OzL</w:t>
      </w:r>
      <w:r w:rsidRPr="007F5EEB">
        <w:rPr>
          <w:lang w:val="ru-RU"/>
        </w:rPr>
        <w:t>.</w:t>
      </w:r>
      <w:r w:rsidRPr="00863BBD">
        <w:t>Pro</w:t>
      </w:r>
      <w:r w:rsidRPr="007F5EEB">
        <w:rPr>
          <w:lang w:val="ru-RU"/>
        </w:rPr>
        <w:t>.</w:t>
      </w:r>
      <w:r w:rsidRPr="00863BBD">
        <w:t>WG</w:t>
      </w:r>
      <w:r w:rsidRPr="007F5EEB">
        <w:rPr>
          <w:lang w:val="ru-RU"/>
        </w:rPr>
        <w:t xml:space="preserve">.1/46/4 </w:t>
      </w:r>
      <w:r>
        <w:rPr>
          <w:lang w:val="ru-RU"/>
        </w:rPr>
        <w:t>и</w:t>
      </w:r>
      <w:r w:rsidRPr="007F5EEB">
        <w:rPr>
          <w:lang w:val="ru-RU"/>
        </w:rPr>
        <w:t xml:space="preserve"> </w:t>
      </w:r>
      <w:r w:rsidRPr="00863BBD">
        <w:t>UNEP</w:t>
      </w:r>
      <w:r w:rsidRPr="007F5EEB">
        <w:rPr>
          <w:lang w:val="ru-RU"/>
        </w:rPr>
        <w:t>/</w:t>
      </w:r>
      <w:r w:rsidRPr="00863BBD">
        <w:t>OzL</w:t>
      </w:r>
      <w:r w:rsidRPr="007F5EEB">
        <w:rPr>
          <w:lang w:val="ru-RU"/>
        </w:rPr>
        <w:t>.</w:t>
      </w:r>
      <w:r w:rsidRPr="00863BBD">
        <w:t>Pro</w:t>
      </w:r>
      <w:r w:rsidRPr="007F5EEB">
        <w:rPr>
          <w:lang w:val="ru-RU"/>
        </w:rPr>
        <w:t>/</w:t>
      </w:r>
      <w:r w:rsidRPr="00863BBD">
        <w:t>Workshop</w:t>
      </w:r>
      <w:r w:rsidRPr="007F5EEB">
        <w:rPr>
          <w:lang w:val="ru-RU"/>
        </w:rPr>
        <w:t>.11/2/</w:t>
      </w:r>
      <w:r w:rsidRPr="00863BBD">
        <w:t>Add</w:t>
      </w:r>
      <w:r w:rsidRPr="007F5EEB">
        <w:rPr>
          <w:lang w:val="ru-RU"/>
        </w:rPr>
        <w:t>.1–</w:t>
      </w:r>
      <w:r w:rsidRPr="00863BBD">
        <w:t>UNEP</w:t>
      </w:r>
      <w:r w:rsidRPr="007F5EEB">
        <w:rPr>
          <w:lang w:val="ru-RU"/>
        </w:rPr>
        <w:t>/</w:t>
      </w:r>
      <w:r w:rsidRPr="00863BBD">
        <w:t>OzL</w:t>
      </w:r>
      <w:r w:rsidRPr="007F5EEB">
        <w:rPr>
          <w:lang w:val="ru-RU"/>
        </w:rPr>
        <w:t>.</w:t>
      </w:r>
      <w:r w:rsidRPr="00863BBD">
        <w:t>Pro</w:t>
      </w:r>
      <w:r w:rsidRPr="007F5EEB">
        <w:rPr>
          <w:lang w:val="ru-RU"/>
        </w:rPr>
        <w:t>.</w:t>
      </w:r>
      <w:r w:rsidRPr="00863BBD">
        <w:t>WG</w:t>
      </w:r>
      <w:r w:rsidRPr="007F5EEB">
        <w:rPr>
          <w:lang w:val="ru-RU"/>
        </w:rPr>
        <w:t>.1/45/5/</w:t>
      </w:r>
      <w:r w:rsidRPr="00863BBD">
        <w:t>Add</w:t>
      </w:r>
      <w:r w:rsidRPr="007F5EEB">
        <w:rPr>
          <w:lang w:val="ru-RU"/>
        </w:rPr>
        <w:t>.1.</w:t>
      </w:r>
      <w:hyperlink r:id="rId5" w:history="1"/>
      <w:hyperlink r:id="rId6" w:history="1"/>
      <w:hyperlink r:id="rId7" w:history="1"/>
    </w:p>
  </w:footnote>
  <w:footnote w:id="7">
    <w:p w14:paraId="09C7AEC8" w14:textId="4355DC0D" w:rsidR="006A1F5E" w:rsidRPr="003206C9" w:rsidRDefault="006A1F5E" w:rsidP="00177695">
      <w:pPr>
        <w:pStyle w:val="Footnote-Text"/>
        <w:tabs>
          <w:tab w:val="clear" w:pos="624"/>
          <w:tab w:val="clear" w:pos="1247"/>
          <w:tab w:val="clear" w:pos="1871"/>
          <w:tab w:val="clear" w:pos="2495"/>
          <w:tab w:val="clear" w:pos="3119"/>
          <w:tab w:val="clear" w:pos="3742"/>
          <w:tab w:val="clear" w:pos="4366"/>
          <w:tab w:val="clear" w:pos="4990"/>
        </w:tabs>
        <w:rPr>
          <w:lang w:val="ru-RU"/>
        </w:rPr>
      </w:pPr>
      <w:r w:rsidRPr="00FC2E30">
        <w:rPr>
          <w:rStyle w:val="FootnoteReference"/>
          <w:sz w:val="18"/>
          <w:lang w:val="ru-RU"/>
        </w:rPr>
        <w:footnoteRef/>
      </w:r>
      <w:r>
        <w:rPr>
          <w:lang w:val="ru-RU"/>
        </w:rPr>
        <w:t xml:space="preserve"> Для целей настоящей записки количество случаев соответствует количеству, указанному в направленных Сторонами формах для представления данных (см. сноску 1 выше). </w:t>
      </w:r>
    </w:p>
  </w:footnote>
  <w:footnote w:id="8">
    <w:p w14:paraId="4C88F77C" w14:textId="7BC676C1" w:rsidR="006A1F5E" w:rsidRPr="003206C9" w:rsidRDefault="006A1F5E" w:rsidP="0018214E">
      <w:pPr>
        <w:pStyle w:val="Footnote-Text"/>
        <w:tabs>
          <w:tab w:val="clear" w:pos="624"/>
          <w:tab w:val="clear" w:pos="1247"/>
          <w:tab w:val="clear" w:pos="1871"/>
          <w:tab w:val="clear" w:pos="2495"/>
          <w:tab w:val="clear" w:pos="3119"/>
          <w:tab w:val="clear" w:pos="3742"/>
          <w:tab w:val="clear" w:pos="4366"/>
          <w:tab w:val="clear" w:pos="4990"/>
        </w:tabs>
        <w:rPr>
          <w:lang w:val="ru-RU"/>
        </w:rPr>
      </w:pPr>
      <w:r w:rsidRPr="00C41E73">
        <w:rPr>
          <w:vertAlign w:val="superscript"/>
          <w:lang w:val="ru-RU"/>
        </w:rPr>
        <w:footnoteRef/>
      </w:r>
      <w:r>
        <w:rPr>
          <w:lang w:val="ru-RU"/>
        </w:rPr>
        <w:t xml:space="preserve"> Для целей настоящей записки термины, используемые для обозначения различных правоприменительных мер, были взяты из представленной информации. При этом признается, что в разных странах юридические понятия могут различаться. </w:t>
      </w:r>
    </w:p>
  </w:footnote>
  <w:footnote w:id="9">
    <w:p w14:paraId="3D8B3F2A" w14:textId="2EACBDDE" w:rsidR="006A1F5E" w:rsidRPr="001E1C9C" w:rsidRDefault="006A1F5E" w:rsidP="0018214E">
      <w:pPr>
        <w:pStyle w:val="Footnote-Text"/>
        <w:tabs>
          <w:tab w:val="clear" w:pos="624"/>
          <w:tab w:val="clear" w:pos="1247"/>
          <w:tab w:val="clear" w:pos="1871"/>
          <w:tab w:val="clear" w:pos="2495"/>
          <w:tab w:val="clear" w:pos="3119"/>
          <w:tab w:val="clear" w:pos="3742"/>
          <w:tab w:val="clear" w:pos="4366"/>
          <w:tab w:val="clear" w:pos="4990"/>
        </w:tabs>
        <w:rPr>
          <w:lang w:val="en-US"/>
        </w:rPr>
      </w:pPr>
      <w:r w:rsidRPr="00C41E73">
        <w:rPr>
          <w:vertAlign w:val="superscript"/>
          <w:lang w:val="ru-RU"/>
        </w:rPr>
        <w:footnoteRef/>
      </w:r>
      <w:r w:rsidRPr="001E1C9C">
        <w:rPr>
          <w:lang w:val="en-US"/>
        </w:rPr>
        <w:t xml:space="preserve"> </w:t>
      </w:r>
      <w:r w:rsidR="008825AC" w:rsidRPr="001E1C9C">
        <w:rPr>
          <w:lang w:val="en-US"/>
        </w:rPr>
        <w:t>United Nations Office on Drugs and Crime</w:t>
      </w:r>
      <w:r w:rsidRPr="001E1C9C">
        <w:rPr>
          <w:lang w:val="en-US"/>
        </w:rPr>
        <w:t xml:space="preserve">, </w:t>
      </w:r>
      <w:r w:rsidRPr="0062337F">
        <w:t>Manual</w:t>
      </w:r>
      <w:r w:rsidRPr="001E1C9C">
        <w:rPr>
          <w:lang w:val="en-US"/>
        </w:rPr>
        <w:t xml:space="preserve"> </w:t>
      </w:r>
      <w:r w:rsidRPr="0062337F">
        <w:t>on</w:t>
      </w:r>
      <w:r w:rsidRPr="001E1C9C">
        <w:rPr>
          <w:lang w:val="en-US"/>
        </w:rPr>
        <w:t xml:space="preserve"> </w:t>
      </w:r>
      <w:r w:rsidRPr="0062337F">
        <w:t>International</w:t>
      </w:r>
      <w:r w:rsidRPr="001E1C9C">
        <w:rPr>
          <w:lang w:val="en-US"/>
        </w:rPr>
        <w:t xml:space="preserve"> </w:t>
      </w:r>
      <w:r w:rsidRPr="0062337F">
        <w:t>Cooperation</w:t>
      </w:r>
      <w:r w:rsidRPr="001E1C9C">
        <w:rPr>
          <w:lang w:val="en-US"/>
        </w:rPr>
        <w:t xml:space="preserve"> </w:t>
      </w:r>
      <w:r w:rsidRPr="0062337F">
        <w:t>for</w:t>
      </w:r>
      <w:r w:rsidRPr="001E1C9C">
        <w:rPr>
          <w:lang w:val="en-US"/>
        </w:rPr>
        <w:t xml:space="preserve"> </w:t>
      </w:r>
      <w:r w:rsidRPr="0062337F">
        <w:t>Purposes</w:t>
      </w:r>
      <w:r w:rsidRPr="001E1C9C">
        <w:rPr>
          <w:lang w:val="en-US"/>
        </w:rPr>
        <w:t xml:space="preserve"> </w:t>
      </w:r>
      <w:r w:rsidRPr="0062337F">
        <w:t>of</w:t>
      </w:r>
      <w:r w:rsidRPr="001E1C9C">
        <w:rPr>
          <w:lang w:val="en-US"/>
        </w:rPr>
        <w:t xml:space="preserve"> </w:t>
      </w:r>
      <w:r w:rsidRPr="0062337F">
        <w:t>Confiscation</w:t>
      </w:r>
      <w:r w:rsidRPr="001E1C9C">
        <w:rPr>
          <w:lang w:val="en-US"/>
        </w:rPr>
        <w:t xml:space="preserve"> </w:t>
      </w:r>
      <w:r w:rsidRPr="0062337F">
        <w:t>of</w:t>
      </w:r>
      <w:r w:rsidRPr="001E1C9C">
        <w:rPr>
          <w:lang w:val="en-US"/>
        </w:rPr>
        <w:t xml:space="preserve"> </w:t>
      </w:r>
      <w:r w:rsidRPr="0062337F">
        <w:t>Proceeds</w:t>
      </w:r>
      <w:r w:rsidRPr="001E1C9C">
        <w:rPr>
          <w:lang w:val="en-US"/>
        </w:rPr>
        <w:t xml:space="preserve"> </w:t>
      </w:r>
      <w:r w:rsidRPr="0062337F">
        <w:t>of</w:t>
      </w:r>
      <w:r w:rsidRPr="001E1C9C">
        <w:rPr>
          <w:lang w:val="en-US"/>
        </w:rPr>
        <w:t xml:space="preserve"> </w:t>
      </w:r>
      <w:r w:rsidRPr="0062337F">
        <w:t>Crime</w:t>
      </w:r>
      <w:r w:rsidRPr="001E1C9C">
        <w:rPr>
          <w:lang w:val="en-US"/>
        </w:rPr>
        <w:t xml:space="preserve"> (</w:t>
      </w:r>
      <w:r w:rsidRPr="0062337F">
        <w:t>United</w:t>
      </w:r>
      <w:r w:rsidRPr="001E1C9C">
        <w:rPr>
          <w:lang w:val="en-US"/>
        </w:rPr>
        <w:t xml:space="preserve"> </w:t>
      </w:r>
      <w:r w:rsidRPr="0062337F">
        <w:t>Nations</w:t>
      </w:r>
      <w:r w:rsidRPr="001E1C9C">
        <w:rPr>
          <w:lang w:val="en-US"/>
        </w:rPr>
        <w:t xml:space="preserve"> </w:t>
      </w:r>
      <w:r w:rsidRPr="0062337F">
        <w:t>publication</w:t>
      </w:r>
      <w:r w:rsidRPr="001E1C9C">
        <w:rPr>
          <w:lang w:val="en-US"/>
        </w:rPr>
        <w:t xml:space="preserve">, </w:t>
      </w:r>
      <w:r w:rsidR="008825AC" w:rsidRPr="008825AC">
        <w:rPr>
          <w:lang w:val="en-US"/>
        </w:rPr>
        <w:t>United Nations Office on Drugs and Crime</w:t>
      </w:r>
      <w:r w:rsidRPr="001E1C9C">
        <w:rPr>
          <w:lang w:val="en-US"/>
        </w:rPr>
        <w:t xml:space="preserve">, 2020); </w:t>
      </w:r>
      <w:r>
        <w:rPr>
          <w:lang w:val="ru-RU"/>
        </w:rPr>
        <w:t>определение</w:t>
      </w:r>
      <w:r w:rsidRPr="001E1C9C">
        <w:rPr>
          <w:lang w:val="en-US"/>
        </w:rPr>
        <w:t xml:space="preserve"> </w:t>
      </w:r>
      <w:r>
        <w:rPr>
          <w:lang w:val="ru-RU"/>
        </w:rPr>
        <w:t>взято</w:t>
      </w:r>
      <w:r w:rsidRPr="001E1C9C">
        <w:rPr>
          <w:lang w:val="en-US"/>
        </w:rPr>
        <w:t xml:space="preserve"> </w:t>
      </w:r>
      <w:r>
        <w:rPr>
          <w:lang w:val="ru-RU"/>
        </w:rPr>
        <w:t>из</w:t>
      </w:r>
      <w:r w:rsidRPr="001E1C9C">
        <w:rPr>
          <w:lang w:val="en-US"/>
        </w:rPr>
        <w:t xml:space="preserve"> </w:t>
      </w:r>
      <w:r>
        <w:rPr>
          <w:lang w:val="ru-RU"/>
        </w:rPr>
        <w:t>Конвенции</w:t>
      </w:r>
      <w:r w:rsidRPr="001E1C9C">
        <w:rPr>
          <w:lang w:val="en-US"/>
        </w:rPr>
        <w:t xml:space="preserve"> </w:t>
      </w:r>
      <w:r>
        <w:rPr>
          <w:lang w:val="ru-RU"/>
        </w:rPr>
        <w:t>Организации</w:t>
      </w:r>
      <w:r w:rsidRPr="001E1C9C">
        <w:rPr>
          <w:lang w:val="en-US"/>
        </w:rPr>
        <w:t xml:space="preserve"> </w:t>
      </w:r>
      <w:r>
        <w:rPr>
          <w:lang w:val="ru-RU"/>
        </w:rPr>
        <w:t>Объединенных</w:t>
      </w:r>
      <w:r w:rsidRPr="001E1C9C">
        <w:rPr>
          <w:lang w:val="en-US"/>
        </w:rPr>
        <w:t xml:space="preserve"> </w:t>
      </w:r>
      <w:r>
        <w:rPr>
          <w:lang w:val="ru-RU"/>
        </w:rPr>
        <w:t>Наций</w:t>
      </w:r>
      <w:r w:rsidRPr="001E1C9C">
        <w:rPr>
          <w:lang w:val="en-US"/>
        </w:rPr>
        <w:t xml:space="preserve"> </w:t>
      </w:r>
      <w:r>
        <w:rPr>
          <w:lang w:val="ru-RU"/>
        </w:rPr>
        <w:t>против</w:t>
      </w:r>
      <w:r w:rsidRPr="001E1C9C">
        <w:rPr>
          <w:lang w:val="en-US"/>
        </w:rPr>
        <w:t xml:space="preserve"> </w:t>
      </w:r>
      <w:r>
        <w:rPr>
          <w:lang w:val="ru-RU"/>
        </w:rPr>
        <w:t>транснациональной</w:t>
      </w:r>
      <w:r w:rsidRPr="001E1C9C">
        <w:rPr>
          <w:lang w:val="en-US"/>
        </w:rPr>
        <w:t xml:space="preserve"> </w:t>
      </w:r>
      <w:r>
        <w:rPr>
          <w:lang w:val="ru-RU"/>
        </w:rPr>
        <w:t>организованной</w:t>
      </w:r>
      <w:r w:rsidRPr="001E1C9C">
        <w:rPr>
          <w:lang w:val="en-US"/>
        </w:rPr>
        <w:t xml:space="preserve"> </w:t>
      </w:r>
      <w:r>
        <w:rPr>
          <w:lang w:val="ru-RU"/>
        </w:rPr>
        <w:t>преступности</w:t>
      </w:r>
      <w:r w:rsidRPr="001E1C9C">
        <w:rPr>
          <w:lang w:val="en-US"/>
        </w:rPr>
        <w:t>.</w:t>
      </w:r>
    </w:p>
  </w:footnote>
  <w:footnote w:id="10">
    <w:p w14:paraId="22031669" w14:textId="77777777" w:rsidR="006A1F5E" w:rsidRPr="00AD463D" w:rsidRDefault="006A1F5E" w:rsidP="0018214E">
      <w:pPr>
        <w:pStyle w:val="Footnote-Text"/>
        <w:tabs>
          <w:tab w:val="clear" w:pos="624"/>
          <w:tab w:val="clear" w:pos="1247"/>
          <w:tab w:val="clear" w:pos="1871"/>
          <w:tab w:val="clear" w:pos="2495"/>
          <w:tab w:val="clear" w:pos="3119"/>
          <w:tab w:val="clear" w:pos="3742"/>
          <w:tab w:val="clear" w:pos="4366"/>
          <w:tab w:val="clear" w:pos="4990"/>
        </w:tabs>
      </w:pPr>
      <w:r w:rsidRPr="00C41E73">
        <w:rPr>
          <w:vertAlign w:val="superscript"/>
          <w:lang w:val="ru-RU"/>
        </w:rPr>
        <w:footnoteRef/>
      </w:r>
      <w:r>
        <w:rPr>
          <w:lang w:val="ru-RU"/>
        </w:rPr>
        <w:t xml:space="preserve"> Там же.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77F" w14:textId="64027045" w:rsidR="007A36F8" w:rsidRPr="0074187B" w:rsidRDefault="007E5159" w:rsidP="007F5EEB">
    <w:pPr>
      <w:pStyle w:val="Header-pool"/>
      <w:tabs>
        <w:tab w:val="clear" w:pos="1247"/>
        <w:tab w:val="clear" w:pos="1814"/>
        <w:tab w:val="clear" w:pos="2381"/>
        <w:tab w:val="clear" w:pos="2948"/>
        <w:tab w:val="clear" w:pos="3515"/>
        <w:tab w:val="clear" w:pos="9072"/>
      </w:tabs>
      <w:spacing w:after="120"/>
    </w:pPr>
    <w:r>
      <w:rPr>
        <w:noProof/>
      </w:rPr>
      <w:t>UNEP/OzL.Pro.WG.1/48/3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AE3B" w14:textId="46D19064" w:rsidR="007A36F8" w:rsidRPr="0074187B" w:rsidRDefault="007E5159" w:rsidP="007F5EEB">
    <w:pPr>
      <w:pStyle w:val="Header-pool"/>
      <w:tabs>
        <w:tab w:val="clear" w:pos="1247"/>
        <w:tab w:val="clear" w:pos="1814"/>
        <w:tab w:val="clear" w:pos="2381"/>
        <w:tab w:val="clear" w:pos="2948"/>
        <w:tab w:val="clear" w:pos="3515"/>
        <w:tab w:val="clear" w:pos="9072"/>
      </w:tabs>
      <w:spacing w:after="120"/>
      <w:jc w:val="right"/>
    </w:pPr>
    <w:r>
      <w:rPr>
        <w:noProof/>
      </w:rPr>
      <w:t>UNEP/OzL.Pro.WG.1/48/3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AE3C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DC91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BA24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3AFC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80FD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34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026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2AA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87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7887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DE755F5"/>
    <w:multiLevelType w:val="hybridMultilevel"/>
    <w:tmpl w:val="62386FF4"/>
    <w:lvl w:ilvl="0" w:tplc="2B269E46">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13" w15:restartNumberingAfterBreak="0">
    <w:nsid w:val="213513D4"/>
    <w:multiLevelType w:val="hybridMultilevel"/>
    <w:tmpl w:val="A8BCDABA"/>
    <w:lvl w:ilvl="0" w:tplc="C0400D0E">
      <w:start w:val="1"/>
      <w:numFmt w:val="upperLetter"/>
      <w:lvlText w:val="%1."/>
      <w:lvlJc w:val="left"/>
      <w:pPr>
        <w:ind w:left="1020" w:hanging="360"/>
      </w:pPr>
    </w:lvl>
    <w:lvl w:ilvl="1" w:tplc="5344B856">
      <w:start w:val="1"/>
      <w:numFmt w:val="upperLetter"/>
      <w:lvlText w:val="%2."/>
      <w:lvlJc w:val="left"/>
      <w:pPr>
        <w:ind w:left="1020" w:hanging="360"/>
      </w:pPr>
    </w:lvl>
    <w:lvl w:ilvl="2" w:tplc="4EA20854">
      <w:start w:val="1"/>
      <w:numFmt w:val="upperLetter"/>
      <w:lvlText w:val="%3."/>
      <w:lvlJc w:val="left"/>
      <w:pPr>
        <w:ind w:left="1020" w:hanging="360"/>
      </w:pPr>
    </w:lvl>
    <w:lvl w:ilvl="3" w:tplc="D560505A">
      <w:start w:val="1"/>
      <w:numFmt w:val="upperLetter"/>
      <w:lvlText w:val="%4."/>
      <w:lvlJc w:val="left"/>
      <w:pPr>
        <w:ind w:left="1020" w:hanging="360"/>
      </w:pPr>
    </w:lvl>
    <w:lvl w:ilvl="4" w:tplc="E50A45BA">
      <w:start w:val="1"/>
      <w:numFmt w:val="upperLetter"/>
      <w:lvlText w:val="%5."/>
      <w:lvlJc w:val="left"/>
      <w:pPr>
        <w:ind w:left="1020" w:hanging="360"/>
      </w:pPr>
    </w:lvl>
    <w:lvl w:ilvl="5" w:tplc="7840BDA4">
      <w:start w:val="1"/>
      <w:numFmt w:val="upperLetter"/>
      <w:lvlText w:val="%6."/>
      <w:lvlJc w:val="left"/>
      <w:pPr>
        <w:ind w:left="1020" w:hanging="360"/>
      </w:pPr>
    </w:lvl>
    <w:lvl w:ilvl="6" w:tplc="C1F8DBA2">
      <w:start w:val="1"/>
      <w:numFmt w:val="upperLetter"/>
      <w:lvlText w:val="%7."/>
      <w:lvlJc w:val="left"/>
      <w:pPr>
        <w:ind w:left="1020" w:hanging="360"/>
      </w:pPr>
    </w:lvl>
    <w:lvl w:ilvl="7" w:tplc="746E2716">
      <w:start w:val="1"/>
      <w:numFmt w:val="upperLetter"/>
      <w:lvlText w:val="%8."/>
      <w:lvlJc w:val="left"/>
      <w:pPr>
        <w:ind w:left="1020" w:hanging="360"/>
      </w:pPr>
    </w:lvl>
    <w:lvl w:ilvl="8" w:tplc="EADA3D86">
      <w:start w:val="1"/>
      <w:numFmt w:val="upperLetter"/>
      <w:lvlText w:val="%9."/>
      <w:lvlJc w:val="left"/>
      <w:pPr>
        <w:ind w:left="1020" w:hanging="36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6"/>
  </w:num>
  <w:num w:numId="3" w16cid:durableId="1933662228">
    <w:abstractNumId w:val="14"/>
  </w:num>
  <w:num w:numId="4" w16cid:durableId="1991909117">
    <w:abstractNumId w:val="10"/>
  </w:num>
  <w:num w:numId="5" w16cid:durableId="1138956019">
    <w:abstractNumId w:val="11"/>
  </w:num>
  <w:num w:numId="6" w16cid:durableId="442113659">
    <w:abstractNumId w:val="9"/>
  </w:num>
  <w:num w:numId="7" w16cid:durableId="224728022">
    <w:abstractNumId w:val="7"/>
  </w:num>
  <w:num w:numId="8" w16cid:durableId="241841544">
    <w:abstractNumId w:val="6"/>
  </w:num>
  <w:num w:numId="9" w16cid:durableId="375861515">
    <w:abstractNumId w:val="5"/>
  </w:num>
  <w:num w:numId="10" w16cid:durableId="915164644">
    <w:abstractNumId w:val="4"/>
  </w:num>
  <w:num w:numId="11" w16cid:durableId="1039668294">
    <w:abstractNumId w:val="8"/>
  </w:num>
  <w:num w:numId="12" w16cid:durableId="1447046328">
    <w:abstractNumId w:val="3"/>
  </w:num>
  <w:num w:numId="13" w16cid:durableId="1349872902">
    <w:abstractNumId w:val="2"/>
  </w:num>
  <w:num w:numId="14" w16cid:durableId="1489857600">
    <w:abstractNumId w:val="1"/>
  </w:num>
  <w:num w:numId="15" w16cid:durableId="157425290">
    <w:abstractNumId w:val="0"/>
  </w:num>
  <w:num w:numId="16" w16cid:durableId="1318999252">
    <w:abstractNumId w:val="12"/>
  </w:num>
  <w:num w:numId="17" w16cid:durableId="127055090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4F"/>
    <w:rsid w:val="00003B0D"/>
    <w:rsid w:val="00004CEA"/>
    <w:rsid w:val="00010DE8"/>
    <w:rsid w:val="00011A59"/>
    <w:rsid w:val="000139A5"/>
    <w:rsid w:val="000149E6"/>
    <w:rsid w:val="00015903"/>
    <w:rsid w:val="00016AF3"/>
    <w:rsid w:val="00020327"/>
    <w:rsid w:val="000208C8"/>
    <w:rsid w:val="00023A86"/>
    <w:rsid w:val="000247B0"/>
    <w:rsid w:val="00026997"/>
    <w:rsid w:val="00031C4C"/>
    <w:rsid w:val="00033E0B"/>
    <w:rsid w:val="00035EDE"/>
    <w:rsid w:val="00037286"/>
    <w:rsid w:val="00041E74"/>
    <w:rsid w:val="000509B4"/>
    <w:rsid w:val="000515C8"/>
    <w:rsid w:val="00056B2C"/>
    <w:rsid w:val="0006035B"/>
    <w:rsid w:val="00064B98"/>
    <w:rsid w:val="00065F92"/>
    <w:rsid w:val="00067FE6"/>
    <w:rsid w:val="0007166E"/>
    <w:rsid w:val="00071886"/>
    <w:rsid w:val="000723AE"/>
    <w:rsid w:val="000742BC"/>
    <w:rsid w:val="0008041D"/>
    <w:rsid w:val="00082A0C"/>
    <w:rsid w:val="00082DCD"/>
    <w:rsid w:val="00083504"/>
    <w:rsid w:val="00083913"/>
    <w:rsid w:val="00083BD2"/>
    <w:rsid w:val="0008710B"/>
    <w:rsid w:val="000872CE"/>
    <w:rsid w:val="00090E82"/>
    <w:rsid w:val="00095BE8"/>
    <w:rsid w:val="0009640C"/>
    <w:rsid w:val="000B0BA7"/>
    <w:rsid w:val="000B1358"/>
    <w:rsid w:val="000B21D5"/>
    <w:rsid w:val="000B22A2"/>
    <w:rsid w:val="000B35C7"/>
    <w:rsid w:val="000B6FB2"/>
    <w:rsid w:val="000C0033"/>
    <w:rsid w:val="000C28EB"/>
    <w:rsid w:val="000C2A52"/>
    <w:rsid w:val="000C46A9"/>
    <w:rsid w:val="000C73BF"/>
    <w:rsid w:val="000D09E4"/>
    <w:rsid w:val="000D15B9"/>
    <w:rsid w:val="000D33C0"/>
    <w:rsid w:val="000D5884"/>
    <w:rsid w:val="000D6941"/>
    <w:rsid w:val="000D71B6"/>
    <w:rsid w:val="000E0405"/>
    <w:rsid w:val="000E4751"/>
    <w:rsid w:val="000E7CF6"/>
    <w:rsid w:val="000F0CEA"/>
    <w:rsid w:val="000F6CFF"/>
    <w:rsid w:val="00101177"/>
    <w:rsid w:val="001020D4"/>
    <w:rsid w:val="00105E94"/>
    <w:rsid w:val="00107B03"/>
    <w:rsid w:val="00111316"/>
    <w:rsid w:val="00115F73"/>
    <w:rsid w:val="001202E3"/>
    <w:rsid w:val="00123699"/>
    <w:rsid w:val="001242DE"/>
    <w:rsid w:val="00126098"/>
    <w:rsid w:val="0013059D"/>
    <w:rsid w:val="00137217"/>
    <w:rsid w:val="0014083A"/>
    <w:rsid w:val="00141A55"/>
    <w:rsid w:val="00141F2F"/>
    <w:rsid w:val="001446A3"/>
    <w:rsid w:val="0014626F"/>
    <w:rsid w:val="00155395"/>
    <w:rsid w:val="00166638"/>
    <w:rsid w:val="00172E6C"/>
    <w:rsid w:val="00173A4F"/>
    <w:rsid w:val="00173D27"/>
    <w:rsid w:val="00174739"/>
    <w:rsid w:val="00175BB6"/>
    <w:rsid w:val="00177695"/>
    <w:rsid w:val="0018127C"/>
    <w:rsid w:val="00181EC8"/>
    <w:rsid w:val="00181FC0"/>
    <w:rsid w:val="0018214E"/>
    <w:rsid w:val="00184090"/>
    <w:rsid w:val="00184349"/>
    <w:rsid w:val="00186E07"/>
    <w:rsid w:val="001915ED"/>
    <w:rsid w:val="0019161E"/>
    <w:rsid w:val="00195F33"/>
    <w:rsid w:val="00197C63"/>
    <w:rsid w:val="001A5EE1"/>
    <w:rsid w:val="001A6EA0"/>
    <w:rsid w:val="001A77C2"/>
    <w:rsid w:val="001A7FF9"/>
    <w:rsid w:val="001B0141"/>
    <w:rsid w:val="001B1617"/>
    <w:rsid w:val="001B1A17"/>
    <w:rsid w:val="001B4598"/>
    <w:rsid w:val="001B504B"/>
    <w:rsid w:val="001B5627"/>
    <w:rsid w:val="001B749B"/>
    <w:rsid w:val="001B75A0"/>
    <w:rsid w:val="001B7C4A"/>
    <w:rsid w:val="001C29FC"/>
    <w:rsid w:val="001D3874"/>
    <w:rsid w:val="001D40E9"/>
    <w:rsid w:val="001D5344"/>
    <w:rsid w:val="001D61D0"/>
    <w:rsid w:val="001D7E75"/>
    <w:rsid w:val="001E1365"/>
    <w:rsid w:val="001E1C9C"/>
    <w:rsid w:val="001E22D1"/>
    <w:rsid w:val="001E4B9A"/>
    <w:rsid w:val="001E56D2"/>
    <w:rsid w:val="001E7D56"/>
    <w:rsid w:val="001F75DE"/>
    <w:rsid w:val="001F7AD9"/>
    <w:rsid w:val="00200D58"/>
    <w:rsid w:val="00200EFE"/>
    <w:rsid w:val="002013BE"/>
    <w:rsid w:val="002063A4"/>
    <w:rsid w:val="002065CD"/>
    <w:rsid w:val="002065F3"/>
    <w:rsid w:val="00206F97"/>
    <w:rsid w:val="00210124"/>
    <w:rsid w:val="0021145B"/>
    <w:rsid w:val="00211B68"/>
    <w:rsid w:val="00214277"/>
    <w:rsid w:val="002160AB"/>
    <w:rsid w:val="00220F2F"/>
    <w:rsid w:val="0022151C"/>
    <w:rsid w:val="0022762D"/>
    <w:rsid w:val="00227861"/>
    <w:rsid w:val="002311D5"/>
    <w:rsid w:val="00232303"/>
    <w:rsid w:val="00234806"/>
    <w:rsid w:val="002378D6"/>
    <w:rsid w:val="00243D36"/>
    <w:rsid w:val="00246903"/>
    <w:rsid w:val="00247707"/>
    <w:rsid w:val="00255D18"/>
    <w:rsid w:val="00257022"/>
    <w:rsid w:val="00261BB3"/>
    <w:rsid w:val="00263171"/>
    <w:rsid w:val="00265F10"/>
    <w:rsid w:val="002750C9"/>
    <w:rsid w:val="00277919"/>
    <w:rsid w:val="00277AFF"/>
    <w:rsid w:val="002858E8"/>
    <w:rsid w:val="00286740"/>
    <w:rsid w:val="00287B42"/>
    <w:rsid w:val="002929D8"/>
    <w:rsid w:val="002935C2"/>
    <w:rsid w:val="00297D93"/>
    <w:rsid w:val="002A0B07"/>
    <w:rsid w:val="002A237D"/>
    <w:rsid w:val="002A2BF7"/>
    <w:rsid w:val="002A4C53"/>
    <w:rsid w:val="002A59ED"/>
    <w:rsid w:val="002B0672"/>
    <w:rsid w:val="002B1B4C"/>
    <w:rsid w:val="002B247F"/>
    <w:rsid w:val="002C145D"/>
    <w:rsid w:val="002C2C3E"/>
    <w:rsid w:val="002C533E"/>
    <w:rsid w:val="002C5525"/>
    <w:rsid w:val="002D027F"/>
    <w:rsid w:val="002D7A85"/>
    <w:rsid w:val="002D7B60"/>
    <w:rsid w:val="002D7FAF"/>
    <w:rsid w:val="002E19D4"/>
    <w:rsid w:val="002E39FF"/>
    <w:rsid w:val="002E4177"/>
    <w:rsid w:val="002F0362"/>
    <w:rsid w:val="002F2C60"/>
    <w:rsid w:val="002F4038"/>
    <w:rsid w:val="002F4761"/>
    <w:rsid w:val="002F5C79"/>
    <w:rsid w:val="002F7994"/>
    <w:rsid w:val="002F7CB9"/>
    <w:rsid w:val="003019E2"/>
    <w:rsid w:val="0030279F"/>
    <w:rsid w:val="0031413F"/>
    <w:rsid w:val="003148BB"/>
    <w:rsid w:val="00317976"/>
    <w:rsid w:val="003206C9"/>
    <w:rsid w:val="0032262C"/>
    <w:rsid w:val="00323885"/>
    <w:rsid w:val="003252B0"/>
    <w:rsid w:val="00331475"/>
    <w:rsid w:val="003318B7"/>
    <w:rsid w:val="0033212E"/>
    <w:rsid w:val="00336869"/>
    <w:rsid w:val="00337AC4"/>
    <w:rsid w:val="00351A93"/>
    <w:rsid w:val="00353AD4"/>
    <w:rsid w:val="00354EAB"/>
    <w:rsid w:val="00354F33"/>
    <w:rsid w:val="00355EA9"/>
    <w:rsid w:val="003578DE"/>
    <w:rsid w:val="00365F6B"/>
    <w:rsid w:val="00370BF9"/>
    <w:rsid w:val="00371340"/>
    <w:rsid w:val="003759E2"/>
    <w:rsid w:val="00375AC6"/>
    <w:rsid w:val="00377D38"/>
    <w:rsid w:val="0038534A"/>
    <w:rsid w:val="00386999"/>
    <w:rsid w:val="00387C03"/>
    <w:rsid w:val="00390145"/>
    <w:rsid w:val="0039028A"/>
    <w:rsid w:val="00394379"/>
    <w:rsid w:val="00396257"/>
    <w:rsid w:val="00397EB8"/>
    <w:rsid w:val="003A07AB"/>
    <w:rsid w:val="003A086E"/>
    <w:rsid w:val="003A128A"/>
    <w:rsid w:val="003A300F"/>
    <w:rsid w:val="003A37B8"/>
    <w:rsid w:val="003A4FD0"/>
    <w:rsid w:val="003A52FC"/>
    <w:rsid w:val="003A69D1"/>
    <w:rsid w:val="003A6E7D"/>
    <w:rsid w:val="003A76C0"/>
    <w:rsid w:val="003A7705"/>
    <w:rsid w:val="003B1545"/>
    <w:rsid w:val="003B3828"/>
    <w:rsid w:val="003B6CC5"/>
    <w:rsid w:val="003C035E"/>
    <w:rsid w:val="003C3267"/>
    <w:rsid w:val="003C409D"/>
    <w:rsid w:val="003C5BA6"/>
    <w:rsid w:val="003C7022"/>
    <w:rsid w:val="003D27C3"/>
    <w:rsid w:val="003D5CF3"/>
    <w:rsid w:val="003E3BCD"/>
    <w:rsid w:val="003F0AEC"/>
    <w:rsid w:val="003F0E85"/>
    <w:rsid w:val="003F179F"/>
    <w:rsid w:val="003F1C2B"/>
    <w:rsid w:val="003F6C9C"/>
    <w:rsid w:val="00404CB5"/>
    <w:rsid w:val="00405251"/>
    <w:rsid w:val="004065EB"/>
    <w:rsid w:val="00410C55"/>
    <w:rsid w:val="004123A9"/>
    <w:rsid w:val="004124F7"/>
    <w:rsid w:val="0041604D"/>
    <w:rsid w:val="00416854"/>
    <w:rsid w:val="00417725"/>
    <w:rsid w:val="0041779A"/>
    <w:rsid w:val="00417B99"/>
    <w:rsid w:val="0042020C"/>
    <w:rsid w:val="004212E4"/>
    <w:rsid w:val="004233BC"/>
    <w:rsid w:val="004243EA"/>
    <w:rsid w:val="00427834"/>
    <w:rsid w:val="004369F1"/>
    <w:rsid w:val="00437926"/>
    <w:rsid w:val="00437F26"/>
    <w:rsid w:val="0044040C"/>
    <w:rsid w:val="00441BF1"/>
    <w:rsid w:val="00444097"/>
    <w:rsid w:val="00445487"/>
    <w:rsid w:val="00451E64"/>
    <w:rsid w:val="00454769"/>
    <w:rsid w:val="00455C96"/>
    <w:rsid w:val="00456D58"/>
    <w:rsid w:val="004601A3"/>
    <w:rsid w:val="00460B4A"/>
    <w:rsid w:val="0046268D"/>
    <w:rsid w:val="00466553"/>
    <w:rsid w:val="00466991"/>
    <w:rsid w:val="0047064C"/>
    <w:rsid w:val="00473212"/>
    <w:rsid w:val="00473658"/>
    <w:rsid w:val="00474D90"/>
    <w:rsid w:val="0047750B"/>
    <w:rsid w:val="00477AFF"/>
    <w:rsid w:val="00481F0B"/>
    <w:rsid w:val="00486A43"/>
    <w:rsid w:val="00492BEF"/>
    <w:rsid w:val="00495BFE"/>
    <w:rsid w:val="004A42E1"/>
    <w:rsid w:val="004A497A"/>
    <w:rsid w:val="004A6EF4"/>
    <w:rsid w:val="004B07DD"/>
    <w:rsid w:val="004B162C"/>
    <w:rsid w:val="004B2761"/>
    <w:rsid w:val="004B2F71"/>
    <w:rsid w:val="004B420B"/>
    <w:rsid w:val="004C2F00"/>
    <w:rsid w:val="004C3135"/>
    <w:rsid w:val="004C32EF"/>
    <w:rsid w:val="004C3DBE"/>
    <w:rsid w:val="004C51F4"/>
    <w:rsid w:val="004C5C96"/>
    <w:rsid w:val="004D067A"/>
    <w:rsid w:val="004D06A4"/>
    <w:rsid w:val="004D1319"/>
    <w:rsid w:val="004D1449"/>
    <w:rsid w:val="004D3626"/>
    <w:rsid w:val="004D3F13"/>
    <w:rsid w:val="004D60EA"/>
    <w:rsid w:val="004E3C89"/>
    <w:rsid w:val="004E59D4"/>
    <w:rsid w:val="004E7605"/>
    <w:rsid w:val="004E7821"/>
    <w:rsid w:val="004E79AC"/>
    <w:rsid w:val="004F1A81"/>
    <w:rsid w:val="00506479"/>
    <w:rsid w:val="00511673"/>
    <w:rsid w:val="00512F70"/>
    <w:rsid w:val="005218D9"/>
    <w:rsid w:val="005248DF"/>
    <w:rsid w:val="00532E47"/>
    <w:rsid w:val="00535274"/>
    <w:rsid w:val="00536186"/>
    <w:rsid w:val="00536826"/>
    <w:rsid w:val="00544CBB"/>
    <w:rsid w:val="00550518"/>
    <w:rsid w:val="00552CD6"/>
    <w:rsid w:val="00564871"/>
    <w:rsid w:val="00564963"/>
    <w:rsid w:val="00566551"/>
    <w:rsid w:val="0057315F"/>
    <w:rsid w:val="00575DF1"/>
    <w:rsid w:val="00576104"/>
    <w:rsid w:val="00582712"/>
    <w:rsid w:val="00582D26"/>
    <w:rsid w:val="00590700"/>
    <w:rsid w:val="00590AB7"/>
    <w:rsid w:val="0059379A"/>
    <w:rsid w:val="005940BC"/>
    <w:rsid w:val="00594396"/>
    <w:rsid w:val="00594BA0"/>
    <w:rsid w:val="005A35AD"/>
    <w:rsid w:val="005A6439"/>
    <w:rsid w:val="005B4AC6"/>
    <w:rsid w:val="005C14E7"/>
    <w:rsid w:val="005C1861"/>
    <w:rsid w:val="005C30D5"/>
    <w:rsid w:val="005C67C8"/>
    <w:rsid w:val="005D0249"/>
    <w:rsid w:val="005D2784"/>
    <w:rsid w:val="005D289E"/>
    <w:rsid w:val="005D380F"/>
    <w:rsid w:val="005D3F1E"/>
    <w:rsid w:val="005D5F2D"/>
    <w:rsid w:val="005D6E8C"/>
    <w:rsid w:val="005E2E66"/>
    <w:rsid w:val="005F100C"/>
    <w:rsid w:val="005F1111"/>
    <w:rsid w:val="005F1B38"/>
    <w:rsid w:val="005F5066"/>
    <w:rsid w:val="005F5708"/>
    <w:rsid w:val="005F68DA"/>
    <w:rsid w:val="005F6C8C"/>
    <w:rsid w:val="005F75E6"/>
    <w:rsid w:val="006014DD"/>
    <w:rsid w:val="0060773B"/>
    <w:rsid w:val="00607D94"/>
    <w:rsid w:val="00610C80"/>
    <w:rsid w:val="006157B5"/>
    <w:rsid w:val="00616A0D"/>
    <w:rsid w:val="00621537"/>
    <w:rsid w:val="0062337F"/>
    <w:rsid w:val="00623D76"/>
    <w:rsid w:val="006249A4"/>
    <w:rsid w:val="006264A6"/>
    <w:rsid w:val="00626FC6"/>
    <w:rsid w:val="006303B4"/>
    <w:rsid w:val="00631F2D"/>
    <w:rsid w:val="00633CEB"/>
    <w:rsid w:val="00633D3D"/>
    <w:rsid w:val="00633F3A"/>
    <w:rsid w:val="00635C7B"/>
    <w:rsid w:val="00635DDE"/>
    <w:rsid w:val="00636025"/>
    <w:rsid w:val="00641703"/>
    <w:rsid w:val="006431A6"/>
    <w:rsid w:val="006459F6"/>
    <w:rsid w:val="006501AD"/>
    <w:rsid w:val="00651BFA"/>
    <w:rsid w:val="006533B3"/>
    <w:rsid w:val="00655BDC"/>
    <w:rsid w:val="00655FD3"/>
    <w:rsid w:val="00663A80"/>
    <w:rsid w:val="00665A4B"/>
    <w:rsid w:val="00667F06"/>
    <w:rsid w:val="006731FE"/>
    <w:rsid w:val="006762E6"/>
    <w:rsid w:val="0068416B"/>
    <w:rsid w:val="0068417F"/>
    <w:rsid w:val="00686F0A"/>
    <w:rsid w:val="00687AB5"/>
    <w:rsid w:val="00692E2A"/>
    <w:rsid w:val="00697FB3"/>
    <w:rsid w:val="006A1F5E"/>
    <w:rsid w:val="006A76F2"/>
    <w:rsid w:val="006B3B72"/>
    <w:rsid w:val="006B50BE"/>
    <w:rsid w:val="006C3DDA"/>
    <w:rsid w:val="006D3277"/>
    <w:rsid w:val="006D4C96"/>
    <w:rsid w:val="006D7EFB"/>
    <w:rsid w:val="006E44B8"/>
    <w:rsid w:val="006E6672"/>
    <w:rsid w:val="006E6722"/>
    <w:rsid w:val="006E75DA"/>
    <w:rsid w:val="006F10F1"/>
    <w:rsid w:val="006F1E23"/>
    <w:rsid w:val="006F28FD"/>
    <w:rsid w:val="006F451D"/>
    <w:rsid w:val="006F749A"/>
    <w:rsid w:val="0070079C"/>
    <w:rsid w:val="007027B9"/>
    <w:rsid w:val="0070281C"/>
    <w:rsid w:val="007035C0"/>
    <w:rsid w:val="00703664"/>
    <w:rsid w:val="00704922"/>
    <w:rsid w:val="00711C2D"/>
    <w:rsid w:val="00713D8F"/>
    <w:rsid w:val="00715CFD"/>
    <w:rsid w:val="00715E88"/>
    <w:rsid w:val="007163F8"/>
    <w:rsid w:val="00716E6C"/>
    <w:rsid w:val="007237BD"/>
    <w:rsid w:val="00723A0A"/>
    <w:rsid w:val="0072508B"/>
    <w:rsid w:val="00725D7A"/>
    <w:rsid w:val="00730C55"/>
    <w:rsid w:val="00732257"/>
    <w:rsid w:val="00734CAA"/>
    <w:rsid w:val="00736583"/>
    <w:rsid w:val="00741092"/>
    <w:rsid w:val="0074187B"/>
    <w:rsid w:val="00744DED"/>
    <w:rsid w:val="0075473A"/>
    <w:rsid w:val="00754F75"/>
    <w:rsid w:val="00755106"/>
    <w:rsid w:val="0075533C"/>
    <w:rsid w:val="00757581"/>
    <w:rsid w:val="007611A0"/>
    <w:rsid w:val="007658A0"/>
    <w:rsid w:val="007661C5"/>
    <w:rsid w:val="00771992"/>
    <w:rsid w:val="00783907"/>
    <w:rsid w:val="00787A36"/>
    <w:rsid w:val="00794672"/>
    <w:rsid w:val="007963C5"/>
    <w:rsid w:val="0079650A"/>
    <w:rsid w:val="00796D3F"/>
    <w:rsid w:val="007A1683"/>
    <w:rsid w:val="007A36F8"/>
    <w:rsid w:val="007A5C12"/>
    <w:rsid w:val="007A7CB0"/>
    <w:rsid w:val="007B126D"/>
    <w:rsid w:val="007B1374"/>
    <w:rsid w:val="007B68A3"/>
    <w:rsid w:val="007C2418"/>
    <w:rsid w:val="007C2541"/>
    <w:rsid w:val="007C2E66"/>
    <w:rsid w:val="007D254D"/>
    <w:rsid w:val="007D66A8"/>
    <w:rsid w:val="007D773D"/>
    <w:rsid w:val="007E003F"/>
    <w:rsid w:val="007E3F3A"/>
    <w:rsid w:val="007E4C83"/>
    <w:rsid w:val="007E5159"/>
    <w:rsid w:val="007F0C50"/>
    <w:rsid w:val="007F1AC9"/>
    <w:rsid w:val="007F5CC1"/>
    <w:rsid w:val="007F5EEB"/>
    <w:rsid w:val="008000A2"/>
    <w:rsid w:val="00802E72"/>
    <w:rsid w:val="00802FAB"/>
    <w:rsid w:val="00804013"/>
    <w:rsid w:val="00805E63"/>
    <w:rsid w:val="00805F1D"/>
    <w:rsid w:val="008061A7"/>
    <w:rsid w:val="00811A6A"/>
    <w:rsid w:val="008164F2"/>
    <w:rsid w:val="00821395"/>
    <w:rsid w:val="00824E0D"/>
    <w:rsid w:val="00826843"/>
    <w:rsid w:val="00830E26"/>
    <w:rsid w:val="00832828"/>
    <w:rsid w:val="00834507"/>
    <w:rsid w:val="00842776"/>
    <w:rsid w:val="00843576"/>
    <w:rsid w:val="00843B64"/>
    <w:rsid w:val="008440E7"/>
    <w:rsid w:val="008470BD"/>
    <w:rsid w:val="008478FC"/>
    <w:rsid w:val="00847B47"/>
    <w:rsid w:val="00847E0A"/>
    <w:rsid w:val="008508FB"/>
    <w:rsid w:val="00854647"/>
    <w:rsid w:val="0086263F"/>
    <w:rsid w:val="00863BBD"/>
    <w:rsid w:val="0086769E"/>
    <w:rsid w:val="00867B3F"/>
    <w:rsid w:val="00867BFF"/>
    <w:rsid w:val="00872330"/>
    <w:rsid w:val="00873A41"/>
    <w:rsid w:val="00876587"/>
    <w:rsid w:val="00876D12"/>
    <w:rsid w:val="008825AC"/>
    <w:rsid w:val="0088480A"/>
    <w:rsid w:val="0088687C"/>
    <w:rsid w:val="0088757A"/>
    <w:rsid w:val="008908DD"/>
    <w:rsid w:val="00890D64"/>
    <w:rsid w:val="00894540"/>
    <w:rsid w:val="008957DD"/>
    <w:rsid w:val="00897D98"/>
    <w:rsid w:val="008A0222"/>
    <w:rsid w:val="008A1635"/>
    <w:rsid w:val="008A26B4"/>
    <w:rsid w:val="008A5130"/>
    <w:rsid w:val="008A6DF2"/>
    <w:rsid w:val="008A7807"/>
    <w:rsid w:val="008B0D6B"/>
    <w:rsid w:val="008B14D6"/>
    <w:rsid w:val="008B3832"/>
    <w:rsid w:val="008B4CC9"/>
    <w:rsid w:val="008B61D2"/>
    <w:rsid w:val="008B6FFF"/>
    <w:rsid w:val="008C13F0"/>
    <w:rsid w:val="008C1B8B"/>
    <w:rsid w:val="008C2B64"/>
    <w:rsid w:val="008C660A"/>
    <w:rsid w:val="008C6E30"/>
    <w:rsid w:val="008C794D"/>
    <w:rsid w:val="008D1F0B"/>
    <w:rsid w:val="008D3AE0"/>
    <w:rsid w:val="008D6349"/>
    <w:rsid w:val="008D7C99"/>
    <w:rsid w:val="008E0EC2"/>
    <w:rsid w:val="008E0FCB"/>
    <w:rsid w:val="008E132C"/>
    <w:rsid w:val="008E182C"/>
    <w:rsid w:val="008E5764"/>
    <w:rsid w:val="008F10F1"/>
    <w:rsid w:val="008F29AA"/>
    <w:rsid w:val="008F4856"/>
    <w:rsid w:val="0090336D"/>
    <w:rsid w:val="00907A4F"/>
    <w:rsid w:val="00907D78"/>
    <w:rsid w:val="00917387"/>
    <w:rsid w:val="0092178C"/>
    <w:rsid w:val="00921838"/>
    <w:rsid w:val="00921948"/>
    <w:rsid w:val="0092449E"/>
    <w:rsid w:val="0092493F"/>
    <w:rsid w:val="00930B88"/>
    <w:rsid w:val="009328C9"/>
    <w:rsid w:val="009378DC"/>
    <w:rsid w:val="00940DCC"/>
    <w:rsid w:val="0094179A"/>
    <w:rsid w:val="00942D45"/>
    <w:rsid w:val="0094459E"/>
    <w:rsid w:val="00944DBC"/>
    <w:rsid w:val="00950977"/>
    <w:rsid w:val="00951A7B"/>
    <w:rsid w:val="009564A6"/>
    <w:rsid w:val="009613DD"/>
    <w:rsid w:val="00961A33"/>
    <w:rsid w:val="00961FA9"/>
    <w:rsid w:val="009627B8"/>
    <w:rsid w:val="009628B9"/>
    <w:rsid w:val="009663E0"/>
    <w:rsid w:val="00967621"/>
    <w:rsid w:val="00967E6A"/>
    <w:rsid w:val="00971ACE"/>
    <w:rsid w:val="00973025"/>
    <w:rsid w:val="00980797"/>
    <w:rsid w:val="00983D7E"/>
    <w:rsid w:val="00983DC9"/>
    <w:rsid w:val="009866D3"/>
    <w:rsid w:val="0099138D"/>
    <w:rsid w:val="00992225"/>
    <w:rsid w:val="009935AC"/>
    <w:rsid w:val="00995CA9"/>
    <w:rsid w:val="00996A19"/>
    <w:rsid w:val="00997D4D"/>
    <w:rsid w:val="009A30E9"/>
    <w:rsid w:val="009A6054"/>
    <w:rsid w:val="009A6A77"/>
    <w:rsid w:val="009B0684"/>
    <w:rsid w:val="009B4A0F"/>
    <w:rsid w:val="009B7998"/>
    <w:rsid w:val="009C0FEC"/>
    <w:rsid w:val="009C11D2"/>
    <w:rsid w:val="009C2660"/>
    <w:rsid w:val="009C6C70"/>
    <w:rsid w:val="009D0922"/>
    <w:rsid w:val="009D0B63"/>
    <w:rsid w:val="009D3A75"/>
    <w:rsid w:val="009D5A36"/>
    <w:rsid w:val="009E1A50"/>
    <w:rsid w:val="009E307E"/>
    <w:rsid w:val="009E47E3"/>
    <w:rsid w:val="009F2289"/>
    <w:rsid w:val="009F341F"/>
    <w:rsid w:val="009F490E"/>
    <w:rsid w:val="00A02362"/>
    <w:rsid w:val="00A03A4A"/>
    <w:rsid w:val="00A04A39"/>
    <w:rsid w:val="00A07870"/>
    <w:rsid w:val="00A079A5"/>
    <w:rsid w:val="00A07F19"/>
    <w:rsid w:val="00A12C5D"/>
    <w:rsid w:val="00A1348D"/>
    <w:rsid w:val="00A142D1"/>
    <w:rsid w:val="00A1489E"/>
    <w:rsid w:val="00A17D43"/>
    <w:rsid w:val="00A2099E"/>
    <w:rsid w:val="00A232EE"/>
    <w:rsid w:val="00A30EA1"/>
    <w:rsid w:val="00A348AD"/>
    <w:rsid w:val="00A4175F"/>
    <w:rsid w:val="00A421CD"/>
    <w:rsid w:val="00A44411"/>
    <w:rsid w:val="00A469FA"/>
    <w:rsid w:val="00A47502"/>
    <w:rsid w:val="00A4781A"/>
    <w:rsid w:val="00A50E6C"/>
    <w:rsid w:val="00A50E94"/>
    <w:rsid w:val="00A55B01"/>
    <w:rsid w:val="00A56546"/>
    <w:rsid w:val="00A56B5B"/>
    <w:rsid w:val="00A57D06"/>
    <w:rsid w:val="00A603FF"/>
    <w:rsid w:val="00A657DD"/>
    <w:rsid w:val="00A666A6"/>
    <w:rsid w:val="00A675FD"/>
    <w:rsid w:val="00A7034A"/>
    <w:rsid w:val="00A72437"/>
    <w:rsid w:val="00A800B7"/>
    <w:rsid w:val="00A80611"/>
    <w:rsid w:val="00A845BD"/>
    <w:rsid w:val="00A84B15"/>
    <w:rsid w:val="00A87016"/>
    <w:rsid w:val="00AA4524"/>
    <w:rsid w:val="00AA4C3D"/>
    <w:rsid w:val="00AB1F69"/>
    <w:rsid w:val="00AB4D09"/>
    <w:rsid w:val="00AB5340"/>
    <w:rsid w:val="00AB6293"/>
    <w:rsid w:val="00AC010E"/>
    <w:rsid w:val="00AC01CC"/>
    <w:rsid w:val="00AC16B8"/>
    <w:rsid w:val="00AC2CE9"/>
    <w:rsid w:val="00AC4CD2"/>
    <w:rsid w:val="00AC7C96"/>
    <w:rsid w:val="00AD1274"/>
    <w:rsid w:val="00AD3F01"/>
    <w:rsid w:val="00AD481F"/>
    <w:rsid w:val="00AE2080"/>
    <w:rsid w:val="00AE237D"/>
    <w:rsid w:val="00AE2A3D"/>
    <w:rsid w:val="00AE502A"/>
    <w:rsid w:val="00AF0DF7"/>
    <w:rsid w:val="00AF2E97"/>
    <w:rsid w:val="00AF79C5"/>
    <w:rsid w:val="00AF7C07"/>
    <w:rsid w:val="00B02658"/>
    <w:rsid w:val="00B1466C"/>
    <w:rsid w:val="00B14744"/>
    <w:rsid w:val="00B209FE"/>
    <w:rsid w:val="00B22C93"/>
    <w:rsid w:val="00B27589"/>
    <w:rsid w:val="00B32CB0"/>
    <w:rsid w:val="00B34271"/>
    <w:rsid w:val="00B34886"/>
    <w:rsid w:val="00B371E0"/>
    <w:rsid w:val="00B37EF9"/>
    <w:rsid w:val="00B405B7"/>
    <w:rsid w:val="00B436D1"/>
    <w:rsid w:val="00B45E6D"/>
    <w:rsid w:val="00B52222"/>
    <w:rsid w:val="00B523A2"/>
    <w:rsid w:val="00B54FE7"/>
    <w:rsid w:val="00B57C47"/>
    <w:rsid w:val="00B66901"/>
    <w:rsid w:val="00B678B2"/>
    <w:rsid w:val="00B71E6D"/>
    <w:rsid w:val="00B72070"/>
    <w:rsid w:val="00B779E1"/>
    <w:rsid w:val="00B83906"/>
    <w:rsid w:val="00B859A3"/>
    <w:rsid w:val="00B918F2"/>
    <w:rsid w:val="00B91BAD"/>
    <w:rsid w:val="00B91EE1"/>
    <w:rsid w:val="00B93D08"/>
    <w:rsid w:val="00B94EC8"/>
    <w:rsid w:val="00BA0090"/>
    <w:rsid w:val="00BA1A67"/>
    <w:rsid w:val="00BA5F60"/>
    <w:rsid w:val="00BA684D"/>
    <w:rsid w:val="00BB1BD8"/>
    <w:rsid w:val="00BB2963"/>
    <w:rsid w:val="00BB43D8"/>
    <w:rsid w:val="00BB49DE"/>
    <w:rsid w:val="00BB5F8D"/>
    <w:rsid w:val="00BC07FE"/>
    <w:rsid w:val="00BC34E8"/>
    <w:rsid w:val="00BD0163"/>
    <w:rsid w:val="00BD159E"/>
    <w:rsid w:val="00BD1AE4"/>
    <w:rsid w:val="00BD34D5"/>
    <w:rsid w:val="00BD3668"/>
    <w:rsid w:val="00BD4973"/>
    <w:rsid w:val="00BE5B5F"/>
    <w:rsid w:val="00BF49F8"/>
    <w:rsid w:val="00BF5B50"/>
    <w:rsid w:val="00C002AF"/>
    <w:rsid w:val="00C074B3"/>
    <w:rsid w:val="00C12775"/>
    <w:rsid w:val="00C16B63"/>
    <w:rsid w:val="00C26F55"/>
    <w:rsid w:val="00C27485"/>
    <w:rsid w:val="00C30C63"/>
    <w:rsid w:val="00C32B37"/>
    <w:rsid w:val="00C34876"/>
    <w:rsid w:val="00C35D76"/>
    <w:rsid w:val="00C36B8B"/>
    <w:rsid w:val="00C42643"/>
    <w:rsid w:val="00C47DBF"/>
    <w:rsid w:val="00C5012C"/>
    <w:rsid w:val="00C53666"/>
    <w:rsid w:val="00C552FF"/>
    <w:rsid w:val="00C558DA"/>
    <w:rsid w:val="00C55AF3"/>
    <w:rsid w:val="00C5607C"/>
    <w:rsid w:val="00C60713"/>
    <w:rsid w:val="00C655A1"/>
    <w:rsid w:val="00C67D0B"/>
    <w:rsid w:val="00C70B49"/>
    <w:rsid w:val="00C70F49"/>
    <w:rsid w:val="00C71D57"/>
    <w:rsid w:val="00C71F80"/>
    <w:rsid w:val="00C75C7C"/>
    <w:rsid w:val="00C762EF"/>
    <w:rsid w:val="00C81951"/>
    <w:rsid w:val="00C83A8F"/>
    <w:rsid w:val="00C843CD"/>
    <w:rsid w:val="00C84759"/>
    <w:rsid w:val="00C85023"/>
    <w:rsid w:val="00C8546D"/>
    <w:rsid w:val="00C97578"/>
    <w:rsid w:val="00CA134A"/>
    <w:rsid w:val="00CA3CFB"/>
    <w:rsid w:val="00CA6C7F"/>
    <w:rsid w:val="00CA78AF"/>
    <w:rsid w:val="00CB27F3"/>
    <w:rsid w:val="00CB6CD4"/>
    <w:rsid w:val="00CB6F8C"/>
    <w:rsid w:val="00CC0260"/>
    <w:rsid w:val="00CC10A6"/>
    <w:rsid w:val="00CC192D"/>
    <w:rsid w:val="00CC38C3"/>
    <w:rsid w:val="00CC390A"/>
    <w:rsid w:val="00CC7DF9"/>
    <w:rsid w:val="00CD09D6"/>
    <w:rsid w:val="00CD3B30"/>
    <w:rsid w:val="00CD5EB8"/>
    <w:rsid w:val="00CD6AC7"/>
    <w:rsid w:val="00CD7044"/>
    <w:rsid w:val="00CE0360"/>
    <w:rsid w:val="00CE08B9"/>
    <w:rsid w:val="00CE23B6"/>
    <w:rsid w:val="00CE524C"/>
    <w:rsid w:val="00CE7C27"/>
    <w:rsid w:val="00CF141F"/>
    <w:rsid w:val="00CF4777"/>
    <w:rsid w:val="00CF5AF8"/>
    <w:rsid w:val="00D067BB"/>
    <w:rsid w:val="00D070CC"/>
    <w:rsid w:val="00D1352A"/>
    <w:rsid w:val="00D13EDE"/>
    <w:rsid w:val="00D152C4"/>
    <w:rsid w:val="00D169AF"/>
    <w:rsid w:val="00D17EBA"/>
    <w:rsid w:val="00D2434A"/>
    <w:rsid w:val="00D25249"/>
    <w:rsid w:val="00D255A7"/>
    <w:rsid w:val="00D26D33"/>
    <w:rsid w:val="00D27A10"/>
    <w:rsid w:val="00D31CDA"/>
    <w:rsid w:val="00D34B46"/>
    <w:rsid w:val="00D42143"/>
    <w:rsid w:val="00D44172"/>
    <w:rsid w:val="00D457FB"/>
    <w:rsid w:val="00D52175"/>
    <w:rsid w:val="00D526D8"/>
    <w:rsid w:val="00D60152"/>
    <w:rsid w:val="00D62ABE"/>
    <w:rsid w:val="00D63B8C"/>
    <w:rsid w:val="00D648A4"/>
    <w:rsid w:val="00D70B0E"/>
    <w:rsid w:val="00D712FD"/>
    <w:rsid w:val="00D72B7C"/>
    <w:rsid w:val="00D72CB6"/>
    <w:rsid w:val="00D739CC"/>
    <w:rsid w:val="00D74317"/>
    <w:rsid w:val="00D8093D"/>
    <w:rsid w:val="00D8108C"/>
    <w:rsid w:val="00D83B14"/>
    <w:rsid w:val="00D842AE"/>
    <w:rsid w:val="00D90F57"/>
    <w:rsid w:val="00D9211C"/>
    <w:rsid w:val="00D92DE0"/>
    <w:rsid w:val="00D92FEF"/>
    <w:rsid w:val="00D93A0F"/>
    <w:rsid w:val="00D972E4"/>
    <w:rsid w:val="00DA1BCA"/>
    <w:rsid w:val="00DA3FFA"/>
    <w:rsid w:val="00DA4A14"/>
    <w:rsid w:val="00DA7299"/>
    <w:rsid w:val="00DB36B7"/>
    <w:rsid w:val="00DB3E23"/>
    <w:rsid w:val="00DB70DF"/>
    <w:rsid w:val="00DC43F4"/>
    <w:rsid w:val="00DC46FF"/>
    <w:rsid w:val="00DC5254"/>
    <w:rsid w:val="00DC5BEF"/>
    <w:rsid w:val="00DD1552"/>
    <w:rsid w:val="00DD1A4F"/>
    <w:rsid w:val="00DD3107"/>
    <w:rsid w:val="00DD5820"/>
    <w:rsid w:val="00DD5EFF"/>
    <w:rsid w:val="00DD714F"/>
    <w:rsid w:val="00DD7C2C"/>
    <w:rsid w:val="00DE2CFA"/>
    <w:rsid w:val="00DE6E55"/>
    <w:rsid w:val="00DE7FD2"/>
    <w:rsid w:val="00DF032F"/>
    <w:rsid w:val="00DF5660"/>
    <w:rsid w:val="00DF5A82"/>
    <w:rsid w:val="00DF5ABB"/>
    <w:rsid w:val="00DF719E"/>
    <w:rsid w:val="00E0042E"/>
    <w:rsid w:val="00E01E81"/>
    <w:rsid w:val="00E028E5"/>
    <w:rsid w:val="00E0318B"/>
    <w:rsid w:val="00E0574F"/>
    <w:rsid w:val="00E06797"/>
    <w:rsid w:val="00E122BC"/>
    <w:rsid w:val="00E1265B"/>
    <w:rsid w:val="00E135E9"/>
    <w:rsid w:val="00E13B48"/>
    <w:rsid w:val="00E1404F"/>
    <w:rsid w:val="00E15FDA"/>
    <w:rsid w:val="00E212EF"/>
    <w:rsid w:val="00E214BC"/>
    <w:rsid w:val="00E21C83"/>
    <w:rsid w:val="00E24ADA"/>
    <w:rsid w:val="00E256F6"/>
    <w:rsid w:val="00E2771B"/>
    <w:rsid w:val="00E32F59"/>
    <w:rsid w:val="00E33495"/>
    <w:rsid w:val="00E37F15"/>
    <w:rsid w:val="00E43E9C"/>
    <w:rsid w:val="00E440CD"/>
    <w:rsid w:val="00E46D9A"/>
    <w:rsid w:val="00E509D1"/>
    <w:rsid w:val="00E55A0C"/>
    <w:rsid w:val="00E565FF"/>
    <w:rsid w:val="00E5697E"/>
    <w:rsid w:val="00E600D6"/>
    <w:rsid w:val="00E608F7"/>
    <w:rsid w:val="00E63C75"/>
    <w:rsid w:val="00E65388"/>
    <w:rsid w:val="00E67833"/>
    <w:rsid w:val="00E746BF"/>
    <w:rsid w:val="00E74ACB"/>
    <w:rsid w:val="00E74DFE"/>
    <w:rsid w:val="00E76338"/>
    <w:rsid w:val="00E85B7D"/>
    <w:rsid w:val="00E870A4"/>
    <w:rsid w:val="00E90CB9"/>
    <w:rsid w:val="00E9121B"/>
    <w:rsid w:val="00E94B48"/>
    <w:rsid w:val="00E96614"/>
    <w:rsid w:val="00EA0AE2"/>
    <w:rsid w:val="00EA2502"/>
    <w:rsid w:val="00EA292F"/>
    <w:rsid w:val="00EA39E5"/>
    <w:rsid w:val="00EA5C76"/>
    <w:rsid w:val="00EB3106"/>
    <w:rsid w:val="00EB6959"/>
    <w:rsid w:val="00EC5A46"/>
    <w:rsid w:val="00EC63E2"/>
    <w:rsid w:val="00ED0087"/>
    <w:rsid w:val="00ED1F3E"/>
    <w:rsid w:val="00ED2AEB"/>
    <w:rsid w:val="00EE14AA"/>
    <w:rsid w:val="00EE1BA8"/>
    <w:rsid w:val="00EE1C1B"/>
    <w:rsid w:val="00EE1E98"/>
    <w:rsid w:val="00EE397B"/>
    <w:rsid w:val="00EE4483"/>
    <w:rsid w:val="00EE4B9B"/>
    <w:rsid w:val="00EE5261"/>
    <w:rsid w:val="00EE66BB"/>
    <w:rsid w:val="00EE73EF"/>
    <w:rsid w:val="00EF22B3"/>
    <w:rsid w:val="00EF469A"/>
    <w:rsid w:val="00EF5B10"/>
    <w:rsid w:val="00EF629A"/>
    <w:rsid w:val="00F03B69"/>
    <w:rsid w:val="00F051E2"/>
    <w:rsid w:val="00F051FF"/>
    <w:rsid w:val="00F05B20"/>
    <w:rsid w:val="00F07A50"/>
    <w:rsid w:val="00F105D3"/>
    <w:rsid w:val="00F113DA"/>
    <w:rsid w:val="00F1419D"/>
    <w:rsid w:val="00F1479A"/>
    <w:rsid w:val="00F17A1E"/>
    <w:rsid w:val="00F23184"/>
    <w:rsid w:val="00F25F15"/>
    <w:rsid w:val="00F3105B"/>
    <w:rsid w:val="00F31593"/>
    <w:rsid w:val="00F316F0"/>
    <w:rsid w:val="00F319FC"/>
    <w:rsid w:val="00F37DC8"/>
    <w:rsid w:val="00F439B3"/>
    <w:rsid w:val="00F45AA8"/>
    <w:rsid w:val="00F502DD"/>
    <w:rsid w:val="00F511D5"/>
    <w:rsid w:val="00F513D6"/>
    <w:rsid w:val="00F52A1B"/>
    <w:rsid w:val="00F55FC0"/>
    <w:rsid w:val="00F607B7"/>
    <w:rsid w:val="00F63517"/>
    <w:rsid w:val="00F638FC"/>
    <w:rsid w:val="00F64159"/>
    <w:rsid w:val="00F650C3"/>
    <w:rsid w:val="00F65D85"/>
    <w:rsid w:val="00F7203C"/>
    <w:rsid w:val="00F739A5"/>
    <w:rsid w:val="00F75453"/>
    <w:rsid w:val="00F75A27"/>
    <w:rsid w:val="00F8091E"/>
    <w:rsid w:val="00F82206"/>
    <w:rsid w:val="00F84A0C"/>
    <w:rsid w:val="00F84C62"/>
    <w:rsid w:val="00F85F25"/>
    <w:rsid w:val="00F8615C"/>
    <w:rsid w:val="00F963C3"/>
    <w:rsid w:val="00F9657B"/>
    <w:rsid w:val="00F969E5"/>
    <w:rsid w:val="00F97AEE"/>
    <w:rsid w:val="00F97E54"/>
    <w:rsid w:val="00FA0442"/>
    <w:rsid w:val="00FA04C1"/>
    <w:rsid w:val="00FA1C95"/>
    <w:rsid w:val="00FA5468"/>
    <w:rsid w:val="00FA598C"/>
    <w:rsid w:val="00FA6BB0"/>
    <w:rsid w:val="00FB0AC9"/>
    <w:rsid w:val="00FB1828"/>
    <w:rsid w:val="00FB1B51"/>
    <w:rsid w:val="00FB1DFB"/>
    <w:rsid w:val="00FB3574"/>
    <w:rsid w:val="00FB7583"/>
    <w:rsid w:val="00FC2223"/>
    <w:rsid w:val="00FC7A3D"/>
    <w:rsid w:val="00FD2438"/>
    <w:rsid w:val="00FD2ADF"/>
    <w:rsid w:val="00FD2D77"/>
    <w:rsid w:val="00FD5860"/>
    <w:rsid w:val="00FE2885"/>
    <w:rsid w:val="00FE2DA1"/>
    <w:rsid w:val="00FE352D"/>
    <w:rsid w:val="00FE40EB"/>
    <w:rsid w:val="00FE4D02"/>
    <w:rsid w:val="00FE51C9"/>
    <w:rsid w:val="00FE587C"/>
    <w:rsid w:val="00FE76CA"/>
    <w:rsid w:val="00FE7B2F"/>
    <w:rsid w:val="00FE7D62"/>
    <w:rsid w:val="00FF1109"/>
    <w:rsid w:val="00FF3819"/>
    <w:rsid w:val="00FF4B7A"/>
    <w:rsid w:val="00FF65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893D7"/>
  <w15:chartTrackingRefBased/>
  <w15:docId w15:val="{1039505C-1132-41F1-A228-DE14C9A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4187B"/>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C71D57"/>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C71D57"/>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C71D57"/>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C71D57"/>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C71D5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71D5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71D5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71D5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71D5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71D57"/>
    <w:rPr>
      <w:rFonts w:ascii="Times New Roman" w:hAnsi="Times New Roman"/>
      <w:b/>
      <w:sz w:val="18"/>
      <w:lang w:val="en-GB"/>
    </w:rPr>
  </w:style>
  <w:style w:type="table" w:customStyle="1" w:styleId="Tabledocright">
    <w:name w:val="Table_doc_right"/>
    <w:basedOn w:val="TableNormal"/>
    <w:rsid w:val="00C71D5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71D57"/>
    <w:pPr>
      <w:ind w:left="1000"/>
    </w:pPr>
    <w:rPr>
      <w:sz w:val="18"/>
      <w:szCs w:val="18"/>
    </w:rPr>
  </w:style>
  <w:style w:type="paragraph" w:styleId="TOC7">
    <w:name w:val="toc 7"/>
    <w:basedOn w:val="Normal"/>
    <w:next w:val="Normal"/>
    <w:autoRedefine/>
    <w:semiHidden/>
    <w:rsid w:val="00C71D57"/>
    <w:pPr>
      <w:ind w:left="1200"/>
    </w:pPr>
    <w:rPr>
      <w:sz w:val="18"/>
      <w:szCs w:val="18"/>
    </w:rPr>
  </w:style>
  <w:style w:type="paragraph" w:styleId="TOC8">
    <w:name w:val="toc 8"/>
    <w:basedOn w:val="Normal"/>
    <w:next w:val="Normal"/>
    <w:autoRedefine/>
    <w:semiHidden/>
    <w:rsid w:val="00C71D57"/>
    <w:pPr>
      <w:ind w:left="1400"/>
    </w:pPr>
    <w:rPr>
      <w:sz w:val="18"/>
      <w:szCs w:val="18"/>
    </w:rPr>
  </w:style>
  <w:style w:type="paragraph" w:styleId="TOC9">
    <w:name w:val="toc 9"/>
    <w:basedOn w:val="Normal"/>
    <w:next w:val="Normal"/>
    <w:autoRedefine/>
    <w:semiHidden/>
    <w:rsid w:val="00C71D57"/>
    <w:pPr>
      <w:ind w:left="1600"/>
    </w:pPr>
    <w:rPr>
      <w:sz w:val="18"/>
      <w:szCs w:val="18"/>
    </w:rPr>
  </w:style>
  <w:style w:type="paragraph" w:customStyle="1" w:styleId="Titlefigure">
    <w:name w:val="Title_figure"/>
    <w:basedOn w:val="Titletable"/>
    <w:next w:val="NormalNonumber"/>
    <w:rsid w:val="00C71D57"/>
    <w:pPr>
      <w:tabs>
        <w:tab w:val="clear" w:pos="4990"/>
      </w:tabs>
    </w:pPr>
    <w:rPr>
      <w:bCs w:val="0"/>
    </w:rPr>
  </w:style>
  <w:style w:type="paragraph" w:styleId="TableofFigures">
    <w:name w:val="table of figures"/>
    <w:basedOn w:val="Normal"/>
    <w:next w:val="Normal"/>
    <w:autoRedefine/>
    <w:semiHidden/>
    <w:rsid w:val="00C71D57"/>
    <w:pPr>
      <w:ind w:left="1814" w:hanging="567"/>
    </w:pPr>
  </w:style>
  <w:style w:type="paragraph" w:customStyle="1" w:styleId="CH1">
    <w:name w:val="CH1"/>
    <w:basedOn w:val="Normal-pool"/>
    <w:next w:val="CH2"/>
    <w:link w:val="CH1Char"/>
    <w:qFormat/>
    <w:rsid w:val="00C71D5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71D5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71D5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71D5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71D5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71D57"/>
    <w:pPr>
      <w:tabs>
        <w:tab w:val="left" w:pos="4321"/>
        <w:tab w:val="right" w:pos="8641"/>
      </w:tabs>
      <w:spacing w:before="60"/>
    </w:pPr>
    <w:rPr>
      <w:b/>
      <w:sz w:val="18"/>
    </w:rPr>
  </w:style>
  <w:style w:type="paragraph" w:customStyle="1" w:styleId="Footer-pool">
    <w:name w:val="Footer-pool"/>
    <w:basedOn w:val="Normal-pool"/>
    <w:next w:val="Normal-pool"/>
    <w:rsid w:val="00C71D57"/>
    <w:pPr>
      <w:tabs>
        <w:tab w:val="right" w:pos="8641"/>
      </w:tabs>
      <w:spacing w:after="120"/>
    </w:pPr>
    <w:rPr>
      <w:b/>
      <w:sz w:val="18"/>
    </w:rPr>
  </w:style>
  <w:style w:type="paragraph" w:customStyle="1" w:styleId="Header-pool">
    <w:name w:val="Header-pool"/>
    <w:basedOn w:val="Normal"/>
    <w:next w:val="Normal"/>
    <w:rsid w:val="00C71D57"/>
    <w:pPr>
      <w:pBdr>
        <w:bottom w:val="single" w:sz="4" w:space="1" w:color="auto"/>
      </w:pBdr>
      <w:tabs>
        <w:tab w:val="right" w:pos="9072"/>
      </w:tabs>
    </w:pPr>
    <w:rPr>
      <w:b/>
      <w:sz w:val="18"/>
    </w:rPr>
  </w:style>
  <w:style w:type="character" w:styleId="FootnoteReference">
    <w:name w:val="footnote reference"/>
    <w:unhideWhenUsed/>
    <w:qFormat/>
    <w:rsid w:val="00C71D57"/>
    <w:rPr>
      <w:rFonts w:ascii="Times New Roman" w:hAnsi="Times New Roman"/>
      <w:color w:val="auto"/>
      <w:sz w:val="20"/>
      <w:szCs w:val="18"/>
      <w:vertAlign w:val="superscript"/>
      <w:lang w:val="en-GB"/>
    </w:rPr>
  </w:style>
  <w:style w:type="table" w:customStyle="1" w:styleId="AATable">
    <w:name w:val="AA_Table"/>
    <w:basedOn w:val="TableNormal"/>
    <w:semiHidden/>
    <w:rsid w:val="00C71D5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71D57"/>
    <w:pPr>
      <w:keepNext/>
      <w:keepLines/>
      <w:suppressAutoHyphens/>
    </w:pPr>
    <w:rPr>
      <w:b/>
    </w:rPr>
  </w:style>
  <w:style w:type="paragraph" w:customStyle="1" w:styleId="AATitle2">
    <w:name w:val="AA_Title2"/>
    <w:basedOn w:val="AATitle"/>
    <w:qFormat/>
    <w:rsid w:val="00C71D57"/>
    <w:pPr>
      <w:keepNext w:val="0"/>
      <w:keepLines w:val="0"/>
      <w:tabs>
        <w:tab w:val="clear" w:pos="4990"/>
      </w:tabs>
      <w:spacing w:before="120" w:after="120"/>
    </w:pPr>
  </w:style>
  <w:style w:type="paragraph" w:customStyle="1" w:styleId="BBTitle">
    <w:name w:val="BB_Title"/>
    <w:basedOn w:val="Normal-pool"/>
    <w:link w:val="BBTitleChar"/>
    <w:qFormat/>
    <w:rsid w:val="00C71D57"/>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71D57"/>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71D57"/>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C71D57"/>
    <w:rPr>
      <w:color w:val="0000FF"/>
      <w:u w:val="none"/>
      <w:lang w:val="en-GB"/>
    </w:rPr>
  </w:style>
  <w:style w:type="numbering" w:customStyle="1" w:styleId="Normallist">
    <w:name w:val="Normal_list"/>
    <w:basedOn w:val="NoList"/>
    <w:rsid w:val="00C71D57"/>
    <w:pPr>
      <w:numPr>
        <w:numId w:val="1"/>
      </w:numPr>
    </w:pPr>
  </w:style>
  <w:style w:type="paragraph" w:customStyle="1" w:styleId="NormalNonumber">
    <w:name w:val="Normal_No_number"/>
    <w:basedOn w:val="Normal-pool"/>
    <w:qFormat/>
    <w:rsid w:val="00C71D57"/>
    <w:pPr>
      <w:spacing w:after="120"/>
      <w:ind w:left="1247"/>
    </w:pPr>
  </w:style>
  <w:style w:type="paragraph" w:customStyle="1" w:styleId="Normalnumber">
    <w:name w:val="Normal_number"/>
    <w:basedOn w:val="Normal"/>
    <w:link w:val="NormalnumberChar"/>
    <w:qFormat/>
    <w:rsid w:val="00C71D57"/>
    <w:pPr>
      <w:numPr>
        <w:numId w:val="1"/>
      </w:numPr>
      <w:tabs>
        <w:tab w:val="clear" w:pos="624"/>
      </w:tabs>
      <w:spacing w:after="120"/>
      <w:ind w:left="1247"/>
    </w:pPr>
  </w:style>
  <w:style w:type="paragraph" w:customStyle="1" w:styleId="Titletable">
    <w:name w:val="Title_table"/>
    <w:basedOn w:val="Normal-pool"/>
    <w:next w:val="NormalNonumber"/>
    <w:rsid w:val="00C71D57"/>
    <w:pPr>
      <w:keepNext/>
      <w:keepLines/>
      <w:suppressAutoHyphens/>
      <w:spacing w:after="60"/>
      <w:ind w:left="1247"/>
    </w:pPr>
    <w:rPr>
      <w:b/>
      <w:bCs/>
    </w:rPr>
  </w:style>
  <w:style w:type="paragraph" w:styleId="TOC1">
    <w:name w:val="toc 1"/>
    <w:basedOn w:val="Normal"/>
    <w:next w:val="Normal"/>
    <w:autoRedefine/>
    <w:uiPriority w:val="39"/>
    <w:unhideWhenUsed/>
    <w:rsid w:val="00C71D57"/>
    <w:pPr>
      <w:tabs>
        <w:tab w:val="right" w:leader="dot" w:pos="9486"/>
      </w:tabs>
      <w:spacing w:before="240"/>
      <w:ind w:left="1984" w:hanging="737"/>
    </w:pPr>
    <w:rPr>
      <w:bCs/>
    </w:rPr>
  </w:style>
  <w:style w:type="paragraph" w:styleId="TOC2">
    <w:name w:val="toc 2"/>
    <w:basedOn w:val="Normal"/>
    <w:next w:val="Normal"/>
    <w:uiPriority w:val="39"/>
    <w:unhideWhenUsed/>
    <w:rsid w:val="00C71D57"/>
    <w:pPr>
      <w:tabs>
        <w:tab w:val="right" w:leader="dot" w:pos="9486"/>
      </w:tabs>
      <w:spacing w:before="60"/>
      <w:ind w:left="2608" w:hanging="737"/>
    </w:pPr>
  </w:style>
  <w:style w:type="paragraph" w:styleId="TOC3">
    <w:name w:val="toc 3"/>
    <w:basedOn w:val="Normal"/>
    <w:next w:val="Normal"/>
    <w:uiPriority w:val="39"/>
    <w:unhideWhenUsed/>
    <w:rsid w:val="00C71D57"/>
    <w:pPr>
      <w:tabs>
        <w:tab w:val="right" w:leader="dot" w:pos="9486"/>
      </w:tabs>
      <w:ind w:left="3232" w:hanging="737"/>
    </w:pPr>
    <w:rPr>
      <w:iCs/>
    </w:rPr>
  </w:style>
  <w:style w:type="paragraph" w:styleId="TOC4">
    <w:name w:val="toc 4"/>
    <w:basedOn w:val="Normal"/>
    <w:next w:val="Normal"/>
    <w:uiPriority w:val="39"/>
    <w:unhideWhenUsed/>
    <w:rsid w:val="00C71D57"/>
    <w:pPr>
      <w:tabs>
        <w:tab w:val="left" w:pos="1000"/>
        <w:tab w:val="right" w:leader="dot" w:pos="9486"/>
      </w:tabs>
      <w:ind w:left="3856" w:hanging="737"/>
    </w:pPr>
    <w:rPr>
      <w:szCs w:val="18"/>
    </w:rPr>
  </w:style>
  <w:style w:type="paragraph" w:styleId="TOC5">
    <w:name w:val="toc 5"/>
    <w:basedOn w:val="Normal"/>
    <w:next w:val="Normal"/>
    <w:uiPriority w:val="39"/>
    <w:rsid w:val="00C71D57"/>
    <w:pPr>
      <w:tabs>
        <w:tab w:val="right" w:leader="dot" w:pos="9486"/>
      </w:tabs>
      <w:ind w:left="4479" w:hanging="737"/>
    </w:pPr>
    <w:rPr>
      <w:sz w:val="18"/>
      <w:szCs w:val="18"/>
    </w:rPr>
  </w:style>
  <w:style w:type="paragraph" w:customStyle="1" w:styleId="ZZAnxheader">
    <w:name w:val="ZZ_Anx_header"/>
    <w:basedOn w:val="Normal-pool"/>
    <w:rsid w:val="00C71D57"/>
    <w:rPr>
      <w:b/>
      <w:bCs/>
      <w:sz w:val="28"/>
      <w:szCs w:val="22"/>
    </w:rPr>
  </w:style>
  <w:style w:type="paragraph" w:customStyle="1" w:styleId="ZZAnxtitle">
    <w:name w:val="ZZ_Anx_title"/>
    <w:basedOn w:val="Normal-pool"/>
    <w:rsid w:val="00C71D57"/>
    <w:pPr>
      <w:spacing w:before="360" w:after="120"/>
      <w:ind w:left="1247"/>
    </w:pPr>
    <w:rPr>
      <w:b/>
      <w:bCs/>
      <w:sz w:val="28"/>
      <w:szCs w:val="26"/>
    </w:rPr>
  </w:style>
  <w:style w:type="paragraph" w:styleId="NormalWeb">
    <w:name w:val="Normal (Web)"/>
    <w:basedOn w:val="Normal"/>
    <w:uiPriority w:val="99"/>
    <w:semiHidden/>
    <w:unhideWhenUsed/>
    <w:rsid w:val="00C71D5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71D57"/>
    <w:pPr>
      <w:spacing w:before="40" w:after="40"/>
    </w:pPr>
    <w:rPr>
      <w:sz w:val="18"/>
    </w:rPr>
  </w:style>
  <w:style w:type="paragraph" w:customStyle="1" w:styleId="Footnote-Text">
    <w:name w:val="Footnote-Text"/>
    <w:basedOn w:val="Normal-pool"/>
    <w:rsid w:val="00C71D57"/>
    <w:pPr>
      <w:spacing w:before="20" w:after="40"/>
      <w:ind w:left="1247"/>
    </w:pPr>
    <w:rPr>
      <w:sz w:val="18"/>
    </w:rPr>
  </w:style>
  <w:style w:type="paragraph" w:customStyle="1" w:styleId="AConvName">
    <w:name w:val="A_ConvName"/>
    <w:basedOn w:val="Normal-pool"/>
    <w:next w:val="Normal-pool"/>
    <w:rsid w:val="00C71D57"/>
    <w:pPr>
      <w:spacing w:before="120" w:after="240"/>
    </w:pPr>
    <w:rPr>
      <w:rFonts w:ascii="Arial" w:hAnsi="Arial"/>
      <w:b/>
      <w:sz w:val="28"/>
    </w:rPr>
  </w:style>
  <w:style w:type="paragraph" w:customStyle="1" w:styleId="ASymbol">
    <w:name w:val="A_Symbol"/>
    <w:basedOn w:val="Normal-pool"/>
    <w:rsid w:val="00C71D57"/>
    <w:pPr>
      <w:tabs>
        <w:tab w:val="clear" w:pos="624"/>
        <w:tab w:val="clear" w:pos="1247"/>
        <w:tab w:val="right" w:pos="2920"/>
      </w:tabs>
    </w:pPr>
    <w:rPr>
      <w:rFonts w:eastAsia="SimSun"/>
    </w:rPr>
  </w:style>
  <w:style w:type="paragraph" w:customStyle="1" w:styleId="AText">
    <w:name w:val="A_Text"/>
    <w:basedOn w:val="Normal-pool"/>
    <w:rsid w:val="00C71D57"/>
    <w:pPr>
      <w:spacing w:before="120"/>
    </w:pPr>
  </w:style>
  <w:style w:type="paragraph" w:customStyle="1" w:styleId="ATwoLetters">
    <w:name w:val="A_TwoLetters"/>
    <w:basedOn w:val="Normal-pool"/>
    <w:next w:val="Normal-pool"/>
    <w:rsid w:val="00C71D5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71D5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71D57"/>
    <w:rPr>
      <w:rFonts w:ascii="Tahoma" w:hAnsi="Tahoma" w:cs="Tahoma"/>
      <w:sz w:val="16"/>
      <w:szCs w:val="16"/>
    </w:rPr>
  </w:style>
  <w:style w:type="character" w:customStyle="1" w:styleId="BalloonTextChar">
    <w:name w:val="Balloon Text Char"/>
    <w:basedOn w:val="DefaultParagraphFont"/>
    <w:link w:val="BalloonText"/>
    <w:rsid w:val="00C71D57"/>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C71D57"/>
    <w:rPr>
      <w:sz w:val="16"/>
      <w:szCs w:val="16"/>
      <w:lang w:val="en-GB"/>
    </w:rPr>
  </w:style>
  <w:style w:type="paragraph" w:styleId="CommentText">
    <w:name w:val="annotation text"/>
    <w:basedOn w:val="Normal"/>
    <w:link w:val="CommentTextChar"/>
    <w:unhideWhenUsed/>
    <w:rsid w:val="00C71D57"/>
  </w:style>
  <w:style w:type="character" w:customStyle="1" w:styleId="CommentTextChar">
    <w:name w:val="Comment Text Char"/>
    <w:basedOn w:val="DefaultParagraphFont"/>
    <w:link w:val="CommentText"/>
    <w:rsid w:val="00C71D57"/>
    <w:rPr>
      <w:rFonts w:eastAsia="Times New Roman"/>
      <w:lang w:val="en-GB" w:eastAsia="en-US"/>
    </w:rPr>
  </w:style>
  <w:style w:type="paragraph" w:styleId="CommentSubject">
    <w:name w:val="annotation subject"/>
    <w:basedOn w:val="CommentText"/>
    <w:next w:val="CommentText"/>
    <w:link w:val="CommentSubjectChar"/>
    <w:semiHidden/>
    <w:unhideWhenUsed/>
    <w:rsid w:val="00C71D57"/>
    <w:rPr>
      <w:b/>
      <w:bCs/>
    </w:rPr>
  </w:style>
  <w:style w:type="character" w:customStyle="1" w:styleId="CommentSubjectChar">
    <w:name w:val="Comment Subject Char"/>
    <w:basedOn w:val="CommentTextChar"/>
    <w:link w:val="CommentSubject"/>
    <w:semiHidden/>
    <w:rsid w:val="00C71D57"/>
    <w:rPr>
      <w:rFonts w:eastAsia="Times New Roman"/>
      <w:b/>
      <w:bCs/>
      <w:lang w:val="en-GB" w:eastAsia="en-US"/>
    </w:rPr>
  </w:style>
  <w:style w:type="character" w:styleId="FollowedHyperlink">
    <w:name w:val="FollowedHyperlink"/>
    <w:uiPriority w:val="99"/>
    <w:semiHidden/>
    <w:rsid w:val="00C71D57"/>
    <w:rPr>
      <w:color w:val="0000FF"/>
      <w:u w:val="none"/>
      <w:lang w:val="en-GB"/>
    </w:rPr>
  </w:style>
  <w:style w:type="character" w:customStyle="1" w:styleId="FooterChar">
    <w:name w:val="Footer Char"/>
    <w:basedOn w:val="DefaultParagraphFont"/>
    <w:link w:val="CH4"/>
    <w:rsid w:val="00C71D57"/>
    <w:rPr>
      <w:rFonts w:eastAsia="Times New Roman"/>
      <w:b/>
      <w:lang w:val="en-GB" w:eastAsia="en-US"/>
    </w:rPr>
  </w:style>
  <w:style w:type="character" w:customStyle="1" w:styleId="HeaderChar">
    <w:name w:val="Header Char"/>
    <w:basedOn w:val="DefaultParagraphFont"/>
    <w:link w:val="Header"/>
    <w:semiHidden/>
    <w:rsid w:val="00C71D57"/>
    <w:rPr>
      <w:rFonts w:eastAsia="Times New Roman"/>
      <w:b/>
      <w:sz w:val="18"/>
      <w:lang w:val="en-GB" w:eastAsia="en-US"/>
    </w:rPr>
  </w:style>
  <w:style w:type="character" w:customStyle="1" w:styleId="Heading1Char">
    <w:name w:val="Heading 1 Char"/>
    <w:basedOn w:val="DefaultParagraphFont"/>
    <w:link w:val="Heading1"/>
    <w:rsid w:val="00C71D57"/>
    <w:rPr>
      <w:rFonts w:eastAsia="Times New Roman"/>
      <w:b/>
      <w:sz w:val="28"/>
      <w:szCs w:val="28"/>
      <w:lang w:val="en-GB" w:eastAsia="en-US"/>
    </w:rPr>
  </w:style>
  <w:style w:type="character" w:customStyle="1" w:styleId="Heading2Char">
    <w:name w:val="Heading 2 Char"/>
    <w:basedOn w:val="DefaultParagraphFont"/>
    <w:link w:val="Heading2"/>
    <w:rsid w:val="00C71D57"/>
    <w:rPr>
      <w:rFonts w:eastAsia="Times New Roman"/>
      <w:b/>
      <w:sz w:val="24"/>
      <w:szCs w:val="24"/>
      <w:lang w:val="en-GB" w:eastAsia="en-US"/>
    </w:rPr>
  </w:style>
  <w:style w:type="character" w:customStyle="1" w:styleId="Heading3Char">
    <w:name w:val="Heading 3 Char"/>
    <w:basedOn w:val="DefaultParagraphFont"/>
    <w:link w:val="Heading3"/>
    <w:rsid w:val="00C71D57"/>
    <w:rPr>
      <w:rFonts w:eastAsia="Times New Roman"/>
      <w:b/>
      <w:lang w:val="en-GB" w:eastAsia="en-US"/>
    </w:rPr>
  </w:style>
  <w:style w:type="character" w:customStyle="1" w:styleId="Heading4Char">
    <w:name w:val="Heading 4 Char"/>
    <w:basedOn w:val="DefaultParagraphFont"/>
    <w:link w:val="Heading4"/>
    <w:rsid w:val="00C71D57"/>
    <w:rPr>
      <w:rFonts w:eastAsia="Times New Roman"/>
      <w:b/>
      <w:lang w:val="en-GB" w:eastAsia="en-US"/>
    </w:rPr>
  </w:style>
  <w:style w:type="character" w:customStyle="1" w:styleId="Heading5Char">
    <w:name w:val="Heading 5 Char"/>
    <w:basedOn w:val="DefaultParagraphFont"/>
    <w:link w:val="Heading5"/>
    <w:rsid w:val="00C71D57"/>
    <w:rPr>
      <w:rFonts w:eastAsia="Times New Roman"/>
      <w:b/>
      <w:lang w:val="en-GB" w:eastAsia="en-US"/>
    </w:rPr>
  </w:style>
  <w:style w:type="character" w:customStyle="1" w:styleId="Heading6Char">
    <w:name w:val="Heading 6 Char"/>
    <w:basedOn w:val="DefaultParagraphFont"/>
    <w:link w:val="Heading6"/>
    <w:semiHidden/>
    <w:rsid w:val="00C71D57"/>
    <w:rPr>
      <w:rFonts w:eastAsia="Times New Roman"/>
      <w:bCs/>
      <w:sz w:val="24"/>
      <w:lang w:val="en-GB" w:eastAsia="en-US"/>
    </w:rPr>
  </w:style>
  <w:style w:type="character" w:customStyle="1" w:styleId="Heading7Char">
    <w:name w:val="Heading 7 Char"/>
    <w:basedOn w:val="DefaultParagraphFont"/>
    <w:link w:val="Heading7"/>
    <w:semiHidden/>
    <w:rsid w:val="00C71D57"/>
    <w:rPr>
      <w:rFonts w:eastAsia="Times New Roman"/>
      <w:b/>
      <w:snapToGrid w:val="0"/>
      <w:u w:val="single"/>
      <w:lang w:val="en-GB" w:eastAsia="en-US"/>
    </w:rPr>
  </w:style>
  <w:style w:type="character" w:customStyle="1" w:styleId="Heading8Char">
    <w:name w:val="Heading 8 Char"/>
    <w:basedOn w:val="DefaultParagraphFont"/>
    <w:link w:val="Heading8"/>
    <w:semiHidden/>
    <w:rsid w:val="00C71D57"/>
    <w:rPr>
      <w:rFonts w:eastAsia="Times New Roman"/>
      <w:b/>
      <w:snapToGrid w:val="0"/>
      <w:u w:val="single"/>
      <w:lang w:val="en-GB" w:eastAsia="en-US"/>
    </w:rPr>
  </w:style>
  <w:style w:type="character" w:customStyle="1" w:styleId="Heading9Char">
    <w:name w:val="Heading 9 Char"/>
    <w:basedOn w:val="DefaultParagraphFont"/>
    <w:link w:val="Heading9"/>
    <w:semiHidden/>
    <w:rsid w:val="00C71D57"/>
    <w:rPr>
      <w:rFonts w:eastAsia="Times New Roman"/>
      <w:snapToGrid w:val="0"/>
      <w:u w:val="single"/>
      <w:lang w:val="en-GB" w:eastAsia="en-US"/>
    </w:rPr>
  </w:style>
  <w:style w:type="paragraph" w:styleId="ListParagraph">
    <w:name w:val="List Paragraph"/>
    <w:basedOn w:val="Normal"/>
    <w:uiPriority w:val="34"/>
    <w:qFormat/>
    <w:rsid w:val="00C71D57"/>
    <w:pPr>
      <w:ind w:left="720"/>
      <w:contextualSpacing/>
    </w:pPr>
  </w:style>
  <w:style w:type="paragraph" w:styleId="NoSpacing">
    <w:name w:val="No Spacing"/>
    <w:uiPriority w:val="1"/>
    <w:semiHidden/>
    <w:qFormat/>
    <w:rsid w:val="00C71D57"/>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C71D57"/>
    <w:rPr>
      <w:rFonts w:eastAsia="Times New Roman"/>
      <w:lang w:val="en-GB" w:eastAsia="en-US"/>
    </w:rPr>
  </w:style>
  <w:style w:type="character" w:styleId="PlaceholderText">
    <w:name w:val="Placeholder Text"/>
    <w:basedOn w:val="DefaultParagraphFont"/>
    <w:uiPriority w:val="99"/>
    <w:semiHidden/>
    <w:rsid w:val="00C71D57"/>
    <w:rPr>
      <w:color w:val="808080"/>
      <w:lang w:val="en-GB"/>
    </w:rPr>
  </w:style>
  <w:style w:type="table" w:styleId="TableGrid">
    <w:name w:val="Table Grid"/>
    <w:basedOn w:val="TableNormal"/>
    <w:rsid w:val="00C7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C71D57"/>
    <w:pPr>
      <w:spacing w:before="120" w:after="240"/>
    </w:pPr>
  </w:style>
  <w:style w:type="character" w:customStyle="1" w:styleId="ALogoChar">
    <w:name w:val="A_Logo Char"/>
    <w:basedOn w:val="DefaultParagraphFont"/>
    <w:link w:val="ALogo"/>
    <w:rsid w:val="00C71D57"/>
    <w:rPr>
      <w:rFonts w:eastAsia="Times New Roman"/>
      <w:lang w:val="en-GB" w:eastAsia="en-US"/>
    </w:rPr>
  </w:style>
  <w:style w:type="paragraph" w:customStyle="1" w:styleId="ASpacer">
    <w:name w:val="A_Spacer"/>
    <w:basedOn w:val="Normal-pool"/>
    <w:link w:val="ASpacerChar"/>
    <w:qFormat/>
    <w:rsid w:val="00C71D57"/>
    <w:rPr>
      <w:sz w:val="2"/>
    </w:rPr>
  </w:style>
  <w:style w:type="character" w:customStyle="1" w:styleId="ASpacerChar">
    <w:name w:val="A_Spacer Char"/>
    <w:basedOn w:val="DefaultParagraphFont"/>
    <w:link w:val="ASpacer"/>
    <w:rsid w:val="00C71D57"/>
    <w:rPr>
      <w:rFonts w:eastAsia="Times New Roman"/>
      <w:sz w:val="2"/>
      <w:lang w:val="en-GB" w:eastAsia="en-US"/>
    </w:rPr>
  </w:style>
  <w:style w:type="paragraph" w:customStyle="1" w:styleId="AATitle1">
    <w:name w:val="AA_Title1"/>
    <w:basedOn w:val="Normal-pool"/>
    <w:qFormat/>
    <w:rsid w:val="00C71D57"/>
  </w:style>
  <w:style w:type="character" w:styleId="UnresolvedMention">
    <w:name w:val="Unresolved Mention"/>
    <w:basedOn w:val="DefaultParagraphFont"/>
    <w:uiPriority w:val="99"/>
    <w:semiHidden/>
    <w:rsid w:val="00C71D57"/>
    <w:rPr>
      <w:color w:val="605E5C"/>
      <w:shd w:val="clear" w:color="auto" w:fill="E1DFDD"/>
      <w:lang w:val="en-GB"/>
    </w:rPr>
  </w:style>
  <w:style w:type="paragraph" w:customStyle="1" w:styleId="ANormal">
    <w:name w:val="A_Normal"/>
    <w:basedOn w:val="Normal-pool"/>
    <w:rsid w:val="00C71D57"/>
  </w:style>
  <w:style w:type="paragraph" w:customStyle="1" w:styleId="AText0">
    <w:name w:val="A_Text0"/>
    <w:basedOn w:val="AText"/>
    <w:next w:val="AText"/>
    <w:qFormat/>
    <w:rsid w:val="00C71D57"/>
    <w:pPr>
      <w:tabs>
        <w:tab w:val="clear" w:pos="4990"/>
      </w:tabs>
      <w:spacing w:before="0" w:after="120"/>
    </w:pPr>
  </w:style>
  <w:style w:type="paragraph" w:styleId="Footer">
    <w:name w:val="footer"/>
    <w:basedOn w:val="Normal"/>
    <w:link w:val="FooterChar1"/>
    <w:unhideWhenUsed/>
    <w:rsid w:val="00C71D57"/>
    <w:pPr>
      <w:tabs>
        <w:tab w:val="clear" w:pos="1247"/>
        <w:tab w:val="right" w:pos="8641"/>
      </w:tabs>
    </w:pPr>
    <w:rPr>
      <w:b/>
      <w:sz w:val="18"/>
    </w:rPr>
  </w:style>
  <w:style w:type="character" w:customStyle="1" w:styleId="FooterChar1">
    <w:name w:val="Footer Char1"/>
    <w:basedOn w:val="DefaultParagraphFont"/>
    <w:link w:val="Footer"/>
    <w:rsid w:val="00C71D57"/>
    <w:rPr>
      <w:rFonts w:eastAsia="Times New Roman"/>
      <w:b/>
      <w:sz w:val="18"/>
      <w:lang w:val="en-GB" w:eastAsia="en-US"/>
    </w:rPr>
  </w:style>
  <w:style w:type="paragraph" w:customStyle="1" w:styleId="Normal-pool">
    <w:name w:val="Normal-pool"/>
    <w:link w:val="Normal-poolChar"/>
    <w:qFormat/>
    <w:rsid w:val="00C71D57"/>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C71D5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71D57"/>
    <w:pPr>
      <w:spacing w:before="60"/>
      <w:ind w:left="624"/>
    </w:pPr>
    <w:rPr>
      <w:rFonts w:eastAsiaTheme="minorEastAsia"/>
      <w:sz w:val="18"/>
    </w:rPr>
  </w:style>
  <w:style w:type="paragraph" w:styleId="Bibliography">
    <w:name w:val="Bibliography"/>
    <w:basedOn w:val="Normal"/>
    <w:next w:val="Normal"/>
    <w:uiPriority w:val="37"/>
    <w:semiHidden/>
    <w:rsid w:val="00C71D57"/>
  </w:style>
  <w:style w:type="paragraph" w:styleId="BlockText">
    <w:name w:val="Block Text"/>
    <w:basedOn w:val="Normal"/>
    <w:semiHidden/>
    <w:unhideWhenUsed/>
    <w:rsid w:val="00C71D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71D57"/>
    <w:pPr>
      <w:spacing w:after="120"/>
    </w:pPr>
  </w:style>
  <w:style w:type="character" w:customStyle="1" w:styleId="BodyTextChar">
    <w:name w:val="Body Text Char"/>
    <w:basedOn w:val="DefaultParagraphFont"/>
    <w:link w:val="BodyText"/>
    <w:semiHidden/>
    <w:rsid w:val="00C71D57"/>
    <w:rPr>
      <w:rFonts w:eastAsia="Times New Roman"/>
      <w:lang w:val="en-GB" w:eastAsia="en-US"/>
    </w:rPr>
  </w:style>
  <w:style w:type="paragraph" w:styleId="BodyText2">
    <w:name w:val="Body Text 2"/>
    <w:basedOn w:val="Normal"/>
    <w:link w:val="BodyText2Char"/>
    <w:semiHidden/>
    <w:unhideWhenUsed/>
    <w:rsid w:val="00C71D57"/>
    <w:pPr>
      <w:spacing w:after="120" w:line="480" w:lineRule="auto"/>
    </w:pPr>
  </w:style>
  <w:style w:type="character" w:customStyle="1" w:styleId="BodyText2Char">
    <w:name w:val="Body Text 2 Char"/>
    <w:basedOn w:val="DefaultParagraphFont"/>
    <w:link w:val="BodyText2"/>
    <w:semiHidden/>
    <w:rsid w:val="00C71D57"/>
    <w:rPr>
      <w:rFonts w:eastAsia="Times New Roman"/>
      <w:lang w:val="en-GB" w:eastAsia="en-US"/>
    </w:rPr>
  </w:style>
  <w:style w:type="paragraph" w:styleId="BodyText3">
    <w:name w:val="Body Text 3"/>
    <w:basedOn w:val="Normal"/>
    <w:link w:val="BodyText3Char"/>
    <w:semiHidden/>
    <w:unhideWhenUsed/>
    <w:rsid w:val="00C71D57"/>
    <w:pPr>
      <w:spacing w:after="120"/>
    </w:pPr>
    <w:rPr>
      <w:sz w:val="16"/>
      <w:szCs w:val="16"/>
    </w:rPr>
  </w:style>
  <w:style w:type="character" w:customStyle="1" w:styleId="BodyText3Char">
    <w:name w:val="Body Text 3 Char"/>
    <w:basedOn w:val="DefaultParagraphFont"/>
    <w:link w:val="BodyText3"/>
    <w:semiHidden/>
    <w:rsid w:val="00C71D57"/>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71D57"/>
    <w:pPr>
      <w:spacing w:after="0"/>
      <w:ind w:firstLine="360"/>
    </w:pPr>
  </w:style>
  <w:style w:type="character" w:customStyle="1" w:styleId="BodyTextFirstIndentChar">
    <w:name w:val="Body Text First Indent Char"/>
    <w:basedOn w:val="BodyTextChar"/>
    <w:link w:val="BodyTextFirstIndent"/>
    <w:semiHidden/>
    <w:rsid w:val="00C71D57"/>
    <w:rPr>
      <w:rFonts w:eastAsia="Times New Roman"/>
      <w:lang w:val="en-GB" w:eastAsia="en-US"/>
    </w:rPr>
  </w:style>
  <w:style w:type="paragraph" w:styleId="BodyTextIndent">
    <w:name w:val="Body Text Indent"/>
    <w:basedOn w:val="Normal"/>
    <w:link w:val="BodyTextIndentChar"/>
    <w:semiHidden/>
    <w:unhideWhenUsed/>
    <w:rsid w:val="00C71D57"/>
    <w:pPr>
      <w:spacing w:after="120"/>
      <w:ind w:left="283"/>
    </w:pPr>
  </w:style>
  <w:style w:type="character" w:customStyle="1" w:styleId="BodyTextIndentChar">
    <w:name w:val="Body Text Indent Char"/>
    <w:basedOn w:val="DefaultParagraphFont"/>
    <w:link w:val="BodyTextIndent"/>
    <w:semiHidden/>
    <w:rsid w:val="00C71D57"/>
    <w:rPr>
      <w:rFonts w:eastAsia="Times New Roman"/>
      <w:lang w:val="en-GB" w:eastAsia="en-US"/>
    </w:rPr>
  </w:style>
  <w:style w:type="paragraph" w:styleId="BodyTextFirstIndent2">
    <w:name w:val="Body Text First Indent 2"/>
    <w:basedOn w:val="BodyTextIndent"/>
    <w:link w:val="BodyTextFirstIndent2Char"/>
    <w:semiHidden/>
    <w:unhideWhenUsed/>
    <w:rsid w:val="00C71D57"/>
    <w:pPr>
      <w:spacing w:after="0"/>
      <w:ind w:left="360" w:firstLine="360"/>
    </w:pPr>
  </w:style>
  <w:style w:type="character" w:customStyle="1" w:styleId="BodyTextFirstIndent2Char">
    <w:name w:val="Body Text First Indent 2 Char"/>
    <w:basedOn w:val="BodyTextIndentChar"/>
    <w:link w:val="BodyTextFirstIndent2"/>
    <w:semiHidden/>
    <w:rsid w:val="00C71D57"/>
    <w:rPr>
      <w:rFonts w:eastAsia="Times New Roman"/>
      <w:lang w:val="en-GB" w:eastAsia="en-US"/>
    </w:rPr>
  </w:style>
  <w:style w:type="paragraph" w:styleId="BodyTextIndent2">
    <w:name w:val="Body Text Indent 2"/>
    <w:basedOn w:val="Normal"/>
    <w:link w:val="BodyTextIndent2Char"/>
    <w:semiHidden/>
    <w:unhideWhenUsed/>
    <w:rsid w:val="00C71D57"/>
    <w:pPr>
      <w:spacing w:after="120" w:line="480" w:lineRule="auto"/>
      <w:ind w:left="283"/>
    </w:pPr>
  </w:style>
  <w:style w:type="character" w:customStyle="1" w:styleId="BodyTextIndent2Char">
    <w:name w:val="Body Text Indent 2 Char"/>
    <w:basedOn w:val="DefaultParagraphFont"/>
    <w:link w:val="BodyTextIndent2"/>
    <w:semiHidden/>
    <w:rsid w:val="00C71D57"/>
    <w:rPr>
      <w:rFonts w:eastAsia="Times New Roman"/>
      <w:lang w:val="en-GB" w:eastAsia="en-US"/>
    </w:rPr>
  </w:style>
  <w:style w:type="paragraph" w:styleId="BodyTextIndent3">
    <w:name w:val="Body Text Indent 3"/>
    <w:basedOn w:val="Normal"/>
    <w:link w:val="BodyTextIndent3Char"/>
    <w:semiHidden/>
    <w:unhideWhenUsed/>
    <w:rsid w:val="00C71D57"/>
    <w:pPr>
      <w:spacing w:after="120"/>
      <w:ind w:left="283"/>
    </w:pPr>
    <w:rPr>
      <w:sz w:val="16"/>
      <w:szCs w:val="16"/>
    </w:rPr>
  </w:style>
  <w:style w:type="character" w:customStyle="1" w:styleId="BodyTextIndent3Char">
    <w:name w:val="Body Text Indent 3 Char"/>
    <w:basedOn w:val="DefaultParagraphFont"/>
    <w:link w:val="BodyTextIndent3"/>
    <w:semiHidden/>
    <w:rsid w:val="00C71D57"/>
    <w:rPr>
      <w:rFonts w:eastAsia="Times New Roman"/>
      <w:sz w:val="16"/>
      <w:szCs w:val="16"/>
      <w:lang w:val="en-GB" w:eastAsia="en-US"/>
    </w:rPr>
  </w:style>
  <w:style w:type="character" w:styleId="BookTitle">
    <w:name w:val="Book Title"/>
    <w:basedOn w:val="DefaultParagraphFont"/>
    <w:uiPriority w:val="33"/>
    <w:semiHidden/>
    <w:qFormat/>
    <w:rsid w:val="00C71D57"/>
    <w:rPr>
      <w:b/>
      <w:bCs/>
      <w:i/>
      <w:iCs/>
      <w:spacing w:val="5"/>
      <w:lang w:val="en-GB"/>
    </w:rPr>
  </w:style>
  <w:style w:type="paragraph" w:styleId="Caption">
    <w:name w:val="caption"/>
    <w:basedOn w:val="Normal"/>
    <w:next w:val="Normal"/>
    <w:semiHidden/>
    <w:unhideWhenUsed/>
    <w:qFormat/>
    <w:rsid w:val="00C71D57"/>
    <w:pPr>
      <w:spacing w:after="200"/>
    </w:pPr>
    <w:rPr>
      <w:i/>
      <w:iCs/>
      <w:color w:val="1F497D" w:themeColor="text2"/>
      <w:sz w:val="18"/>
      <w:szCs w:val="18"/>
    </w:rPr>
  </w:style>
  <w:style w:type="paragraph" w:styleId="Closing">
    <w:name w:val="Closing"/>
    <w:basedOn w:val="Normal"/>
    <w:link w:val="ClosingChar"/>
    <w:semiHidden/>
    <w:unhideWhenUsed/>
    <w:rsid w:val="00C71D57"/>
    <w:pPr>
      <w:ind w:left="4252"/>
    </w:pPr>
  </w:style>
  <w:style w:type="character" w:customStyle="1" w:styleId="ClosingChar">
    <w:name w:val="Closing Char"/>
    <w:basedOn w:val="DefaultParagraphFont"/>
    <w:link w:val="Closing"/>
    <w:semiHidden/>
    <w:rsid w:val="00C71D57"/>
    <w:rPr>
      <w:rFonts w:eastAsia="Times New Roman"/>
      <w:lang w:val="en-GB" w:eastAsia="en-US"/>
    </w:rPr>
  </w:style>
  <w:style w:type="table" w:styleId="ColorfulGrid">
    <w:name w:val="Colorful Grid"/>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1D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1D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1D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1D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1D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1D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1D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1D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1D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1D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1D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71D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1D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1D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1D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1D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1D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1D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71D57"/>
  </w:style>
  <w:style w:type="character" w:customStyle="1" w:styleId="DateChar">
    <w:name w:val="Date Char"/>
    <w:basedOn w:val="DefaultParagraphFont"/>
    <w:link w:val="Date"/>
    <w:semiHidden/>
    <w:rsid w:val="00C71D57"/>
    <w:rPr>
      <w:rFonts w:eastAsia="Times New Roman"/>
      <w:lang w:val="en-GB" w:eastAsia="en-US"/>
    </w:rPr>
  </w:style>
  <w:style w:type="paragraph" w:styleId="DocumentMap">
    <w:name w:val="Document Map"/>
    <w:basedOn w:val="Normal"/>
    <w:link w:val="DocumentMapChar"/>
    <w:semiHidden/>
    <w:unhideWhenUsed/>
    <w:rsid w:val="00C71D57"/>
    <w:rPr>
      <w:rFonts w:ascii="Segoe UI" w:hAnsi="Segoe UI" w:cs="Segoe UI"/>
      <w:sz w:val="16"/>
      <w:szCs w:val="16"/>
    </w:rPr>
  </w:style>
  <w:style w:type="character" w:customStyle="1" w:styleId="DocumentMapChar">
    <w:name w:val="Document Map Char"/>
    <w:basedOn w:val="DefaultParagraphFont"/>
    <w:link w:val="DocumentMap"/>
    <w:semiHidden/>
    <w:rsid w:val="00C71D57"/>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71D57"/>
  </w:style>
  <w:style w:type="character" w:customStyle="1" w:styleId="E-mailSignatureChar">
    <w:name w:val="E-mail Signature Char"/>
    <w:basedOn w:val="DefaultParagraphFont"/>
    <w:link w:val="E-mailSignature"/>
    <w:semiHidden/>
    <w:rsid w:val="00C71D57"/>
    <w:rPr>
      <w:rFonts w:eastAsia="Times New Roman"/>
      <w:lang w:val="en-GB" w:eastAsia="en-US"/>
    </w:rPr>
  </w:style>
  <w:style w:type="character" w:styleId="Emphasis">
    <w:name w:val="Emphasis"/>
    <w:basedOn w:val="DefaultParagraphFont"/>
    <w:semiHidden/>
    <w:qFormat/>
    <w:rsid w:val="00C71D57"/>
    <w:rPr>
      <w:i/>
      <w:iCs/>
      <w:lang w:val="en-GB"/>
    </w:rPr>
  </w:style>
  <w:style w:type="character" w:styleId="EndnoteReference">
    <w:name w:val="endnote reference"/>
    <w:basedOn w:val="DefaultParagraphFont"/>
    <w:semiHidden/>
    <w:unhideWhenUsed/>
    <w:rsid w:val="00C71D57"/>
    <w:rPr>
      <w:vertAlign w:val="superscript"/>
      <w:lang w:val="en-GB"/>
    </w:rPr>
  </w:style>
  <w:style w:type="paragraph" w:styleId="EndnoteText">
    <w:name w:val="endnote text"/>
    <w:basedOn w:val="Normal"/>
    <w:link w:val="EndnoteTextChar"/>
    <w:semiHidden/>
    <w:unhideWhenUsed/>
    <w:rsid w:val="00C71D57"/>
  </w:style>
  <w:style w:type="character" w:customStyle="1" w:styleId="EndnoteTextChar">
    <w:name w:val="Endnote Text Char"/>
    <w:basedOn w:val="DefaultParagraphFont"/>
    <w:link w:val="EndnoteText"/>
    <w:semiHidden/>
    <w:rsid w:val="00C71D57"/>
    <w:rPr>
      <w:rFonts w:eastAsia="Times New Roman"/>
      <w:lang w:val="en-GB" w:eastAsia="en-US"/>
    </w:rPr>
  </w:style>
  <w:style w:type="paragraph" w:styleId="EnvelopeAddress">
    <w:name w:val="envelope address"/>
    <w:basedOn w:val="Normal"/>
    <w:semiHidden/>
    <w:unhideWhenUsed/>
    <w:rsid w:val="00C71D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1D57"/>
    <w:rPr>
      <w:rFonts w:asciiTheme="majorHAnsi" w:eastAsiaTheme="majorEastAsia" w:hAnsiTheme="majorHAnsi" w:cstheme="majorBidi"/>
    </w:rPr>
  </w:style>
  <w:style w:type="paragraph" w:styleId="FootnoteText">
    <w:name w:val="footnote text"/>
    <w:basedOn w:val="Normal"/>
    <w:link w:val="FootnoteTextChar"/>
    <w:semiHidden/>
    <w:unhideWhenUsed/>
    <w:rsid w:val="00C71D57"/>
  </w:style>
  <w:style w:type="character" w:customStyle="1" w:styleId="FootnoteTextChar">
    <w:name w:val="Footnote Text Char"/>
    <w:basedOn w:val="DefaultParagraphFont"/>
    <w:link w:val="FootnoteText"/>
    <w:semiHidden/>
    <w:rsid w:val="00C71D57"/>
    <w:rPr>
      <w:rFonts w:eastAsia="Times New Roman"/>
      <w:lang w:val="en-GB" w:eastAsia="en-US"/>
    </w:rPr>
  </w:style>
  <w:style w:type="table" w:styleId="GridTable1Light">
    <w:name w:val="Grid Table 1 Light"/>
    <w:basedOn w:val="TableNormal"/>
    <w:uiPriority w:val="46"/>
    <w:rsid w:val="00C71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1D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1D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1D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1D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1D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1D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1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1D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71D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71D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71D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71D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71D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71D57"/>
    <w:rPr>
      <w:color w:val="2B579A"/>
      <w:shd w:val="clear" w:color="auto" w:fill="E1DFDD"/>
      <w:lang w:val="en-GB"/>
    </w:rPr>
  </w:style>
  <w:style w:type="character" w:styleId="HTMLAcronym">
    <w:name w:val="HTML Acronym"/>
    <w:basedOn w:val="DefaultParagraphFont"/>
    <w:semiHidden/>
    <w:unhideWhenUsed/>
    <w:rsid w:val="00C71D57"/>
    <w:rPr>
      <w:lang w:val="en-GB"/>
    </w:rPr>
  </w:style>
  <w:style w:type="paragraph" w:styleId="HTMLAddress">
    <w:name w:val="HTML Address"/>
    <w:basedOn w:val="Normal"/>
    <w:link w:val="HTMLAddressChar"/>
    <w:semiHidden/>
    <w:unhideWhenUsed/>
    <w:rsid w:val="00C71D57"/>
    <w:rPr>
      <w:i/>
      <w:iCs/>
    </w:rPr>
  </w:style>
  <w:style w:type="character" w:customStyle="1" w:styleId="HTMLAddressChar">
    <w:name w:val="HTML Address Char"/>
    <w:basedOn w:val="DefaultParagraphFont"/>
    <w:link w:val="HTMLAddress"/>
    <w:semiHidden/>
    <w:rsid w:val="00C71D57"/>
    <w:rPr>
      <w:rFonts w:eastAsia="Times New Roman"/>
      <w:i/>
      <w:iCs/>
      <w:lang w:val="en-GB" w:eastAsia="en-US"/>
    </w:rPr>
  </w:style>
  <w:style w:type="character" w:styleId="HTMLCite">
    <w:name w:val="HTML Cite"/>
    <w:basedOn w:val="DefaultParagraphFont"/>
    <w:semiHidden/>
    <w:unhideWhenUsed/>
    <w:rsid w:val="00C71D57"/>
    <w:rPr>
      <w:i/>
      <w:iCs/>
      <w:lang w:val="en-GB"/>
    </w:rPr>
  </w:style>
  <w:style w:type="character" w:styleId="HTMLCode">
    <w:name w:val="HTML Code"/>
    <w:basedOn w:val="DefaultParagraphFont"/>
    <w:semiHidden/>
    <w:unhideWhenUsed/>
    <w:rsid w:val="00C71D57"/>
    <w:rPr>
      <w:rFonts w:ascii="Consolas" w:hAnsi="Consolas"/>
      <w:sz w:val="20"/>
      <w:szCs w:val="20"/>
      <w:lang w:val="en-GB"/>
    </w:rPr>
  </w:style>
  <w:style w:type="character" w:styleId="HTMLDefinition">
    <w:name w:val="HTML Definition"/>
    <w:basedOn w:val="DefaultParagraphFont"/>
    <w:semiHidden/>
    <w:unhideWhenUsed/>
    <w:rsid w:val="00C71D57"/>
    <w:rPr>
      <w:i/>
      <w:iCs/>
      <w:lang w:val="en-GB"/>
    </w:rPr>
  </w:style>
  <w:style w:type="character" w:styleId="HTMLKeyboard">
    <w:name w:val="HTML Keyboard"/>
    <w:basedOn w:val="DefaultParagraphFont"/>
    <w:semiHidden/>
    <w:unhideWhenUsed/>
    <w:rsid w:val="00C71D57"/>
    <w:rPr>
      <w:rFonts w:ascii="Consolas" w:hAnsi="Consolas"/>
      <w:sz w:val="20"/>
      <w:szCs w:val="20"/>
      <w:lang w:val="en-GB"/>
    </w:rPr>
  </w:style>
  <w:style w:type="paragraph" w:styleId="HTMLPreformatted">
    <w:name w:val="HTML Preformatted"/>
    <w:basedOn w:val="Normal"/>
    <w:link w:val="HTMLPreformattedChar"/>
    <w:semiHidden/>
    <w:unhideWhenUsed/>
    <w:rsid w:val="00C71D57"/>
    <w:rPr>
      <w:rFonts w:ascii="Consolas" w:hAnsi="Consolas"/>
    </w:rPr>
  </w:style>
  <w:style w:type="character" w:customStyle="1" w:styleId="HTMLPreformattedChar">
    <w:name w:val="HTML Preformatted Char"/>
    <w:basedOn w:val="DefaultParagraphFont"/>
    <w:link w:val="HTMLPreformatted"/>
    <w:semiHidden/>
    <w:rsid w:val="00C71D57"/>
    <w:rPr>
      <w:rFonts w:ascii="Consolas" w:eastAsia="Times New Roman" w:hAnsi="Consolas"/>
      <w:lang w:val="en-GB" w:eastAsia="en-US"/>
    </w:rPr>
  </w:style>
  <w:style w:type="character" w:styleId="HTMLSample">
    <w:name w:val="HTML Sample"/>
    <w:basedOn w:val="DefaultParagraphFont"/>
    <w:semiHidden/>
    <w:unhideWhenUsed/>
    <w:rsid w:val="00C71D57"/>
    <w:rPr>
      <w:rFonts w:ascii="Consolas" w:hAnsi="Consolas"/>
      <w:sz w:val="24"/>
      <w:szCs w:val="24"/>
      <w:lang w:val="en-GB"/>
    </w:rPr>
  </w:style>
  <w:style w:type="character" w:styleId="HTMLTypewriter">
    <w:name w:val="HTML Typewriter"/>
    <w:basedOn w:val="DefaultParagraphFont"/>
    <w:semiHidden/>
    <w:unhideWhenUsed/>
    <w:rsid w:val="00C71D57"/>
    <w:rPr>
      <w:rFonts w:ascii="Consolas" w:hAnsi="Consolas"/>
      <w:sz w:val="20"/>
      <w:szCs w:val="20"/>
      <w:lang w:val="en-GB"/>
    </w:rPr>
  </w:style>
  <w:style w:type="character" w:styleId="HTMLVariable">
    <w:name w:val="HTML Variable"/>
    <w:basedOn w:val="DefaultParagraphFont"/>
    <w:semiHidden/>
    <w:unhideWhenUsed/>
    <w:rsid w:val="00C71D57"/>
    <w:rPr>
      <w:i/>
      <w:iCs/>
      <w:lang w:val="en-GB"/>
    </w:rPr>
  </w:style>
  <w:style w:type="paragraph" w:styleId="Index1">
    <w:name w:val="index 1"/>
    <w:basedOn w:val="Normal"/>
    <w:next w:val="Normal"/>
    <w:autoRedefine/>
    <w:semiHidden/>
    <w:unhideWhenUsed/>
    <w:rsid w:val="00C71D57"/>
    <w:pPr>
      <w:tabs>
        <w:tab w:val="clear" w:pos="1247"/>
      </w:tabs>
      <w:ind w:left="200" w:hanging="200"/>
    </w:pPr>
  </w:style>
  <w:style w:type="paragraph" w:styleId="Index2">
    <w:name w:val="index 2"/>
    <w:basedOn w:val="Normal"/>
    <w:next w:val="Normal"/>
    <w:autoRedefine/>
    <w:semiHidden/>
    <w:unhideWhenUsed/>
    <w:rsid w:val="00C71D57"/>
    <w:pPr>
      <w:tabs>
        <w:tab w:val="clear" w:pos="1247"/>
      </w:tabs>
      <w:ind w:left="400" w:hanging="200"/>
    </w:pPr>
  </w:style>
  <w:style w:type="paragraph" w:styleId="Index3">
    <w:name w:val="index 3"/>
    <w:basedOn w:val="Normal"/>
    <w:next w:val="Normal"/>
    <w:autoRedefine/>
    <w:semiHidden/>
    <w:unhideWhenUsed/>
    <w:rsid w:val="00C71D57"/>
    <w:pPr>
      <w:tabs>
        <w:tab w:val="clear" w:pos="1247"/>
      </w:tabs>
      <w:ind w:left="600" w:hanging="200"/>
    </w:pPr>
  </w:style>
  <w:style w:type="paragraph" w:styleId="Index4">
    <w:name w:val="index 4"/>
    <w:basedOn w:val="Normal"/>
    <w:next w:val="Normal"/>
    <w:autoRedefine/>
    <w:semiHidden/>
    <w:unhideWhenUsed/>
    <w:rsid w:val="00C71D57"/>
    <w:pPr>
      <w:tabs>
        <w:tab w:val="clear" w:pos="1247"/>
      </w:tabs>
      <w:ind w:left="800" w:hanging="200"/>
    </w:pPr>
  </w:style>
  <w:style w:type="paragraph" w:styleId="Index5">
    <w:name w:val="index 5"/>
    <w:basedOn w:val="Normal"/>
    <w:next w:val="Normal"/>
    <w:autoRedefine/>
    <w:semiHidden/>
    <w:unhideWhenUsed/>
    <w:rsid w:val="00C71D57"/>
    <w:pPr>
      <w:tabs>
        <w:tab w:val="clear" w:pos="1247"/>
      </w:tabs>
      <w:ind w:left="1000" w:hanging="200"/>
    </w:pPr>
  </w:style>
  <w:style w:type="paragraph" w:styleId="Index6">
    <w:name w:val="index 6"/>
    <w:basedOn w:val="Normal"/>
    <w:next w:val="Normal"/>
    <w:autoRedefine/>
    <w:semiHidden/>
    <w:unhideWhenUsed/>
    <w:rsid w:val="00C71D57"/>
    <w:pPr>
      <w:tabs>
        <w:tab w:val="clear" w:pos="1247"/>
      </w:tabs>
      <w:ind w:left="1200" w:hanging="200"/>
    </w:pPr>
  </w:style>
  <w:style w:type="paragraph" w:styleId="Index7">
    <w:name w:val="index 7"/>
    <w:basedOn w:val="Normal"/>
    <w:next w:val="Normal"/>
    <w:autoRedefine/>
    <w:semiHidden/>
    <w:unhideWhenUsed/>
    <w:rsid w:val="00C71D57"/>
    <w:pPr>
      <w:tabs>
        <w:tab w:val="clear" w:pos="1247"/>
      </w:tabs>
      <w:ind w:left="1400" w:hanging="200"/>
    </w:pPr>
  </w:style>
  <w:style w:type="paragraph" w:styleId="Index8">
    <w:name w:val="index 8"/>
    <w:basedOn w:val="Normal"/>
    <w:next w:val="Normal"/>
    <w:autoRedefine/>
    <w:semiHidden/>
    <w:unhideWhenUsed/>
    <w:rsid w:val="00C71D57"/>
    <w:pPr>
      <w:tabs>
        <w:tab w:val="clear" w:pos="1247"/>
      </w:tabs>
      <w:ind w:left="1600" w:hanging="200"/>
    </w:pPr>
  </w:style>
  <w:style w:type="paragraph" w:styleId="Index9">
    <w:name w:val="index 9"/>
    <w:basedOn w:val="Normal"/>
    <w:next w:val="Normal"/>
    <w:autoRedefine/>
    <w:semiHidden/>
    <w:unhideWhenUsed/>
    <w:rsid w:val="00C71D57"/>
    <w:pPr>
      <w:tabs>
        <w:tab w:val="clear" w:pos="1247"/>
      </w:tabs>
      <w:ind w:left="1800" w:hanging="200"/>
    </w:pPr>
  </w:style>
  <w:style w:type="paragraph" w:styleId="IndexHeading">
    <w:name w:val="index heading"/>
    <w:basedOn w:val="Normal"/>
    <w:next w:val="Index1"/>
    <w:semiHidden/>
    <w:unhideWhenUsed/>
    <w:rsid w:val="00C71D5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1D57"/>
    <w:rPr>
      <w:i/>
      <w:iCs/>
      <w:color w:val="4F81BD" w:themeColor="accent1"/>
      <w:lang w:val="en-GB"/>
    </w:rPr>
  </w:style>
  <w:style w:type="paragraph" w:styleId="IntenseQuote">
    <w:name w:val="Intense Quote"/>
    <w:basedOn w:val="Normal"/>
    <w:next w:val="Normal"/>
    <w:link w:val="IntenseQuoteChar"/>
    <w:uiPriority w:val="30"/>
    <w:semiHidden/>
    <w:qFormat/>
    <w:rsid w:val="00C71D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71D57"/>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71D57"/>
    <w:rPr>
      <w:b/>
      <w:bCs/>
      <w:smallCaps/>
      <w:color w:val="4F81BD" w:themeColor="accent1"/>
      <w:spacing w:val="5"/>
      <w:lang w:val="en-GB"/>
    </w:rPr>
  </w:style>
  <w:style w:type="table" w:styleId="LightGrid">
    <w:name w:val="Light Grid"/>
    <w:basedOn w:val="TableNormal"/>
    <w:uiPriority w:val="62"/>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1D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1D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1D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1D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1D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1D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1D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71D57"/>
    <w:rPr>
      <w:lang w:val="en-GB"/>
    </w:rPr>
  </w:style>
  <w:style w:type="paragraph" w:styleId="List">
    <w:name w:val="List"/>
    <w:basedOn w:val="Normal"/>
    <w:semiHidden/>
    <w:unhideWhenUsed/>
    <w:rsid w:val="00C71D57"/>
    <w:pPr>
      <w:ind w:left="283" w:hanging="283"/>
      <w:contextualSpacing/>
    </w:pPr>
  </w:style>
  <w:style w:type="paragraph" w:styleId="List2">
    <w:name w:val="List 2"/>
    <w:basedOn w:val="Normal"/>
    <w:semiHidden/>
    <w:unhideWhenUsed/>
    <w:rsid w:val="00C71D57"/>
    <w:pPr>
      <w:ind w:left="566" w:hanging="283"/>
      <w:contextualSpacing/>
    </w:pPr>
  </w:style>
  <w:style w:type="paragraph" w:styleId="List3">
    <w:name w:val="List 3"/>
    <w:basedOn w:val="Normal"/>
    <w:semiHidden/>
    <w:unhideWhenUsed/>
    <w:rsid w:val="00C71D57"/>
    <w:pPr>
      <w:ind w:left="849" w:hanging="283"/>
      <w:contextualSpacing/>
    </w:pPr>
  </w:style>
  <w:style w:type="paragraph" w:styleId="List4">
    <w:name w:val="List 4"/>
    <w:basedOn w:val="Normal"/>
    <w:semiHidden/>
    <w:unhideWhenUsed/>
    <w:rsid w:val="00C71D57"/>
    <w:pPr>
      <w:ind w:left="1132" w:hanging="283"/>
      <w:contextualSpacing/>
    </w:pPr>
  </w:style>
  <w:style w:type="paragraph" w:styleId="List5">
    <w:name w:val="List 5"/>
    <w:basedOn w:val="Normal"/>
    <w:semiHidden/>
    <w:unhideWhenUsed/>
    <w:rsid w:val="00C71D57"/>
    <w:pPr>
      <w:ind w:left="1415" w:hanging="283"/>
      <w:contextualSpacing/>
    </w:pPr>
  </w:style>
  <w:style w:type="paragraph" w:styleId="ListBullet">
    <w:name w:val="List Bullet"/>
    <w:basedOn w:val="Normal"/>
    <w:semiHidden/>
    <w:rsid w:val="00C71D57"/>
    <w:pPr>
      <w:numPr>
        <w:numId w:val="6"/>
      </w:numPr>
      <w:contextualSpacing/>
    </w:pPr>
  </w:style>
  <w:style w:type="paragraph" w:styleId="ListBullet2">
    <w:name w:val="List Bullet 2"/>
    <w:basedOn w:val="Normal"/>
    <w:semiHidden/>
    <w:unhideWhenUsed/>
    <w:rsid w:val="00C71D57"/>
    <w:pPr>
      <w:numPr>
        <w:numId w:val="7"/>
      </w:numPr>
      <w:contextualSpacing/>
    </w:pPr>
  </w:style>
  <w:style w:type="paragraph" w:styleId="ListBullet3">
    <w:name w:val="List Bullet 3"/>
    <w:basedOn w:val="Normal"/>
    <w:semiHidden/>
    <w:unhideWhenUsed/>
    <w:rsid w:val="00C71D57"/>
    <w:pPr>
      <w:numPr>
        <w:numId w:val="8"/>
      </w:numPr>
      <w:contextualSpacing/>
    </w:pPr>
  </w:style>
  <w:style w:type="paragraph" w:styleId="ListBullet4">
    <w:name w:val="List Bullet 4"/>
    <w:basedOn w:val="Normal"/>
    <w:semiHidden/>
    <w:unhideWhenUsed/>
    <w:rsid w:val="00C71D57"/>
    <w:pPr>
      <w:numPr>
        <w:numId w:val="9"/>
      </w:numPr>
      <w:contextualSpacing/>
    </w:pPr>
  </w:style>
  <w:style w:type="paragraph" w:styleId="ListBullet5">
    <w:name w:val="List Bullet 5"/>
    <w:basedOn w:val="Normal"/>
    <w:semiHidden/>
    <w:unhideWhenUsed/>
    <w:rsid w:val="00C71D57"/>
    <w:pPr>
      <w:numPr>
        <w:numId w:val="10"/>
      </w:numPr>
      <w:contextualSpacing/>
    </w:pPr>
  </w:style>
  <w:style w:type="paragraph" w:styleId="ListContinue">
    <w:name w:val="List Continue"/>
    <w:basedOn w:val="Normal"/>
    <w:semiHidden/>
    <w:unhideWhenUsed/>
    <w:rsid w:val="00C71D57"/>
    <w:pPr>
      <w:spacing w:after="120"/>
      <w:ind w:left="283"/>
      <w:contextualSpacing/>
    </w:pPr>
  </w:style>
  <w:style w:type="paragraph" w:styleId="ListContinue2">
    <w:name w:val="List Continue 2"/>
    <w:basedOn w:val="Normal"/>
    <w:semiHidden/>
    <w:unhideWhenUsed/>
    <w:rsid w:val="00C71D57"/>
    <w:pPr>
      <w:spacing w:after="120"/>
      <w:ind w:left="566"/>
      <w:contextualSpacing/>
    </w:pPr>
  </w:style>
  <w:style w:type="paragraph" w:styleId="ListContinue3">
    <w:name w:val="List Continue 3"/>
    <w:basedOn w:val="Normal"/>
    <w:semiHidden/>
    <w:rsid w:val="00C71D57"/>
    <w:pPr>
      <w:spacing w:after="120"/>
      <w:ind w:left="849"/>
      <w:contextualSpacing/>
    </w:pPr>
  </w:style>
  <w:style w:type="paragraph" w:styleId="ListContinue4">
    <w:name w:val="List Continue 4"/>
    <w:basedOn w:val="Normal"/>
    <w:semiHidden/>
    <w:rsid w:val="00C71D57"/>
    <w:pPr>
      <w:spacing w:after="120"/>
      <w:ind w:left="1132"/>
      <w:contextualSpacing/>
    </w:pPr>
  </w:style>
  <w:style w:type="paragraph" w:styleId="ListContinue5">
    <w:name w:val="List Continue 5"/>
    <w:basedOn w:val="Normal"/>
    <w:semiHidden/>
    <w:rsid w:val="00C71D57"/>
    <w:pPr>
      <w:spacing w:after="120"/>
      <w:ind w:left="1415"/>
      <w:contextualSpacing/>
    </w:pPr>
  </w:style>
  <w:style w:type="paragraph" w:styleId="ListNumber">
    <w:name w:val="List Number"/>
    <w:basedOn w:val="Normal"/>
    <w:semiHidden/>
    <w:rsid w:val="00C71D57"/>
    <w:pPr>
      <w:numPr>
        <w:numId w:val="11"/>
      </w:numPr>
      <w:contextualSpacing/>
    </w:pPr>
  </w:style>
  <w:style w:type="paragraph" w:styleId="ListNumber2">
    <w:name w:val="List Number 2"/>
    <w:basedOn w:val="Normal"/>
    <w:semiHidden/>
    <w:unhideWhenUsed/>
    <w:rsid w:val="00C71D57"/>
    <w:pPr>
      <w:numPr>
        <w:numId w:val="12"/>
      </w:numPr>
      <w:contextualSpacing/>
    </w:pPr>
  </w:style>
  <w:style w:type="paragraph" w:styleId="ListNumber3">
    <w:name w:val="List Number 3"/>
    <w:basedOn w:val="Normal"/>
    <w:semiHidden/>
    <w:unhideWhenUsed/>
    <w:rsid w:val="00C71D57"/>
    <w:pPr>
      <w:numPr>
        <w:numId w:val="13"/>
      </w:numPr>
      <w:contextualSpacing/>
    </w:pPr>
  </w:style>
  <w:style w:type="paragraph" w:styleId="ListNumber4">
    <w:name w:val="List Number 4"/>
    <w:basedOn w:val="Normal"/>
    <w:semiHidden/>
    <w:unhideWhenUsed/>
    <w:rsid w:val="00C71D57"/>
    <w:pPr>
      <w:numPr>
        <w:numId w:val="14"/>
      </w:numPr>
      <w:contextualSpacing/>
    </w:pPr>
  </w:style>
  <w:style w:type="paragraph" w:styleId="ListNumber5">
    <w:name w:val="List Number 5"/>
    <w:basedOn w:val="Normal"/>
    <w:semiHidden/>
    <w:unhideWhenUsed/>
    <w:rsid w:val="00C71D57"/>
    <w:pPr>
      <w:numPr>
        <w:numId w:val="15"/>
      </w:numPr>
      <w:contextualSpacing/>
    </w:pPr>
  </w:style>
  <w:style w:type="table" w:styleId="ListTable1Light">
    <w:name w:val="List Table 1 Light"/>
    <w:basedOn w:val="TableNormal"/>
    <w:uiPriority w:val="46"/>
    <w:rsid w:val="00C71D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1D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71D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71D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71D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71D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71D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71D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1D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71D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71D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71D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71D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71D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71D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1D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71D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71D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71D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71D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71D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71D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1D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1D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1D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1D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1D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1D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1D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1D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71D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71D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71D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71D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71D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71D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1D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1D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1D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1D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1D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1D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71D5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C71D57"/>
    <w:rPr>
      <w:rFonts w:ascii="Consolas" w:eastAsia="Times New Roman" w:hAnsi="Consolas"/>
      <w:lang w:val="en-GB" w:eastAsia="en-US"/>
    </w:rPr>
  </w:style>
  <w:style w:type="table" w:styleId="MediumGrid1">
    <w:name w:val="Medium Grid 1"/>
    <w:basedOn w:val="TableNormal"/>
    <w:uiPriority w:val="67"/>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1D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1D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1D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1D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1D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1D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1D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71D57"/>
    <w:rPr>
      <w:color w:val="2B579A"/>
      <w:shd w:val="clear" w:color="auto" w:fill="E1DFDD"/>
      <w:lang w:val="en-GB"/>
    </w:rPr>
  </w:style>
  <w:style w:type="paragraph" w:styleId="MessageHeader">
    <w:name w:val="Message Header"/>
    <w:basedOn w:val="Normal"/>
    <w:link w:val="MessageHeaderChar"/>
    <w:semiHidden/>
    <w:rsid w:val="00C71D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1D57"/>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71D57"/>
    <w:pPr>
      <w:ind w:left="720"/>
    </w:pPr>
  </w:style>
  <w:style w:type="paragraph" w:styleId="NoteHeading">
    <w:name w:val="Note Heading"/>
    <w:basedOn w:val="Normal"/>
    <w:next w:val="Normal"/>
    <w:link w:val="NoteHeadingChar"/>
    <w:semiHidden/>
    <w:unhideWhenUsed/>
    <w:rsid w:val="00C71D57"/>
  </w:style>
  <w:style w:type="character" w:customStyle="1" w:styleId="NoteHeadingChar">
    <w:name w:val="Note Heading Char"/>
    <w:basedOn w:val="DefaultParagraphFont"/>
    <w:link w:val="NoteHeading"/>
    <w:semiHidden/>
    <w:rsid w:val="00C71D57"/>
    <w:rPr>
      <w:rFonts w:eastAsia="Times New Roman"/>
      <w:lang w:val="en-GB" w:eastAsia="en-US"/>
    </w:rPr>
  </w:style>
  <w:style w:type="table" w:styleId="PlainTable1">
    <w:name w:val="Plain Table 1"/>
    <w:basedOn w:val="TableNormal"/>
    <w:uiPriority w:val="41"/>
    <w:rsid w:val="00C71D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1D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1D5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1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1D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71D57"/>
    <w:rPr>
      <w:rFonts w:ascii="Consolas" w:hAnsi="Consolas"/>
      <w:sz w:val="21"/>
      <w:szCs w:val="21"/>
    </w:rPr>
  </w:style>
  <w:style w:type="character" w:customStyle="1" w:styleId="PlainTextChar">
    <w:name w:val="Plain Text Char"/>
    <w:basedOn w:val="DefaultParagraphFont"/>
    <w:link w:val="PlainText"/>
    <w:semiHidden/>
    <w:rsid w:val="00C71D57"/>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71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1D57"/>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71D57"/>
  </w:style>
  <w:style w:type="character" w:customStyle="1" w:styleId="SalutationChar">
    <w:name w:val="Salutation Char"/>
    <w:basedOn w:val="DefaultParagraphFont"/>
    <w:link w:val="Salutation"/>
    <w:semiHidden/>
    <w:rsid w:val="00C71D57"/>
    <w:rPr>
      <w:rFonts w:eastAsia="Times New Roman"/>
      <w:lang w:val="en-GB" w:eastAsia="en-US"/>
    </w:rPr>
  </w:style>
  <w:style w:type="paragraph" w:styleId="Signature">
    <w:name w:val="Signature"/>
    <w:basedOn w:val="Normal"/>
    <w:link w:val="SignatureChar"/>
    <w:semiHidden/>
    <w:unhideWhenUsed/>
    <w:rsid w:val="00C71D57"/>
    <w:pPr>
      <w:ind w:left="4252"/>
    </w:pPr>
  </w:style>
  <w:style w:type="character" w:customStyle="1" w:styleId="SignatureChar">
    <w:name w:val="Signature Char"/>
    <w:basedOn w:val="DefaultParagraphFont"/>
    <w:link w:val="Signature"/>
    <w:semiHidden/>
    <w:rsid w:val="00C71D57"/>
    <w:rPr>
      <w:rFonts w:eastAsia="Times New Roman"/>
      <w:lang w:val="en-GB" w:eastAsia="en-US"/>
    </w:rPr>
  </w:style>
  <w:style w:type="character" w:styleId="SmartHyperlink">
    <w:name w:val="Smart Hyperlink"/>
    <w:basedOn w:val="DefaultParagraphFont"/>
    <w:uiPriority w:val="99"/>
    <w:semiHidden/>
    <w:rsid w:val="00C71D57"/>
    <w:rPr>
      <w:u w:val="dotted"/>
      <w:lang w:val="en-GB"/>
    </w:rPr>
  </w:style>
  <w:style w:type="character" w:styleId="SmartLink">
    <w:name w:val="Smart Link"/>
    <w:basedOn w:val="DefaultParagraphFont"/>
    <w:uiPriority w:val="99"/>
    <w:semiHidden/>
    <w:unhideWhenUsed/>
    <w:rsid w:val="00C71D57"/>
    <w:rPr>
      <w:color w:val="0000FF"/>
      <w:u w:val="single"/>
      <w:shd w:val="clear" w:color="auto" w:fill="F3F2F1"/>
      <w:lang w:val="en-GB"/>
    </w:rPr>
  </w:style>
  <w:style w:type="character" w:styleId="Strong">
    <w:name w:val="Strong"/>
    <w:basedOn w:val="DefaultParagraphFont"/>
    <w:semiHidden/>
    <w:qFormat/>
    <w:rsid w:val="00C71D57"/>
    <w:rPr>
      <w:b/>
      <w:bCs/>
      <w:lang w:val="en-GB"/>
    </w:rPr>
  </w:style>
  <w:style w:type="paragraph" w:styleId="Subtitle">
    <w:name w:val="Subtitle"/>
    <w:basedOn w:val="Normal"/>
    <w:next w:val="Normal"/>
    <w:link w:val="SubtitleChar"/>
    <w:semiHidden/>
    <w:qFormat/>
    <w:rsid w:val="00C71D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71D57"/>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71D57"/>
    <w:rPr>
      <w:i/>
      <w:iCs/>
      <w:color w:val="404040" w:themeColor="text1" w:themeTint="BF"/>
      <w:lang w:val="en-GB"/>
    </w:rPr>
  </w:style>
  <w:style w:type="character" w:styleId="SubtleReference">
    <w:name w:val="Subtle Reference"/>
    <w:basedOn w:val="DefaultParagraphFont"/>
    <w:uiPriority w:val="31"/>
    <w:semiHidden/>
    <w:qFormat/>
    <w:rsid w:val="00C71D57"/>
    <w:rPr>
      <w:smallCaps/>
      <w:color w:val="5A5A5A" w:themeColor="text1" w:themeTint="A5"/>
      <w:lang w:val="en-GB"/>
    </w:rPr>
  </w:style>
  <w:style w:type="table" w:styleId="Table3Deffects1">
    <w:name w:val="Table 3D effect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1D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71D57"/>
    <w:pPr>
      <w:tabs>
        <w:tab w:val="clear" w:pos="1247"/>
      </w:tabs>
      <w:ind w:left="200" w:hanging="200"/>
    </w:pPr>
  </w:style>
  <w:style w:type="table" w:styleId="TableProfessional">
    <w:name w:val="Table Professional"/>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71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71D5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71D5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1D5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6A1F5E"/>
    <w:rPr>
      <w:rFonts w:eastAsia="Times New Roman"/>
      <w:lang w:val="en-GB" w:eastAsia="en-US"/>
    </w:rPr>
  </w:style>
  <w:style w:type="character" w:customStyle="1" w:styleId="CH1Char">
    <w:name w:val="CH1 Char"/>
    <w:link w:val="CH1"/>
    <w:rsid w:val="006A1F5E"/>
    <w:rPr>
      <w:rFonts w:eastAsia="Times New Roman"/>
      <w:b/>
      <w:sz w:val="28"/>
      <w:szCs w:val="28"/>
      <w:lang w:val="en-GB" w:eastAsia="en-US"/>
    </w:rPr>
  </w:style>
  <w:style w:type="character" w:customStyle="1" w:styleId="CH2Char">
    <w:name w:val="CH2 Char"/>
    <w:link w:val="CH2"/>
    <w:rsid w:val="006A1F5E"/>
    <w:rPr>
      <w:rFonts w:eastAsia="Times New Roman"/>
      <w:b/>
      <w:sz w:val="24"/>
      <w:szCs w:val="24"/>
      <w:lang w:val="en-GB" w:eastAsia="en-US"/>
    </w:rPr>
  </w:style>
  <w:style w:type="character" w:customStyle="1" w:styleId="BBTitleChar">
    <w:name w:val="BB_Title Char"/>
    <w:link w:val="BBTitle"/>
    <w:rsid w:val="006A1F5E"/>
    <w:rPr>
      <w:rFonts w:eastAsia="Times New Roman"/>
      <w:b/>
      <w:sz w:val="28"/>
      <w:szCs w:val="28"/>
      <w:lang w:val="en-GB" w:eastAsia="en-US"/>
    </w:rPr>
  </w:style>
  <w:style w:type="paragraph" w:styleId="Revision">
    <w:name w:val="Revision"/>
    <w:hidden/>
    <w:uiPriority w:val="99"/>
    <w:semiHidden/>
    <w:rsid w:val="00616A0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countries/additional-reported-information/illegal-trade-decisionxxxi3" TargetMode="External"/><Relationship Id="rId7" Type="http://schemas.openxmlformats.org/officeDocument/2006/relationships/hyperlink" Target="https://ozone.unep.org/system/files/documents/OEWG-45-5-Add-1E.pdf" TargetMode="External"/><Relationship Id="rId2" Type="http://schemas.openxmlformats.org/officeDocument/2006/relationships/hyperlink" Target="https://ozone.unep.org/countries/additional-reported-information/illegal-trade" TargetMode="External"/><Relationship Id="rId1" Type="http://schemas.openxmlformats.org/officeDocument/2006/relationships/hyperlink" Target="https://ozone.unep.org/countries/additional-reported-information/illegal-trade" TargetMode="External"/><Relationship Id="rId6" Type="http://schemas.openxmlformats.org/officeDocument/2006/relationships/hyperlink" Target="https://ozone.unep.org/system/files/documents/OEWG-46-4E.pdf" TargetMode="External"/><Relationship Id="rId5" Type="http://schemas.openxmlformats.org/officeDocument/2006/relationships/hyperlink" Target="https://ozone.unep.org/system/files/documents/OEWG-47-5E.pdf" TargetMode="External"/><Relationship Id="rId4" Type="http://schemas.openxmlformats.org/officeDocument/2006/relationships/hyperlink" Target="https://ozone.unep.org/countries/additional-reported-information/illegal-trade-decisionxxx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[2026 compilation.xlsx]Sheet2!PivotTable1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Sheet2!$B$2</c:f>
              <c:strCache>
                <c:ptCount val="1"/>
                <c:pt idx="0">
                  <c:v>Total</c:v>
                </c:pt>
              </c:strCache>
            </c:strRef>
          </c:tx>
          <c:spPr>
            <a:solidFill>
              <a:schemeClr val="accent1"/>
            </a:solidFill>
            <a:ln>
              <a:noFill/>
            </a:ln>
            <a:effectLst/>
          </c:spPr>
          <c:invertIfNegative val="0"/>
          <c:cat>
            <c:strRef>
              <c:f>Sheet2!$A$3:$A$23</c:f>
              <c:strCache>
                <c:ptCount val="20"/>
                <c:pt idx="0">
                  <c:v>2002</c:v>
                </c:pt>
                <c:pt idx="1">
                  <c:v>2003</c:v>
                </c:pt>
                <c:pt idx="2">
                  <c:v>2004</c:v>
                </c:pt>
                <c:pt idx="3">
                  <c:v>2006</c:v>
                </c:pt>
                <c:pt idx="4">
                  <c:v>2007</c:v>
                </c:pt>
                <c:pt idx="5">
                  <c:v>2008</c:v>
                </c:pt>
                <c:pt idx="6">
                  <c:v>2009</c:v>
                </c:pt>
                <c:pt idx="7">
                  <c:v>2010</c:v>
                </c:pt>
                <c:pt idx="8">
                  <c:v>2016</c:v>
                </c:pt>
                <c:pt idx="9">
                  <c:v>2017</c:v>
                </c:pt>
                <c:pt idx="10">
                  <c:v>2018</c:v>
                </c:pt>
                <c:pt idx="11">
                  <c:v>2019</c:v>
                </c:pt>
                <c:pt idx="12">
                  <c:v>2020</c:v>
                </c:pt>
                <c:pt idx="13">
                  <c:v>2021</c:v>
                </c:pt>
                <c:pt idx="14">
                  <c:v>2022</c:v>
                </c:pt>
                <c:pt idx="15">
                  <c:v>2023</c:v>
                </c:pt>
                <c:pt idx="16">
                  <c:v>2024</c:v>
                </c:pt>
                <c:pt idx="17">
                  <c:v>2025</c:v>
                </c:pt>
                <c:pt idx="18">
                  <c:v>2026</c:v>
                </c:pt>
                <c:pt idx="19">
                  <c:v>.</c:v>
                </c:pt>
              </c:strCache>
            </c:strRef>
          </c:cat>
          <c:val>
            <c:numRef>
              <c:f>Sheet2!$B$3:$B$23</c:f>
              <c:numCache>
                <c:formatCode>General</c:formatCode>
                <c:ptCount val="20"/>
                <c:pt idx="0">
                  <c:v>8</c:v>
                </c:pt>
                <c:pt idx="1">
                  <c:v>2</c:v>
                </c:pt>
                <c:pt idx="2">
                  <c:v>19</c:v>
                </c:pt>
                <c:pt idx="3">
                  <c:v>1</c:v>
                </c:pt>
                <c:pt idx="4">
                  <c:v>13</c:v>
                </c:pt>
                <c:pt idx="5">
                  <c:v>19</c:v>
                </c:pt>
                <c:pt idx="6">
                  <c:v>3</c:v>
                </c:pt>
                <c:pt idx="7">
                  <c:v>5</c:v>
                </c:pt>
                <c:pt idx="8">
                  <c:v>15</c:v>
                </c:pt>
                <c:pt idx="9">
                  <c:v>8</c:v>
                </c:pt>
                <c:pt idx="10">
                  <c:v>16</c:v>
                </c:pt>
                <c:pt idx="11">
                  <c:v>98</c:v>
                </c:pt>
                <c:pt idx="12">
                  <c:v>140</c:v>
                </c:pt>
                <c:pt idx="13">
                  <c:v>101</c:v>
                </c:pt>
                <c:pt idx="14">
                  <c:v>36</c:v>
                </c:pt>
                <c:pt idx="15">
                  <c:v>133</c:v>
                </c:pt>
                <c:pt idx="16">
                  <c:v>106</c:v>
                </c:pt>
                <c:pt idx="17">
                  <c:v>247</c:v>
                </c:pt>
                <c:pt idx="18">
                  <c:v>126</c:v>
                </c:pt>
              </c:numCache>
            </c:numRef>
          </c:val>
          <c:extLst>
            <c:ext xmlns:c16="http://schemas.microsoft.com/office/drawing/2014/chart" uri="{C3380CC4-5D6E-409C-BE32-E72D297353CC}">
              <c16:uniqueId val="{00000000-7A79-41B9-8BC6-9DC31AB3B77B}"/>
            </c:ext>
          </c:extLst>
        </c:ser>
        <c:dLbls>
          <c:showLegendKey val="0"/>
          <c:showVal val="0"/>
          <c:showCatName val="0"/>
          <c:showSerName val="0"/>
          <c:showPercent val="0"/>
          <c:showBubbleSize val="0"/>
        </c:dLbls>
        <c:gapWidth val="219"/>
        <c:overlap val="-27"/>
        <c:axId val="1137632639"/>
        <c:axId val="1137631199"/>
      </c:barChart>
      <c:catAx>
        <c:axId val="113763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1199"/>
        <c:crosses val="autoZero"/>
        <c:auto val="1"/>
        <c:lblAlgn val="ctr"/>
        <c:lblOffset val="100"/>
        <c:noMultiLvlLbl val="0"/>
      </c:catAx>
      <c:valAx>
        <c:axId val="113763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26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82C99892-A7EA-4EEE-9E58-14501F833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11</TotalTime>
  <Pages>10</Pages>
  <Words>4681</Words>
  <Characters>26683</Characters>
  <Application>Microsoft Office Word</Application>
  <DocSecurity>0</DocSecurity>
  <PresentationFormat/>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Natalia Cherutich</cp:lastModifiedBy>
  <cp:revision>4</cp:revision>
  <cp:lastPrinted>2026-05-06T12:40:00Z</cp:lastPrinted>
  <dcterms:created xsi:type="dcterms:W3CDTF">2026-05-18T07:56:00Z</dcterms:created>
  <dcterms:modified xsi:type="dcterms:W3CDTF">2026-06-02T06:23:00Z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05/12/2026 14:24:25</vt:lpwstr>
  </property>
  <property fmtid="{D5CDD505-2E9C-101B-9397-08002B2CF9AE}" pid="22" name="OriginalDocID">
    <vt:lpwstr>e515d3f5-b678-48e6-95e6-5433756533d6</vt:lpwstr>
  </property>
</Properties>
</file>